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599" w:type="dxa"/>
        <w:tblInd w:w="-995" w:type="dxa"/>
        <w:shd w:val="clear" w:color="auto" w:fill="FFFFFF" w:themeFill="background1"/>
        <w:tblLayout w:type="fixed"/>
        <w:tblLook w:val="04A0" w:firstRow="1" w:lastRow="0" w:firstColumn="1" w:lastColumn="0" w:noHBand="0" w:noVBand="1"/>
      </w:tblPr>
      <w:tblGrid>
        <w:gridCol w:w="22"/>
        <w:gridCol w:w="2879"/>
        <w:gridCol w:w="19"/>
        <w:gridCol w:w="3221"/>
        <w:gridCol w:w="28"/>
        <w:gridCol w:w="4203"/>
        <w:gridCol w:w="12"/>
        <w:gridCol w:w="971"/>
        <w:gridCol w:w="2870"/>
        <w:gridCol w:w="374"/>
      </w:tblGrid>
      <w:tr w:rsidR="00734862" w:rsidRPr="00A9548E" w:rsidTr="00936177">
        <w:trPr>
          <w:gridAfter w:val="1"/>
          <w:wAfter w:w="374" w:type="dxa"/>
          <w:trHeight w:val="668"/>
        </w:trPr>
        <w:tc>
          <w:tcPr>
            <w:tcW w:w="2901" w:type="dxa"/>
            <w:gridSpan w:val="2"/>
            <w:shd w:val="clear" w:color="auto" w:fill="BDD6EE" w:themeFill="accent1" w:themeFillTint="66"/>
          </w:tcPr>
          <w:p w:rsidR="00E7325E" w:rsidRDefault="00E7325E">
            <w:bookmarkStart w:id="0" w:name="_GoBack"/>
            <w:bookmarkEnd w:id="0"/>
          </w:p>
          <w:p w:rsidR="00734862" w:rsidRPr="00A9548E" w:rsidRDefault="002116F9" w:rsidP="00734862">
            <w:pPr>
              <w:jc w:val="both"/>
              <w:textAlignment w:val="baseline"/>
              <w:rPr>
                <w:rFonts w:ascii="Times New Roman" w:eastAsia="Times New Roman" w:hAnsi="Times New Roman" w:cs="Times New Roman"/>
                <w:b/>
                <w:bCs/>
                <w:color w:val="000000" w:themeColor="text1"/>
                <w:sz w:val="20"/>
                <w:szCs w:val="20"/>
                <w:lang w:val="en-GB"/>
              </w:rPr>
            </w:pPr>
            <w:r w:rsidRPr="00890036">
              <w:rPr>
                <w:rFonts w:ascii="Times New Roman" w:eastAsia="Times New Roman" w:hAnsi="Times New Roman" w:cs="Times New Roman"/>
                <w:b/>
                <w:bCs/>
                <w:color w:val="000000" w:themeColor="text1"/>
                <w:sz w:val="20"/>
                <w:szCs w:val="20"/>
                <w:lang w:val="en-GB"/>
              </w:rPr>
              <w:t>FUSHAT DHE OBJEKTIVAT</w:t>
            </w:r>
          </w:p>
        </w:tc>
        <w:tc>
          <w:tcPr>
            <w:tcW w:w="3240" w:type="dxa"/>
            <w:gridSpan w:val="2"/>
            <w:shd w:val="clear" w:color="auto" w:fill="BDD6EE" w:themeFill="accent1" w:themeFillTint="66"/>
          </w:tcPr>
          <w:p w:rsidR="002116F9" w:rsidRPr="003D2798" w:rsidRDefault="002116F9" w:rsidP="002116F9">
            <w:pPr>
              <w:jc w:val="both"/>
              <w:textAlignment w:val="baseline"/>
              <w:rPr>
                <w:rFonts w:ascii="Times New Roman" w:eastAsia="Times New Roman" w:hAnsi="Times New Roman" w:cs="Times New Roman"/>
                <w:b/>
                <w:bCs/>
                <w:color w:val="000000" w:themeColor="text1"/>
                <w:sz w:val="20"/>
                <w:szCs w:val="20"/>
                <w:lang w:val="it-IT"/>
              </w:rPr>
            </w:pPr>
            <w:r w:rsidRPr="003D2798">
              <w:rPr>
                <w:rFonts w:ascii="Times New Roman" w:eastAsia="Times New Roman" w:hAnsi="Times New Roman" w:cs="Times New Roman"/>
                <w:b/>
                <w:bCs/>
                <w:color w:val="000000" w:themeColor="text1"/>
                <w:sz w:val="20"/>
                <w:szCs w:val="20"/>
                <w:lang w:val="it-IT"/>
              </w:rPr>
              <w:t>MASA STRATEGJIKE/LEGJISLATIV</w:t>
            </w:r>
            <w:r w:rsidR="003D2798" w:rsidRPr="003D2798">
              <w:rPr>
                <w:rFonts w:ascii="Times New Roman" w:eastAsia="Times New Roman" w:hAnsi="Times New Roman" w:cs="Times New Roman"/>
                <w:b/>
                <w:bCs/>
                <w:color w:val="000000" w:themeColor="text1"/>
                <w:sz w:val="20"/>
                <w:szCs w:val="20"/>
                <w:lang w:val="it-IT"/>
              </w:rPr>
              <w:t>E</w:t>
            </w:r>
            <w:r w:rsidRPr="003D2798">
              <w:rPr>
                <w:rFonts w:ascii="Times New Roman" w:eastAsia="Times New Roman" w:hAnsi="Times New Roman" w:cs="Times New Roman"/>
                <w:b/>
                <w:bCs/>
                <w:color w:val="000000" w:themeColor="text1"/>
                <w:sz w:val="20"/>
                <w:szCs w:val="20"/>
                <w:lang w:val="it-IT"/>
              </w:rPr>
              <w:t>/ KORNIZA INSTITUCIONALE</w:t>
            </w:r>
          </w:p>
          <w:p w:rsidR="00734862" w:rsidRPr="003D2798" w:rsidRDefault="00734862" w:rsidP="00734862">
            <w:pPr>
              <w:jc w:val="both"/>
              <w:textAlignment w:val="baseline"/>
              <w:rPr>
                <w:rFonts w:ascii="Times New Roman" w:eastAsia="Times New Roman" w:hAnsi="Times New Roman" w:cs="Times New Roman"/>
                <w:b/>
                <w:bCs/>
                <w:color w:val="000000" w:themeColor="text1"/>
                <w:sz w:val="20"/>
                <w:szCs w:val="20"/>
                <w:lang w:val="it-IT"/>
              </w:rPr>
            </w:pPr>
          </w:p>
        </w:tc>
        <w:tc>
          <w:tcPr>
            <w:tcW w:w="4231" w:type="dxa"/>
            <w:gridSpan w:val="2"/>
            <w:shd w:val="clear" w:color="auto" w:fill="BDD6EE" w:themeFill="accent1" w:themeFillTint="66"/>
          </w:tcPr>
          <w:p w:rsidR="002116F9" w:rsidRPr="003D2798" w:rsidRDefault="002116F9" w:rsidP="00734862">
            <w:pPr>
              <w:jc w:val="both"/>
              <w:textAlignment w:val="baseline"/>
              <w:rPr>
                <w:rFonts w:ascii="Times New Roman" w:eastAsia="Times New Roman" w:hAnsi="Times New Roman" w:cs="Times New Roman"/>
                <w:b/>
                <w:bCs/>
                <w:color w:val="000000" w:themeColor="text1"/>
                <w:sz w:val="20"/>
                <w:szCs w:val="20"/>
                <w:lang w:val="it-IT"/>
              </w:rPr>
            </w:pPr>
          </w:p>
          <w:p w:rsidR="00734862" w:rsidRPr="00A9548E" w:rsidRDefault="002116F9" w:rsidP="00734862">
            <w:pPr>
              <w:jc w:val="both"/>
              <w:textAlignment w:val="baseline"/>
              <w:rPr>
                <w:rFonts w:ascii="Times New Roman" w:eastAsia="Times New Roman" w:hAnsi="Times New Roman" w:cs="Times New Roman"/>
                <w:b/>
                <w:bCs/>
                <w:color w:val="000000" w:themeColor="text1"/>
                <w:sz w:val="20"/>
                <w:szCs w:val="20"/>
                <w:lang w:val="en-GB"/>
              </w:rPr>
            </w:pPr>
            <w:r>
              <w:rPr>
                <w:rFonts w:ascii="Times New Roman" w:eastAsia="Times New Roman" w:hAnsi="Times New Roman" w:cs="Times New Roman"/>
                <w:b/>
                <w:bCs/>
                <w:color w:val="000000" w:themeColor="text1"/>
                <w:sz w:val="20"/>
                <w:szCs w:val="20"/>
                <w:lang w:val="en-GB"/>
              </w:rPr>
              <w:t xml:space="preserve">ZBATIMI DHE </w:t>
            </w:r>
            <w:r w:rsidR="00734862" w:rsidRPr="00A9548E">
              <w:rPr>
                <w:rFonts w:ascii="Times New Roman" w:eastAsia="Times New Roman" w:hAnsi="Times New Roman" w:cs="Times New Roman"/>
                <w:b/>
                <w:bCs/>
                <w:color w:val="000000" w:themeColor="text1"/>
                <w:sz w:val="20"/>
                <w:szCs w:val="20"/>
                <w:lang w:val="en-GB"/>
              </w:rPr>
              <w:t>KAPACITETI</w:t>
            </w:r>
          </w:p>
        </w:tc>
        <w:tc>
          <w:tcPr>
            <w:tcW w:w="3853" w:type="dxa"/>
            <w:gridSpan w:val="3"/>
            <w:shd w:val="clear" w:color="auto" w:fill="BDD6EE" w:themeFill="accent1" w:themeFillTint="66"/>
          </w:tcPr>
          <w:p w:rsidR="002116F9" w:rsidRDefault="002116F9" w:rsidP="00734862">
            <w:pPr>
              <w:jc w:val="both"/>
              <w:textAlignment w:val="baseline"/>
              <w:rPr>
                <w:rFonts w:ascii="Times New Roman" w:eastAsia="Times New Roman" w:hAnsi="Times New Roman" w:cs="Times New Roman"/>
                <w:b/>
                <w:bCs/>
                <w:color w:val="000000" w:themeColor="text1"/>
                <w:sz w:val="20"/>
                <w:szCs w:val="20"/>
                <w:lang w:val="en-GB"/>
              </w:rPr>
            </w:pPr>
          </w:p>
          <w:p w:rsidR="00734862" w:rsidRPr="00A9548E" w:rsidRDefault="00734862" w:rsidP="00734862">
            <w:pPr>
              <w:jc w:val="both"/>
              <w:textAlignment w:val="baseline"/>
              <w:rPr>
                <w:rFonts w:ascii="Times New Roman" w:eastAsia="Times New Roman" w:hAnsi="Times New Roman" w:cs="Times New Roman"/>
                <w:b/>
                <w:bCs/>
                <w:color w:val="000000" w:themeColor="text1"/>
                <w:sz w:val="20"/>
                <w:szCs w:val="20"/>
                <w:lang w:val="en-GB"/>
              </w:rPr>
            </w:pPr>
            <w:r w:rsidRPr="00A9548E">
              <w:rPr>
                <w:rFonts w:ascii="Times New Roman" w:eastAsia="Times New Roman" w:hAnsi="Times New Roman" w:cs="Times New Roman"/>
                <w:b/>
                <w:bCs/>
                <w:color w:val="000000" w:themeColor="text1"/>
                <w:sz w:val="20"/>
                <w:szCs w:val="20"/>
                <w:lang w:val="en-GB"/>
              </w:rPr>
              <w:t>PERFORMANCA</w:t>
            </w:r>
          </w:p>
        </w:tc>
      </w:tr>
      <w:tr w:rsidR="00734862" w:rsidRPr="00A9548E" w:rsidTr="00936177">
        <w:trPr>
          <w:gridAfter w:val="1"/>
          <w:wAfter w:w="374" w:type="dxa"/>
          <w:trHeight w:val="51"/>
        </w:trPr>
        <w:tc>
          <w:tcPr>
            <w:tcW w:w="14225" w:type="dxa"/>
            <w:gridSpan w:val="9"/>
            <w:shd w:val="clear" w:color="auto" w:fill="BDD6EE" w:themeFill="accent1" w:themeFillTint="66"/>
          </w:tcPr>
          <w:p w:rsidR="00734862" w:rsidRPr="003D2798" w:rsidRDefault="003D2798" w:rsidP="003D2798">
            <w:pPr>
              <w:pStyle w:val="ListParagraph"/>
              <w:ind w:left="1080"/>
              <w:jc w:val="both"/>
              <w:textAlignment w:val="baseline"/>
              <w:rPr>
                <w:rFonts w:ascii="Times New Roman" w:eastAsia="Times New Roman" w:hAnsi="Times New Roman" w:cs="Times New Roman"/>
                <w:b/>
                <w:color w:val="000000" w:themeColor="text1"/>
                <w:sz w:val="20"/>
                <w:szCs w:val="20"/>
                <w:lang w:val="en-GB"/>
              </w:rPr>
            </w:pPr>
            <w:r>
              <w:rPr>
                <w:rFonts w:ascii="Times New Roman" w:eastAsia="Times New Roman" w:hAnsi="Times New Roman" w:cs="Times New Roman"/>
                <w:b/>
                <w:color w:val="000000" w:themeColor="text1"/>
                <w:sz w:val="20"/>
                <w:szCs w:val="20"/>
                <w:lang w:val="en-GB"/>
              </w:rPr>
              <w:t>1. PROCESI ZGJEDHOR</w:t>
            </w:r>
          </w:p>
        </w:tc>
      </w:tr>
      <w:tr w:rsidR="003D2798" w:rsidRPr="00FB20A9" w:rsidTr="00936177">
        <w:trPr>
          <w:gridAfter w:val="1"/>
          <w:wAfter w:w="374" w:type="dxa"/>
          <w:trHeight w:val="51"/>
        </w:trPr>
        <w:tc>
          <w:tcPr>
            <w:tcW w:w="2920" w:type="dxa"/>
            <w:gridSpan w:val="3"/>
            <w:shd w:val="clear" w:color="auto" w:fill="auto"/>
          </w:tcPr>
          <w:p w:rsidR="003D2798" w:rsidRPr="00FB20A9" w:rsidRDefault="003D2798" w:rsidP="003D2798">
            <w:pPr>
              <w:pStyle w:val="ListParagraph"/>
              <w:numPr>
                <w:ilvl w:val="1"/>
                <w:numId w:val="28"/>
              </w:numPr>
              <w:jc w:val="both"/>
              <w:textAlignment w:val="baseline"/>
              <w:rPr>
                <w:rFonts w:ascii="Times New Roman" w:eastAsia="Times New Roman" w:hAnsi="Times New Roman" w:cs="Times New Roman"/>
                <w:b/>
                <w:bCs/>
                <w:color w:val="000000" w:themeColor="text1"/>
                <w:sz w:val="20"/>
                <w:szCs w:val="20"/>
                <w:lang w:val="it-IT"/>
              </w:rPr>
            </w:pPr>
            <w:r w:rsidRPr="00FB20A9">
              <w:rPr>
                <w:rFonts w:ascii="Times New Roman" w:eastAsia="Times New Roman" w:hAnsi="Times New Roman" w:cs="Times New Roman"/>
                <w:b/>
                <w:bCs/>
                <w:color w:val="000000" w:themeColor="text1"/>
                <w:sz w:val="20"/>
                <w:szCs w:val="20"/>
                <w:lang w:val="it-IT"/>
              </w:rPr>
              <w:t>Zgjedhjet e lira dhe të ndershme</w:t>
            </w:r>
          </w:p>
          <w:p w:rsidR="003D2798" w:rsidRPr="00FB20A9" w:rsidRDefault="003D2798" w:rsidP="003D2798">
            <w:pPr>
              <w:pStyle w:val="ListParagraph"/>
              <w:ind w:left="420"/>
              <w:jc w:val="both"/>
              <w:textAlignment w:val="baseline"/>
              <w:rPr>
                <w:rFonts w:ascii="Times New Roman" w:eastAsia="Times New Roman" w:hAnsi="Times New Roman" w:cs="Times New Roman"/>
                <w:bCs/>
                <w:color w:val="000000" w:themeColor="text1"/>
                <w:sz w:val="20"/>
                <w:szCs w:val="20"/>
                <w:lang w:val="it-IT"/>
              </w:rPr>
            </w:pPr>
          </w:p>
          <w:p w:rsidR="003D2798" w:rsidRPr="00FB20A9" w:rsidRDefault="003D2798" w:rsidP="003D2798">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Zhvillimi i përgjithshëm i zgjedhjeve</w:t>
            </w:r>
          </w:p>
        </w:tc>
        <w:tc>
          <w:tcPr>
            <w:tcW w:w="3249" w:type="dxa"/>
            <w:gridSpan w:val="2"/>
            <w:shd w:val="clear" w:color="auto" w:fill="auto"/>
          </w:tcPr>
          <w:p w:rsidR="003D2798" w:rsidRPr="00FB20A9" w:rsidRDefault="003D2798" w:rsidP="00734862">
            <w:pPr>
              <w:jc w:val="both"/>
              <w:textAlignment w:val="baseline"/>
              <w:rPr>
                <w:rFonts w:ascii="Times New Roman" w:eastAsia="Times New Roman" w:hAnsi="Times New Roman" w:cs="Times New Roman"/>
                <w:bCs/>
                <w:color w:val="000000" w:themeColor="text1"/>
                <w:sz w:val="20"/>
                <w:szCs w:val="20"/>
                <w:lang w:val="it-IT"/>
              </w:rPr>
            </w:pPr>
          </w:p>
          <w:p w:rsidR="003D2798" w:rsidRPr="00FB20A9" w:rsidRDefault="003D2798" w:rsidP="00734862">
            <w:pPr>
              <w:jc w:val="both"/>
              <w:textAlignment w:val="baseline"/>
              <w:rPr>
                <w:rFonts w:ascii="Times New Roman" w:eastAsia="Times New Roman" w:hAnsi="Times New Roman" w:cs="Times New Roman"/>
                <w:bCs/>
                <w:color w:val="000000" w:themeColor="text1"/>
                <w:sz w:val="20"/>
                <w:szCs w:val="20"/>
                <w:lang w:val="it-IT"/>
              </w:rPr>
            </w:pPr>
          </w:p>
          <w:p w:rsidR="003D2798" w:rsidRPr="00FB20A9" w:rsidRDefault="003D2798" w:rsidP="00734862">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 xml:space="preserve">Miratimi i një kornize ligjore </w:t>
            </w:r>
            <w:r w:rsidR="00426730" w:rsidRPr="00FB20A9">
              <w:rPr>
                <w:rFonts w:ascii="Times New Roman" w:eastAsia="Times New Roman" w:hAnsi="Times New Roman" w:cs="Times New Roman"/>
                <w:bCs/>
                <w:color w:val="000000" w:themeColor="text1"/>
                <w:sz w:val="20"/>
                <w:szCs w:val="20"/>
                <w:lang w:val="it-IT"/>
              </w:rPr>
              <w:t>që adreson rekomandimet e pazbatuara te OSBE-së përmes një procesi konsultimi të hapur dhe gjithëpërfshirës,  brenda vitit 2024 duke adresuar:</w:t>
            </w:r>
          </w:p>
          <w:p w:rsidR="00426730" w:rsidRPr="00FB20A9" w:rsidRDefault="00426730" w:rsidP="00426730">
            <w:pPr>
              <w:pStyle w:val="ListParagraph"/>
              <w:numPr>
                <w:ilvl w:val="0"/>
                <w:numId w:val="29"/>
              </w:num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 xml:space="preserve"> Zbatimin e parimit të mundësive të barabarta dhe trajtimit të barabartë para ligjit dhe profesionalizmit të administratës zgjedhore. Sigurimi i depolitizimit të komisioneve zgjedhore të niveleve më të ulëta;</w:t>
            </w:r>
          </w:p>
          <w:p w:rsidR="00426730" w:rsidRPr="00FB20A9" w:rsidRDefault="00426730" w:rsidP="00426730">
            <w:pPr>
              <w:jc w:val="both"/>
              <w:textAlignment w:val="baseline"/>
              <w:rPr>
                <w:rFonts w:ascii="Times New Roman" w:eastAsia="Times New Roman" w:hAnsi="Times New Roman" w:cs="Times New Roman"/>
                <w:bCs/>
                <w:color w:val="000000" w:themeColor="text1"/>
                <w:sz w:val="20"/>
                <w:szCs w:val="20"/>
                <w:lang w:val="it-IT"/>
              </w:rPr>
            </w:pPr>
          </w:p>
          <w:p w:rsidR="00426730" w:rsidRPr="00FB20A9" w:rsidRDefault="00426730" w:rsidP="00426730">
            <w:pPr>
              <w:pStyle w:val="ListParagraph"/>
              <w:numPr>
                <w:ilvl w:val="0"/>
                <w:numId w:val="29"/>
              </w:num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Votimi i shtetasve shqiptarë me vendbanim të përhershëm jashtë territorit;</w:t>
            </w:r>
          </w:p>
          <w:p w:rsidR="00426730" w:rsidRPr="00FB20A9" w:rsidRDefault="00426730" w:rsidP="00426730">
            <w:pPr>
              <w:pStyle w:val="ListParagraph"/>
              <w:rPr>
                <w:rFonts w:ascii="Times New Roman" w:eastAsia="Times New Roman" w:hAnsi="Times New Roman" w:cs="Times New Roman"/>
                <w:bCs/>
                <w:color w:val="000000" w:themeColor="text1"/>
                <w:sz w:val="20"/>
                <w:szCs w:val="20"/>
                <w:lang w:val="it-IT"/>
              </w:rPr>
            </w:pPr>
          </w:p>
          <w:p w:rsidR="00426730" w:rsidRPr="00FB20A9" w:rsidRDefault="00426730" w:rsidP="00426730">
            <w:pPr>
              <w:pStyle w:val="ListParagraph"/>
              <w:numPr>
                <w:ilvl w:val="0"/>
                <w:numId w:val="29"/>
              </w:num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Akuzat për blerje të votave dhe keqpërdorimin e administratës qëndrore  dhe vendore deri në fund të vitit 2024.</w:t>
            </w:r>
          </w:p>
          <w:p w:rsidR="00426730" w:rsidRPr="00FB20A9" w:rsidRDefault="00426730" w:rsidP="00426730">
            <w:pPr>
              <w:jc w:val="both"/>
              <w:textAlignment w:val="baseline"/>
              <w:rPr>
                <w:rFonts w:ascii="Times New Roman" w:eastAsia="Times New Roman" w:hAnsi="Times New Roman" w:cs="Times New Roman"/>
                <w:bCs/>
                <w:color w:val="000000" w:themeColor="text1"/>
                <w:sz w:val="20"/>
                <w:szCs w:val="20"/>
                <w:lang w:val="it-IT"/>
              </w:rPr>
            </w:pPr>
          </w:p>
          <w:p w:rsidR="00426730" w:rsidRPr="00FB20A9" w:rsidRDefault="00426730" w:rsidP="00426730">
            <w:pPr>
              <w:jc w:val="both"/>
              <w:textAlignment w:val="baseline"/>
              <w:rPr>
                <w:rFonts w:ascii="Times New Roman" w:eastAsia="Times New Roman" w:hAnsi="Times New Roman" w:cs="Times New Roman"/>
                <w:bCs/>
                <w:color w:val="000000" w:themeColor="text1"/>
                <w:sz w:val="20"/>
                <w:szCs w:val="20"/>
                <w:lang w:val="it-IT"/>
              </w:rPr>
            </w:pPr>
          </w:p>
          <w:p w:rsidR="00426730" w:rsidRPr="00FB20A9" w:rsidRDefault="00426730" w:rsidP="00426730">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Aktet nënligjore detyruese në përputhje me legjislacionin parësor do të miratohen në kohën e duhur brenda vitit 2025.</w:t>
            </w:r>
          </w:p>
        </w:tc>
        <w:tc>
          <w:tcPr>
            <w:tcW w:w="4215" w:type="dxa"/>
            <w:gridSpan w:val="2"/>
            <w:shd w:val="clear" w:color="auto" w:fill="auto"/>
          </w:tcPr>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Rritje</w:t>
            </w:r>
            <w:r w:rsidRPr="00FB20A9">
              <w:rPr>
                <w:rFonts w:ascii="Times New Roman" w:eastAsia="Times New Roman" w:hAnsi="Times New Roman" w:cs="Times New Roman"/>
                <w:bCs/>
                <w:color w:val="000000" w:themeColor="text1"/>
                <w:sz w:val="20"/>
                <w:szCs w:val="20"/>
                <w:lang w:val="it-IT"/>
              </w:rPr>
              <w:t xml:space="preserve"> e kapaciteteve dhe burimeve të KQZ-së për të përballuar nevojat për të siguruar mbarëvajtjen e duhur të zgjedhjeve në përputhje me legjislacionin e miratuar brenda vitit 2024, duke përfshirë, ndër të tjera, monitorimin e përdorimit përpara zgjedhjeve. të burimeve shtetërore</w:t>
            </w:r>
            <w:r>
              <w:rPr>
                <w:rFonts w:ascii="Times New Roman" w:eastAsia="Times New Roman" w:hAnsi="Times New Roman" w:cs="Times New Roman"/>
                <w:bCs/>
                <w:color w:val="000000" w:themeColor="text1"/>
                <w:sz w:val="20"/>
                <w:szCs w:val="20"/>
                <w:lang w:val="it-IT"/>
              </w:rPr>
              <w:t>.</w:t>
            </w: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Dixhitaliz</w:t>
            </w:r>
            <w:r w:rsidR="00142F44">
              <w:rPr>
                <w:rFonts w:ascii="Times New Roman" w:eastAsia="Times New Roman" w:hAnsi="Times New Roman" w:cs="Times New Roman"/>
                <w:bCs/>
                <w:color w:val="000000" w:themeColor="text1"/>
                <w:sz w:val="20"/>
                <w:szCs w:val="20"/>
                <w:lang w:val="it-IT"/>
              </w:rPr>
              <w:t>imi i proceseve të administratës</w:t>
            </w:r>
            <w:r w:rsidRPr="00FB20A9">
              <w:rPr>
                <w:rFonts w:ascii="Times New Roman" w:eastAsia="Times New Roman" w:hAnsi="Times New Roman" w:cs="Times New Roman"/>
                <w:bCs/>
                <w:color w:val="000000" w:themeColor="text1"/>
                <w:sz w:val="20"/>
                <w:szCs w:val="20"/>
                <w:lang w:val="it-IT"/>
              </w:rPr>
              <w:t xml:space="preserve"> zgjedhor</w:t>
            </w:r>
            <w:r w:rsidR="00142F44">
              <w:rPr>
                <w:rFonts w:ascii="Times New Roman" w:eastAsia="Times New Roman" w:hAnsi="Times New Roman" w:cs="Times New Roman"/>
                <w:bCs/>
                <w:color w:val="000000" w:themeColor="text1"/>
                <w:sz w:val="20"/>
                <w:szCs w:val="20"/>
                <w:lang w:val="it-IT"/>
              </w:rPr>
              <w:t>e</w:t>
            </w:r>
            <w:r w:rsidRPr="00FB20A9">
              <w:rPr>
                <w:rFonts w:ascii="Times New Roman" w:eastAsia="Times New Roman" w:hAnsi="Times New Roman" w:cs="Times New Roman"/>
                <w:bCs/>
                <w:color w:val="000000" w:themeColor="text1"/>
                <w:sz w:val="20"/>
                <w:szCs w:val="20"/>
                <w:lang w:val="it-IT"/>
              </w:rPr>
              <w:t xml:space="preserve"> dhe mundësimi i votimit elektronik në një shkallë më të </w:t>
            </w:r>
            <w:r w:rsidR="00142F44">
              <w:rPr>
                <w:rFonts w:ascii="Times New Roman" w:eastAsia="Times New Roman" w:hAnsi="Times New Roman" w:cs="Times New Roman"/>
                <w:bCs/>
                <w:color w:val="000000" w:themeColor="text1"/>
                <w:sz w:val="20"/>
                <w:szCs w:val="20"/>
                <w:lang w:val="it-IT"/>
              </w:rPr>
              <w:t>gjerë</w:t>
            </w:r>
            <w:r w:rsidRPr="00FB20A9">
              <w:rPr>
                <w:rFonts w:ascii="Times New Roman" w:eastAsia="Times New Roman" w:hAnsi="Times New Roman" w:cs="Times New Roman"/>
                <w:bCs/>
                <w:color w:val="000000" w:themeColor="text1"/>
                <w:sz w:val="20"/>
                <w:szCs w:val="20"/>
                <w:lang w:val="it-IT"/>
              </w:rPr>
              <w:t xml:space="preserve"> për të siguruar transparencë dhe kontroll më të madh publik mbi zgjedhjet brenda vitit 2025.</w:t>
            </w: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Zbatimi në kohë i programeve të edukimit të zgjedhësve të përshtatura për kategori të ndryshme votuesish, duke përfshirë programe të edukimit personal të votuesve për romët, egjiptianët, pakicat e tjera kombëtare dhe personat me aftësi të kufizuara gjatë çdo cikli zgjedhor duke filluar nga viti 2025.</w:t>
            </w: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 xml:space="preserve">Autoritetet vendore sigurojnë që të gjithë votuesit të informohen në kohën </w:t>
            </w:r>
            <w:r w:rsidR="0058322F">
              <w:rPr>
                <w:rFonts w:ascii="Times New Roman" w:eastAsia="Times New Roman" w:hAnsi="Times New Roman" w:cs="Times New Roman"/>
                <w:bCs/>
                <w:color w:val="000000" w:themeColor="text1"/>
                <w:sz w:val="20"/>
                <w:szCs w:val="20"/>
                <w:lang w:val="it-IT"/>
              </w:rPr>
              <w:t xml:space="preserve">rreth vendit dhe kohës për shqyrtimin e </w:t>
            </w:r>
            <w:r w:rsidRPr="00FB20A9">
              <w:rPr>
                <w:rFonts w:ascii="Times New Roman" w:eastAsia="Times New Roman" w:hAnsi="Times New Roman" w:cs="Times New Roman"/>
                <w:bCs/>
                <w:color w:val="000000" w:themeColor="text1"/>
                <w:sz w:val="20"/>
                <w:szCs w:val="20"/>
                <w:lang w:val="it-IT"/>
              </w:rPr>
              <w:t>listës së zgjedhësve dhe vendndodhje</w:t>
            </w:r>
            <w:r w:rsidR="0058322F">
              <w:rPr>
                <w:rFonts w:ascii="Times New Roman" w:eastAsia="Times New Roman" w:hAnsi="Times New Roman" w:cs="Times New Roman"/>
                <w:bCs/>
                <w:color w:val="000000" w:themeColor="text1"/>
                <w:sz w:val="20"/>
                <w:szCs w:val="20"/>
                <w:lang w:val="it-IT"/>
              </w:rPr>
              <w:t>s së</w:t>
            </w:r>
            <w:r w:rsidRPr="00FB20A9">
              <w:rPr>
                <w:rFonts w:ascii="Times New Roman" w:eastAsia="Times New Roman" w:hAnsi="Times New Roman" w:cs="Times New Roman"/>
                <w:bCs/>
                <w:color w:val="000000" w:themeColor="text1"/>
                <w:sz w:val="20"/>
                <w:szCs w:val="20"/>
                <w:lang w:val="it-IT"/>
              </w:rPr>
              <w:t xml:space="preserve"> qendrave të tyre  të votimit </w:t>
            </w:r>
            <w:r w:rsidR="0058322F">
              <w:rPr>
                <w:rFonts w:ascii="Times New Roman" w:eastAsia="Times New Roman" w:hAnsi="Times New Roman" w:cs="Times New Roman"/>
                <w:bCs/>
                <w:color w:val="000000" w:themeColor="text1"/>
                <w:sz w:val="20"/>
                <w:szCs w:val="20"/>
                <w:lang w:val="it-IT"/>
              </w:rPr>
              <w:t xml:space="preserve">gjatë çdo cikli </w:t>
            </w:r>
            <w:r w:rsidRPr="00FB20A9">
              <w:rPr>
                <w:rFonts w:ascii="Times New Roman" w:eastAsia="Times New Roman" w:hAnsi="Times New Roman" w:cs="Times New Roman"/>
                <w:bCs/>
                <w:color w:val="000000" w:themeColor="text1"/>
                <w:sz w:val="20"/>
                <w:szCs w:val="20"/>
                <w:lang w:val="it-IT"/>
              </w:rPr>
              <w:t>zgjedhor duke filluar nga viti 2025.</w:t>
            </w: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p>
          <w:p w:rsidR="00FB20A9"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Masat administrative parandaluese janë marrë për të siguruar të dhënat personale të qytetarëve të siguruara në mënyrë të plotë si nga administrata zgjedhore ashtu edhe nga partitë politike në çdo cikël zgjedhor duke filluar nga zgjedhjet e vitit 2025.</w:t>
            </w:r>
          </w:p>
          <w:p w:rsidR="003D2798" w:rsidRPr="00FB20A9" w:rsidRDefault="00FB20A9" w:rsidP="00FB20A9">
            <w:pPr>
              <w:jc w:val="both"/>
              <w:textAlignment w:val="baseline"/>
              <w:rPr>
                <w:rFonts w:ascii="Times New Roman" w:eastAsia="Times New Roman" w:hAnsi="Times New Roman" w:cs="Times New Roman"/>
                <w:bCs/>
                <w:color w:val="000000" w:themeColor="text1"/>
                <w:sz w:val="20"/>
                <w:szCs w:val="20"/>
                <w:lang w:val="it-IT"/>
              </w:rPr>
            </w:pPr>
            <w:r w:rsidRPr="00FB20A9">
              <w:rPr>
                <w:rFonts w:ascii="Times New Roman" w:eastAsia="Times New Roman" w:hAnsi="Times New Roman" w:cs="Times New Roman"/>
                <w:bCs/>
                <w:color w:val="000000" w:themeColor="text1"/>
                <w:sz w:val="20"/>
                <w:szCs w:val="20"/>
                <w:lang w:val="it-IT"/>
              </w:rPr>
              <w:t>​</w:t>
            </w:r>
          </w:p>
        </w:tc>
        <w:tc>
          <w:tcPr>
            <w:tcW w:w="3841" w:type="dxa"/>
            <w:gridSpan w:val="2"/>
            <w:shd w:val="clear" w:color="auto" w:fill="auto"/>
          </w:tcPr>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r w:rsidRPr="008B52BC">
              <w:rPr>
                <w:rFonts w:ascii="Times New Roman" w:eastAsia="Times New Roman" w:hAnsi="Times New Roman" w:cs="Times New Roman"/>
                <w:bCs/>
                <w:color w:val="000000" w:themeColor="text1"/>
                <w:sz w:val="20"/>
                <w:szCs w:val="20"/>
                <w:lang w:val="it-IT"/>
              </w:rPr>
              <w:t>Adresimi i rekomandimeve të paz</w:t>
            </w:r>
            <w:r>
              <w:rPr>
                <w:rFonts w:ascii="Times New Roman" w:eastAsia="Times New Roman" w:hAnsi="Times New Roman" w:cs="Times New Roman"/>
                <w:bCs/>
                <w:color w:val="000000" w:themeColor="text1"/>
                <w:sz w:val="20"/>
                <w:szCs w:val="20"/>
                <w:lang w:val="it-IT"/>
              </w:rPr>
              <w:t xml:space="preserve">batuara </w:t>
            </w:r>
            <w:r w:rsidRPr="008B52BC">
              <w:rPr>
                <w:rFonts w:ascii="Times New Roman" w:eastAsia="Times New Roman" w:hAnsi="Times New Roman" w:cs="Times New Roman"/>
                <w:bCs/>
                <w:color w:val="000000" w:themeColor="text1"/>
                <w:sz w:val="20"/>
                <w:szCs w:val="20"/>
                <w:lang w:val="it-IT"/>
              </w:rPr>
              <w:t>të raporteve të OSBE/ODIHR për zgjedhjet e 25 prillit 2021 dhe zgjedhjet e tjera, rekomandimet e Komisionit të Venecias dhe zbatimin e Vendimit të Gjykatës Kushtetuese. nr.38, datë 09.12.2022.</w:t>
            </w:r>
          </w:p>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p>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r w:rsidRPr="008B52BC">
              <w:rPr>
                <w:rFonts w:ascii="Times New Roman" w:eastAsia="Times New Roman" w:hAnsi="Times New Roman" w:cs="Times New Roman"/>
                <w:bCs/>
                <w:color w:val="000000" w:themeColor="text1"/>
                <w:sz w:val="20"/>
                <w:szCs w:val="20"/>
                <w:lang w:val="it-IT"/>
              </w:rPr>
              <w:t>Progres i mëtejshëm në zbatimin efektiv në praktikë të së drejtës së votës nëpërmjet zbatimit të legjislacionit të rishikuar të garantuar deri në vitin 2025.</w:t>
            </w:r>
          </w:p>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p>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r w:rsidRPr="008B52BC">
              <w:rPr>
                <w:rFonts w:ascii="Times New Roman" w:eastAsia="Times New Roman" w:hAnsi="Times New Roman" w:cs="Times New Roman"/>
                <w:bCs/>
                <w:color w:val="000000" w:themeColor="text1"/>
                <w:sz w:val="20"/>
                <w:szCs w:val="20"/>
                <w:lang w:val="it-IT"/>
              </w:rPr>
              <w:t>Transparenca përmes dixhitalizimit dhe</w:t>
            </w:r>
            <w:r w:rsidR="0022223B">
              <w:rPr>
                <w:rFonts w:ascii="Times New Roman" w:eastAsia="Times New Roman" w:hAnsi="Times New Roman" w:cs="Times New Roman"/>
                <w:bCs/>
                <w:color w:val="000000" w:themeColor="text1"/>
                <w:sz w:val="20"/>
                <w:szCs w:val="20"/>
                <w:lang w:val="it-IT"/>
              </w:rPr>
              <w:t xml:space="preserve"> procedurave të përmirësuara, avancon</w:t>
            </w:r>
            <w:r w:rsidRPr="008B52BC">
              <w:rPr>
                <w:rFonts w:ascii="Times New Roman" w:eastAsia="Times New Roman" w:hAnsi="Times New Roman" w:cs="Times New Roman"/>
                <w:bCs/>
                <w:color w:val="000000" w:themeColor="text1"/>
                <w:sz w:val="20"/>
                <w:szCs w:val="20"/>
                <w:lang w:val="it-IT"/>
              </w:rPr>
              <w:t xml:space="preserve"> brenda vitit 2025.</w:t>
            </w:r>
          </w:p>
          <w:p w:rsidR="008B52BC" w:rsidRPr="008B52BC" w:rsidRDefault="008B52BC" w:rsidP="008B52BC">
            <w:pPr>
              <w:jc w:val="both"/>
              <w:textAlignment w:val="baseline"/>
              <w:rPr>
                <w:rFonts w:ascii="Times New Roman" w:eastAsia="Times New Roman" w:hAnsi="Times New Roman" w:cs="Times New Roman"/>
                <w:bCs/>
                <w:color w:val="000000" w:themeColor="text1"/>
                <w:sz w:val="20"/>
                <w:szCs w:val="20"/>
                <w:lang w:val="it-IT"/>
              </w:rPr>
            </w:pPr>
          </w:p>
          <w:p w:rsidR="003D2798" w:rsidRPr="00FB20A9" w:rsidRDefault="008B52BC" w:rsidP="0022223B">
            <w:pPr>
              <w:jc w:val="both"/>
              <w:textAlignment w:val="baseline"/>
              <w:rPr>
                <w:rFonts w:ascii="Times New Roman" w:eastAsia="Times New Roman" w:hAnsi="Times New Roman" w:cs="Times New Roman"/>
                <w:bCs/>
                <w:color w:val="000000" w:themeColor="text1"/>
                <w:sz w:val="20"/>
                <w:szCs w:val="20"/>
                <w:lang w:val="it-IT"/>
              </w:rPr>
            </w:pPr>
            <w:r w:rsidRPr="008B52BC">
              <w:rPr>
                <w:rFonts w:ascii="Times New Roman" w:eastAsia="Times New Roman" w:hAnsi="Times New Roman" w:cs="Times New Roman"/>
                <w:bCs/>
                <w:color w:val="000000" w:themeColor="text1"/>
                <w:sz w:val="20"/>
                <w:szCs w:val="20"/>
                <w:lang w:val="it-IT"/>
              </w:rPr>
              <w:t xml:space="preserve">Trajtimi i barabartë para ligjit dhe mundësitë e barabarta në procesin zgjedhor, </w:t>
            </w:r>
            <w:r w:rsidR="0022223B">
              <w:rPr>
                <w:rFonts w:ascii="Times New Roman" w:eastAsia="Times New Roman" w:hAnsi="Times New Roman" w:cs="Times New Roman"/>
                <w:bCs/>
                <w:color w:val="000000" w:themeColor="text1"/>
                <w:sz w:val="20"/>
                <w:szCs w:val="20"/>
                <w:lang w:val="it-IT"/>
              </w:rPr>
              <w:t>përmes mundësimit të g</w:t>
            </w:r>
            <w:r w:rsidRPr="008B52BC">
              <w:rPr>
                <w:rFonts w:ascii="Times New Roman" w:eastAsia="Times New Roman" w:hAnsi="Times New Roman" w:cs="Times New Roman"/>
                <w:bCs/>
                <w:color w:val="000000" w:themeColor="text1"/>
                <w:sz w:val="20"/>
                <w:szCs w:val="20"/>
                <w:lang w:val="it-IT"/>
              </w:rPr>
              <w:t xml:space="preserve">rupeve vulnerabël për </w:t>
            </w:r>
            <w:r w:rsidR="0022223B">
              <w:rPr>
                <w:rFonts w:ascii="Times New Roman" w:eastAsia="Times New Roman" w:hAnsi="Times New Roman" w:cs="Times New Roman"/>
                <w:bCs/>
                <w:color w:val="000000" w:themeColor="text1"/>
                <w:sz w:val="20"/>
                <w:szCs w:val="20"/>
                <w:lang w:val="it-IT"/>
              </w:rPr>
              <w:t xml:space="preserve">të qenë të </w:t>
            </w:r>
            <w:r w:rsidRPr="008B52BC">
              <w:rPr>
                <w:rFonts w:ascii="Times New Roman" w:eastAsia="Times New Roman" w:hAnsi="Times New Roman" w:cs="Times New Roman"/>
                <w:bCs/>
                <w:color w:val="000000" w:themeColor="text1"/>
                <w:sz w:val="20"/>
                <w:szCs w:val="20"/>
                <w:lang w:val="it-IT"/>
              </w:rPr>
              <w:t xml:space="preserve"> informuar mbi procesin </w:t>
            </w:r>
            <w:r w:rsidR="0022223B">
              <w:rPr>
                <w:rFonts w:ascii="Times New Roman" w:eastAsia="Times New Roman" w:hAnsi="Times New Roman" w:cs="Times New Roman"/>
                <w:bCs/>
                <w:color w:val="000000" w:themeColor="text1"/>
                <w:sz w:val="20"/>
                <w:szCs w:val="20"/>
                <w:lang w:val="it-IT"/>
              </w:rPr>
              <w:t xml:space="preserve">sigurohet </w:t>
            </w:r>
            <w:r w:rsidRPr="008B52BC">
              <w:rPr>
                <w:rFonts w:ascii="Times New Roman" w:eastAsia="Times New Roman" w:hAnsi="Times New Roman" w:cs="Times New Roman"/>
                <w:bCs/>
                <w:color w:val="000000" w:themeColor="text1"/>
                <w:sz w:val="20"/>
                <w:szCs w:val="20"/>
                <w:lang w:val="it-IT"/>
              </w:rPr>
              <w:t xml:space="preserve"> gjithnjë e më shumë brenda vitit 2025.</w:t>
            </w:r>
          </w:p>
        </w:tc>
      </w:tr>
      <w:tr w:rsidR="00702DF5" w:rsidRPr="00FB20A9" w:rsidTr="00936177">
        <w:trPr>
          <w:gridAfter w:val="1"/>
          <w:wAfter w:w="374" w:type="dxa"/>
          <w:trHeight w:val="51"/>
        </w:trPr>
        <w:tc>
          <w:tcPr>
            <w:tcW w:w="2920" w:type="dxa"/>
            <w:gridSpan w:val="3"/>
            <w:shd w:val="clear" w:color="auto" w:fill="auto"/>
          </w:tcPr>
          <w:p w:rsidR="00702DF5" w:rsidRPr="00702DF5" w:rsidRDefault="00702DF5" w:rsidP="00702DF5">
            <w:pPr>
              <w:pStyle w:val="ListParagraph"/>
              <w:numPr>
                <w:ilvl w:val="1"/>
                <w:numId w:val="28"/>
              </w:numPr>
              <w:jc w:val="both"/>
              <w:textAlignment w:val="baseline"/>
              <w:rPr>
                <w:rFonts w:ascii="Times New Roman" w:eastAsia="Times New Roman" w:hAnsi="Times New Roman" w:cs="Times New Roman"/>
                <w:b/>
                <w:bCs/>
                <w:color w:val="000000" w:themeColor="text1"/>
                <w:sz w:val="20"/>
                <w:szCs w:val="20"/>
                <w:lang w:val="it-IT"/>
              </w:rPr>
            </w:pPr>
            <w:r w:rsidRPr="00702DF5">
              <w:rPr>
                <w:rFonts w:ascii="Times New Roman" w:eastAsia="Times New Roman" w:hAnsi="Times New Roman" w:cs="Times New Roman"/>
                <w:b/>
                <w:bCs/>
                <w:color w:val="000000" w:themeColor="text1"/>
                <w:sz w:val="20"/>
                <w:szCs w:val="20"/>
                <w:lang w:val="it-IT"/>
              </w:rPr>
              <w:t xml:space="preserve">Media në fushatën </w:t>
            </w:r>
            <w:r w:rsidRPr="00702DF5">
              <w:rPr>
                <w:rFonts w:ascii="Times New Roman" w:eastAsia="Times New Roman" w:hAnsi="Times New Roman" w:cs="Times New Roman"/>
                <w:b/>
                <w:bCs/>
                <w:color w:val="000000" w:themeColor="text1"/>
                <w:sz w:val="20"/>
                <w:szCs w:val="20"/>
                <w:lang w:val="it-IT"/>
              </w:rPr>
              <w:lastRenderedPageBreak/>
              <w:t>zgjedhore</w:t>
            </w:r>
          </w:p>
          <w:p w:rsidR="00702DF5" w:rsidRPr="00702DF5" w:rsidRDefault="00702DF5" w:rsidP="00702DF5">
            <w:pPr>
              <w:jc w:val="both"/>
              <w:textAlignment w:val="baseline"/>
              <w:rPr>
                <w:rFonts w:ascii="Times New Roman" w:eastAsia="Times New Roman" w:hAnsi="Times New Roman" w:cs="Times New Roman"/>
                <w:bCs/>
                <w:color w:val="000000" w:themeColor="text1"/>
                <w:sz w:val="20"/>
                <w:szCs w:val="20"/>
                <w:lang w:val="it-IT"/>
              </w:rPr>
            </w:pPr>
            <w:r w:rsidRPr="00702DF5">
              <w:rPr>
                <w:rFonts w:ascii="Times New Roman" w:eastAsia="Times New Roman" w:hAnsi="Times New Roman" w:cs="Times New Roman"/>
                <w:b/>
                <w:bCs/>
                <w:color w:val="000000" w:themeColor="text1"/>
                <w:sz w:val="20"/>
                <w:szCs w:val="20"/>
                <w:lang w:val="it-IT"/>
              </w:rPr>
              <w:t>(</w:t>
            </w:r>
            <w:r w:rsidRPr="00702DF5">
              <w:rPr>
                <w:rFonts w:ascii="Times New Roman" w:eastAsia="Times New Roman" w:hAnsi="Times New Roman" w:cs="Times New Roman"/>
                <w:bCs/>
                <w:color w:val="000000" w:themeColor="text1"/>
                <w:sz w:val="20"/>
                <w:szCs w:val="20"/>
                <w:lang w:val="it-IT"/>
              </w:rPr>
              <w:t>çështje të tjera që lidhen me lirinë e medias në përgjithësi të trajtuara në Udhërrëfyesin për Sundimin e Ligjit)</w:t>
            </w:r>
          </w:p>
          <w:p w:rsidR="00702DF5" w:rsidRPr="00702DF5" w:rsidRDefault="00702DF5" w:rsidP="00702DF5">
            <w:pPr>
              <w:jc w:val="both"/>
              <w:textAlignment w:val="baseline"/>
              <w:rPr>
                <w:rFonts w:ascii="Times New Roman" w:eastAsia="Times New Roman" w:hAnsi="Times New Roman" w:cs="Times New Roman"/>
                <w:b/>
                <w:bCs/>
                <w:color w:val="000000" w:themeColor="text1"/>
                <w:sz w:val="20"/>
                <w:szCs w:val="20"/>
                <w:lang w:val="it-IT"/>
              </w:rPr>
            </w:pPr>
            <w:r w:rsidRPr="00702DF5">
              <w:rPr>
                <w:rFonts w:ascii="Times New Roman" w:eastAsia="Times New Roman" w:hAnsi="Times New Roman" w:cs="Times New Roman"/>
                <w:bCs/>
                <w:color w:val="000000" w:themeColor="text1"/>
                <w:sz w:val="20"/>
                <w:szCs w:val="20"/>
                <w:lang w:val="it-IT"/>
              </w:rPr>
              <w:t xml:space="preserve">Ndër të tjera, duhet të merren parasysh: rëndësia e mediave autonome dhe pluraliste, roli vendimtar i transmetuesve </w:t>
            </w:r>
            <w:r>
              <w:rPr>
                <w:rFonts w:ascii="Times New Roman" w:eastAsia="Times New Roman" w:hAnsi="Times New Roman" w:cs="Times New Roman"/>
                <w:bCs/>
                <w:color w:val="000000" w:themeColor="text1"/>
                <w:sz w:val="20"/>
                <w:szCs w:val="20"/>
                <w:lang w:val="it-IT"/>
              </w:rPr>
              <w:t xml:space="preserve">të shërbimit publik, ndarja e veprimtarive </w:t>
            </w:r>
            <w:r w:rsidRPr="00702DF5">
              <w:rPr>
                <w:rFonts w:ascii="Times New Roman" w:eastAsia="Times New Roman" w:hAnsi="Times New Roman" w:cs="Times New Roman"/>
                <w:bCs/>
                <w:color w:val="000000" w:themeColor="text1"/>
                <w:sz w:val="20"/>
                <w:szCs w:val="20"/>
                <w:lang w:val="it-IT"/>
              </w:rPr>
              <w:t xml:space="preserve"> politike nga interesat mediatike të politikanëve që </w:t>
            </w:r>
            <w:r>
              <w:rPr>
                <w:rFonts w:ascii="Times New Roman" w:eastAsia="Times New Roman" w:hAnsi="Times New Roman" w:cs="Times New Roman"/>
                <w:bCs/>
                <w:color w:val="000000" w:themeColor="text1"/>
                <w:sz w:val="20"/>
                <w:szCs w:val="20"/>
                <w:lang w:val="it-IT"/>
              </w:rPr>
              <w:t>janë pronarë të medias</w:t>
            </w:r>
            <w:r w:rsidRPr="00702DF5">
              <w:rPr>
                <w:rFonts w:ascii="Times New Roman" w:eastAsia="Times New Roman" w:hAnsi="Times New Roman" w:cs="Times New Roman"/>
                <w:bCs/>
                <w:color w:val="000000" w:themeColor="text1"/>
                <w:sz w:val="20"/>
                <w:szCs w:val="20"/>
                <w:lang w:val="it-IT"/>
              </w:rPr>
              <w:t xml:space="preserve">, mbrojtja e të drejtave </w:t>
            </w:r>
            <w:r>
              <w:rPr>
                <w:rFonts w:ascii="Times New Roman" w:eastAsia="Times New Roman" w:hAnsi="Times New Roman" w:cs="Times New Roman"/>
                <w:bCs/>
                <w:color w:val="000000" w:themeColor="text1"/>
                <w:sz w:val="20"/>
                <w:szCs w:val="20"/>
                <w:lang w:val="it-IT"/>
              </w:rPr>
              <w:t xml:space="preserve">hetimore </w:t>
            </w:r>
            <w:r w:rsidRPr="00702DF5">
              <w:rPr>
                <w:rFonts w:ascii="Times New Roman" w:eastAsia="Times New Roman" w:hAnsi="Times New Roman" w:cs="Times New Roman"/>
                <w:bCs/>
                <w:color w:val="000000" w:themeColor="text1"/>
                <w:sz w:val="20"/>
                <w:szCs w:val="20"/>
                <w:lang w:val="it-IT"/>
              </w:rPr>
              <w:t>të g</w:t>
            </w:r>
            <w:r>
              <w:rPr>
                <w:rFonts w:ascii="Times New Roman" w:eastAsia="Times New Roman" w:hAnsi="Times New Roman" w:cs="Times New Roman"/>
                <w:bCs/>
                <w:color w:val="000000" w:themeColor="text1"/>
                <w:sz w:val="20"/>
                <w:szCs w:val="20"/>
                <w:lang w:val="it-IT"/>
              </w:rPr>
              <w:t xml:space="preserve">azetarëve dhe respektimi i tyre, </w:t>
            </w:r>
            <w:r w:rsidRPr="00702DF5">
              <w:rPr>
                <w:rFonts w:ascii="Times New Roman" w:eastAsia="Times New Roman" w:hAnsi="Times New Roman" w:cs="Times New Roman"/>
                <w:bCs/>
                <w:color w:val="000000" w:themeColor="text1"/>
                <w:sz w:val="20"/>
                <w:szCs w:val="20"/>
                <w:lang w:val="it-IT"/>
              </w:rPr>
              <w:t xml:space="preserve"> pavarësia </w:t>
            </w:r>
            <w:r>
              <w:rPr>
                <w:rFonts w:ascii="Times New Roman" w:eastAsia="Times New Roman" w:hAnsi="Times New Roman" w:cs="Times New Roman"/>
                <w:bCs/>
                <w:color w:val="000000" w:themeColor="text1"/>
                <w:sz w:val="20"/>
                <w:szCs w:val="20"/>
                <w:lang w:val="it-IT"/>
              </w:rPr>
              <w:t>redaksionale</w:t>
            </w:r>
            <w:r w:rsidRPr="00702DF5">
              <w:rPr>
                <w:rFonts w:ascii="Times New Roman" w:eastAsia="Times New Roman" w:hAnsi="Times New Roman" w:cs="Times New Roman"/>
                <w:bCs/>
                <w:color w:val="000000" w:themeColor="text1"/>
                <w:sz w:val="20"/>
                <w:szCs w:val="20"/>
                <w:lang w:val="it-IT"/>
              </w:rPr>
              <w:t>, si dhe parandalimi kundër përdorimit të mundshëm të burimeve publike nga qeveritë dhe institucionet publike për të ndikuar në përmbajtjen mediatike</w:t>
            </w:r>
            <w:r w:rsidRPr="00702DF5">
              <w:rPr>
                <w:rFonts w:ascii="Times New Roman" w:eastAsia="Times New Roman" w:hAnsi="Times New Roman" w:cs="Times New Roman"/>
                <w:b/>
                <w:bCs/>
                <w:color w:val="000000" w:themeColor="text1"/>
                <w:sz w:val="20"/>
                <w:szCs w:val="20"/>
                <w:lang w:val="it-IT"/>
              </w:rPr>
              <w:t>.</w:t>
            </w:r>
          </w:p>
        </w:tc>
        <w:tc>
          <w:tcPr>
            <w:tcW w:w="3249" w:type="dxa"/>
            <w:gridSpan w:val="2"/>
            <w:shd w:val="clear" w:color="auto" w:fill="auto"/>
          </w:tcPr>
          <w:p w:rsidR="00AE0AF4" w:rsidRDefault="00AE0AF4" w:rsidP="008E7A37">
            <w:pPr>
              <w:jc w:val="both"/>
              <w:textAlignment w:val="baseline"/>
              <w:rPr>
                <w:rFonts w:ascii="Times New Roman" w:eastAsia="Times New Roman" w:hAnsi="Times New Roman" w:cs="Times New Roman"/>
                <w:bCs/>
                <w:color w:val="000000" w:themeColor="text1"/>
                <w:sz w:val="20"/>
                <w:szCs w:val="20"/>
                <w:lang w:val="it-IT"/>
              </w:rPr>
            </w:pPr>
          </w:p>
          <w:p w:rsidR="008E7A37" w:rsidRPr="00333046" w:rsidRDefault="00333046" w:rsidP="008E7A37">
            <w:pPr>
              <w:jc w:val="both"/>
              <w:textAlignment w:val="baseline"/>
              <w:rPr>
                <w:rFonts w:ascii="Times New Roman" w:eastAsia="Times New Roman" w:hAnsi="Times New Roman" w:cs="Times New Roman"/>
                <w:bCs/>
                <w:color w:val="000000" w:themeColor="text1"/>
                <w:sz w:val="20"/>
                <w:szCs w:val="20"/>
                <w:lang w:val="it-IT"/>
              </w:rPr>
            </w:pPr>
            <w:r w:rsidRPr="00333046">
              <w:rPr>
                <w:rFonts w:ascii="Times New Roman" w:eastAsia="Times New Roman" w:hAnsi="Times New Roman" w:cs="Times New Roman"/>
                <w:bCs/>
                <w:color w:val="000000" w:themeColor="text1"/>
                <w:sz w:val="20"/>
                <w:szCs w:val="20"/>
                <w:lang w:val="it-IT"/>
              </w:rPr>
              <w:lastRenderedPageBreak/>
              <w:t>Ndryshime legjore</w:t>
            </w:r>
            <w:r w:rsidR="008E7A37" w:rsidRPr="00333046">
              <w:rPr>
                <w:rFonts w:ascii="Times New Roman" w:eastAsia="Times New Roman" w:hAnsi="Times New Roman" w:cs="Times New Roman"/>
                <w:bCs/>
                <w:color w:val="000000" w:themeColor="text1"/>
                <w:sz w:val="20"/>
                <w:szCs w:val="20"/>
                <w:lang w:val="it-IT"/>
              </w:rPr>
              <w:t xml:space="preserve"> në Kodin Zgjedhor për:</w:t>
            </w:r>
          </w:p>
          <w:p w:rsidR="008E7A37" w:rsidRPr="00333046" w:rsidRDefault="008E7A37" w:rsidP="008E7A37">
            <w:pPr>
              <w:jc w:val="both"/>
              <w:textAlignment w:val="baseline"/>
              <w:rPr>
                <w:rFonts w:ascii="Times New Roman" w:eastAsia="Times New Roman" w:hAnsi="Times New Roman" w:cs="Times New Roman"/>
                <w:bCs/>
                <w:color w:val="000000" w:themeColor="text1"/>
                <w:sz w:val="20"/>
                <w:szCs w:val="20"/>
                <w:lang w:val="it-IT"/>
              </w:rPr>
            </w:pPr>
          </w:p>
          <w:p w:rsidR="008E7A37" w:rsidRPr="00333046" w:rsidRDefault="008E7A37" w:rsidP="008E7A37">
            <w:pPr>
              <w:jc w:val="both"/>
              <w:textAlignment w:val="baseline"/>
              <w:rPr>
                <w:rFonts w:ascii="Times New Roman" w:eastAsia="Times New Roman" w:hAnsi="Times New Roman" w:cs="Times New Roman"/>
                <w:bCs/>
                <w:color w:val="000000" w:themeColor="text1"/>
                <w:sz w:val="20"/>
                <w:szCs w:val="20"/>
                <w:lang w:val="it-IT"/>
              </w:rPr>
            </w:pPr>
            <w:r w:rsidRPr="00333046">
              <w:rPr>
                <w:rFonts w:ascii="Times New Roman" w:eastAsia="Times New Roman" w:hAnsi="Times New Roman" w:cs="Times New Roman"/>
                <w:bCs/>
                <w:color w:val="000000" w:themeColor="text1"/>
                <w:sz w:val="20"/>
                <w:szCs w:val="20"/>
                <w:lang w:val="it-IT"/>
              </w:rPr>
              <w:t xml:space="preserve">- </w:t>
            </w:r>
            <w:r w:rsidR="00333046" w:rsidRPr="00333046">
              <w:rPr>
                <w:rFonts w:ascii="Times New Roman" w:eastAsia="Times New Roman" w:hAnsi="Times New Roman" w:cs="Times New Roman"/>
                <w:bCs/>
                <w:color w:val="000000" w:themeColor="text1"/>
                <w:sz w:val="20"/>
                <w:szCs w:val="20"/>
                <w:lang w:val="it-IT"/>
              </w:rPr>
              <w:t>të</w:t>
            </w:r>
            <w:r w:rsidR="00333046">
              <w:rPr>
                <w:rFonts w:ascii="Times New Roman" w:eastAsia="Times New Roman" w:hAnsi="Times New Roman" w:cs="Times New Roman"/>
                <w:bCs/>
                <w:color w:val="000000" w:themeColor="text1"/>
                <w:sz w:val="20"/>
                <w:szCs w:val="20"/>
                <w:lang w:val="it-IT"/>
              </w:rPr>
              <w:t xml:space="preserve"> garantuar </w:t>
            </w:r>
            <w:r w:rsidRPr="00333046">
              <w:rPr>
                <w:rFonts w:ascii="Times New Roman" w:eastAsia="Times New Roman" w:hAnsi="Times New Roman" w:cs="Times New Roman"/>
                <w:bCs/>
                <w:color w:val="000000" w:themeColor="text1"/>
                <w:sz w:val="20"/>
                <w:szCs w:val="20"/>
                <w:lang w:val="it-IT"/>
              </w:rPr>
              <w:t>mundësi të barabarta për të gjitha palët konkurruese</w:t>
            </w:r>
            <w:r w:rsidR="00333046">
              <w:rPr>
                <w:rFonts w:ascii="Times New Roman" w:eastAsia="Times New Roman" w:hAnsi="Times New Roman" w:cs="Times New Roman"/>
                <w:bCs/>
                <w:color w:val="000000" w:themeColor="text1"/>
                <w:sz w:val="20"/>
                <w:szCs w:val="20"/>
                <w:lang w:val="it-IT"/>
              </w:rPr>
              <w:t xml:space="preserve"> për të</w:t>
            </w:r>
            <w:r w:rsidRPr="00333046">
              <w:rPr>
                <w:rFonts w:ascii="Times New Roman" w:eastAsia="Times New Roman" w:hAnsi="Times New Roman" w:cs="Times New Roman"/>
                <w:bCs/>
                <w:color w:val="000000" w:themeColor="text1"/>
                <w:sz w:val="20"/>
                <w:szCs w:val="20"/>
                <w:lang w:val="it-IT"/>
              </w:rPr>
              <w:t xml:space="preserve"> </w:t>
            </w:r>
            <w:r w:rsidR="00333046">
              <w:rPr>
                <w:rFonts w:ascii="Times New Roman" w:eastAsia="Times New Roman" w:hAnsi="Times New Roman" w:cs="Times New Roman"/>
                <w:bCs/>
                <w:color w:val="000000" w:themeColor="text1"/>
                <w:sz w:val="20"/>
                <w:szCs w:val="20"/>
                <w:lang w:val="it-IT"/>
              </w:rPr>
              <w:t>pasur qasje në media</w:t>
            </w:r>
            <w:r w:rsidRPr="00333046">
              <w:rPr>
                <w:rFonts w:ascii="Times New Roman" w:eastAsia="Times New Roman" w:hAnsi="Times New Roman" w:cs="Times New Roman"/>
                <w:bCs/>
                <w:color w:val="000000" w:themeColor="text1"/>
                <w:sz w:val="20"/>
                <w:szCs w:val="20"/>
                <w:lang w:val="it-IT"/>
              </w:rPr>
              <w:t xml:space="preserve">, përfshirë hapësirën reklamuese dhe adresimin e mbulimit të fushatës mediatike </w:t>
            </w:r>
            <w:r w:rsidR="00333046">
              <w:rPr>
                <w:rFonts w:ascii="Times New Roman" w:eastAsia="Times New Roman" w:hAnsi="Times New Roman" w:cs="Times New Roman"/>
                <w:bCs/>
                <w:color w:val="000000" w:themeColor="text1"/>
                <w:sz w:val="20"/>
                <w:szCs w:val="20"/>
                <w:lang w:val="it-IT"/>
              </w:rPr>
              <w:t xml:space="preserve">me materiale të gatshëm </w:t>
            </w:r>
            <w:r w:rsidRPr="00333046">
              <w:rPr>
                <w:rFonts w:ascii="Times New Roman" w:eastAsia="Times New Roman" w:hAnsi="Times New Roman" w:cs="Times New Roman"/>
                <w:bCs/>
                <w:color w:val="000000" w:themeColor="text1"/>
                <w:sz w:val="20"/>
                <w:szCs w:val="20"/>
                <w:lang w:val="it-IT"/>
              </w:rPr>
              <w:t>të ofruar nga partitë, duke përfshirë monitorimin e mediave sociale të miratuar brenda vitit 2024, pas një procesi konsultimi publik.</w:t>
            </w:r>
          </w:p>
          <w:p w:rsidR="008E7A37" w:rsidRPr="00333046" w:rsidRDefault="008E7A37" w:rsidP="008E7A37">
            <w:pPr>
              <w:jc w:val="both"/>
              <w:textAlignment w:val="baseline"/>
              <w:rPr>
                <w:rFonts w:ascii="Times New Roman" w:eastAsia="Times New Roman" w:hAnsi="Times New Roman" w:cs="Times New Roman"/>
                <w:bCs/>
                <w:color w:val="000000" w:themeColor="text1"/>
                <w:sz w:val="20"/>
                <w:szCs w:val="20"/>
                <w:lang w:val="it-IT"/>
              </w:rPr>
            </w:pPr>
          </w:p>
          <w:p w:rsidR="008E7A37" w:rsidRPr="00333046" w:rsidRDefault="008E7A37" w:rsidP="008E7A37">
            <w:pPr>
              <w:jc w:val="both"/>
              <w:textAlignment w:val="baseline"/>
              <w:rPr>
                <w:rFonts w:ascii="Times New Roman" w:eastAsia="Times New Roman" w:hAnsi="Times New Roman" w:cs="Times New Roman"/>
                <w:bCs/>
                <w:color w:val="000000" w:themeColor="text1"/>
                <w:sz w:val="20"/>
                <w:szCs w:val="20"/>
                <w:lang w:val="it-IT"/>
              </w:rPr>
            </w:pPr>
          </w:p>
          <w:p w:rsidR="008E7A37" w:rsidRPr="00333046" w:rsidRDefault="008E7A37" w:rsidP="008E7A37">
            <w:pPr>
              <w:jc w:val="both"/>
              <w:textAlignment w:val="baseline"/>
              <w:rPr>
                <w:rFonts w:ascii="Times New Roman" w:eastAsia="Times New Roman" w:hAnsi="Times New Roman" w:cs="Times New Roman"/>
                <w:bCs/>
                <w:color w:val="000000" w:themeColor="text1"/>
                <w:sz w:val="20"/>
                <w:szCs w:val="20"/>
                <w:lang w:val="it-IT"/>
              </w:rPr>
            </w:pPr>
          </w:p>
          <w:p w:rsidR="00702DF5" w:rsidRPr="00FB20A9" w:rsidRDefault="008E7A37" w:rsidP="00333046">
            <w:pPr>
              <w:jc w:val="both"/>
              <w:textAlignment w:val="baseline"/>
              <w:rPr>
                <w:rFonts w:ascii="Times New Roman" w:eastAsia="Times New Roman" w:hAnsi="Times New Roman" w:cs="Times New Roman"/>
                <w:bCs/>
                <w:color w:val="000000" w:themeColor="text1"/>
                <w:sz w:val="20"/>
                <w:szCs w:val="20"/>
                <w:lang w:val="it-IT"/>
              </w:rPr>
            </w:pPr>
            <w:r w:rsidRPr="008E7A37">
              <w:rPr>
                <w:rFonts w:ascii="Times New Roman" w:eastAsia="Times New Roman" w:hAnsi="Times New Roman" w:cs="Times New Roman"/>
                <w:bCs/>
                <w:color w:val="000000" w:themeColor="text1"/>
                <w:sz w:val="20"/>
                <w:szCs w:val="20"/>
                <w:lang w:val="it-IT"/>
              </w:rPr>
              <w:t>.</w:t>
            </w:r>
          </w:p>
        </w:tc>
        <w:tc>
          <w:tcPr>
            <w:tcW w:w="4215" w:type="dxa"/>
            <w:gridSpan w:val="2"/>
            <w:shd w:val="clear" w:color="auto" w:fill="auto"/>
          </w:tcPr>
          <w:p w:rsidR="00AE0AF4"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AE0AF4" w:rsidRPr="00333046" w:rsidRDefault="00AE0AF4" w:rsidP="00AE0AF4">
            <w:pPr>
              <w:jc w:val="both"/>
              <w:textAlignment w:val="baseline"/>
              <w:rPr>
                <w:rFonts w:ascii="Times New Roman" w:eastAsia="Times New Roman" w:hAnsi="Times New Roman" w:cs="Times New Roman"/>
                <w:bCs/>
                <w:color w:val="000000" w:themeColor="text1"/>
                <w:sz w:val="20"/>
                <w:szCs w:val="20"/>
                <w:lang w:val="it-IT"/>
              </w:rPr>
            </w:pPr>
            <w:r w:rsidRPr="00333046">
              <w:rPr>
                <w:rFonts w:ascii="Times New Roman" w:eastAsia="Times New Roman" w:hAnsi="Times New Roman" w:cs="Times New Roman"/>
                <w:bCs/>
                <w:color w:val="000000" w:themeColor="text1"/>
                <w:sz w:val="20"/>
                <w:szCs w:val="20"/>
                <w:lang w:val="it-IT"/>
              </w:rPr>
              <w:lastRenderedPageBreak/>
              <w:t>Rritja e monitorimit dhe profesionalizmit sasior dhe cilësor në raportimin mediatik (duke përfshirë materiale të gatshme nga partitë politike) të medias gjatë fushatës zgjedhore në çdo cikël zgjedhor, si dhe kapacitetet e AMA-s për të kryer monitorimin në mënyrën e duhur, duke filluar nga zgjedhjet e vitit 2025, nëpërmjet zbatimit të “Modernizimit të studios së monitorimit” nga AMA.</w:t>
            </w:r>
          </w:p>
          <w:p w:rsidR="00AE0AF4" w:rsidRPr="00333046"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AE0AF4" w:rsidRPr="00333046" w:rsidRDefault="00AE0AF4" w:rsidP="00AE0AF4">
            <w:pPr>
              <w:jc w:val="both"/>
              <w:textAlignment w:val="baseline"/>
              <w:rPr>
                <w:rFonts w:ascii="Times New Roman" w:eastAsia="Times New Roman" w:hAnsi="Times New Roman" w:cs="Times New Roman"/>
                <w:bCs/>
                <w:color w:val="000000" w:themeColor="text1"/>
                <w:sz w:val="20"/>
                <w:szCs w:val="20"/>
                <w:lang w:val="it-IT"/>
              </w:rPr>
            </w:pPr>
            <w:r w:rsidRPr="00333046">
              <w:rPr>
                <w:rFonts w:ascii="Times New Roman" w:eastAsia="Times New Roman" w:hAnsi="Times New Roman" w:cs="Times New Roman"/>
                <w:bCs/>
                <w:color w:val="000000" w:themeColor="text1"/>
                <w:sz w:val="20"/>
                <w:szCs w:val="20"/>
                <w:lang w:val="it-IT"/>
              </w:rPr>
              <w:t>Angazhimi institucional në shënjestrimin e dezin</w:t>
            </w:r>
            <w:r>
              <w:rPr>
                <w:rFonts w:ascii="Times New Roman" w:eastAsia="Times New Roman" w:hAnsi="Times New Roman" w:cs="Times New Roman"/>
                <w:bCs/>
                <w:color w:val="000000" w:themeColor="text1"/>
                <w:sz w:val="20"/>
                <w:szCs w:val="20"/>
                <w:lang w:val="it-IT"/>
              </w:rPr>
              <w:t xml:space="preserve">formimit </w:t>
            </w:r>
            <w:r w:rsidRPr="00333046">
              <w:rPr>
                <w:rFonts w:ascii="Times New Roman" w:eastAsia="Times New Roman" w:hAnsi="Times New Roman" w:cs="Times New Roman"/>
                <w:bCs/>
                <w:color w:val="000000" w:themeColor="text1"/>
                <w:sz w:val="20"/>
                <w:szCs w:val="20"/>
                <w:lang w:val="it-IT"/>
              </w:rPr>
              <w:t xml:space="preserve"> gjatë proceseve zgjedhore në çdo cikël zgjedhor, duke filluar nga zgjedhjet e vitit 2025, duke përfshirë target grupet përkatëse</w:t>
            </w:r>
          </w:p>
          <w:p w:rsidR="00AE0AF4" w:rsidRPr="00333046"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702DF5" w:rsidRDefault="00702DF5" w:rsidP="00FB20A9">
            <w:pPr>
              <w:jc w:val="both"/>
              <w:textAlignment w:val="baseline"/>
              <w:rPr>
                <w:rFonts w:ascii="Times New Roman" w:eastAsia="Times New Roman" w:hAnsi="Times New Roman" w:cs="Times New Roman"/>
                <w:bCs/>
                <w:color w:val="000000" w:themeColor="text1"/>
                <w:sz w:val="20"/>
                <w:szCs w:val="20"/>
                <w:lang w:val="it-IT"/>
              </w:rPr>
            </w:pPr>
          </w:p>
        </w:tc>
        <w:tc>
          <w:tcPr>
            <w:tcW w:w="3841" w:type="dxa"/>
            <w:gridSpan w:val="2"/>
            <w:shd w:val="clear" w:color="auto" w:fill="auto"/>
          </w:tcPr>
          <w:p w:rsidR="00AE0AF4"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AE0AF4" w:rsidRPr="008E7A37" w:rsidRDefault="00AE0AF4" w:rsidP="00AE0AF4">
            <w:pPr>
              <w:jc w:val="both"/>
              <w:textAlignment w:val="baseline"/>
              <w:rPr>
                <w:rFonts w:ascii="Times New Roman" w:eastAsia="Times New Roman" w:hAnsi="Times New Roman" w:cs="Times New Roman"/>
                <w:bCs/>
                <w:color w:val="000000" w:themeColor="text1"/>
                <w:sz w:val="20"/>
                <w:szCs w:val="20"/>
                <w:lang w:val="it-IT"/>
              </w:rPr>
            </w:pPr>
            <w:r w:rsidRPr="008E7A37">
              <w:rPr>
                <w:rFonts w:ascii="Times New Roman" w:eastAsia="Times New Roman" w:hAnsi="Times New Roman" w:cs="Times New Roman"/>
                <w:bCs/>
                <w:color w:val="000000" w:themeColor="text1"/>
                <w:sz w:val="20"/>
                <w:szCs w:val="20"/>
                <w:lang w:val="it-IT"/>
              </w:rPr>
              <w:lastRenderedPageBreak/>
              <w:t>Ekziston një sistem efektiv i monitorimit cilësor dhe sasior të medias dhe dispozitave politikisht neutrale të mbulimit mediatik gjatë gjithë zgjedhjeve, dhe</w:t>
            </w:r>
            <w:r>
              <w:rPr>
                <w:rFonts w:ascii="Times New Roman" w:eastAsia="Times New Roman" w:hAnsi="Times New Roman" w:cs="Times New Roman"/>
                <w:bCs/>
                <w:color w:val="000000" w:themeColor="text1"/>
                <w:sz w:val="20"/>
                <w:szCs w:val="20"/>
                <w:lang w:val="it-IT"/>
              </w:rPr>
              <w:t xml:space="preserve"> është vendosur</w:t>
            </w:r>
            <w:r w:rsidRPr="008E7A37">
              <w:rPr>
                <w:rFonts w:ascii="Times New Roman" w:eastAsia="Times New Roman" w:hAnsi="Times New Roman" w:cs="Times New Roman"/>
                <w:bCs/>
                <w:color w:val="000000" w:themeColor="text1"/>
                <w:sz w:val="20"/>
                <w:szCs w:val="20"/>
                <w:lang w:val="it-IT"/>
              </w:rPr>
              <w:t xml:space="preserve"> zbatimi i sanksioneve bindëse </w:t>
            </w:r>
            <w:r>
              <w:rPr>
                <w:rFonts w:ascii="Times New Roman" w:eastAsia="Times New Roman" w:hAnsi="Times New Roman" w:cs="Times New Roman"/>
                <w:bCs/>
                <w:color w:val="000000" w:themeColor="text1"/>
                <w:sz w:val="20"/>
                <w:szCs w:val="20"/>
                <w:lang w:val="it-IT"/>
              </w:rPr>
              <w:t xml:space="preserve">dhe </w:t>
            </w:r>
            <w:r w:rsidRPr="008E7A37">
              <w:rPr>
                <w:rFonts w:ascii="Times New Roman" w:eastAsia="Times New Roman" w:hAnsi="Times New Roman" w:cs="Times New Roman"/>
                <w:bCs/>
                <w:color w:val="000000" w:themeColor="text1"/>
                <w:sz w:val="20"/>
                <w:szCs w:val="20"/>
                <w:lang w:val="it-IT"/>
              </w:rPr>
              <w:t>funksional</w:t>
            </w:r>
            <w:r>
              <w:rPr>
                <w:rFonts w:ascii="Times New Roman" w:eastAsia="Times New Roman" w:hAnsi="Times New Roman" w:cs="Times New Roman"/>
                <w:bCs/>
                <w:color w:val="000000" w:themeColor="text1"/>
                <w:sz w:val="20"/>
                <w:szCs w:val="20"/>
                <w:lang w:val="it-IT"/>
              </w:rPr>
              <w:t>e</w:t>
            </w:r>
            <w:r w:rsidRPr="008E7A37">
              <w:rPr>
                <w:rFonts w:ascii="Times New Roman" w:eastAsia="Times New Roman" w:hAnsi="Times New Roman" w:cs="Times New Roman"/>
                <w:bCs/>
                <w:color w:val="000000" w:themeColor="text1"/>
                <w:sz w:val="20"/>
                <w:szCs w:val="20"/>
                <w:lang w:val="it-IT"/>
              </w:rPr>
              <w:t xml:space="preserve"> brenda vitit 2027.</w:t>
            </w:r>
          </w:p>
          <w:p w:rsidR="00AE0AF4" w:rsidRPr="008E7A37"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AE0AF4" w:rsidRPr="008E7A37" w:rsidRDefault="00AE0AF4" w:rsidP="00AE0AF4">
            <w:pPr>
              <w:jc w:val="both"/>
              <w:textAlignment w:val="baseline"/>
              <w:rPr>
                <w:rFonts w:ascii="Times New Roman" w:eastAsia="Times New Roman" w:hAnsi="Times New Roman" w:cs="Times New Roman"/>
                <w:bCs/>
                <w:color w:val="000000" w:themeColor="text1"/>
                <w:sz w:val="20"/>
                <w:szCs w:val="20"/>
                <w:lang w:val="it-IT"/>
              </w:rPr>
            </w:pPr>
            <w:r w:rsidRPr="008E7A37">
              <w:rPr>
                <w:rFonts w:ascii="Times New Roman" w:eastAsia="Times New Roman" w:hAnsi="Times New Roman" w:cs="Times New Roman"/>
                <w:bCs/>
                <w:color w:val="000000" w:themeColor="text1"/>
                <w:sz w:val="20"/>
                <w:szCs w:val="20"/>
                <w:lang w:val="it-IT"/>
              </w:rPr>
              <w:t>Rreziqet e dezinformimit zbuten gjithnjë e më shumë përmes masave të synuara nga KQZ-ja dhe AMA brenda vitit 2030.</w:t>
            </w:r>
          </w:p>
          <w:p w:rsidR="00AE0AF4" w:rsidRPr="008E7A37" w:rsidRDefault="00AE0AF4" w:rsidP="00AE0AF4">
            <w:pPr>
              <w:jc w:val="both"/>
              <w:textAlignment w:val="baseline"/>
              <w:rPr>
                <w:rFonts w:ascii="Times New Roman" w:eastAsia="Times New Roman" w:hAnsi="Times New Roman" w:cs="Times New Roman"/>
                <w:bCs/>
                <w:color w:val="000000" w:themeColor="text1"/>
                <w:sz w:val="20"/>
                <w:szCs w:val="20"/>
                <w:lang w:val="it-IT"/>
              </w:rPr>
            </w:pPr>
          </w:p>
          <w:p w:rsidR="00702DF5" w:rsidRPr="008B52BC" w:rsidRDefault="00AE0AF4" w:rsidP="00AE0AF4">
            <w:pPr>
              <w:jc w:val="both"/>
              <w:textAlignment w:val="baseline"/>
              <w:rPr>
                <w:rFonts w:ascii="Times New Roman" w:eastAsia="Times New Roman" w:hAnsi="Times New Roman" w:cs="Times New Roman"/>
                <w:bCs/>
                <w:color w:val="000000" w:themeColor="text1"/>
                <w:sz w:val="20"/>
                <w:szCs w:val="20"/>
                <w:lang w:val="it-IT"/>
              </w:rPr>
            </w:pPr>
            <w:r w:rsidRPr="008E7A37">
              <w:rPr>
                <w:rFonts w:ascii="Times New Roman" w:eastAsia="Times New Roman" w:hAnsi="Times New Roman" w:cs="Times New Roman"/>
                <w:bCs/>
                <w:color w:val="000000" w:themeColor="text1"/>
                <w:sz w:val="20"/>
                <w:szCs w:val="20"/>
                <w:lang w:val="it-IT"/>
              </w:rPr>
              <w:t>Adresimi i rekomandimeve të paz</w:t>
            </w:r>
            <w:r>
              <w:rPr>
                <w:rFonts w:ascii="Times New Roman" w:eastAsia="Times New Roman" w:hAnsi="Times New Roman" w:cs="Times New Roman"/>
                <w:bCs/>
                <w:color w:val="000000" w:themeColor="text1"/>
                <w:sz w:val="20"/>
                <w:szCs w:val="20"/>
                <w:lang w:val="it-IT"/>
              </w:rPr>
              <w:t>batuara</w:t>
            </w:r>
            <w:r w:rsidRPr="008E7A37">
              <w:rPr>
                <w:rFonts w:ascii="Times New Roman" w:eastAsia="Times New Roman" w:hAnsi="Times New Roman" w:cs="Times New Roman"/>
                <w:bCs/>
                <w:color w:val="000000" w:themeColor="text1"/>
                <w:sz w:val="20"/>
                <w:szCs w:val="20"/>
                <w:lang w:val="it-IT"/>
              </w:rPr>
              <w:t xml:space="preserve"> të raporteve të OSBE/ODIHR-it për zgjedhjet e 25 prillit 2021 dhe zgjedhjet e tjera</w:t>
            </w:r>
          </w:p>
        </w:tc>
      </w:tr>
      <w:tr w:rsidR="00AE0AF4" w:rsidRPr="00FB20A9" w:rsidTr="00936177">
        <w:trPr>
          <w:gridAfter w:val="1"/>
          <w:wAfter w:w="374" w:type="dxa"/>
          <w:trHeight w:val="51"/>
        </w:trPr>
        <w:tc>
          <w:tcPr>
            <w:tcW w:w="2920" w:type="dxa"/>
            <w:gridSpan w:val="3"/>
            <w:shd w:val="clear" w:color="auto" w:fill="auto"/>
          </w:tcPr>
          <w:p w:rsidR="00AE0AF4" w:rsidRDefault="00AE0AF4" w:rsidP="00702DF5">
            <w:pPr>
              <w:pStyle w:val="ListParagraph"/>
              <w:numPr>
                <w:ilvl w:val="1"/>
                <w:numId w:val="28"/>
              </w:numPr>
              <w:jc w:val="both"/>
              <w:textAlignment w:val="baseline"/>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lastRenderedPageBreak/>
              <w:t>Financimi i partive politike dhe fushatave zgjedhore</w:t>
            </w:r>
          </w:p>
          <w:p w:rsidR="007116FD" w:rsidRPr="007116FD" w:rsidRDefault="007116FD" w:rsidP="007116FD">
            <w:pPr>
              <w:jc w:val="both"/>
              <w:textAlignment w:val="baseline"/>
              <w:rPr>
                <w:rFonts w:ascii="Times New Roman" w:eastAsia="Times New Roman" w:hAnsi="Times New Roman" w:cs="Times New Roman"/>
                <w:bCs/>
                <w:color w:val="000000" w:themeColor="text1"/>
                <w:sz w:val="20"/>
                <w:szCs w:val="20"/>
                <w:lang w:val="it-IT"/>
              </w:rPr>
            </w:pPr>
            <w:r w:rsidRPr="007116FD">
              <w:rPr>
                <w:rFonts w:ascii="Times New Roman" w:eastAsia="Times New Roman" w:hAnsi="Times New Roman" w:cs="Times New Roman"/>
                <w:bCs/>
                <w:color w:val="000000" w:themeColor="text1"/>
                <w:sz w:val="20"/>
                <w:szCs w:val="20"/>
                <w:lang w:val="it-IT"/>
              </w:rPr>
              <w:t>Kriteret për financimin publik dhe privat të partive politike; rregullat për donacionet private dhe shpenzimet e lidhura me fushatat zgjedhore; Transparenca e llogarive; mekanizmat e mbikëqyrjes dhe monitorimit të pavarur, duke përfshirë sanksione domethënëse efektive, proporcionale dhe bindëse për shkeljet.</w:t>
            </w:r>
          </w:p>
        </w:tc>
        <w:tc>
          <w:tcPr>
            <w:tcW w:w="3249" w:type="dxa"/>
            <w:gridSpan w:val="2"/>
            <w:shd w:val="clear" w:color="auto" w:fill="auto"/>
          </w:tcPr>
          <w:p w:rsid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 xml:space="preserve">Kuadri ligjor për financimin e partive politike në përputhje me rekomandimet e OSBE-së </w:t>
            </w:r>
            <w:r>
              <w:rPr>
                <w:rFonts w:ascii="Times New Roman" w:eastAsia="Times New Roman" w:hAnsi="Times New Roman" w:cs="Times New Roman"/>
                <w:bCs/>
                <w:color w:val="000000" w:themeColor="text1"/>
                <w:sz w:val="20"/>
                <w:szCs w:val="20"/>
                <w:lang w:val="it-IT"/>
              </w:rPr>
              <w:t>i miratuar</w:t>
            </w:r>
            <w:r w:rsidRPr="00856C75">
              <w:rPr>
                <w:rFonts w:ascii="Times New Roman" w:eastAsia="Times New Roman" w:hAnsi="Times New Roman" w:cs="Times New Roman"/>
                <w:bCs/>
                <w:color w:val="000000" w:themeColor="text1"/>
                <w:sz w:val="20"/>
                <w:szCs w:val="20"/>
                <w:lang w:val="it-IT"/>
              </w:rPr>
              <w:t xml:space="preserve"> brenda vitit 2024, duke përfshirë, ndër të tjera, zgjerimin e rregulloreve dhe kufizimeve për donacionet dhe shpenzimet për palët e treta, si dhe zbulimin para zgjedhjeve.</w:t>
            </w: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AE0AF4" w:rsidRDefault="00AE0AF4" w:rsidP="00856C75">
            <w:pPr>
              <w:jc w:val="both"/>
              <w:textAlignment w:val="baseline"/>
              <w:rPr>
                <w:rFonts w:ascii="Times New Roman" w:eastAsia="Times New Roman" w:hAnsi="Times New Roman" w:cs="Times New Roman"/>
                <w:bCs/>
                <w:color w:val="000000" w:themeColor="text1"/>
                <w:sz w:val="20"/>
                <w:szCs w:val="20"/>
                <w:lang w:val="it-IT"/>
              </w:rPr>
            </w:pPr>
          </w:p>
        </w:tc>
        <w:tc>
          <w:tcPr>
            <w:tcW w:w="4215" w:type="dxa"/>
            <w:gridSpan w:val="2"/>
            <w:shd w:val="clear" w:color="auto" w:fill="auto"/>
          </w:tcPr>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Rritja e kapaciteteve njerëzore dhe financiare të KQZ-së për të zbatuar në mënyrë efektive kërkesat ligjore në lidhje me mbikëqyrjen dhe monitorimin e financave të fushatës brenda vitit 2025.</w:t>
            </w: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Procesi i financimit të partive politike/raportimit online të partive politike, audi</w:t>
            </w:r>
            <w:r>
              <w:rPr>
                <w:rFonts w:ascii="Times New Roman" w:eastAsia="Times New Roman" w:hAnsi="Times New Roman" w:cs="Times New Roman"/>
                <w:bCs/>
                <w:color w:val="000000" w:themeColor="text1"/>
                <w:sz w:val="20"/>
                <w:szCs w:val="20"/>
                <w:lang w:val="it-IT"/>
              </w:rPr>
              <w:t>tuesve</w:t>
            </w:r>
            <w:r w:rsidRPr="00856C75">
              <w:rPr>
                <w:rFonts w:ascii="Times New Roman" w:eastAsia="Times New Roman" w:hAnsi="Times New Roman" w:cs="Times New Roman"/>
                <w:bCs/>
                <w:color w:val="000000" w:themeColor="text1"/>
                <w:sz w:val="20"/>
                <w:szCs w:val="20"/>
                <w:lang w:val="it-IT"/>
              </w:rPr>
              <w:t xml:space="preserve"> dhe monitoruesve </w:t>
            </w:r>
            <w:r>
              <w:rPr>
                <w:rFonts w:ascii="Times New Roman" w:eastAsia="Times New Roman" w:hAnsi="Times New Roman" w:cs="Times New Roman"/>
                <w:bCs/>
                <w:color w:val="000000" w:themeColor="text1"/>
                <w:sz w:val="20"/>
                <w:szCs w:val="20"/>
                <w:lang w:val="it-IT"/>
              </w:rPr>
              <w:t>dixhitalizohet</w:t>
            </w:r>
            <w:r w:rsidRPr="00856C75">
              <w:rPr>
                <w:rFonts w:ascii="Times New Roman" w:eastAsia="Times New Roman" w:hAnsi="Times New Roman" w:cs="Times New Roman"/>
                <w:bCs/>
                <w:color w:val="000000" w:themeColor="text1"/>
                <w:sz w:val="20"/>
                <w:szCs w:val="20"/>
                <w:lang w:val="it-IT"/>
              </w:rPr>
              <w:t xml:space="preserve"> gjithnjë e më shumë për të mundësuar raportimin e shpejtë online dhe garantimin e transparencës në kohë reale mbi të ardhurat dhe shpenzimet në çdo cikël zgjedhor, duke filluar nga viti 2025.</w:t>
            </w:r>
          </w:p>
          <w:p w:rsidR="00AE0AF4" w:rsidRDefault="00AE0AF4" w:rsidP="00AE0AF4">
            <w:pPr>
              <w:jc w:val="both"/>
              <w:textAlignment w:val="baseline"/>
              <w:rPr>
                <w:rFonts w:ascii="Times New Roman" w:eastAsia="Times New Roman" w:hAnsi="Times New Roman" w:cs="Times New Roman"/>
                <w:bCs/>
                <w:color w:val="000000" w:themeColor="text1"/>
                <w:sz w:val="20"/>
                <w:szCs w:val="20"/>
                <w:lang w:val="it-IT"/>
              </w:rPr>
            </w:pPr>
          </w:p>
        </w:tc>
        <w:tc>
          <w:tcPr>
            <w:tcW w:w="3841" w:type="dxa"/>
            <w:gridSpan w:val="2"/>
            <w:shd w:val="clear" w:color="auto" w:fill="auto"/>
          </w:tcPr>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Adresimi i rekomandimeve të paz</w:t>
            </w:r>
            <w:r>
              <w:rPr>
                <w:rFonts w:ascii="Times New Roman" w:eastAsia="Times New Roman" w:hAnsi="Times New Roman" w:cs="Times New Roman"/>
                <w:bCs/>
                <w:color w:val="000000" w:themeColor="text1"/>
                <w:sz w:val="20"/>
                <w:szCs w:val="20"/>
                <w:lang w:val="it-IT"/>
              </w:rPr>
              <w:t>batuara</w:t>
            </w:r>
            <w:r w:rsidRPr="00856C75">
              <w:rPr>
                <w:rFonts w:ascii="Times New Roman" w:eastAsia="Times New Roman" w:hAnsi="Times New Roman" w:cs="Times New Roman"/>
                <w:bCs/>
                <w:color w:val="000000" w:themeColor="text1"/>
                <w:sz w:val="20"/>
                <w:szCs w:val="20"/>
                <w:lang w:val="it-IT"/>
              </w:rPr>
              <w:t xml:space="preserve"> të raporteve të OSBE/ODIHR-it për zgjedhjet e 25 prillit 2021 dhe zgjedhjet e tjera.</w:t>
            </w: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 xml:space="preserve">Auditimi mbi financimin e partive politike përmes krijimit të portalit të financimit </w:t>
            </w:r>
            <w:r>
              <w:rPr>
                <w:rFonts w:ascii="Times New Roman" w:eastAsia="Times New Roman" w:hAnsi="Times New Roman" w:cs="Times New Roman"/>
                <w:bCs/>
                <w:color w:val="000000" w:themeColor="text1"/>
                <w:sz w:val="20"/>
                <w:szCs w:val="20"/>
                <w:lang w:val="it-IT"/>
              </w:rPr>
              <w:t>forcohet</w:t>
            </w:r>
            <w:r w:rsidRPr="00856C75">
              <w:rPr>
                <w:rFonts w:ascii="Times New Roman" w:eastAsia="Times New Roman" w:hAnsi="Times New Roman" w:cs="Times New Roman"/>
                <w:bCs/>
                <w:color w:val="000000" w:themeColor="text1"/>
                <w:sz w:val="20"/>
                <w:szCs w:val="20"/>
                <w:lang w:val="it-IT"/>
              </w:rPr>
              <w:t xml:space="preserve"> ndjeshëm brenda vitit 2025 .</w:t>
            </w:r>
          </w:p>
          <w:p w:rsidR="00856C75" w:rsidRPr="00856C75" w:rsidRDefault="00856C75" w:rsidP="00856C75">
            <w:pPr>
              <w:jc w:val="both"/>
              <w:textAlignment w:val="baseline"/>
              <w:rPr>
                <w:rFonts w:ascii="Times New Roman" w:eastAsia="Times New Roman" w:hAnsi="Times New Roman" w:cs="Times New Roman"/>
                <w:bCs/>
                <w:color w:val="000000" w:themeColor="text1"/>
                <w:sz w:val="20"/>
                <w:szCs w:val="20"/>
                <w:lang w:val="it-IT"/>
              </w:rPr>
            </w:pPr>
          </w:p>
          <w:p w:rsidR="00AE0AF4" w:rsidRDefault="00856C75" w:rsidP="00856C75">
            <w:pPr>
              <w:jc w:val="both"/>
              <w:textAlignment w:val="baseline"/>
              <w:rPr>
                <w:rFonts w:ascii="Times New Roman" w:eastAsia="Times New Roman" w:hAnsi="Times New Roman" w:cs="Times New Roman"/>
                <w:bCs/>
                <w:color w:val="000000" w:themeColor="text1"/>
                <w:sz w:val="20"/>
                <w:szCs w:val="20"/>
                <w:lang w:val="it-IT"/>
              </w:rPr>
            </w:pPr>
            <w:r w:rsidRPr="00856C75">
              <w:rPr>
                <w:rFonts w:ascii="Times New Roman" w:eastAsia="Times New Roman" w:hAnsi="Times New Roman" w:cs="Times New Roman"/>
                <w:bCs/>
                <w:color w:val="000000" w:themeColor="text1"/>
                <w:sz w:val="20"/>
                <w:szCs w:val="20"/>
                <w:lang w:val="it-IT"/>
              </w:rPr>
              <w:t>Sanksionet zbatohen efektivisht në rastet e shkeljeve të dispozitave për financimin e partive politike në çdo cikël zgjedhor, duke filluar nga zgjedhjet e vitit 2025.</w:t>
            </w:r>
          </w:p>
        </w:tc>
      </w:tr>
      <w:tr w:rsidR="00236E64" w:rsidRPr="00FB20A9" w:rsidTr="00936177">
        <w:trPr>
          <w:gridAfter w:val="1"/>
          <w:wAfter w:w="374" w:type="dxa"/>
          <w:trHeight w:val="51"/>
        </w:trPr>
        <w:tc>
          <w:tcPr>
            <w:tcW w:w="14225" w:type="dxa"/>
            <w:gridSpan w:val="9"/>
            <w:shd w:val="clear" w:color="auto" w:fill="BDD6EE" w:themeFill="accent1" w:themeFillTint="66"/>
          </w:tcPr>
          <w:p w:rsidR="00236E64" w:rsidRDefault="00236E64" w:rsidP="00856C75">
            <w:pPr>
              <w:jc w:val="both"/>
              <w:textAlignment w:val="baseline"/>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t>2. FUNKSIONIMI I KUVENDIT</w:t>
            </w:r>
          </w:p>
          <w:p w:rsidR="00236E64" w:rsidRPr="00236E64" w:rsidRDefault="00236E64" w:rsidP="00856C75">
            <w:pPr>
              <w:jc w:val="both"/>
              <w:textAlignment w:val="baseline"/>
              <w:rPr>
                <w:rFonts w:ascii="Times New Roman" w:eastAsia="Times New Roman" w:hAnsi="Times New Roman" w:cs="Times New Roman"/>
                <w:bCs/>
                <w:i/>
                <w:color w:val="000000" w:themeColor="text1"/>
                <w:sz w:val="20"/>
                <w:szCs w:val="20"/>
                <w:lang w:val="it-IT"/>
              </w:rPr>
            </w:pPr>
            <w:r>
              <w:rPr>
                <w:rFonts w:ascii="Times New Roman" w:eastAsia="Times New Roman" w:hAnsi="Times New Roman" w:cs="Times New Roman"/>
                <w:bCs/>
                <w:i/>
                <w:color w:val="000000" w:themeColor="text1"/>
                <w:sz w:val="20"/>
                <w:szCs w:val="20"/>
                <w:lang w:val="it-IT"/>
              </w:rPr>
              <w:t>Funksionimi i Kuvendit duhet të bazohet ne parimet e transparencës, integritetit dhe efektivitetit</w:t>
            </w:r>
          </w:p>
        </w:tc>
      </w:tr>
      <w:tr w:rsidR="00236E64" w:rsidRPr="00486A4B" w:rsidTr="00936177">
        <w:trPr>
          <w:gridAfter w:val="1"/>
          <w:wAfter w:w="374" w:type="dxa"/>
          <w:trHeight w:val="51"/>
        </w:trPr>
        <w:tc>
          <w:tcPr>
            <w:tcW w:w="2920" w:type="dxa"/>
            <w:gridSpan w:val="3"/>
            <w:shd w:val="clear" w:color="auto" w:fill="auto"/>
          </w:tcPr>
          <w:p w:rsidR="00236E64" w:rsidRDefault="0079130A" w:rsidP="00236E64">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t>2</w:t>
            </w:r>
            <w:r w:rsidR="00236E64">
              <w:rPr>
                <w:rFonts w:ascii="Times New Roman" w:eastAsia="Times New Roman" w:hAnsi="Times New Roman" w:cs="Times New Roman"/>
                <w:b/>
                <w:bCs/>
                <w:color w:val="000000" w:themeColor="text1"/>
                <w:sz w:val="20"/>
                <w:szCs w:val="20"/>
                <w:lang w:val="it-IT"/>
              </w:rPr>
              <w:t>.1 Transparenca dhe llogaridhënia</w:t>
            </w:r>
          </w:p>
          <w:p w:rsidR="00236E64" w:rsidRPr="00637E3D" w:rsidRDefault="00637E3D" w:rsidP="00637E3D">
            <w:pPr>
              <w:jc w:val="both"/>
              <w:textAlignment w:val="baseline"/>
              <w:rPr>
                <w:rFonts w:ascii="Times New Roman" w:eastAsia="Times New Roman" w:hAnsi="Times New Roman" w:cs="Times New Roman"/>
                <w:bCs/>
                <w:color w:val="000000" w:themeColor="text1"/>
                <w:sz w:val="20"/>
                <w:szCs w:val="20"/>
                <w:lang w:val="it-IT"/>
              </w:rPr>
            </w:pPr>
            <w:r w:rsidRPr="00637E3D">
              <w:rPr>
                <w:rFonts w:ascii="Times New Roman" w:eastAsia="Times New Roman" w:hAnsi="Times New Roman" w:cs="Times New Roman"/>
                <w:bCs/>
                <w:color w:val="000000" w:themeColor="text1"/>
                <w:sz w:val="20"/>
                <w:szCs w:val="20"/>
                <w:lang w:val="it-IT"/>
              </w:rPr>
              <w:lastRenderedPageBreak/>
              <w:t>Shkalla e transparencës së punës parlamentare; Aspektet horizontale (ndërinstitucionale) dhe vertikale (qytetarët) të llogaridhënies së Kuvendit</w:t>
            </w:r>
          </w:p>
        </w:tc>
        <w:tc>
          <w:tcPr>
            <w:tcW w:w="3249" w:type="dxa"/>
            <w:gridSpan w:val="2"/>
            <w:shd w:val="clear" w:color="auto" w:fill="auto"/>
          </w:tcPr>
          <w:p w:rsidR="00C62B22" w:rsidRPr="00C62B22" w:rsidRDefault="00C62B22" w:rsidP="00C62B22">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lastRenderedPageBreak/>
              <w:t xml:space="preserve">-Amendimi i Kodit të Sjelljes së deputetëve, për të futur detyrimin që </w:t>
            </w:r>
            <w:r w:rsidRPr="00C62B22">
              <w:rPr>
                <w:rFonts w:ascii="Times New Roman" w:eastAsia="Times New Roman" w:hAnsi="Times New Roman" w:cs="Times New Roman"/>
                <w:bCs/>
                <w:color w:val="000000" w:themeColor="text1"/>
                <w:sz w:val="20"/>
                <w:szCs w:val="20"/>
                <w:lang w:val="it-IT"/>
              </w:rPr>
              <w:lastRenderedPageBreak/>
              <w:t>takimet e deputetëve dhe stafit të tyre me OSHC-të dhe lobistët të zhvillohen vetëm me ata që janë të regjistruar në Regjistrin e Transparencës në përputhje me përcaktimet e Vendimit t</w:t>
            </w:r>
            <w:r>
              <w:rPr>
                <w:rFonts w:ascii="Times New Roman" w:eastAsia="Times New Roman" w:hAnsi="Times New Roman" w:cs="Times New Roman"/>
                <w:bCs/>
                <w:color w:val="000000" w:themeColor="text1"/>
                <w:sz w:val="20"/>
                <w:szCs w:val="20"/>
                <w:lang w:val="it-IT"/>
              </w:rPr>
              <w:t xml:space="preserve">ë Komisionit të datës 31 janar </w:t>
            </w:r>
            <w:r w:rsidRPr="00C62B22">
              <w:rPr>
                <w:rFonts w:ascii="Times New Roman" w:eastAsia="Times New Roman" w:hAnsi="Times New Roman" w:cs="Times New Roman"/>
                <w:bCs/>
                <w:color w:val="000000" w:themeColor="text1"/>
                <w:sz w:val="20"/>
                <w:szCs w:val="20"/>
                <w:lang w:val="it-IT"/>
              </w:rPr>
              <w:t>2018 mbi Kodin e Sjelljes për Anëtarët e Komisionit Evropian, neni. 7 si dhe publikimin</w:t>
            </w:r>
            <w:r>
              <w:rPr>
                <w:rFonts w:ascii="Times New Roman" w:eastAsia="Times New Roman" w:hAnsi="Times New Roman" w:cs="Times New Roman"/>
                <w:bCs/>
                <w:color w:val="000000" w:themeColor="text1"/>
                <w:sz w:val="20"/>
                <w:szCs w:val="20"/>
                <w:lang w:val="it-IT"/>
              </w:rPr>
              <w:t xml:space="preserve"> e procesverbalit të mbledhjes deri më 2029.</w:t>
            </w:r>
          </w:p>
          <w:p w:rsidR="00C62B22" w:rsidRPr="00C62B22" w:rsidRDefault="00C62B22" w:rsidP="00C62B22">
            <w:pPr>
              <w:jc w:val="both"/>
              <w:textAlignment w:val="baseline"/>
              <w:rPr>
                <w:rFonts w:ascii="Times New Roman" w:eastAsia="Times New Roman" w:hAnsi="Times New Roman" w:cs="Times New Roman"/>
                <w:bCs/>
                <w:color w:val="000000" w:themeColor="text1"/>
                <w:sz w:val="20"/>
                <w:szCs w:val="20"/>
                <w:lang w:val="it-IT"/>
              </w:rPr>
            </w:pPr>
          </w:p>
          <w:p w:rsidR="00C62B22" w:rsidRPr="00C62B22" w:rsidRDefault="00C62B22" w:rsidP="00C62B22">
            <w:pPr>
              <w:jc w:val="both"/>
              <w:textAlignment w:val="baseline"/>
              <w:rPr>
                <w:rFonts w:ascii="Times New Roman" w:eastAsia="Times New Roman" w:hAnsi="Times New Roman" w:cs="Times New Roman"/>
                <w:bCs/>
                <w:color w:val="000000" w:themeColor="text1"/>
                <w:sz w:val="20"/>
                <w:szCs w:val="20"/>
                <w:lang w:val="it-IT"/>
              </w:rPr>
            </w:pPr>
          </w:p>
          <w:p w:rsidR="00C62B22" w:rsidRPr="00C62B22" w:rsidRDefault="00C62B22" w:rsidP="00C62B22">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 xml:space="preserve">-Ndryshimi </w:t>
            </w:r>
            <w:r w:rsidRPr="00C62B22">
              <w:rPr>
                <w:rFonts w:ascii="Times New Roman" w:eastAsia="Times New Roman" w:hAnsi="Times New Roman" w:cs="Times New Roman"/>
                <w:bCs/>
                <w:color w:val="000000" w:themeColor="text1"/>
                <w:sz w:val="20"/>
                <w:szCs w:val="20"/>
                <w:lang w:val="it-IT"/>
              </w:rPr>
              <w:t>i Rregul</w:t>
            </w:r>
            <w:r>
              <w:rPr>
                <w:rFonts w:ascii="Times New Roman" w:eastAsia="Times New Roman" w:hAnsi="Times New Roman" w:cs="Times New Roman"/>
                <w:bCs/>
                <w:color w:val="000000" w:themeColor="text1"/>
                <w:sz w:val="20"/>
                <w:szCs w:val="20"/>
                <w:lang w:val="it-IT"/>
              </w:rPr>
              <w:t>lores së Kuvendit për të zgjaruar zbatimin e Post Kontrollit të ligjshmërisë jo vetëm p</w:t>
            </w:r>
            <w:r w:rsidRPr="00C62B22">
              <w:rPr>
                <w:rFonts w:ascii="Times New Roman" w:eastAsia="Times New Roman" w:hAnsi="Times New Roman" w:cs="Times New Roman"/>
                <w:bCs/>
                <w:color w:val="000000" w:themeColor="text1"/>
                <w:sz w:val="20"/>
                <w:szCs w:val="20"/>
                <w:lang w:val="it-IT"/>
              </w:rPr>
              <w:t>ë</w:t>
            </w:r>
            <w:r>
              <w:rPr>
                <w:rFonts w:ascii="Times New Roman" w:eastAsia="Times New Roman" w:hAnsi="Times New Roman" w:cs="Times New Roman"/>
                <w:bCs/>
                <w:color w:val="000000" w:themeColor="text1"/>
                <w:sz w:val="20"/>
                <w:szCs w:val="20"/>
                <w:lang w:val="it-IT"/>
              </w:rPr>
              <w:t>r</w:t>
            </w:r>
            <w:r w:rsidRPr="00C62B22">
              <w:rPr>
                <w:rFonts w:ascii="Times New Roman" w:eastAsia="Times New Roman" w:hAnsi="Times New Roman" w:cs="Times New Roman"/>
                <w:bCs/>
                <w:color w:val="000000" w:themeColor="text1"/>
                <w:sz w:val="20"/>
                <w:szCs w:val="20"/>
                <w:lang w:val="it-IT"/>
              </w:rPr>
              <w:t xml:space="preserve"> ligjet e përafruara me acquis të BE-së, por edhe në aktet normative që kanë fuqinë e ligjit deri në vitin 2026.</w:t>
            </w:r>
          </w:p>
          <w:p w:rsidR="00C62B22" w:rsidRPr="00C62B22" w:rsidRDefault="00C62B22" w:rsidP="00C62B22">
            <w:pPr>
              <w:jc w:val="both"/>
              <w:textAlignment w:val="baseline"/>
              <w:rPr>
                <w:rFonts w:ascii="Times New Roman" w:eastAsia="Times New Roman" w:hAnsi="Times New Roman" w:cs="Times New Roman"/>
                <w:bCs/>
                <w:color w:val="000000" w:themeColor="text1"/>
                <w:sz w:val="20"/>
                <w:szCs w:val="20"/>
                <w:lang w:val="it-IT"/>
              </w:rPr>
            </w:pPr>
          </w:p>
          <w:p w:rsidR="00236E64" w:rsidRPr="00856C75" w:rsidRDefault="00236E64" w:rsidP="00C62B22">
            <w:pPr>
              <w:jc w:val="both"/>
              <w:textAlignment w:val="baseline"/>
              <w:rPr>
                <w:rFonts w:ascii="Times New Roman" w:eastAsia="Times New Roman" w:hAnsi="Times New Roman" w:cs="Times New Roman"/>
                <w:bCs/>
                <w:color w:val="000000" w:themeColor="text1"/>
                <w:sz w:val="20"/>
                <w:szCs w:val="20"/>
                <w:lang w:val="it-IT"/>
              </w:rPr>
            </w:pPr>
          </w:p>
        </w:tc>
        <w:tc>
          <w:tcPr>
            <w:tcW w:w="4215" w:type="dxa"/>
            <w:gridSpan w:val="2"/>
            <w:shd w:val="clear" w:color="auto" w:fill="auto"/>
          </w:tcPr>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lastRenderedPageBreak/>
              <w:t>Kapacitetet e deputetëve për të përmirësuar llogaridhënien përmes sesioneve info</w:t>
            </w:r>
            <w:r>
              <w:rPr>
                <w:rFonts w:ascii="Times New Roman" w:eastAsia="Times New Roman" w:hAnsi="Times New Roman" w:cs="Times New Roman"/>
                <w:bCs/>
                <w:color w:val="000000" w:themeColor="text1"/>
                <w:sz w:val="20"/>
                <w:szCs w:val="20"/>
                <w:lang w:val="it-IT"/>
              </w:rPr>
              <w:t xml:space="preserve">rmuese, </w:t>
            </w:r>
            <w:r>
              <w:rPr>
                <w:rFonts w:ascii="Times New Roman" w:eastAsia="Times New Roman" w:hAnsi="Times New Roman" w:cs="Times New Roman"/>
                <w:bCs/>
                <w:color w:val="000000" w:themeColor="text1"/>
                <w:sz w:val="20"/>
                <w:szCs w:val="20"/>
                <w:lang w:val="it-IT"/>
              </w:rPr>
              <w:lastRenderedPageBreak/>
              <w:t>legjislative, kontrolluese dhe monitoruese të qeverisë dhe institucioneve të pavarur  rriten</w:t>
            </w:r>
            <w:r w:rsidRPr="00C62B22">
              <w:rPr>
                <w:rFonts w:ascii="Times New Roman" w:eastAsia="Times New Roman" w:hAnsi="Times New Roman" w:cs="Times New Roman"/>
                <w:bCs/>
                <w:color w:val="000000" w:themeColor="text1"/>
                <w:sz w:val="20"/>
                <w:szCs w:val="20"/>
                <w:lang w:val="it-IT"/>
              </w:rPr>
              <w:t xml:space="preserve"> përmes </w:t>
            </w:r>
            <w:r>
              <w:rPr>
                <w:rFonts w:ascii="Times New Roman" w:eastAsia="Times New Roman" w:hAnsi="Times New Roman" w:cs="Times New Roman"/>
                <w:bCs/>
                <w:color w:val="000000" w:themeColor="text1"/>
                <w:sz w:val="20"/>
                <w:szCs w:val="20"/>
                <w:lang w:val="it-IT"/>
              </w:rPr>
              <w:t>veprimtarive të vazhdueshme të përmirësimit të aftësive.</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-Hartimi i draft metodologjisë për shqyrtimin e post-</w:t>
            </w:r>
            <w:r>
              <w:rPr>
                <w:rFonts w:ascii="Times New Roman" w:eastAsia="Times New Roman" w:hAnsi="Times New Roman" w:cs="Times New Roman"/>
                <w:bCs/>
                <w:color w:val="000000" w:themeColor="text1"/>
                <w:sz w:val="20"/>
                <w:szCs w:val="20"/>
                <w:lang w:val="it-IT"/>
              </w:rPr>
              <w:t xml:space="preserve">kontrollit </w:t>
            </w:r>
            <w:r w:rsidRPr="00C62B22">
              <w:rPr>
                <w:rFonts w:ascii="Times New Roman" w:eastAsia="Times New Roman" w:hAnsi="Times New Roman" w:cs="Times New Roman"/>
                <w:bCs/>
                <w:color w:val="000000" w:themeColor="text1"/>
                <w:sz w:val="20"/>
                <w:szCs w:val="20"/>
                <w:lang w:val="it-IT"/>
              </w:rPr>
              <w:t>l</w:t>
            </w:r>
            <w:r>
              <w:rPr>
                <w:rFonts w:ascii="Times New Roman" w:eastAsia="Times New Roman" w:hAnsi="Times New Roman" w:cs="Times New Roman"/>
                <w:bCs/>
                <w:color w:val="000000" w:themeColor="text1"/>
                <w:sz w:val="20"/>
                <w:szCs w:val="20"/>
                <w:lang w:val="it-IT"/>
              </w:rPr>
              <w:t>igjor</w:t>
            </w:r>
            <w:r w:rsidRPr="00C62B22">
              <w:rPr>
                <w:rFonts w:ascii="Times New Roman" w:eastAsia="Times New Roman" w:hAnsi="Times New Roman" w:cs="Times New Roman"/>
                <w:bCs/>
                <w:color w:val="000000" w:themeColor="text1"/>
                <w:sz w:val="20"/>
                <w:szCs w:val="20"/>
                <w:lang w:val="it-IT"/>
              </w:rPr>
              <w:t xml:space="preserve"> me mbështetjen e </w:t>
            </w:r>
            <w:r>
              <w:rPr>
                <w:rFonts w:ascii="Times New Roman" w:eastAsia="Times New Roman" w:hAnsi="Times New Roman" w:cs="Times New Roman"/>
                <w:bCs/>
                <w:color w:val="000000" w:themeColor="text1"/>
                <w:sz w:val="20"/>
                <w:szCs w:val="20"/>
                <w:lang w:val="it-IT"/>
              </w:rPr>
              <w:t xml:space="preserve">Fondacionit </w:t>
            </w:r>
            <w:r w:rsidRPr="00C62B22">
              <w:rPr>
                <w:rFonts w:ascii="Times New Roman" w:eastAsia="Times New Roman" w:hAnsi="Times New Roman" w:cs="Times New Roman"/>
                <w:bCs/>
                <w:color w:val="000000" w:themeColor="text1"/>
                <w:sz w:val="20"/>
                <w:szCs w:val="20"/>
                <w:lang w:val="it-IT"/>
              </w:rPr>
              <w:t>Westminster në bashkëpunim me stafin e Kuvendit dhe trajnimin e stafit të Kuvendit për zbatimin e saj (Afati: 2024-2026);</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-Disponueshmëri më në kohë dhe më miqësore për përdoruesit e dokumentacionit zyrtar parlamentar për shoqërinë civile, median, palët e tjera të interesuara dhe publikun e gjerë duke përmirësuar vazhdimisht informacionin e publikuar në faqen e Kuvendit në përputhje me Rregulloren e Punës së Kuvendit (Afati i fundit :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xml:space="preserve">- Zbatimi i një sistemi transkriptimi </w:t>
            </w:r>
            <w:r>
              <w:rPr>
                <w:rFonts w:ascii="Times New Roman" w:eastAsia="Times New Roman" w:hAnsi="Times New Roman" w:cs="Times New Roman"/>
                <w:bCs/>
                <w:color w:val="000000" w:themeColor="text1"/>
                <w:sz w:val="20"/>
                <w:szCs w:val="20"/>
                <w:lang w:val="it-IT"/>
              </w:rPr>
              <w:t>që</w:t>
            </w:r>
            <w:r w:rsidRPr="00C62B22">
              <w:rPr>
                <w:rFonts w:ascii="Times New Roman" w:eastAsia="Times New Roman" w:hAnsi="Times New Roman" w:cs="Times New Roman"/>
                <w:bCs/>
                <w:color w:val="000000" w:themeColor="text1"/>
                <w:sz w:val="20"/>
                <w:szCs w:val="20"/>
                <w:lang w:val="it-IT"/>
              </w:rPr>
              <w:t xml:space="preserve"> të mundësojë sqarimin sa më të shpejtë të materialit audio për mbledhjet e komisioneve parlamentare dhe seancat plenare</w:t>
            </w:r>
            <w:r>
              <w:rPr>
                <w:rFonts w:ascii="Times New Roman" w:eastAsia="Times New Roman" w:hAnsi="Times New Roman" w:cs="Times New Roman"/>
                <w:bCs/>
                <w:color w:val="000000" w:themeColor="text1"/>
                <w:sz w:val="20"/>
                <w:szCs w:val="20"/>
                <w:lang w:val="it-IT"/>
              </w:rPr>
              <w:t xml:space="preserve"> sa më shpejtë të jetë e mundur</w:t>
            </w:r>
            <w:r w:rsidRPr="00C62B22">
              <w:rPr>
                <w:rFonts w:ascii="Times New Roman" w:eastAsia="Times New Roman" w:hAnsi="Times New Roman" w:cs="Times New Roman"/>
                <w:bCs/>
                <w:color w:val="000000" w:themeColor="text1"/>
                <w:sz w:val="20"/>
                <w:szCs w:val="20"/>
                <w:lang w:val="it-IT"/>
              </w:rPr>
              <w:t xml:space="preserve">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w:t>
            </w:r>
            <w:r>
              <w:rPr>
                <w:rFonts w:ascii="Times New Roman" w:eastAsia="Times New Roman" w:hAnsi="Times New Roman" w:cs="Times New Roman"/>
                <w:bCs/>
                <w:color w:val="000000" w:themeColor="text1"/>
                <w:sz w:val="20"/>
                <w:szCs w:val="20"/>
                <w:lang w:val="it-IT"/>
              </w:rPr>
              <w:t xml:space="preserve">Transmetim i vazhdueshëm </w:t>
            </w:r>
            <w:r w:rsidRPr="00C62B22">
              <w:rPr>
                <w:rFonts w:ascii="Times New Roman" w:eastAsia="Times New Roman" w:hAnsi="Times New Roman" w:cs="Times New Roman"/>
                <w:bCs/>
                <w:color w:val="000000" w:themeColor="text1"/>
                <w:sz w:val="20"/>
                <w:szCs w:val="20"/>
                <w:lang w:val="it-IT"/>
              </w:rPr>
              <w:t xml:space="preserve"> në kohë reale dhe </w:t>
            </w:r>
            <w:r>
              <w:rPr>
                <w:rFonts w:ascii="Times New Roman" w:eastAsia="Times New Roman" w:hAnsi="Times New Roman" w:cs="Times New Roman"/>
                <w:bCs/>
                <w:color w:val="000000" w:themeColor="text1"/>
                <w:sz w:val="20"/>
                <w:szCs w:val="20"/>
                <w:lang w:val="it-IT"/>
              </w:rPr>
              <w:t>qasja</w:t>
            </w:r>
            <w:r w:rsidRPr="00C62B22">
              <w:rPr>
                <w:rFonts w:ascii="Times New Roman" w:eastAsia="Times New Roman" w:hAnsi="Times New Roman" w:cs="Times New Roman"/>
                <w:bCs/>
                <w:color w:val="000000" w:themeColor="text1"/>
                <w:sz w:val="20"/>
                <w:szCs w:val="20"/>
                <w:lang w:val="it-IT"/>
              </w:rPr>
              <w:t xml:space="preserve"> në materialet audio-video të veprimtarisë parlamentare në çdo kohë nga publiku; (RTSH</w:t>
            </w:r>
            <w:r>
              <w:rPr>
                <w:rFonts w:ascii="Times New Roman" w:eastAsia="Times New Roman" w:hAnsi="Times New Roman" w:cs="Times New Roman"/>
                <w:bCs/>
                <w:color w:val="000000" w:themeColor="text1"/>
                <w:sz w:val="20"/>
                <w:szCs w:val="20"/>
                <w:lang w:val="it-IT"/>
              </w:rPr>
              <w:t xml:space="preserve"> Kuvendi</w:t>
            </w:r>
            <w:r w:rsidRPr="00C62B22">
              <w:rPr>
                <w:rFonts w:ascii="Times New Roman" w:eastAsia="Times New Roman" w:hAnsi="Times New Roman" w:cs="Times New Roman"/>
                <w:bCs/>
                <w:color w:val="000000" w:themeColor="text1"/>
                <w:sz w:val="20"/>
                <w:szCs w:val="20"/>
                <w:lang w:val="it-IT"/>
              </w:rPr>
              <w:t>, Faqja e Kuvendit dhe Rrjetet Sociale të Kuvendit) (Afati: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-Hartimi i një plani pune për arritjen e standardeve dhe treguesve të transparencës 2024-2025.</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xml:space="preserve">-Zbatimi i sistemit E-Legjislacion që do të integrojë sistemet e të gjitha institucioneve të përfshira në procesin ligjbërës si dhe fuqizimin e </w:t>
            </w:r>
            <w:r w:rsidRPr="00C62B22">
              <w:rPr>
                <w:rFonts w:ascii="Times New Roman" w:eastAsia="Times New Roman" w:hAnsi="Times New Roman" w:cs="Times New Roman"/>
                <w:bCs/>
                <w:color w:val="000000" w:themeColor="text1"/>
                <w:sz w:val="20"/>
                <w:szCs w:val="20"/>
                <w:lang w:val="it-IT"/>
              </w:rPr>
              <w:lastRenderedPageBreak/>
              <w:t>kapaciteteve administrative të Kuvendit nëpërmjet trajnimeve për përballimin e përgjegjësive të shtuara për çështjet e transparencës që da</w:t>
            </w:r>
            <w:r>
              <w:rPr>
                <w:rFonts w:ascii="Times New Roman" w:eastAsia="Times New Roman" w:hAnsi="Times New Roman" w:cs="Times New Roman"/>
                <w:bCs/>
                <w:color w:val="000000" w:themeColor="text1"/>
                <w:sz w:val="20"/>
                <w:szCs w:val="20"/>
                <w:lang w:val="it-IT"/>
              </w:rPr>
              <w:t xml:space="preserve">lin nga procesi i anëtarësimit </w:t>
            </w:r>
            <w:r w:rsidRPr="00C62B22">
              <w:rPr>
                <w:rFonts w:ascii="Times New Roman" w:eastAsia="Times New Roman" w:hAnsi="Times New Roman" w:cs="Times New Roman"/>
                <w:bCs/>
                <w:color w:val="000000" w:themeColor="text1"/>
                <w:sz w:val="20"/>
                <w:szCs w:val="20"/>
                <w:lang w:val="it-IT"/>
              </w:rPr>
              <w:t>brenda vitit 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-Rritja e p</w:t>
            </w:r>
            <w:r>
              <w:rPr>
                <w:rFonts w:ascii="Times New Roman" w:eastAsia="Times New Roman" w:hAnsi="Times New Roman" w:cs="Times New Roman"/>
                <w:bCs/>
                <w:color w:val="000000" w:themeColor="text1"/>
                <w:sz w:val="20"/>
                <w:szCs w:val="20"/>
                <w:lang w:val="it-IT"/>
              </w:rPr>
              <w:t>jesëmarrjees</w:t>
            </w:r>
            <w:r w:rsidRPr="00C62B22">
              <w:rPr>
                <w:rFonts w:ascii="Times New Roman" w:eastAsia="Times New Roman" w:hAnsi="Times New Roman" w:cs="Times New Roman"/>
                <w:bCs/>
                <w:color w:val="000000" w:themeColor="text1"/>
                <w:sz w:val="20"/>
                <w:szCs w:val="20"/>
                <w:lang w:val="it-IT"/>
              </w:rPr>
              <w:t xml:space="preserve"> së OSHC-ve dhe grupeve të interesit në mbledhjet e komisioneve parlamentare gjatë procesit ligjbërës dhe mbikëqyrës si dhe gjatë ushtrimit të funksionit zgjedhor të Kuvendit. (Afati i fundit: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-Rritja e numrit të projektligjeve të konsultuara në platformën e projektligjeve në përputhje me Rregulloren e Kuvendit. (Afati i fundit: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-Rritja e përfshirjes së OSHC-ve dhe grupeve të interesit në mbledhjet e Këshillit Kombëtar për Integrimin Evropian duke u dhënë atyre më shumë hapësirë/kohë gjatë diskutimeve në mbledhjet e KKIE-së duke diskutuar zbatimin e rekomandimeve të dokumenteve të KE-së si: Raportet Vjetore, Raportet e shqyrtimit, standardet e hapjes/ndërmjetme/mbylljes etj. dhe gjithashtu dokumente të përgatitura nga institucionet shqiptare në përgjigje të tyre si udhërrëfyes, Plani Kombëtar për Integrimin Europian, Plani Kombëtar për Procesin e Aderimit etj. (Afati: 2024-2023).</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xml:space="preserve">- Përmirësimi i rolit mbikëqyrës të Kuvendit mbi ekzekutivin duke </w:t>
            </w:r>
            <w:r>
              <w:rPr>
                <w:rFonts w:ascii="Times New Roman" w:eastAsia="Times New Roman" w:hAnsi="Times New Roman" w:cs="Times New Roman"/>
                <w:bCs/>
                <w:color w:val="000000" w:themeColor="text1"/>
                <w:sz w:val="20"/>
                <w:szCs w:val="20"/>
                <w:lang w:val="it-IT"/>
              </w:rPr>
              <w:t xml:space="preserve">shtuar </w:t>
            </w:r>
            <w:r w:rsidRPr="00C62B22">
              <w:rPr>
                <w:rFonts w:ascii="Times New Roman" w:eastAsia="Times New Roman" w:hAnsi="Times New Roman" w:cs="Times New Roman"/>
                <w:bCs/>
                <w:color w:val="000000" w:themeColor="text1"/>
                <w:sz w:val="20"/>
                <w:szCs w:val="20"/>
                <w:lang w:val="it-IT"/>
              </w:rPr>
              <w:t>përdorimin e instrumenteve të kontrollit nga deputetët (pyetje, interpelanca, seanca dëgjimore në komisionet parlamentare, mocione, vizita, etj.) si dhe duke rritur aktivitetet e nënkomisioneve parlamentare. Afati: 2023-2030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xml:space="preserve">- Organizimi i proceseve të </w:t>
            </w:r>
            <w:r w:rsidRPr="00C62B22">
              <w:rPr>
                <w:rFonts w:ascii="Times New Roman" w:eastAsia="Times New Roman" w:hAnsi="Times New Roman" w:cs="Times New Roman"/>
                <w:bCs/>
                <w:color w:val="000000" w:themeColor="text1"/>
                <w:sz w:val="20"/>
                <w:szCs w:val="20"/>
                <w:lang w:val="it-IT"/>
              </w:rPr>
              <w:lastRenderedPageBreak/>
              <w:t>zgjedhjeve/emërimeve të kryetarëve dhe anëtarëve të institucioneve të pavarura sipas afateve ligjore dhe vendeve vakante të krijuara, pa vonesa dhe duke siguruar zbatimin e parimeve të paanshmërisë, pavarësisë dhe transparencës. Afati: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Ushtrimi sistematik i funksionit mbikëqyrës të Kuvendit ndaj veprimtarisë së qeverisë, lidhur me zbatimin e ligjeve dhe politikave, nëpërmjet:</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Përdorimi</w:t>
            </w:r>
            <w:r>
              <w:rPr>
                <w:rFonts w:ascii="Times New Roman" w:eastAsia="Times New Roman" w:hAnsi="Times New Roman" w:cs="Times New Roman"/>
                <w:bCs/>
                <w:color w:val="000000" w:themeColor="text1"/>
                <w:sz w:val="20"/>
                <w:szCs w:val="20"/>
                <w:lang w:val="it-IT"/>
              </w:rPr>
              <w:t>t më intensiv të</w:t>
            </w:r>
            <w:r w:rsidRPr="00C62B22">
              <w:rPr>
                <w:rFonts w:ascii="Times New Roman" w:eastAsia="Times New Roman" w:hAnsi="Times New Roman" w:cs="Times New Roman"/>
                <w:bCs/>
                <w:color w:val="000000" w:themeColor="text1"/>
                <w:sz w:val="20"/>
                <w:szCs w:val="20"/>
                <w:lang w:val="it-IT"/>
              </w:rPr>
              <w:t xml:space="preserve"> interpelancave, pyetjeve, mocioneve për debat në seancat plenare, seancave dëgjimore në komisionet parlamentare, kërkesave për informacion, etj. (Afati: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 Rritja e përdorimit të instrumenteve të kontrollit nga deputetët (pyetje, interpelanca, seanca, mocione, vizita, etj.) (Afati: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C62B22">
              <w:rPr>
                <w:rFonts w:ascii="Times New Roman" w:eastAsia="Times New Roman" w:hAnsi="Times New Roman" w:cs="Times New Roman"/>
                <w:bCs/>
                <w:color w:val="000000" w:themeColor="text1"/>
                <w:sz w:val="20"/>
                <w:szCs w:val="20"/>
                <w:lang w:val="it-IT"/>
              </w:rPr>
              <w:t>-Zhvillimi i takimeve të përbashkëta periodike ndërmjet Parlamentit, Qeverisë dhe institucioneve të pavarura për të diskutuar dhe mbikëqyrur nivelin e zbatimit të rekomandimeve të dhëna nga institucionet e pavarura (Afati: 2024-2030).</w:t>
            </w:r>
          </w:p>
          <w:p w:rsidR="00B87308" w:rsidRPr="00C62B22"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B87308" w:rsidRPr="00B87308" w:rsidRDefault="00B87308" w:rsidP="00B87308">
            <w:pPr>
              <w:jc w:val="both"/>
              <w:textAlignment w:val="baseline"/>
              <w:rPr>
                <w:rFonts w:ascii="Times New Roman" w:eastAsia="Times New Roman" w:hAnsi="Times New Roman" w:cs="Times New Roman"/>
                <w:bCs/>
                <w:color w:val="000000" w:themeColor="text1"/>
                <w:sz w:val="20"/>
                <w:szCs w:val="20"/>
                <w:lang w:val="it-IT"/>
              </w:rPr>
            </w:pPr>
            <w:r w:rsidRPr="00B87308">
              <w:rPr>
                <w:rFonts w:ascii="Times New Roman" w:eastAsia="Times New Roman" w:hAnsi="Times New Roman" w:cs="Times New Roman"/>
                <w:bCs/>
                <w:color w:val="000000" w:themeColor="text1"/>
                <w:sz w:val="20"/>
                <w:szCs w:val="20"/>
                <w:lang w:val="it-IT"/>
              </w:rPr>
              <w:t>-Forcimi i rolit monitorues ndaj institucioneve të pavarura përmes organizimit të seancave dëgjimore në komisionet parlamentare me institucione të pavarura duke mos shfrytëzuar raportet e dërguara nga institucionet e pavarura për çështje të ndryshme (Afati: 2024-2023).</w:t>
            </w:r>
          </w:p>
          <w:p w:rsidR="00B87308" w:rsidRPr="00B87308" w:rsidRDefault="00B87308" w:rsidP="00B87308">
            <w:pPr>
              <w:jc w:val="both"/>
              <w:textAlignment w:val="baseline"/>
              <w:rPr>
                <w:rFonts w:ascii="Times New Roman" w:eastAsia="Times New Roman" w:hAnsi="Times New Roman" w:cs="Times New Roman"/>
                <w:bCs/>
                <w:color w:val="000000" w:themeColor="text1"/>
                <w:sz w:val="20"/>
                <w:szCs w:val="20"/>
                <w:lang w:val="it-IT"/>
              </w:rPr>
            </w:pPr>
          </w:p>
          <w:p w:rsidR="00236E64" w:rsidRPr="00856C75" w:rsidRDefault="00B87308" w:rsidP="006D37A9">
            <w:pPr>
              <w:jc w:val="both"/>
              <w:textAlignment w:val="baseline"/>
              <w:rPr>
                <w:rFonts w:ascii="Times New Roman" w:eastAsia="Times New Roman" w:hAnsi="Times New Roman" w:cs="Times New Roman"/>
                <w:bCs/>
                <w:color w:val="000000" w:themeColor="text1"/>
                <w:sz w:val="20"/>
                <w:szCs w:val="20"/>
                <w:lang w:val="it-IT"/>
              </w:rPr>
            </w:pPr>
            <w:r w:rsidRPr="00B87308">
              <w:rPr>
                <w:rFonts w:ascii="Times New Roman" w:eastAsia="Times New Roman" w:hAnsi="Times New Roman" w:cs="Times New Roman"/>
                <w:bCs/>
                <w:color w:val="000000" w:themeColor="text1"/>
                <w:sz w:val="20"/>
                <w:szCs w:val="20"/>
                <w:lang w:val="it-IT"/>
              </w:rPr>
              <w:t xml:space="preserve">-Shqyrtimi nga Kuvendi/Komisionet e Përhershme Parlamentare të raporteve vjetore të institucioneve të pavarura, duke zbatuar procedurat ligjore dhe afatet për raportim në Kuvend (Rregullorja e Kuvendit (neni 103) dhe ligjet organike që përcaktojnë organizimin dhe </w:t>
            </w:r>
            <w:r w:rsidRPr="00B87308">
              <w:rPr>
                <w:rFonts w:ascii="Times New Roman" w:eastAsia="Times New Roman" w:hAnsi="Times New Roman" w:cs="Times New Roman"/>
                <w:bCs/>
                <w:color w:val="000000" w:themeColor="text1"/>
                <w:sz w:val="20"/>
                <w:szCs w:val="20"/>
                <w:lang w:val="it-IT"/>
              </w:rPr>
              <w:lastRenderedPageBreak/>
              <w:t>funksionimin</w:t>
            </w:r>
            <w:r w:rsidR="006D37A9">
              <w:rPr>
                <w:rFonts w:ascii="Times New Roman" w:eastAsia="Times New Roman" w:hAnsi="Times New Roman" w:cs="Times New Roman"/>
                <w:bCs/>
                <w:color w:val="000000" w:themeColor="text1"/>
                <w:sz w:val="20"/>
                <w:szCs w:val="20"/>
                <w:lang w:val="it-IT"/>
              </w:rPr>
              <w:t xml:space="preserve"> e</w:t>
            </w:r>
            <w:r w:rsidRPr="00B87308">
              <w:rPr>
                <w:rFonts w:ascii="Times New Roman" w:eastAsia="Times New Roman" w:hAnsi="Times New Roman" w:cs="Times New Roman"/>
                <w:bCs/>
                <w:color w:val="000000" w:themeColor="text1"/>
                <w:sz w:val="20"/>
                <w:szCs w:val="20"/>
                <w:lang w:val="it-IT"/>
              </w:rPr>
              <w:t xml:space="preserve"> këtyre institucioneve) dhe miratimin e një rezolute për secilën prej tyre me rekomandime specifike që duhen ndjekur dhe zbatuar për vitin në vijim/ (Afati: 2024-2030).</w:t>
            </w:r>
          </w:p>
        </w:tc>
        <w:tc>
          <w:tcPr>
            <w:tcW w:w="3841" w:type="dxa"/>
            <w:gridSpan w:val="2"/>
            <w:shd w:val="clear" w:color="auto" w:fill="auto"/>
          </w:tcPr>
          <w:p w:rsidR="00090F52" w:rsidRPr="00090F52" w:rsidRDefault="00090F52" w:rsidP="00090F52">
            <w:pPr>
              <w:jc w:val="both"/>
              <w:textAlignment w:val="baseline"/>
              <w:rPr>
                <w:rFonts w:ascii="Times New Roman" w:eastAsia="Times New Roman" w:hAnsi="Times New Roman" w:cs="Times New Roman"/>
                <w:bCs/>
                <w:color w:val="000000" w:themeColor="text1"/>
                <w:sz w:val="20"/>
                <w:szCs w:val="20"/>
                <w:lang w:val="it-IT"/>
              </w:rPr>
            </w:pPr>
            <w:r w:rsidRPr="00090F52">
              <w:rPr>
                <w:rFonts w:ascii="Times New Roman" w:eastAsia="Times New Roman" w:hAnsi="Times New Roman" w:cs="Times New Roman"/>
                <w:bCs/>
                <w:color w:val="000000" w:themeColor="text1"/>
                <w:sz w:val="20"/>
                <w:szCs w:val="20"/>
                <w:lang w:val="it-IT"/>
              </w:rPr>
              <w:lastRenderedPageBreak/>
              <w:t xml:space="preserve">Përfshirja e aktorëve më të gjerë nga shoqëria civile dhe grupet e </w:t>
            </w:r>
            <w:r>
              <w:rPr>
                <w:rFonts w:ascii="Times New Roman" w:eastAsia="Times New Roman" w:hAnsi="Times New Roman" w:cs="Times New Roman"/>
                <w:bCs/>
                <w:color w:val="000000" w:themeColor="text1"/>
                <w:sz w:val="20"/>
                <w:szCs w:val="20"/>
                <w:lang w:val="it-IT"/>
              </w:rPr>
              <w:t xml:space="preserve">interesit në </w:t>
            </w:r>
            <w:r>
              <w:rPr>
                <w:rFonts w:ascii="Times New Roman" w:eastAsia="Times New Roman" w:hAnsi="Times New Roman" w:cs="Times New Roman"/>
                <w:bCs/>
                <w:color w:val="000000" w:themeColor="text1"/>
                <w:sz w:val="20"/>
                <w:szCs w:val="20"/>
                <w:lang w:val="it-IT"/>
              </w:rPr>
              <w:lastRenderedPageBreak/>
              <w:t>punën e Kuvendit përmirësohet dhe forcohet</w:t>
            </w:r>
            <w:r w:rsidR="003D7DD1">
              <w:rPr>
                <w:rFonts w:ascii="Times New Roman" w:eastAsia="Times New Roman" w:hAnsi="Times New Roman" w:cs="Times New Roman"/>
                <w:bCs/>
                <w:color w:val="000000" w:themeColor="text1"/>
                <w:sz w:val="20"/>
                <w:szCs w:val="20"/>
                <w:lang w:val="it-IT"/>
              </w:rPr>
              <w:t xml:space="preserve"> brenda vitit 2030.</w:t>
            </w:r>
          </w:p>
          <w:p w:rsidR="00090F52" w:rsidRPr="00090F52" w:rsidRDefault="00090F52" w:rsidP="00090F52">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 xml:space="preserve">Kodi i Sjelljes  ndryshohet dhe zbatohet </w:t>
            </w:r>
            <w:r w:rsidRPr="00090F52">
              <w:rPr>
                <w:rFonts w:ascii="Times New Roman" w:eastAsia="Times New Roman" w:hAnsi="Times New Roman" w:cs="Times New Roman"/>
                <w:bCs/>
                <w:color w:val="000000" w:themeColor="text1"/>
                <w:sz w:val="20"/>
                <w:szCs w:val="20"/>
                <w:lang w:val="it-IT"/>
              </w:rPr>
              <w:t>nga deputetët.</w:t>
            </w:r>
          </w:p>
          <w:p w:rsidR="00090F52" w:rsidRPr="00090F52" w:rsidRDefault="00090F52" w:rsidP="00090F52">
            <w:pPr>
              <w:jc w:val="both"/>
              <w:textAlignment w:val="baseline"/>
              <w:rPr>
                <w:rFonts w:ascii="Times New Roman" w:eastAsia="Times New Roman" w:hAnsi="Times New Roman" w:cs="Times New Roman"/>
                <w:bCs/>
                <w:color w:val="000000" w:themeColor="text1"/>
                <w:sz w:val="20"/>
                <w:szCs w:val="20"/>
                <w:lang w:val="it-IT"/>
              </w:rPr>
            </w:pPr>
          </w:p>
          <w:p w:rsidR="00090F52" w:rsidRPr="00090F52" w:rsidRDefault="00090F52" w:rsidP="00090F52">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Rregullorja e Kuvendit ndryshohet dhe kontrolli post ligjor zbatohet jo v</w:t>
            </w:r>
            <w:r w:rsidRPr="00090F52">
              <w:rPr>
                <w:rFonts w:ascii="Times New Roman" w:eastAsia="Times New Roman" w:hAnsi="Times New Roman" w:cs="Times New Roman"/>
                <w:bCs/>
                <w:color w:val="000000" w:themeColor="text1"/>
                <w:sz w:val="20"/>
                <w:szCs w:val="20"/>
                <w:lang w:val="it-IT"/>
              </w:rPr>
              <w:t>etëm për ligjet e përafruara me acquis të BE-së por edhe për aktet normative që kanë fuqinë e ligjit deri në vitin 2027</w:t>
            </w:r>
          </w:p>
          <w:p w:rsidR="00090F52" w:rsidRPr="00090F52" w:rsidRDefault="00090F52" w:rsidP="00090F52">
            <w:pPr>
              <w:jc w:val="both"/>
              <w:textAlignment w:val="baseline"/>
              <w:rPr>
                <w:rFonts w:ascii="Times New Roman" w:eastAsia="Times New Roman" w:hAnsi="Times New Roman" w:cs="Times New Roman"/>
                <w:bCs/>
                <w:color w:val="000000" w:themeColor="text1"/>
                <w:sz w:val="20"/>
                <w:szCs w:val="20"/>
                <w:lang w:val="it-IT"/>
              </w:rPr>
            </w:pPr>
          </w:p>
          <w:p w:rsidR="00236E64" w:rsidRDefault="00090F52" w:rsidP="00090F52">
            <w:pPr>
              <w:jc w:val="both"/>
              <w:textAlignment w:val="baseline"/>
              <w:rPr>
                <w:rFonts w:ascii="Times New Roman" w:eastAsia="Times New Roman" w:hAnsi="Times New Roman" w:cs="Times New Roman"/>
                <w:bCs/>
                <w:color w:val="000000" w:themeColor="text1"/>
                <w:sz w:val="20"/>
                <w:szCs w:val="20"/>
                <w:lang w:val="it-IT"/>
              </w:rPr>
            </w:pPr>
            <w:r w:rsidRPr="00090F52">
              <w:rPr>
                <w:rFonts w:ascii="Times New Roman" w:eastAsia="Times New Roman" w:hAnsi="Times New Roman" w:cs="Times New Roman"/>
                <w:bCs/>
                <w:color w:val="000000" w:themeColor="text1"/>
                <w:sz w:val="20"/>
                <w:szCs w:val="20"/>
                <w:lang w:val="it-IT"/>
              </w:rPr>
              <w:t xml:space="preserve">Disponueshmëria e dokumentacionit zyrtar parlamentar për shoqërinë civile, median, palët e tjera të interesuara dhe publikun e gjerë në </w:t>
            </w:r>
            <w:r w:rsidR="00D21309">
              <w:rPr>
                <w:rFonts w:ascii="Times New Roman" w:eastAsia="Times New Roman" w:hAnsi="Times New Roman" w:cs="Times New Roman"/>
                <w:bCs/>
                <w:color w:val="000000" w:themeColor="text1"/>
                <w:sz w:val="20"/>
                <w:szCs w:val="20"/>
                <w:lang w:val="it-IT"/>
              </w:rPr>
              <w:t>zbatohet n</w:t>
            </w:r>
            <w:r w:rsidR="00D35069">
              <w:rPr>
                <w:rFonts w:ascii="Times New Roman" w:eastAsia="Times New Roman" w:hAnsi="Times New Roman" w:cs="Times New Roman"/>
                <w:bCs/>
                <w:color w:val="000000" w:themeColor="text1"/>
                <w:sz w:val="20"/>
                <w:szCs w:val="20"/>
                <w:lang w:val="it-IT"/>
              </w:rPr>
              <w:t xml:space="preserve">ë </w:t>
            </w:r>
            <w:r w:rsidRPr="00090F52">
              <w:rPr>
                <w:rFonts w:ascii="Times New Roman" w:eastAsia="Times New Roman" w:hAnsi="Times New Roman" w:cs="Times New Roman"/>
                <w:bCs/>
                <w:color w:val="000000" w:themeColor="text1"/>
                <w:sz w:val="20"/>
                <w:szCs w:val="20"/>
                <w:lang w:val="it-IT"/>
              </w:rPr>
              <w:t>kohën e duhur dhe</w:t>
            </w:r>
            <w:r w:rsidR="00D35069">
              <w:rPr>
                <w:rFonts w:ascii="Times New Roman" w:eastAsia="Times New Roman" w:hAnsi="Times New Roman" w:cs="Times New Roman"/>
                <w:bCs/>
                <w:color w:val="000000" w:themeColor="text1"/>
                <w:sz w:val="20"/>
                <w:szCs w:val="20"/>
                <w:lang w:val="it-IT"/>
              </w:rPr>
              <w:t>me qasje</w:t>
            </w:r>
            <w:r w:rsidRPr="00090F52">
              <w:rPr>
                <w:rFonts w:ascii="Times New Roman" w:eastAsia="Times New Roman" w:hAnsi="Times New Roman" w:cs="Times New Roman"/>
                <w:bCs/>
                <w:color w:val="000000" w:themeColor="text1"/>
                <w:sz w:val="20"/>
                <w:szCs w:val="20"/>
                <w:lang w:val="it-IT"/>
              </w:rPr>
              <w:t xml:space="preserve"> miqësore për përdoruesit.</w:t>
            </w:r>
          </w:p>
          <w:p w:rsidR="003D7DD1" w:rsidRDefault="003D7DD1" w:rsidP="00090F52">
            <w:pPr>
              <w:jc w:val="both"/>
              <w:textAlignment w:val="baseline"/>
              <w:rPr>
                <w:rFonts w:ascii="Times New Roman" w:eastAsia="Times New Roman" w:hAnsi="Times New Roman" w:cs="Times New Roman"/>
                <w:bCs/>
                <w:color w:val="000000" w:themeColor="text1"/>
                <w:sz w:val="20"/>
                <w:szCs w:val="20"/>
                <w:lang w:val="it-IT"/>
              </w:rPr>
            </w:pPr>
          </w:p>
          <w:p w:rsidR="003D7DD1" w:rsidRDefault="003D7DD1" w:rsidP="00090F52">
            <w:pPr>
              <w:jc w:val="both"/>
              <w:textAlignment w:val="baseline"/>
              <w:rPr>
                <w:rFonts w:ascii="Times New Roman" w:eastAsia="Times New Roman" w:hAnsi="Times New Roman" w:cs="Times New Roman"/>
                <w:bCs/>
                <w:color w:val="000000" w:themeColor="text1"/>
                <w:sz w:val="20"/>
                <w:szCs w:val="20"/>
                <w:lang w:val="it-IT"/>
              </w:rPr>
            </w:pPr>
          </w:p>
          <w:p w:rsidR="003D7DD1" w:rsidRDefault="003D7DD1" w:rsidP="00090F52">
            <w:pPr>
              <w:jc w:val="both"/>
              <w:textAlignment w:val="baseline"/>
              <w:rPr>
                <w:rFonts w:ascii="Times New Roman" w:eastAsia="Times New Roman" w:hAnsi="Times New Roman" w:cs="Times New Roman"/>
                <w:bCs/>
                <w:color w:val="000000" w:themeColor="text1"/>
                <w:sz w:val="20"/>
                <w:szCs w:val="20"/>
                <w:lang w:val="it-IT"/>
              </w:rPr>
            </w:pPr>
          </w:p>
          <w:p w:rsidR="003D7DD1" w:rsidRDefault="003D7DD1" w:rsidP="00090F52">
            <w:pPr>
              <w:jc w:val="both"/>
              <w:textAlignment w:val="baseline"/>
              <w:rPr>
                <w:rFonts w:ascii="Times New Roman" w:eastAsia="Times New Roman" w:hAnsi="Times New Roman" w:cs="Times New Roman"/>
                <w:bCs/>
                <w:color w:val="000000" w:themeColor="text1"/>
                <w:sz w:val="20"/>
                <w:szCs w:val="20"/>
                <w:lang w:val="it-IT"/>
              </w:rPr>
            </w:pPr>
          </w:p>
          <w:p w:rsidR="003D7DD1" w:rsidRDefault="003D7DD1" w:rsidP="00090F52">
            <w:pPr>
              <w:jc w:val="both"/>
              <w:textAlignment w:val="baseline"/>
              <w:rPr>
                <w:rFonts w:ascii="Times New Roman" w:eastAsia="Times New Roman" w:hAnsi="Times New Roman" w:cs="Times New Roman"/>
                <w:bCs/>
                <w:color w:val="000000" w:themeColor="text1"/>
                <w:sz w:val="20"/>
                <w:szCs w:val="20"/>
                <w:lang w:val="it-IT"/>
              </w:rPr>
            </w:pP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r w:rsidRPr="003D7DD1">
              <w:rPr>
                <w:rFonts w:ascii="Times New Roman" w:eastAsia="Times New Roman" w:hAnsi="Times New Roman" w:cs="Times New Roman"/>
                <w:bCs/>
                <w:color w:val="000000" w:themeColor="text1"/>
                <w:sz w:val="20"/>
                <w:szCs w:val="20"/>
                <w:lang w:val="it-IT"/>
              </w:rPr>
              <w:t>Transmetim në kohë reale dhe akses në materialet audio-video të veprimtarisë parlamentare në çdo kohë nga publiku.</w:t>
            </w: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r w:rsidRPr="003D7DD1">
              <w:rPr>
                <w:rFonts w:ascii="Times New Roman" w:eastAsia="Times New Roman" w:hAnsi="Times New Roman" w:cs="Times New Roman"/>
                <w:bCs/>
                <w:color w:val="000000" w:themeColor="text1"/>
                <w:sz w:val="20"/>
                <w:szCs w:val="20"/>
                <w:lang w:val="it-IT"/>
              </w:rPr>
              <w:t>Standardet dhe treguesit e theksuar në dokumentin e transparencës të zbatohen plotësisht deri në vitin 2030.</w:t>
            </w: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p>
          <w:p w:rsidR="003D7DD1" w:rsidRPr="003D7DD1" w:rsidRDefault="003D7DD1" w:rsidP="003D7DD1">
            <w:pPr>
              <w:jc w:val="both"/>
              <w:textAlignment w:val="baseline"/>
              <w:rPr>
                <w:rFonts w:ascii="Times New Roman" w:eastAsia="Times New Roman" w:hAnsi="Times New Roman" w:cs="Times New Roman"/>
                <w:bCs/>
                <w:color w:val="000000" w:themeColor="text1"/>
                <w:sz w:val="20"/>
                <w:szCs w:val="20"/>
                <w:lang w:val="it-IT"/>
              </w:rPr>
            </w:pPr>
          </w:p>
          <w:p w:rsidR="00486A4B" w:rsidRDefault="003D7DD1" w:rsidP="003D7DD1">
            <w:pPr>
              <w:jc w:val="both"/>
              <w:textAlignment w:val="baseline"/>
              <w:rPr>
                <w:rFonts w:ascii="Times New Roman" w:eastAsia="Times New Roman" w:hAnsi="Times New Roman" w:cs="Times New Roman"/>
                <w:bCs/>
                <w:color w:val="000000" w:themeColor="text1"/>
                <w:sz w:val="20"/>
                <w:szCs w:val="20"/>
                <w:lang w:val="it-IT"/>
              </w:rPr>
            </w:pPr>
            <w:r w:rsidRPr="00486A4B">
              <w:rPr>
                <w:rFonts w:ascii="Times New Roman" w:eastAsia="Times New Roman" w:hAnsi="Times New Roman" w:cs="Times New Roman"/>
                <w:bCs/>
                <w:color w:val="000000" w:themeColor="text1"/>
                <w:sz w:val="20"/>
                <w:szCs w:val="20"/>
                <w:lang w:val="it-IT"/>
              </w:rPr>
              <w:t>Procedura legjislative më të shpejta dhe efektive të mundësuara përmes dixhitalizimit dhe përmirësimit të proceseve të brendshme brenda vitit 2030 dhe fuqizimit të kapaciteteve administrative të Kuvendit me synimin për të përballuar rritjen e përgjegjësive për çështjet e transparencës që dalin nga procesi i anëtarësimit brenda viteve 2024 -2030.</w:t>
            </w:r>
          </w:p>
          <w:p w:rsidR="00486A4B" w:rsidRDefault="00486A4B" w:rsidP="003D7DD1">
            <w:pPr>
              <w:jc w:val="both"/>
              <w:textAlignment w:val="baseline"/>
              <w:rPr>
                <w:rFonts w:ascii="Times New Roman" w:eastAsia="Times New Roman" w:hAnsi="Times New Roman" w:cs="Times New Roman"/>
                <w:bCs/>
                <w:color w:val="000000" w:themeColor="text1"/>
                <w:sz w:val="20"/>
                <w:szCs w:val="20"/>
                <w:lang w:val="it-IT"/>
              </w:rPr>
            </w:pPr>
          </w:p>
          <w:p w:rsidR="00486A4B" w:rsidRDefault="00486A4B" w:rsidP="003D7DD1">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r w:rsidRPr="00486A4B">
              <w:rPr>
                <w:rFonts w:ascii="Times New Roman" w:eastAsia="Times New Roman" w:hAnsi="Times New Roman" w:cs="Times New Roman"/>
                <w:bCs/>
                <w:color w:val="000000" w:themeColor="text1"/>
                <w:sz w:val="20"/>
                <w:szCs w:val="20"/>
                <w:lang w:val="it-IT"/>
              </w:rPr>
              <w:t>Përfshirja e aktorëve më të gjerë nga shoqëria civile dhe grupet e</w:t>
            </w:r>
            <w:r>
              <w:rPr>
                <w:rFonts w:ascii="Times New Roman" w:eastAsia="Times New Roman" w:hAnsi="Times New Roman" w:cs="Times New Roman"/>
                <w:bCs/>
                <w:color w:val="000000" w:themeColor="text1"/>
                <w:sz w:val="20"/>
                <w:szCs w:val="20"/>
                <w:lang w:val="it-IT"/>
              </w:rPr>
              <w:t xml:space="preserve"> interesit në punën e Kuvendit  përmirësohet dhe forcohet</w:t>
            </w:r>
            <w:r w:rsidRPr="00486A4B">
              <w:rPr>
                <w:rFonts w:ascii="Times New Roman" w:eastAsia="Times New Roman" w:hAnsi="Times New Roman" w:cs="Times New Roman"/>
                <w:bCs/>
                <w:color w:val="000000" w:themeColor="text1"/>
                <w:sz w:val="20"/>
                <w:szCs w:val="20"/>
                <w:lang w:val="it-IT"/>
              </w:rPr>
              <w:t xml:space="preserve"> brenda vitit 2030.</w:t>
            </w: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r w:rsidRPr="00486A4B">
              <w:rPr>
                <w:rFonts w:ascii="Times New Roman" w:eastAsia="Times New Roman" w:hAnsi="Times New Roman" w:cs="Times New Roman"/>
                <w:bCs/>
                <w:color w:val="000000" w:themeColor="text1"/>
                <w:sz w:val="20"/>
                <w:szCs w:val="20"/>
                <w:lang w:val="it-IT"/>
              </w:rPr>
              <w:t>Rritja e numrit të projektlig</w:t>
            </w:r>
            <w:r>
              <w:rPr>
                <w:rFonts w:ascii="Times New Roman" w:eastAsia="Times New Roman" w:hAnsi="Times New Roman" w:cs="Times New Roman"/>
                <w:bCs/>
                <w:color w:val="000000" w:themeColor="text1"/>
                <w:sz w:val="20"/>
                <w:szCs w:val="20"/>
                <w:lang w:val="it-IT"/>
              </w:rPr>
              <w:t>jeve të konsultuara p</w:t>
            </w:r>
            <w:r>
              <w:rPr>
                <w:rFonts w:ascii="Sylfaen" w:eastAsia="Times New Roman" w:hAnsi="Sylfaen" w:cs="Times New Roman"/>
                <w:bCs/>
                <w:color w:val="000000" w:themeColor="text1"/>
                <w:sz w:val="20"/>
                <w:szCs w:val="20"/>
                <w:lang w:val="it-IT"/>
              </w:rPr>
              <w:t>ërmes</w:t>
            </w:r>
            <w:r>
              <w:rPr>
                <w:rFonts w:ascii="Times New Roman" w:eastAsia="Times New Roman" w:hAnsi="Times New Roman" w:cs="Times New Roman"/>
                <w:bCs/>
                <w:color w:val="000000" w:themeColor="text1"/>
                <w:sz w:val="20"/>
                <w:szCs w:val="20"/>
                <w:lang w:val="it-IT"/>
              </w:rPr>
              <w:t xml:space="preserve"> platformës</w:t>
            </w:r>
            <w:r w:rsidRPr="00486A4B">
              <w:rPr>
                <w:rFonts w:ascii="Times New Roman" w:eastAsia="Times New Roman" w:hAnsi="Times New Roman" w:cs="Times New Roman"/>
                <w:bCs/>
                <w:color w:val="000000" w:themeColor="text1"/>
                <w:sz w:val="20"/>
                <w:szCs w:val="20"/>
                <w:lang w:val="it-IT"/>
              </w:rPr>
              <w:t xml:space="preserve"> për konsultimin e projektligjeve.</w:t>
            </w: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P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p>
          <w:p w:rsidR="00486A4B" w:rsidRDefault="00486A4B" w:rsidP="00486A4B">
            <w:pPr>
              <w:jc w:val="both"/>
              <w:textAlignment w:val="baseline"/>
              <w:rPr>
                <w:rFonts w:ascii="Times New Roman" w:eastAsia="Times New Roman" w:hAnsi="Times New Roman" w:cs="Times New Roman"/>
                <w:bCs/>
                <w:color w:val="000000" w:themeColor="text1"/>
                <w:sz w:val="20"/>
                <w:szCs w:val="20"/>
                <w:lang w:val="it-IT"/>
              </w:rPr>
            </w:pPr>
            <w:r w:rsidRPr="00486A4B">
              <w:rPr>
                <w:rFonts w:ascii="Times New Roman" w:eastAsia="Times New Roman" w:hAnsi="Times New Roman" w:cs="Times New Roman"/>
                <w:bCs/>
                <w:color w:val="000000" w:themeColor="text1"/>
                <w:sz w:val="20"/>
                <w:szCs w:val="20"/>
                <w:lang w:val="it-IT"/>
              </w:rPr>
              <w:t>Shkëmbim kuptimplotë me përfaqësuesit e shoqërisë civile dhe grupet e i</w:t>
            </w:r>
            <w:r>
              <w:rPr>
                <w:rFonts w:ascii="Times New Roman" w:eastAsia="Times New Roman" w:hAnsi="Times New Roman" w:cs="Times New Roman"/>
                <w:bCs/>
                <w:color w:val="000000" w:themeColor="text1"/>
                <w:sz w:val="20"/>
                <w:szCs w:val="20"/>
                <w:lang w:val="it-IT"/>
              </w:rPr>
              <w:t xml:space="preserve">nteresit gjatë takimeve të KKIE </w:t>
            </w:r>
            <w:r w:rsidRPr="00486A4B">
              <w:rPr>
                <w:rFonts w:ascii="Times New Roman" w:eastAsia="Times New Roman" w:hAnsi="Times New Roman" w:cs="Times New Roman"/>
                <w:bCs/>
                <w:color w:val="000000" w:themeColor="text1"/>
                <w:sz w:val="20"/>
                <w:szCs w:val="20"/>
                <w:lang w:val="it-IT"/>
              </w:rPr>
              <w:t>duke diskutuar dokumente të ndryshme.</w:t>
            </w: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Default="005E58F3" w:rsidP="00486A4B">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r w:rsidRPr="005E58F3">
              <w:rPr>
                <w:rFonts w:ascii="Times New Roman" w:eastAsia="Times New Roman" w:hAnsi="Times New Roman" w:cs="Times New Roman"/>
                <w:bCs/>
                <w:color w:val="000000" w:themeColor="text1"/>
                <w:sz w:val="20"/>
                <w:szCs w:val="20"/>
                <w:lang w:val="it-IT"/>
              </w:rPr>
              <w:t>Një rol proaktiv dhe i zgjeruar i Kuvendit për të mbikëqyrur punën e qeverisë.</w:t>
            </w: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r w:rsidRPr="005E58F3">
              <w:rPr>
                <w:rFonts w:ascii="Times New Roman" w:eastAsia="Times New Roman" w:hAnsi="Times New Roman" w:cs="Times New Roman"/>
                <w:bCs/>
                <w:color w:val="000000" w:themeColor="text1"/>
                <w:sz w:val="20"/>
                <w:szCs w:val="20"/>
                <w:lang w:val="it-IT"/>
              </w:rPr>
              <w:t>Zgjedhja/Emërimi i kryetarëve dhe anëtarëve të institucioneve të pavarura sipas afateve ligjore dhe vendeve vakante të krijuara.</w:t>
            </w: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5E58F3" w:rsidRDefault="005E58F3" w:rsidP="005E58F3">
            <w:pPr>
              <w:jc w:val="both"/>
              <w:textAlignment w:val="baseline"/>
              <w:rPr>
                <w:rFonts w:ascii="Times New Roman" w:eastAsia="Times New Roman" w:hAnsi="Times New Roman" w:cs="Times New Roman"/>
                <w:bCs/>
                <w:color w:val="000000" w:themeColor="text1"/>
                <w:sz w:val="20"/>
                <w:szCs w:val="20"/>
                <w:lang w:val="it-IT"/>
              </w:rPr>
            </w:pPr>
          </w:p>
          <w:p w:rsidR="005E58F3" w:rsidRPr="00486A4B" w:rsidRDefault="005E58F3" w:rsidP="005E58F3">
            <w:pPr>
              <w:jc w:val="both"/>
              <w:textAlignment w:val="baseline"/>
              <w:rPr>
                <w:rFonts w:ascii="Times New Roman" w:eastAsia="Times New Roman" w:hAnsi="Times New Roman" w:cs="Times New Roman"/>
                <w:bCs/>
                <w:color w:val="000000" w:themeColor="text1"/>
                <w:sz w:val="20"/>
                <w:szCs w:val="20"/>
                <w:lang w:val="it-IT"/>
              </w:rPr>
            </w:pPr>
            <w:r w:rsidRPr="005E58F3">
              <w:rPr>
                <w:rFonts w:ascii="Times New Roman" w:eastAsia="Times New Roman" w:hAnsi="Times New Roman" w:cs="Times New Roman"/>
                <w:bCs/>
                <w:color w:val="000000" w:themeColor="text1"/>
                <w:sz w:val="20"/>
                <w:szCs w:val="20"/>
                <w:lang w:val="it-IT"/>
              </w:rPr>
              <w:t xml:space="preserve">Një rol proaktiv dhe i zgjeruar i Kuvendit për të kontrolluar punën e qeverisë, për të monitoruar institucionin e pavarur dhe për të </w:t>
            </w:r>
            <w:r w:rsidRPr="005E58F3">
              <w:rPr>
                <w:rFonts w:ascii="Times New Roman" w:eastAsia="Times New Roman" w:hAnsi="Times New Roman" w:cs="Times New Roman"/>
                <w:bCs/>
                <w:color w:val="000000" w:themeColor="text1"/>
                <w:sz w:val="20"/>
                <w:szCs w:val="20"/>
                <w:lang w:val="it-IT"/>
              </w:rPr>
              <w:lastRenderedPageBreak/>
              <w:t>mbikëqyrur nivelin e zbatimit të rekomandimeve të institucioneve të pavarura.</w:t>
            </w:r>
          </w:p>
        </w:tc>
      </w:tr>
      <w:tr w:rsidR="005E58F3" w:rsidRPr="00486A4B" w:rsidTr="00936177">
        <w:trPr>
          <w:gridAfter w:val="1"/>
          <w:wAfter w:w="374" w:type="dxa"/>
          <w:trHeight w:val="51"/>
        </w:trPr>
        <w:tc>
          <w:tcPr>
            <w:tcW w:w="2920" w:type="dxa"/>
            <w:gridSpan w:val="3"/>
            <w:shd w:val="clear" w:color="auto" w:fill="auto"/>
          </w:tcPr>
          <w:p w:rsidR="005E58F3" w:rsidRDefault="00316958" w:rsidP="00236E64">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lastRenderedPageBreak/>
              <w:t xml:space="preserve">2.2 Integriteti </w:t>
            </w:r>
          </w:p>
          <w:p w:rsid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Kodet etike; deklarimin e pasurisë; regjimet për parandalimin e konfliktit të interesit; kufijtë e imunitetit nga hetimi, ndjekja penale ose gjykimi i veprave të korrupsionit në shkallën e nevojshme në një shoqëri demokratike.</w:t>
            </w: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t>2</w:t>
            </w:r>
            <w:r w:rsidRPr="0079130A">
              <w:rPr>
                <w:rFonts w:ascii="Times New Roman" w:eastAsia="Times New Roman" w:hAnsi="Times New Roman" w:cs="Times New Roman"/>
                <w:b/>
                <w:bCs/>
                <w:color w:val="000000" w:themeColor="text1"/>
                <w:sz w:val="20"/>
                <w:szCs w:val="20"/>
                <w:lang w:val="it-IT"/>
              </w:rPr>
              <w:t>.3  Efektiviteti</w:t>
            </w: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Organizimi i përgjithshëm i biznesit brenda parlamenteve dhe se si ai është në përputhje me normat dhe vlerat demokratike. Në veçanti, kryerja efektive e funksioneve legjislative dhe të kontrollit; roli i mazhorancës dhe opozitës; gjithëpërfshirjen e funksioneve ligjbërëse, duke përfshirë rolin e palëve të interesuara. - Ndryshimi i kuadrit ligjor 1 vit përpara aderimit për të përfshirë koncepte si marrëdhëniet mes Kuvendit të Shqipërisë dhe Parlamentit Europian, parimi i subsidiaritetit në përputhje me Rregulloren e Punës së Parlamentit Europian.</w:t>
            </w: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Pr="0079130A" w:rsidRDefault="0079130A" w:rsidP="00C13E98">
            <w:pPr>
              <w:jc w:val="both"/>
              <w:textAlignment w:val="baseline"/>
              <w:rPr>
                <w:rFonts w:ascii="Times New Roman" w:eastAsia="Times New Roman" w:hAnsi="Times New Roman" w:cs="Times New Roman"/>
                <w:b/>
                <w:bCs/>
                <w:color w:val="000000" w:themeColor="text1"/>
                <w:sz w:val="20"/>
                <w:szCs w:val="20"/>
                <w:lang w:val="it-IT"/>
              </w:rPr>
            </w:pPr>
          </w:p>
        </w:tc>
        <w:tc>
          <w:tcPr>
            <w:tcW w:w="3249" w:type="dxa"/>
            <w:gridSpan w:val="2"/>
            <w:shd w:val="clear" w:color="auto" w:fill="auto"/>
          </w:tcPr>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lastRenderedPageBreak/>
              <w:t>S</w:t>
            </w:r>
            <w:r w:rsidRPr="00C13E98">
              <w:rPr>
                <w:rFonts w:ascii="Times New Roman" w:eastAsia="Times New Roman" w:hAnsi="Times New Roman" w:cs="Times New Roman"/>
                <w:bCs/>
                <w:color w:val="000000" w:themeColor="text1"/>
                <w:sz w:val="20"/>
                <w:szCs w:val="20"/>
                <w:lang w:val="it-IT"/>
              </w:rPr>
              <w:t xml:space="preserve">igurimi i harmonizimit të plotë me standardet ndërkombëtare për luftimin e ryshfetit të zyrtarëve </w:t>
            </w:r>
            <w:r>
              <w:rPr>
                <w:rFonts w:ascii="Times New Roman" w:eastAsia="Times New Roman" w:hAnsi="Times New Roman" w:cs="Times New Roman"/>
                <w:bCs/>
                <w:color w:val="000000" w:themeColor="text1"/>
                <w:sz w:val="20"/>
                <w:szCs w:val="20"/>
                <w:lang w:val="it-IT"/>
              </w:rPr>
              <w:t xml:space="preserve">të huaj </w:t>
            </w:r>
            <w:r w:rsidRPr="00C13E98">
              <w:rPr>
                <w:rFonts w:ascii="Times New Roman" w:eastAsia="Times New Roman" w:hAnsi="Times New Roman" w:cs="Times New Roman"/>
                <w:bCs/>
                <w:color w:val="000000" w:themeColor="text1"/>
                <w:sz w:val="20"/>
                <w:szCs w:val="20"/>
                <w:lang w:val="it-IT"/>
              </w:rPr>
              <w:t>publikë nëpërmjet ratifikimit të Konventës së OECD-së për Luftimin e Ryshfetit të Zyrtarëve Publikë të Huaj në Transaksionet e Biznesit Ndërkombëtar të 17 dhjetorit 1997 brenda 2027.</w:t>
            </w:r>
          </w:p>
          <w:p w:rsid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Default="00C13E98"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4A7CD8" w:rsidP="00C13E98">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 xml:space="preserve">-Ndryshime Kushtetuese që garantojnë </w:t>
            </w:r>
            <w:r w:rsidR="00C13E98" w:rsidRPr="00C13E98">
              <w:rPr>
                <w:rFonts w:ascii="Times New Roman" w:eastAsia="Times New Roman" w:hAnsi="Times New Roman" w:cs="Times New Roman"/>
                <w:bCs/>
                <w:color w:val="000000" w:themeColor="text1"/>
                <w:sz w:val="20"/>
                <w:szCs w:val="20"/>
                <w:lang w:val="it-IT"/>
              </w:rPr>
              <w:t xml:space="preserve">respektimin e parimit të epërsisë së ligjit të BE-së ndaj të gjitha dispozitave të kundërta të ligjit kombëtar, nga institucionet demokratike, përfshirë Kuvendin, Qeverinë, autoritetet gjyqësore, </w:t>
            </w:r>
            <w:r>
              <w:rPr>
                <w:rFonts w:ascii="Times New Roman" w:eastAsia="Times New Roman" w:hAnsi="Times New Roman" w:cs="Times New Roman"/>
                <w:bCs/>
                <w:color w:val="000000" w:themeColor="text1"/>
                <w:sz w:val="20"/>
                <w:szCs w:val="20"/>
                <w:lang w:val="it-IT"/>
              </w:rPr>
              <w:t>dhe</w:t>
            </w:r>
            <w:r w:rsidR="00C13E98" w:rsidRPr="00C13E98">
              <w:rPr>
                <w:rFonts w:ascii="Times New Roman" w:eastAsia="Times New Roman" w:hAnsi="Times New Roman" w:cs="Times New Roman"/>
                <w:bCs/>
                <w:color w:val="000000" w:themeColor="text1"/>
                <w:sz w:val="20"/>
                <w:szCs w:val="20"/>
                <w:lang w:val="it-IT"/>
              </w:rPr>
              <w:t xml:space="preserve"> Gjykatën Kushtetuese </w:t>
            </w:r>
            <w:r>
              <w:rPr>
                <w:rFonts w:ascii="Times New Roman" w:eastAsia="Times New Roman" w:hAnsi="Times New Roman" w:cs="Times New Roman"/>
                <w:bCs/>
                <w:color w:val="000000" w:themeColor="text1"/>
                <w:sz w:val="20"/>
                <w:szCs w:val="20"/>
                <w:lang w:val="it-IT"/>
              </w:rPr>
              <w:t>brenda 6 muajsh para anëtarësimit</w:t>
            </w:r>
            <w:r w:rsidR="00C13E98" w:rsidRPr="00C13E98">
              <w:rPr>
                <w:rFonts w:ascii="Times New Roman" w:eastAsia="Times New Roman" w:hAnsi="Times New Roman" w:cs="Times New Roman"/>
                <w:bCs/>
                <w:color w:val="000000" w:themeColor="text1"/>
                <w:sz w:val="20"/>
                <w:szCs w:val="20"/>
                <w:lang w:val="it-IT"/>
              </w:rPr>
              <w:t>.</w:t>
            </w:r>
          </w:p>
          <w:p w:rsid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B33C00" w:rsidRPr="00C13E98" w:rsidRDefault="00B33C00" w:rsidP="00C13E98">
            <w:pPr>
              <w:jc w:val="both"/>
              <w:textAlignment w:val="baseline"/>
              <w:rPr>
                <w:rFonts w:ascii="Times New Roman" w:eastAsia="Times New Roman" w:hAnsi="Times New Roman" w:cs="Times New Roman"/>
                <w:bCs/>
                <w:color w:val="000000" w:themeColor="text1"/>
                <w:sz w:val="20"/>
                <w:szCs w:val="20"/>
                <w:lang w:val="it-IT"/>
              </w:rPr>
            </w:pPr>
          </w:p>
          <w:p w:rsidR="005E58F3" w:rsidRPr="00C62B22"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 xml:space="preserve">- Ndryshimi i nenit 28 të ligjit për Avokatin e Popullit, për heqjen e detyrimit për publikimin e raportit vjetor të Avokatit të Popullit pas prezantimit të tij në Kuvend deri në vitin 2026. </w:t>
            </w:r>
          </w:p>
        </w:tc>
        <w:tc>
          <w:tcPr>
            <w:tcW w:w="4215" w:type="dxa"/>
            <w:gridSpan w:val="2"/>
            <w:shd w:val="clear" w:color="auto" w:fill="auto"/>
          </w:tcPr>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lastRenderedPageBreak/>
              <w:t>Forcimi i mëtejshëm i kapaciteteve administrative të Kuvendit për mbështetjen e deputetëve në tema të konfliktit të inte</w:t>
            </w:r>
            <w:r w:rsidR="0079130A">
              <w:rPr>
                <w:rFonts w:ascii="Times New Roman" w:eastAsia="Times New Roman" w:hAnsi="Times New Roman" w:cs="Times New Roman"/>
                <w:bCs/>
                <w:color w:val="000000" w:themeColor="text1"/>
                <w:sz w:val="20"/>
                <w:szCs w:val="20"/>
                <w:lang w:val="it-IT"/>
              </w:rPr>
              <w:t>resave, çështjeve etike, korrups</w:t>
            </w:r>
            <w:r w:rsidRPr="00C13E98">
              <w:rPr>
                <w:rFonts w:ascii="Times New Roman" w:eastAsia="Times New Roman" w:hAnsi="Times New Roman" w:cs="Times New Roman"/>
                <w:bCs/>
                <w:color w:val="000000" w:themeColor="text1"/>
                <w:sz w:val="20"/>
                <w:szCs w:val="20"/>
                <w:lang w:val="it-IT"/>
              </w:rPr>
              <w:t>ionimit të legjislacionit etj.</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Kapaciteti i Kuvendit për të siguruar korrigjimin e duhur të legjislacionit për korrupsionin brenda vitit 2027.</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-Zbatimi i Kodit të Sjelljes për deputetët nëpërmjet caktimit të masave disiplinore në rastet e shkeljes së dispozitave të Kodit në komisione dhe seanca plenare (Afati: 2024-2030).</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-Organizimi i sesioneve informuese me deputetët e rinj për çdo legjislaturë të re për zbatimin e Kodit të Etikës apo çështjet etike dhe duke u ofruar këshilla të vazhdueshme për çështjet e konfliktit të interesave gjatë ushtrimit të detyrës së tyre</w:t>
            </w:r>
            <w:r w:rsidR="0079130A">
              <w:rPr>
                <w:rFonts w:ascii="Times New Roman" w:eastAsia="Times New Roman" w:hAnsi="Times New Roman" w:cs="Times New Roman"/>
                <w:bCs/>
                <w:color w:val="000000" w:themeColor="text1"/>
                <w:sz w:val="20"/>
                <w:szCs w:val="20"/>
                <w:lang w:val="it-IT"/>
              </w:rPr>
              <w:t xml:space="preserve"> si deputetë (Afati: 2024-2030)</w:t>
            </w:r>
            <w:r w:rsidRPr="00C13E98">
              <w:rPr>
                <w:rFonts w:ascii="Times New Roman" w:eastAsia="Times New Roman" w:hAnsi="Times New Roman" w:cs="Times New Roman"/>
                <w:bCs/>
                <w:color w:val="000000" w:themeColor="text1"/>
                <w:sz w:val="20"/>
                <w:szCs w:val="20"/>
                <w:lang w:val="it-IT"/>
              </w:rPr>
              <w:t xml:space="preserve"> .</w:t>
            </w:r>
          </w:p>
          <w:p w:rsidR="005E58F3" w:rsidRDefault="005E58F3" w:rsidP="00B8730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-Finalizimi i draft metodologjisë për identifikimin e rrezikut për korrupsion në procesin ligjbërës të zhvilluar me mbështetjen e ekspertëve të Westminster Foundation në bashkëpunim dhe trajnimin e stafit të Kuvendit për zbatimin e tij (Afati: 2024-2025);</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79130A">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 xml:space="preserve">-Forcimi i mëtejshëm i kapaciteteve administrative të Kuvendit për mbështetjen e deputetëve në tema për konflikt interesash, çështje etike etj. (Afati 2024-2030). </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Default="00C13E9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 xml:space="preserve">Sistemi i </w:t>
            </w:r>
            <w:r>
              <w:rPr>
                <w:rFonts w:ascii="Times New Roman" w:eastAsia="Times New Roman" w:hAnsi="Times New Roman" w:cs="Times New Roman"/>
                <w:bCs/>
                <w:color w:val="000000" w:themeColor="text1"/>
                <w:sz w:val="20"/>
                <w:szCs w:val="20"/>
                <w:lang w:val="it-IT"/>
              </w:rPr>
              <w:t>e-</w:t>
            </w:r>
            <w:r w:rsidRPr="00C13E98">
              <w:rPr>
                <w:rFonts w:ascii="Times New Roman" w:eastAsia="Times New Roman" w:hAnsi="Times New Roman" w:cs="Times New Roman"/>
                <w:bCs/>
                <w:color w:val="000000" w:themeColor="text1"/>
                <w:sz w:val="20"/>
                <w:szCs w:val="20"/>
                <w:lang w:val="it-IT"/>
              </w:rPr>
              <w:t>Legjislacionit që do të integrojë sistemet e të gjitha institucioneve të p</w:t>
            </w:r>
            <w:r>
              <w:rPr>
                <w:rFonts w:ascii="Times New Roman" w:eastAsia="Times New Roman" w:hAnsi="Times New Roman" w:cs="Times New Roman"/>
                <w:bCs/>
                <w:color w:val="000000" w:themeColor="text1"/>
                <w:sz w:val="20"/>
                <w:szCs w:val="20"/>
                <w:lang w:val="it-IT"/>
              </w:rPr>
              <w:t>ërfshira. në procesin ligjbërës zbatohet</w:t>
            </w:r>
            <w:r w:rsidRPr="00C13E98">
              <w:rPr>
                <w:rFonts w:ascii="Times New Roman" w:eastAsia="Times New Roman" w:hAnsi="Times New Roman" w:cs="Times New Roman"/>
                <w:bCs/>
                <w:color w:val="000000" w:themeColor="text1"/>
                <w:sz w:val="20"/>
                <w:szCs w:val="20"/>
                <w:lang w:val="it-IT"/>
              </w:rPr>
              <w:t xml:space="preserve"> brenda vitit 2030.</w:t>
            </w: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p>
          <w:p w:rsidR="004A7CD8" w:rsidRPr="004A7CD8" w:rsidRDefault="004A7CD8" w:rsidP="004A7CD8">
            <w:pPr>
              <w:jc w:val="both"/>
              <w:textAlignment w:val="baseline"/>
              <w:rPr>
                <w:rFonts w:ascii="Times New Roman" w:eastAsia="Times New Roman" w:hAnsi="Times New Roman" w:cs="Times New Roman"/>
                <w:b/>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 xml:space="preserve">Forcimi i kapaciteteve të stafit administrativ dhe politik të Kuvendit në përmirësimin e cilësisë së shërbimeve të ofruara për mbështetjen e deputetëve, për të përballuar detyrimet e shtuara që rrjedhin </w:t>
            </w:r>
            <w:r w:rsidRPr="004A7CD8">
              <w:rPr>
                <w:rFonts w:ascii="Times New Roman" w:eastAsia="Times New Roman" w:hAnsi="Times New Roman" w:cs="Times New Roman"/>
                <w:b/>
                <w:bCs/>
                <w:color w:val="000000" w:themeColor="text1"/>
                <w:sz w:val="20"/>
                <w:szCs w:val="20"/>
                <w:lang w:val="it-IT"/>
              </w:rPr>
              <w:t>nga procesi i anëtarësimit brenda vitit 2030.</w:t>
            </w: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B87308">
            <w:pPr>
              <w:jc w:val="both"/>
              <w:textAlignment w:val="baseline"/>
              <w:rPr>
                <w:rFonts w:ascii="Times New Roman" w:eastAsia="Times New Roman" w:hAnsi="Times New Roman" w:cs="Times New Roman"/>
                <w:bCs/>
                <w:color w:val="000000" w:themeColor="text1"/>
                <w:sz w:val="20"/>
                <w:szCs w:val="20"/>
                <w:lang w:val="it-IT"/>
              </w:rPr>
            </w:pPr>
          </w:p>
          <w:p w:rsidR="004A7CD8" w:rsidRPr="00C62B22" w:rsidRDefault="004A7CD8" w:rsidP="00B87308">
            <w:pPr>
              <w:jc w:val="both"/>
              <w:textAlignment w:val="baseline"/>
              <w:rPr>
                <w:rFonts w:ascii="Times New Roman" w:eastAsia="Times New Roman" w:hAnsi="Times New Roman" w:cs="Times New Roman"/>
                <w:bCs/>
                <w:color w:val="000000" w:themeColor="text1"/>
                <w:sz w:val="20"/>
                <w:szCs w:val="20"/>
                <w:lang w:val="it-IT"/>
              </w:rPr>
            </w:pPr>
          </w:p>
        </w:tc>
        <w:tc>
          <w:tcPr>
            <w:tcW w:w="3841" w:type="dxa"/>
            <w:gridSpan w:val="2"/>
            <w:shd w:val="clear" w:color="auto" w:fill="auto"/>
          </w:tcPr>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Standarde më të larta etike dhe integriteti</w:t>
            </w:r>
          </w:p>
          <w:p w:rsidR="0079130A" w:rsidRPr="00C13E98" w:rsidRDefault="0079130A" w:rsidP="0079130A">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punimet e Kuvendit janë përmirësuar në mënyrë progresive deri në vitin 2030.</w:t>
            </w:r>
          </w:p>
          <w:p w:rsidR="0079130A" w:rsidRDefault="0079130A" w:rsidP="00C13E98">
            <w:pPr>
              <w:jc w:val="both"/>
              <w:textAlignment w:val="baseline"/>
              <w:rPr>
                <w:rFonts w:ascii="Times New Roman" w:eastAsia="Times New Roman" w:hAnsi="Times New Roman" w:cs="Times New Roman"/>
                <w:bCs/>
                <w:color w:val="000000" w:themeColor="text1"/>
                <w:sz w:val="20"/>
                <w:szCs w:val="20"/>
                <w:lang w:val="it-IT"/>
              </w:rPr>
            </w:pPr>
            <w:r>
              <w:rPr>
                <w:rFonts w:ascii="Times New Roman" w:eastAsia="Times New Roman" w:hAnsi="Times New Roman" w:cs="Times New Roman"/>
                <w:bCs/>
                <w:color w:val="000000" w:themeColor="text1"/>
                <w:sz w:val="20"/>
                <w:szCs w:val="20"/>
                <w:lang w:val="it-IT"/>
              </w:rPr>
              <w:t xml:space="preserve">  </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Identifikimi i rrezikut për korrupsion në procesin ligjbërës si një nga elementët e opinioneve të shërbimit ligjor për deputetët. (Afati 2026-2030)</w:t>
            </w: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p>
          <w:p w:rsidR="00C13E98" w:rsidRPr="00C13E98" w:rsidRDefault="00C13E98" w:rsidP="00C13E9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Forcimi i kapaciteteve administrative të Kuvendit për mbështetjen e deputetëve në tema të konfliktit të interesit, çështjeve etike, korrupcionimit të legjislacionit etj. (Afati 2024-2030).</w:t>
            </w:r>
          </w:p>
          <w:p w:rsidR="005E58F3" w:rsidRDefault="005E58F3"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Default="004A7CD8" w:rsidP="00090F52">
            <w:pPr>
              <w:jc w:val="both"/>
              <w:textAlignment w:val="baseline"/>
              <w:rPr>
                <w:rFonts w:ascii="Times New Roman" w:eastAsia="Times New Roman" w:hAnsi="Times New Roman" w:cs="Times New Roman"/>
                <w:bCs/>
                <w:color w:val="000000" w:themeColor="text1"/>
                <w:sz w:val="20"/>
                <w:szCs w:val="20"/>
                <w:lang w:val="it-IT"/>
              </w:rPr>
            </w:pP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Koncepte të tilla si marrëdhëniet mes Kuvendit të Shqipërisë dhe Parlamentit Europian dhe parimi i subsidiaritetit në përputhje me Rregulloren e Punës të Parlamentit Europian.</w:t>
            </w: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Parimi i supremacisë së ligjit të BE-së është pjesë e dispozitave të Kushtetutës.</w:t>
            </w:r>
          </w:p>
          <w:p w:rsidR="004A7CD8" w:rsidRPr="00C13E98" w:rsidRDefault="004A7CD8" w:rsidP="004A7CD8">
            <w:pPr>
              <w:jc w:val="both"/>
              <w:textAlignment w:val="baseline"/>
              <w:rPr>
                <w:rFonts w:ascii="Times New Roman" w:eastAsia="Times New Roman" w:hAnsi="Times New Roman" w:cs="Times New Roman"/>
                <w:bCs/>
                <w:color w:val="000000" w:themeColor="text1"/>
                <w:sz w:val="20"/>
                <w:szCs w:val="20"/>
                <w:lang w:val="it-IT"/>
              </w:rPr>
            </w:pPr>
          </w:p>
          <w:p w:rsidR="00B33C00" w:rsidRPr="00C13E98" w:rsidRDefault="00B33C00" w:rsidP="00B33C00">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Procedura legjislative më të shpejta dhe efektive të mundësuara përmes dixhitalizimit dhe përmirësimit të proceseve të brendshme brenda vitit 2030</w:t>
            </w:r>
          </w:p>
          <w:p w:rsidR="00B33C00" w:rsidRPr="00C13E98" w:rsidRDefault="00B33C00" w:rsidP="00B33C00">
            <w:pPr>
              <w:jc w:val="both"/>
              <w:textAlignment w:val="baseline"/>
              <w:rPr>
                <w:rFonts w:ascii="Times New Roman" w:eastAsia="Times New Roman" w:hAnsi="Times New Roman" w:cs="Times New Roman"/>
                <w:bCs/>
                <w:color w:val="000000" w:themeColor="text1"/>
                <w:sz w:val="20"/>
                <w:szCs w:val="20"/>
                <w:lang w:val="it-IT"/>
              </w:rPr>
            </w:pPr>
          </w:p>
          <w:p w:rsidR="00B33C00" w:rsidRPr="00C13E98" w:rsidRDefault="00B33C00" w:rsidP="00B33C00">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Është përmirësuar cilësia e shërbimeve të ofruara për MSHP nga stafi administrativ dhe politik për të përballuar detyrimet e shtuara që rrjedhin nga procesi i anëtarësimit brenda vitit 2030.</w:t>
            </w:r>
          </w:p>
          <w:p w:rsidR="00B33C00" w:rsidRPr="00C13E98" w:rsidRDefault="00B33C00" w:rsidP="00B33C00">
            <w:pPr>
              <w:jc w:val="both"/>
              <w:textAlignment w:val="baseline"/>
              <w:rPr>
                <w:rFonts w:ascii="Times New Roman" w:eastAsia="Times New Roman" w:hAnsi="Times New Roman" w:cs="Times New Roman"/>
                <w:bCs/>
                <w:color w:val="000000" w:themeColor="text1"/>
                <w:sz w:val="20"/>
                <w:szCs w:val="20"/>
                <w:lang w:val="it-IT"/>
              </w:rPr>
            </w:pPr>
          </w:p>
          <w:p w:rsidR="004A7CD8" w:rsidRDefault="00B33C00" w:rsidP="00B33C00">
            <w:pPr>
              <w:jc w:val="both"/>
              <w:textAlignment w:val="baseline"/>
              <w:rPr>
                <w:rFonts w:ascii="Times New Roman" w:eastAsia="Times New Roman" w:hAnsi="Times New Roman" w:cs="Times New Roman"/>
                <w:bCs/>
                <w:color w:val="000000" w:themeColor="text1"/>
                <w:sz w:val="20"/>
                <w:szCs w:val="20"/>
                <w:lang w:val="it-IT"/>
              </w:rPr>
            </w:pPr>
            <w:r w:rsidRPr="00C13E98">
              <w:rPr>
                <w:rFonts w:ascii="Times New Roman" w:eastAsia="Times New Roman" w:hAnsi="Times New Roman" w:cs="Times New Roman"/>
                <w:bCs/>
                <w:color w:val="000000" w:themeColor="text1"/>
                <w:sz w:val="20"/>
                <w:szCs w:val="20"/>
                <w:lang w:val="it-IT"/>
              </w:rPr>
              <w:t xml:space="preserve">Raporti vjetor i </w:t>
            </w:r>
            <w:r>
              <w:rPr>
                <w:rFonts w:ascii="Times New Roman" w:eastAsia="Times New Roman" w:hAnsi="Times New Roman" w:cs="Times New Roman"/>
                <w:bCs/>
                <w:color w:val="000000" w:themeColor="text1"/>
                <w:sz w:val="20"/>
                <w:szCs w:val="20"/>
                <w:lang w:val="it-IT"/>
              </w:rPr>
              <w:t>Avokatit te Popullit</w:t>
            </w:r>
            <w:r w:rsidRPr="00C13E98">
              <w:rPr>
                <w:rFonts w:ascii="Times New Roman" w:eastAsia="Times New Roman" w:hAnsi="Times New Roman" w:cs="Times New Roman"/>
                <w:bCs/>
                <w:color w:val="000000" w:themeColor="text1"/>
                <w:sz w:val="20"/>
                <w:szCs w:val="20"/>
                <w:lang w:val="it-IT"/>
              </w:rPr>
              <w:t xml:space="preserve"> publikohet para se</w:t>
            </w:r>
            <w:r>
              <w:rPr>
                <w:rFonts w:ascii="Times New Roman" w:eastAsia="Times New Roman" w:hAnsi="Times New Roman" w:cs="Times New Roman"/>
                <w:bCs/>
                <w:color w:val="000000" w:themeColor="text1"/>
                <w:sz w:val="20"/>
                <w:szCs w:val="20"/>
                <w:lang w:val="it-IT"/>
              </w:rPr>
              <w:t xml:space="preserve"> të prezantohet në</w:t>
            </w:r>
            <w:r w:rsidRPr="00C13E98">
              <w:rPr>
                <w:rFonts w:ascii="Times New Roman" w:eastAsia="Times New Roman" w:hAnsi="Times New Roman" w:cs="Times New Roman"/>
                <w:bCs/>
                <w:color w:val="000000" w:themeColor="text1"/>
                <w:sz w:val="20"/>
                <w:szCs w:val="20"/>
                <w:lang w:val="it-IT"/>
              </w:rPr>
              <w:t xml:space="preserve"> Kuvend</w:t>
            </w:r>
            <w:r>
              <w:rPr>
                <w:rFonts w:ascii="Times New Roman" w:eastAsia="Times New Roman" w:hAnsi="Times New Roman" w:cs="Times New Roman"/>
                <w:bCs/>
                <w:color w:val="000000" w:themeColor="text1"/>
                <w:sz w:val="20"/>
                <w:szCs w:val="20"/>
                <w:lang w:val="it-IT"/>
              </w:rPr>
              <w:t>.</w:t>
            </w: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Default="000B4C3E" w:rsidP="00B33C00">
            <w:pPr>
              <w:jc w:val="both"/>
              <w:textAlignment w:val="baseline"/>
              <w:rPr>
                <w:rFonts w:ascii="Times New Roman" w:eastAsia="Times New Roman" w:hAnsi="Times New Roman" w:cs="Times New Roman"/>
                <w:bCs/>
                <w:color w:val="000000" w:themeColor="text1"/>
                <w:sz w:val="20"/>
                <w:szCs w:val="20"/>
                <w:lang w:val="it-IT"/>
              </w:rPr>
            </w:pPr>
          </w:p>
          <w:p w:rsidR="000B4C3E" w:rsidRPr="00090F52" w:rsidRDefault="000B4C3E" w:rsidP="000B4C3E">
            <w:pPr>
              <w:textAlignment w:val="baseline"/>
              <w:rPr>
                <w:rFonts w:ascii="Times New Roman" w:eastAsia="Times New Roman" w:hAnsi="Times New Roman" w:cs="Times New Roman"/>
                <w:bCs/>
                <w:color w:val="000000" w:themeColor="text1"/>
                <w:sz w:val="20"/>
                <w:szCs w:val="20"/>
                <w:lang w:val="it-IT"/>
              </w:rPr>
            </w:pPr>
          </w:p>
        </w:tc>
      </w:tr>
      <w:tr w:rsidR="000B4C3E" w:rsidRPr="000B4C3E" w:rsidTr="00936177">
        <w:trPr>
          <w:gridAfter w:val="1"/>
          <w:wAfter w:w="374" w:type="dxa"/>
          <w:trHeight w:val="51"/>
        </w:trPr>
        <w:tc>
          <w:tcPr>
            <w:tcW w:w="14225" w:type="dxa"/>
            <w:gridSpan w:val="9"/>
            <w:shd w:val="clear" w:color="auto" w:fill="5B9BD5" w:themeFill="accent1"/>
          </w:tcPr>
          <w:p w:rsidR="000B4C3E" w:rsidRDefault="000B4C3E" w:rsidP="00C13E98">
            <w:pPr>
              <w:jc w:val="both"/>
              <w:textAlignment w:val="baseline"/>
              <w:rPr>
                <w:rFonts w:ascii="Times New Roman" w:eastAsia="Times New Roman" w:hAnsi="Times New Roman" w:cs="Times New Roman"/>
                <w:b/>
                <w:bCs/>
                <w:color w:val="000000" w:themeColor="text1"/>
                <w:sz w:val="20"/>
                <w:szCs w:val="20"/>
                <w:lang w:val="it-IT"/>
              </w:rPr>
            </w:pPr>
            <w:r>
              <w:rPr>
                <w:rFonts w:ascii="Times New Roman" w:eastAsia="Times New Roman" w:hAnsi="Times New Roman" w:cs="Times New Roman"/>
                <w:b/>
                <w:bCs/>
                <w:color w:val="000000" w:themeColor="text1"/>
                <w:sz w:val="20"/>
                <w:szCs w:val="20"/>
                <w:lang w:val="it-IT"/>
              </w:rPr>
              <w:lastRenderedPageBreak/>
              <w:t>3. ROLI I SHOQERISE CIVILE</w:t>
            </w:r>
          </w:p>
          <w:p w:rsidR="000B4C3E" w:rsidRPr="000B4C3E" w:rsidRDefault="000B4C3E" w:rsidP="000B4C3E">
            <w:pPr>
              <w:jc w:val="both"/>
              <w:textAlignment w:val="baseline"/>
              <w:rPr>
                <w:rFonts w:ascii="Times New Roman" w:eastAsia="Times New Roman" w:hAnsi="Times New Roman" w:cs="Times New Roman"/>
                <w:b/>
                <w:bCs/>
                <w:i/>
                <w:color w:val="000000" w:themeColor="text1"/>
                <w:sz w:val="20"/>
                <w:szCs w:val="20"/>
                <w:lang w:val="it-IT"/>
              </w:rPr>
            </w:pPr>
            <w:r w:rsidRPr="000B4C3E">
              <w:rPr>
                <w:rFonts w:ascii="Times New Roman" w:eastAsia="Times New Roman" w:hAnsi="Times New Roman" w:cs="Times New Roman"/>
                <w:b/>
                <w:bCs/>
                <w:i/>
                <w:color w:val="000000" w:themeColor="text1"/>
                <w:sz w:val="20"/>
                <w:szCs w:val="20"/>
                <w:lang w:val="it-IT"/>
              </w:rPr>
              <w:t>Kuadri ligjor kombetar, rregullues dhe po</w:t>
            </w:r>
            <w:r>
              <w:rPr>
                <w:rFonts w:ascii="Times New Roman" w:eastAsia="Times New Roman" w:hAnsi="Times New Roman" w:cs="Times New Roman"/>
                <w:b/>
                <w:bCs/>
                <w:i/>
                <w:color w:val="000000" w:themeColor="text1"/>
                <w:sz w:val="20"/>
                <w:szCs w:val="20"/>
                <w:lang w:val="it-IT"/>
              </w:rPr>
              <w:t xml:space="preserve">litik per veprimtarine e OSHC- ve duke përfshirë (kushtet e rregjistrimit, taksimit, mekanizmave konsultues etj.) dhe konteksti politik per të siguruar dhe bere funksional një mjedis mundësues me shoqërise civile. </w:t>
            </w:r>
          </w:p>
        </w:tc>
      </w:tr>
      <w:tr w:rsidR="000B4C3E" w:rsidRPr="000B4C3E" w:rsidTr="00936177">
        <w:trPr>
          <w:gridAfter w:val="1"/>
          <w:wAfter w:w="374" w:type="dxa"/>
          <w:trHeight w:val="51"/>
        </w:trPr>
        <w:tc>
          <w:tcPr>
            <w:tcW w:w="2920" w:type="dxa"/>
            <w:gridSpan w:val="3"/>
            <w:shd w:val="clear" w:color="auto" w:fill="auto"/>
          </w:tcPr>
          <w:p w:rsidR="000B4C3E" w:rsidRPr="00936177" w:rsidRDefault="00936177" w:rsidP="00936177">
            <w:pPr>
              <w:jc w:val="both"/>
              <w:textAlignment w:val="baseline"/>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color w:val="000000" w:themeColor="text1"/>
                <w:sz w:val="20"/>
                <w:szCs w:val="20"/>
              </w:rPr>
              <w:t xml:space="preserve">3.1 </w:t>
            </w:r>
            <w:proofErr w:type="spellStart"/>
            <w:r w:rsidR="000B4C3E" w:rsidRPr="00936177">
              <w:rPr>
                <w:rFonts w:ascii="Times New Roman" w:eastAsia="Times New Roman" w:hAnsi="Times New Roman" w:cs="Times New Roman"/>
                <w:b/>
                <w:bCs/>
                <w:color w:val="000000" w:themeColor="text1"/>
                <w:sz w:val="20"/>
                <w:szCs w:val="20"/>
              </w:rPr>
              <w:t>Kuadri</w:t>
            </w:r>
            <w:proofErr w:type="spellEnd"/>
            <w:r w:rsidR="000B4C3E" w:rsidRPr="00936177">
              <w:rPr>
                <w:rFonts w:ascii="Times New Roman" w:eastAsia="Times New Roman" w:hAnsi="Times New Roman" w:cs="Times New Roman"/>
                <w:b/>
                <w:bCs/>
                <w:color w:val="000000" w:themeColor="text1"/>
                <w:sz w:val="20"/>
                <w:szCs w:val="20"/>
              </w:rPr>
              <w:t xml:space="preserve"> </w:t>
            </w:r>
            <w:proofErr w:type="spellStart"/>
            <w:r w:rsidR="000B4C3E" w:rsidRPr="00936177">
              <w:rPr>
                <w:rFonts w:ascii="Times New Roman" w:eastAsia="Times New Roman" w:hAnsi="Times New Roman" w:cs="Times New Roman"/>
                <w:b/>
                <w:bCs/>
                <w:color w:val="000000" w:themeColor="text1"/>
                <w:sz w:val="20"/>
                <w:szCs w:val="20"/>
              </w:rPr>
              <w:t>ligjor</w:t>
            </w:r>
            <w:proofErr w:type="spellEnd"/>
            <w:r w:rsidR="000B4C3E" w:rsidRPr="00936177">
              <w:rPr>
                <w:rFonts w:ascii="Times New Roman" w:eastAsia="Times New Roman" w:hAnsi="Times New Roman" w:cs="Times New Roman"/>
                <w:b/>
                <w:bCs/>
                <w:color w:val="000000" w:themeColor="text1"/>
                <w:sz w:val="20"/>
                <w:szCs w:val="20"/>
              </w:rPr>
              <w:t xml:space="preserve"> </w:t>
            </w:r>
            <w:proofErr w:type="spellStart"/>
            <w:r w:rsidR="000B4C3E" w:rsidRPr="00936177">
              <w:rPr>
                <w:rFonts w:ascii="Times New Roman" w:eastAsia="Times New Roman" w:hAnsi="Times New Roman" w:cs="Times New Roman"/>
                <w:b/>
                <w:bCs/>
                <w:color w:val="000000" w:themeColor="text1"/>
                <w:sz w:val="20"/>
                <w:szCs w:val="20"/>
              </w:rPr>
              <w:t>rreth</w:t>
            </w:r>
            <w:proofErr w:type="spellEnd"/>
            <w:r w:rsidR="000B4C3E" w:rsidRPr="00936177">
              <w:rPr>
                <w:rFonts w:ascii="Times New Roman" w:eastAsia="Times New Roman" w:hAnsi="Times New Roman" w:cs="Times New Roman"/>
                <w:b/>
                <w:bCs/>
                <w:color w:val="000000" w:themeColor="text1"/>
                <w:sz w:val="20"/>
                <w:szCs w:val="20"/>
              </w:rPr>
              <w:t xml:space="preserve"> </w:t>
            </w:r>
            <w:proofErr w:type="spellStart"/>
            <w:r w:rsidR="000B4C3E" w:rsidRPr="00936177">
              <w:rPr>
                <w:rFonts w:ascii="Times New Roman" w:eastAsia="Times New Roman" w:hAnsi="Times New Roman" w:cs="Times New Roman"/>
                <w:b/>
                <w:bCs/>
                <w:color w:val="000000" w:themeColor="text1"/>
                <w:sz w:val="20"/>
                <w:szCs w:val="20"/>
              </w:rPr>
              <w:t>shoqërisë</w:t>
            </w:r>
            <w:proofErr w:type="spellEnd"/>
            <w:r w:rsidR="000B4C3E" w:rsidRPr="00936177">
              <w:rPr>
                <w:rFonts w:ascii="Times New Roman" w:eastAsia="Times New Roman" w:hAnsi="Times New Roman" w:cs="Times New Roman"/>
                <w:b/>
                <w:bCs/>
                <w:color w:val="000000" w:themeColor="text1"/>
                <w:sz w:val="20"/>
                <w:szCs w:val="20"/>
              </w:rPr>
              <w:t xml:space="preserve"> </w:t>
            </w:r>
            <w:proofErr w:type="spellStart"/>
            <w:r w:rsidR="000B4C3E" w:rsidRPr="00936177">
              <w:rPr>
                <w:rFonts w:ascii="Times New Roman" w:eastAsia="Times New Roman" w:hAnsi="Times New Roman" w:cs="Times New Roman"/>
                <w:b/>
                <w:bCs/>
                <w:color w:val="000000" w:themeColor="text1"/>
                <w:sz w:val="20"/>
                <w:szCs w:val="20"/>
              </w:rPr>
              <w:t>civile</w:t>
            </w:r>
            <w:proofErr w:type="spellEnd"/>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Pr>
                <w:rFonts w:ascii="Times New Roman" w:eastAsia="Times New Roman" w:hAnsi="Times New Roman" w:cs="Times New Roman"/>
                <w:bCs/>
                <w:color w:val="000000" w:themeColor="text1"/>
                <w:sz w:val="20"/>
                <w:szCs w:val="20"/>
              </w:rPr>
              <w:t>Kuadri</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ligjor</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politik</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lastRenderedPageBreak/>
              <w:t>institucional</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pajtueshmëria</w:t>
            </w:r>
            <w:proofErr w:type="spellEnd"/>
            <w:r w:rsidRPr="000B4C3E">
              <w:rPr>
                <w:rFonts w:ascii="Times New Roman" w:eastAsia="Times New Roman" w:hAnsi="Times New Roman" w:cs="Times New Roman"/>
                <w:bCs/>
                <w:color w:val="000000" w:themeColor="text1"/>
                <w:sz w:val="20"/>
                <w:szCs w:val="20"/>
              </w:rPr>
              <w:t xml:space="preserve"> me </w:t>
            </w:r>
            <w:proofErr w:type="spellStart"/>
            <w:r w:rsidRPr="000B4C3E">
              <w:rPr>
                <w:rFonts w:ascii="Times New Roman" w:eastAsia="Times New Roman" w:hAnsi="Times New Roman" w:cs="Times New Roman"/>
                <w:bCs/>
                <w:color w:val="000000" w:themeColor="text1"/>
                <w:sz w:val="20"/>
                <w:szCs w:val="20"/>
              </w:rPr>
              <w:t>instrumentet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standardet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përkatëse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ndërkombëtare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strategjitë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publike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promovuar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hapësirën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qytetare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krijimin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një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mjedisi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favorshëm</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zbatimin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fuqizimin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kapaciteteve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funks</w:t>
            </w:r>
            <w:r>
              <w:rPr>
                <w:rFonts w:ascii="Times New Roman" w:eastAsia="Times New Roman" w:hAnsi="Times New Roman" w:cs="Times New Roman"/>
                <w:bCs/>
                <w:color w:val="000000" w:themeColor="text1"/>
                <w:sz w:val="20"/>
                <w:szCs w:val="20"/>
              </w:rPr>
              <w:t>ionimin</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dhe</w:t>
            </w:r>
            <w:proofErr w:type="spellEnd"/>
            <w:r>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performancën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sfidat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mangësitë</w:t>
            </w:r>
            <w:proofErr w:type="spellEnd"/>
          </w:p>
        </w:tc>
        <w:tc>
          <w:tcPr>
            <w:tcW w:w="3249" w:type="dxa"/>
            <w:gridSpan w:val="2"/>
            <w:shd w:val="clear" w:color="auto" w:fill="auto"/>
          </w:tcPr>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lastRenderedPageBreak/>
              <w:t>Korniza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legjislative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Këshillin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Kombëtar</w:t>
            </w:r>
            <w:proofErr w:type="spellEnd"/>
            <w:r w:rsidRPr="000B4C3E">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ndryshohet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përmirësuar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funksionimin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tij</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lastRenderedPageBreak/>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siguruar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përfshirje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madhe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institucioneve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publike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përfaqësuesve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shoqërisë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civile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2026.</w:t>
            </w: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t>Bashkëpunimi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institucionalizuar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ndërmjet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Qeverisë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shoqërisë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civile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sigurimi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pjesëmarrjes</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kuptimplote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OSHC-</w:t>
            </w:r>
            <w:proofErr w:type="spellStart"/>
            <w:r w:rsidRPr="000B4C3E">
              <w:rPr>
                <w:rFonts w:ascii="Times New Roman" w:eastAsia="Times New Roman" w:hAnsi="Times New Roman" w:cs="Times New Roman"/>
                <w:bCs/>
                <w:color w:val="000000" w:themeColor="text1"/>
                <w:sz w:val="20"/>
                <w:szCs w:val="20"/>
              </w:rPr>
              <w:t>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proceset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vendimmarrëse</w:t>
            </w:r>
            <w:proofErr w:type="spellEnd"/>
            <w:r w:rsidRPr="000B4C3E">
              <w:rPr>
                <w:rFonts w:ascii="Times New Roman" w:eastAsia="Times New Roman" w:hAnsi="Times New Roman" w:cs="Times New Roman"/>
                <w:bCs/>
                <w:color w:val="000000" w:themeColor="text1"/>
                <w:sz w:val="20"/>
                <w:szCs w:val="20"/>
              </w:rPr>
              <w:t xml:space="preserve">, duke </w:t>
            </w:r>
            <w:proofErr w:type="spellStart"/>
            <w:r w:rsidRPr="000B4C3E">
              <w:rPr>
                <w:rFonts w:ascii="Times New Roman" w:eastAsia="Times New Roman" w:hAnsi="Times New Roman" w:cs="Times New Roman"/>
                <w:bCs/>
                <w:color w:val="000000" w:themeColor="text1"/>
                <w:sz w:val="20"/>
                <w:szCs w:val="20"/>
              </w:rPr>
              <w:t>përfshirë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kontekstin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negociatave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anëtarësimit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në</w:t>
            </w:r>
            <w:proofErr w:type="spellEnd"/>
            <w:r w:rsidRPr="000B4C3E">
              <w:rPr>
                <w:rFonts w:ascii="Times New Roman" w:eastAsia="Times New Roman" w:hAnsi="Times New Roman" w:cs="Times New Roman"/>
                <w:bCs/>
                <w:color w:val="000000" w:themeColor="text1"/>
                <w:sz w:val="20"/>
                <w:szCs w:val="20"/>
              </w:rPr>
              <w:t xml:space="preserve"> BE, </w:t>
            </w:r>
            <w:proofErr w:type="spellStart"/>
            <w:r>
              <w:rPr>
                <w:rFonts w:ascii="Times New Roman" w:eastAsia="Times New Roman" w:hAnsi="Times New Roman" w:cs="Times New Roman"/>
                <w:bCs/>
                <w:color w:val="000000" w:themeColor="text1"/>
                <w:sz w:val="20"/>
                <w:szCs w:val="20"/>
              </w:rPr>
              <w:t>përmirësohet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përmes</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miratimit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dhe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monitorimit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një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udhërrëfyesi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ri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2024.</w:t>
            </w: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t>Miratimi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raportit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vlerësimit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monitorimit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udhërrëfyesin</w:t>
            </w:r>
            <w:proofErr w:type="spellEnd"/>
            <w:r w:rsidRPr="000B4C3E">
              <w:rPr>
                <w:rFonts w:ascii="Times New Roman" w:eastAsia="Times New Roman" w:hAnsi="Times New Roman" w:cs="Times New Roman"/>
                <w:bCs/>
                <w:color w:val="000000" w:themeColor="text1"/>
                <w:sz w:val="20"/>
                <w:szCs w:val="20"/>
              </w:rPr>
              <w:t xml:space="preserve"> 2019-2023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krijimin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një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mjedisi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favorshëm</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OSHC-</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2024.</w:t>
            </w: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t>Miratimi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Udhërrëfyesit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ri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mjedisin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mundësues</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OSHC-</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2024-2027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2024.</w:t>
            </w:r>
          </w:p>
        </w:tc>
        <w:tc>
          <w:tcPr>
            <w:tcW w:w="4215" w:type="dxa"/>
            <w:gridSpan w:val="2"/>
            <w:shd w:val="clear" w:color="auto" w:fill="auto"/>
          </w:tcPr>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lastRenderedPageBreak/>
              <w:t>Rritja</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kapaciteteve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mekanizmit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monitorues</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udhërrëfyesit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miratuar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një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mjedis</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favorshëm</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shoqërinë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civile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2024.</w:t>
            </w: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t>Procedurat</w:t>
            </w:r>
            <w:proofErr w:type="spellEnd"/>
            <w:r w:rsidRPr="000B4C3E">
              <w:rPr>
                <w:rFonts w:ascii="Times New Roman" w:eastAsia="Times New Roman" w:hAnsi="Times New Roman" w:cs="Times New Roman"/>
                <w:bCs/>
                <w:color w:val="000000" w:themeColor="text1"/>
                <w:sz w:val="20"/>
                <w:szCs w:val="20"/>
              </w:rPr>
              <w:t xml:space="preserve"> administrative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procesit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00936177">
              <w:rPr>
                <w:rFonts w:ascii="Times New Roman" w:eastAsia="Times New Roman" w:hAnsi="Times New Roman" w:cs="Times New Roman"/>
                <w:bCs/>
                <w:color w:val="000000" w:themeColor="text1"/>
                <w:sz w:val="20"/>
                <w:szCs w:val="20"/>
              </w:rPr>
              <w:t>dhënies</w:t>
            </w:r>
            <w:proofErr w:type="spellEnd"/>
            <w:r w:rsidR="00936177">
              <w:rPr>
                <w:rFonts w:ascii="Times New Roman" w:eastAsia="Times New Roman" w:hAnsi="Times New Roman" w:cs="Times New Roman"/>
                <w:bCs/>
                <w:color w:val="000000" w:themeColor="text1"/>
                <w:sz w:val="20"/>
                <w:szCs w:val="20"/>
              </w:rPr>
              <w:t xml:space="preserve"> </w:t>
            </w:r>
            <w:proofErr w:type="spellStart"/>
            <w:r w:rsidR="00936177">
              <w:rPr>
                <w:rFonts w:ascii="Times New Roman" w:eastAsia="Times New Roman" w:hAnsi="Times New Roman" w:cs="Times New Roman"/>
                <w:bCs/>
                <w:color w:val="000000" w:themeColor="text1"/>
                <w:sz w:val="20"/>
                <w:szCs w:val="20"/>
              </w:rPr>
              <w:t>së</w:t>
            </w:r>
            <w:proofErr w:type="spellEnd"/>
            <w:r w:rsidR="00936177">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granteve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AMSHC</w:t>
            </w:r>
            <w:r w:rsidR="00936177">
              <w:rPr>
                <w:rFonts w:ascii="Times New Roman" w:eastAsia="Times New Roman" w:hAnsi="Times New Roman" w:cs="Times New Roman"/>
                <w:bCs/>
                <w:color w:val="000000" w:themeColor="text1"/>
                <w:sz w:val="20"/>
                <w:szCs w:val="20"/>
              </w:rPr>
              <w:t xml:space="preserve"> do </w:t>
            </w:r>
            <w:proofErr w:type="spellStart"/>
            <w:r w:rsidR="00936177">
              <w:rPr>
                <w:rFonts w:ascii="Times New Roman" w:eastAsia="Times New Roman" w:hAnsi="Times New Roman" w:cs="Times New Roman"/>
                <w:bCs/>
                <w:color w:val="000000" w:themeColor="text1"/>
                <w:sz w:val="20"/>
                <w:szCs w:val="20"/>
              </w:rPr>
              <w:t>të</w:t>
            </w:r>
            <w:proofErr w:type="spellEnd"/>
            <w:r w:rsidR="00936177">
              <w:rPr>
                <w:rFonts w:ascii="Times New Roman" w:eastAsia="Times New Roman" w:hAnsi="Times New Roman" w:cs="Times New Roman"/>
                <w:bCs/>
                <w:color w:val="000000" w:themeColor="text1"/>
                <w:sz w:val="20"/>
                <w:szCs w:val="20"/>
              </w:rPr>
              <w:t xml:space="preserve"> </w:t>
            </w:r>
            <w:proofErr w:type="spellStart"/>
            <w:r w:rsidR="00936177">
              <w:rPr>
                <w:rFonts w:ascii="Times New Roman" w:eastAsia="Times New Roman" w:hAnsi="Times New Roman" w:cs="Times New Roman"/>
                <w:bCs/>
                <w:color w:val="000000" w:themeColor="text1"/>
                <w:sz w:val="20"/>
                <w:szCs w:val="20"/>
              </w:rPr>
              <w:t>përmirësohen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2025.</w:t>
            </w: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p w:rsidR="000B4C3E" w:rsidRDefault="000B4C3E" w:rsidP="000B4C3E">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t>Funksionaliteti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plotë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i</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platformës</w:t>
            </w:r>
            <w:proofErr w:type="spellEnd"/>
            <w:r w:rsidRPr="000B4C3E">
              <w:rPr>
                <w:rFonts w:ascii="Times New Roman" w:eastAsia="Times New Roman" w:hAnsi="Times New Roman" w:cs="Times New Roman"/>
                <w:bCs/>
                <w:color w:val="000000" w:themeColor="text1"/>
                <w:sz w:val="20"/>
                <w:szCs w:val="20"/>
              </w:rPr>
              <w:t xml:space="preserve"> online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ndjekjen</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procesit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granteve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është</w:t>
            </w:r>
            <w:proofErr w:type="spellEnd"/>
            <w:r w:rsidRPr="000B4C3E">
              <w:rPr>
                <w:rFonts w:ascii="Times New Roman" w:eastAsia="Times New Roman" w:hAnsi="Times New Roman" w:cs="Times New Roman"/>
                <w:bCs/>
                <w:color w:val="000000" w:themeColor="text1"/>
                <w:sz w:val="20"/>
                <w:szCs w:val="20"/>
              </w:rPr>
              <w:t xml:space="preserve"> </w:t>
            </w:r>
            <w:r w:rsidR="00936177">
              <w:rPr>
                <w:rFonts w:ascii="Times New Roman" w:eastAsia="Times New Roman" w:hAnsi="Times New Roman" w:cs="Times New Roman"/>
                <w:bCs/>
                <w:color w:val="000000" w:themeColor="text1"/>
                <w:sz w:val="20"/>
                <w:szCs w:val="20"/>
              </w:rPr>
              <w:t xml:space="preserve">do </w:t>
            </w:r>
            <w:proofErr w:type="spellStart"/>
            <w:r w:rsidR="00936177">
              <w:rPr>
                <w:rFonts w:ascii="Times New Roman" w:eastAsia="Times New Roman" w:hAnsi="Times New Roman" w:cs="Times New Roman"/>
                <w:bCs/>
                <w:color w:val="000000" w:themeColor="text1"/>
                <w:sz w:val="20"/>
                <w:szCs w:val="20"/>
              </w:rPr>
              <w:t>të</w:t>
            </w:r>
            <w:proofErr w:type="spellEnd"/>
            <w:r w:rsidR="00936177">
              <w:rPr>
                <w:rFonts w:ascii="Times New Roman" w:eastAsia="Times New Roman" w:hAnsi="Times New Roman" w:cs="Times New Roman"/>
                <w:bCs/>
                <w:color w:val="000000" w:themeColor="text1"/>
                <w:sz w:val="20"/>
                <w:szCs w:val="20"/>
              </w:rPr>
              <w:t xml:space="preserve"> </w:t>
            </w:r>
            <w:proofErr w:type="spellStart"/>
            <w:r w:rsidR="00936177">
              <w:rPr>
                <w:rFonts w:ascii="Times New Roman" w:eastAsia="Times New Roman" w:hAnsi="Times New Roman" w:cs="Times New Roman"/>
                <w:bCs/>
                <w:color w:val="000000" w:themeColor="text1"/>
                <w:sz w:val="20"/>
                <w:szCs w:val="20"/>
              </w:rPr>
              <w:t>aktivizohet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brenda</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vitit</w:t>
            </w:r>
            <w:proofErr w:type="spellEnd"/>
            <w:r w:rsidRPr="000B4C3E">
              <w:rPr>
                <w:rFonts w:ascii="Times New Roman" w:eastAsia="Times New Roman" w:hAnsi="Times New Roman" w:cs="Times New Roman"/>
                <w:bCs/>
                <w:color w:val="000000" w:themeColor="text1"/>
                <w:sz w:val="20"/>
                <w:szCs w:val="20"/>
              </w:rPr>
              <w:t xml:space="preserve"> 2025.</w:t>
            </w:r>
          </w:p>
          <w:p w:rsidR="00936177" w:rsidRPr="000B4C3E" w:rsidRDefault="00936177" w:rsidP="000B4C3E">
            <w:pPr>
              <w:jc w:val="both"/>
              <w:textAlignment w:val="baseline"/>
              <w:rPr>
                <w:rFonts w:ascii="Times New Roman" w:eastAsia="Times New Roman" w:hAnsi="Times New Roman" w:cs="Times New Roman"/>
                <w:bCs/>
                <w:color w:val="000000" w:themeColor="text1"/>
                <w:sz w:val="20"/>
                <w:szCs w:val="20"/>
              </w:rPr>
            </w:pPr>
          </w:p>
          <w:p w:rsidR="000B4C3E" w:rsidRPr="000B4C3E" w:rsidRDefault="000B4C3E" w:rsidP="000B4C3E">
            <w:pPr>
              <w:jc w:val="both"/>
              <w:textAlignment w:val="baseline"/>
              <w:rPr>
                <w:rFonts w:ascii="Times New Roman" w:eastAsia="Times New Roman" w:hAnsi="Times New Roman" w:cs="Times New Roman"/>
                <w:bCs/>
                <w:color w:val="000000" w:themeColor="text1"/>
                <w:sz w:val="20"/>
                <w:szCs w:val="20"/>
              </w:rPr>
            </w:pPr>
          </w:p>
        </w:tc>
        <w:tc>
          <w:tcPr>
            <w:tcW w:w="3841" w:type="dxa"/>
            <w:gridSpan w:val="2"/>
            <w:shd w:val="clear" w:color="auto" w:fill="auto"/>
          </w:tcPr>
          <w:p w:rsidR="000B4C3E" w:rsidRDefault="00936177" w:rsidP="00936177">
            <w:pPr>
              <w:jc w:val="both"/>
              <w:textAlignment w:val="baseline"/>
              <w:rPr>
                <w:rFonts w:ascii="Times New Roman" w:eastAsia="Times New Roman" w:hAnsi="Times New Roman" w:cs="Times New Roman"/>
                <w:bCs/>
                <w:color w:val="000000" w:themeColor="text1"/>
                <w:sz w:val="20"/>
                <w:szCs w:val="20"/>
              </w:rPr>
            </w:pPr>
            <w:proofErr w:type="spellStart"/>
            <w:r w:rsidRPr="000B4C3E">
              <w:rPr>
                <w:rFonts w:ascii="Times New Roman" w:eastAsia="Times New Roman" w:hAnsi="Times New Roman" w:cs="Times New Roman"/>
                <w:bCs/>
                <w:color w:val="000000" w:themeColor="text1"/>
                <w:sz w:val="20"/>
                <w:szCs w:val="20"/>
              </w:rPr>
              <w:lastRenderedPageBreak/>
              <w:t>Puna</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Këshillit</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Kombëtar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për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Shoqërinë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Civile</w:t>
            </w:r>
            <w:proofErr w:type="spellEnd"/>
            <w:r w:rsidRPr="000B4C3E">
              <w:rPr>
                <w:rFonts w:ascii="Times New Roman" w:eastAsia="Times New Roman" w:hAnsi="Times New Roman" w:cs="Times New Roman"/>
                <w:bCs/>
                <w:color w:val="000000" w:themeColor="text1"/>
                <w:sz w:val="20"/>
                <w:szCs w:val="20"/>
              </w:rPr>
              <w:t xml:space="preserve"> </w:t>
            </w:r>
            <w:proofErr w:type="spellStart"/>
            <w:r>
              <w:rPr>
                <w:rFonts w:ascii="Times New Roman" w:eastAsia="Times New Roman" w:hAnsi="Times New Roman" w:cs="Times New Roman"/>
                <w:bCs/>
                <w:color w:val="000000" w:themeColor="text1"/>
                <w:sz w:val="20"/>
                <w:szCs w:val="20"/>
              </w:rPr>
              <w:t>forcohet</w:t>
            </w:r>
            <w:proofErr w:type="spellEnd"/>
            <w:r w:rsidRPr="000B4C3E">
              <w:rPr>
                <w:rFonts w:ascii="Times New Roman" w:eastAsia="Times New Roman" w:hAnsi="Times New Roman" w:cs="Times New Roman"/>
                <w:bCs/>
                <w:color w:val="000000" w:themeColor="text1"/>
                <w:sz w:val="20"/>
                <w:szCs w:val="20"/>
              </w:rPr>
              <w:t xml:space="preserve"> duke </w:t>
            </w:r>
            <w:proofErr w:type="spellStart"/>
            <w:r w:rsidRPr="000B4C3E">
              <w:rPr>
                <w:rFonts w:ascii="Times New Roman" w:eastAsia="Times New Roman" w:hAnsi="Times New Roman" w:cs="Times New Roman"/>
                <w:bCs/>
                <w:color w:val="000000" w:themeColor="text1"/>
                <w:sz w:val="20"/>
                <w:szCs w:val="20"/>
              </w:rPr>
              <w:t>mundësuar</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shprehjen</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mirë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prioriteteve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të</w:t>
            </w:r>
            <w:proofErr w:type="spellEnd"/>
            <w:r w:rsidRPr="000B4C3E">
              <w:rPr>
                <w:rFonts w:ascii="Times New Roman" w:eastAsia="Times New Roman" w:hAnsi="Times New Roman" w:cs="Times New Roman"/>
                <w:bCs/>
                <w:color w:val="000000" w:themeColor="text1"/>
                <w:sz w:val="20"/>
                <w:szCs w:val="20"/>
              </w:rPr>
              <w:t xml:space="preserve"> OSHC-</w:t>
            </w:r>
            <w:proofErr w:type="spellStart"/>
            <w:r w:rsidRPr="000B4C3E">
              <w:rPr>
                <w:rFonts w:ascii="Times New Roman" w:eastAsia="Times New Roman" w:hAnsi="Times New Roman" w:cs="Times New Roman"/>
                <w:bCs/>
                <w:color w:val="000000" w:themeColor="text1"/>
                <w:sz w:val="20"/>
                <w:szCs w:val="20"/>
              </w:rPr>
              <w:t>ve</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t>në</w:t>
            </w:r>
            <w:proofErr w:type="spellEnd"/>
            <w:r w:rsidRPr="000B4C3E">
              <w:rPr>
                <w:rFonts w:ascii="Times New Roman" w:eastAsia="Times New Roman" w:hAnsi="Times New Roman" w:cs="Times New Roman"/>
                <w:bCs/>
                <w:color w:val="000000" w:themeColor="text1"/>
                <w:sz w:val="20"/>
                <w:szCs w:val="20"/>
              </w:rPr>
              <w:t xml:space="preserve"> </w:t>
            </w:r>
            <w:proofErr w:type="spellStart"/>
            <w:r w:rsidRPr="000B4C3E">
              <w:rPr>
                <w:rFonts w:ascii="Times New Roman" w:eastAsia="Times New Roman" w:hAnsi="Times New Roman" w:cs="Times New Roman"/>
                <w:bCs/>
                <w:color w:val="000000" w:themeColor="text1"/>
                <w:sz w:val="20"/>
                <w:szCs w:val="20"/>
              </w:rPr>
              <w:lastRenderedPageBreak/>
              <w:t>proceset</w:t>
            </w:r>
            <w:proofErr w:type="spellEnd"/>
            <w:r w:rsidRPr="000B4C3E">
              <w:rPr>
                <w:rFonts w:ascii="Times New Roman" w:eastAsia="Times New Roman" w:hAnsi="Times New Roman" w:cs="Times New Roman"/>
                <w:bCs/>
                <w:color w:val="000000" w:themeColor="text1"/>
                <w:sz w:val="20"/>
                <w:szCs w:val="20"/>
              </w:rPr>
              <w:t xml:space="preserve"> e </w:t>
            </w:r>
            <w:proofErr w:type="spellStart"/>
            <w:r w:rsidRPr="000B4C3E">
              <w:rPr>
                <w:rFonts w:ascii="Times New Roman" w:eastAsia="Times New Roman" w:hAnsi="Times New Roman" w:cs="Times New Roman"/>
                <w:bCs/>
                <w:color w:val="000000" w:themeColor="text1"/>
                <w:sz w:val="20"/>
                <w:szCs w:val="20"/>
              </w:rPr>
              <w:t>politikëbërjes</w:t>
            </w:r>
            <w:proofErr w:type="spellEnd"/>
            <w:r w:rsidRPr="000B4C3E">
              <w:rPr>
                <w:rFonts w:ascii="Times New Roman" w:eastAsia="Times New Roman" w:hAnsi="Times New Roman" w:cs="Times New Roman"/>
                <w:bCs/>
                <w:color w:val="000000" w:themeColor="text1"/>
                <w:sz w:val="20"/>
                <w:szCs w:val="20"/>
              </w:rPr>
              <w:t>.</w:t>
            </w:r>
          </w:p>
          <w:p w:rsidR="00936177" w:rsidRDefault="00936177" w:rsidP="00936177">
            <w:pPr>
              <w:jc w:val="both"/>
              <w:textAlignment w:val="baseline"/>
              <w:rPr>
                <w:rFonts w:ascii="Times New Roman" w:eastAsia="Times New Roman" w:hAnsi="Times New Roman" w:cs="Times New Roman"/>
                <w:bCs/>
                <w:color w:val="000000" w:themeColor="text1"/>
                <w:sz w:val="20"/>
                <w:szCs w:val="20"/>
              </w:rPr>
            </w:pPr>
          </w:p>
          <w:p w:rsidR="00936177" w:rsidRPr="000B4C3E" w:rsidRDefault="00936177" w:rsidP="00936177">
            <w:pPr>
              <w:jc w:val="both"/>
              <w:textAlignment w:val="baseline"/>
              <w:rPr>
                <w:rFonts w:ascii="Times New Roman" w:eastAsia="Times New Roman" w:hAnsi="Times New Roman" w:cs="Times New Roman"/>
                <w:bCs/>
                <w:color w:val="000000" w:themeColor="text1"/>
                <w:sz w:val="20"/>
                <w:szCs w:val="20"/>
              </w:rPr>
            </w:pPr>
            <w:r w:rsidRPr="00936177">
              <w:rPr>
                <w:rFonts w:ascii="Times New Roman" w:eastAsia="Times New Roman" w:hAnsi="Times New Roman" w:cs="Times New Roman"/>
                <w:bCs/>
                <w:color w:val="000000" w:themeColor="text1"/>
                <w:sz w:val="20"/>
                <w:szCs w:val="20"/>
              </w:rPr>
              <w:t>OSHC-</w:t>
            </w:r>
            <w:proofErr w:type="spellStart"/>
            <w:r w:rsidRPr="00936177">
              <w:rPr>
                <w:rFonts w:ascii="Times New Roman" w:eastAsia="Times New Roman" w:hAnsi="Times New Roman" w:cs="Times New Roman"/>
                <w:bCs/>
                <w:color w:val="000000" w:themeColor="text1"/>
                <w:sz w:val="20"/>
                <w:szCs w:val="20"/>
              </w:rPr>
              <w:t>të</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marrin</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mbështetje</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përmes</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fondeve</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shtetërore</w:t>
            </w:r>
            <w:proofErr w:type="spellEnd"/>
            <w:r w:rsidRPr="00936177">
              <w:rPr>
                <w:rFonts w:ascii="Times New Roman" w:eastAsia="Times New Roman" w:hAnsi="Times New Roman" w:cs="Times New Roman"/>
                <w:bCs/>
                <w:color w:val="000000" w:themeColor="text1"/>
                <w:sz w:val="20"/>
                <w:szCs w:val="20"/>
              </w:rPr>
              <w:t xml:space="preserve">, e </w:t>
            </w:r>
            <w:proofErr w:type="spellStart"/>
            <w:r w:rsidRPr="00936177">
              <w:rPr>
                <w:rFonts w:ascii="Times New Roman" w:eastAsia="Times New Roman" w:hAnsi="Times New Roman" w:cs="Times New Roman"/>
                <w:bCs/>
                <w:color w:val="000000" w:themeColor="text1"/>
                <w:sz w:val="20"/>
                <w:szCs w:val="20"/>
              </w:rPr>
              <w:t>mundësuar</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nga</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procedura</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të</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shpejta</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dhe</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të</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përmirësuara</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brenda</w:t>
            </w:r>
            <w:proofErr w:type="spellEnd"/>
            <w:r w:rsidRPr="00936177">
              <w:rPr>
                <w:rFonts w:ascii="Times New Roman" w:eastAsia="Times New Roman" w:hAnsi="Times New Roman" w:cs="Times New Roman"/>
                <w:bCs/>
                <w:color w:val="000000" w:themeColor="text1"/>
                <w:sz w:val="20"/>
                <w:szCs w:val="20"/>
              </w:rPr>
              <w:t xml:space="preserve"> </w:t>
            </w:r>
            <w:proofErr w:type="spellStart"/>
            <w:r w:rsidRPr="00936177">
              <w:rPr>
                <w:rFonts w:ascii="Times New Roman" w:eastAsia="Times New Roman" w:hAnsi="Times New Roman" w:cs="Times New Roman"/>
                <w:bCs/>
                <w:color w:val="000000" w:themeColor="text1"/>
                <w:sz w:val="20"/>
                <w:szCs w:val="20"/>
              </w:rPr>
              <w:t>vitit</w:t>
            </w:r>
            <w:proofErr w:type="spellEnd"/>
            <w:r w:rsidRPr="00936177">
              <w:rPr>
                <w:rFonts w:ascii="Times New Roman" w:eastAsia="Times New Roman" w:hAnsi="Times New Roman" w:cs="Times New Roman"/>
                <w:bCs/>
                <w:color w:val="000000" w:themeColor="text1"/>
                <w:sz w:val="20"/>
                <w:szCs w:val="20"/>
              </w:rPr>
              <w:t xml:space="preserve"> 2030.</w:t>
            </w:r>
          </w:p>
        </w:tc>
      </w:tr>
      <w:tr w:rsidR="000B4C3E" w:rsidRPr="00936177" w:rsidTr="00936177">
        <w:trPr>
          <w:gridAfter w:val="1"/>
          <w:wAfter w:w="374" w:type="dxa"/>
          <w:trHeight w:val="51"/>
        </w:trPr>
        <w:tc>
          <w:tcPr>
            <w:tcW w:w="2920" w:type="dxa"/>
            <w:gridSpan w:val="3"/>
            <w:shd w:val="clear" w:color="auto" w:fill="auto"/>
          </w:tcPr>
          <w:p w:rsidR="00936177" w:rsidRPr="00936177" w:rsidRDefault="00936177" w:rsidP="00936177">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r w:rsidRPr="00936177">
              <w:rPr>
                <w:rFonts w:ascii="Times New Roman" w:eastAsia="Times New Roman" w:hAnsi="Times New Roman" w:cs="Times New Roman"/>
                <w:b/>
                <w:bCs/>
                <w:color w:val="000000" w:themeColor="text1"/>
                <w:sz w:val="20"/>
                <w:szCs w:val="20"/>
                <w:lang w:val="it-IT"/>
              </w:rPr>
              <w:lastRenderedPageBreak/>
              <w:t xml:space="preserve">3.2 Kornizat kombëtare ligjore, rregullatore dhe </w:t>
            </w:r>
            <w:r>
              <w:rPr>
                <w:rFonts w:ascii="Times New Roman" w:eastAsia="Times New Roman" w:hAnsi="Times New Roman" w:cs="Times New Roman"/>
                <w:b/>
                <w:bCs/>
                <w:color w:val="000000" w:themeColor="text1"/>
                <w:sz w:val="20"/>
                <w:szCs w:val="20"/>
                <w:lang w:val="it-IT"/>
              </w:rPr>
              <w:t xml:space="preserve"> politik</w:t>
            </w:r>
            <w:r w:rsidRPr="00936177">
              <w:rPr>
                <w:rFonts w:ascii="Times New Roman" w:eastAsia="Times New Roman" w:hAnsi="Times New Roman" w:cs="Times New Roman"/>
                <w:b/>
                <w:bCs/>
                <w:color w:val="000000" w:themeColor="text1"/>
                <w:sz w:val="20"/>
                <w:szCs w:val="20"/>
                <w:lang w:val="it-IT"/>
              </w:rPr>
              <w:t>e për organizatat e shoqërisë civile (OSHC)</w:t>
            </w:r>
          </w:p>
          <w:p w:rsidR="00936177" w:rsidRPr="00936177" w:rsidRDefault="00936177" w:rsidP="00936177">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p>
          <w:p w:rsidR="000B4C3E" w:rsidRPr="00936177" w:rsidRDefault="00936177" w:rsidP="00936177">
            <w:pPr>
              <w:pStyle w:val="ListParagraph"/>
              <w:ind w:left="0"/>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Kjo përfshin kushtet për regjistrim, zbatimin e lirisë së asociimit, mekanizmat për parandalimin e ndërhyrjeve dhe presionit të panevojshëm mbi aktivitetet dhe anëtarët e OSHC-ve, kushtet për taksimin dhe aksesin në financim/burime, etj. zbatimi dhe kapaciteti zbatues, sfidat dhe boshllëqet.</w:t>
            </w:r>
          </w:p>
        </w:tc>
        <w:tc>
          <w:tcPr>
            <w:tcW w:w="3249" w:type="dxa"/>
            <w:gridSpan w:val="2"/>
            <w:shd w:val="clear" w:color="auto" w:fill="auto"/>
          </w:tcPr>
          <w:p w:rsidR="000B4C3E" w:rsidRPr="00936177" w:rsidRDefault="000B4C3E" w:rsidP="00C13E98">
            <w:pPr>
              <w:jc w:val="both"/>
              <w:textAlignment w:val="baseline"/>
              <w:rPr>
                <w:rFonts w:ascii="Times New Roman" w:eastAsia="Times New Roman" w:hAnsi="Times New Roman" w:cs="Times New Roman"/>
                <w:bCs/>
                <w:color w:val="000000" w:themeColor="text1"/>
                <w:sz w:val="20"/>
                <w:szCs w:val="20"/>
                <w:lang w:val="it-IT"/>
              </w:rPr>
            </w:pPr>
          </w:p>
        </w:tc>
        <w:tc>
          <w:tcPr>
            <w:tcW w:w="4215" w:type="dxa"/>
            <w:gridSpan w:val="2"/>
            <w:shd w:val="clear" w:color="auto" w:fill="auto"/>
          </w:tcPr>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Regjistri elektronik i OSHC-ve pranë Këshillit të Lartë Gjyqësor është funksional brenda vitit 2023.</w:t>
            </w: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Ka kapacitetet e Këshillit të Lartë Gjyqësor për të siguruar funksionimin e sistemit dixhital për regjistrimin e OSHC-ve brenda vitit 2023.</w:t>
            </w: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U rritën kapacitetet e organeve tatimore për të përballuar nevojën për të mundësuar procedura të shpejta të rimbursimit të TVSH-së.</w:t>
            </w: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p>
          <w:p w:rsidR="000B4C3E"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w:t>
            </w:r>
          </w:p>
        </w:tc>
        <w:tc>
          <w:tcPr>
            <w:tcW w:w="3841" w:type="dxa"/>
            <w:gridSpan w:val="2"/>
            <w:shd w:val="clear" w:color="auto" w:fill="auto"/>
          </w:tcPr>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Sigurohet transparencë dhe kontroll më i madh publik mbi statusin dhe anëtarësimin e OSHC-ve brenda vitit 2025.</w:t>
            </w: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p>
          <w:p w:rsidR="00936177" w:rsidRP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Rimbursimi i tatimit mbi vlerën e shtuar është rritur ndjeshëm në praktikë përmes një procesi të shpejtë aplikimi brenda vitit 2025.</w:t>
            </w:r>
          </w:p>
          <w:p w:rsidR="000B4C3E" w:rsidRPr="00936177" w:rsidRDefault="000B4C3E" w:rsidP="00C13E98">
            <w:pPr>
              <w:jc w:val="both"/>
              <w:textAlignment w:val="baseline"/>
              <w:rPr>
                <w:rFonts w:ascii="Times New Roman" w:eastAsia="Times New Roman" w:hAnsi="Times New Roman" w:cs="Times New Roman"/>
                <w:bCs/>
                <w:color w:val="000000" w:themeColor="text1"/>
                <w:sz w:val="20"/>
                <w:szCs w:val="20"/>
                <w:lang w:val="it-IT"/>
              </w:rPr>
            </w:pPr>
          </w:p>
        </w:tc>
      </w:tr>
      <w:tr w:rsidR="00936177" w:rsidRPr="00936177" w:rsidTr="00936177">
        <w:trPr>
          <w:gridBefore w:val="1"/>
          <w:wBefore w:w="22" w:type="dxa"/>
          <w:trHeight w:val="51"/>
        </w:trPr>
        <w:tc>
          <w:tcPr>
            <w:tcW w:w="2898" w:type="dxa"/>
            <w:gridSpan w:val="2"/>
            <w:shd w:val="clear" w:color="auto" w:fill="auto"/>
          </w:tcPr>
          <w:p w:rsidR="00936177" w:rsidRPr="00936177" w:rsidRDefault="00936177" w:rsidP="00936177">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r w:rsidRPr="00936177">
              <w:rPr>
                <w:rFonts w:ascii="Times New Roman" w:eastAsia="Times New Roman" w:hAnsi="Times New Roman" w:cs="Times New Roman"/>
                <w:b/>
                <w:bCs/>
                <w:color w:val="000000" w:themeColor="text1"/>
                <w:sz w:val="20"/>
                <w:szCs w:val="20"/>
                <w:lang w:val="it-IT"/>
              </w:rPr>
              <w:lastRenderedPageBreak/>
              <w:t>3.3 Konteksti më i gjerë për një</w:t>
            </w:r>
          </w:p>
          <w:p w:rsidR="00936177" w:rsidRPr="00936177" w:rsidRDefault="00936177" w:rsidP="00936177">
            <w:pPr>
              <w:pStyle w:val="ListParagraph"/>
              <w:ind w:left="420"/>
              <w:jc w:val="both"/>
              <w:textAlignment w:val="baseline"/>
              <w:rPr>
                <w:rFonts w:ascii="Times New Roman" w:eastAsia="Times New Roman" w:hAnsi="Times New Roman" w:cs="Times New Roman"/>
                <w:b/>
                <w:bCs/>
                <w:color w:val="000000" w:themeColor="text1"/>
                <w:sz w:val="20"/>
                <w:szCs w:val="20"/>
                <w:lang w:val="it-IT"/>
              </w:rPr>
            </w:pPr>
            <w:r w:rsidRPr="00936177">
              <w:rPr>
                <w:rFonts w:ascii="Times New Roman" w:eastAsia="Times New Roman" w:hAnsi="Times New Roman" w:cs="Times New Roman"/>
                <w:b/>
                <w:bCs/>
                <w:color w:val="000000" w:themeColor="text1"/>
                <w:sz w:val="20"/>
                <w:szCs w:val="20"/>
                <w:lang w:val="it-IT"/>
              </w:rPr>
              <w:t>mjedisi mundësues</w:t>
            </w:r>
          </w:p>
          <w:p w:rsidR="00936177" w:rsidRPr="00936177" w:rsidRDefault="00936177" w:rsidP="00936177">
            <w:pPr>
              <w:pStyle w:val="ListParagraph"/>
              <w:ind w:left="420"/>
              <w:jc w:val="both"/>
              <w:textAlignment w:val="baseline"/>
              <w:rPr>
                <w:rFonts w:ascii="Times New Roman" w:eastAsia="Times New Roman" w:hAnsi="Times New Roman" w:cs="Times New Roman"/>
                <w:bCs/>
                <w:color w:val="000000" w:themeColor="text1"/>
                <w:sz w:val="20"/>
                <w:szCs w:val="20"/>
                <w:lang w:val="it-IT"/>
              </w:rPr>
            </w:pPr>
          </w:p>
          <w:p w:rsidR="00936177" w:rsidRPr="00AB2E5B" w:rsidRDefault="00936177" w:rsidP="00AB2E5B">
            <w:pPr>
              <w:jc w:val="both"/>
              <w:textAlignment w:val="baseline"/>
              <w:rPr>
                <w:rFonts w:ascii="Times New Roman" w:eastAsia="Times New Roman" w:hAnsi="Times New Roman" w:cs="Times New Roman"/>
                <w:bCs/>
                <w:color w:val="000000" w:themeColor="text1"/>
                <w:sz w:val="20"/>
                <w:szCs w:val="20"/>
                <w:lang w:val="it-IT"/>
              </w:rPr>
            </w:pPr>
            <w:r w:rsidRPr="00936177">
              <w:rPr>
                <w:rFonts w:ascii="Times New Roman" w:eastAsia="Times New Roman" w:hAnsi="Times New Roman" w:cs="Times New Roman"/>
                <w:bCs/>
                <w:color w:val="000000" w:themeColor="text1"/>
                <w:sz w:val="20"/>
                <w:szCs w:val="20"/>
                <w:lang w:val="it-IT"/>
              </w:rPr>
              <w:t>Kuadri ligjor, politik dhe institucional, përputhshmëria me instrumentet dhe standardet përkatëse ndërkombëtare, kapaciteti zbatues dhe zbatues, funksionimi dhe performanca, sfidat dhe mangësitë. Kjo përfshin mënyrën se si sistemi siguron pjesëmarrje efektive në hartimin e politikave për</w:t>
            </w:r>
            <w:r w:rsidR="00AB2E5B">
              <w:rPr>
                <w:rFonts w:ascii="Times New Roman" w:eastAsia="Times New Roman" w:hAnsi="Times New Roman" w:cs="Times New Roman"/>
                <w:bCs/>
                <w:color w:val="000000" w:themeColor="text1"/>
                <w:sz w:val="20"/>
                <w:szCs w:val="20"/>
                <w:lang w:val="it-IT"/>
              </w:rPr>
              <w:t xml:space="preserve"> </w:t>
            </w:r>
            <w:r w:rsidRPr="00AB2E5B">
              <w:rPr>
                <w:rFonts w:ascii="Times New Roman" w:eastAsia="Times New Roman" w:hAnsi="Times New Roman" w:cs="Times New Roman"/>
                <w:bCs/>
                <w:color w:val="000000" w:themeColor="text1"/>
                <w:sz w:val="20"/>
                <w:szCs w:val="20"/>
                <w:lang w:val="it-IT"/>
              </w:rPr>
              <w:t>OSHC-të dhe qytetarët, publiku</w:t>
            </w:r>
            <w:r w:rsidR="00AB2E5B">
              <w:rPr>
                <w:rFonts w:ascii="Times New Roman" w:eastAsia="Times New Roman" w:hAnsi="Times New Roman" w:cs="Times New Roman"/>
                <w:bCs/>
                <w:color w:val="000000" w:themeColor="text1"/>
                <w:sz w:val="20"/>
                <w:szCs w:val="20"/>
                <w:lang w:val="it-IT"/>
              </w:rPr>
              <w:t xml:space="preserve"> </w:t>
            </w:r>
            <w:r w:rsidRPr="00AB2E5B">
              <w:rPr>
                <w:rFonts w:ascii="Times New Roman" w:eastAsia="Times New Roman" w:hAnsi="Times New Roman" w:cs="Times New Roman"/>
                <w:bCs/>
                <w:color w:val="000000" w:themeColor="text1"/>
                <w:sz w:val="20"/>
                <w:szCs w:val="20"/>
                <w:lang w:val="it-IT"/>
              </w:rPr>
              <w:t xml:space="preserve">llogaridhënia, mekanizmat e konsultimit, bashkëpunimi ndërmjet autoriteteve publike dhe funksionimi i strukturave/këshillave të dialogut shtet-OSHC. </w:t>
            </w:r>
          </w:p>
        </w:tc>
        <w:tc>
          <w:tcPr>
            <w:tcW w:w="3249" w:type="dxa"/>
            <w:gridSpan w:val="2"/>
            <w:shd w:val="clear" w:color="auto" w:fill="auto"/>
          </w:tcPr>
          <w:p w:rsidR="00936177" w:rsidRDefault="00AB2E5B" w:rsidP="00C13E98">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Korniza ligjore e rishikuar për vullnetarizmin miratuar brenda vitit 2027.</w:t>
            </w:r>
          </w:p>
          <w:p w:rsidR="00AB2E5B" w:rsidRDefault="00AB2E5B" w:rsidP="00C13E98">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Metodologjia e akteve që i nënshtrohen konsultimeve publike është rishikuar dhe miratuar brenda vitit 2025 duke zgjeruar fushën e konsultimit publik për aktet e qeverisë.</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 xml:space="preserve">Ndryshim në ligjin nr.146/2014 “Për njoftimin dhe konsultimin publik”, dhe në legjislacionin dytësor për konsultimin publik </w:t>
            </w:r>
            <w:r>
              <w:rPr>
                <w:rFonts w:ascii="Times New Roman" w:eastAsia="Times New Roman" w:hAnsi="Times New Roman" w:cs="Times New Roman"/>
                <w:bCs/>
                <w:color w:val="000000" w:themeColor="text1"/>
                <w:sz w:val="20"/>
                <w:szCs w:val="20"/>
                <w:lang w:val="it-IT"/>
              </w:rPr>
              <w:t xml:space="preserve">bëhet </w:t>
            </w:r>
            <w:r w:rsidRPr="00AB2E5B">
              <w:rPr>
                <w:rFonts w:ascii="Times New Roman" w:eastAsia="Times New Roman" w:hAnsi="Times New Roman" w:cs="Times New Roman"/>
                <w:bCs/>
                <w:color w:val="000000" w:themeColor="text1"/>
                <w:sz w:val="20"/>
                <w:szCs w:val="20"/>
                <w:lang w:val="it-IT"/>
              </w:rPr>
              <w:t>në mënyrë progresive drejt vitit 2030.</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-Rritja e cilësisë së raporteve të konsultimit publik dhe plotësimi i strukturave përgjegjëse me staf të përgatitur dhe të mirëtrajnuar për të zgjeruar deri në vitin 2030 procesin e konsultimit publik në legjislacionin dytësor me interes të lartë publik nëse plotësohen kushtet e mësipërme.</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AB2E5B" w:rsidRPr="00936177" w:rsidRDefault="00AB2E5B" w:rsidP="00AB2E5B">
            <w:pPr>
              <w:jc w:val="both"/>
              <w:textAlignment w:val="baseline"/>
              <w:rPr>
                <w:rFonts w:ascii="Times New Roman" w:eastAsia="Times New Roman" w:hAnsi="Times New Roman" w:cs="Times New Roman"/>
                <w:bCs/>
                <w:color w:val="000000" w:themeColor="text1"/>
                <w:sz w:val="20"/>
                <w:szCs w:val="20"/>
                <w:lang w:val="it-IT"/>
              </w:rPr>
            </w:pPr>
          </w:p>
        </w:tc>
        <w:tc>
          <w:tcPr>
            <w:tcW w:w="5186" w:type="dxa"/>
            <w:gridSpan w:val="3"/>
            <w:shd w:val="clear" w:color="auto" w:fill="auto"/>
          </w:tcPr>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Rriten kapacitetet e ministrive të linjës për të kryer konsultimet e duhura brenda vitit 2025.</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Mjetet dixhitale për të siguruar një konsultim më të madh publik të duhur brenda vitit 2025.</w:t>
            </w:r>
          </w:p>
          <w:p w:rsidR="00936177" w:rsidRDefault="00936177" w:rsidP="00936177">
            <w:pPr>
              <w:jc w:val="both"/>
              <w:textAlignment w:val="baseline"/>
              <w:rPr>
                <w:rFonts w:ascii="Times New Roman" w:eastAsia="Times New Roman" w:hAnsi="Times New Roman" w:cs="Times New Roman"/>
                <w:bCs/>
                <w:color w:val="000000" w:themeColor="text1"/>
                <w:sz w:val="20"/>
                <w:szCs w:val="20"/>
                <w:lang w:val="it-IT"/>
              </w:rPr>
            </w:pPr>
          </w:p>
          <w:p w:rsidR="00AB2E5B" w:rsidRDefault="00AB2E5B" w:rsidP="00936177">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Rritja e cilësisë së raporteve të konsultimit publik dhe plotësimi i strukturave përgjegjëse me staf të përgatitur dhe të mirëtrajnuar, me qëllim zgjerimin e procesit të konsultimit publik deri në vitin 2030</w:t>
            </w:r>
            <w:r>
              <w:rPr>
                <w:rFonts w:ascii="Times New Roman" w:eastAsia="Times New Roman" w:hAnsi="Times New Roman" w:cs="Times New Roman"/>
                <w:bCs/>
                <w:color w:val="000000" w:themeColor="text1"/>
                <w:sz w:val="20"/>
                <w:szCs w:val="20"/>
                <w:lang w:val="it-IT"/>
              </w:rPr>
              <w:t xml:space="preserve"> edhe</w:t>
            </w:r>
            <w:r w:rsidRPr="00AB2E5B">
              <w:rPr>
                <w:rFonts w:ascii="Times New Roman" w:eastAsia="Times New Roman" w:hAnsi="Times New Roman" w:cs="Times New Roman"/>
                <w:bCs/>
                <w:color w:val="000000" w:themeColor="text1"/>
                <w:sz w:val="20"/>
                <w:szCs w:val="20"/>
                <w:lang w:val="it-IT"/>
              </w:rPr>
              <w:t xml:space="preserve"> në legjislacionin dytësor me interes të lartë publik nëse plotësohen kushtet e mësipërme.</w:t>
            </w:r>
          </w:p>
          <w:p w:rsidR="00AB2E5B" w:rsidRPr="00936177" w:rsidRDefault="00AB2E5B" w:rsidP="00936177">
            <w:pPr>
              <w:jc w:val="both"/>
              <w:textAlignment w:val="baseline"/>
              <w:rPr>
                <w:rFonts w:ascii="Times New Roman" w:eastAsia="Times New Roman" w:hAnsi="Times New Roman" w:cs="Times New Roman"/>
                <w:bCs/>
                <w:color w:val="000000" w:themeColor="text1"/>
                <w:sz w:val="20"/>
                <w:szCs w:val="20"/>
                <w:lang w:val="it-IT"/>
              </w:rPr>
            </w:pPr>
          </w:p>
        </w:tc>
        <w:tc>
          <w:tcPr>
            <w:tcW w:w="3244" w:type="dxa"/>
            <w:gridSpan w:val="2"/>
            <w:shd w:val="clear" w:color="auto" w:fill="auto"/>
          </w:tcPr>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Cilësia e konsultimeve, transparenca dhe pjesëmarrja publike e OSHC-ve në proceset vendimmarrëse u përmirësuan brenda vitit 2025.</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Forcimi i kulturës pjesëmarrëse të publikut dhe palëve të interesuara dhe rritja e llogaridhënies së institucioneve në vendimmarrje përmes konsultimit publik që çon në rregullime më të mira brenda 2026</w:t>
            </w:r>
          </w:p>
          <w:p w:rsidR="00AB2E5B" w:rsidRPr="00AB2E5B" w:rsidRDefault="00AB2E5B" w:rsidP="00AB2E5B">
            <w:pPr>
              <w:jc w:val="both"/>
              <w:textAlignment w:val="baseline"/>
              <w:rPr>
                <w:rFonts w:ascii="Times New Roman" w:eastAsia="Times New Roman" w:hAnsi="Times New Roman" w:cs="Times New Roman"/>
                <w:bCs/>
                <w:color w:val="000000" w:themeColor="text1"/>
                <w:sz w:val="20"/>
                <w:szCs w:val="20"/>
                <w:lang w:val="it-IT"/>
              </w:rPr>
            </w:pPr>
          </w:p>
          <w:p w:rsidR="00936177" w:rsidRPr="00936177" w:rsidRDefault="00AB2E5B" w:rsidP="00AB2E5B">
            <w:pPr>
              <w:jc w:val="both"/>
              <w:textAlignment w:val="baseline"/>
              <w:rPr>
                <w:rFonts w:ascii="Times New Roman" w:eastAsia="Times New Roman" w:hAnsi="Times New Roman" w:cs="Times New Roman"/>
                <w:bCs/>
                <w:color w:val="000000" w:themeColor="text1"/>
                <w:sz w:val="20"/>
                <w:szCs w:val="20"/>
                <w:lang w:val="it-IT"/>
              </w:rPr>
            </w:pPr>
            <w:r w:rsidRPr="00AB2E5B">
              <w:rPr>
                <w:rFonts w:ascii="Times New Roman" w:eastAsia="Times New Roman" w:hAnsi="Times New Roman" w:cs="Times New Roman"/>
                <w:bCs/>
                <w:color w:val="000000" w:themeColor="text1"/>
                <w:sz w:val="20"/>
                <w:szCs w:val="20"/>
                <w:lang w:val="it-IT"/>
              </w:rPr>
              <w:t>Administrata publike në Qendrën e Qeverisë është e aftë të kryejë procesin e konsultimit publik bazuar në standardet më të larta - të vazhdueshme</w:t>
            </w:r>
            <w:r>
              <w:rPr>
                <w:rFonts w:ascii="Times New Roman" w:eastAsia="Times New Roman" w:hAnsi="Times New Roman" w:cs="Times New Roman"/>
                <w:bCs/>
                <w:color w:val="000000" w:themeColor="text1"/>
                <w:sz w:val="20"/>
                <w:szCs w:val="20"/>
                <w:lang w:val="it-IT"/>
              </w:rPr>
              <w:t>.</w:t>
            </w:r>
          </w:p>
        </w:tc>
      </w:tr>
    </w:tbl>
    <w:p w:rsidR="00070873" w:rsidRPr="00936177" w:rsidRDefault="00070873" w:rsidP="00936177">
      <w:pPr>
        <w:ind w:left="995"/>
        <w:rPr>
          <w:lang w:val="it-IT"/>
        </w:rPr>
      </w:pPr>
    </w:p>
    <w:sectPr w:rsidR="00070873" w:rsidRPr="00936177" w:rsidSect="00734862">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04B" w:rsidRDefault="00C9104B">
      <w:pPr>
        <w:spacing w:after="0" w:line="240" w:lineRule="auto"/>
      </w:pPr>
      <w:r>
        <w:separator/>
      </w:r>
    </w:p>
  </w:endnote>
  <w:endnote w:type="continuationSeparator" w:id="0">
    <w:p w:rsidR="00C9104B" w:rsidRDefault="00C91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81364"/>
      <w:docPartObj>
        <w:docPartGallery w:val="Page Numbers (Bottom of Page)"/>
        <w:docPartUnique/>
      </w:docPartObj>
    </w:sdtPr>
    <w:sdtEndPr>
      <w:rPr>
        <w:noProof/>
      </w:rPr>
    </w:sdtEndPr>
    <w:sdtContent>
      <w:p w:rsidR="00C62B22" w:rsidRDefault="00C9104B">
        <w:pPr>
          <w:pStyle w:val="Footer"/>
          <w:jc w:val="right"/>
        </w:pPr>
        <w:r>
          <w:fldChar w:fldCharType="begin"/>
        </w:r>
        <w:r>
          <w:instrText xml:space="preserve"> PAGE   \* MERGEFORMAT </w:instrText>
        </w:r>
        <w:r>
          <w:fldChar w:fldCharType="separate"/>
        </w:r>
        <w:r w:rsidR="00AB2E5B">
          <w:rPr>
            <w:noProof/>
          </w:rPr>
          <w:t>1</w:t>
        </w:r>
        <w:r>
          <w:rPr>
            <w:noProof/>
          </w:rPr>
          <w:fldChar w:fldCharType="end"/>
        </w:r>
      </w:p>
    </w:sdtContent>
  </w:sdt>
  <w:p w:rsidR="00C62B22" w:rsidRDefault="00C62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04B" w:rsidRDefault="00C9104B">
      <w:pPr>
        <w:spacing w:after="0" w:line="240" w:lineRule="auto"/>
      </w:pPr>
      <w:r>
        <w:separator/>
      </w:r>
    </w:p>
  </w:footnote>
  <w:footnote w:type="continuationSeparator" w:id="0">
    <w:p w:rsidR="00C9104B" w:rsidRDefault="00C910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4A68"/>
    <w:multiLevelType w:val="hybridMultilevel"/>
    <w:tmpl w:val="6B9819E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AA1633"/>
    <w:multiLevelType w:val="hybridMultilevel"/>
    <w:tmpl w:val="91249A18"/>
    <w:lvl w:ilvl="0" w:tplc="FF7A9B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339AD"/>
    <w:multiLevelType w:val="hybridMultilevel"/>
    <w:tmpl w:val="9C9ED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44AA"/>
    <w:multiLevelType w:val="multilevel"/>
    <w:tmpl w:val="66E83E4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774AA2"/>
    <w:multiLevelType w:val="hybridMultilevel"/>
    <w:tmpl w:val="9494945E"/>
    <w:lvl w:ilvl="0" w:tplc="928C7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2406"/>
    <w:multiLevelType w:val="hybridMultilevel"/>
    <w:tmpl w:val="4EA8F09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F0680"/>
    <w:multiLevelType w:val="hybridMultilevel"/>
    <w:tmpl w:val="B77C8462"/>
    <w:lvl w:ilvl="0" w:tplc="4B8EE7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B7AB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15:restartNumberingAfterBreak="0">
    <w:nsid w:val="275E0618"/>
    <w:multiLevelType w:val="hybridMultilevel"/>
    <w:tmpl w:val="B8983524"/>
    <w:lvl w:ilvl="0" w:tplc="1FA448A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A661B"/>
    <w:multiLevelType w:val="hybridMultilevel"/>
    <w:tmpl w:val="5BB81F12"/>
    <w:lvl w:ilvl="0" w:tplc="3A8C8B28">
      <w:start w:val="1"/>
      <w:numFmt w:val="bullet"/>
      <w:lvlText w:val="-"/>
      <w:lvlJc w:val="left"/>
      <w:pPr>
        <w:ind w:left="360" w:hanging="360"/>
      </w:pPr>
      <w:rPr>
        <w:rFonts w:ascii="Calibri" w:hAnsi="Calibri" w:hint="default"/>
      </w:rPr>
    </w:lvl>
    <w:lvl w:ilvl="1" w:tplc="03648492">
      <w:start w:val="1"/>
      <w:numFmt w:val="bullet"/>
      <w:lvlText w:val="o"/>
      <w:lvlJc w:val="left"/>
      <w:pPr>
        <w:ind w:left="1080" w:hanging="360"/>
      </w:pPr>
      <w:rPr>
        <w:rFonts w:ascii="Courier New" w:hAnsi="Courier New" w:hint="default"/>
      </w:rPr>
    </w:lvl>
    <w:lvl w:ilvl="2" w:tplc="38E28CC0">
      <w:start w:val="1"/>
      <w:numFmt w:val="bullet"/>
      <w:lvlText w:val=""/>
      <w:lvlJc w:val="left"/>
      <w:pPr>
        <w:ind w:left="1800" w:hanging="360"/>
      </w:pPr>
      <w:rPr>
        <w:rFonts w:ascii="Wingdings" w:hAnsi="Wingdings" w:hint="default"/>
      </w:rPr>
    </w:lvl>
    <w:lvl w:ilvl="3" w:tplc="25F2069A">
      <w:start w:val="1"/>
      <w:numFmt w:val="bullet"/>
      <w:lvlText w:val=""/>
      <w:lvlJc w:val="left"/>
      <w:pPr>
        <w:ind w:left="2520" w:hanging="360"/>
      </w:pPr>
      <w:rPr>
        <w:rFonts w:ascii="Symbol" w:hAnsi="Symbol" w:hint="default"/>
      </w:rPr>
    </w:lvl>
    <w:lvl w:ilvl="4" w:tplc="A3A0ABBC">
      <w:start w:val="1"/>
      <w:numFmt w:val="bullet"/>
      <w:lvlText w:val="o"/>
      <w:lvlJc w:val="left"/>
      <w:pPr>
        <w:ind w:left="3240" w:hanging="360"/>
      </w:pPr>
      <w:rPr>
        <w:rFonts w:ascii="Courier New" w:hAnsi="Courier New" w:hint="default"/>
      </w:rPr>
    </w:lvl>
    <w:lvl w:ilvl="5" w:tplc="C234ED70">
      <w:start w:val="1"/>
      <w:numFmt w:val="bullet"/>
      <w:lvlText w:val=""/>
      <w:lvlJc w:val="left"/>
      <w:pPr>
        <w:ind w:left="3960" w:hanging="360"/>
      </w:pPr>
      <w:rPr>
        <w:rFonts w:ascii="Wingdings" w:hAnsi="Wingdings" w:hint="default"/>
      </w:rPr>
    </w:lvl>
    <w:lvl w:ilvl="6" w:tplc="96EA1390">
      <w:start w:val="1"/>
      <w:numFmt w:val="bullet"/>
      <w:lvlText w:val=""/>
      <w:lvlJc w:val="left"/>
      <w:pPr>
        <w:ind w:left="4680" w:hanging="360"/>
      </w:pPr>
      <w:rPr>
        <w:rFonts w:ascii="Symbol" w:hAnsi="Symbol" w:hint="default"/>
      </w:rPr>
    </w:lvl>
    <w:lvl w:ilvl="7" w:tplc="FA7AC55A">
      <w:start w:val="1"/>
      <w:numFmt w:val="bullet"/>
      <w:lvlText w:val="o"/>
      <w:lvlJc w:val="left"/>
      <w:pPr>
        <w:ind w:left="5400" w:hanging="360"/>
      </w:pPr>
      <w:rPr>
        <w:rFonts w:ascii="Courier New" w:hAnsi="Courier New" w:hint="default"/>
      </w:rPr>
    </w:lvl>
    <w:lvl w:ilvl="8" w:tplc="981E5FA4">
      <w:start w:val="1"/>
      <w:numFmt w:val="bullet"/>
      <w:lvlText w:val=""/>
      <w:lvlJc w:val="left"/>
      <w:pPr>
        <w:ind w:left="6120" w:hanging="360"/>
      </w:pPr>
      <w:rPr>
        <w:rFonts w:ascii="Wingdings" w:hAnsi="Wingdings" w:hint="default"/>
      </w:rPr>
    </w:lvl>
  </w:abstractNum>
  <w:abstractNum w:abstractNumId="10" w15:restartNumberingAfterBreak="0">
    <w:nsid w:val="2CFC7C70"/>
    <w:multiLevelType w:val="multilevel"/>
    <w:tmpl w:val="8A44D1F8"/>
    <w:lvl w:ilvl="0">
      <w:start w:val="1"/>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9D5B19"/>
    <w:multiLevelType w:val="multilevel"/>
    <w:tmpl w:val="558EB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414E3B"/>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3" w15:restartNumberingAfterBreak="0">
    <w:nsid w:val="3BCB218B"/>
    <w:multiLevelType w:val="multilevel"/>
    <w:tmpl w:val="2124BA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C0310BC"/>
    <w:multiLevelType w:val="hybridMultilevel"/>
    <w:tmpl w:val="832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05937"/>
    <w:multiLevelType w:val="hybridMultilevel"/>
    <w:tmpl w:val="A74470DC"/>
    <w:lvl w:ilvl="0" w:tplc="1828145E">
      <w:start w:val="1"/>
      <w:numFmt w:val="bullet"/>
      <w:lvlText w:val="-"/>
      <w:lvlJc w:val="left"/>
      <w:pPr>
        <w:ind w:left="360" w:hanging="360"/>
      </w:pPr>
      <w:rPr>
        <w:rFonts w:ascii="Times New Roman" w:eastAsia="Times New Roman" w:hAnsi="Times New Roman"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43A66C5B"/>
    <w:multiLevelType w:val="multilevel"/>
    <w:tmpl w:val="33163388"/>
    <w:lvl w:ilvl="0">
      <w:start w:val="5"/>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979593E"/>
    <w:multiLevelType w:val="hybridMultilevel"/>
    <w:tmpl w:val="437090B8"/>
    <w:lvl w:ilvl="0" w:tplc="FB2EA7F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33BD5"/>
    <w:multiLevelType w:val="hybridMultilevel"/>
    <w:tmpl w:val="E7FEB2C8"/>
    <w:lvl w:ilvl="0" w:tplc="3FE4650C">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9A49B8"/>
    <w:multiLevelType w:val="hybridMultilevel"/>
    <w:tmpl w:val="B2223BCC"/>
    <w:lvl w:ilvl="0" w:tplc="D3FE4C24">
      <w:numFmt w:val="bullet"/>
      <w:lvlText w:val="-"/>
      <w:lvlJc w:val="left"/>
      <w:pPr>
        <w:ind w:left="720" w:hanging="360"/>
      </w:pPr>
      <w:rPr>
        <w:rFonts w:ascii="Times New Roman" w:eastAsia="Times New Roman"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58882609"/>
    <w:multiLevelType w:val="multilevel"/>
    <w:tmpl w:val="8C820008"/>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1" w15:restartNumberingAfterBreak="0">
    <w:nsid w:val="62621EB9"/>
    <w:multiLevelType w:val="hybridMultilevel"/>
    <w:tmpl w:val="932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5646F"/>
    <w:multiLevelType w:val="hybridMultilevel"/>
    <w:tmpl w:val="9D72C9C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4A43E1E"/>
    <w:multiLevelType w:val="hybridMultilevel"/>
    <w:tmpl w:val="B0DC8DEE"/>
    <w:lvl w:ilvl="0" w:tplc="2668DF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D0694"/>
    <w:multiLevelType w:val="hybridMultilevel"/>
    <w:tmpl w:val="14A2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64D2B"/>
    <w:multiLevelType w:val="hybridMultilevel"/>
    <w:tmpl w:val="3ECEE270"/>
    <w:lvl w:ilvl="0" w:tplc="8E6C4B2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C2C0B"/>
    <w:multiLevelType w:val="hybridMultilevel"/>
    <w:tmpl w:val="C936CA7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7" w15:restartNumberingAfterBreak="0">
    <w:nsid w:val="79E939CF"/>
    <w:multiLevelType w:val="hybridMultilevel"/>
    <w:tmpl w:val="1512D158"/>
    <w:lvl w:ilvl="0" w:tplc="1828145E">
      <w:start w:val="1"/>
      <w:numFmt w:val="bullet"/>
      <w:lvlText w:val="-"/>
      <w:lvlJc w:val="left"/>
      <w:pPr>
        <w:ind w:left="410" w:hanging="360"/>
      </w:pPr>
      <w:rPr>
        <w:rFonts w:ascii="Times New Roman" w:eastAsia="Times New Roman" w:hAnsi="Times New Roman" w:cs="Times New Roman" w:hint="default"/>
      </w:rPr>
    </w:lvl>
    <w:lvl w:ilvl="1" w:tplc="0C070003" w:tentative="1">
      <w:start w:val="1"/>
      <w:numFmt w:val="bullet"/>
      <w:lvlText w:val="o"/>
      <w:lvlJc w:val="left"/>
      <w:pPr>
        <w:ind w:left="1490" w:hanging="360"/>
      </w:pPr>
      <w:rPr>
        <w:rFonts w:ascii="Courier New" w:hAnsi="Courier New" w:cs="Courier New" w:hint="default"/>
      </w:rPr>
    </w:lvl>
    <w:lvl w:ilvl="2" w:tplc="0C070005" w:tentative="1">
      <w:start w:val="1"/>
      <w:numFmt w:val="bullet"/>
      <w:lvlText w:val=""/>
      <w:lvlJc w:val="left"/>
      <w:pPr>
        <w:ind w:left="2210" w:hanging="360"/>
      </w:pPr>
      <w:rPr>
        <w:rFonts w:ascii="Wingdings" w:hAnsi="Wingdings" w:hint="default"/>
      </w:rPr>
    </w:lvl>
    <w:lvl w:ilvl="3" w:tplc="0C070001" w:tentative="1">
      <w:start w:val="1"/>
      <w:numFmt w:val="bullet"/>
      <w:lvlText w:val=""/>
      <w:lvlJc w:val="left"/>
      <w:pPr>
        <w:ind w:left="2930" w:hanging="360"/>
      </w:pPr>
      <w:rPr>
        <w:rFonts w:ascii="Symbol" w:hAnsi="Symbol" w:hint="default"/>
      </w:rPr>
    </w:lvl>
    <w:lvl w:ilvl="4" w:tplc="0C070003" w:tentative="1">
      <w:start w:val="1"/>
      <w:numFmt w:val="bullet"/>
      <w:lvlText w:val="o"/>
      <w:lvlJc w:val="left"/>
      <w:pPr>
        <w:ind w:left="3650" w:hanging="360"/>
      </w:pPr>
      <w:rPr>
        <w:rFonts w:ascii="Courier New" w:hAnsi="Courier New" w:cs="Courier New" w:hint="default"/>
      </w:rPr>
    </w:lvl>
    <w:lvl w:ilvl="5" w:tplc="0C070005" w:tentative="1">
      <w:start w:val="1"/>
      <w:numFmt w:val="bullet"/>
      <w:lvlText w:val=""/>
      <w:lvlJc w:val="left"/>
      <w:pPr>
        <w:ind w:left="4370" w:hanging="360"/>
      </w:pPr>
      <w:rPr>
        <w:rFonts w:ascii="Wingdings" w:hAnsi="Wingdings" w:hint="default"/>
      </w:rPr>
    </w:lvl>
    <w:lvl w:ilvl="6" w:tplc="0C070001" w:tentative="1">
      <w:start w:val="1"/>
      <w:numFmt w:val="bullet"/>
      <w:lvlText w:val=""/>
      <w:lvlJc w:val="left"/>
      <w:pPr>
        <w:ind w:left="5090" w:hanging="360"/>
      </w:pPr>
      <w:rPr>
        <w:rFonts w:ascii="Symbol" w:hAnsi="Symbol" w:hint="default"/>
      </w:rPr>
    </w:lvl>
    <w:lvl w:ilvl="7" w:tplc="0C070003" w:tentative="1">
      <w:start w:val="1"/>
      <w:numFmt w:val="bullet"/>
      <w:lvlText w:val="o"/>
      <w:lvlJc w:val="left"/>
      <w:pPr>
        <w:ind w:left="5810" w:hanging="360"/>
      </w:pPr>
      <w:rPr>
        <w:rFonts w:ascii="Courier New" w:hAnsi="Courier New" w:cs="Courier New" w:hint="default"/>
      </w:rPr>
    </w:lvl>
    <w:lvl w:ilvl="8" w:tplc="0C070005" w:tentative="1">
      <w:start w:val="1"/>
      <w:numFmt w:val="bullet"/>
      <w:lvlText w:val=""/>
      <w:lvlJc w:val="left"/>
      <w:pPr>
        <w:ind w:left="6530" w:hanging="360"/>
      </w:pPr>
      <w:rPr>
        <w:rFonts w:ascii="Wingdings" w:hAnsi="Wingdings" w:hint="default"/>
      </w:rPr>
    </w:lvl>
  </w:abstractNum>
  <w:abstractNum w:abstractNumId="28" w15:restartNumberingAfterBreak="0">
    <w:nsid w:val="7D091F9D"/>
    <w:multiLevelType w:val="hybridMultilevel"/>
    <w:tmpl w:val="444814B6"/>
    <w:lvl w:ilvl="0" w:tplc="3BAC8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22"/>
  </w:num>
  <w:num w:numId="5">
    <w:abstractNumId w:val="1"/>
  </w:num>
  <w:num w:numId="6">
    <w:abstractNumId w:val="5"/>
  </w:num>
  <w:num w:numId="7">
    <w:abstractNumId w:val="16"/>
  </w:num>
  <w:num w:numId="8">
    <w:abstractNumId w:val="11"/>
  </w:num>
  <w:num w:numId="9">
    <w:abstractNumId w:val="27"/>
  </w:num>
  <w:num w:numId="10">
    <w:abstractNumId w:val="20"/>
  </w:num>
  <w:num w:numId="11">
    <w:abstractNumId w:val="7"/>
  </w:num>
  <w:num w:numId="12">
    <w:abstractNumId w:val="24"/>
  </w:num>
  <w:num w:numId="13">
    <w:abstractNumId w:val="14"/>
  </w:num>
  <w:num w:numId="14">
    <w:abstractNumId w:val="19"/>
  </w:num>
  <w:num w:numId="15">
    <w:abstractNumId w:val="6"/>
  </w:num>
  <w:num w:numId="16">
    <w:abstractNumId w:val="25"/>
  </w:num>
  <w:num w:numId="17">
    <w:abstractNumId w:val="4"/>
  </w:num>
  <w:num w:numId="18">
    <w:abstractNumId w:val="0"/>
  </w:num>
  <w:num w:numId="19">
    <w:abstractNumId w:val="28"/>
  </w:num>
  <w:num w:numId="20">
    <w:abstractNumId w:val="26"/>
  </w:num>
  <w:num w:numId="21">
    <w:abstractNumId w:val="21"/>
  </w:num>
  <w:num w:numId="22">
    <w:abstractNumId w:val="10"/>
  </w:num>
  <w:num w:numId="23">
    <w:abstractNumId w:val="9"/>
  </w:num>
  <w:num w:numId="24">
    <w:abstractNumId w:val="12"/>
  </w:num>
  <w:num w:numId="25">
    <w:abstractNumId w:val="17"/>
  </w:num>
  <w:num w:numId="26">
    <w:abstractNumId w:val="18"/>
  </w:num>
  <w:num w:numId="27">
    <w:abstractNumId w:val="2"/>
  </w:num>
  <w:num w:numId="28">
    <w:abstractNumId w:val="13"/>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862"/>
    <w:rsid w:val="00023FA4"/>
    <w:rsid w:val="000355FF"/>
    <w:rsid w:val="0004366E"/>
    <w:rsid w:val="00046A5E"/>
    <w:rsid w:val="00050DFC"/>
    <w:rsid w:val="00052EC3"/>
    <w:rsid w:val="00070873"/>
    <w:rsid w:val="00083AD4"/>
    <w:rsid w:val="00090F52"/>
    <w:rsid w:val="000B4C3E"/>
    <w:rsid w:val="00142F44"/>
    <w:rsid w:val="00162C41"/>
    <w:rsid w:val="002116F9"/>
    <w:rsid w:val="00211CD2"/>
    <w:rsid w:val="0022223B"/>
    <w:rsid w:val="00233A44"/>
    <w:rsid w:val="00236E64"/>
    <w:rsid w:val="00287362"/>
    <w:rsid w:val="00292183"/>
    <w:rsid w:val="002B09EA"/>
    <w:rsid w:val="002F0472"/>
    <w:rsid w:val="002F3911"/>
    <w:rsid w:val="002F5CBD"/>
    <w:rsid w:val="00313DB7"/>
    <w:rsid w:val="00316958"/>
    <w:rsid w:val="00333046"/>
    <w:rsid w:val="003564B6"/>
    <w:rsid w:val="00374963"/>
    <w:rsid w:val="00385E48"/>
    <w:rsid w:val="003D2798"/>
    <w:rsid w:val="003D7DD1"/>
    <w:rsid w:val="00406971"/>
    <w:rsid w:val="00426730"/>
    <w:rsid w:val="00486A4B"/>
    <w:rsid w:val="004917D0"/>
    <w:rsid w:val="004952BA"/>
    <w:rsid w:val="004A7CD8"/>
    <w:rsid w:val="004C1BB9"/>
    <w:rsid w:val="004D43FD"/>
    <w:rsid w:val="00512CCF"/>
    <w:rsid w:val="00522C54"/>
    <w:rsid w:val="00583003"/>
    <w:rsid w:val="0058322F"/>
    <w:rsid w:val="005A3E21"/>
    <w:rsid w:val="005A65F7"/>
    <w:rsid w:val="005B1484"/>
    <w:rsid w:val="005D2164"/>
    <w:rsid w:val="005E58F3"/>
    <w:rsid w:val="005F2CA6"/>
    <w:rsid w:val="00615C97"/>
    <w:rsid w:val="00633080"/>
    <w:rsid w:val="00637E3D"/>
    <w:rsid w:val="00657854"/>
    <w:rsid w:val="00661A76"/>
    <w:rsid w:val="00664399"/>
    <w:rsid w:val="00667A59"/>
    <w:rsid w:val="006910F0"/>
    <w:rsid w:val="00693BC8"/>
    <w:rsid w:val="006B4F63"/>
    <w:rsid w:val="006D37A9"/>
    <w:rsid w:val="006F3C88"/>
    <w:rsid w:val="00702DF5"/>
    <w:rsid w:val="007116FD"/>
    <w:rsid w:val="00734862"/>
    <w:rsid w:val="00760EB8"/>
    <w:rsid w:val="00763AFB"/>
    <w:rsid w:val="00773A61"/>
    <w:rsid w:val="0079130A"/>
    <w:rsid w:val="007C2EDE"/>
    <w:rsid w:val="008465A6"/>
    <w:rsid w:val="00856C75"/>
    <w:rsid w:val="008626C5"/>
    <w:rsid w:val="00865791"/>
    <w:rsid w:val="00877AC8"/>
    <w:rsid w:val="00897C18"/>
    <w:rsid w:val="008A360C"/>
    <w:rsid w:val="008B52BC"/>
    <w:rsid w:val="008E7A37"/>
    <w:rsid w:val="00936177"/>
    <w:rsid w:val="0095477A"/>
    <w:rsid w:val="00986FF7"/>
    <w:rsid w:val="009A3016"/>
    <w:rsid w:val="00A217A4"/>
    <w:rsid w:val="00A47602"/>
    <w:rsid w:val="00A61028"/>
    <w:rsid w:val="00A8275F"/>
    <w:rsid w:val="00AB2A43"/>
    <w:rsid w:val="00AB2E5B"/>
    <w:rsid w:val="00AC6EBC"/>
    <w:rsid w:val="00AE0AF4"/>
    <w:rsid w:val="00B16FD4"/>
    <w:rsid w:val="00B20CCF"/>
    <w:rsid w:val="00B33C00"/>
    <w:rsid w:val="00B4739A"/>
    <w:rsid w:val="00B86CAB"/>
    <w:rsid w:val="00B87308"/>
    <w:rsid w:val="00BD5CBE"/>
    <w:rsid w:val="00C13E98"/>
    <w:rsid w:val="00C16622"/>
    <w:rsid w:val="00C5189D"/>
    <w:rsid w:val="00C57C26"/>
    <w:rsid w:val="00C62B22"/>
    <w:rsid w:val="00C86DEA"/>
    <w:rsid w:val="00C90231"/>
    <w:rsid w:val="00C9104B"/>
    <w:rsid w:val="00C944EA"/>
    <w:rsid w:val="00C96A2C"/>
    <w:rsid w:val="00CE1440"/>
    <w:rsid w:val="00CF4257"/>
    <w:rsid w:val="00D17DDC"/>
    <w:rsid w:val="00D21309"/>
    <w:rsid w:val="00D31341"/>
    <w:rsid w:val="00D35069"/>
    <w:rsid w:val="00D37C55"/>
    <w:rsid w:val="00D404D2"/>
    <w:rsid w:val="00D46DD8"/>
    <w:rsid w:val="00D54D81"/>
    <w:rsid w:val="00D56E68"/>
    <w:rsid w:val="00D56EE1"/>
    <w:rsid w:val="00DC1F61"/>
    <w:rsid w:val="00E0330C"/>
    <w:rsid w:val="00E141B8"/>
    <w:rsid w:val="00E54ADF"/>
    <w:rsid w:val="00E7325E"/>
    <w:rsid w:val="00EB0BD7"/>
    <w:rsid w:val="00EF1AAF"/>
    <w:rsid w:val="00EF2FCF"/>
    <w:rsid w:val="00EF32FA"/>
    <w:rsid w:val="00EF61F7"/>
    <w:rsid w:val="00F10CB0"/>
    <w:rsid w:val="00F44ACC"/>
    <w:rsid w:val="00F64EE3"/>
    <w:rsid w:val="00F93F6E"/>
    <w:rsid w:val="00FB20A9"/>
    <w:rsid w:val="00FB2DFB"/>
    <w:rsid w:val="00FD3945"/>
    <w:rsid w:val="00FF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291F2-DBB0-47A4-B4E6-C3EA4389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4862"/>
  </w:style>
  <w:style w:type="paragraph" w:styleId="Heading1">
    <w:name w:val="heading 1"/>
    <w:basedOn w:val="Normal"/>
    <w:next w:val="Normal"/>
    <w:link w:val="Heading1Char"/>
    <w:uiPriority w:val="9"/>
    <w:qFormat/>
    <w:rsid w:val="007348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86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3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4862"/>
    <w:rPr>
      <w:sz w:val="16"/>
      <w:szCs w:val="16"/>
    </w:rPr>
  </w:style>
  <w:style w:type="paragraph" w:styleId="CommentText">
    <w:name w:val="annotation text"/>
    <w:basedOn w:val="Normal"/>
    <w:link w:val="CommentTextChar"/>
    <w:uiPriority w:val="99"/>
    <w:unhideWhenUsed/>
    <w:rsid w:val="00734862"/>
    <w:pPr>
      <w:spacing w:line="240" w:lineRule="auto"/>
    </w:pPr>
    <w:rPr>
      <w:sz w:val="20"/>
      <w:szCs w:val="20"/>
    </w:rPr>
  </w:style>
  <w:style w:type="character" w:customStyle="1" w:styleId="CommentTextChar">
    <w:name w:val="Comment Text Char"/>
    <w:basedOn w:val="DefaultParagraphFont"/>
    <w:link w:val="CommentText"/>
    <w:uiPriority w:val="99"/>
    <w:rsid w:val="00734862"/>
    <w:rPr>
      <w:sz w:val="20"/>
      <w:szCs w:val="20"/>
    </w:rPr>
  </w:style>
  <w:style w:type="character" w:customStyle="1" w:styleId="font231">
    <w:name w:val="font231"/>
    <w:basedOn w:val="DefaultParagraphFont"/>
    <w:rsid w:val="00734862"/>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241">
    <w:name w:val="font241"/>
    <w:basedOn w:val="DefaultParagraphFont"/>
    <w:rsid w:val="00734862"/>
    <w:rPr>
      <w:rFonts w:ascii="Times New Roman" w:hAnsi="Times New Roman" w:cs="Times New Roman" w:hint="default"/>
      <w:b w:val="0"/>
      <w:bCs w:val="0"/>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734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862"/>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734862"/>
    <w:rPr>
      <w:b/>
      <w:bCs/>
      <w:sz w:val="20"/>
      <w:szCs w:val="20"/>
    </w:rPr>
  </w:style>
  <w:style w:type="paragraph" w:styleId="CommentSubject">
    <w:name w:val="annotation subject"/>
    <w:basedOn w:val="CommentText"/>
    <w:next w:val="CommentText"/>
    <w:link w:val="CommentSubjectChar"/>
    <w:uiPriority w:val="99"/>
    <w:semiHidden/>
    <w:unhideWhenUsed/>
    <w:rsid w:val="00734862"/>
    <w:rPr>
      <w:b/>
      <w:bCs/>
    </w:rPr>
  </w:style>
  <w:style w:type="character" w:customStyle="1" w:styleId="FootnoteTextChar">
    <w:name w:val="Footnote Text Char"/>
    <w:basedOn w:val="DefaultParagraphFont"/>
    <w:link w:val="FootnoteText"/>
    <w:uiPriority w:val="99"/>
    <w:semiHidden/>
    <w:rsid w:val="00734862"/>
    <w:rPr>
      <w:sz w:val="20"/>
      <w:szCs w:val="20"/>
      <w:lang w:val="mk-MK"/>
    </w:rPr>
  </w:style>
  <w:style w:type="paragraph" w:styleId="FootnoteText">
    <w:name w:val="footnote text"/>
    <w:basedOn w:val="Normal"/>
    <w:link w:val="FootnoteTextChar"/>
    <w:uiPriority w:val="99"/>
    <w:semiHidden/>
    <w:unhideWhenUsed/>
    <w:rsid w:val="00734862"/>
    <w:pPr>
      <w:spacing w:after="0" w:line="240" w:lineRule="auto"/>
    </w:pPr>
    <w:rPr>
      <w:sz w:val="20"/>
      <w:szCs w:val="20"/>
      <w:lang w:val="mk-MK"/>
    </w:rPr>
  </w:style>
  <w:style w:type="paragraph" w:styleId="ListParagraph">
    <w:name w:val="List Paragraph"/>
    <w:aliases w:val="List Paragraph2,Normal 1,List Paragraph (numbered (a)),Dot pt,F5 List Paragraph,List Paragraph Char Char Char,Indicator Text,Numbered Para 1,Bullet 1,Bullet Points,MAIN CONTENT,Párrafo de lista,Recommendation,No Spacing1,List Paragraph1,L"/>
    <w:basedOn w:val="Normal"/>
    <w:link w:val="ListParagraphChar"/>
    <w:uiPriority w:val="34"/>
    <w:qFormat/>
    <w:rsid w:val="00734862"/>
    <w:pPr>
      <w:ind w:left="720"/>
      <w:contextualSpacing/>
    </w:pPr>
  </w:style>
  <w:style w:type="character" w:customStyle="1" w:styleId="ListParagraphChar">
    <w:name w:val="List Paragraph Char"/>
    <w:aliases w:val="List Paragraph2 Char,Normal 1 Char,List Paragraph (numbered (a)) Char,Dot pt Char,F5 List Paragraph Char,List Paragraph Char Char Char Char,Indicator Text Char,Numbered Para 1 Char,Bullet 1 Char,Bullet Points Char,MAIN CONTENT Char"/>
    <w:link w:val="ListParagraph"/>
    <w:uiPriority w:val="34"/>
    <w:qFormat/>
    <w:locked/>
    <w:rsid w:val="00734862"/>
  </w:style>
  <w:style w:type="paragraph" w:customStyle="1" w:styleId="pf1">
    <w:name w:val="pf1"/>
    <w:basedOn w:val="Normal"/>
    <w:rsid w:val="007348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f0">
    <w:name w:val="pf0"/>
    <w:basedOn w:val="Normal"/>
    <w:rsid w:val="007348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734862"/>
    <w:rPr>
      <w:rFonts w:ascii="Segoe UI" w:hAnsi="Segoe UI" w:cs="Segoe UI" w:hint="default"/>
      <w:sz w:val="18"/>
      <w:szCs w:val="18"/>
    </w:rPr>
  </w:style>
  <w:style w:type="paragraph" w:styleId="Header">
    <w:name w:val="header"/>
    <w:basedOn w:val="Normal"/>
    <w:link w:val="HeaderChar"/>
    <w:uiPriority w:val="99"/>
    <w:unhideWhenUsed/>
    <w:rsid w:val="00734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862"/>
  </w:style>
  <w:style w:type="paragraph" w:styleId="Footer">
    <w:name w:val="footer"/>
    <w:basedOn w:val="Normal"/>
    <w:link w:val="FooterChar"/>
    <w:uiPriority w:val="99"/>
    <w:unhideWhenUsed/>
    <w:rsid w:val="00734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862"/>
  </w:style>
  <w:style w:type="paragraph" w:styleId="NormalWeb">
    <w:name w:val="Normal (Web)"/>
    <w:basedOn w:val="Normal"/>
    <w:uiPriority w:val="99"/>
    <w:unhideWhenUsed/>
    <w:rsid w:val="00734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tze">
    <w:name w:val="hwtze"/>
    <w:basedOn w:val="DefaultParagraphFont"/>
    <w:rsid w:val="00936177"/>
  </w:style>
  <w:style w:type="character" w:customStyle="1" w:styleId="rynqvb">
    <w:name w:val="rynqvb"/>
    <w:basedOn w:val="DefaultParagraphFont"/>
    <w:rsid w:val="0093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943615">
      <w:bodyDiv w:val="1"/>
      <w:marLeft w:val="0"/>
      <w:marRight w:val="0"/>
      <w:marTop w:val="0"/>
      <w:marBottom w:val="0"/>
      <w:divBdr>
        <w:top w:val="none" w:sz="0" w:space="0" w:color="auto"/>
        <w:left w:val="none" w:sz="0" w:space="0" w:color="auto"/>
        <w:bottom w:val="none" w:sz="0" w:space="0" w:color="auto"/>
        <w:right w:val="none" w:sz="0" w:space="0" w:color="auto"/>
      </w:divBdr>
    </w:div>
    <w:div w:id="129062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3557</Words>
  <Characters>20278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Greis Como</cp:lastModifiedBy>
  <cp:revision>2</cp:revision>
  <dcterms:created xsi:type="dcterms:W3CDTF">2023-12-27T08:02:00Z</dcterms:created>
  <dcterms:modified xsi:type="dcterms:W3CDTF">2023-12-27T08:02:00Z</dcterms:modified>
</cp:coreProperties>
</file>