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19D" w:rsidRPr="00E01A0A" w:rsidRDefault="00E01A0A" w:rsidP="00E01A0A">
      <w:pPr>
        <w:tabs>
          <w:tab w:val="left" w:pos="7110"/>
        </w:tabs>
        <w:spacing w:line="240" w:lineRule="auto"/>
        <w:jc w:val="center"/>
        <w:rPr>
          <w:rFonts w:ascii="Times New Roman" w:hAnsi="Times New Roman" w:cs="Times New Roman"/>
          <w:b/>
          <w:sz w:val="24"/>
          <w:szCs w:val="24"/>
        </w:rPr>
      </w:pPr>
      <w:bookmarkStart w:id="0" w:name="_GoBack"/>
      <w:bookmarkEnd w:id="0"/>
      <w:r w:rsidRPr="00E01A0A">
        <w:rPr>
          <w:rFonts w:ascii="Times New Roman" w:hAnsi="Times New Roman" w:cs="Times New Roman"/>
          <w:b/>
          <w:sz w:val="24"/>
          <w:szCs w:val="24"/>
        </w:rPr>
        <w:t>PËR UDHËRRËFYESIN PËR FUNKSIONIMIN E INSTITUCIONEVE DEMOKRATIKE</w:t>
      </w:r>
    </w:p>
    <w:p w:rsidR="00E01A0A" w:rsidRPr="00E01A0A" w:rsidRDefault="00E01A0A" w:rsidP="0069359D">
      <w:pPr>
        <w:jc w:val="center"/>
        <w:rPr>
          <w:rFonts w:ascii="Times New Roman" w:hAnsi="Times New Roman" w:cs="Times New Roman"/>
          <w:b/>
          <w:bCs/>
          <w:iCs/>
          <w:sz w:val="24"/>
          <w:szCs w:val="24"/>
          <w:lang w:val="de-DE" w:bidi="en-GB"/>
        </w:rPr>
      </w:pPr>
    </w:p>
    <w:p w:rsidR="00253786" w:rsidRPr="00E01A0A" w:rsidRDefault="00253786" w:rsidP="0069359D">
      <w:pPr>
        <w:jc w:val="center"/>
        <w:rPr>
          <w:rFonts w:ascii="Times New Roman" w:hAnsi="Times New Roman" w:cs="Times New Roman"/>
          <w:b/>
          <w:bCs/>
          <w:iCs/>
          <w:sz w:val="24"/>
          <w:szCs w:val="24"/>
          <w:lang w:val="de-DE" w:bidi="en-GB"/>
        </w:rPr>
      </w:pPr>
      <w:r w:rsidRPr="00E01A0A">
        <w:rPr>
          <w:rFonts w:ascii="Times New Roman" w:hAnsi="Times New Roman" w:cs="Times New Roman"/>
          <w:b/>
          <w:bCs/>
          <w:iCs/>
          <w:sz w:val="24"/>
          <w:szCs w:val="24"/>
          <w:lang w:val="de-DE" w:bidi="en-GB"/>
        </w:rPr>
        <w:t>Raport për rezultatet e konsultimit publik</w:t>
      </w:r>
    </w:p>
    <w:p w:rsidR="00253786" w:rsidRPr="00E01A0A" w:rsidRDefault="00253786" w:rsidP="0069359D">
      <w:pPr>
        <w:rPr>
          <w:rFonts w:ascii="Times New Roman" w:hAnsi="Times New Roman" w:cs="Times New Roman"/>
          <w:sz w:val="24"/>
          <w:szCs w:val="24"/>
          <w:lang w:val="de-DE"/>
        </w:rPr>
      </w:pPr>
    </w:p>
    <w:p w:rsidR="00253786" w:rsidRPr="00E01A0A" w:rsidRDefault="00253786" w:rsidP="0069359D">
      <w:pPr>
        <w:pStyle w:val="ListParagraph"/>
        <w:numPr>
          <w:ilvl w:val="0"/>
          <w:numId w:val="1"/>
        </w:numPr>
        <w:tabs>
          <w:tab w:val="left" w:pos="567"/>
        </w:tabs>
        <w:spacing w:after="120" w:line="240" w:lineRule="auto"/>
        <w:contextualSpacing w:val="0"/>
        <w:jc w:val="both"/>
        <w:rPr>
          <w:rFonts w:ascii="Times New Roman" w:hAnsi="Times New Roman" w:cs="Times New Roman"/>
          <w:b/>
          <w:bCs/>
          <w:sz w:val="24"/>
          <w:szCs w:val="24"/>
        </w:rPr>
      </w:pPr>
      <w:r w:rsidRPr="00E01A0A">
        <w:rPr>
          <w:rFonts w:ascii="Times New Roman" w:hAnsi="Times New Roman" w:cs="Times New Roman"/>
          <w:b/>
          <w:bCs/>
          <w:sz w:val="24"/>
          <w:szCs w:val="24"/>
        </w:rPr>
        <w:t>Titulli i draft aktit</w:t>
      </w:r>
    </w:p>
    <w:p w:rsidR="00253786" w:rsidRPr="00E01A0A" w:rsidRDefault="00253786" w:rsidP="0069359D">
      <w:pPr>
        <w:pStyle w:val="BodyText"/>
        <w:tabs>
          <w:tab w:val="left" w:pos="540"/>
        </w:tabs>
        <w:suppressAutoHyphens w:val="0"/>
        <w:jc w:val="both"/>
        <w:rPr>
          <w:lang w:val="de-DE"/>
        </w:rPr>
      </w:pPr>
      <w:r w:rsidRPr="00E01A0A">
        <w:rPr>
          <w:lang w:val="de-DE"/>
        </w:rPr>
        <w:t xml:space="preserve">     </w:t>
      </w:r>
      <w:bookmarkStart w:id="1" w:name="_Hlk179440006"/>
      <w:r w:rsidRPr="00E01A0A">
        <w:rPr>
          <w:lang w:val="de-DE"/>
        </w:rPr>
        <w:t xml:space="preserve">Për </w:t>
      </w:r>
      <w:r w:rsidR="007202EF" w:rsidRPr="00E01A0A">
        <w:rPr>
          <w:lang w:val="de-DE"/>
        </w:rPr>
        <w:t>Udhërrëfyesin për Funksionimin e Institucioneve Demokratike</w:t>
      </w:r>
      <w:bookmarkEnd w:id="1"/>
    </w:p>
    <w:p w:rsidR="00FA6461" w:rsidRPr="00E01A0A" w:rsidRDefault="00FA6461" w:rsidP="0069359D">
      <w:pPr>
        <w:pStyle w:val="BodyText"/>
        <w:tabs>
          <w:tab w:val="left" w:pos="540"/>
        </w:tabs>
        <w:suppressAutoHyphens w:val="0"/>
        <w:jc w:val="both"/>
        <w:rPr>
          <w:b/>
          <w:bCs/>
          <w:lang w:val="de-DE"/>
        </w:rPr>
      </w:pPr>
    </w:p>
    <w:p w:rsidR="00253786" w:rsidRPr="00E01A0A" w:rsidRDefault="00253786" w:rsidP="0069359D">
      <w:pPr>
        <w:pStyle w:val="ListParagraph"/>
        <w:numPr>
          <w:ilvl w:val="0"/>
          <w:numId w:val="1"/>
        </w:numPr>
        <w:tabs>
          <w:tab w:val="left" w:pos="567"/>
        </w:tabs>
        <w:spacing w:after="120" w:line="240" w:lineRule="auto"/>
        <w:contextualSpacing w:val="0"/>
        <w:jc w:val="both"/>
        <w:rPr>
          <w:rFonts w:ascii="Times New Roman" w:hAnsi="Times New Roman" w:cs="Times New Roman"/>
          <w:i/>
          <w:iCs/>
          <w:sz w:val="24"/>
          <w:szCs w:val="24"/>
        </w:rPr>
      </w:pPr>
      <w:r w:rsidRPr="00E01A0A">
        <w:rPr>
          <w:rFonts w:ascii="Times New Roman" w:hAnsi="Times New Roman" w:cs="Times New Roman"/>
          <w:b/>
          <w:bCs/>
          <w:sz w:val="24"/>
          <w:szCs w:val="24"/>
        </w:rPr>
        <w:t>Kohëzgjatja e konsultimeve</w:t>
      </w:r>
    </w:p>
    <w:p w:rsidR="00253786" w:rsidRPr="00E01A0A" w:rsidRDefault="00253786" w:rsidP="0069359D">
      <w:pPr>
        <w:pStyle w:val="BodyText"/>
        <w:ind w:left="360"/>
        <w:jc w:val="both"/>
      </w:pPr>
      <w:r w:rsidRPr="00E01A0A">
        <w:t xml:space="preserve">Konsultimet paraprake: </w:t>
      </w:r>
      <w:r w:rsidR="00766192" w:rsidRPr="00E01A0A">
        <w:t>1</w:t>
      </w:r>
      <w:r w:rsidRPr="00E01A0A">
        <w:t xml:space="preserve"> muaj</w:t>
      </w:r>
    </w:p>
    <w:p w:rsidR="00253786" w:rsidRPr="00E01A0A" w:rsidRDefault="00253786" w:rsidP="0069359D">
      <w:pPr>
        <w:pStyle w:val="BodyText"/>
        <w:jc w:val="both"/>
        <w:rPr>
          <w:lang w:val="de-DE"/>
        </w:rPr>
      </w:pPr>
      <w:r w:rsidRPr="00E01A0A">
        <w:rPr>
          <w:lang w:val="de-DE"/>
        </w:rPr>
        <w:t xml:space="preserve">      Konsultimet në portalin e rregjistrit elektronik: 20 ditë pune</w:t>
      </w:r>
    </w:p>
    <w:p w:rsidR="00253786" w:rsidRPr="00E01A0A" w:rsidRDefault="00253786" w:rsidP="0069359D">
      <w:pPr>
        <w:ind w:left="360"/>
        <w:jc w:val="both"/>
        <w:rPr>
          <w:rFonts w:ascii="Times New Roman" w:hAnsi="Times New Roman" w:cs="Times New Roman"/>
          <w:i/>
          <w:iCs/>
          <w:sz w:val="24"/>
          <w:szCs w:val="24"/>
          <w:lang w:val="de-DE"/>
        </w:rPr>
      </w:pPr>
    </w:p>
    <w:p w:rsidR="00B45DAD" w:rsidRPr="00E01A0A" w:rsidRDefault="00B45DAD" w:rsidP="0069359D">
      <w:pPr>
        <w:pStyle w:val="ListParagraph"/>
        <w:numPr>
          <w:ilvl w:val="0"/>
          <w:numId w:val="29"/>
        </w:numPr>
        <w:tabs>
          <w:tab w:val="left" w:pos="567"/>
        </w:tabs>
        <w:spacing w:after="120" w:line="240" w:lineRule="auto"/>
        <w:jc w:val="both"/>
        <w:rPr>
          <w:rFonts w:ascii="Times New Roman" w:hAnsi="Times New Roman" w:cs="Times New Roman"/>
          <w:sz w:val="24"/>
          <w:szCs w:val="24"/>
        </w:rPr>
      </w:pPr>
      <w:r w:rsidRPr="00E01A0A">
        <w:rPr>
          <w:rFonts w:ascii="Times New Roman" w:hAnsi="Times New Roman" w:cs="Times New Roman"/>
          <w:b/>
          <w:bCs/>
          <w:sz w:val="24"/>
          <w:szCs w:val="24"/>
        </w:rPr>
        <w:t>Metoda e konsultimit</w:t>
      </w:r>
    </w:p>
    <w:p w:rsidR="00B45DAD" w:rsidRPr="00E01A0A" w:rsidRDefault="00B45DAD" w:rsidP="0069359D">
      <w:pPr>
        <w:pStyle w:val="BodyText"/>
        <w:ind w:firstLine="360"/>
        <w:jc w:val="both"/>
        <w:rPr>
          <w:lang w:val="de-DE"/>
        </w:rPr>
      </w:pPr>
      <w:r w:rsidRPr="00E01A0A">
        <w:rPr>
          <w:lang w:val="de-DE"/>
        </w:rPr>
        <w:t>-Metodat e konsultimit publik të përdorura si vijon:</w:t>
      </w:r>
    </w:p>
    <w:p w:rsidR="00B45DAD" w:rsidRPr="00E01A0A" w:rsidRDefault="00B45DAD" w:rsidP="0069359D">
      <w:pPr>
        <w:pStyle w:val="BodyText"/>
        <w:ind w:left="360"/>
        <w:jc w:val="both"/>
        <w:rPr>
          <w:lang w:val="de-DE"/>
        </w:rPr>
      </w:pPr>
      <w:r w:rsidRPr="00E01A0A">
        <w:rPr>
          <w:lang w:val="de-DE"/>
        </w:rPr>
        <w:t xml:space="preserve">a. Konsultimi në portalin “Rregjistri Elektronik për Njoftimet dhe konsultimet Publike” për periudhën </w:t>
      </w:r>
      <w:r w:rsidRPr="00E01A0A">
        <w:rPr>
          <w:b/>
          <w:bCs/>
          <w:lang w:val="de-DE"/>
        </w:rPr>
        <w:t>27 dhjetor 2023 – 23.01.2024</w:t>
      </w:r>
      <w:r w:rsidRPr="00E01A0A">
        <w:rPr>
          <w:lang w:val="de-DE"/>
        </w:rPr>
        <w:t>, gjatë së cilës nuk janë përcjellë komente.</w:t>
      </w:r>
    </w:p>
    <w:p w:rsidR="00B45DAD" w:rsidRPr="00E01A0A" w:rsidRDefault="00B45DAD" w:rsidP="0069359D">
      <w:pPr>
        <w:pStyle w:val="BodyText"/>
        <w:ind w:firstLine="360"/>
        <w:jc w:val="both"/>
        <w:rPr>
          <w:lang w:val="de-DE"/>
        </w:rPr>
      </w:pPr>
      <w:r w:rsidRPr="00E01A0A">
        <w:rPr>
          <w:lang w:val="de-DE"/>
        </w:rPr>
        <w:t xml:space="preserve">-Aktivitetet e realizuara: </w:t>
      </w:r>
    </w:p>
    <w:p w:rsidR="00B45DAD" w:rsidRPr="00E01A0A" w:rsidRDefault="00B45DAD" w:rsidP="0069359D">
      <w:pPr>
        <w:ind w:left="360"/>
        <w:jc w:val="both"/>
        <w:rPr>
          <w:rFonts w:ascii="Times New Roman" w:hAnsi="Times New Roman" w:cs="Times New Roman"/>
          <w:sz w:val="24"/>
          <w:szCs w:val="24"/>
          <w:lang w:val="de-DE"/>
        </w:rPr>
      </w:pPr>
      <w:r w:rsidRPr="00E01A0A">
        <w:rPr>
          <w:rFonts w:ascii="Times New Roman" w:hAnsi="Times New Roman" w:cs="Times New Roman"/>
          <w:sz w:val="24"/>
          <w:szCs w:val="24"/>
          <w:lang w:val="de-DE"/>
        </w:rPr>
        <w:t xml:space="preserve">Draft udhërrëfyesi për Funksionimin e Institucioneve Demokratike është publikuar në RENJK ku çdo i interesuar është njohur me dokumentet përkatëse. Gjithashtu, institucionet me të cilat është kryer konsultimi janë njohur me këto dokumente përmes përcjelljes se tyre në rrugë zyrtare. Mbledhjet e kontributeve në kuadër të procesit të konsultimit dhe përmirësimit të përmbajtjes së projektligjit, janë përcjellë nga institucionet e interesuara nëpërmjet postës zyrtare drejtuar Ministrisë së Drejtësisë, </w:t>
      </w:r>
      <w:r w:rsidRPr="00E01A0A">
        <w:rPr>
          <w:rFonts w:ascii="Times New Roman" w:hAnsi="Times New Roman" w:cs="Times New Roman"/>
          <w:iCs/>
          <w:sz w:val="24"/>
          <w:szCs w:val="24"/>
          <w:lang w:val="de-DE"/>
        </w:rPr>
        <w:t>në adresën postare të Ministrisë së Drejtësisë Bulevardi “Zogu I-rë”, Tiranë.</w:t>
      </w:r>
    </w:p>
    <w:p w:rsidR="00B45DAD" w:rsidRPr="00E01A0A" w:rsidRDefault="00B45DAD" w:rsidP="0069359D">
      <w:pPr>
        <w:jc w:val="both"/>
        <w:rPr>
          <w:rFonts w:ascii="Times New Roman" w:hAnsi="Times New Roman" w:cs="Times New Roman"/>
          <w:sz w:val="24"/>
          <w:szCs w:val="24"/>
          <w:lang w:val="de-DE"/>
        </w:rPr>
      </w:pPr>
    </w:p>
    <w:p w:rsidR="00B45DAD" w:rsidRPr="00E01A0A" w:rsidRDefault="00B45DAD" w:rsidP="0069359D">
      <w:pPr>
        <w:pStyle w:val="ListParagraph"/>
        <w:numPr>
          <w:ilvl w:val="0"/>
          <w:numId w:val="29"/>
        </w:numPr>
        <w:tabs>
          <w:tab w:val="left" w:pos="567"/>
        </w:tabs>
        <w:spacing w:after="120" w:line="240" w:lineRule="auto"/>
        <w:jc w:val="both"/>
        <w:rPr>
          <w:rFonts w:ascii="Times New Roman" w:hAnsi="Times New Roman" w:cs="Times New Roman"/>
          <w:b/>
          <w:bCs/>
          <w:sz w:val="24"/>
          <w:szCs w:val="24"/>
        </w:rPr>
      </w:pPr>
      <w:r w:rsidRPr="00E01A0A">
        <w:rPr>
          <w:rFonts w:ascii="Times New Roman" w:hAnsi="Times New Roman" w:cs="Times New Roman"/>
          <w:b/>
          <w:bCs/>
          <w:sz w:val="24"/>
          <w:szCs w:val="24"/>
        </w:rPr>
        <w:t>Palët e interesit të përfshira</w:t>
      </w:r>
    </w:p>
    <w:p w:rsidR="00B45DAD" w:rsidRPr="00E01A0A" w:rsidRDefault="00B45DAD" w:rsidP="0069359D">
      <w:pPr>
        <w:spacing w:line="240" w:lineRule="auto"/>
        <w:jc w:val="both"/>
        <w:textAlignment w:val="baseline"/>
        <w:rPr>
          <w:rFonts w:ascii="Times New Roman" w:eastAsia="Times New Roman" w:hAnsi="Times New Roman" w:cs="Times New Roman"/>
          <w:bCs/>
          <w:iCs/>
          <w:sz w:val="24"/>
          <w:szCs w:val="24"/>
        </w:rPr>
      </w:pPr>
      <w:r w:rsidRPr="00E01A0A">
        <w:rPr>
          <w:rFonts w:ascii="Times New Roman" w:hAnsi="Times New Roman" w:cs="Times New Roman"/>
          <w:sz w:val="24"/>
          <w:szCs w:val="24"/>
        </w:rPr>
        <w:t xml:space="preserve">Ky projektvendim është produkt i GNPIE </w:t>
      </w:r>
      <w:r w:rsidRPr="00E01A0A">
        <w:rPr>
          <w:rFonts w:ascii="Times New Roman" w:eastAsia="Times New Roman" w:hAnsi="Times New Roman" w:cs="Times New Roman"/>
          <w:bCs/>
          <w:iCs/>
          <w:sz w:val="24"/>
          <w:szCs w:val="24"/>
        </w:rPr>
        <w:t>për hartimin e Udhërrëfyesit për “Fuksionimin e Institucioneve Demokratike” hartuar në mbështetje të urdhrit nr.57, datë 24.4.2023, të Kryeministrit, “Për disa shtesa në urdhrin nr.94, datë 20.50.2019 të Kryeministrit</w:t>
      </w:r>
      <w:proofErr w:type="gramStart"/>
      <w:r w:rsidRPr="00E01A0A">
        <w:rPr>
          <w:rFonts w:ascii="Times New Roman" w:eastAsia="Times New Roman" w:hAnsi="Times New Roman" w:cs="Times New Roman"/>
          <w:bCs/>
          <w:iCs/>
          <w:sz w:val="24"/>
          <w:szCs w:val="24"/>
        </w:rPr>
        <w:t>” ,”Për</w:t>
      </w:r>
      <w:proofErr w:type="gramEnd"/>
      <w:r w:rsidRPr="00E01A0A">
        <w:rPr>
          <w:rFonts w:ascii="Times New Roman" w:eastAsia="Times New Roman" w:hAnsi="Times New Roman" w:cs="Times New Roman"/>
          <w:bCs/>
          <w:iCs/>
          <w:sz w:val="24"/>
          <w:szCs w:val="24"/>
        </w:rPr>
        <w:t xml:space="preserve"> ngritjen e grupeve ndër institucionale të punes për Integrimin Evropian”.</w:t>
      </w:r>
    </w:p>
    <w:p w:rsidR="00B45DAD" w:rsidRPr="00E01A0A" w:rsidRDefault="00B45DAD" w:rsidP="0069359D">
      <w:pPr>
        <w:spacing w:line="240" w:lineRule="auto"/>
        <w:jc w:val="both"/>
        <w:textAlignment w:val="baseline"/>
        <w:rPr>
          <w:rFonts w:ascii="Times New Roman" w:eastAsia="Times New Roman" w:hAnsi="Times New Roman" w:cs="Times New Roman"/>
          <w:bCs/>
          <w:iCs/>
          <w:sz w:val="24"/>
          <w:szCs w:val="24"/>
        </w:rPr>
      </w:pPr>
    </w:p>
    <w:p w:rsidR="00B45DAD" w:rsidRPr="00E01A0A" w:rsidRDefault="00B45DAD" w:rsidP="0069359D">
      <w:pPr>
        <w:spacing w:after="200"/>
        <w:jc w:val="both"/>
        <w:rPr>
          <w:rFonts w:ascii="Times New Roman" w:hAnsi="Times New Roman" w:cs="Times New Roman"/>
          <w:sz w:val="24"/>
          <w:szCs w:val="24"/>
          <w:lang w:val="sq-AL"/>
        </w:rPr>
      </w:pPr>
      <w:r w:rsidRPr="00E01A0A">
        <w:rPr>
          <w:rFonts w:ascii="Times New Roman" w:hAnsi="Times New Roman" w:cs="Times New Roman"/>
          <w:sz w:val="24"/>
          <w:szCs w:val="24"/>
          <w:lang w:val="sq-AL"/>
        </w:rPr>
        <w:t xml:space="preserve">Ky projektvendim i është nënshtruar një procesi të gjerë konsultimi intensiv me të gjithë institucionet kontribuese anëtare të Grupit Ndërinstitucional të Punës për Integrimin Evropian (GNPIE) për hartimin e udhërrëfyesit </w:t>
      </w:r>
      <w:r w:rsidRPr="00E01A0A">
        <w:rPr>
          <w:rFonts w:ascii="Times New Roman" w:eastAsia="Times New Roman" w:hAnsi="Times New Roman" w:cs="Times New Roman"/>
          <w:bCs/>
          <w:iCs/>
          <w:sz w:val="24"/>
          <w:szCs w:val="24"/>
        </w:rPr>
        <w:t xml:space="preserve">Udhërrëfyesit për “Fuksionimin e Institucioneve Demokratike” </w:t>
      </w:r>
      <w:r w:rsidRPr="00E01A0A">
        <w:rPr>
          <w:rFonts w:ascii="Times New Roman" w:hAnsi="Times New Roman" w:cs="Times New Roman"/>
          <w:sz w:val="24"/>
          <w:szCs w:val="24"/>
          <w:lang w:val="sq-AL"/>
        </w:rPr>
        <w:t>parashikuar në Urdhrin nr. 57 datë 24.04.2023 të Kryeministrit.</w:t>
      </w:r>
    </w:p>
    <w:p w:rsidR="00B45DAD" w:rsidRPr="00E01A0A" w:rsidRDefault="00B45DAD" w:rsidP="0069359D">
      <w:pPr>
        <w:spacing w:line="240" w:lineRule="auto"/>
        <w:jc w:val="both"/>
        <w:rPr>
          <w:rFonts w:ascii="Times New Roman" w:hAnsi="Times New Roman" w:cs="Times New Roman"/>
          <w:sz w:val="24"/>
          <w:szCs w:val="24"/>
          <w:lang w:val="sq-AL"/>
        </w:rPr>
      </w:pPr>
      <w:r w:rsidRPr="00E01A0A">
        <w:rPr>
          <w:rFonts w:ascii="Times New Roman" w:hAnsi="Times New Roman" w:cs="Times New Roman"/>
          <w:sz w:val="24"/>
          <w:szCs w:val="24"/>
          <w:lang w:val="sq-AL"/>
        </w:rPr>
        <w:t>Dokumenti është hartuar pas një analize të akteve ligjore dhe kapaciteteve institucionale të institucioneve dhe aktorëve të përfshirë në kriterin politik kryesisht funksionimin e institucioneve demokaratike  në vijim të procesit “screening”.</w:t>
      </w:r>
    </w:p>
    <w:p w:rsidR="00B45DAD" w:rsidRPr="00E01A0A" w:rsidRDefault="00B45DAD" w:rsidP="0069359D">
      <w:pPr>
        <w:pStyle w:val="BodyText"/>
        <w:jc w:val="both"/>
        <w:rPr>
          <w:rFonts w:eastAsia="Times New Roman"/>
          <w:bCs/>
          <w:lang w:val="sq-AL" w:eastAsia="sq-AL"/>
        </w:rPr>
      </w:pPr>
      <w:r w:rsidRPr="00E01A0A">
        <w:rPr>
          <w:lang w:val="sq-AL"/>
        </w:rPr>
        <w:t>“Udhërrëfyesi për Funksionimin e Institucioneve Demokratike ”</w:t>
      </w:r>
      <w:r w:rsidRPr="00E01A0A">
        <w:rPr>
          <w:rFonts w:eastAsia="Times New Roman"/>
          <w:bCs/>
          <w:lang w:val="sq-AL" w:eastAsia="sq-AL"/>
        </w:rPr>
        <w:t xml:space="preserve"> është një dokument politik dhe strategjik i cili paraqet masat kryesore që parashikohen të merren në kuadër të procesit të adresimit të gjetjeve të paraqitura nga Komisioni Evropian në raportin e shqyrtimit (screening report) për Shqipërinë për sa i përket Kriterit Politik kryesisht Funksionimit te Institucioneve demokratike.</w:t>
      </w:r>
    </w:p>
    <w:p w:rsidR="00B45DAD" w:rsidRPr="00E01A0A" w:rsidRDefault="00B45DAD" w:rsidP="0069359D">
      <w:pPr>
        <w:pStyle w:val="BodyText"/>
        <w:jc w:val="both"/>
        <w:rPr>
          <w:lang w:val="sq-AL"/>
        </w:rPr>
      </w:pPr>
    </w:p>
    <w:p w:rsidR="00B45DAD" w:rsidRPr="00E01A0A" w:rsidRDefault="00B45DAD" w:rsidP="0069359D">
      <w:pPr>
        <w:spacing w:after="200"/>
        <w:jc w:val="both"/>
        <w:rPr>
          <w:rFonts w:ascii="Times New Roman" w:hAnsi="Times New Roman" w:cs="Times New Roman"/>
          <w:sz w:val="24"/>
          <w:szCs w:val="24"/>
          <w:lang w:val="sq-AL"/>
        </w:rPr>
      </w:pPr>
      <w:r w:rsidRPr="00E01A0A">
        <w:rPr>
          <w:rFonts w:ascii="Times New Roman" w:hAnsi="Times New Roman" w:cs="Times New Roman"/>
          <w:sz w:val="24"/>
          <w:szCs w:val="24"/>
          <w:lang w:val="sq-AL"/>
        </w:rPr>
        <w:t xml:space="preserve">Në përputhje me parashikimet ligjore draft udhërrëfyesi për </w:t>
      </w:r>
      <w:r w:rsidRPr="00E01A0A">
        <w:rPr>
          <w:rFonts w:ascii="Times New Roman" w:eastAsia="Times New Roman" w:hAnsi="Times New Roman" w:cs="Times New Roman"/>
          <w:bCs/>
          <w:iCs/>
          <w:sz w:val="24"/>
          <w:szCs w:val="24"/>
          <w:lang w:val="sq-AL"/>
        </w:rPr>
        <w:t xml:space="preserve">“Fuksionimin e Institucioneve Demokratike” </w:t>
      </w:r>
      <w:r w:rsidRPr="00E01A0A">
        <w:rPr>
          <w:rFonts w:ascii="Times New Roman" w:hAnsi="Times New Roman" w:cs="Times New Roman"/>
          <w:sz w:val="24"/>
          <w:szCs w:val="24"/>
          <w:lang w:val="sq-AL"/>
        </w:rPr>
        <w:t>është konsultuar dhe me Platformën për Partneritetin për Integrimin Evropian (PPIE) dhe për këtë qëllim janë organizuar disa takime në periudhën Shtator 2023- Janar 2024, ku janë trajtuar tematikat e mëposhtme:</w:t>
      </w:r>
    </w:p>
    <w:p w:rsidR="00B45DAD" w:rsidRPr="00E01A0A" w:rsidRDefault="00B45DAD" w:rsidP="0069359D">
      <w:pPr>
        <w:pStyle w:val="ListParagraph"/>
        <w:spacing w:line="240" w:lineRule="auto"/>
        <w:rPr>
          <w:rFonts w:ascii="Times New Roman" w:eastAsia="Times New Roman" w:hAnsi="Times New Roman" w:cs="Times New Roman"/>
          <w:sz w:val="24"/>
          <w:szCs w:val="24"/>
          <w:lang w:val="sq-AL"/>
        </w:rPr>
      </w:pPr>
    </w:p>
    <w:p w:rsidR="00B45DAD" w:rsidRPr="00E01A0A" w:rsidRDefault="00B45DAD" w:rsidP="0069359D">
      <w:pPr>
        <w:spacing w:line="240" w:lineRule="auto"/>
        <w:jc w:val="both"/>
        <w:rPr>
          <w:rFonts w:ascii="Times New Roman" w:eastAsia="Times New Roman" w:hAnsi="Times New Roman" w:cs="Times New Roman"/>
          <w:sz w:val="24"/>
          <w:szCs w:val="24"/>
          <w:lang w:val="it-IT"/>
        </w:rPr>
      </w:pPr>
      <w:r w:rsidRPr="00E01A0A">
        <w:rPr>
          <w:rFonts w:ascii="Times New Roman" w:eastAsia="Times New Roman" w:hAnsi="Times New Roman" w:cs="Times New Roman"/>
          <w:sz w:val="24"/>
          <w:szCs w:val="24"/>
          <w:lang w:val="it-IT"/>
        </w:rPr>
        <w:t>-  Konsultimi me shoqërinë civile të udhërrëfyesit mbi Funksionimin e Institucioneve Demokratike.</w:t>
      </w:r>
    </w:p>
    <w:p w:rsidR="00B45DAD" w:rsidRPr="00E01A0A" w:rsidRDefault="00B45DAD" w:rsidP="0069359D">
      <w:pPr>
        <w:spacing w:line="240" w:lineRule="auto"/>
        <w:jc w:val="both"/>
        <w:rPr>
          <w:rFonts w:ascii="Times New Roman" w:eastAsia="Times New Roman" w:hAnsi="Times New Roman" w:cs="Times New Roman"/>
          <w:sz w:val="24"/>
          <w:szCs w:val="24"/>
          <w:lang w:val="it-IT"/>
        </w:rPr>
      </w:pPr>
      <w:r w:rsidRPr="00E01A0A">
        <w:rPr>
          <w:rFonts w:ascii="Times New Roman" w:eastAsia="Times New Roman" w:hAnsi="Times New Roman" w:cs="Times New Roman"/>
          <w:sz w:val="24"/>
          <w:szCs w:val="24"/>
          <w:lang w:val="it-IT"/>
        </w:rPr>
        <w:t>-  Njohja me pritshmëritë e Komisionit Evropian sa i takon plotësimit të Udhërrëfyesit për Shtetin e së Drejtës dhe Funskionimin e Institucioneve Demokratike.</w:t>
      </w:r>
    </w:p>
    <w:p w:rsidR="00B45DAD" w:rsidRPr="00E01A0A" w:rsidRDefault="00B45DAD" w:rsidP="0069359D">
      <w:pPr>
        <w:spacing w:line="240" w:lineRule="auto"/>
        <w:jc w:val="both"/>
        <w:rPr>
          <w:rFonts w:ascii="Times New Roman" w:eastAsia="Times New Roman" w:hAnsi="Times New Roman" w:cs="Times New Roman"/>
          <w:sz w:val="24"/>
          <w:szCs w:val="24"/>
          <w:lang w:val="it-IT"/>
        </w:rPr>
      </w:pPr>
      <w:r w:rsidRPr="00E01A0A">
        <w:rPr>
          <w:rFonts w:ascii="Times New Roman" w:eastAsia="Times New Roman" w:hAnsi="Times New Roman" w:cs="Times New Roman"/>
          <w:sz w:val="24"/>
          <w:szCs w:val="24"/>
          <w:lang w:val="it-IT"/>
        </w:rPr>
        <w:t>-  Ftesë për dhënie kontributi mbi udhërrëfyesit pas publikimit për konsultim publik.</w:t>
      </w:r>
    </w:p>
    <w:p w:rsidR="00B45DAD" w:rsidRPr="00E01A0A" w:rsidRDefault="00B45DAD" w:rsidP="0069359D">
      <w:pPr>
        <w:spacing w:line="240" w:lineRule="auto"/>
        <w:jc w:val="both"/>
        <w:rPr>
          <w:rFonts w:ascii="Times New Roman" w:eastAsia="Times New Roman" w:hAnsi="Times New Roman" w:cs="Times New Roman"/>
          <w:sz w:val="24"/>
          <w:szCs w:val="24"/>
          <w:lang w:val="it-IT"/>
        </w:rPr>
      </w:pPr>
      <w:r w:rsidRPr="00E01A0A">
        <w:rPr>
          <w:rFonts w:ascii="Times New Roman" w:eastAsia="Times New Roman" w:hAnsi="Times New Roman" w:cs="Times New Roman"/>
          <w:sz w:val="24"/>
          <w:szCs w:val="24"/>
          <w:lang w:val="it-IT"/>
        </w:rPr>
        <w:t>-  Informimi i pjesëmarrësve mbi rëndësinë e këtyre dokumentave dhe çfarë përfaqësojnë ato.</w:t>
      </w:r>
    </w:p>
    <w:p w:rsidR="00B45DAD" w:rsidRPr="00E01A0A" w:rsidRDefault="00B45DAD" w:rsidP="0069359D">
      <w:pPr>
        <w:spacing w:line="240" w:lineRule="auto"/>
        <w:jc w:val="both"/>
        <w:rPr>
          <w:rFonts w:ascii="Times New Roman" w:eastAsia="Times New Roman" w:hAnsi="Times New Roman" w:cs="Times New Roman"/>
          <w:sz w:val="24"/>
          <w:szCs w:val="24"/>
          <w:lang w:val="it-IT"/>
        </w:rPr>
      </w:pPr>
    </w:p>
    <w:p w:rsidR="00B45DAD" w:rsidRPr="00E01A0A" w:rsidRDefault="00B45DAD" w:rsidP="0069359D">
      <w:pPr>
        <w:spacing w:line="240" w:lineRule="auto"/>
        <w:jc w:val="both"/>
        <w:rPr>
          <w:rFonts w:ascii="Times New Roman" w:eastAsia="Times New Roman" w:hAnsi="Times New Roman" w:cs="Times New Roman"/>
          <w:sz w:val="24"/>
          <w:szCs w:val="24"/>
          <w:lang w:val="it-IT"/>
        </w:rPr>
      </w:pPr>
      <w:r w:rsidRPr="00E01A0A">
        <w:rPr>
          <w:rFonts w:ascii="Times New Roman" w:eastAsia="Times New Roman" w:hAnsi="Times New Roman" w:cs="Times New Roman"/>
          <w:sz w:val="24"/>
          <w:szCs w:val="24"/>
          <w:lang w:val="it-IT"/>
        </w:rPr>
        <w:t>Në këto takime kanë marrë pjesë përfqësues nga shoqëria civile, përfaqësues nga bota akadamike, perfaqësues nga grupet e interesit dhe përfaqësues nga media.</w:t>
      </w:r>
    </w:p>
    <w:p w:rsidR="00B45DAD" w:rsidRPr="00E01A0A" w:rsidRDefault="00B45DAD" w:rsidP="0069359D">
      <w:pPr>
        <w:spacing w:line="240" w:lineRule="auto"/>
        <w:jc w:val="both"/>
        <w:rPr>
          <w:rFonts w:ascii="Times New Roman" w:eastAsia="Times New Roman" w:hAnsi="Times New Roman" w:cs="Times New Roman"/>
          <w:sz w:val="24"/>
          <w:szCs w:val="24"/>
          <w:lang w:val="it-IT"/>
        </w:rPr>
      </w:pPr>
      <w:r w:rsidRPr="00E01A0A">
        <w:rPr>
          <w:rFonts w:ascii="Times New Roman" w:eastAsia="Times New Roman" w:hAnsi="Times New Roman" w:cs="Times New Roman"/>
          <w:b/>
          <w:bCs/>
          <w:sz w:val="24"/>
          <w:szCs w:val="24"/>
          <w:lang w:val="it-IT"/>
        </w:rPr>
        <w:t>Një mbledhje PPIE (5 tetor)</w:t>
      </w:r>
      <w:r w:rsidRPr="00E01A0A">
        <w:rPr>
          <w:rFonts w:ascii="Times New Roman" w:eastAsia="Times New Roman" w:hAnsi="Times New Roman" w:cs="Times New Roman"/>
          <w:sz w:val="24"/>
          <w:szCs w:val="24"/>
          <w:lang w:val="it-IT"/>
        </w:rPr>
        <w:t> ku morën pjesë 48 anëtarë</w:t>
      </w:r>
    </w:p>
    <w:p w:rsidR="00B45DAD" w:rsidRPr="00E01A0A" w:rsidRDefault="00B45DAD" w:rsidP="0069359D">
      <w:pPr>
        <w:spacing w:line="240" w:lineRule="auto"/>
        <w:jc w:val="both"/>
        <w:rPr>
          <w:rFonts w:ascii="Times New Roman" w:eastAsia="Times New Roman" w:hAnsi="Times New Roman" w:cs="Times New Roman"/>
          <w:sz w:val="24"/>
          <w:szCs w:val="24"/>
          <w:lang w:val="it-IT"/>
        </w:rPr>
      </w:pPr>
      <w:r w:rsidRPr="00E01A0A">
        <w:rPr>
          <w:rFonts w:ascii="Times New Roman" w:eastAsia="Times New Roman" w:hAnsi="Times New Roman" w:cs="Times New Roman"/>
          <w:sz w:val="24"/>
          <w:szCs w:val="24"/>
          <w:lang w:val="it-IT"/>
        </w:rPr>
        <w:t>Në PPIE e datës 5 tetor u njoh shoqëria civile draft udhërrefyesit dhe përditësimet e metodologjisë që po ndjek Komisioni Europian.</w:t>
      </w:r>
    </w:p>
    <w:p w:rsidR="00B45DAD" w:rsidRPr="00E01A0A" w:rsidRDefault="00B45DAD" w:rsidP="0069359D">
      <w:pPr>
        <w:spacing w:line="240" w:lineRule="auto"/>
        <w:jc w:val="both"/>
        <w:rPr>
          <w:rFonts w:ascii="Times New Roman" w:eastAsia="Times New Roman" w:hAnsi="Times New Roman" w:cs="Times New Roman"/>
          <w:sz w:val="24"/>
          <w:szCs w:val="24"/>
          <w:lang w:val="it-IT"/>
        </w:rPr>
      </w:pPr>
    </w:p>
    <w:p w:rsidR="00B45DAD" w:rsidRPr="00E01A0A" w:rsidRDefault="00B45DAD" w:rsidP="0069359D">
      <w:pPr>
        <w:spacing w:line="240" w:lineRule="auto"/>
        <w:jc w:val="both"/>
        <w:rPr>
          <w:rFonts w:ascii="Times New Roman" w:eastAsia="Times New Roman" w:hAnsi="Times New Roman" w:cs="Times New Roman"/>
          <w:sz w:val="24"/>
          <w:szCs w:val="24"/>
          <w:lang w:val="it-IT"/>
        </w:rPr>
      </w:pPr>
      <w:r w:rsidRPr="00E01A0A">
        <w:rPr>
          <w:rFonts w:ascii="Times New Roman" w:eastAsia="Times New Roman" w:hAnsi="Times New Roman" w:cs="Times New Roman"/>
          <w:b/>
          <w:bCs/>
          <w:sz w:val="24"/>
          <w:szCs w:val="24"/>
          <w:lang w:val="it-IT"/>
        </w:rPr>
        <w:t xml:space="preserve">Një mbledhje PPIE (12 dhjetor) </w:t>
      </w:r>
      <w:r w:rsidRPr="00E01A0A">
        <w:rPr>
          <w:rFonts w:ascii="Times New Roman" w:eastAsia="Times New Roman" w:hAnsi="Times New Roman" w:cs="Times New Roman"/>
          <w:sz w:val="24"/>
          <w:szCs w:val="24"/>
          <w:lang w:val="it-IT"/>
        </w:rPr>
        <w:t>ku morën pjesë 48 anëtarë, u diskutua mbi rezultat specifike tetor-dhjetor 2023 të arritura në PPIE.</w:t>
      </w:r>
    </w:p>
    <w:p w:rsidR="00B45DAD" w:rsidRPr="00E01A0A" w:rsidRDefault="00B45DAD" w:rsidP="0069359D">
      <w:pPr>
        <w:spacing w:line="240" w:lineRule="auto"/>
        <w:jc w:val="both"/>
        <w:rPr>
          <w:rFonts w:ascii="Times New Roman" w:eastAsia="Times New Roman" w:hAnsi="Times New Roman" w:cs="Times New Roman"/>
          <w:sz w:val="24"/>
          <w:szCs w:val="24"/>
          <w:lang w:val="it-IT"/>
        </w:rPr>
      </w:pPr>
      <w:r w:rsidRPr="00E01A0A">
        <w:rPr>
          <w:rFonts w:ascii="Times New Roman" w:eastAsia="Times New Roman" w:hAnsi="Times New Roman" w:cs="Times New Roman"/>
          <w:sz w:val="24"/>
          <w:szCs w:val="24"/>
          <w:lang w:val="it-IT"/>
        </w:rPr>
        <w:t>Në PPIE 12 dhjetor u njoh shoqëria civile me përditësimet e udhërrëfyesit për Funksionimin e Institucioneve Demokratike, kryesisht me seksionin që lidhet me shoqërinë civile. Udhërrëfyesi u ripublikua për konsultim publik më 27 dhjetor 2023.</w:t>
      </w:r>
    </w:p>
    <w:p w:rsidR="00B45DAD" w:rsidRPr="00E01A0A" w:rsidRDefault="00B45DAD" w:rsidP="0069359D">
      <w:pPr>
        <w:spacing w:line="240" w:lineRule="auto"/>
        <w:jc w:val="both"/>
        <w:rPr>
          <w:rFonts w:ascii="Times New Roman" w:eastAsia="Times New Roman" w:hAnsi="Times New Roman" w:cs="Times New Roman"/>
          <w:sz w:val="24"/>
          <w:szCs w:val="24"/>
          <w:lang w:val="it-IT"/>
        </w:rPr>
      </w:pPr>
    </w:p>
    <w:p w:rsidR="00B45DAD" w:rsidRPr="00E01A0A" w:rsidRDefault="00B45DAD" w:rsidP="0069359D">
      <w:pPr>
        <w:spacing w:line="240" w:lineRule="auto"/>
        <w:jc w:val="both"/>
        <w:rPr>
          <w:rFonts w:ascii="Times New Roman" w:eastAsia="Times New Roman" w:hAnsi="Times New Roman" w:cs="Times New Roman"/>
          <w:sz w:val="24"/>
          <w:szCs w:val="24"/>
          <w:lang w:val="it-IT"/>
        </w:rPr>
      </w:pPr>
      <w:r w:rsidRPr="00E01A0A">
        <w:rPr>
          <w:rFonts w:ascii="Times New Roman" w:eastAsia="Times New Roman" w:hAnsi="Times New Roman" w:cs="Times New Roman"/>
          <w:b/>
          <w:bCs/>
          <w:sz w:val="24"/>
          <w:szCs w:val="24"/>
          <w:lang w:val="it-IT"/>
        </w:rPr>
        <w:t>Në datën 11 janar </w:t>
      </w:r>
      <w:r w:rsidRPr="00E01A0A">
        <w:rPr>
          <w:rFonts w:ascii="Times New Roman" w:eastAsia="Times New Roman" w:hAnsi="Times New Roman" w:cs="Times New Roman"/>
          <w:sz w:val="24"/>
          <w:szCs w:val="24"/>
          <w:lang w:val="it-IT"/>
        </w:rPr>
        <w:t xml:space="preserve">pranë ambienteve të Ministrisë së Drejtësisë u mbajt takimi i rradhës i planifikuar për konsultim me Platformën e Partneritetit për Integrimin Evropian. Në takim  u diskutua rreth përgatitjes së deritanishme të Shqipërisë për procesin e antarësimit në Bashkimin Evropian, si dhe sfidat që na presin në të ardhmen. Përgjatë takimit u prezantua Draft Udhërrëfyesi për Funksionimin e Institucioneve Demokratike ku u diskutua me përfaqesuesit e shoqërisë civile për të gjitha masat e parashikuara në udhërrëfyes. Në këtë takim morën pjesë përfaqesues nga shoqëria civile, bota akademike dhe ekspertë të fushës të cilët pasi ishin </w:t>
      </w:r>
      <w:r w:rsidRPr="00E01A0A">
        <w:rPr>
          <w:rFonts w:ascii="Times New Roman" w:eastAsia="Times New Roman" w:hAnsi="Times New Roman" w:cs="Times New Roman"/>
          <w:sz w:val="24"/>
          <w:szCs w:val="24"/>
          <w:lang w:val="it-IT"/>
        </w:rPr>
        <w:lastRenderedPageBreak/>
        <w:t>njohur me dokumentin shprehën interes, shafqen sugjerimet e tye dhe diskutuan në mënyrë aktive. Këto sugjerime ishin shumë të vlefshme dhe do të shqyrtohen me qëllim pasqyrimin në Udhërrëfyes.</w:t>
      </w:r>
    </w:p>
    <w:p w:rsidR="00B45DAD" w:rsidRPr="00E01A0A" w:rsidRDefault="00B45DAD" w:rsidP="0069359D">
      <w:pPr>
        <w:spacing w:line="240" w:lineRule="auto"/>
        <w:jc w:val="both"/>
        <w:rPr>
          <w:rFonts w:ascii="Times New Roman" w:eastAsia="Times New Roman" w:hAnsi="Times New Roman" w:cs="Times New Roman"/>
          <w:sz w:val="24"/>
          <w:szCs w:val="24"/>
          <w:lang w:val="it-IT"/>
        </w:rPr>
      </w:pPr>
    </w:p>
    <w:p w:rsidR="00B45DAD" w:rsidRPr="00E01A0A" w:rsidRDefault="00B45DAD" w:rsidP="0069359D">
      <w:pPr>
        <w:spacing w:line="240" w:lineRule="auto"/>
        <w:jc w:val="both"/>
        <w:rPr>
          <w:rFonts w:ascii="Times New Roman" w:eastAsia="Times New Roman" w:hAnsi="Times New Roman" w:cs="Times New Roman"/>
          <w:sz w:val="24"/>
          <w:szCs w:val="24"/>
          <w:lang w:val="it-IT"/>
        </w:rPr>
      </w:pPr>
      <w:r w:rsidRPr="00E01A0A">
        <w:rPr>
          <w:rFonts w:ascii="Times New Roman" w:eastAsia="Times New Roman" w:hAnsi="Times New Roman" w:cs="Times New Roman"/>
          <w:b/>
          <w:bCs/>
          <w:sz w:val="24"/>
          <w:szCs w:val="24"/>
          <w:lang w:val="it-IT"/>
        </w:rPr>
        <w:t>Në datën 22 janar u </w:t>
      </w:r>
      <w:r w:rsidRPr="00E01A0A">
        <w:rPr>
          <w:rFonts w:ascii="Times New Roman" w:eastAsia="Times New Roman" w:hAnsi="Times New Roman" w:cs="Times New Roman"/>
          <w:sz w:val="24"/>
          <w:szCs w:val="24"/>
          <w:lang w:val="it-IT"/>
        </w:rPr>
        <w:t>mbajt tryeza e rradhës së Platformës së Partneritetit për Integrimin Evropian me temë “Konsultimi i draft Udhërrëfyesit për Funksionimin e Institucioneve Demokratike”, me përfaqësues të shoqërisë civile, ekspertë të botës akademike, botës së biznesit dhe studentë të fakuleteteve të drejtësisë. Në takim u diskutua rreth rolit të shoqërisë civile gjatë procesit të monitorimit të e masave dhe prioriteteve të parashikuara në këtë draft Udhërrëfyes. Gjatë takimit theks i veçantë u vendos në përfshirjen e OSHC-ve gjatë procesit zgjedhor, kryesisht në përmirësimin e cilësisë mediatike dhe mbikëqyrjen e financimeve të partive politike dhe institucioneve mediatike formale apo informale të shtuara në masë vitet e fundit. Anëtarët e Tryezës dhe pjesëmarrësit shtruan pyetje ashtu si për punën e vazhdueshme të OJF-ve në përmirësimin e funksionimin e institucioneve demokratike si dhe në ndërmarrjen e masave konkrete për përfshirjen e tyre në proces.</w:t>
      </w:r>
    </w:p>
    <w:p w:rsidR="00C5574E" w:rsidRPr="00E01A0A" w:rsidRDefault="00C5574E" w:rsidP="0069359D">
      <w:pPr>
        <w:pStyle w:val="BodyText"/>
        <w:jc w:val="both"/>
        <w:rPr>
          <w:lang w:val="it-IT"/>
        </w:rPr>
      </w:pPr>
      <w:r w:rsidRPr="00E01A0A">
        <w:rPr>
          <w:lang w:val="it-IT"/>
        </w:rPr>
        <w:t xml:space="preserve">Duhet saktësuar që udhërrëfyesi vjen si dokument politik në përmbushje dhe adresim të rekomandimeve të evidentuara në raportin e shqyrtimit analitik dërguar Shqipërisë nga Komisioni Evropian në muajin korrik 2023. Synimi kryesor i këtij dokumenti është adresimi i gjetjeve të Komisionit Evropian, adresimi i rekomandimeve të OSBE/ODIHR për sa i përket fushës së zgjedhjeve të lira dhe të ndershme si dhe opinioneve të Komisionit të Venecias dhe praktikave më të mira evropiane në fushën e zgjedhjeve, funksionimit të parlamentit dhe </w:t>
      </w:r>
      <w:r w:rsidR="00B25641" w:rsidRPr="00E01A0A">
        <w:rPr>
          <w:lang w:val="it-IT"/>
        </w:rPr>
        <w:t xml:space="preserve">garantimit të një mjedisi mundësues për shoqërinë civile. Ministria e Drejtësisë </w:t>
      </w:r>
      <w:r w:rsidR="00C90CCD" w:rsidRPr="00E01A0A">
        <w:rPr>
          <w:lang w:val="it-IT"/>
        </w:rPr>
        <w:t>bazuar në urdhrin e Kryeministrit nr. 57 datë 24.04.2023 “Për disa shtesa në urdhrin nr. 94 datë 20.05.2019 të Kryeministrit “Për ngritjen, përbërjen dhe funksionimin e Grupeve Ndërinstitucionale të Punës për Integrimin Evropian”</w:t>
      </w:r>
      <w:r w:rsidR="00167924" w:rsidRPr="00E01A0A">
        <w:rPr>
          <w:lang w:val="it-IT"/>
        </w:rPr>
        <w:t xml:space="preserve">, pika V.1 vepron si sekretariat teknik </w:t>
      </w:r>
      <w:r w:rsidR="00B5732B" w:rsidRPr="00E01A0A">
        <w:rPr>
          <w:lang w:val="it-IT"/>
        </w:rPr>
        <w:t>i</w:t>
      </w:r>
      <w:r w:rsidR="00167924" w:rsidRPr="00E01A0A">
        <w:rPr>
          <w:lang w:val="it-IT"/>
        </w:rPr>
        <w:t xml:space="preserve"> grupit të punës për hartimin e udhërrëfyesit për Funksionimin e Institucioneve Demokratike në kuadër të negociatave</w:t>
      </w:r>
      <w:r w:rsidR="00B5732B" w:rsidRPr="00E01A0A">
        <w:rPr>
          <w:lang w:val="it-IT"/>
        </w:rPr>
        <w:t xml:space="preserve"> dhe koordinon punën me institucionet e parashikuara në shtojcën Nr. 2 seksioni i Funksionimit të Institucioneve Demokratike.</w:t>
      </w:r>
    </w:p>
    <w:p w:rsidR="00B5732B" w:rsidRPr="00E01A0A" w:rsidRDefault="00B5732B" w:rsidP="0069359D">
      <w:pPr>
        <w:pStyle w:val="BodyText"/>
        <w:jc w:val="both"/>
        <w:rPr>
          <w:lang w:val="it-IT"/>
        </w:rPr>
      </w:pPr>
    </w:p>
    <w:p w:rsidR="00253786" w:rsidRPr="00E01A0A" w:rsidRDefault="00253786" w:rsidP="0069359D">
      <w:pPr>
        <w:pStyle w:val="ListParagraph"/>
        <w:numPr>
          <w:ilvl w:val="0"/>
          <w:numId w:val="1"/>
        </w:numPr>
        <w:tabs>
          <w:tab w:val="left" w:pos="567"/>
        </w:tabs>
        <w:spacing w:after="120" w:line="240" w:lineRule="auto"/>
        <w:contextualSpacing w:val="0"/>
        <w:jc w:val="both"/>
        <w:rPr>
          <w:rFonts w:ascii="Times New Roman" w:hAnsi="Times New Roman" w:cs="Times New Roman"/>
          <w:i/>
          <w:iCs/>
          <w:sz w:val="24"/>
          <w:szCs w:val="24"/>
          <w:lang w:val="it-IT"/>
        </w:rPr>
      </w:pPr>
      <w:r w:rsidRPr="00E01A0A">
        <w:rPr>
          <w:rFonts w:ascii="Times New Roman" w:hAnsi="Times New Roman" w:cs="Times New Roman"/>
          <w:b/>
          <w:bCs/>
          <w:sz w:val="24"/>
          <w:szCs w:val="24"/>
          <w:lang w:val="it-IT"/>
        </w:rPr>
        <w:t>Pasqyra e komenteve të pranuara me arsyetimin e komenteve të pranuara/ refuzuara</w:t>
      </w:r>
    </w:p>
    <w:p w:rsidR="00675E35" w:rsidRPr="00E01A0A" w:rsidRDefault="00675E35" w:rsidP="0069359D">
      <w:pPr>
        <w:spacing w:line="240" w:lineRule="auto"/>
        <w:jc w:val="both"/>
        <w:rPr>
          <w:rFonts w:ascii="Times New Roman" w:hAnsi="Times New Roman" w:cs="Times New Roman"/>
          <w:sz w:val="24"/>
          <w:szCs w:val="24"/>
          <w:lang w:val="it-IT"/>
        </w:rPr>
      </w:pPr>
    </w:p>
    <w:tbl>
      <w:tblPr>
        <w:tblStyle w:val="1"/>
        <w:tblW w:w="155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4610"/>
        <w:gridCol w:w="3240"/>
        <w:gridCol w:w="4230"/>
      </w:tblGrid>
      <w:tr w:rsidR="0069359D" w:rsidRPr="00E01A0A" w:rsidTr="00C74183">
        <w:trPr>
          <w:trHeight w:val="1338"/>
        </w:trPr>
        <w:tc>
          <w:tcPr>
            <w:tcW w:w="3420" w:type="dxa"/>
            <w:shd w:val="clear" w:color="auto" w:fill="auto"/>
            <w:tcMar>
              <w:top w:w="100" w:type="dxa"/>
              <w:left w:w="100" w:type="dxa"/>
              <w:bottom w:w="100" w:type="dxa"/>
              <w:right w:w="100" w:type="dxa"/>
            </w:tcMar>
          </w:tcPr>
          <w:p w:rsidR="00241727" w:rsidRPr="00E01A0A" w:rsidRDefault="00241727" w:rsidP="0069359D">
            <w:pPr>
              <w:pStyle w:val="BodyText"/>
              <w:tabs>
                <w:tab w:val="left" w:pos="540"/>
              </w:tabs>
              <w:suppressAutoHyphens w:val="0"/>
              <w:jc w:val="both"/>
              <w:rPr>
                <w:lang w:val="de-DE"/>
              </w:rPr>
            </w:pPr>
            <w:r w:rsidRPr="00E01A0A">
              <w:rPr>
                <w:rFonts w:eastAsiaTheme="minorHAnsi"/>
                <w:lang w:val="it-IT"/>
              </w:rPr>
              <w:t xml:space="preserve">Për projektvendimin  “Për miratimin për udhërrëfyesin </w:t>
            </w:r>
            <w:r w:rsidRPr="00E01A0A">
              <w:rPr>
                <w:lang w:val="de-DE"/>
              </w:rPr>
              <w:t>Funksionimin e Institucioneve Demokratike</w:t>
            </w:r>
          </w:p>
          <w:p w:rsidR="00A60419" w:rsidRPr="00E01A0A" w:rsidRDefault="00A60419" w:rsidP="0069359D">
            <w:pPr>
              <w:rPr>
                <w:rFonts w:ascii="Times New Roman" w:eastAsia="Times New Roman" w:hAnsi="Times New Roman" w:cs="Times New Roman"/>
                <w:b/>
                <w:sz w:val="24"/>
                <w:szCs w:val="24"/>
                <w:lang w:val="sq-AL"/>
              </w:rPr>
            </w:pPr>
          </w:p>
        </w:tc>
        <w:tc>
          <w:tcPr>
            <w:tcW w:w="4610" w:type="dxa"/>
          </w:tcPr>
          <w:p w:rsidR="00A60419" w:rsidRPr="00E01A0A" w:rsidRDefault="00A60419" w:rsidP="0069359D">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rsidR="00A60419" w:rsidRPr="00E01A0A" w:rsidRDefault="00A60419" w:rsidP="0069359D">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rsidR="00A60419" w:rsidRPr="00E01A0A" w:rsidRDefault="00A60419" w:rsidP="0069359D">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rsidR="00A60419" w:rsidRPr="00E01A0A" w:rsidRDefault="00A60419" w:rsidP="0069359D">
            <w:pPr>
              <w:widowControl w:val="0"/>
              <w:pBdr>
                <w:top w:val="nil"/>
                <w:left w:val="nil"/>
                <w:bottom w:val="nil"/>
                <w:right w:val="nil"/>
                <w:between w:val="nil"/>
              </w:pBdr>
              <w:spacing w:line="240" w:lineRule="auto"/>
              <w:jc w:val="center"/>
              <w:rPr>
                <w:rFonts w:ascii="Times New Roman" w:hAnsi="Times New Roman" w:cs="Times New Roman"/>
                <w:b/>
                <w:sz w:val="24"/>
                <w:szCs w:val="24"/>
                <w:lang w:val="sq-AL"/>
              </w:rPr>
            </w:pPr>
            <w:r w:rsidRPr="00E01A0A">
              <w:rPr>
                <w:rFonts w:ascii="Times New Roman" w:hAnsi="Times New Roman" w:cs="Times New Roman"/>
                <w:b/>
                <w:sz w:val="24"/>
                <w:szCs w:val="24"/>
                <w:lang w:val="sq-AL"/>
              </w:rPr>
              <w:t>KOMENTE</w:t>
            </w:r>
          </w:p>
        </w:tc>
        <w:tc>
          <w:tcPr>
            <w:tcW w:w="3240" w:type="dxa"/>
          </w:tcPr>
          <w:p w:rsidR="00A60419" w:rsidRPr="00E01A0A" w:rsidRDefault="00A60419" w:rsidP="0069359D">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rsidR="00A60419" w:rsidRPr="00E01A0A" w:rsidRDefault="00A60419" w:rsidP="0069359D">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rsidR="00A60419" w:rsidRPr="00E01A0A" w:rsidRDefault="00A60419" w:rsidP="0069359D">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rsidR="00A60419" w:rsidRPr="00E01A0A" w:rsidRDefault="00A60419" w:rsidP="0069359D">
            <w:pPr>
              <w:widowControl w:val="0"/>
              <w:pBdr>
                <w:top w:val="nil"/>
                <w:left w:val="nil"/>
                <w:bottom w:val="nil"/>
                <w:right w:val="nil"/>
                <w:between w:val="nil"/>
              </w:pBdr>
              <w:spacing w:line="240" w:lineRule="auto"/>
              <w:jc w:val="center"/>
              <w:rPr>
                <w:rFonts w:ascii="Times New Roman" w:hAnsi="Times New Roman" w:cs="Times New Roman"/>
                <w:b/>
                <w:sz w:val="24"/>
                <w:szCs w:val="24"/>
                <w:lang w:val="sq-AL"/>
              </w:rPr>
            </w:pPr>
            <w:r w:rsidRPr="00E01A0A">
              <w:rPr>
                <w:rFonts w:ascii="Times New Roman" w:hAnsi="Times New Roman" w:cs="Times New Roman"/>
                <w:b/>
                <w:sz w:val="24"/>
                <w:szCs w:val="24"/>
                <w:lang w:val="it-IT"/>
              </w:rPr>
              <w:t>VENDIMI (I PRANUAR/I PRANUAR PJESËRISHT/I REFUZUAR)</w:t>
            </w:r>
          </w:p>
        </w:tc>
        <w:tc>
          <w:tcPr>
            <w:tcW w:w="4230" w:type="dxa"/>
            <w:shd w:val="clear" w:color="auto" w:fill="auto"/>
            <w:tcMar>
              <w:top w:w="100" w:type="dxa"/>
              <w:left w:w="100" w:type="dxa"/>
              <w:bottom w:w="100" w:type="dxa"/>
              <w:right w:w="100" w:type="dxa"/>
            </w:tcMar>
          </w:tcPr>
          <w:p w:rsidR="00A60419" w:rsidRPr="00E01A0A" w:rsidRDefault="00A60419" w:rsidP="0069359D">
            <w:pPr>
              <w:widowControl w:val="0"/>
              <w:pBdr>
                <w:top w:val="nil"/>
                <w:left w:val="nil"/>
                <w:bottom w:val="nil"/>
                <w:right w:val="nil"/>
                <w:between w:val="nil"/>
              </w:pBdr>
              <w:spacing w:line="240" w:lineRule="auto"/>
              <w:rPr>
                <w:rFonts w:ascii="Times New Roman" w:hAnsi="Times New Roman" w:cs="Times New Roman"/>
                <w:b/>
                <w:sz w:val="24"/>
                <w:szCs w:val="24"/>
                <w:lang w:val="sq-AL"/>
              </w:rPr>
            </w:pPr>
          </w:p>
          <w:p w:rsidR="00A60419" w:rsidRPr="00E01A0A" w:rsidRDefault="00A60419" w:rsidP="0069359D">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lang w:val="it-IT"/>
              </w:rPr>
            </w:pPr>
          </w:p>
          <w:p w:rsidR="00A60419" w:rsidRPr="00E01A0A" w:rsidRDefault="00A60419" w:rsidP="0069359D">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lang w:val="it-IT"/>
              </w:rPr>
            </w:pPr>
          </w:p>
          <w:p w:rsidR="00A60419" w:rsidRPr="00E01A0A" w:rsidRDefault="00A60419" w:rsidP="0069359D">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E01A0A">
              <w:rPr>
                <w:rFonts w:ascii="Times New Roman" w:eastAsia="Times New Roman" w:hAnsi="Times New Roman" w:cs="Times New Roman"/>
                <w:b/>
                <w:sz w:val="24"/>
                <w:szCs w:val="24"/>
              </w:rPr>
              <w:t>VLERËSIMI</w:t>
            </w: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AD259C" w:rsidRPr="00E01A0A" w:rsidRDefault="00241727" w:rsidP="0069359D">
            <w:pPr>
              <w:spacing w:after="120" w:line="240" w:lineRule="auto"/>
              <w:jc w:val="both"/>
              <w:rPr>
                <w:rFonts w:ascii="Times New Roman" w:hAnsi="Times New Roman" w:cs="Times New Roman"/>
                <w:sz w:val="24"/>
                <w:szCs w:val="24"/>
              </w:rPr>
            </w:pPr>
            <w:r w:rsidRPr="00E01A0A">
              <w:rPr>
                <w:rFonts w:ascii="Times New Roman" w:hAnsi="Times New Roman" w:cs="Times New Roman"/>
                <w:sz w:val="24"/>
                <w:szCs w:val="24"/>
              </w:rPr>
              <w:t>Instituti për Studime Politike</w:t>
            </w:r>
          </w:p>
        </w:tc>
        <w:tc>
          <w:tcPr>
            <w:tcW w:w="4610" w:type="dxa"/>
          </w:tcPr>
          <w:p w:rsidR="00A25948" w:rsidRPr="00E01A0A" w:rsidRDefault="00B43397" w:rsidP="0069359D">
            <w:pPr>
              <w:jc w:val="both"/>
              <w:textAlignment w:val="baseline"/>
              <w:rPr>
                <w:rFonts w:ascii="Times New Roman" w:hAnsi="Times New Roman" w:cs="Times New Roman"/>
                <w:b/>
                <w:sz w:val="24"/>
                <w:szCs w:val="24"/>
                <w:lang w:val="sq-AL"/>
              </w:rPr>
            </w:pPr>
            <w:r w:rsidRPr="00E01A0A">
              <w:rPr>
                <w:rFonts w:ascii="Times New Roman" w:hAnsi="Times New Roman" w:cs="Times New Roman"/>
                <w:sz w:val="24"/>
                <w:szCs w:val="24"/>
              </w:rPr>
              <w:t xml:space="preserve">1, “Miratimi i një kornize ligjore që adreson rekomandimet e pazbatuara te OSBE-së përmes një </w:t>
            </w:r>
            <w:r w:rsidRPr="00E01A0A">
              <w:rPr>
                <w:rFonts w:ascii="Times New Roman" w:hAnsi="Times New Roman" w:cs="Times New Roman"/>
                <w:b/>
                <w:sz w:val="24"/>
                <w:szCs w:val="24"/>
              </w:rPr>
              <w:t>procesi konsultimi të hapur dhe gjithëpërfshirës, brenda vitit 2024</w:t>
            </w:r>
            <w:r w:rsidRPr="00E01A0A">
              <w:rPr>
                <w:rFonts w:ascii="Times New Roman" w:hAnsi="Times New Roman" w:cs="Times New Roman"/>
                <w:sz w:val="24"/>
                <w:szCs w:val="24"/>
              </w:rPr>
              <w:t xml:space="preserve">” </w:t>
            </w:r>
            <w:r w:rsidRPr="00E01A0A">
              <w:rPr>
                <w:rFonts w:ascii="Times New Roman" w:hAnsi="Times New Roman" w:cs="Times New Roman"/>
                <w:sz w:val="24"/>
                <w:szCs w:val="24"/>
              </w:rPr>
              <w:lastRenderedPageBreak/>
              <w:t xml:space="preserve">Komenti: ISP mendon se është angazhim deklarativ, jo efektiv. </w:t>
            </w:r>
            <w:r w:rsidRPr="00E01A0A">
              <w:rPr>
                <w:rFonts w:ascii="Times New Roman" w:hAnsi="Times New Roman" w:cs="Times New Roman"/>
                <w:sz w:val="24"/>
                <w:szCs w:val="24"/>
                <w:u w:val="single"/>
              </w:rPr>
              <w:t>Komisioni i Venecias përcakton detyrimin që disa ndryshime ligjore (sistemi zgjedhor, zonat zgjedhore, administrimi i përgjithshëm zgjedhor, formula, etj) të bëhen jo më vonë se një vit përpara zgjedhjeve, pra duhen jetësuar para maj/qershor 202</w:t>
            </w:r>
            <w:r w:rsidRPr="00E01A0A">
              <w:rPr>
                <w:rFonts w:ascii="Times New Roman" w:hAnsi="Times New Roman" w:cs="Times New Roman"/>
                <w:sz w:val="24"/>
                <w:szCs w:val="24"/>
              </w:rPr>
              <w:t xml:space="preserve">4 dhe jo “brenda vitit 2024” siç theksohet aty. Po ashtu, angazhimi </w:t>
            </w:r>
            <w:r w:rsidRPr="00E01A0A">
              <w:rPr>
                <w:rFonts w:ascii="Times New Roman" w:hAnsi="Times New Roman" w:cs="Times New Roman"/>
                <w:sz w:val="24"/>
                <w:szCs w:val="24"/>
                <w:u w:val="single"/>
              </w:rPr>
              <w:t>“Votimi i shtetasve shqiptarë me vendbanim të përhershëm jashtë territorit” është detyrim kushtetues që aktet të dalin përpara datës 14 janar 2024</w:t>
            </w:r>
            <w:r w:rsidRPr="00E01A0A">
              <w:rPr>
                <w:rFonts w:ascii="Times New Roman" w:hAnsi="Times New Roman" w:cs="Times New Roman"/>
                <w:sz w:val="24"/>
                <w:szCs w:val="24"/>
              </w:rPr>
              <w:t xml:space="preserve">, dhe nuk mund të thuhet se dalin deri në 2025 siç është cituar në dokument. Tek “performanca” citohet “zbatimin e Vendimit të Gjykatës Kushtetuese. nr.38, datë 09.12.2022”, kur afati i opinioneve për këtë dokument përfundon me 24 janar 2024, pra 10 ditë pasi skadon afati kohor i përcaktuar nga GJK. </w:t>
            </w:r>
          </w:p>
        </w:tc>
        <w:tc>
          <w:tcPr>
            <w:tcW w:w="3240" w:type="dxa"/>
          </w:tcPr>
          <w:p w:rsidR="005F4C49" w:rsidRPr="00E01A0A" w:rsidRDefault="009543F1" w:rsidP="0069359D">
            <w:pPr>
              <w:widowControl w:val="0"/>
              <w:pBdr>
                <w:top w:val="nil"/>
                <w:left w:val="nil"/>
                <w:bottom w:val="nil"/>
                <w:right w:val="nil"/>
                <w:between w:val="nil"/>
              </w:pBdr>
              <w:spacing w:line="240" w:lineRule="auto"/>
              <w:rPr>
                <w:rFonts w:ascii="Times New Roman" w:hAnsi="Times New Roman" w:cs="Times New Roman"/>
                <w:sz w:val="24"/>
                <w:szCs w:val="24"/>
                <w:lang w:val="sq-AL"/>
              </w:rPr>
            </w:pPr>
            <w:r w:rsidRPr="00E01A0A">
              <w:rPr>
                <w:rFonts w:ascii="Times New Roman" w:hAnsi="Times New Roman" w:cs="Times New Roman"/>
                <w:sz w:val="24"/>
                <w:szCs w:val="24"/>
                <w:lang w:val="sq-AL"/>
              </w:rPr>
              <w:lastRenderedPageBreak/>
              <w:t>pranuar</w:t>
            </w:r>
          </w:p>
        </w:tc>
        <w:tc>
          <w:tcPr>
            <w:tcW w:w="4230" w:type="dxa"/>
            <w:shd w:val="clear" w:color="auto" w:fill="auto"/>
            <w:tcMar>
              <w:top w:w="100" w:type="dxa"/>
              <w:left w:w="100" w:type="dxa"/>
              <w:bottom w:w="100" w:type="dxa"/>
              <w:right w:w="100" w:type="dxa"/>
            </w:tcMar>
          </w:tcPr>
          <w:p w:rsidR="008F0655" w:rsidRPr="00E01A0A" w:rsidRDefault="009543F1" w:rsidP="0069359D">
            <w:pPr>
              <w:widowControl w:val="0"/>
              <w:pBdr>
                <w:top w:val="nil"/>
                <w:left w:val="nil"/>
                <w:bottom w:val="nil"/>
                <w:right w:val="nil"/>
                <w:between w:val="nil"/>
              </w:pBdr>
              <w:spacing w:line="240" w:lineRule="auto"/>
              <w:jc w:val="both"/>
              <w:rPr>
                <w:rFonts w:ascii="Times New Roman" w:hAnsi="Times New Roman" w:cs="Times New Roman"/>
                <w:i/>
                <w:iCs/>
                <w:sz w:val="24"/>
                <w:szCs w:val="24"/>
                <w:lang w:val="sq-AL"/>
              </w:rPr>
            </w:pPr>
            <w:r w:rsidRPr="00E01A0A">
              <w:rPr>
                <w:rFonts w:ascii="Times New Roman" w:hAnsi="Times New Roman" w:cs="Times New Roman"/>
                <w:sz w:val="24"/>
                <w:szCs w:val="24"/>
                <w:lang w:val="sq-AL"/>
              </w:rPr>
              <w:t xml:space="preserve">Ndryshimet e Kodit Zgjedhor në 26.7.2024 realizuan ndryshimet ligjore për asdresimin e votës së diasporës dhe zbatimin e vendimeve të Gjykatës </w:t>
            </w:r>
            <w:r w:rsidRPr="00E01A0A">
              <w:rPr>
                <w:rFonts w:ascii="Times New Roman" w:hAnsi="Times New Roman" w:cs="Times New Roman"/>
                <w:sz w:val="24"/>
                <w:szCs w:val="24"/>
                <w:lang w:val="sq-AL"/>
              </w:rPr>
              <w:lastRenderedPageBreak/>
              <w:t>Kushtetuese.</w:t>
            </w:r>
          </w:p>
          <w:p w:rsidR="00AD259C" w:rsidRPr="00E01A0A" w:rsidRDefault="00AD259C" w:rsidP="0069359D">
            <w:pPr>
              <w:spacing w:line="240" w:lineRule="auto"/>
              <w:rPr>
                <w:rFonts w:ascii="Times New Roman" w:hAnsi="Times New Roman" w:cs="Times New Roman"/>
                <w:sz w:val="24"/>
                <w:szCs w:val="24"/>
                <w:lang w:val="sq-AL"/>
              </w:rPr>
            </w:pP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3F6E7A" w:rsidRPr="00E01A0A" w:rsidRDefault="00D10E93" w:rsidP="0069359D">
            <w:pPr>
              <w:spacing w:after="120" w:line="240" w:lineRule="auto"/>
              <w:jc w:val="both"/>
              <w:rPr>
                <w:rFonts w:ascii="Times New Roman" w:hAnsi="Times New Roman" w:cs="Times New Roman"/>
                <w:sz w:val="24"/>
                <w:szCs w:val="24"/>
              </w:rPr>
            </w:pPr>
            <w:r w:rsidRPr="00E01A0A">
              <w:rPr>
                <w:rFonts w:ascii="Times New Roman" w:hAnsi="Times New Roman" w:cs="Times New Roman"/>
                <w:sz w:val="24"/>
                <w:szCs w:val="24"/>
              </w:rPr>
              <w:lastRenderedPageBreak/>
              <w:t>Instituti për Studime Politike</w:t>
            </w:r>
          </w:p>
        </w:tc>
        <w:tc>
          <w:tcPr>
            <w:tcW w:w="4610" w:type="dxa"/>
          </w:tcPr>
          <w:p w:rsidR="003F6E7A" w:rsidRPr="00E01A0A" w:rsidRDefault="00B43397" w:rsidP="0069359D">
            <w:pPr>
              <w:jc w:val="both"/>
              <w:textAlignment w:val="baseline"/>
              <w:rPr>
                <w:rFonts w:ascii="Times New Roman" w:eastAsia="Times New Roman" w:hAnsi="Times New Roman" w:cs="Times New Roman"/>
                <w:bCs/>
                <w:sz w:val="24"/>
                <w:szCs w:val="24"/>
                <w:u w:val="single"/>
                <w:lang w:val="sq-AL"/>
              </w:rPr>
            </w:pPr>
            <w:r w:rsidRPr="00E01A0A">
              <w:rPr>
                <w:rFonts w:ascii="Times New Roman" w:hAnsi="Times New Roman" w:cs="Times New Roman"/>
                <w:sz w:val="24"/>
                <w:szCs w:val="24"/>
              </w:rPr>
              <w:t xml:space="preserve">Lidhur me masat e përcaktuara në pikën 2, “Amendimi i Kodit të Sjelljes së deputetëve, për të futur detyrimin që takimet e deputetëve dhe stafit të tyre me OSHC-të dhe lobistët të zhvillohen vetëm me ata që janë të regjistruar në Regjistrin e Transparencës në përputhje me përcaktimet e Vendimit të Komisionit të datës 31 janar 2018 mbi Kodin e Sjelljes” Komenti: </w:t>
            </w:r>
            <w:r w:rsidRPr="00E01A0A">
              <w:rPr>
                <w:rFonts w:ascii="Times New Roman" w:hAnsi="Times New Roman" w:cs="Times New Roman"/>
                <w:sz w:val="24"/>
                <w:szCs w:val="24"/>
              </w:rPr>
              <w:lastRenderedPageBreak/>
              <w:t>ISP vlerëson se propozimi nuk sjell rritje të transparencës dhe as hapje të parlamentit. Organizata si ISP janë pjesë e këtij regjistri dhe gjatë 3 viteve të fundit ka marrë ftesë për vetëm 4 akte ligjore. Regjistri ka të dhëna për organizata që de facto nuk kanë aktivitet, nuk ekzistojnë, si dhe janë përfshirë në regjistër për shkak të nevojës së kuvendit për të sponsorizuar organizata “pro” mazhorancave të radhës. Rekomandim: Masë më efektive do të ishte reformimi i Regjistrit, verifikimi real i organizatave dhe lidhja e tyre me aktivitetin parlamentar, parandalimi i konfliktit të interesit, një sistem funksional konsultimi të vazhdueshëm, si dhe reformimi përmes legjislacionit i konceptit “lobim” dhe “lobues”. Organizatat e shoqërisë civile në konceptin europian nuk janë subjekte lobuese, por kryesisht monitoruese dhe sensibilizuese. Lobues janë kryesisht organizata të karakterit financiar ose përfitues në sektorë të ndryshëm, si dhomat e biznesit, sindikatat, bashkimet ekonomike, shoqatat e gjyqtarëve dhe prokurorëve, organizata ndërkombëtare me fokus lobimin, etj.</w:t>
            </w:r>
          </w:p>
        </w:tc>
        <w:tc>
          <w:tcPr>
            <w:tcW w:w="3240" w:type="dxa"/>
          </w:tcPr>
          <w:p w:rsidR="003F6E7A" w:rsidRPr="00E01A0A" w:rsidRDefault="009346A0" w:rsidP="0069359D">
            <w:pPr>
              <w:widowControl w:val="0"/>
              <w:pBdr>
                <w:top w:val="nil"/>
                <w:left w:val="nil"/>
                <w:bottom w:val="nil"/>
                <w:right w:val="nil"/>
                <w:between w:val="nil"/>
              </w:pBdr>
              <w:spacing w:line="240" w:lineRule="auto"/>
              <w:jc w:val="center"/>
              <w:rPr>
                <w:rFonts w:ascii="Times New Roman" w:hAnsi="Times New Roman" w:cs="Times New Roman"/>
                <w:sz w:val="24"/>
                <w:szCs w:val="24"/>
                <w:lang w:val="sq-AL"/>
              </w:rPr>
            </w:pPr>
            <w:r w:rsidRPr="00E01A0A">
              <w:rPr>
                <w:rFonts w:ascii="Times New Roman" w:hAnsi="Times New Roman" w:cs="Times New Roman"/>
                <w:sz w:val="24"/>
                <w:szCs w:val="24"/>
                <w:lang w:val="sq-AL"/>
              </w:rPr>
              <w:lastRenderedPageBreak/>
              <w:t>Refuzuar</w:t>
            </w:r>
            <w:r w:rsidR="00B43397" w:rsidRPr="00E01A0A">
              <w:rPr>
                <w:rFonts w:ascii="Times New Roman" w:hAnsi="Times New Roman" w:cs="Times New Roman"/>
                <w:sz w:val="24"/>
                <w:szCs w:val="24"/>
                <w:lang w:val="sq-AL"/>
              </w:rPr>
              <w:t xml:space="preserve">. </w:t>
            </w:r>
          </w:p>
        </w:tc>
        <w:tc>
          <w:tcPr>
            <w:tcW w:w="4230" w:type="dxa"/>
            <w:shd w:val="clear" w:color="auto" w:fill="auto"/>
            <w:tcMar>
              <w:top w:w="100" w:type="dxa"/>
              <w:left w:w="100" w:type="dxa"/>
              <w:bottom w:w="100" w:type="dxa"/>
              <w:right w:w="100" w:type="dxa"/>
            </w:tcMar>
          </w:tcPr>
          <w:p w:rsidR="00DF471B" w:rsidRPr="00E01A0A" w:rsidRDefault="00B5732B" w:rsidP="0069359D">
            <w:pPr>
              <w:spacing w:after="160" w:line="259" w:lineRule="auto"/>
              <w:jc w:val="both"/>
              <w:rPr>
                <w:rFonts w:ascii="Times New Roman" w:hAnsi="Times New Roman" w:cs="Times New Roman"/>
                <w:sz w:val="24"/>
                <w:szCs w:val="24"/>
                <w:lang w:val="sq-AL"/>
              </w:rPr>
            </w:pPr>
            <w:r w:rsidRPr="00E01A0A">
              <w:rPr>
                <w:rFonts w:ascii="Times New Roman" w:hAnsi="Times New Roman" w:cs="Times New Roman"/>
                <w:sz w:val="24"/>
                <w:szCs w:val="24"/>
                <w:lang w:val="sq-AL"/>
              </w:rPr>
              <w:t>-</w:t>
            </w:r>
            <w:r w:rsidR="00B43397" w:rsidRPr="00E01A0A">
              <w:rPr>
                <w:rFonts w:ascii="Times New Roman" w:hAnsi="Times New Roman" w:cs="Times New Roman"/>
                <w:sz w:val="24"/>
                <w:szCs w:val="24"/>
                <w:lang w:val="sq-AL"/>
              </w:rPr>
              <w:t xml:space="preserve">Masa e planifikuar </w:t>
            </w:r>
            <w:r w:rsidR="00DF471B" w:rsidRPr="00E01A0A">
              <w:rPr>
                <w:rFonts w:ascii="Times New Roman" w:hAnsi="Times New Roman" w:cs="Times New Roman"/>
                <w:sz w:val="24"/>
                <w:szCs w:val="24"/>
                <w:lang w:val="sq-AL"/>
              </w:rPr>
              <w:t>ë</w:t>
            </w:r>
            <w:r w:rsidR="00B43397" w:rsidRPr="00E01A0A">
              <w:rPr>
                <w:rFonts w:ascii="Times New Roman" w:hAnsi="Times New Roman" w:cs="Times New Roman"/>
                <w:sz w:val="24"/>
                <w:szCs w:val="24"/>
                <w:lang w:val="sq-AL"/>
              </w:rPr>
              <w:t>sht</w:t>
            </w:r>
            <w:r w:rsidR="00DF471B" w:rsidRPr="00E01A0A">
              <w:rPr>
                <w:rFonts w:ascii="Times New Roman" w:hAnsi="Times New Roman" w:cs="Times New Roman"/>
                <w:sz w:val="24"/>
                <w:szCs w:val="24"/>
                <w:lang w:val="sq-AL"/>
              </w:rPr>
              <w:t>ë</w:t>
            </w:r>
            <w:r w:rsidR="00B43397" w:rsidRPr="00E01A0A">
              <w:rPr>
                <w:rFonts w:ascii="Times New Roman" w:hAnsi="Times New Roman" w:cs="Times New Roman"/>
                <w:sz w:val="24"/>
                <w:szCs w:val="24"/>
                <w:lang w:val="sq-AL"/>
              </w:rPr>
              <w:t xml:space="preserve"> evindentuar si mangësi në rap</w:t>
            </w:r>
            <w:r w:rsidR="00DF471B" w:rsidRPr="00E01A0A">
              <w:rPr>
                <w:rFonts w:ascii="Times New Roman" w:hAnsi="Times New Roman" w:cs="Times New Roman"/>
                <w:sz w:val="24"/>
                <w:szCs w:val="24"/>
                <w:lang w:val="sq-AL"/>
              </w:rPr>
              <w:t xml:space="preserve">ort me legjislacionin europian (Vendimin e Komisionit të datës 31 janar 2018 mbi Kodin e Sjelljes për Anëtarët e Komisionit Evropian (C(2018)0700), Neni. 7, të cilën Kuvendi duhet ta adresojë. </w:t>
            </w:r>
          </w:p>
          <w:p w:rsidR="003F6E7A" w:rsidRPr="00E01A0A" w:rsidRDefault="00B43397" w:rsidP="0069359D">
            <w:pPr>
              <w:spacing w:after="160" w:line="259" w:lineRule="auto"/>
              <w:jc w:val="both"/>
              <w:rPr>
                <w:rFonts w:ascii="Times New Roman" w:hAnsi="Times New Roman" w:cs="Times New Roman"/>
                <w:sz w:val="24"/>
                <w:szCs w:val="24"/>
                <w:lang w:val="sq-AL"/>
              </w:rPr>
            </w:pPr>
            <w:r w:rsidRPr="00E01A0A">
              <w:rPr>
                <w:rFonts w:ascii="Times New Roman" w:hAnsi="Times New Roman" w:cs="Times New Roman"/>
                <w:sz w:val="24"/>
                <w:szCs w:val="24"/>
                <w:lang w:val="sq-AL"/>
              </w:rPr>
              <w:lastRenderedPageBreak/>
              <w:t>Referuar aktivitetit të OSHC, ju informojmë se të gjitha OSHC ju bëhet thirrje nga Koordinatori i grupeve të interesit në Kuvend për</w:t>
            </w:r>
            <w:r w:rsidR="00F216EF" w:rsidRPr="00E01A0A">
              <w:rPr>
                <w:rFonts w:ascii="Times New Roman" w:hAnsi="Times New Roman" w:cs="Times New Roman"/>
                <w:sz w:val="24"/>
                <w:szCs w:val="24"/>
                <w:lang w:val="sq-AL"/>
              </w:rPr>
              <w:t xml:space="preserve"> rregjistrimin ose</w:t>
            </w:r>
            <w:r w:rsidRPr="00E01A0A">
              <w:rPr>
                <w:rFonts w:ascii="Times New Roman" w:hAnsi="Times New Roman" w:cs="Times New Roman"/>
                <w:sz w:val="24"/>
                <w:szCs w:val="24"/>
                <w:lang w:val="sq-AL"/>
              </w:rPr>
              <w:t xml:space="preserve"> përditësimin e të dhënave të tyre por kuptohet që Kuvendi nuk heton mbi veprimtarinë e tyre. </w:t>
            </w:r>
            <w:r w:rsidR="00F216EF" w:rsidRPr="00E01A0A">
              <w:rPr>
                <w:rFonts w:ascii="Times New Roman" w:hAnsi="Times New Roman" w:cs="Times New Roman"/>
                <w:sz w:val="24"/>
                <w:szCs w:val="24"/>
                <w:lang w:val="sq-AL"/>
              </w:rPr>
              <w:t>A</w:t>
            </w:r>
            <w:r w:rsidR="00C31ED9" w:rsidRPr="00E01A0A">
              <w:rPr>
                <w:rFonts w:ascii="Times New Roman" w:hAnsi="Times New Roman" w:cs="Times New Roman"/>
                <w:sz w:val="24"/>
                <w:szCs w:val="24"/>
                <w:lang w:val="sq-AL"/>
              </w:rPr>
              <w:t>to japin dhe numer NIPT</w:t>
            </w:r>
            <w:r w:rsidR="009346A0" w:rsidRPr="00E01A0A">
              <w:rPr>
                <w:rFonts w:ascii="Times New Roman" w:hAnsi="Times New Roman" w:cs="Times New Roman"/>
                <w:sz w:val="24"/>
                <w:szCs w:val="24"/>
                <w:lang w:val="sq-AL"/>
              </w:rPr>
              <w:t xml:space="preserve"> dhe nr e vendimit të</w:t>
            </w:r>
            <w:r w:rsidR="00F216EF" w:rsidRPr="00E01A0A">
              <w:rPr>
                <w:rFonts w:ascii="Times New Roman" w:hAnsi="Times New Roman" w:cs="Times New Roman"/>
                <w:sz w:val="24"/>
                <w:szCs w:val="24"/>
                <w:lang w:val="sq-AL"/>
              </w:rPr>
              <w:t xml:space="preserve"> themelimit ne gjykatë. </w:t>
            </w:r>
            <w:r w:rsidR="00C31ED9" w:rsidRPr="00E01A0A">
              <w:rPr>
                <w:rFonts w:ascii="Times New Roman" w:hAnsi="Times New Roman" w:cs="Times New Roman"/>
                <w:sz w:val="24"/>
                <w:szCs w:val="24"/>
                <w:lang w:val="sq-AL"/>
              </w:rPr>
              <w:t>Verifikimi i vet</w:t>
            </w:r>
            <w:r w:rsidR="00747A5A" w:rsidRPr="00E01A0A">
              <w:rPr>
                <w:rFonts w:ascii="Times New Roman" w:hAnsi="Times New Roman" w:cs="Times New Roman"/>
                <w:sz w:val="24"/>
                <w:szCs w:val="24"/>
                <w:lang w:val="sq-AL"/>
              </w:rPr>
              <w:t>ë</w:t>
            </w:r>
            <w:r w:rsidR="00C31ED9" w:rsidRPr="00E01A0A">
              <w:rPr>
                <w:rFonts w:ascii="Times New Roman" w:hAnsi="Times New Roman" w:cs="Times New Roman"/>
                <w:sz w:val="24"/>
                <w:szCs w:val="24"/>
                <w:lang w:val="sq-AL"/>
              </w:rPr>
              <w:t>m q</w:t>
            </w:r>
            <w:r w:rsidR="009346A0" w:rsidRPr="00E01A0A">
              <w:rPr>
                <w:rFonts w:ascii="Times New Roman" w:hAnsi="Times New Roman" w:cs="Times New Roman"/>
                <w:sz w:val="24"/>
                <w:szCs w:val="24"/>
                <w:lang w:val="sq-AL"/>
              </w:rPr>
              <w:t>ë</w:t>
            </w:r>
            <w:r w:rsidR="00C31ED9" w:rsidRPr="00E01A0A">
              <w:rPr>
                <w:rFonts w:ascii="Times New Roman" w:hAnsi="Times New Roman" w:cs="Times New Roman"/>
                <w:sz w:val="24"/>
                <w:szCs w:val="24"/>
                <w:lang w:val="sq-AL"/>
              </w:rPr>
              <w:t xml:space="preserve"> </w:t>
            </w:r>
            <w:r w:rsidR="009346A0" w:rsidRPr="00E01A0A">
              <w:rPr>
                <w:rFonts w:ascii="Times New Roman" w:hAnsi="Times New Roman" w:cs="Times New Roman"/>
                <w:sz w:val="24"/>
                <w:szCs w:val="24"/>
                <w:lang w:val="sq-AL"/>
              </w:rPr>
              <w:t>realizon</w:t>
            </w:r>
            <w:r w:rsidR="00C31ED9" w:rsidRPr="00E01A0A">
              <w:rPr>
                <w:rFonts w:ascii="Times New Roman" w:hAnsi="Times New Roman" w:cs="Times New Roman"/>
                <w:sz w:val="24"/>
                <w:szCs w:val="24"/>
                <w:lang w:val="sq-AL"/>
              </w:rPr>
              <w:t xml:space="preserve"> Kuvendi </w:t>
            </w:r>
            <w:r w:rsidR="009346A0" w:rsidRPr="00E01A0A">
              <w:rPr>
                <w:rFonts w:ascii="Times New Roman" w:hAnsi="Times New Roman" w:cs="Times New Roman"/>
                <w:sz w:val="24"/>
                <w:szCs w:val="24"/>
                <w:lang w:val="sq-AL"/>
              </w:rPr>
              <w:t>ë</w:t>
            </w:r>
            <w:r w:rsidR="00C31ED9" w:rsidRPr="00E01A0A">
              <w:rPr>
                <w:rFonts w:ascii="Times New Roman" w:hAnsi="Times New Roman" w:cs="Times New Roman"/>
                <w:sz w:val="24"/>
                <w:szCs w:val="24"/>
                <w:lang w:val="sq-AL"/>
              </w:rPr>
              <w:t>sht</w:t>
            </w:r>
            <w:r w:rsidR="009346A0" w:rsidRPr="00E01A0A">
              <w:rPr>
                <w:rFonts w:ascii="Times New Roman" w:hAnsi="Times New Roman" w:cs="Times New Roman"/>
                <w:sz w:val="24"/>
                <w:szCs w:val="24"/>
                <w:lang w:val="sq-AL"/>
              </w:rPr>
              <w:t>ë</w:t>
            </w:r>
            <w:r w:rsidR="00C31ED9" w:rsidRPr="00E01A0A">
              <w:rPr>
                <w:rFonts w:ascii="Times New Roman" w:hAnsi="Times New Roman" w:cs="Times New Roman"/>
                <w:sz w:val="24"/>
                <w:szCs w:val="24"/>
                <w:lang w:val="sq-AL"/>
              </w:rPr>
              <w:t xml:space="preserve"> nqs eshte i rregjistruar apo jo </w:t>
            </w:r>
            <w:r w:rsidR="009346A0" w:rsidRPr="00E01A0A">
              <w:rPr>
                <w:rFonts w:ascii="Times New Roman" w:hAnsi="Times New Roman" w:cs="Times New Roman"/>
                <w:sz w:val="24"/>
                <w:szCs w:val="24"/>
                <w:lang w:val="sq-AL"/>
              </w:rPr>
              <w:t xml:space="preserve">tek Tatimet </w:t>
            </w:r>
            <w:r w:rsidR="00C31ED9" w:rsidRPr="00E01A0A">
              <w:rPr>
                <w:rFonts w:ascii="Times New Roman" w:hAnsi="Times New Roman" w:cs="Times New Roman"/>
                <w:sz w:val="24"/>
                <w:szCs w:val="24"/>
                <w:lang w:val="sq-AL"/>
              </w:rPr>
              <w:t xml:space="preserve">por jo nqs ka aktivitet me palë të tjera. </w:t>
            </w: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B43397" w:rsidRPr="00E01A0A" w:rsidRDefault="00D10E93" w:rsidP="0069359D">
            <w:pPr>
              <w:spacing w:after="120" w:line="240" w:lineRule="auto"/>
              <w:jc w:val="both"/>
              <w:rPr>
                <w:rFonts w:ascii="Times New Roman" w:hAnsi="Times New Roman" w:cs="Times New Roman"/>
                <w:sz w:val="24"/>
                <w:szCs w:val="24"/>
              </w:rPr>
            </w:pPr>
            <w:r w:rsidRPr="00E01A0A">
              <w:rPr>
                <w:rFonts w:ascii="Times New Roman" w:hAnsi="Times New Roman" w:cs="Times New Roman"/>
                <w:sz w:val="24"/>
                <w:szCs w:val="24"/>
              </w:rPr>
              <w:lastRenderedPageBreak/>
              <w:t>Instituti për Studime Politike</w:t>
            </w:r>
          </w:p>
        </w:tc>
        <w:tc>
          <w:tcPr>
            <w:tcW w:w="4610" w:type="dxa"/>
          </w:tcPr>
          <w:p w:rsidR="00B43397" w:rsidRPr="00E01A0A" w:rsidRDefault="00DF471B" w:rsidP="0069359D">
            <w:pPr>
              <w:jc w:val="both"/>
              <w:textAlignment w:val="baseline"/>
              <w:rPr>
                <w:rFonts w:ascii="Times New Roman" w:hAnsi="Times New Roman" w:cs="Times New Roman"/>
                <w:sz w:val="24"/>
                <w:szCs w:val="24"/>
              </w:rPr>
            </w:pPr>
            <w:r w:rsidRPr="00E01A0A">
              <w:rPr>
                <w:rFonts w:ascii="Times New Roman" w:hAnsi="Times New Roman" w:cs="Times New Roman"/>
                <w:sz w:val="24"/>
                <w:szCs w:val="24"/>
              </w:rPr>
              <w:t>V. Lidhur me propozimin për ndryshimin e Rregullores së Kuvendit për të zgjeruar zbatimin e Post Kontrollit të ligjshmërisë jo vetëm për ligjet e përafruara me acquis të BE-së, por edhe në aktet normative që kanë fuqinë e ligjit deri në vitin 2026; Komenti: ISP vlerëson se angazhimi nuk sjell ndryshim cilësor dhe aktualisht këtë proces nuk e pengon rregullorja. Është funksion kushtetues i Kuvendit mbikëqyrja parlamentare, përfshirë jetësimi i ligjeve që miraton. Aktet normative janë vetëm një pjesë e problemit, ligjet e personalizuara janë shumë më shqetësuese, ndërkohë që sugjerim ynë është që kontrolli postlegjislativ të bëhet për çdo akt parlamentar (zakonisht Kuvendi miraton jo më shumë se 10 ligje të plota në vit), pjesa kryesore vendimmarrëse e Kuvendit janë vendimet, ratifikimet, rezolutat, amendimet ligjore, pra jo ligjet e plota.</w:t>
            </w:r>
          </w:p>
        </w:tc>
        <w:tc>
          <w:tcPr>
            <w:tcW w:w="3240" w:type="dxa"/>
          </w:tcPr>
          <w:p w:rsidR="00B43397" w:rsidRPr="00E01A0A" w:rsidRDefault="00DF471B" w:rsidP="0069359D">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E01A0A">
              <w:rPr>
                <w:rFonts w:ascii="Times New Roman" w:hAnsi="Times New Roman" w:cs="Times New Roman"/>
                <w:sz w:val="24"/>
                <w:szCs w:val="24"/>
              </w:rPr>
              <w:t>Refuzuar</w:t>
            </w:r>
          </w:p>
        </w:tc>
        <w:tc>
          <w:tcPr>
            <w:tcW w:w="4230" w:type="dxa"/>
            <w:shd w:val="clear" w:color="auto" w:fill="auto"/>
            <w:tcMar>
              <w:top w:w="100" w:type="dxa"/>
              <w:left w:w="100" w:type="dxa"/>
              <w:bottom w:w="100" w:type="dxa"/>
              <w:right w:w="100" w:type="dxa"/>
            </w:tcMar>
          </w:tcPr>
          <w:p w:rsidR="00DF471B" w:rsidRPr="00E01A0A" w:rsidRDefault="00B5732B" w:rsidP="0069359D">
            <w:p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rPr>
              <w:t>-</w:t>
            </w:r>
            <w:r w:rsidR="00DF471B" w:rsidRPr="00E01A0A">
              <w:rPr>
                <w:rFonts w:ascii="Times New Roman" w:hAnsi="Times New Roman" w:cs="Times New Roman"/>
                <w:sz w:val="24"/>
                <w:szCs w:val="24"/>
              </w:rPr>
              <w:t>Masa e planifikuar është evindentuar si mangësi në raport me legjislacionin europian, të cilën Kuvendi duhet ta adresojë. (OECD/SIGMA, Edicioni i Parimeve të Administratës Publike 2017, - Kapitulli 2 “ZHVILLIMI DHE KORDINIMI I POLITIKAVE”, Parimi 7- Parlamenti shqyrton me kujdes politikëbërjen e qeverisë).</w:t>
            </w:r>
          </w:p>
          <w:p w:rsidR="00B43397" w:rsidRPr="00E01A0A" w:rsidRDefault="00B43397" w:rsidP="0069359D">
            <w:pPr>
              <w:spacing w:after="160" w:line="259" w:lineRule="auto"/>
              <w:jc w:val="center"/>
              <w:rPr>
                <w:rFonts w:ascii="Times New Roman" w:hAnsi="Times New Roman" w:cs="Times New Roman"/>
                <w:sz w:val="24"/>
                <w:szCs w:val="24"/>
              </w:rPr>
            </w:pP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F216EF" w:rsidRPr="00E01A0A" w:rsidRDefault="00D10E93" w:rsidP="0069359D">
            <w:pPr>
              <w:spacing w:after="120" w:line="240" w:lineRule="auto"/>
              <w:jc w:val="both"/>
              <w:rPr>
                <w:rFonts w:ascii="Times New Roman" w:hAnsi="Times New Roman" w:cs="Times New Roman"/>
                <w:sz w:val="24"/>
                <w:szCs w:val="24"/>
              </w:rPr>
            </w:pPr>
            <w:r w:rsidRPr="00E01A0A">
              <w:rPr>
                <w:rFonts w:ascii="Times New Roman" w:hAnsi="Times New Roman" w:cs="Times New Roman"/>
                <w:sz w:val="24"/>
                <w:szCs w:val="24"/>
              </w:rPr>
              <w:t>Instituti për Studime Politike</w:t>
            </w:r>
          </w:p>
        </w:tc>
        <w:tc>
          <w:tcPr>
            <w:tcW w:w="4610" w:type="dxa"/>
          </w:tcPr>
          <w:p w:rsidR="00F216EF" w:rsidRPr="00E01A0A" w:rsidRDefault="00581FF0" w:rsidP="0069359D">
            <w:pPr>
              <w:jc w:val="both"/>
              <w:textAlignment w:val="baseline"/>
              <w:rPr>
                <w:rFonts w:ascii="Times New Roman" w:hAnsi="Times New Roman" w:cs="Times New Roman"/>
                <w:sz w:val="24"/>
                <w:szCs w:val="24"/>
              </w:rPr>
            </w:pPr>
            <w:r w:rsidRPr="00E01A0A">
              <w:rPr>
                <w:rFonts w:ascii="Times New Roman" w:hAnsi="Times New Roman" w:cs="Times New Roman"/>
                <w:sz w:val="24"/>
                <w:szCs w:val="24"/>
              </w:rPr>
              <w:t xml:space="preserve">VI. Tek kategoria lidhur me Kuvendin (2.1) pjesa më e madhe e angazhimeve, masave etj; Komenti: ISP vlerëson se ato janë deklarative, nuk janë të matshme, nuk kanë objekt konkret dhe nuk kanë afate që janë në përputhje edhe me legjislacionin aktual. Për shembull, angazhimi “Rritja e pjesëmarrjes së OSHC-ve dhe grupeve të interesit në mbledhjet e </w:t>
            </w:r>
            <w:r w:rsidRPr="00E01A0A">
              <w:rPr>
                <w:rFonts w:ascii="Times New Roman" w:hAnsi="Times New Roman" w:cs="Times New Roman"/>
                <w:sz w:val="24"/>
                <w:szCs w:val="24"/>
              </w:rPr>
              <w:lastRenderedPageBreak/>
              <w:t>komisioneve parlamentare gjatë procesit ligjbërës dhe mbikëqyrës si dhe gjatë ushtrimit të funksionit zgjedhor të Kuvendit. (Afati i fundit: 2024-2030), është frazë e përdorur në të gjitha dokumentet strategjike të 15 viteve të fundit, por pa zbatim real dhe pa tregues real funksionaliteti. Rekomandim: Një propozim real do të ishte, për çdo ligj komisionet janë të detyruara të vlerësojnë rekomandimet dhe vlerësimet që vijnë nga shoqëria civile e regjistruar në Regjistrin e OJF në Kuvend dhe se kërkesat për seancë dëgjimore nuk refuzohen, dhe se rekomandimet e ardhura i bashkëngjiten dokumenteve të Kuvendit që shkojnë në seancën plenare, etj.</w:t>
            </w:r>
          </w:p>
        </w:tc>
        <w:tc>
          <w:tcPr>
            <w:tcW w:w="3240" w:type="dxa"/>
          </w:tcPr>
          <w:p w:rsidR="00F216EF" w:rsidRPr="00E01A0A" w:rsidRDefault="00581FF0" w:rsidP="0069359D">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E01A0A">
              <w:rPr>
                <w:rFonts w:ascii="Times New Roman" w:hAnsi="Times New Roman" w:cs="Times New Roman"/>
                <w:sz w:val="24"/>
                <w:szCs w:val="24"/>
              </w:rPr>
              <w:lastRenderedPageBreak/>
              <w:t xml:space="preserve">Refuzuar </w:t>
            </w:r>
          </w:p>
        </w:tc>
        <w:tc>
          <w:tcPr>
            <w:tcW w:w="4230" w:type="dxa"/>
            <w:shd w:val="clear" w:color="auto" w:fill="auto"/>
            <w:tcMar>
              <w:top w:w="100" w:type="dxa"/>
              <w:left w:w="100" w:type="dxa"/>
              <w:bottom w:w="100" w:type="dxa"/>
              <w:right w:w="100" w:type="dxa"/>
            </w:tcMar>
          </w:tcPr>
          <w:p w:rsidR="00581FF0" w:rsidRPr="00E01A0A" w:rsidRDefault="00B5732B" w:rsidP="0069359D">
            <w:p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rPr>
              <w:t>-</w:t>
            </w:r>
            <w:r w:rsidR="00581FF0" w:rsidRPr="00E01A0A">
              <w:rPr>
                <w:rFonts w:ascii="Times New Roman" w:hAnsi="Times New Roman" w:cs="Times New Roman"/>
                <w:sz w:val="24"/>
                <w:szCs w:val="24"/>
              </w:rPr>
              <w:t xml:space="preserve">Masat e planifikuara kanë afate të cilat janë në vazhdimësi dhe janë të matshme. PSh për seancat dëgjimore si indikatorë </w:t>
            </w:r>
            <w:r w:rsidR="008A2BC1" w:rsidRPr="00E01A0A">
              <w:rPr>
                <w:rFonts w:ascii="Times New Roman" w:hAnsi="Times New Roman" w:cs="Times New Roman"/>
                <w:sz w:val="24"/>
                <w:szCs w:val="24"/>
              </w:rPr>
              <w:t>është</w:t>
            </w:r>
            <w:r w:rsidR="00581FF0" w:rsidRPr="00E01A0A">
              <w:rPr>
                <w:rFonts w:ascii="Times New Roman" w:hAnsi="Times New Roman" w:cs="Times New Roman"/>
                <w:sz w:val="24"/>
                <w:szCs w:val="24"/>
              </w:rPr>
              <w:t xml:space="preserve"> numri i seancave të zhvilluara, numri i komenteve të su</w:t>
            </w:r>
            <w:r w:rsidR="008A2BC1" w:rsidRPr="00E01A0A">
              <w:rPr>
                <w:rFonts w:ascii="Times New Roman" w:hAnsi="Times New Roman" w:cs="Times New Roman"/>
                <w:sz w:val="24"/>
                <w:szCs w:val="24"/>
              </w:rPr>
              <w:t xml:space="preserve">gjeruara dhe atyre të pranuara, etj. </w:t>
            </w:r>
          </w:p>
          <w:p w:rsidR="00F216EF" w:rsidRPr="00E01A0A" w:rsidRDefault="00581FF0" w:rsidP="0069359D">
            <w:p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rPr>
              <w:t>Në nenin 36 të rregullores së Kuvendit përcaktohet shpreh</w:t>
            </w:r>
            <w:r w:rsidR="008A2BC1" w:rsidRPr="00E01A0A">
              <w:rPr>
                <w:rFonts w:ascii="Times New Roman" w:hAnsi="Times New Roman" w:cs="Times New Roman"/>
                <w:sz w:val="24"/>
                <w:szCs w:val="24"/>
              </w:rPr>
              <w:t>i</w:t>
            </w:r>
            <w:r w:rsidRPr="00E01A0A">
              <w:rPr>
                <w:rFonts w:ascii="Times New Roman" w:hAnsi="Times New Roman" w:cs="Times New Roman"/>
                <w:sz w:val="24"/>
                <w:szCs w:val="24"/>
              </w:rPr>
              <w:t xml:space="preserve">mimisht se </w:t>
            </w:r>
            <w:r w:rsidR="008A2BC1" w:rsidRPr="00E01A0A">
              <w:rPr>
                <w:rFonts w:ascii="Times New Roman" w:hAnsi="Times New Roman" w:cs="Times New Roman"/>
                <w:sz w:val="24"/>
                <w:szCs w:val="24"/>
              </w:rPr>
              <w:t xml:space="preserve">kur dhe si </w:t>
            </w:r>
            <w:r w:rsidR="008A2BC1" w:rsidRPr="00E01A0A">
              <w:rPr>
                <w:rFonts w:ascii="Times New Roman" w:hAnsi="Times New Roman" w:cs="Times New Roman"/>
                <w:sz w:val="24"/>
                <w:szCs w:val="24"/>
              </w:rPr>
              <w:lastRenderedPageBreak/>
              <w:t>zhvillohet një séancë dëgjimore.  Komi</w:t>
            </w:r>
            <w:r w:rsidRPr="00E01A0A">
              <w:rPr>
                <w:rFonts w:ascii="Times New Roman" w:hAnsi="Times New Roman" w:cs="Times New Roman"/>
                <w:sz w:val="24"/>
                <w:szCs w:val="24"/>
              </w:rPr>
              <w:t>s</w:t>
            </w:r>
            <w:r w:rsidR="008A2BC1" w:rsidRPr="00E01A0A">
              <w:rPr>
                <w:rFonts w:ascii="Times New Roman" w:hAnsi="Times New Roman" w:cs="Times New Roman"/>
                <w:sz w:val="24"/>
                <w:szCs w:val="24"/>
              </w:rPr>
              <w:t>o</w:t>
            </w:r>
            <w:r w:rsidRPr="00E01A0A">
              <w:rPr>
                <w:rFonts w:ascii="Times New Roman" w:hAnsi="Times New Roman" w:cs="Times New Roman"/>
                <w:sz w:val="24"/>
                <w:szCs w:val="24"/>
              </w:rPr>
              <w:t xml:space="preserve">ionet vlerësojnë cdo koment të ardhur nga OSHC-ët por në fund ngelet në vendimmarrjen e Komisionit nqs do të pranohen ose jo. </w:t>
            </w: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581FF0" w:rsidRPr="00E01A0A" w:rsidRDefault="00D10E93" w:rsidP="0069359D">
            <w:pPr>
              <w:spacing w:after="120" w:line="240" w:lineRule="auto"/>
              <w:jc w:val="both"/>
              <w:rPr>
                <w:rFonts w:ascii="Times New Roman" w:hAnsi="Times New Roman" w:cs="Times New Roman"/>
                <w:sz w:val="24"/>
                <w:szCs w:val="24"/>
              </w:rPr>
            </w:pPr>
            <w:r w:rsidRPr="00E01A0A">
              <w:rPr>
                <w:rFonts w:ascii="Times New Roman" w:hAnsi="Times New Roman" w:cs="Times New Roman"/>
                <w:sz w:val="24"/>
                <w:szCs w:val="24"/>
              </w:rPr>
              <w:lastRenderedPageBreak/>
              <w:t>Instituti për Studime Politike</w:t>
            </w:r>
          </w:p>
        </w:tc>
        <w:tc>
          <w:tcPr>
            <w:tcW w:w="4610" w:type="dxa"/>
          </w:tcPr>
          <w:p w:rsidR="00581FF0" w:rsidRPr="00E01A0A" w:rsidRDefault="00FC41BA" w:rsidP="0069359D">
            <w:pPr>
              <w:jc w:val="both"/>
              <w:textAlignment w:val="baseline"/>
              <w:rPr>
                <w:rFonts w:ascii="Times New Roman" w:hAnsi="Times New Roman" w:cs="Times New Roman"/>
                <w:sz w:val="24"/>
                <w:szCs w:val="24"/>
              </w:rPr>
            </w:pPr>
            <w:r w:rsidRPr="00E01A0A">
              <w:rPr>
                <w:rFonts w:ascii="Times New Roman" w:hAnsi="Times New Roman" w:cs="Times New Roman"/>
                <w:sz w:val="24"/>
                <w:szCs w:val="24"/>
              </w:rPr>
              <w:t xml:space="preserve">VII. Lidhur me angazhimin “Disponueshmëri më në kohë dhe më miqësore për përdoruesit e dokumentacionit zyrtar parlamentar për shoqërinë civile, median, palët e tjera të interesuara dhe </w:t>
            </w:r>
            <w:proofErr w:type="gramStart"/>
            <w:r w:rsidRPr="00E01A0A">
              <w:rPr>
                <w:rFonts w:ascii="Times New Roman" w:hAnsi="Times New Roman" w:cs="Times New Roman"/>
                <w:sz w:val="24"/>
                <w:szCs w:val="24"/>
              </w:rPr>
              <w:t>publikun..</w:t>
            </w:r>
            <w:proofErr w:type="gramEnd"/>
            <w:r w:rsidRPr="00E01A0A">
              <w:rPr>
                <w:rFonts w:ascii="Times New Roman" w:hAnsi="Times New Roman" w:cs="Times New Roman"/>
                <w:sz w:val="24"/>
                <w:szCs w:val="24"/>
              </w:rPr>
              <w:t xml:space="preserve">” Komenti: ISP vlerëson se janë gjithashtu fraza deklarative. Në praktikën tonë ne porositim dokumente në Kuvend, për të cilat paguajmë dhe të cilat do të duhet të ishin publike, si p.sh., CV e kandidatëve që konkurrojnë për poste të ndryshme të zgjedhur nga Kuvendi. Rekomandim: A mund të sigurohet që Kuvendi të japë akses të plotë në </w:t>
            </w:r>
            <w:r w:rsidRPr="00E01A0A">
              <w:rPr>
                <w:rFonts w:ascii="Times New Roman" w:hAnsi="Times New Roman" w:cs="Times New Roman"/>
                <w:sz w:val="24"/>
                <w:szCs w:val="24"/>
              </w:rPr>
              <w:lastRenderedPageBreak/>
              <w:t xml:space="preserve">dokumentacion për aktet që ndërmerr, CV e kandidatëve që zgjidhen në funksione prej Kuvendit, për stafin parlamentar, për nismat parlamentare, për vendimmarrjet në strukturat drejtuese, për procesin konsultues që zhvillohet etj? Kjo po do të ishte ndryshim cilësor për </w:t>
            </w:r>
            <w:r w:rsidR="005E12FB" w:rsidRPr="00E01A0A">
              <w:rPr>
                <w:rFonts w:ascii="Times New Roman" w:hAnsi="Times New Roman" w:cs="Times New Roman"/>
                <w:sz w:val="24"/>
                <w:szCs w:val="24"/>
              </w:rPr>
              <w:t xml:space="preserve">transparence. </w:t>
            </w:r>
          </w:p>
        </w:tc>
        <w:tc>
          <w:tcPr>
            <w:tcW w:w="3240" w:type="dxa"/>
          </w:tcPr>
          <w:p w:rsidR="00581FF0" w:rsidRPr="00E01A0A" w:rsidRDefault="002932EA" w:rsidP="0069359D">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E01A0A">
              <w:rPr>
                <w:rFonts w:ascii="Times New Roman" w:hAnsi="Times New Roman" w:cs="Times New Roman"/>
                <w:sz w:val="24"/>
                <w:szCs w:val="24"/>
              </w:rPr>
              <w:lastRenderedPageBreak/>
              <w:t xml:space="preserve">Pranohet </w:t>
            </w:r>
            <w:r w:rsidR="00FC41BA" w:rsidRPr="00E01A0A">
              <w:rPr>
                <w:rFonts w:ascii="Times New Roman" w:hAnsi="Times New Roman" w:cs="Times New Roman"/>
                <w:sz w:val="24"/>
                <w:szCs w:val="24"/>
              </w:rPr>
              <w:t>pjesërisht</w:t>
            </w:r>
          </w:p>
        </w:tc>
        <w:tc>
          <w:tcPr>
            <w:tcW w:w="4230" w:type="dxa"/>
            <w:shd w:val="clear" w:color="auto" w:fill="auto"/>
            <w:tcMar>
              <w:top w:w="100" w:type="dxa"/>
              <w:left w:w="100" w:type="dxa"/>
              <w:bottom w:w="100" w:type="dxa"/>
              <w:right w:w="100" w:type="dxa"/>
            </w:tcMar>
          </w:tcPr>
          <w:p w:rsidR="00581FF0" w:rsidRPr="00E01A0A" w:rsidRDefault="00B5732B" w:rsidP="0069359D">
            <w:p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rPr>
              <w:t>-</w:t>
            </w:r>
            <w:r w:rsidR="00FC41BA" w:rsidRPr="00E01A0A">
              <w:rPr>
                <w:rFonts w:ascii="Times New Roman" w:hAnsi="Times New Roman" w:cs="Times New Roman"/>
                <w:sz w:val="24"/>
                <w:szCs w:val="24"/>
              </w:rPr>
              <w:t xml:space="preserve">Planifikimi i kësaj mase ka si qëllim pikërisht rritjen e transparencës së Kuvendit sa i përket </w:t>
            </w:r>
            <w:r w:rsidR="00FC41BA" w:rsidRPr="00E01A0A">
              <w:rPr>
                <w:rFonts w:ascii="Times New Roman" w:hAnsi="Times New Roman" w:cs="Times New Roman"/>
                <w:i/>
                <w:sz w:val="24"/>
                <w:szCs w:val="24"/>
                <w:u w:val="single"/>
              </w:rPr>
              <w:t>dokumentacionit zyrtar parlamentar</w:t>
            </w:r>
            <w:r w:rsidR="00FC41BA" w:rsidRPr="00E01A0A">
              <w:rPr>
                <w:rFonts w:ascii="Times New Roman" w:hAnsi="Times New Roman" w:cs="Times New Roman"/>
                <w:sz w:val="24"/>
                <w:szCs w:val="24"/>
              </w:rPr>
              <w:t xml:space="preserve"> dhe CV e kandidatëve që konkurojnë për poste të ndryshme nuk përbëjnë dokumentacion parlamentar madje i nështrohen kufizimeve të ligjit të mbrojtjes së të dhënave personale. Për stafin publikohen të dhëna të përmbledhura mbi arsimimin dhe specializimet e tyre. Për nismat parlamentare publikohen njoftimet tek këndi i lajmeve. </w:t>
            </w: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5E12FB" w:rsidRPr="00E01A0A" w:rsidRDefault="00D10E93" w:rsidP="0069359D">
            <w:pPr>
              <w:spacing w:after="120" w:line="240" w:lineRule="auto"/>
              <w:jc w:val="both"/>
              <w:rPr>
                <w:rFonts w:ascii="Times New Roman" w:hAnsi="Times New Roman" w:cs="Times New Roman"/>
                <w:sz w:val="24"/>
                <w:szCs w:val="24"/>
              </w:rPr>
            </w:pPr>
            <w:r w:rsidRPr="00E01A0A">
              <w:rPr>
                <w:rFonts w:ascii="Times New Roman" w:hAnsi="Times New Roman" w:cs="Times New Roman"/>
                <w:sz w:val="24"/>
                <w:szCs w:val="24"/>
              </w:rPr>
              <w:t>Instituti për Studime Politike</w:t>
            </w:r>
          </w:p>
        </w:tc>
        <w:tc>
          <w:tcPr>
            <w:tcW w:w="4610" w:type="dxa"/>
          </w:tcPr>
          <w:p w:rsidR="005E12FB" w:rsidRPr="00E01A0A" w:rsidRDefault="005E12FB" w:rsidP="0069359D">
            <w:pPr>
              <w:jc w:val="both"/>
              <w:textAlignment w:val="baseline"/>
              <w:rPr>
                <w:rFonts w:ascii="Times New Roman" w:hAnsi="Times New Roman" w:cs="Times New Roman"/>
                <w:sz w:val="24"/>
                <w:szCs w:val="24"/>
              </w:rPr>
            </w:pPr>
            <w:r w:rsidRPr="00E01A0A">
              <w:rPr>
                <w:rFonts w:ascii="Times New Roman" w:hAnsi="Times New Roman" w:cs="Times New Roman"/>
                <w:sz w:val="24"/>
                <w:szCs w:val="24"/>
              </w:rPr>
              <w:t>VIII. Lidhur me angazhimin “Organizimi i proceseve të zgjedhjeve/emërimeve të kryetarëve dhe anëtarëve të institucioneve të pavarura sipas afateve ligjore dhe vendeve vakante të krijuara, pa vonesa dhe duke siguruar zbatimin e parimeve të paanshmërisë, pavarësisë dhe transparencës. Afati: 2024-2030”. Komenti: ISP vlerëson se duket utopike dhe deklarative. Kuvendi aktual sapo mbylli vitin kalendarik me 22 vende vakante, disa prej të cilave prej më shumë se një viti (Avokati i Popullit, etj). Si do të jetësohet ky premtim? Mungojnë mekanizmat e garancisë I</w:t>
            </w:r>
            <w:r w:rsidR="00DF7CB9" w:rsidRPr="00E01A0A">
              <w:rPr>
                <w:rFonts w:ascii="Times New Roman" w:hAnsi="Times New Roman" w:cs="Times New Roman"/>
                <w:sz w:val="24"/>
                <w:szCs w:val="24"/>
              </w:rPr>
              <w:t xml:space="preserve">igjore. </w:t>
            </w:r>
          </w:p>
        </w:tc>
        <w:tc>
          <w:tcPr>
            <w:tcW w:w="3240" w:type="dxa"/>
          </w:tcPr>
          <w:p w:rsidR="005E12FB" w:rsidRPr="00E01A0A" w:rsidRDefault="005E12FB" w:rsidP="0069359D">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E01A0A">
              <w:rPr>
                <w:rFonts w:ascii="Times New Roman" w:hAnsi="Times New Roman" w:cs="Times New Roman"/>
                <w:sz w:val="24"/>
                <w:szCs w:val="24"/>
              </w:rPr>
              <w:t xml:space="preserve">Refuzohet </w:t>
            </w:r>
          </w:p>
        </w:tc>
        <w:tc>
          <w:tcPr>
            <w:tcW w:w="4230" w:type="dxa"/>
            <w:shd w:val="clear" w:color="auto" w:fill="auto"/>
            <w:tcMar>
              <w:top w:w="100" w:type="dxa"/>
              <w:left w:w="100" w:type="dxa"/>
              <w:bottom w:w="100" w:type="dxa"/>
              <w:right w:w="100" w:type="dxa"/>
            </w:tcMar>
          </w:tcPr>
          <w:p w:rsidR="005E12FB" w:rsidRPr="00E01A0A" w:rsidRDefault="00B5732B" w:rsidP="0069359D">
            <w:p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rPr>
              <w:t>-</w:t>
            </w:r>
            <w:r w:rsidR="00DF7CB9" w:rsidRPr="00E01A0A">
              <w:rPr>
                <w:rFonts w:ascii="Times New Roman" w:hAnsi="Times New Roman" w:cs="Times New Roman"/>
                <w:sz w:val="24"/>
                <w:szCs w:val="24"/>
              </w:rPr>
              <w:t xml:space="preserve">Angazhimi 2024-2030 ka të bëjë me faktin se është një masë periodike dhe ka indikatorët e saj të matshëm. </w:t>
            </w: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5E12FB" w:rsidRPr="00E01A0A" w:rsidRDefault="00D10E93" w:rsidP="0069359D">
            <w:pPr>
              <w:spacing w:after="120" w:line="240" w:lineRule="auto"/>
              <w:jc w:val="both"/>
              <w:rPr>
                <w:rFonts w:ascii="Times New Roman" w:hAnsi="Times New Roman" w:cs="Times New Roman"/>
                <w:sz w:val="24"/>
                <w:szCs w:val="24"/>
              </w:rPr>
            </w:pPr>
            <w:r w:rsidRPr="00E01A0A">
              <w:rPr>
                <w:rFonts w:ascii="Times New Roman" w:hAnsi="Times New Roman" w:cs="Times New Roman"/>
                <w:sz w:val="24"/>
                <w:szCs w:val="24"/>
              </w:rPr>
              <w:t>Instituti për Studime Politike</w:t>
            </w:r>
          </w:p>
        </w:tc>
        <w:tc>
          <w:tcPr>
            <w:tcW w:w="4610" w:type="dxa"/>
          </w:tcPr>
          <w:p w:rsidR="005E12FB" w:rsidRPr="00E01A0A" w:rsidRDefault="005E12FB" w:rsidP="0069359D">
            <w:pPr>
              <w:jc w:val="both"/>
              <w:textAlignment w:val="baseline"/>
              <w:rPr>
                <w:rFonts w:ascii="Times New Roman" w:hAnsi="Times New Roman" w:cs="Times New Roman"/>
                <w:sz w:val="24"/>
                <w:szCs w:val="24"/>
                <w:lang w:val="it-IT"/>
              </w:rPr>
            </w:pPr>
            <w:r w:rsidRPr="00E01A0A">
              <w:rPr>
                <w:rFonts w:ascii="Times New Roman" w:hAnsi="Times New Roman" w:cs="Times New Roman"/>
                <w:sz w:val="24"/>
                <w:szCs w:val="24"/>
              </w:rPr>
              <w:t xml:space="preserve">IX. Lidhur me disa masa/angazhime si “Përmirësimi i rolit mbikëqyrës të Kuvendit mbi ekzekutivin duke shtuar përdorimin e instrumenteve të kontrollit nga deputetët (pyetje, interpelanca, seanca dëgjimore në komisionet parlamentare, mocione, vizita, etj.) si dhe duke rritur aktivitetet e </w:t>
            </w:r>
            <w:r w:rsidRPr="00E01A0A">
              <w:rPr>
                <w:rFonts w:ascii="Times New Roman" w:hAnsi="Times New Roman" w:cs="Times New Roman"/>
                <w:sz w:val="24"/>
                <w:szCs w:val="24"/>
              </w:rPr>
              <w:lastRenderedPageBreak/>
              <w:t xml:space="preserve">nënkomisioneve parlamentare. Afati: 2023-2030” apo “Ushtrimi sistematik i funksionit mbikëqyrës të Kuvendit ndaj veprimtarisë së qeverisë, lidhur me zbatimin e ligjeve dhe politikave, nëpërmjet: Përdorimit më intensiv të interpelancave, pyetjeve, mocioneve për debat në seancat plenare, seancave dëgjimore në komisionet parlamentare, kërkesave për informacion, etj. </w:t>
            </w:r>
            <w:r w:rsidRPr="00E01A0A">
              <w:rPr>
                <w:rFonts w:ascii="Times New Roman" w:hAnsi="Times New Roman" w:cs="Times New Roman"/>
                <w:sz w:val="24"/>
                <w:szCs w:val="24"/>
                <w:lang w:val="it-IT"/>
              </w:rPr>
              <w:t>(Afati: 2024-2030)” apo “Rritja e përdorimit të instrumenteve të kontrollit nga deputetët (pyetje, interpelanca, seanca, mocione, vizita, etj.) (Afati: 2024-2030)” Komenti: ISP vlerëson se në thelb janë të njëjta, përsëritje dhe duke se janë vendosur për të rritur numrin formal tëngazhimeve/masave. Për më tepër, kjo ndërvaret nga vullneti i vetë deputetëve dhe nuk mund të realizohet në këtë formë të paraqitur, ndërkohë që koncepti “komisione hetimore” që është më i ulët në hirarki sesa “mocione” nuk është përfshirë ne asnjërën kategori. Termi “komisione parlamentare” nuk do të thotë “komisione hetimore”, janë dy koncepte dhe emërtesa të ndryshme</w:t>
            </w:r>
          </w:p>
        </w:tc>
        <w:tc>
          <w:tcPr>
            <w:tcW w:w="3240" w:type="dxa"/>
          </w:tcPr>
          <w:p w:rsidR="005E12FB" w:rsidRPr="00E01A0A" w:rsidRDefault="00EE5FC1" w:rsidP="0069359D">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E01A0A">
              <w:rPr>
                <w:rFonts w:ascii="Times New Roman" w:hAnsi="Times New Roman" w:cs="Times New Roman"/>
                <w:sz w:val="24"/>
                <w:szCs w:val="24"/>
              </w:rPr>
              <w:lastRenderedPageBreak/>
              <w:t xml:space="preserve">Pranohet </w:t>
            </w:r>
            <w:r w:rsidR="00DF7CB9" w:rsidRPr="00E01A0A">
              <w:rPr>
                <w:rFonts w:ascii="Times New Roman" w:hAnsi="Times New Roman" w:cs="Times New Roman"/>
                <w:sz w:val="24"/>
                <w:szCs w:val="24"/>
              </w:rPr>
              <w:t>pjesërisht</w:t>
            </w:r>
          </w:p>
        </w:tc>
        <w:tc>
          <w:tcPr>
            <w:tcW w:w="4230" w:type="dxa"/>
            <w:shd w:val="clear" w:color="auto" w:fill="auto"/>
            <w:tcMar>
              <w:top w:w="100" w:type="dxa"/>
              <w:left w:w="100" w:type="dxa"/>
              <w:bottom w:w="100" w:type="dxa"/>
              <w:right w:w="100" w:type="dxa"/>
            </w:tcMar>
          </w:tcPr>
          <w:p w:rsidR="00BF1DB0" w:rsidRPr="00E01A0A" w:rsidRDefault="00DF7CB9" w:rsidP="0069359D">
            <w:p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rPr>
              <w:t xml:space="preserve">Angazhimi 2024-2030 ka të bëjë me faktin se është një masë periodike. </w:t>
            </w:r>
          </w:p>
          <w:p w:rsidR="005E12FB" w:rsidRPr="00E01A0A" w:rsidRDefault="00DF7CB9" w:rsidP="0069359D">
            <w:p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rPr>
              <w:t xml:space="preserve">Instrumentat e kontrollit parlamentar përcaktohen nga rregullorja (pavarësisht se nuk janë përmendur të gjitha pasi është termi </w:t>
            </w:r>
            <w:r w:rsidR="00B83716" w:rsidRPr="00E01A0A">
              <w:rPr>
                <w:rFonts w:ascii="Times New Roman" w:hAnsi="Times New Roman" w:cs="Times New Roman"/>
                <w:sz w:val="24"/>
                <w:szCs w:val="24"/>
              </w:rPr>
              <w:t>“</w:t>
            </w:r>
            <w:r w:rsidRPr="00E01A0A">
              <w:rPr>
                <w:rFonts w:ascii="Times New Roman" w:hAnsi="Times New Roman" w:cs="Times New Roman"/>
                <w:sz w:val="24"/>
                <w:szCs w:val="24"/>
              </w:rPr>
              <w:t>etj</w:t>
            </w:r>
            <w:r w:rsidR="00B83716" w:rsidRPr="00E01A0A">
              <w:rPr>
                <w:rFonts w:ascii="Times New Roman" w:hAnsi="Times New Roman" w:cs="Times New Roman"/>
                <w:sz w:val="24"/>
                <w:szCs w:val="24"/>
              </w:rPr>
              <w:t xml:space="preserve">” </w:t>
            </w:r>
            <w:r w:rsidRPr="00E01A0A">
              <w:rPr>
                <w:rFonts w:ascii="Times New Roman" w:hAnsi="Times New Roman" w:cs="Times New Roman"/>
                <w:sz w:val="24"/>
                <w:szCs w:val="24"/>
              </w:rPr>
              <w:t xml:space="preserve">ku përshihen </w:t>
            </w:r>
            <w:r w:rsidR="00B83716" w:rsidRPr="00E01A0A">
              <w:rPr>
                <w:rFonts w:ascii="Times New Roman" w:hAnsi="Times New Roman" w:cs="Times New Roman"/>
                <w:sz w:val="24"/>
                <w:szCs w:val="24"/>
              </w:rPr>
              <w:t xml:space="preserve">patjetër </w:t>
            </w:r>
            <w:r w:rsidRPr="00E01A0A">
              <w:rPr>
                <w:rFonts w:ascii="Times New Roman" w:hAnsi="Times New Roman" w:cs="Times New Roman"/>
                <w:sz w:val="24"/>
                <w:szCs w:val="24"/>
              </w:rPr>
              <w:t>dhe komisionet hetimore)</w:t>
            </w:r>
            <w:r w:rsidR="00B83716" w:rsidRPr="00E01A0A">
              <w:rPr>
                <w:rFonts w:ascii="Times New Roman" w:hAnsi="Times New Roman" w:cs="Times New Roman"/>
                <w:sz w:val="24"/>
                <w:szCs w:val="24"/>
              </w:rPr>
              <w:t xml:space="preserve"> si të tilla dhe pse </w:t>
            </w:r>
            <w:r w:rsidR="00B83716" w:rsidRPr="00E01A0A">
              <w:rPr>
                <w:rFonts w:ascii="Times New Roman" w:hAnsi="Times New Roman" w:cs="Times New Roman"/>
                <w:sz w:val="24"/>
                <w:szCs w:val="24"/>
              </w:rPr>
              <w:lastRenderedPageBreak/>
              <w:t>nuk mund të</w:t>
            </w:r>
            <w:r w:rsidRPr="00E01A0A">
              <w:rPr>
                <w:rFonts w:ascii="Times New Roman" w:hAnsi="Times New Roman" w:cs="Times New Roman"/>
                <w:sz w:val="24"/>
                <w:szCs w:val="24"/>
              </w:rPr>
              <w:t xml:space="preserve"> kemi një planifikim në shifra</w:t>
            </w:r>
            <w:r w:rsidR="00B83716" w:rsidRPr="00E01A0A">
              <w:rPr>
                <w:rFonts w:ascii="Times New Roman" w:hAnsi="Times New Roman" w:cs="Times New Roman"/>
                <w:sz w:val="24"/>
                <w:szCs w:val="24"/>
              </w:rPr>
              <w:t xml:space="preserve"> të përdorimit të tyre</w:t>
            </w:r>
            <w:r w:rsidRPr="00E01A0A">
              <w:rPr>
                <w:rFonts w:ascii="Times New Roman" w:hAnsi="Times New Roman" w:cs="Times New Roman"/>
                <w:sz w:val="24"/>
                <w:szCs w:val="24"/>
              </w:rPr>
              <w:t xml:space="preserve"> duke qenë se ato janë instrumenta që </w:t>
            </w:r>
            <w:r w:rsidR="00B83716" w:rsidRPr="00E01A0A">
              <w:rPr>
                <w:rFonts w:ascii="Times New Roman" w:hAnsi="Times New Roman" w:cs="Times New Roman"/>
                <w:sz w:val="24"/>
                <w:szCs w:val="24"/>
              </w:rPr>
              <w:t xml:space="preserve">mund të </w:t>
            </w:r>
            <w:r w:rsidRPr="00E01A0A">
              <w:rPr>
                <w:rFonts w:ascii="Times New Roman" w:hAnsi="Times New Roman" w:cs="Times New Roman"/>
                <w:sz w:val="24"/>
                <w:szCs w:val="24"/>
              </w:rPr>
              <w:t>përdoren nga deputetë</w:t>
            </w:r>
            <w:r w:rsidR="00BF1DB0" w:rsidRPr="00E01A0A">
              <w:rPr>
                <w:rFonts w:ascii="Times New Roman" w:hAnsi="Times New Roman" w:cs="Times New Roman"/>
                <w:sz w:val="24"/>
                <w:szCs w:val="24"/>
              </w:rPr>
              <w:t>t</w:t>
            </w:r>
            <w:r w:rsidR="00B83716" w:rsidRPr="00E01A0A">
              <w:rPr>
                <w:rFonts w:ascii="Times New Roman" w:hAnsi="Times New Roman" w:cs="Times New Roman"/>
                <w:sz w:val="24"/>
                <w:szCs w:val="24"/>
              </w:rPr>
              <w:t xml:space="preserve">. Ju bëjmë me dije se </w:t>
            </w:r>
            <w:r w:rsidR="00BF1DB0" w:rsidRPr="00E01A0A">
              <w:rPr>
                <w:rFonts w:ascii="Times New Roman" w:hAnsi="Times New Roman" w:cs="Times New Roman"/>
                <w:sz w:val="24"/>
                <w:szCs w:val="24"/>
              </w:rPr>
              <w:t>b</w:t>
            </w:r>
            <w:r w:rsidRPr="00E01A0A">
              <w:rPr>
                <w:rFonts w:ascii="Times New Roman" w:hAnsi="Times New Roman" w:cs="Times New Roman"/>
                <w:sz w:val="24"/>
                <w:szCs w:val="24"/>
              </w:rPr>
              <w:t>azuar në statistikat e Kuvendit rezulton se përgjatë viteve 2019-2022, instrumenti më i përdorur nga deputetët për kontroll parlamentar ishte ai “kërkesave me shkrim”</w:t>
            </w:r>
            <w:r w:rsidR="00606D2A" w:rsidRPr="00E01A0A">
              <w:rPr>
                <w:rFonts w:ascii="Times New Roman" w:hAnsi="Times New Roman" w:cs="Times New Roman"/>
                <w:sz w:val="24"/>
                <w:szCs w:val="24"/>
              </w:rPr>
              <w:t xml:space="preserve"> dhe “interpelancave të kërkuara”</w:t>
            </w:r>
            <w:r w:rsidRPr="00E01A0A">
              <w:rPr>
                <w:rFonts w:ascii="Times New Roman" w:hAnsi="Times New Roman" w:cs="Times New Roman"/>
                <w:sz w:val="24"/>
                <w:szCs w:val="24"/>
              </w:rPr>
              <w:t xml:space="preserve"> drejtuar qeverisë dhe /apo institucioneve të saj të </w:t>
            </w:r>
            <w:r w:rsidR="00606D2A" w:rsidRPr="00E01A0A">
              <w:rPr>
                <w:rFonts w:ascii="Times New Roman" w:hAnsi="Times New Roman" w:cs="Times New Roman"/>
                <w:sz w:val="24"/>
                <w:szCs w:val="24"/>
              </w:rPr>
              <w:t>varësisë</w:t>
            </w:r>
            <w:r w:rsidRPr="00E01A0A">
              <w:rPr>
                <w:rFonts w:ascii="Times New Roman" w:hAnsi="Times New Roman" w:cs="Times New Roman"/>
                <w:sz w:val="24"/>
                <w:szCs w:val="24"/>
              </w:rPr>
              <w:t>.</w:t>
            </w:r>
            <w:r w:rsidR="00B83716" w:rsidRPr="00E01A0A">
              <w:rPr>
                <w:rFonts w:ascii="Times New Roman" w:hAnsi="Times New Roman" w:cs="Times New Roman"/>
                <w:sz w:val="24"/>
                <w:szCs w:val="24"/>
              </w:rPr>
              <w:t xml:space="preserve"> </w:t>
            </w:r>
            <w:r w:rsidRPr="00E01A0A">
              <w:rPr>
                <w:rFonts w:ascii="Times New Roman" w:hAnsi="Times New Roman" w:cs="Times New Roman"/>
                <w:sz w:val="24"/>
                <w:szCs w:val="24"/>
              </w:rPr>
              <w:t xml:space="preserve"> </w:t>
            </w:r>
            <w:r w:rsidR="00B83716" w:rsidRPr="00E01A0A">
              <w:rPr>
                <w:rFonts w:ascii="Times New Roman" w:hAnsi="Times New Roman" w:cs="Times New Roman"/>
                <w:sz w:val="24"/>
                <w:szCs w:val="24"/>
              </w:rPr>
              <w:t xml:space="preserve">Në cdo legjislaturë të re si dhe gjatë sesioneve informuese, stafi i Kuvendit ju bënë me dije deputetëve, llojin dhe mënyrën e përdorimit të tyre. </w:t>
            </w: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5E12FB" w:rsidRPr="00E01A0A" w:rsidRDefault="00D10E93" w:rsidP="0069359D">
            <w:pPr>
              <w:spacing w:after="120" w:line="240" w:lineRule="auto"/>
              <w:jc w:val="both"/>
              <w:rPr>
                <w:rFonts w:ascii="Times New Roman" w:hAnsi="Times New Roman" w:cs="Times New Roman"/>
                <w:sz w:val="24"/>
                <w:szCs w:val="24"/>
              </w:rPr>
            </w:pPr>
            <w:r w:rsidRPr="00E01A0A">
              <w:rPr>
                <w:rFonts w:ascii="Times New Roman" w:hAnsi="Times New Roman" w:cs="Times New Roman"/>
                <w:sz w:val="24"/>
                <w:szCs w:val="24"/>
              </w:rPr>
              <w:lastRenderedPageBreak/>
              <w:t>Instituti për Studime Politike</w:t>
            </w:r>
          </w:p>
        </w:tc>
        <w:tc>
          <w:tcPr>
            <w:tcW w:w="4610" w:type="dxa"/>
          </w:tcPr>
          <w:p w:rsidR="005E12FB" w:rsidRPr="00E01A0A" w:rsidRDefault="005E12FB" w:rsidP="0069359D">
            <w:pPr>
              <w:jc w:val="both"/>
              <w:textAlignment w:val="baseline"/>
              <w:rPr>
                <w:rFonts w:ascii="Times New Roman" w:hAnsi="Times New Roman" w:cs="Times New Roman"/>
                <w:sz w:val="24"/>
                <w:szCs w:val="24"/>
              </w:rPr>
            </w:pPr>
            <w:r w:rsidRPr="00E01A0A">
              <w:rPr>
                <w:rFonts w:ascii="Times New Roman" w:hAnsi="Times New Roman" w:cs="Times New Roman"/>
                <w:sz w:val="24"/>
                <w:szCs w:val="24"/>
              </w:rPr>
              <w:t xml:space="preserve">X. Lidhur me angazhimin tek “integriteti”, “për luftimin e ryshfetit të zyrtarëve të huaj publikë nëpërmjet </w:t>
            </w:r>
            <w:proofErr w:type="gramStart"/>
            <w:r w:rsidRPr="00E01A0A">
              <w:rPr>
                <w:rFonts w:ascii="Times New Roman" w:hAnsi="Times New Roman" w:cs="Times New Roman"/>
                <w:sz w:val="24"/>
                <w:szCs w:val="24"/>
              </w:rPr>
              <w:t>ratifikimit..</w:t>
            </w:r>
            <w:proofErr w:type="gramEnd"/>
            <w:r w:rsidRPr="00E01A0A">
              <w:rPr>
                <w:rFonts w:ascii="Times New Roman" w:hAnsi="Times New Roman" w:cs="Times New Roman"/>
                <w:sz w:val="24"/>
                <w:szCs w:val="24"/>
              </w:rPr>
              <w:t xml:space="preserve">” Komenti: ISP vlerëson se nuk është prioritet dhe problem </w:t>
            </w:r>
            <w:r w:rsidRPr="00E01A0A">
              <w:rPr>
                <w:rFonts w:ascii="Times New Roman" w:hAnsi="Times New Roman" w:cs="Times New Roman"/>
                <w:sz w:val="24"/>
                <w:szCs w:val="24"/>
              </w:rPr>
              <w:lastRenderedPageBreak/>
              <w:t>kryesor për ne, - problem kryesor nuk janë zyrtarët e huaj, por konflikti i interesit në vendimmarrje nga deputetët dhe mungesa e një mekanizmi të qartë raportues, parandalues, monitorues dhe reagues në këto raste</w:t>
            </w:r>
          </w:p>
        </w:tc>
        <w:tc>
          <w:tcPr>
            <w:tcW w:w="3240" w:type="dxa"/>
          </w:tcPr>
          <w:p w:rsidR="005E12FB" w:rsidRPr="00E01A0A" w:rsidRDefault="005E12FB" w:rsidP="0069359D">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E01A0A">
              <w:rPr>
                <w:rFonts w:ascii="Times New Roman" w:hAnsi="Times New Roman" w:cs="Times New Roman"/>
                <w:sz w:val="24"/>
                <w:szCs w:val="24"/>
              </w:rPr>
              <w:lastRenderedPageBreak/>
              <w:t xml:space="preserve">Refuzuar </w:t>
            </w:r>
          </w:p>
        </w:tc>
        <w:tc>
          <w:tcPr>
            <w:tcW w:w="4230" w:type="dxa"/>
            <w:shd w:val="clear" w:color="auto" w:fill="auto"/>
            <w:tcMar>
              <w:top w:w="100" w:type="dxa"/>
              <w:left w:w="100" w:type="dxa"/>
              <w:bottom w:w="100" w:type="dxa"/>
              <w:right w:w="100" w:type="dxa"/>
            </w:tcMar>
          </w:tcPr>
          <w:p w:rsidR="005E12FB" w:rsidRPr="00E01A0A" w:rsidRDefault="005E12FB" w:rsidP="0069359D">
            <w:p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rPr>
              <w:t>Masa e planifikuar është evindentuar si mangësi në rap</w:t>
            </w:r>
            <w:r w:rsidR="00777DAE" w:rsidRPr="00E01A0A">
              <w:rPr>
                <w:rFonts w:ascii="Times New Roman" w:hAnsi="Times New Roman" w:cs="Times New Roman"/>
                <w:sz w:val="24"/>
                <w:szCs w:val="24"/>
              </w:rPr>
              <w:t xml:space="preserve">ort me legjislacionin europian / Ratifikimi i Konventës së OECD-së për Luftën kundër ryshfetit të zyrtarëve publikë të huaj në transaksionet </w:t>
            </w:r>
            <w:r w:rsidR="00777DAE" w:rsidRPr="00E01A0A">
              <w:rPr>
                <w:rFonts w:ascii="Times New Roman" w:hAnsi="Times New Roman" w:cs="Times New Roman"/>
                <w:sz w:val="24"/>
                <w:szCs w:val="24"/>
              </w:rPr>
              <w:lastRenderedPageBreak/>
              <w:t>e biznesit ndërkombëtar të 17 dhjetorit 1997.</w:t>
            </w: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5E12FB" w:rsidRPr="00E01A0A" w:rsidRDefault="00D10E93" w:rsidP="0069359D">
            <w:pPr>
              <w:spacing w:after="120" w:line="240" w:lineRule="auto"/>
              <w:jc w:val="both"/>
              <w:rPr>
                <w:rFonts w:ascii="Times New Roman" w:hAnsi="Times New Roman" w:cs="Times New Roman"/>
                <w:sz w:val="24"/>
                <w:szCs w:val="24"/>
              </w:rPr>
            </w:pPr>
            <w:r w:rsidRPr="00E01A0A">
              <w:rPr>
                <w:rFonts w:ascii="Times New Roman" w:hAnsi="Times New Roman" w:cs="Times New Roman"/>
                <w:sz w:val="24"/>
                <w:szCs w:val="24"/>
              </w:rPr>
              <w:lastRenderedPageBreak/>
              <w:t>Instituti për Studime Politike</w:t>
            </w:r>
          </w:p>
        </w:tc>
        <w:tc>
          <w:tcPr>
            <w:tcW w:w="4610" w:type="dxa"/>
          </w:tcPr>
          <w:p w:rsidR="005E12FB" w:rsidRPr="00E01A0A" w:rsidRDefault="005E12FB" w:rsidP="0069359D">
            <w:pPr>
              <w:jc w:val="both"/>
              <w:textAlignment w:val="baseline"/>
              <w:rPr>
                <w:rFonts w:ascii="Times New Roman" w:hAnsi="Times New Roman" w:cs="Times New Roman"/>
                <w:sz w:val="24"/>
                <w:szCs w:val="24"/>
              </w:rPr>
            </w:pPr>
            <w:r w:rsidRPr="00E01A0A">
              <w:rPr>
                <w:rFonts w:ascii="Times New Roman" w:hAnsi="Times New Roman" w:cs="Times New Roman"/>
                <w:sz w:val="24"/>
                <w:szCs w:val="24"/>
              </w:rPr>
              <w:t>XI. Lidhur me propozimin “Raporti vjetor i Avokatit te Popullit publikohet para se të prezantohet në Kuvend” Komenti: ISP vlerëson se jetësimi i tij nuk sjell ndonjë ndryshim cilësor. Shumica e institucioneve publikojnë raportet para se të diskutohen në Kuvend dhe nuk reflektojnë ndonjë variant final mbi kritikat apo diskutimet që shkarkojnë këto raporte në komisione ose në seancat plenare. Pra nuk janë raporte ndëraktive, por formale, rutinore, statistikore dhe si të tilla, nuk e përmbushin pritshmërinë publike dhe as nevojat e parlamentit për të mbikëqyrur me cilësi aktivitetin e institucioneve të pavarura.</w:t>
            </w:r>
          </w:p>
        </w:tc>
        <w:tc>
          <w:tcPr>
            <w:tcW w:w="3240" w:type="dxa"/>
          </w:tcPr>
          <w:p w:rsidR="005E12FB" w:rsidRPr="00E01A0A" w:rsidRDefault="005E12FB" w:rsidP="0069359D">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E01A0A">
              <w:rPr>
                <w:rFonts w:ascii="Times New Roman" w:hAnsi="Times New Roman" w:cs="Times New Roman"/>
                <w:sz w:val="24"/>
                <w:szCs w:val="24"/>
              </w:rPr>
              <w:t xml:space="preserve">Refuzuar </w:t>
            </w:r>
          </w:p>
        </w:tc>
        <w:tc>
          <w:tcPr>
            <w:tcW w:w="4230" w:type="dxa"/>
            <w:shd w:val="clear" w:color="auto" w:fill="auto"/>
            <w:tcMar>
              <w:top w:w="100" w:type="dxa"/>
              <w:left w:w="100" w:type="dxa"/>
              <w:bottom w:w="100" w:type="dxa"/>
              <w:right w:w="100" w:type="dxa"/>
            </w:tcMar>
          </w:tcPr>
          <w:p w:rsidR="005E12FB" w:rsidRPr="00E01A0A" w:rsidRDefault="00B5732B" w:rsidP="0069359D">
            <w:p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rPr>
              <w:t>-</w:t>
            </w:r>
            <w:r w:rsidR="005E12FB" w:rsidRPr="00E01A0A">
              <w:rPr>
                <w:rFonts w:ascii="Times New Roman" w:hAnsi="Times New Roman" w:cs="Times New Roman"/>
                <w:sz w:val="24"/>
                <w:szCs w:val="24"/>
              </w:rPr>
              <w:t xml:space="preserve">Masa e planifikuar është evindentuar si mangësi në raport nga Komisioni Evropian, e cila do të adresohet nga </w:t>
            </w:r>
            <w:r w:rsidR="00606D2A" w:rsidRPr="00E01A0A">
              <w:rPr>
                <w:rFonts w:ascii="Times New Roman" w:hAnsi="Times New Roman" w:cs="Times New Roman"/>
                <w:sz w:val="24"/>
                <w:szCs w:val="24"/>
              </w:rPr>
              <w:t>Kuvendi.</w:t>
            </w: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241727" w:rsidRPr="00E01A0A" w:rsidRDefault="00187FCA" w:rsidP="0069359D">
            <w:pPr>
              <w:spacing w:after="120" w:line="240" w:lineRule="auto"/>
              <w:jc w:val="both"/>
              <w:rPr>
                <w:rFonts w:ascii="Times New Roman" w:hAnsi="Times New Roman" w:cs="Times New Roman"/>
                <w:sz w:val="24"/>
                <w:szCs w:val="24"/>
              </w:rPr>
            </w:pPr>
            <w:r w:rsidRPr="00E01A0A">
              <w:rPr>
                <w:rFonts w:ascii="Times New Roman" w:hAnsi="Times New Roman" w:cs="Times New Roman"/>
                <w:kern w:val="32"/>
                <w:sz w:val="24"/>
                <w:szCs w:val="24"/>
              </w:rPr>
              <w:t>“Partnerët Shqipëri për Ndryshim dhe Zhvillim”</w:t>
            </w:r>
          </w:p>
        </w:tc>
        <w:tc>
          <w:tcPr>
            <w:tcW w:w="4610" w:type="dxa"/>
          </w:tcPr>
          <w:p w:rsidR="00187FCA" w:rsidRPr="00E01A0A" w:rsidRDefault="00187FCA" w:rsidP="0069359D">
            <w:pPr>
              <w:jc w:val="both"/>
              <w:rPr>
                <w:rFonts w:ascii="Times New Roman" w:hAnsi="Times New Roman" w:cs="Times New Roman"/>
                <w:sz w:val="24"/>
                <w:szCs w:val="24"/>
                <w:shd w:val="clear" w:color="auto" w:fill="FFFFFF"/>
              </w:rPr>
            </w:pPr>
            <w:r w:rsidRPr="00E01A0A">
              <w:rPr>
                <w:rFonts w:ascii="Times New Roman" w:hAnsi="Times New Roman" w:cs="Times New Roman"/>
                <w:sz w:val="24"/>
                <w:szCs w:val="24"/>
                <w:shd w:val="clear" w:color="auto" w:fill="FFFFFF"/>
              </w:rPr>
              <w:t xml:space="preserve">Në faqen e konsultimit mungon një relacion shpjegues, si dokument shoqërues i Udhërrëfyesit, i cili të paraqesë një përmbledhje shpjeguese të përmbajtjes, qëllimin dhe objektivat që synohen të arrihen, e të tjera elementë të nevojshëm. </w:t>
            </w:r>
          </w:p>
          <w:p w:rsidR="00187FCA" w:rsidRPr="00E01A0A" w:rsidRDefault="00187FCA" w:rsidP="0069359D">
            <w:pPr>
              <w:jc w:val="both"/>
              <w:rPr>
                <w:rFonts w:ascii="Times New Roman" w:hAnsi="Times New Roman" w:cs="Times New Roman"/>
                <w:sz w:val="24"/>
                <w:szCs w:val="24"/>
                <w:shd w:val="clear" w:color="auto" w:fill="FFFFFF"/>
              </w:rPr>
            </w:pPr>
            <w:r w:rsidRPr="00E01A0A">
              <w:rPr>
                <w:rFonts w:ascii="Times New Roman" w:hAnsi="Times New Roman" w:cs="Times New Roman"/>
                <w:sz w:val="24"/>
                <w:szCs w:val="24"/>
                <w:shd w:val="clear" w:color="auto" w:fill="FFFFFF"/>
              </w:rPr>
              <w:t xml:space="preserve">Dokumenti ka një gjuhë shumë të përgjithshme dhe në pjesën më të madhe të tij, </w:t>
            </w:r>
            <w:r w:rsidRPr="00E01A0A">
              <w:rPr>
                <w:rFonts w:ascii="Times New Roman" w:hAnsi="Times New Roman" w:cs="Times New Roman"/>
                <w:sz w:val="24"/>
                <w:szCs w:val="24"/>
                <w:shd w:val="clear" w:color="auto" w:fill="FFFFFF"/>
              </w:rPr>
              <w:lastRenderedPageBreak/>
              <w:t xml:space="preserve">përmbajtja nuk është e formuluar sic duhet, në përgjigje të titujve të paraqitur. Mbetet e nevojshme të plotësohet e zhvillohet më tej, me një përmbledhje dhe analizë më specifike për secilën prej prioriteteve të vendosura, si dhe të shtohen rubrika të tjera që e bëjnë dokumentin Udhërrëfyes sa i përket zbatimit të masave (psh. institutionet përgjegjëse, partnerët në zbatim, treguesit e zbatimit, afatet etj.). </w:t>
            </w:r>
          </w:p>
          <w:p w:rsidR="00187FCA" w:rsidRPr="00E01A0A" w:rsidRDefault="00187FCA" w:rsidP="0069359D">
            <w:pPr>
              <w:jc w:val="both"/>
              <w:rPr>
                <w:rFonts w:ascii="Times New Roman" w:hAnsi="Times New Roman" w:cs="Times New Roman"/>
                <w:sz w:val="24"/>
                <w:szCs w:val="24"/>
                <w:shd w:val="clear" w:color="auto" w:fill="FFFFFF"/>
              </w:rPr>
            </w:pPr>
            <w:r w:rsidRPr="00E01A0A">
              <w:rPr>
                <w:rFonts w:ascii="Times New Roman" w:hAnsi="Times New Roman" w:cs="Times New Roman"/>
                <w:sz w:val="24"/>
                <w:szCs w:val="24"/>
                <w:shd w:val="clear" w:color="auto" w:fill="FFFFFF"/>
              </w:rPr>
              <w:t xml:space="preserve">Afatet kohore që janë paraqitur, në shumicën e rasteve ose janë shumë të përgjithshme dhe të tejzgjatura në kohë (deri në vitin 2030) ose janë afate të tejkaluara tashmë (brenda 2023) ndërkohë që masat respektive nuk janë realizuar.    </w:t>
            </w:r>
          </w:p>
          <w:p w:rsidR="00241727" w:rsidRPr="00E01A0A" w:rsidRDefault="00241727" w:rsidP="0069359D">
            <w:pPr>
              <w:jc w:val="both"/>
              <w:textAlignment w:val="baseline"/>
              <w:rPr>
                <w:rFonts w:ascii="Times New Roman" w:hAnsi="Times New Roman" w:cs="Times New Roman"/>
                <w:sz w:val="24"/>
                <w:szCs w:val="24"/>
              </w:rPr>
            </w:pPr>
          </w:p>
        </w:tc>
        <w:tc>
          <w:tcPr>
            <w:tcW w:w="3240" w:type="dxa"/>
          </w:tcPr>
          <w:p w:rsidR="00241727" w:rsidRPr="00E01A0A" w:rsidRDefault="00930FBB" w:rsidP="0069359D">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E01A0A">
              <w:rPr>
                <w:rFonts w:ascii="Times New Roman" w:hAnsi="Times New Roman" w:cs="Times New Roman"/>
                <w:sz w:val="24"/>
                <w:szCs w:val="24"/>
              </w:rPr>
              <w:lastRenderedPageBreak/>
              <w:t xml:space="preserve">Vlerësim i përgjithshëm pa sugjerime konkrete </w:t>
            </w:r>
          </w:p>
        </w:tc>
        <w:tc>
          <w:tcPr>
            <w:tcW w:w="4230" w:type="dxa"/>
            <w:shd w:val="clear" w:color="auto" w:fill="auto"/>
            <w:tcMar>
              <w:top w:w="100" w:type="dxa"/>
              <w:left w:w="100" w:type="dxa"/>
              <w:bottom w:w="100" w:type="dxa"/>
              <w:right w:w="100" w:type="dxa"/>
            </w:tcMar>
          </w:tcPr>
          <w:p w:rsidR="00241727" w:rsidRPr="00E01A0A" w:rsidRDefault="00B5732B" w:rsidP="0069359D">
            <w:p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rPr>
              <w:t>-</w:t>
            </w:r>
            <w:r w:rsidR="00187FCA" w:rsidRPr="00E01A0A">
              <w:rPr>
                <w:rFonts w:ascii="Times New Roman" w:hAnsi="Times New Roman" w:cs="Times New Roman"/>
                <w:sz w:val="24"/>
                <w:szCs w:val="24"/>
              </w:rPr>
              <w:t>Sa i përket komentit të par</w:t>
            </w:r>
            <w:r w:rsidR="00747A5A" w:rsidRPr="00E01A0A">
              <w:rPr>
                <w:rFonts w:ascii="Times New Roman" w:hAnsi="Times New Roman" w:cs="Times New Roman"/>
                <w:sz w:val="24"/>
                <w:szCs w:val="24"/>
              </w:rPr>
              <w:t>ë</w:t>
            </w:r>
            <w:r w:rsidR="00187FCA" w:rsidRPr="00E01A0A">
              <w:rPr>
                <w:rFonts w:ascii="Times New Roman" w:hAnsi="Times New Roman" w:cs="Times New Roman"/>
                <w:sz w:val="24"/>
                <w:szCs w:val="24"/>
              </w:rPr>
              <w:t xml:space="preserve"> në lidhje me gjuhën e përdorur në këtë dokument, ju bëjmë me dije se gjuha, formati afatet dhe objektivat janë të vendosura pas një kosultimi të gjërë me institucionet shtetërore përkatëse të cilat kanë kompetencë dhe fushë përgjegjësie integrimin dhe negociatat. Gjuha e </w:t>
            </w:r>
            <w:r w:rsidR="00187FCA" w:rsidRPr="00E01A0A">
              <w:rPr>
                <w:rFonts w:ascii="Times New Roman" w:hAnsi="Times New Roman" w:cs="Times New Roman"/>
                <w:sz w:val="24"/>
                <w:szCs w:val="24"/>
              </w:rPr>
              <w:lastRenderedPageBreak/>
              <w:t xml:space="preserve">përdorur është e njëjtë me udhërrëfyesit e tjerë </w:t>
            </w:r>
            <w:r w:rsidR="00BE101B" w:rsidRPr="00E01A0A">
              <w:rPr>
                <w:rFonts w:ascii="Times New Roman" w:hAnsi="Times New Roman" w:cs="Times New Roman"/>
                <w:sz w:val="24"/>
                <w:szCs w:val="24"/>
              </w:rPr>
              <w:t xml:space="preserve">dhe formati </w:t>
            </w:r>
            <w:r w:rsidRPr="00E01A0A">
              <w:rPr>
                <w:rFonts w:ascii="Times New Roman" w:hAnsi="Times New Roman" w:cs="Times New Roman"/>
                <w:sz w:val="24"/>
                <w:szCs w:val="24"/>
              </w:rPr>
              <w:t>gjithashtu pasi është dokument i</w:t>
            </w:r>
            <w:r w:rsidR="00BE101B" w:rsidRPr="00E01A0A">
              <w:rPr>
                <w:rFonts w:ascii="Times New Roman" w:hAnsi="Times New Roman" w:cs="Times New Roman"/>
                <w:sz w:val="24"/>
                <w:szCs w:val="24"/>
              </w:rPr>
              <w:t xml:space="preserve"> përmbledhur me masat kryesore të paraqi</w:t>
            </w:r>
            <w:r w:rsidRPr="00E01A0A">
              <w:rPr>
                <w:rFonts w:ascii="Times New Roman" w:hAnsi="Times New Roman" w:cs="Times New Roman"/>
                <w:sz w:val="24"/>
                <w:szCs w:val="24"/>
              </w:rPr>
              <w:t xml:space="preserve">tura gjatë takimeve bilaterale. </w:t>
            </w:r>
            <w:r w:rsidR="00BE101B" w:rsidRPr="00E01A0A">
              <w:rPr>
                <w:rFonts w:ascii="Times New Roman" w:hAnsi="Times New Roman" w:cs="Times New Roman"/>
                <w:sz w:val="24"/>
                <w:szCs w:val="24"/>
              </w:rPr>
              <w:t>Takimet shpjeguese janë kryer gjatë platfromës të PPIE, apo dhe grupeve ndërinstitucionale të integrimit europian.</w:t>
            </w:r>
          </w:p>
          <w:p w:rsidR="00BE101B" w:rsidRPr="00E01A0A" w:rsidRDefault="00BE101B" w:rsidP="0069359D">
            <w:p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rPr>
              <w:t xml:space="preserve">Afatet kohore janë dakordësuar me institucionet përgjegjëse të cilat janë anagzhuar për zbatimin e tyre. </w:t>
            </w:r>
          </w:p>
          <w:p w:rsidR="00BE101B" w:rsidRPr="00E01A0A" w:rsidRDefault="00BE101B" w:rsidP="0069359D">
            <w:pPr>
              <w:spacing w:after="160" w:line="259" w:lineRule="auto"/>
              <w:jc w:val="both"/>
              <w:rPr>
                <w:rFonts w:ascii="Times New Roman" w:hAnsi="Times New Roman" w:cs="Times New Roman"/>
                <w:sz w:val="24"/>
                <w:szCs w:val="24"/>
              </w:rPr>
            </w:pP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BE101B" w:rsidRPr="00E01A0A" w:rsidRDefault="00BE101B" w:rsidP="0069359D">
            <w:pPr>
              <w:spacing w:after="120" w:line="240" w:lineRule="auto"/>
              <w:ind w:firstLine="720"/>
              <w:jc w:val="both"/>
              <w:rPr>
                <w:rFonts w:ascii="Times New Roman" w:hAnsi="Times New Roman" w:cs="Times New Roman"/>
                <w:kern w:val="32"/>
                <w:sz w:val="24"/>
                <w:szCs w:val="24"/>
              </w:rPr>
            </w:pPr>
            <w:r w:rsidRPr="00E01A0A">
              <w:rPr>
                <w:rFonts w:ascii="Times New Roman" w:hAnsi="Times New Roman" w:cs="Times New Roman"/>
                <w:kern w:val="32"/>
                <w:sz w:val="24"/>
                <w:szCs w:val="24"/>
              </w:rPr>
              <w:lastRenderedPageBreak/>
              <w:t>“Partnerët Shqipëri për Ndryshim dhe Zhvillim”</w:t>
            </w:r>
          </w:p>
        </w:tc>
        <w:tc>
          <w:tcPr>
            <w:tcW w:w="4610" w:type="dxa"/>
          </w:tcPr>
          <w:p w:rsidR="00BE101B" w:rsidRPr="00E01A0A" w:rsidRDefault="00BE101B" w:rsidP="0069359D">
            <w:pPr>
              <w:spacing w:after="160" w:line="259" w:lineRule="auto"/>
              <w:jc w:val="both"/>
              <w:rPr>
                <w:rFonts w:ascii="Times New Roman" w:hAnsi="Times New Roman" w:cs="Times New Roman"/>
                <w:sz w:val="24"/>
                <w:szCs w:val="24"/>
                <w:shd w:val="clear" w:color="auto" w:fill="FFFFFF"/>
                <w:lang w:val="de-DE"/>
              </w:rPr>
            </w:pPr>
            <w:r w:rsidRPr="00E01A0A">
              <w:rPr>
                <w:rFonts w:ascii="Times New Roman" w:hAnsi="Times New Roman" w:cs="Times New Roman"/>
                <w:sz w:val="24"/>
                <w:szCs w:val="24"/>
                <w:shd w:val="clear" w:color="auto" w:fill="FFFFFF"/>
              </w:rPr>
              <w:t xml:space="preserve">Lidhur me masat e përcaktuara në Fushën 2. Funksionimi i Kuvendit, Objektivi 2.1. </w:t>
            </w:r>
            <w:r w:rsidRPr="00E01A0A">
              <w:rPr>
                <w:rFonts w:ascii="Times New Roman" w:eastAsia="Times New Roman" w:hAnsi="Times New Roman" w:cs="Times New Roman"/>
                <w:bCs/>
                <w:sz w:val="24"/>
                <w:szCs w:val="24"/>
                <w:lang w:val="it-IT"/>
              </w:rPr>
              <w:t>Amendimi i Kodit të Sjelljes së deputetëve, për të futur detyrimin që takimet e deputetëve dhe stafit të tyre me OSHC-të dhe lobistët të zhvillohen vetëm me ata që janë të regjistruar në Regjistrin e Transparencës në përputhje me përcaktimet e Vendimit të Komisionit të datës 31 janar 2018 mbi Kodin e Sjelljes për Anëtarët e Komisionit Evropian, neni. 7 si dhe publikimin e procesverbalit të mbledhjes deri më 2029.</w:t>
            </w:r>
          </w:p>
          <w:p w:rsidR="00BE101B" w:rsidRPr="00E01A0A" w:rsidRDefault="00BE101B" w:rsidP="0069359D">
            <w:pPr>
              <w:pStyle w:val="ListParagraph"/>
              <w:ind w:left="1080"/>
              <w:jc w:val="both"/>
              <w:rPr>
                <w:rFonts w:ascii="Times New Roman" w:hAnsi="Times New Roman" w:cs="Times New Roman"/>
                <w:sz w:val="24"/>
                <w:szCs w:val="24"/>
                <w:shd w:val="clear" w:color="auto" w:fill="FFFFFF"/>
                <w:lang w:val="de-DE"/>
              </w:rPr>
            </w:pPr>
          </w:p>
          <w:p w:rsidR="00BE101B" w:rsidRPr="00E01A0A" w:rsidRDefault="00BE101B" w:rsidP="0069359D">
            <w:pPr>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Koment. Detyrimi për deputetët dhe stafin e tyre nuk mund të limitohet vetëm me ata që janë të regjistruar në Regjistrin e Transparencës. Takimet duhet të jenë të hapura dhe njoftimet duhet të jenë publike në faqen e Kuvendit. Në lidhje me lobistët, mbetet e nevojshme të qartësohet termi lobist dhe të hartohet një ligj apo akte të tjera që përkufizojnë dhe rregullojnë aktivitetin e lobistëve. </w:t>
            </w:r>
          </w:p>
          <w:p w:rsidR="00BE101B" w:rsidRPr="00E01A0A" w:rsidRDefault="00BE101B" w:rsidP="0069359D">
            <w:pPr>
              <w:jc w:val="both"/>
              <w:rPr>
                <w:rFonts w:ascii="Times New Roman" w:hAnsi="Times New Roman" w:cs="Times New Roman"/>
                <w:sz w:val="24"/>
                <w:szCs w:val="24"/>
                <w:shd w:val="clear" w:color="auto" w:fill="FFFFFF"/>
                <w:lang w:val="it-IT"/>
              </w:rPr>
            </w:pPr>
          </w:p>
        </w:tc>
        <w:tc>
          <w:tcPr>
            <w:tcW w:w="3240" w:type="dxa"/>
          </w:tcPr>
          <w:p w:rsidR="00BE101B" w:rsidRPr="00E01A0A" w:rsidRDefault="0042000F" w:rsidP="0069359D">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lastRenderedPageBreak/>
              <w:t>Pranuar pjesërisht</w:t>
            </w:r>
          </w:p>
        </w:tc>
        <w:tc>
          <w:tcPr>
            <w:tcW w:w="4230" w:type="dxa"/>
            <w:shd w:val="clear" w:color="auto" w:fill="auto"/>
            <w:tcMar>
              <w:top w:w="100" w:type="dxa"/>
              <w:left w:w="100" w:type="dxa"/>
              <w:bottom w:w="100" w:type="dxa"/>
              <w:right w:w="100" w:type="dxa"/>
            </w:tcMar>
          </w:tcPr>
          <w:p w:rsidR="008F5F05" w:rsidRPr="00E01A0A" w:rsidRDefault="00930FBB" w:rsidP="0069359D">
            <w:p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lang w:val="sq-AL"/>
              </w:rPr>
              <w:t>-</w:t>
            </w:r>
            <w:r w:rsidR="008F5F05" w:rsidRPr="00E01A0A">
              <w:rPr>
                <w:rFonts w:ascii="Times New Roman" w:hAnsi="Times New Roman" w:cs="Times New Roman"/>
                <w:sz w:val="24"/>
                <w:szCs w:val="24"/>
                <w:lang w:val="sq-AL"/>
              </w:rPr>
              <w:t xml:space="preserve">Masa e planifikuar është evindentuar si mangësi në raport me legjislacionin europian </w:t>
            </w:r>
            <w:r w:rsidR="008F5F05" w:rsidRPr="00E01A0A">
              <w:rPr>
                <w:rFonts w:ascii="Times New Roman" w:hAnsi="Times New Roman" w:cs="Times New Roman"/>
                <w:sz w:val="24"/>
                <w:szCs w:val="24"/>
              </w:rPr>
              <w:t>(</w:t>
            </w:r>
            <w:r w:rsidR="008F5F05" w:rsidRPr="00E01A0A">
              <w:rPr>
                <w:rFonts w:ascii="Times New Roman" w:hAnsi="Times New Roman" w:cs="Times New Roman"/>
                <w:sz w:val="24"/>
                <w:szCs w:val="24"/>
                <w:lang w:val="sq-AL"/>
              </w:rPr>
              <w:t>Vendimin e Komisionit të datës 31 janar 2018 mbi Kodin e Sjelljes për Anëtarët e Komisionit Evropian (C(2018)0700), Neni. 7, të cilën Kuvendi duhet ta adresojë.</w:t>
            </w:r>
            <w:r w:rsidR="008F5F05" w:rsidRPr="00E01A0A">
              <w:rPr>
                <w:rFonts w:ascii="Times New Roman" w:hAnsi="Times New Roman" w:cs="Times New Roman"/>
                <w:sz w:val="24"/>
                <w:szCs w:val="24"/>
              </w:rPr>
              <w:t xml:space="preserve"> (Kuvendi)</w:t>
            </w:r>
          </w:p>
          <w:p w:rsidR="008F5F05" w:rsidRPr="00E01A0A" w:rsidRDefault="008F5F05" w:rsidP="0069359D">
            <w:pPr>
              <w:spacing w:after="160" w:line="259" w:lineRule="auto"/>
              <w:jc w:val="both"/>
              <w:rPr>
                <w:rFonts w:ascii="Times New Roman" w:hAnsi="Times New Roman" w:cs="Times New Roman"/>
                <w:sz w:val="24"/>
                <w:szCs w:val="24"/>
              </w:rPr>
            </w:pPr>
          </w:p>
          <w:p w:rsidR="008F5F05" w:rsidRPr="00E01A0A" w:rsidRDefault="008F5F05" w:rsidP="0069359D">
            <w:pPr>
              <w:jc w:val="both"/>
              <w:rPr>
                <w:rFonts w:ascii="Times New Roman" w:hAnsi="Times New Roman" w:cs="Times New Roman"/>
                <w:sz w:val="24"/>
                <w:szCs w:val="24"/>
              </w:rPr>
            </w:pPr>
            <w:r w:rsidRPr="00E01A0A">
              <w:rPr>
                <w:rFonts w:ascii="Times New Roman" w:hAnsi="Times New Roman" w:cs="Times New Roman"/>
                <w:sz w:val="24"/>
                <w:szCs w:val="24"/>
              </w:rPr>
              <w:t xml:space="preserve">Udhëzues i detajuar i Kodit të sjelljes së deputetëve të Kuvendit të </w:t>
            </w:r>
            <w:proofErr w:type="gramStart"/>
            <w:r w:rsidRPr="00E01A0A">
              <w:rPr>
                <w:rFonts w:ascii="Times New Roman" w:hAnsi="Times New Roman" w:cs="Times New Roman"/>
                <w:sz w:val="24"/>
                <w:szCs w:val="24"/>
              </w:rPr>
              <w:t>R.Sh</w:t>
            </w:r>
            <w:proofErr w:type="gramEnd"/>
            <w:r w:rsidRPr="00E01A0A">
              <w:rPr>
                <w:rFonts w:ascii="Times New Roman" w:hAnsi="Times New Roman" w:cs="Times New Roman"/>
                <w:sz w:val="24"/>
                <w:szCs w:val="24"/>
              </w:rPr>
              <w:t xml:space="preserve">, miratuar me vendimin e Byrosë së Kuvendit nr. 19, </w:t>
            </w:r>
            <w:r w:rsidRPr="00E01A0A">
              <w:rPr>
                <w:rFonts w:ascii="Times New Roman" w:hAnsi="Times New Roman" w:cs="Times New Roman"/>
                <w:sz w:val="24"/>
                <w:szCs w:val="24"/>
              </w:rPr>
              <w:lastRenderedPageBreak/>
              <w:t xml:space="preserve">datë 27.9.2018 përcakton udhëzime mbi zbatimin e Kodit të sjelljes së deputetëve, ku referuar veprimtarisë së deputetit në mbrojtje të lobizimit është përcaktuar se: </w:t>
            </w:r>
          </w:p>
          <w:p w:rsidR="008F5F05" w:rsidRPr="00E01A0A" w:rsidRDefault="008F5F05" w:rsidP="0069359D">
            <w:pPr>
              <w:jc w:val="both"/>
              <w:rPr>
                <w:rFonts w:ascii="Times New Roman" w:hAnsi="Times New Roman" w:cs="Times New Roman"/>
                <w:sz w:val="24"/>
                <w:szCs w:val="24"/>
              </w:rPr>
            </w:pPr>
            <w:r w:rsidRPr="00E01A0A">
              <w:rPr>
                <w:rFonts w:ascii="Times New Roman" w:hAnsi="Times New Roman" w:cs="Times New Roman"/>
                <w:sz w:val="24"/>
                <w:szCs w:val="24"/>
              </w:rPr>
              <w:t>“</w:t>
            </w:r>
            <w:r w:rsidRPr="00E01A0A">
              <w:rPr>
                <w:rFonts w:ascii="Times New Roman" w:hAnsi="Times New Roman" w:cs="Times New Roman"/>
                <w:i/>
                <w:sz w:val="24"/>
                <w:szCs w:val="24"/>
              </w:rPr>
              <w:t>Lobist nënkupton: - një person teknik, që përfaqëson një grup interesi, i cili ka si synim që të ndërtojë ura komunikimi me personat përfaqësues të institucioneve ose organeve që kanë rol vendimmarrës në proces, me qëllim që të ndikojë mbi to, duke kërkuar ndryshimin e një rregulli, norme ose dispozite, duke bërë rolin e mbrojtësit, si dhe duke kërkuar që çështja të bëhet temë e agjendës politike; - organizata jofitimprurëse, që janë shprehur në terma lobizmi për çështje të caktuara, ose përfaqësojnë grupe sociale qartësisht të shprehura; - organizata biznesi, që angazhojnë lobistë profesionistë ose formatojnë qëndrime të identifikuara si lobizëm</w:t>
            </w:r>
            <w:r w:rsidRPr="00E01A0A">
              <w:rPr>
                <w:rFonts w:ascii="Times New Roman" w:hAnsi="Times New Roman" w:cs="Times New Roman"/>
                <w:sz w:val="24"/>
                <w:szCs w:val="24"/>
              </w:rPr>
              <w:t xml:space="preserve">. Lobisti bën publike interesat privatё të posaçёm, të cilёt beson se shteti nuk i njeh mjaftueshëm dhe të cilёt për këtë shkak mund të sakrifikohen në favor të interesave ose objektivave të tjerё. Qëllimi i lobizmit është që, duke i deklaruar këta interesa, të mund të vihet në funksionim mekanizmi i pjesëmarrjes në </w:t>
            </w:r>
            <w:r w:rsidRPr="00E01A0A">
              <w:rPr>
                <w:rFonts w:ascii="Times New Roman" w:hAnsi="Times New Roman" w:cs="Times New Roman"/>
                <w:sz w:val="24"/>
                <w:szCs w:val="24"/>
              </w:rPr>
              <w:lastRenderedPageBreak/>
              <w:t xml:space="preserve">vendimmarrje, qoftë edhe nëpërmjet ekspozimit të interesave të tjerё, për të cilёt grupi i interesit, i mbrojtur nga lobisti, zgjidhet të sakrifikohet nga vendimmarrja politike”. </w:t>
            </w:r>
          </w:p>
          <w:p w:rsidR="008F5F05" w:rsidRPr="00E01A0A" w:rsidRDefault="008F5F05" w:rsidP="0069359D">
            <w:pPr>
              <w:jc w:val="both"/>
              <w:rPr>
                <w:rFonts w:ascii="Times New Roman" w:hAnsi="Times New Roman" w:cs="Times New Roman"/>
                <w:sz w:val="24"/>
                <w:szCs w:val="24"/>
              </w:rPr>
            </w:pPr>
            <w:r w:rsidRPr="00E01A0A">
              <w:rPr>
                <w:rFonts w:ascii="Times New Roman" w:hAnsi="Times New Roman" w:cs="Times New Roman"/>
                <w:sz w:val="24"/>
                <w:szCs w:val="24"/>
              </w:rPr>
              <w:t xml:space="preserve">Për më shumë informacion lutem referojuni linkut të mëposhtëm. </w:t>
            </w:r>
          </w:p>
          <w:p w:rsidR="008F5F05" w:rsidRPr="00E01A0A" w:rsidRDefault="00494FFA" w:rsidP="0069359D">
            <w:pPr>
              <w:jc w:val="both"/>
              <w:rPr>
                <w:rFonts w:ascii="Times New Roman" w:hAnsi="Times New Roman" w:cs="Times New Roman"/>
                <w:sz w:val="24"/>
                <w:szCs w:val="24"/>
              </w:rPr>
            </w:pPr>
            <w:hyperlink r:id="rId8" w:history="1">
              <w:r w:rsidR="008F5F05" w:rsidRPr="00E01A0A">
                <w:rPr>
                  <w:rStyle w:val="Hyperlink"/>
                  <w:rFonts w:ascii="Times New Roman" w:hAnsi="Times New Roman" w:cs="Times New Roman"/>
                  <w:color w:val="auto"/>
                  <w:sz w:val="24"/>
                  <w:szCs w:val="24"/>
                </w:rPr>
                <w:t>https://kuvendiwebfiles.blob.core.windows.net/webfiles/202212261847395210Udhe%CC%88zuesi%20i%20Detajuar%20pe%CC%88r%20Sjelljen%20ne%CC%88%20Kuvend.pdf</w:t>
              </w:r>
            </w:hyperlink>
          </w:p>
          <w:p w:rsidR="008F5F05" w:rsidRPr="00E01A0A" w:rsidRDefault="008F5F05" w:rsidP="0069359D">
            <w:pPr>
              <w:jc w:val="both"/>
              <w:rPr>
                <w:rFonts w:ascii="Times New Roman" w:hAnsi="Times New Roman" w:cs="Times New Roman"/>
                <w:sz w:val="24"/>
                <w:szCs w:val="24"/>
              </w:rPr>
            </w:pPr>
          </w:p>
          <w:p w:rsidR="008F5F05" w:rsidRPr="00E01A0A" w:rsidRDefault="008F5F05" w:rsidP="0069359D">
            <w:pPr>
              <w:jc w:val="both"/>
              <w:rPr>
                <w:rFonts w:ascii="Times New Roman" w:hAnsi="Times New Roman" w:cs="Times New Roman"/>
                <w:sz w:val="24"/>
                <w:szCs w:val="24"/>
              </w:rPr>
            </w:pPr>
            <w:r w:rsidRPr="00E01A0A">
              <w:rPr>
                <w:rFonts w:ascii="Times New Roman" w:hAnsi="Times New Roman" w:cs="Times New Roman"/>
                <w:sz w:val="24"/>
                <w:szCs w:val="24"/>
              </w:rPr>
              <w:t>Rregjistri i lobistëve gjendet i publikuar në faqen e Kuvendit në linkun e mëposhtëm</w:t>
            </w:r>
          </w:p>
          <w:p w:rsidR="008F5F05" w:rsidRPr="00E01A0A" w:rsidRDefault="008F5F05" w:rsidP="0069359D">
            <w:pPr>
              <w:jc w:val="both"/>
              <w:rPr>
                <w:rFonts w:ascii="Times New Roman" w:hAnsi="Times New Roman" w:cs="Times New Roman"/>
                <w:sz w:val="24"/>
                <w:szCs w:val="24"/>
              </w:rPr>
            </w:pPr>
          </w:p>
          <w:p w:rsidR="008F5F05" w:rsidRPr="00E01A0A" w:rsidRDefault="00494FFA" w:rsidP="0069359D">
            <w:pPr>
              <w:spacing w:after="160" w:line="259" w:lineRule="auto"/>
              <w:jc w:val="both"/>
              <w:rPr>
                <w:rFonts w:ascii="Times New Roman" w:hAnsi="Times New Roman" w:cs="Times New Roman"/>
                <w:sz w:val="24"/>
                <w:szCs w:val="24"/>
              </w:rPr>
            </w:pPr>
            <w:hyperlink r:id="rId9" w:anchor="doku" w:history="1">
              <w:r w:rsidR="008F5F05" w:rsidRPr="00E01A0A">
                <w:rPr>
                  <w:rStyle w:val="Hyperlink"/>
                  <w:rFonts w:ascii="Times New Roman" w:hAnsi="Times New Roman" w:cs="Times New Roman"/>
                  <w:color w:val="auto"/>
                  <w:sz w:val="24"/>
                  <w:szCs w:val="24"/>
                </w:rPr>
                <w:t>https://parlament.al/struktura/1f6ca8d8-fdf4-440b-869d-05ac3d0b915d/#doku</w:t>
              </w:r>
            </w:hyperlink>
          </w:p>
          <w:p w:rsidR="00BE101B" w:rsidRPr="00E01A0A" w:rsidRDefault="00BE101B" w:rsidP="0069359D">
            <w:pPr>
              <w:spacing w:after="160" w:line="259" w:lineRule="auto"/>
              <w:jc w:val="both"/>
              <w:rPr>
                <w:rFonts w:ascii="Times New Roman" w:hAnsi="Times New Roman" w:cs="Times New Roman"/>
                <w:sz w:val="24"/>
                <w:szCs w:val="24"/>
                <w:lang w:val="it-IT"/>
              </w:rPr>
            </w:pP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8F5F05" w:rsidRPr="00E01A0A" w:rsidRDefault="008F5F05" w:rsidP="0069359D">
            <w:pPr>
              <w:spacing w:after="120" w:line="240" w:lineRule="auto"/>
              <w:ind w:firstLine="720"/>
              <w:jc w:val="both"/>
              <w:rPr>
                <w:rFonts w:ascii="Times New Roman" w:hAnsi="Times New Roman" w:cs="Times New Roman"/>
                <w:kern w:val="32"/>
                <w:sz w:val="24"/>
                <w:szCs w:val="24"/>
                <w:lang w:val="it-IT"/>
              </w:rPr>
            </w:pPr>
            <w:r w:rsidRPr="00E01A0A">
              <w:rPr>
                <w:rFonts w:ascii="Times New Roman" w:hAnsi="Times New Roman" w:cs="Times New Roman"/>
                <w:kern w:val="32"/>
                <w:sz w:val="24"/>
                <w:szCs w:val="24"/>
                <w:lang w:val="it-IT"/>
              </w:rPr>
              <w:lastRenderedPageBreak/>
              <w:t>“Partnerët Shqipëri për Ndryshim dhe Zhvillim”</w:t>
            </w:r>
          </w:p>
        </w:tc>
        <w:tc>
          <w:tcPr>
            <w:tcW w:w="4610" w:type="dxa"/>
          </w:tcPr>
          <w:p w:rsidR="008F5F05" w:rsidRPr="00E01A0A" w:rsidRDefault="008F5F05" w:rsidP="0069359D">
            <w:pPr>
              <w:spacing w:after="160" w:line="259" w:lineRule="auto"/>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Sërish lidhur me Objektivin 2.1., në kolonën e zbatimit dhe kapacitetit, parashikohet hartimi i një plani pune për arritjen e standardeve dhe treguesve të transparencës 2024-2025. </w:t>
            </w:r>
          </w:p>
          <w:p w:rsidR="008F5F05" w:rsidRPr="00E01A0A" w:rsidRDefault="008F5F05" w:rsidP="0069359D">
            <w:pPr>
              <w:pStyle w:val="ListParagraph"/>
              <w:ind w:left="1080"/>
              <w:jc w:val="both"/>
              <w:rPr>
                <w:rFonts w:ascii="Times New Roman" w:eastAsia="Times New Roman" w:hAnsi="Times New Roman" w:cs="Times New Roman"/>
                <w:bCs/>
                <w:sz w:val="24"/>
                <w:szCs w:val="24"/>
                <w:lang w:val="it-IT"/>
              </w:rPr>
            </w:pPr>
          </w:p>
          <w:p w:rsidR="008F5F05" w:rsidRPr="00E01A0A" w:rsidRDefault="008F5F05" w:rsidP="0069359D">
            <w:pPr>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Koment. Rekomandojmë të shtohet “....pas një procesi të gjerë konsultimi publik me organizatat e shoqerise civile dhe grupet e </w:t>
            </w:r>
            <w:r w:rsidRPr="00E01A0A">
              <w:rPr>
                <w:rFonts w:ascii="Times New Roman" w:eastAsia="Times New Roman" w:hAnsi="Times New Roman" w:cs="Times New Roman"/>
                <w:bCs/>
                <w:sz w:val="24"/>
                <w:szCs w:val="24"/>
                <w:lang w:val="it-IT"/>
              </w:rPr>
              <w:lastRenderedPageBreak/>
              <w:t xml:space="preserve">interesit”. Gjithashtu është e nevojshme të shtojmë “Hartimin e raporteve periodike në lidhje me realizimin e planit të punës për arritjen e standardeve dhe treguesve të transparencës. Përfshirja e OJF-ve dhe grupeve të interesit në procesin e monitorimit të planit. Përfshirja e OJF-ve dhe grupeve të interesit në takime konsultuese të raportit të monitorimit të planit, përpara miratimit të tij në Kuvend”.  </w:t>
            </w:r>
          </w:p>
          <w:p w:rsidR="008F5F05" w:rsidRPr="00E01A0A" w:rsidRDefault="008F5F05" w:rsidP="0069359D">
            <w:pPr>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Po lidhur me Objektivin 2.1, në kolonën e zbatimit dhe kapacitetit, parashikohet rritja e pjesëmarrjes së OSHC-ve dhe grupeve të interesit në mbledhjet e komisioneve parlamentare gjatë procesit ligjbërës dhe mbikëqyrës si dhe gjatë ushtrimit të funksionit zgjedhor të Kuvendit. </w:t>
            </w:r>
          </w:p>
          <w:p w:rsidR="008F5F05" w:rsidRPr="00E01A0A" w:rsidRDefault="008F5F05" w:rsidP="0069359D">
            <w:pPr>
              <w:pStyle w:val="ListParagraph"/>
              <w:ind w:left="1080"/>
              <w:jc w:val="both"/>
              <w:rPr>
                <w:rFonts w:ascii="Times New Roman" w:eastAsia="Times New Roman" w:hAnsi="Times New Roman" w:cs="Times New Roman"/>
                <w:bCs/>
                <w:sz w:val="24"/>
                <w:szCs w:val="24"/>
                <w:lang w:val="it-IT"/>
              </w:rPr>
            </w:pPr>
          </w:p>
          <w:p w:rsidR="008F5F05" w:rsidRPr="00E01A0A" w:rsidRDefault="008F5F05" w:rsidP="0069359D">
            <w:pPr>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Koment. Përtej rritjes së pjesëmarrjes, mbetet e nevojshme të ketë një angazhim në terma më konkretë që dëshmojnë për efektivitetin dhe impaktin e procesit. Krijimi i një procedure standard që detyron komisionet të japin vlerësimet e tyre mbi rekomandimet që vijnë nga OJF-të dhe grupet e interesit, marrjen ose jo parasysh të tyre së bashku me argumentimet përkatëse, në përputhje edhe me legjislacionin për konsultimin publik. </w:t>
            </w:r>
          </w:p>
          <w:p w:rsidR="008F5F05" w:rsidRPr="00E01A0A" w:rsidRDefault="008F5F05" w:rsidP="0069359D">
            <w:pPr>
              <w:spacing w:after="160" w:line="259" w:lineRule="auto"/>
              <w:jc w:val="both"/>
              <w:rPr>
                <w:rFonts w:ascii="Times New Roman" w:hAnsi="Times New Roman" w:cs="Times New Roman"/>
                <w:sz w:val="24"/>
                <w:szCs w:val="24"/>
                <w:shd w:val="clear" w:color="auto" w:fill="FFFFFF"/>
                <w:lang w:val="it-IT"/>
              </w:rPr>
            </w:pPr>
          </w:p>
        </w:tc>
        <w:tc>
          <w:tcPr>
            <w:tcW w:w="3240" w:type="dxa"/>
          </w:tcPr>
          <w:p w:rsidR="008F5F05" w:rsidRPr="00E01A0A" w:rsidRDefault="008F5F05" w:rsidP="0069359D">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E01A0A">
              <w:rPr>
                <w:rFonts w:ascii="Times New Roman" w:hAnsi="Times New Roman" w:cs="Times New Roman"/>
                <w:sz w:val="24"/>
                <w:szCs w:val="24"/>
              </w:rPr>
              <w:lastRenderedPageBreak/>
              <w:t>Pranuar pjeserisht</w:t>
            </w:r>
          </w:p>
          <w:p w:rsidR="008F5F05" w:rsidRPr="00E01A0A" w:rsidRDefault="008F5F05" w:rsidP="0069359D">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p>
        </w:tc>
        <w:tc>
          <w:tcPr>
            <w:tcW w:w="4230" w:type="dxa"/>
            <w:shd w:val="clear" w:color="auto" w:fill="auto"/>
            <w:tcMar>
              <w:top w:w="100" w:type="dxa"/>
              <w:left w:w="100" w:type="dxa"/>
              <w:bottom w:w="100" w:type="dxa"/>
              <w:right w:w="100" w:type="dxa"/>
            </w:tcMar>
          </w:tcPr>
          <w:p w:rsidR="008F5F05" w:rsidRPr="00E01A0A" w:rsidRDefault="008F5F05" w:rsidP="0069359D">
            <w:p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rPr>
              <w:t>-</w:t>
            </w:r>
            <w:r w:rsidRPr="00E01A0A">
              <w:rPr>
                <w:rFonts w:ascii="Times New Roman" w:eastAsia="Times New Roman" w:hAnsi="Times New Roman" w:cs="Times New Roman"/>
                <w:sz w:val="24"/>
                <w:szCs w:val="24"/>
                <w:lang w:val="sq-AL"/>
              </w:rPr>
              <w:t xml:space="preserve"> Dokumenti i Standarteve të Transp</w:t>
            </w:r>
            <w:r w:rsidR="00747A5A" w:rsidRPr="00E01A0A">
              <w:rPr>
                <w:rFonts w:ascii="Times New Roman" w:eastAsia="Times New Roman" w:hAnsi="Times New Roman" w:cs="Times New Roman"/>
                <w:sz w:val="24"/>
                <w:szCs w:val="24"/>
                <w:lang w:val="sq-AL"/>
              </w:rPr>
              <w:t>a</w:t>
            </w:r>
            <w:r w:rsidRPr="00E01A0A">
              <w:rPr>
                <w:rFonts w:ascii="Times New Roman" w:eastAsia="Times New Roman" w:hAnsi="Times New Roman" w:cs="Times New Roman"/>
                <w:sz w:val="24"/>
                <w:szCs w:val="24"/>
                <w:lang w:val="sq-AL"/>
              </w:rPr>
              <w:t xml:space="preserve">rencës ështe një dokument i hartuar, dakortësuar, konsultuar dhe finalizuar tashmë pas një procesi pune të gjatë dhe gjithëpërfshirës me pjesëmarrjen e të gjitha palëve të interesuara Kuvend- Media – Shoqëri Civile.  Sapo të miratohet ky dokument në Kuvend, do të pasohet me hartimin e planit të punës për arritjen e </w:t>
            </w:r>
            <w:r w:rsidRPr="00E01A0A">
              <w:rPr>
                <w:rFonts w:ascii="Times New Roman" w:eastAsia="Times New Roman" w:hAnsi="Times New Roman" w:cs="Times New Roman"/>
                <w:sz w:val="24"/>
                <w:szCs w:val="24"/>
                <w:lang w:val="sq-AL"/>
              </w:rPr>
              <w:lastRenderedPageBreak/>
              <w:t>standarteve të transparences si dhe më pas do të vijohet me monitorimin e realizimit të këtij plani. I gjithë ky proces është parashikuar që të realizohet në cdo fazë me përfshirjen dhe kontributin e të tre palëve Kuvend – Media – Shoqëri Civile</w:t>
            </w:r>
          </w:p>
          <w:p w:rsidR="008F5F05" w:rsidRPr="00E01A0A" w:rsidRDefault="008F5F05" w:rsidP="0069359D">
            <w:pPr>
              <w:spacing w:after="160" w:line="259" w:lineRule="auto"/>
              <w:jc w:val="both"/>
              <w:rPr>
                <w:rFonts w:ascii="Times New Roman" w:hAnsi="Times New Roman" w:cs="Times New Roman"/>
                <w:sz w:val="24"/>
                <w:szCs w:val="24"/>
              </w:rPr>
            </w:pPr>
          </w:p>
          <w:p w:rsidR="008F5F05" w:rsidRPr="00E01A0A" w:rsidRDefault="008F5F05" w:rsidP="0069359D">
            <w:pPr>
              <w:jc w:val="both"/>
              <w:rPr>
                <w:rFonts w:ascii="Times New Roman" w:eastAsia="Times New Roman" w:hAnsi="Times New Roman" w:cs="Times New Roman"/>
                <w:bCs/>
                <w:sz w:val="24"/>
                <w:szCs w:val="24"/>
                <w:lang w:val="it-IT"/>
              </w:rPr>
            </w:pPr>
            <w:r w:rsidRPr="00E01A0A">
              <w:rPr>
                <w:rFonts w:ascii="Times New Roman" w:hAnsi="Times New Roman" w:cs="Times New Roman"/>
                <w:sz w:val="24"/>
                <w:szCs w:val="24"/>
              </w:rPr>
              <w:t xml:space="preserve">- Konferenca e kryetarëve të Komisioneve Parlamentare kanë miratuar të gjitha masat që janë pjese e roadmap të FDI për Kuvendin ku përfshihet dhe rritja e </w:t>
            </w:r>
            <w:r w:rsidRPr="00E01A0A">
              <w:rPr>
                <w:rFonts w:ascii="Times New Roman" w:eastAsia="Times New Roman" w:hAnsi="Times New Roman" w:cs="Times New Roman"/>
                <w:bCs/>
                <w:sz w:val="24"/>
                <w:szCs w:val="24"/>
                <w:lang w:val="it-IT"/>
              </w:rPr>
              <w:t xml:space="preserve">pjesëmarrjes së OSHC-ve dhe grupeve të interesit në mbledhjet e komisioneve parlamentare gjatë procesit ligjbërës dhe mbikëqyrës si dhe gjatë ushtrimit të funksionit zgjedhor të Kuvendit. </w:t>
            </w:r>
          </w:p>
          <w:p w:rsidR="008F5F05" w:rsidRPr="00E01A0A" w:rsidRDefault="008F5F05" w:rsidP="0069359D">
            <w:pPr>
              <w:spacing w:after="160" w:line="259" w:lineRule="auto"/>
              <w:jc w:val="both"/>
              <w:rPr>
                <w:rFonts w:ascii="Times New Roman" w:hAnsi="Times New Roman" w:cs="Times New Roman"/>
                <w:sz w:val="24"/>
                <w:szCs w:val="24"/>
              </w:rPr>
            </w:pPr>
          </w:p>
          <w:p w:rsidR="008F5F05" w:rsidRPr="00E01A0A" w:rsidRDefault="008F5F05" w:rsidP="00F100E4">
            <w:pPr>
              <w:spacing w:line="240" w:lineRule="auto"/>
              <w:jc w:val="both"/>
              <w:rPr>
                <w:rFonts w:ascii="Times New Roman" w:hAnsi="Times New Roman" w:cs="Times New Roman"/>
                <w:sz w:val="24"/>
                <w:szCs w:val="24"/>
                <w:lang w:val="it-IT"/>
              </w:rPr>
            </w:pPr>
            <w:r w:rsidRPr="00E01A0A">
              <w:rPr>
                <w:rFonts w:ascii="Times New Roman" w:hAnsi="Times New Roman" w:cs="Times New Roman"/>
                <w:sz w:val="24"/>
                <w:szCs w:val="24"/>
              </w:rPr>
              <w:t xml:space="preserve">-Rregullorja e Kuvendit përcakton mënyrën se si zhvillohet një séance dëgjimore pranë një komisioni parlamentar. </w:t>
            </w:r>
            <w:r w:rsidRPr="00E01A0A">
              <w:rPr>
                <w:rFonts w:ascii="Times New Roman" w:eastAsia="Times New Roman" w:hAnsi="Times New Roman" w:cs="Times New Roman"/>
                <w:bCs/>
                <w:sz w:val="24"/>
                <w:szCs w:val="24"/>
                <w:lang w:val="it-IT"/>
              </w:rPr>
              <w:t>Në raportin e Komisionit për shqyrtimin e projektligjeve gjendet i pasqyruar dhe konsultimi publik i kryer nga Komisioni nëpërmjet seancave dëgjimore apo platformës së konsultimit të akteve, ku evidentohen dhe propozimet e OSHC-ve që janë marrë në konsideratë nga Komisioni.</w:t>
            </w: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8F5F05" w:rsidRPr="00E01A0A" w:rsidRDefault="008F5F05" w:rsidP="0069359D">
            <w:pPr>
              <w:spacing w:after="120" w:line="240" w:lineRule="auto"/>
              <w:ind w:firstLine="720"/>
              <w:jc w:val="both"/>
              <w:rPr>
                <w:rFonts w:ascii="Times New Roman" w:hAnsi="Times New Roman" w:cs="Times New Roman"/>
                <w:kern w:val="32"/>
                <w:sz w:val="24"/>
                <w:szCs w:val="24"/>
                <w:lang w:val="it-IT"/>
              </w:rPr>
            </w:pPr>
            <w:r w:rsidRPr="00E01A0A">
              <w:rPr>
                <w:rFonts w:ascii="Times New Roman" w:hAnsi="Times New Roman" w:cs="Times New Roman"/>
                <w:kern w:val="32"/>
                <w:sz w:val="24"/>
                <w:szCs w:val="24"/>
                <w:lang w:val="it-IT"/>
              </w:rPr>
              <w:lastRenderedPageBreak/>
              <w:t>“Partnerët Shqipëri për Ndryshim dhe Zhvillim”</w:t>
            </w:r>
          </w:p>
        </w:tc>
        <w:tc>
          <w:tcPr>
            <w:tcW w:w="4610" w:type="dxa"/>
          </w:tcPr>
          <w:p w:rsidR="008F5F05" w:rsidRPr="00E01A0A" w:rsidRDefault="008F5F05" w:rsidP="0069359D">
            <w:pPr>
              <w:spacing w:after="160" w:line="259" w:lineRule="auto"/>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Në lidhje me Fushën 3, Roli i Shoqërisë Civile. </w:t>
            </w:r>
          </w:p>
          <w:p w:rsidR="008F5F05" w:rsidRPr="00E01A0A" w:rsidRDefault="008F5F05" w:rsidP="0069359D">
            <w:pPr>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Koment. Afatet kohore të parashikuara për disa nga masat, nuk janë në linjë me të tjerë dokumente strategjikë si “Udhërrëfyesi për politikën qeverisëse drejt një mjedisi mundësues për zhvillimin e shoqërisë civile 2019–2023, i rishikuar”. Për masa të parashikuara në të dy Udhërrëfyesit, është e nevojshme të unifikohen aktivitetet, treguesit, afatet dhe institucionet përgjegjëse. </w:t>
            </w:r>
          </w:p>
          <w:p w:rsidR="008F5F05" w:rsidRPr="00E01A0A" w:rsidRDefault="008F5F05" w:rsidP="0069359D">
            <w:pPr>
              <w:spacing w:after="160" w:line="259" w:lineRule="auto"/>
              <w:jc w:val="both"/>
              <w:rPr>
                <w:rFonts w:ascii="Times New Roman" w:eastAsia="Times New Roman" w:hAnsi="Times New Roman" w:cs="Times New Roman"/>
                <w:bCs/>
                <w:sz w:val="24"/>
                <w:szCs w:val="24"/>
                <w:lang w:val="it-IT"/>
              </w:rPr>
            </w:pPr>
          </w:p>
        </w:tc>
        <w:tc>
          <w:tcPr>
            <w:tcW w:w="3240" w:type="dxa"/>
          </w:tcPr>
          <w:p w:rsidR="008F5F05" w:rsidRPr="00E01A0A" w:rsidRDefault="0042000F" w:rsidP="0069359D">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t xml:space="preserve">Refuzuar </w:t>
            </w:r>
          </w:p>
        </w:tc>
        <w:tc>
          <w:tcPr>
            <w:tcW w:w="4230" w:type="dxa"/>
            <w:shd w:val="clear" w:color="auto" w:fill="auto"/>
            <w:tcMar>
              <w:top w:w="100" w:type="dxa"/>
              <w:left w:w="100" w:type="dxa"/>
              <w:bottom w:w="100" w:type="dxa"/>
              <w:right w:w="100" w:type="dxa"/>
            </w:tcMar>
          </w:tcPr>
          <w:p w:rsidR="008F5F05" w:rsidRPr="00E01A0A" w:rsidRDefault="0042000F" w:rsidP="0069359D">
            <w:pPr>
              <w:spacing w:after="160" w:line="259" w:lineRule="auto"/>
              <w:jc w:val="both"/>
              <w:rPr>
                <w:rFonts w:ascii="Times New Roman" w:hAnsi="Times New Roman" w:cs="Times New Roman"/>
                <w:sz w:val="24"/>
                <w:szCs w:val="24"/>
                <w:lang w:val="it-IT"/>
              </w:rPr>
            </w:pPr>
            <w:r w:rsidRPr="00E01A0A">
              <w:rPr>
                <w:rFonts w:ascii="Times New Roman" w:hAnsi="Times New Roman" w:cs="Times New Roman"/>
                <w:sz w:val="24"/>
                <w:szCs w:val="24"/>
                <w:lang w:val="it-IT"/>
              </w:rPr>
              <w:t>Ky dokument eshte një produkt i grupit të punës bazuar në urdhrin e kryeministrit nr. 57 /2023 “Per disa shtesa në urdhrin nr.94 datë 20.05.2019 të Kryeministrit “Për ngritjen, përbërjen dhe funksionimin e GNPIE” Link:</w:t>
            </w:r>
            <w:r w:rsidRPr="00E01A0A">
              <w:rPr>
                <w:rFonts w:ascii="Times New Roman" w:hAnsi="Times New Roman" w:cs="Times New Roman"/>
                <w:sz w:val="24"/>
                <w:szCs w:val="24"/>
              </w:rPr>
              <w:t xml:space="preserve"> </w:t>
            </w:r>
            <w:hyperlink r:id="rId10" w:history="1">
              <w:r w:rsidRPr="00E01A0A">
                <w:rPr>
                  <w:rStyle w:val="Hyperlink"/>
                  <w:rFonts w:ascii="Times New Roman" w:hAnsi="Times New Roman" w:cs="Times New Roman"/>
                  <w:sz w:val="24"/>
                  <w:szCs w:val="24"/>
                  <w:lang w:val="it-IT"/>
                </w:rPr>
                <w:t>https://www.drejtesia.gov.al/wp-content/uploads/2023/05/urdher-57-2442023.pdf</w:t>
              </w:r>
            </w:hyperlink>
            <w:r w:rsidRPr="00E01A0A">
              <w:rPr>
                <w:rFonts w:ascii="Times New Roman" w:hAnsi="Times New Roman" w:cs="Times New Roman"/>
                <w:sz w:val="24"/>
                <w:szCs w:val="24"/>
                <w:lang w:val="it-IT"/>
              </w:rPr>
              <w:t xml:space="preserve"> si dhe ka për qëllim adresimin e rekomandimeve të progres raportit si dhe të </w:t>
            </w:r>
            <w:r w:rsidR="00F6467D" w:rsidRPr="00E01A0A">
              <w:rPr>
                <w:rFonts w:ascii="Times New Roman" w:hAnsi="Times New Roman" w:cs="Times New Roman"/>
                <w:sz w:val="24"/>
                <w:szCs w:val="24"/>
                <w:lang w:val="it-IT"/>
              </w:rPr>
              <w:t xml:space="preserve">raportit te shqyrtimit analitik duke u bashkërenduar dhe dakordësuar jo vetëm së brendshmi me institucionet shqiptare por edhe me shërbimet e Komisionit Evropian. Për më tepër </w:t>
            </w:r>
            <w:r w:rsidR="00F6467D" w:rsidRPr="00E01A0A">
              <w:rPr>
                <w:rFonts w:ascii="Times New Roman" w:eastAsia="Times New Roman" w:hAnsi="Times New Roman" w:cs="Times New Roman"/>
                <w:bCs/>
                <w:sz w:val="24"/>
                <w:szCs w:val="24"/>
                <w:lang w:val="it-IT"/>
              </w:rPr>
              <w:t>Udhërrëfyesi për politikën qeverisëse drejt një mjedisi mundësues për zhvillimin e shoqërisë civile 2019–2023, i rishikuar” e ka mbyllur tashmë zbatimin e tij dhe po punohet për hartimin e një Udhërrëfyesi të ri  i cili do të bazohet plotësisht në parashikimet e Udhërrëfyesit për Funksionimin e Institucioneve Demokratike.</w:t>
            </w: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8F5F05" w:rsidRPr="00E01A0A" w:rsidRDefault="008F5F05" w:rsidP="0069359D">
            <w:pPr>
              <w:spacing w:after="120" w:line="240" w:lineRule="auto"/>
              <w:ind w:firstLine="720"/>
              <w:jc w:val="both"/>
              <w:rPr>
                <w:rFonts w:ascii="Times New Roman" w:hAnsi="Times New Roman" w:cs="Times New Roman"/>
                <w:kern w:val="32"/>
                <w:sz w:val="24"/>
                <w:szCs w:val="24"/>
                <w:lang w:val="it-IT"/>
              </w:rPr>
            </w:pPr>
            <w:r w:rsidRPr="00E01A0A">
              <w:rPr>
                <w:rFonts w:ascii="Times New Roman" w:hAnsi="Times New Roman" w:cs="Times New Roman"/>
                <w:kern w:val="32"/>
                <w:sz w:val="24"/>
                <w:szCs w:val="24"/>
                <w:lang w:val="it-IT"/>
              </w:rPr>
              <w:t>“Partnerët Shqipëri për Ndryshim dhe Zhvillim”</w:t>
            </w:r>
          </w:p>
        </w:tc>
        <w:tc>
          <w:tcPr>
            <w:tcW w:w="4610" w:type="dxa"/>
          </w:tcPr>
          <w:p w:rsidR="008F5F05" w:rsidRPr="00E01A0A" w:rsidRDefault="008F5F05" w:rsidP="0069359D">
            <w:pPr>
              <w:spacing w:after="160" w:line="259" w:lineRule="auto"/>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Në lidhje me Fushën 3, Objekti 3.1. Kuadri ligjor rreth shoqërisë civile, Masa. Miratimi i raportit të vlerësimit të monitorimit për udhërrëfyesin 2019-2023. </w:t>
            </w:r>
          </w:p>
          <w:p w:rsidR="008F5F05" w:rsidRPr="00E01A0A" w:rsidRDefault="008F5F05" w:rsidP="0069359D">
            <w:pPr>
              <w:pStyle w:val="ListParagraph"/>
              <w:ind w:left="1080"/>
              <w:jc w:val="both"/>
              <w:rPr>
                <w:rFonts w:ascii="Times New Roman" w:eastAsia="Times New Roman" w:hAnsi="Times New Roman" w:cs="Times New Roman"/>
                <w:bCs/>
                <w:sz w:val="24"/>
                <w:szCs w:val="24"/>
                <w:lang w:val="it-IT"/>
              </w:rPr>
            </w:pPr>
          </w:p>
          <w:p w:rsidR="008F5F05" w:rsidRPr="00E01A0A" w:rsidRDefault="008F5F05" w:rsidP="0069359D">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lastRenderedPageBreak/>
              <w:t xml:space="preserve">Koment. Është e nevojshme të shtohet, që miratimi i raportit të bëhet pas bërjes publike të draft raportit dhe konsultimit me shoqërinë civile. Nga praktika ndër vite, rasti është ose që nuk ka fare një raport vlerësimi të Udhërrëfyesit, ose që ka një raport që ndahet nga qeveria, e për të cilin nuk ka asnjë shpjegim si është bërë monitorimi, kush e ka bërë, cilat organizata të shoqërisë civile apo grupe interesi kanë qenë të përfshirë etj. Për rrjedhojë, vlerësimi nuk ka qenë realist dhe ka qenë në kundërshtim edhe me shumë raporte të tjera të organizatave të shoqërisë civile apo dhe raportet e progresit të BE. Ndaj, mbetet e nevojshme të shtohet si detyrim në këtë masë, konsultimi me OJF-të dhe grupet e interesit dhe miratimi i raportit pas konsultimeve. </w:t>
            </w:r>
          </w:p>
          <w:p w:rsidR="008F5F05" w:rsidRPr="00E01A0A" w:rsidRDefault="008F5F05" w:rsidP="0069359D">
            <w:pPr>
              <w:spacing w:after="160" w:line="259" w:lineRule="auto"/>
              <w:jc w:val="both"/>
              <w:rPr>
                <w:rFonts w:ascii="Times New Roman" w:eastAsia="Times New Roman" w:hAnsi="Times New Roman" w:cs="Times New Roman"/>
                <w:bCs/>
                <w:sz w:val="24"/>
                <w:szCs w:val="24"/>
                <w:lang w:val="it-IT"/>
              </w:rPr>
            </w:pPr>
          </w:p>
        </w:tc>
        <w:tc>
          <w:tcPr>
            <w:tcW w:w="3240" w:type="dxa"/>
          </w:tcPr>
          <w:p w:rsidR="008F5F05" w:rsidRPr="00E01A0A" w:rsidRDefault="00C415E0" w:rsidP="0069359D">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lastRenderedPageBreak/>
              <w:t xml:space="preserve">Pranuar </w:t>
            </w:r>
          </w:p>
        </w:tc>
        <w:tc>
          <w:tcPr>
            <w:tcW w:w="4230" w:type="dxa"/>
            <w:shd w:val="clear" w:color="auto" w:fill="auto"/>
            <w:tcMar>
              <w:top w:w="100" w:type="dxa"/>
              <w:left w:w="100" w:type="dxa"/>
              <w:bottom w:w="100" w:type="dxa"/>
              <w:right w:w="100" w:type="dxa"/>
            </w:tcMar>
          </w:tcPr>
          <w:p w:rsidR="00C415E0" w:rsidRPr="00E01A0A" w:rsidRDefault="00C415E0" w:rsidP="00C415E0">
            <w:pPr>
              <w:jc w:val="both"/>
              <w:rPr>
                <w:rFonts w:ascii="Times New Roman" w:hAnsi="Times New Roman" w:cs="Times New Roman"/>
                <w:i/>
                <w:sz w:val="24"/>
                <w:szCs w:val="24"/>
                <w:lang w:val="en-GB"/>
              </w:rPr>
            </w:pPr>
            <w:r w:rsidRPr="00E01A0A">
              <w:rPr>
                <w:rFonts w:ascii="Times New Roman" w:hAnsi="Times New Roman" w:cs="Times New Roman"/>
                <w:sz w:val="24"/>
                <w:szCs w:val="24"/>
                <w:lang w:val="it-IT"/>
              </w:rPr>
              <w:t xml:space="preserve">Masa konkrete tashmë reflekton komentin tuaj si vijon: </w:t>
            </w:r>
            <w:r w:rsidRPr="00E01A0A">
              <w:rPr>
                <w:rFonts w:ascii="Times New Roman" w:hAnsi="Times New Roman" w:cs="Times New Roman"/>
                <w:i/>
                <w:sz w:val="24"/>
                <w:szCs w:val="24"/>
                <w:lang w:val="en-GB"/>
              </w:rPr>
              <w:t xml:space="preserve">Publikimi, konsultimi dhe miratimi i raportit të vlerësimit të monitorimit për udhërrëfyesin 2019-2023 </w:t>
            </w:r>
            <w:r w:rsidRPr="00E01A0A">
              <w:rPr>
                <w:rFonts w:ascii="Times New Roman" w:hAnsi="Times New Roman" w:cs="Times New Roman"/>
                <w:i/>
                <w:sz w:val="24"/>
                <w:szCs w:val="24"/>
                <w:lang w:val="en-GB"/>
              </w:rPr>
              <w:lastRenderedPageBreak/>
              <w:t>për krijimin e një mjedisi favorizues për OSHC-të brenda vitit 2024.</w:t>
            </w:r>
          </w:p>
          <w:p w:rsidR="008F5F05" w:rsidRPr="00E01A0A" w:rsidRDefault="008F5F05" w:rsidP="0069359D">
            <w:pPr>
              <w:spacing w:after="160" w:line="259" w:lineRule="auto"/>
              <w:jc w:val="both"/>
              <w:rPr>
                <w:rFonts w:ascii="Times New Roman" w:hAnsi="Times New Roman" w:cs="Times New Roman"/>
                <w:sz w:val="24"/>
                <w:szCs w:val="24"/>
                <w:lang w:val="it-IT"/>
              </w:rPr>
            </w:pP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8F5F05" w:rsidRPr="00E01A0A" w:rsidRDefault="008F5F05" w:rsidP="0069359D">
            <w:pPr>
              <w:spacing w:after="120" w:line="240" w:lineRule="auto"/>
              <w:ind w:firstLine="720"/>
              <w:jc w:val="both"/>
              <w:rPr>
                <w:rFonts w:ascii="Times New Roman" w:hAnsi="Times New Roman" w:cs="Times New Roman"/>
                <w:kern w:val="32"/>
                <w:sz w:val="24"/>
                <w:szCs w:val="24"/>
                <w:lang w:val="it-IT"/>
              </w:rPr>
            </w:pPr>
            <w:r w:rsidRPr="00E01A0A">
              <w:rPr>
                <w:rFonts w:ascii="Times New Roman" w:hAnsi="Times New Roman" w:cs="Times New Roman"/>
                <w:kern w:val="32"/>
                <w:sz w:val="24"/>
                <w:szCs w:val="24"/>
                <w:lang w:val="it-IT"/>
              </w:rPr>
              <w:lastRenderedPageBreak/>
              <w:t>“Partnerët Shqipëri për Ndryshim dhe Zhvillim”</w:t>
            </w:r>
          </w:p>
        </w:tc>
        <w:tc>
          <w:tcPr>
            <w:tcW w:w="4610" w:type="dxa"/>
          </w:tcPr>
          <w:p w:rsidR="008F5F05" w:rsidRPr="00E01A0A" w:rsidRDefault="008F5F05" w:rsidP="0069359D">
            <w:pPr>
              <w:spacing w:after="160" w:line="259" w:lineRule="auto"/>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Në lidhje me Fushën 3, Objekti 3.1. Kuadri ligjor rreth shoqërisë civile, Masa. Miratimi i Udhërrëfyesit të ri për mjedisin mundësues për OSHC-të 2024-2027 brenda vitit 2024.</w:t>
            </w:r>
          </w:p>
          <w:p w:rsidR="008F5F05" w:rsidRPr="00E01A0A" w:rsidRDefault="008F5F05" w:rsidP="0069359D">
            <w:pPr>
              <w:pStyle w:val="ListParagraph"/>
              <w:ind w:left="1080"/>
              <w:jc w:val="both"/>
              <w:textAlignment w:val="baseline"/>
              <w:rPr>
                <w:rFonts w:ascii="Times New Roman" w:eastAsia="Times New Roman" w:hAnsi="Times New Roman" w:cs="Times New Roman"/>
                <w:bCs/>
                <w:sz w:val="24"/>
                <w:szCs w:val="24"/>
                <w:lang w:val="it-IT"/>
              </w:rPr>
            </w:pPr>
          </w:p>
          <w:p w:rsidR="008F5F05" w:rsidRPr="00E01A0A" w:rsidRDefault="008F5F05" w:rsidP="0069359D">
            <w:pPr>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Koment. Është e nevojshme sërish të parashkohet, miratimi i udhërrëfyesit pas një</w:t>
            </w:r>
          </w:p>
          <w:p w:rsidR="008F5F05" w:rsidRPr="00E01A0A" w:rsidRDefault="008F5F05" w:rsidP="0069359D">
            <w:pPr>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konsultimi të gjerë me OJF-të dhe grupet e interesit. Udhërrëfyesi i ri duhet hartuar</w:t>
            </w:r>
          </w:p>
          <w:p w:rsidR="008F5F05" w:rsidRPr="00E01A0A" w:rsidRDefault="008F5F05" w:rsidP="0069359D">
            <w:pPr>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lastRenderedPageBreak/>
              <w:t>bazuar në një vlerësim sa më real të Udhërrëfyesit të mëparshëm, në linjë me</w:t>
            </w:r>
          </w:p>
          <w:p w:rsidR="008F5F05" w:rsidRPr="00E01A0A" w:rsidRDefault="008F5F05" w:rsidP="0069359D">
            <w:pPr>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dokumente të tjerë strategjikë të miratuar (si ky Udhërrëfyes) dhe në linjë me</w:t>
            </w:r>
          </w:p>
          <w:p w:rsidR="008F5F05" w:rsidRPr="00E01A0A" w:rsidRDefault="008F5F05" w:rsidP="0069359D">
            <w:pPr>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sz w:val="24"/>
                <w:szCs w:val="24"/>
                <w:lang w:val="it-IT"/>
              </w:rPr>
              <w:t>Udhëzuesin</w:t>
            </w:r>
            <w:r w:rsidRPr="00E01A0A">
              <w:rPr>
                <w:rFonts w:ascii="Times New Roman" w:eastAsia="Times New Roman" w:hAnsi="Times New Roman" w:cs="Times New Roman"/>
                <w:bCs/>
                <w:sz w:val="24"/>
                <w:szCs w:val="24"/>
                <w:lang w:val="it-IT"/>
              </w:rPr>
              <w:t> e BE </w:t>
            </w:r>
            <w:r w:rsidRPr="00E01A0A">
              <w:rPr>
                <w:rFonts w:ascii="Times New Roman" w:eastAsia="Times New Roman" w:hAnsi="Times New Roman" w:cs="Times New Roman"/>
                <w:sz w:val="24"/>
                <w:szCs w:val="24"/>
                <w:lang w:val="it-IT"/>
              </w:rPr>
              <w:t>për</w:t>
            </w:r>
            <w:r w:rsidRPr="00E01A0A">
              <w:rPr>
                <w:rFonts w:ascii="Times New Roman" w:eastAsia="Times New Roman" w:hAnsi="Times New Roman" w:cs="Times New Roman"/>
                <w:bCs/>
                <w:sz w:val="24"/>
                <w:szCs w:val="24"/>
                <w:lang w:val="it-IT"/>
              </w:rPr>
              <w:t> mbështetjen e shoqërisë </w:t>
            </w:r>
            <w:r w:rsidRPr="00E01A0A">
              <w:rPr>
                <w:rFonts w:ascii="Times New Roman" w:eastAsia="Times New Roman" w:hAnsi="Times New Roman" w:cs="Times New Roman"/>
                <w:sz w:val="24"/>
                <w:szCs w:val="24"/>
                <w:lang w:val="it-IT"/>
              </w:rPr>
              <w:t>civile për</w:t>
            </w:r>
            <w:r w:rsidRPr="00E01A0A">
              <w:rPr>
                <w:rFonts w:ascii="Times New Roman" w:eastAsia="Times New Roman" w:hAnsi="Times New Roman" w:cs="Times New Roman"/>
                <w:bCs/>
                <w:sz w:val="24"/>
                <w:szCs w:val="24"/>
                <w:lang w:val="it-IT"/>
              </w:rPr>
              <w:t xml:space="preserve"> vendet e zgjerimit. </w:t>
            </w:r>
          </w:p>
          <w:p w:rsidR="008F5F05" w:rsidRPr="00E01A0A" w:rsidRDefault="008F5F05" w:rsidP="0069359D">
            <w:pPr>
              <w:spacing w:after="160" w:line="259" w:lineRule="auto"/>
              <w:jc w:val="both"/>
              <w:rPr>
                <w:rFonts w:ascii="Times New Roman" w:eastAsia="Times New Roman" w:hAnsi="Times New Roman" w:cs="Times New Roman"/>
                <w:bCs/>
                <w:sz w:val="24"/>
                <w:szCs w:val="24"/>
                <w:lang w:val="it-IT"/>
              </w:rPr>
            </w:pPr>
          </w:p>
        </w:tc>
        <w:tc>
          <w:tcPr>
            <w:tcW w:w="3240" w:type="dxa"/>
          </w:tcPr>
          <w:p w:rsidR="008F5F05" w:rsidRPr="00E01A0A" w:rsidRDefault="00C415E0" w:rsidP="0069359D">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lastRenderedPageBreak/>
              <w:t xml:space="preserve">Pranuar </w:t>
            </w:r>
          </w:p>
        </w:tc>
        <w:tc>
          <w:tcPr>
            <w:tcW w:w="4230" w:type="dxa"/>
            <w:shd w:val="clear" w:color="auto" w:fill="auto"/>
            <w:tcMar>
              <w:top w:w="100" w:type="dxa"/>
              <w:left w:w="100" w:type="dxa"/>
              <w:bottom w:w="100" w:type="dxa"/>
              <w:right w:w="100" w:type="dxa"/>
            </w:tcMar>
          </w:tcPr>
          <w:p w:rsidR="008F5F05" w:rsidRPr="00E01A0A" w:rsidRDefault="00C415E0" w:rsidP="0069359D">
            <w:pPr>
              <w:spacing w:after="160" w:line="259" w:lineRule="auto"/>
              <w:jc w:val="both"/>
              <w:rPr>
                <w:rFonts w:ascii="Times New Roman" w:hAnsi="Times New Roman" w:cs="Times New Roman"/>
                <w:sz w:val="24"/>
                <w:szCs w:val="24"/>
                <w:lang w:val="it-IT"/>
              </w:rPr>
            </w:pPr>
            <w:r w:rsidRPr="00E01A0A">
              <w:rPr>
                <w:rFonts w:ascii="Times New Roman" w:hAnsi="Times New Roman" w:cs="Times New Roman"/>
                <w:sz w:val="24"/>
                <w:szCs w:val="24"/>
                <w:lang w:val="it-IT"/>
              </w:rPr>
              <w:t xml:space="preserve">Masa konkrete tashmë reflekton komentun tuaj si vijon: </w:t>
            </w:r>
            <w:r w:rsidRPr="00E01A0A">
              <w:rPr>
                <w:rFonts w:ascii="Times New Roman" w:hAnsi="Times New Roman" w:cs="Times New Roman"/>
                <w:i/>
                <w:sz w:val="24"/>
                <w:szCs w:val="24"/>
                <w:lang w:val="en-GB"/>
              </w:rPr>
              <w:t>Publikimi, konsultimi dhe miratimi i Udhërrëfyesit të ri për mjedisin mundësues për OSHC-të 2024-2027 realizohet brenda vitit 2024.</w:t>
            </w: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8F5F05" w:rsidRPr="00E01A0A" w:rsidRDefault="008F5F05" w:rsidP="0069359D">
            <w:pPr>
              <w:spacing w:after="120" w:line="240" w:lineRule="auto"/>
              <w:ind w:firstLine="720"/>
              <w:jc w:val="both"/>
              <w:rPr>
                <w:rFonts w:ascii="Times New Roman" w:hAnsi="Times New Roman" w:cs="Times New Roman"/>
                <w:kern w:val="32"/>
                <w:sz w:val="24"/>
                <w:szCs w:val="24"/>
                <w:lang w:val="it-IT"/>
              </w:rPr>
            </w:pPr>
            <w:r w:rsidRPr="00E01A0A">
              <w:rPr>
                <w:rFonts w:ascii="Times New Roman" w:hAnsi="Times New Roman" w:cs="Times New Roman"/>
                <w:kern w:val="32"/>
                <w:sz w:val="24"/>
                <w:szCs w:val="24"/>
                <w:lang w:val="it-IT"/>
              </w:rPr>
              <w:t>“Partnerët Shqipëri për Ndryshim dhe Zhvillim”</w:t>
            </w:r>
          </w:p>
        </w:tc>
        <w:tc>
          <w:tcPr>
            <w:tcW w:w="4610" w:type="dxa"/>
          </w:tcPr>
          <w:p w:rsidR="008F5F05" w:rsidRPr="00E01A0A" w:rsidRDefault="008F5F05" w:rsidP="0069359D">
            <w:pPr>
              <w:spacing w:after="160" w:line="259" w:lineRule="auto"/>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rPr>
              <w:t xml:space="preserve">Në lidhje me </w:t>
            </w:r>
            <w:r w:rsidRPr="00E01A0A">
              <w:rPr>
                <w:rFonts w:ascii="Times New Roman" w:eastAsia="Times New Roman" w:hAnsi="Times New Roman" w:cs="Times New Roman"/>
                <w:bCs/>
                <w:sz w:val="24"/>
                <w:szCs w:val="24"/>
                <w:lang w:val="it-IT"/>
              </w:rPr>
              <w:t xml:space="preserve">Fushën 3, Objekti 3.1. Kuadri ligjor rreth shoqërisë civile, në kolonën e zbatimit dhe kapacitetit, parashikohet “Procedurat administrative të procesit të dhënies së granteve të AMSHC do të përmirësohen brenda vitit 2025”. </w:t>
            </w:r>
          </w:p>
          <w:p w:rsidR="008F5F05" w:rsidRPr="00E01A0A" w:rsidRDefault="008F5F05" w:rsidP="0069359D">
            <w:pPr>
              <w:pStyle w:val="ListParagraph"/>
              <w:ind w:left="1080"/>
              <w:jc w:val="both"/>
              <w:rPr>
                <w:rFonts w:ascii="Times New Roman" w:eastAsia="Times New Roman" w:hAnsi="Times New Roman" w:cs="Times New Roman"/>
                <w:bCs/>
                <w:sz w:val="24"/>
                <w:szCs w:val="24"/>
                <w:lang w:val="it-IT"/>
              </w:rPr>
            </w:pPr>
          </w:p>
          <w:p w:rsidR="008F5F05" w:rsidRPr="00E01A0A" w:rsidRDefault="008F5F05" w:rsidP="0069359D">
            <w:pPr>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Koment. Në lidhje me AMSHC dhe funksionimin e saj, mbetet e nevojshme të bëhet një transparencë e plotë e veprimtarisë së saj. Nëse parashikohet përmirësimi i procedurave administrative të procesit të grantdhënies, është e nevojshme të paraqitet në mënyrë eksplicite si bëhet transparenca. Përcaktimi i masave si përgatitja e raporteve të impaktit të granteve, publikimi i shumës së grantit, listës së detajuar me projektet dhe organizatat e mbështetura, kontratave etj. mbeten të nevojshme në këtë drejtim. </w:t>
            </w:r>
          </w:p>
          <w:p w:rsidR="008F5F05" w:rsidRPr="00E01A0A" w:rsidRDefault="008F5F05" w:rsidP="0069359D">
            <w:pPr>
              <w:pStyle w:val="ListParagraph"/>
              <w:ind w:left="1080"/>
              <w:jc w:val="both"/>
              <w:rPr>
                <w:rFonts w:ascii="Times New Roman" w:eastAsia="Times New Roman" w:hAnsi="Times New Roman" w:cs="Times New Roman"/>
                <w:bCs/>
                <w:sz w:val="24"/>
                <w:szCs w:val="24"/>
                <w:lang w:val="it-IT"/>
              </w:rPr>
            </w:pPr>
          </w:p>
          <w:p w:rsidR="008F5F05" w:rsidRPr="00E01A0A" w:rsidRDefault="008F5F05" w:rsidP="0069359D">
            <w:pPr>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lastRenderedPageBreak/>
              <w:t xml:space="preserve">Gjithashtu, bazuar në gjetjet e raporteve të monitorimit të mjedisit mundësues të sektorit të shoqërisë civile, si dhe në raportet periodike të progresit publikuar nga BE, mbështetja me fonde publike e organizatave të shoqërisë civile mbetet e limituar. Fondi për grante për OJF-të, ka shumë vite që mbetet pothuaj i njëjtë (me një rënie gjatë periudhës së COVID 19), ndërkohë që nuk ka pse të mbetet në të njëjtat nivele. Ky fond duhet të rritet për të reflektuar nevojat e sektorit dhe ndryshimet e ndodhura që nga krijimi i AMSHC. Është e nevojshme të rritet mbështetja e AMSHC me grante për OJF-të, si për mbështetjen e projekteve të reja ashtu edhe për të mbuluar bashkëfinancimin e projekteve të donatorëve të huaj. Mbështetja institucionale e OJF-ve duhet gjithashtu të reflektohet tek shpërndarja e granteve, sepse edhe pse është e parashikuar, nuk është zbatuar asnjëherë.  </w:t>
            </w:r>
          </w:p>
          <w:p w:rsidR="008F5F05" w:rsidRPr="00E01A0A" w:rsidRDefault="008F5F05" w:rsidP="0069359D">
            <w:pPr>
              <w:spacing w:after="160" w:line="259" w:lineRule="auto"/>
              <w:jc w:val="both"/>
              <w:textAlignment w:val="baseline"/>
              <w:rPr>
                <w:rFonts w:ascii="Times New Roman" w:eastAsia="Times New Roman" w:hAnsi="Times New Roman" w:cs="Times New Roman"/>
                <w:bCs/>
                <w:sz w:val="24"/>
                <w:szCs w:val="24"/>
                <w:lang w:val="it-IT"/>
              </w:rPr>
            </w:pPr>
          </w:p>
        </w:tc>
        <w:tc>
          <w:tcPr>
            <w:tcW w:w="3240" w:type="dxa"/>
          </w:tcPr>
          <w:p w:rsidR="008F5F05" w:rsidRPr="00E01A0A" w:rsidRDefault="00C415E0" w:rsidP="0069359D">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lastRenderedPageBreak/>
              <w:t>Pranuar pjesërisht</w:t>
            </w:r>
          </w:p>
        </w:tc>
        <w:tc>
          <w:tcPr>
            <w:tcW w:w="4230" w:type="dxa"/>
            <w:shd w:val="clear" w:color="auto" w:fill="auto"/>
            <w:tcMar>
              <w:top w:w="100" w:type="dxa"/>
              <w:left w:w="100" w:type="dxa"/>
              <w:bottom w:w="100" w:type="dxa"/>
              <w:right w:w="100" w:type="dxa"/>
            </w:tcMar>
          </w:tcPr>
          <w:p w:rsidR="00C415E0" w:rsidRPr="00E01A0A" w:rsidRDefault="00C415E0" w:rsidP="00C415E0">
            <w:pPr>
              <w:jc w:val="both"/>
              <w:rPr>
                <w:rFonts w:ascii="Times New Roman" w:hAnsi="Times New Roman" w:cs="Times New Roman"/>
                <w:sz w:val="24"/>
                <w:szCs w:val="24"/>
                <w:lang w:val="en-GB"/>
              </w:rPr>
            </w:pPr>
            <w:r w:rsidRPr="00E01A0A">
              <w:rPr>
                <w:rFonts w:ascii="Times New Roman" w:hAnsi="Times New Roman" w:cs="Times New Roman"/>
                <w:sz w:val="24"/>
                <w:szCs w:val="24"/>
                <w:lang w:val="it-IT"/>
              </w:rPr>
              <w:t xml:space="preserve">Masa konkrete e parashikuar në udhërrëfyes: </w:t>
            </w:r>
            <w:r w:rsidRPr="00E01A0A">
              <w:rPr>
                <w:rFonts w:ascii="Times New Roman" w:hAnsi="Times New Roman" w:cs="Times New Roman"/>
                <w:bCs/>
                <w:i/>
                <w:sz w:val="24"/>
                <w:szCs w:val="24"/>
                <w:lang w:val="en-GB"/>
              </w:rPr>
              <w:t xml:space="preserve">Procedurat administrative </w:t>
            </w:r>
            <w:r w:rsidRPr="00E01A0A">
              <w:rPr>
                <w:rFonts w:ascii="Times New Roman" w:hAnsi="Times New Roman" w:cs="Times New Roman"/>
                <w:i/>
                <w:sz w:val="24"/>
                <w:szCs w:val="24"/>
                <w:lang w:val="en-GB"/>
              </w:rPr>
              <w:t>për menaxhimin e të gjitha fondeve publike (përfshirë Agjencinë Kombëtare për Mbështetjen e Shoqërisë Civile) përmirësohet brenda vitit 2025 dhe financimi publik rritet për t'u mundësuar OSHC-ve të kryejnë rolet e tyre si ofrues shërbimesh që nga</w:t>
            </w:r>
            <w:r w:rsidR="00FA5203" w:rsidRPr="00E01A0A">
              <w:rPr>
                <w:rFonts w:ascii="Times New Roman" w:hAnsi="Times New Roman" w:cs="Times New Roman"/>
                <w:i/>
                <w:sz w:val="24"/>
                <w:szCs w:val="24"/>
                <w:lang w:val="en-GB"/>
              </w:rPr>
              <w:t xml:space="preserve"> viti 2026 </w:t>
            </w:r>
            <w:r w:rsidR="00FA5203" w:rsidRPr="00E01A0A">
              <w:rPr>
                <w:rFonts w:ascii="Times New Roman" w:hAnsi="Times New Roman" w:cs="Times New Roman"/>
                <w:sz w:val="24"/>
                <w:szCs w:val="24"/>
                <w:lang w:val="en-GB"/>
              </w:rPr>
              <w:t xml:space="preserve">është dakordësuar me shërbimet e Komisionit Evropian dhe për sa I përket nivelit të detajimit të masave të parashikuara në këtë draft udhërrëfyes për shkak të metodologjisë së sjellë nuk mund të shkohet në detaje, por Draft Udhërrëfyesi I ri për mjedisin mundësues për shoqërinë civile që pritet të miratohet brenda vitit 2024 do të përcaktojë mënyrën e qartë të bërjes së transparencës përfshirë këtu dhe sa I përket përgatitjes së raporteve të impaktit të granteve. </w:t>
            </w:r>
          </w:p>
          <w:p w:rsidR="008F5F05" w:rsidRPr="00E01A0A" w:rsidRDefault="008F5F05" w:rsidP="0069359D">
            <w:pPr>
              <w:spacing w:after="160" w:line="259" w:lineRule="auto"/>
              <w:jc w:val="both"/>
              <w:rPr>
                <w:rFonts w:ascii="Times New Roman" w:hAnsi="Times New Roman" w:cs="Times New Roman"/>
                <w:sz w:val="24"/>
                <w:szCs w:val="24"/>
                <w:lang w:val="it-IT"/>
              </w:rPr>
            </w:pP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2C023C" w:rsidRPr="00E01A0A" w:rsidRDefault="002C023C" w:rsidP="0069359D">
            <w:pPr>
              <w:spacing w:after="120" w:line="240" w:lineRule="auto"/>
              <w:ind w:firstLine="720"/>
              <w:jc w:val="both"/>
              <w:rPr>
                <w:rFonts w:ascii="Times New Roman" w:hAnsi="Times New Roman" w:cs="Times New Roman"/>
                <w:kern w:val="32"/>
                <w:sz w:val="24"/>
                <w:szCs w:val="24"/>
                <w:lang w:val="it-IT"/>
              </w:rPr>
            </w:pPr>
            <w:r w:rsidRPr="00E01A0A">
              <w:rPr>
                <w:rFonts w:ascii="Times New Roman" w:hAnsi="Times New Roman" w:cs="Times New Roman"/>
                <w:kern w:val="32"/>
                <w:sz w:val="24"/>
                <w:szCs w:val="24"/>
                <w:lang w:val="it-IT"/>
              </w:rPr>
              <w:lastRenderedPageBreak/>
              <w:t>“Partnerët Shqipëri për Ndryshim dhe Zhvillim”</w:t>
            </w:r>
          </w:p>
        </w:tc>
        <w:tc>
          <w:tcPr>
            <w:tcW w:w="4610" w:type="dxa"/>
          </w:tcPr>
          <w:p w:rsidR="002C023C" w:rsidRPr="00E01A0A" w:rsidRDefault="002C023C" w:rsidP="0069359D">
            <w:pPr>
              <w:spacing w:after="160" w:line="259" w:lineRule="auto"/>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Në lidhje me Fushën 3, Objekti 3.1. Kuadri ligjor rreth shoqërisë civile, Masa. Korniza legjislative për Këshillin Kombëtar ndryshohet për të përmirësuar funksionimin e tij dhe për të siguruar përfshirje më të madhe të institucioneve publike dhe përfaqësuesve të shoqërisë civile brenda vitit 2026. </w:t>
            </w:r>
          </w:p>
          <w:p w:rsidR="002C023C" w:rsidRPr="00E01A0A" w:rsidRDefault="002C023C" w:rsidP="0069359D">
            <w:pPr>
              <w:pStyle w:val="ListParagraph"/>
              <w:ind w:left="1080"/>
              <w:jc w:val="both"/>
              <w:rPr>
                <w:rFonts w:ascii="Times New Roman" w:eastAsia="Times New Roman" w:hAnsi="Times New Roman" w:cs="Times New Roman"/>
                <w:bCs/>
                <w:sz w:val="24"/>
                <w:szCs w:val="24"/>
                <w:lang w:val="it-IT"/>
              </w:rPr>
            </w:pPr>
          </w:p>
          <w:p w:rsidR="002C023C" w:rsidRPr="00E01A0A" w:rsidRDefault="002C023C" w:rsidP="0069359D">
            <w:pPr>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Koment. Këshilli Kombëtar për Shoqërinë Civile (KKSHC) është organi këshillues për dialogun dhe bashkëpunimin me OJF-të, funksion i cili mbetet i papërmbushur ndër vite. Përmirësimi i funksionimit nuk ka lidhje aq me ndryshimin e kornizës legjslative, sesa me zbatimin e ligjit. Ndër vite, megjithëse ligji përcakton zhvillimin e mbledhjeve periodike që thirren nga Kryetari i KKSHC, mbledhjet nuk zhvillohen ose dhe në rastet që zhvillohen janë shumë formale dhe limitohen në miratimin e anëtarësisë dhe jo në diskutimin e cështjeve prioritare për sektorin e OJF-ve. Edhe nëse do ketë ndryshime dhe përmirësime në kuadrin ligjor, mbetet i nevojshëm zbatimi i ligjit. Transparenca e veprimtarisë së KKSHC dhe publikimi i veprimtarisë së saj, përfshi mbledhjet periodike, diskutimet dhe monitorimi i masave/aksioneve të propozuara, rritja e bashkëpunimit me sektorin jofitimprurës, mbeten shumë të nevojshme për përmirësimin e funksionimit të KKSHC. Bazuar në sa më lart, përmirësimi i funksionimit nuk është e nevojshme të presë deri në 2026 kur të ndodhin ndryshimet ligjore, por duhen marrë masa të menjëhershme për përmirësim. </w:t>
            </w:r>
          </w:p>
          <w:p w:rsidR="002C023C" w:rsidRPr="00E01A0A" w:rsidRDefault="002C023C" w:rsidP="0069359D">
            <w:pPr>
              <w:spacing w:after="160" w:line="259" w:lineRule="auto"/>
              <w:jc w:val="both"/>
              <w:rPr>
                <w:rFonts w:ascii="Times New Roman" w:eastAsia="Times New Roman" w:hAnsi="Times New Roman" w:cs="Times New Roman"/>
                <w:bCs/>
                <w:sz w:val="24"/>
                <w:szCs w:val="24"/>
                <w:lang w:val="it-IT"/>
              </w:rPr>
            </w:pPr>
          </w:p>
        </w:tc>
        <w:tc>
          <w:tcPr>
            <w:tcW w:w="3240" w:type="dxa"/>
          </w:tcPr>
          <w:p w:rsidR="002C023C" w:rsidRPr="00E01A0A" w:rsidRDefault="00930FBB" w:rsidP="0069359D">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lastRenderedPageBreak/>
              <w:t xml:space="preserve">Pranuar pjesërisht        </w:t>
            </w:r>
          </w:p>
        </w:tc>
        <w:tc>
          <w:tcPr>
            <w:tcW w:w="4230" w:type="dxa"/>
            <w:shd w:val="clear" w:color="auto" w:fill="auto"/>
            <w:tcMar>
              <w:top w:w="100" w:type="dxa"/>
              <w:left w:w="100" w:type="dxa"/>
              <w:bottom w:w="100" w:type="dxa"/>
              <w:right w:w="100" w:type="dxa"/>
            </w:tcMar>
          </w:tcPr>
          <w:p w:rsidR="002C023C" w:rsidRPr="00E01A0A" w:rsidRDefault="00930FBB" w:rsidP="0069359D">
            <w:pPr>
              <w:spacing w:after="160" w:line="259" w:lineRule="auto"/>
              <w:jc w:val="both"/>
              <w:rPr>
                <w:rFonts w:ascii="Times New Roman" w:hAnsi="Times New Roman" w:cs="Times New Roman"/>
                <w:sz w:val="24"/>
                <w:szCs w:val="24"/>
              </w:rPr>
            </w:pPr>
            <w:r w:rsidRPr="00E01A0A">
              <w:rPr>
                <w:rFonts w:ascii="Times New Roman" w:hAnsi="Times New Roman" w:cs="Times New Roman"/>
                <w:b/>
                <w:sz w:val="24"/>
                <w:szCs w:val="24"/>
              </w:rPr>
              <w:t>Vlerësim i AMSHC</w:t>
            </w:r>
            <w:r w:rsidRPr="00E01A0A">
              <w:rPr>
                <w:rFonts w:ascii="Times New Roman" w:hAnsi="Times New Roman" w:cs="Times New Roman"/>
                <w:sz w:val="24"/>
                <w:szCs w:val="24"/>
              </w:rPr>
              <w:t xml:space="preserve">: </w:t>
            </w:r>
            <w:r w:rsidR="00D945C8" w:rsidRPr="00E01A0A">
              <w:rPr>
                <w:rFonts w:ascii="Times New Roman" w:hAnsi="Times New Roman" w:cs="Times New Roman"/>
                <w:sz w:val="24"/>
                <w:szCs w:val="24"/>
              </w:rPr>
              <w:t>Anetar</w:t>
            </w:r>
            <w:r w:rsidR="00747A5A" w:rsidRPr="00E01A0A">
              <w:rPr>
                <w:rFonts w:ascii="Times New Roman" w:hAnsi="Times New Roman" w:cs="Times New Roman"/>
                <w:sz w:val="24"/>
                <w:szCs w:val="24"/>
              </w:rPr>
              <w:t>ë</w:t>
            </w:r>
            <w:r w:rsidR="00D945C8" w:rsidRPr="00E01A0A">
              <w:rPr>
                <w:rFonts w:ascii="Times New Roman" w:hAnsi="Times New Roman" w:cs="Times New Roman"/>
                <w:sz w:val="24"/>
                <w:szCs w:val="24"/>
              </w:rPr>
              <w:t>t e qeveris</w:t>
            </w:r>
            <w:r w:rsidR="00747A5A" w:rsidRPr="00E01A0A">
              <w:rPr>
                <w:rFonts w:ascii="Times New Roman" w:hAnsi="Times New Roman" w:cs="Times New Roman"/>
                <w:sz w:val="24"/>
                <w:szCs w:val="24"/>
              </w:rPr>
              <w:t>ë</w:t>
            </w:r>
            <w:r w:rsidR="00D945C8" w:rsidRPr="00E01A0A">
              <w:rPr>
                <w:rFonts w:ascii="Times New Roman" w:hAnsi="Times New Roman" w:cs="Times New Roman"/>
                <w:sz w:val="24"/>
                <w:szCs w:val="24"/>
              </w:rPr>
              <w:t xml:space="preserve"> pjes</w:t>
            </w:r>
            <w:r w:rsidR="00747A5A" w:rsidRPr="00E01A0A">
              <w:rPr>
                <w:rFonts w:ascii="Times New Roman" w:hAnsi="Times New Roman" w:cs="Times New Roman"/>
                <w:sz w:val="24"/>
                <w:szCs w:val="24"/>
              </w:rPr>
              <w:t>ë</w:t>
            </w:r>
            <w:r w:rsidR="00D945C8" w:rsidRPr="00E01A0A">
              <w:rPr>
                <w:rFonts w:ascii="Times New Roman" w:hAnsi="Times New Roman" w:cs="Times New Roman"/>
                <w:sz w:val="24"/>
                <w:szCs w:val="24"/>
              </w:rPr>
              <w:t xml:space="preserve"> e KKSHC-se jan</w:t>
            </w:r>
            <w:r w:rsidR="00747A5A" w:rsidRPr="00E01A0A">
              <w:rPr>
                <w:rFonts w:ascii="Times New Roman" w:hAnsi="Times New Roman" w:cs="Times New Roman"/>
                <w:sz w:val="24"/>
                <w:szCs w:val="24"/>
              </w:rPr>
              <w:t>ë</w:t>
            </w:r>
            <w:r w:rsidR="00D945C8" w:rsidRPr="00E01A0A">
              <w:rPr>
                <w:rFonts w:ascii="Times New Roman" w:hAnsi="Times New Roman" w:cs="Times New Roman"/>
                <w:sz w:val="24"/>
                <w:szCs w:val="24"/>
              </w:rPr>
              <w:t xml:space="preserve"> t</w:t>
            </w:r>
            <w:r w:rsidR="00747A5A" w:rsidRPr="00E01A0A">
              <w:rPr>
                <w:rFonts w:ascii="Times New Roman" w:hAnsi="Times New Roman" w:cs="Times New Roman"/>
                <w:sz w:val="24"/>
                <w:szCs w:val="24"/>
              </w:rPr>
              <w:t>ë</w:t>
            </w:r>
            <w:r w:rsidR="00D945C8" w:rsidRPr="00E01A0A">
              <w:rPr>
                <w:rFonts w:ascii="Times New Roman" w:hAnsi="Times New Roman" w:cs="Times New Roman"/>
                <w:sz w:val="24"/>
                <w:szCs w:val="24"/>
              </w:rPr>
              <w:t xml:space="preserve"> p</w:t>
            </w:r>
            <w:r w:rsidR="00747A5A" w:rsidRPr="00E01A0A">
              <w:rPr>
                <w:rFonts w:ascii="Times New Roman" w:hAnsi="Times New Roman" w:cs="Times New Roman"/>
                <w:sz w:val="24"/>
                <w:szCs w:val="24"/>
              </w:rPr>
              <w:t>ë</w:t>
            </w:r>
            <w:r w:rsidR="00D945C8" w:rsidRPr="00E01A0A">
              <w:rPr>
                <w:rFonts w:ascii="Times New Roman" w:hAnsi="Times New Roman" w:cs="Times New Roman"/>
                <w:sz w:val="24"/>
                <w:szCs w:val="24"/>
              </w:rPr>
              <w:t>rcaktur me Ligjin nr.119/2015. P</w:t>
            </w:r>
            <w:r w:rsidR="00747A5A" w:rsidRPr="00E01A0A">
              <w:rPr>
                <w:rFonts w:ascii="Times New Roman" w:hAnsi="Times New Roman" w:cs="Times New Roman"/>
                <w:sz w:val="24"/>
                <w:szCs w:val="24"/>
              </w:rPr>
              <w:t>ë</w:t>
            </w:r>
            <w:r w:rsidR="00D945C8" w:rsidRPr="00E01A0A">
              <w:rPr>
                <w:rFonts w:ascii="Times New Roman" w:hAnsi="Times New Roman" w:cs="Times New Roman"/>
                <w:sz w:val="24"/>
                <w:szCs w:val="24"/>
              </w:rPr>
              <w:t>r rrjedhoj</w:t>
            </w:r>
            <w:r w:rsidR="00747A5A" w:rsidRPr="00E01A0A">
              <w:rPr>
                <w:rFonts w:ascii="Times New Roman" w:hAnsi="Times New Roman" w:cs="Times New Roman"/>
                <w:sz w:val="24"/>
                <w:szCs w:val="24"/>
              </w:rPr>
              <w:t>ë</w:t>
            </w:r>
            <w:r w:rsidR="00D945C8" w:rsidRPr="00E01A0A">
              <w:rPr>
                <w:rFonts w:ascii="Times New Roman" w:hAnsi="Times New Roman" w:cs="Times New Roman"/>
                <w:sz w:val="24"/>
                <w:szCs w:val="24"/>
              </w:rPr>
              <w:t xml:space="preserve"> </w:t>
            </w:r>
            <w:r w:rsidR="00747A5A" w:rsidRPr="00E01A0A">
              <w:rPr>
                <w:rFonts w:ascii="Times New Roman" w:hAnsi="Times New Roman" w:cs="Times New Roman"/>
                <w:sz w:val="24"/>
                <w:szCs w:val="24"/>
              </w:rPr>
              <w:t>ç</w:t>
            </w:r>
            <w:r w:rsidR="00D945C8" w:rsidRPr="00E01A0A">
              <w:rPr>
                <w:rFonts w:ascii="Times New Roman" w:hAnsi="Times New Roman" w:cs="Times New Roman"/>
                <w:sz w:val="24"/>
                <w:szCs w:val="24"/>
              </w:rPr>
              <w:t>do ndryshim n</w:t>
            </w:r>
            <w:r w:rsidR="00747A5A" w:rsidRPr="00E01A0A">
              <w:rPr>
                <w:rFonts w:ascii="Times New Roman" w:hAnsi="Times New Roman" w:cs="Times New Roman"/>
                <w:sz w:val="24"/>
                <w:szCs w:val="24"/>
              </w:rPr>
              <w:t>ë</w:t>
            </w:r>
            <w:r w:rsidR="00D945C8" w:rsidRPr="00E01A0A">
              <w:rPr>
                <w:rFonts w:ascii="Times New Roman" w:hAnsi="Times New Roman" w:cs="Times New Roman"/>
                <w:sz w:val="24"/>
                <w:szCs w:val="24"/>
              </w:rPr>
              <w:t xml:space="preserve"> p</w:t>
            </w:r>
            <w:r w:rsidR="00747A5A" w:rsidRPr="00E01A0A">
              <w:rPr>
                <w:rFonts w:ascii="Times New Roman" w:hAnsi="Times New Roman" w:cs="Times New Roman"/>
                <w:sz w:val="24"/>
                <w:szCs w:val="24"/>
              </w:rPr>
              <w:t>ë</w:t>
            </w:r>
            <w:r w:rsidR="00D945C8" w:rsidRPr="00E01A0A">
              <w:rPr>
                <w:rFonts w:ascii="Times New Roman" w:hAnsi="Times New Roman" w:cs="Times New Roman"/>
                <w:sz w:val="24"/>
                <w:szCs w:val="24"/>
              </w:rPr>
              <w:t>rb</w:t>
            </w:r>
            <w:r w:rsidR="00747A5A" w:rsidRPr="00E01A0A">
              <w:rPr>
                <w:rFonts w:ascii="Times New Roman" w:hAnsi="Times New Roman" w:cs="Times New Roman"/>
                <w:sz w:val="24"/>
                <w:szCs w:val="24"/>
              </w:rPr>
              <w:t>ë</w:t>
            </w:r>
            <w:r w:rsidR="00D945C8" w:rsidRPr="00E01A0A">
              <w:rPr>
                <w:rFonts w:ascii="Times New Roman" w:hAnsi="Times New Roman" w:cs="Times New Roman"/>
                <w:sz w:val="24"/>
                <w:szCs w:val="24"/>
              </w:rPr>
              <w:t>rjen e qeveris</w:t>
            </w:r>
            <w:r w:rsidR="00747A5A" w:rsidRPr="00E01A0A">
              <w:rPr>
                <w:rFonts w:ascii="Times New Roman" w:hAnsi="Times New Roman" w:cs="Times New Roman"/>
                <w:sz w:val="24"/>
                <w:szCs w:val="24"/>
              </w:rPr>
              <w:t>ë</w:t>
            </w:r>
            <w:r w:rsidR="00D945C8" w:rsidRPr="00E01A0A">
              <w:rPr>
                <w:rFonts w:ascii="Times New Roman" w:hAnsi="Times New Roman" w:cs="Times New Roman"/>
                <w:sz w:val="24"/>
                <w:szCs w:val="24"/>
              </w:rPr>
              <w:t xml:space="preserve"> – ndryshime/shkrirje Ministrish – sjell penges</w:t>
            </w:r>
            <w:r w:rsidR="00747A5A" w:rsidRPr="00E01A0A">
              <w:rPr>
                <w:rFonts w:ascii="Times New Roman" w:hAnsi="Times New Roman" w:cs="Times New Roman"/>
                <w:sz w:val="24"/>
                <w:szCs w:val="24"/>
              </w:rPr>
              <w:t>ë</w:t>
            </w:r>
            <w:r w:rsidR="00D945C8" w:rsidRPr="00E01A0A">
              <w:rPr>
                <w:rFonts w:ascii="Times New Roman" w:hAnsi="Times New Roman" w:cs="Times New Roman"/>
                <w:sz w:val="24"/>
                <w:szCs w:val="24"/>
              </w:rPr>
              <w:t xml:space="preserve"> n</w:t>
            </w:r>
            <w:r w:rsidR="00747A5A" w:rsidRPr="00E01A0A">
              <w:rPr>
                <w:rFonts w:ascii="Times New Roman" w:hAnsi="Times New Roman" w:cs="Times New Roman"/>
                <w:sz w:val="24"/>
                <w:szCs w:val="24"/>
              </w:rPr>
              <w:t>ë</w:t>
            </w:r>
            <w:r w:rsidR="00D945C8" w:rsidRPr="00E01A0A">
              <w:rPr>
                <w:rFonts w:ascii="Times New Roman" w:hAnsi="Times New Roman" w:cs="Times New Roman"/>
                <w:sz w:val="24"/>
                <w:szCs w:val="24"/>
              </w:rPr>
              <w:t xml:space="preserve"> funksionimin eficent t</w:t>
            </w:r>
            <w:r w:rsidR="00747A5A" w:rsidRPr="00E01A0A">
              <w:rPr>
                <w:rFonts w:ascii="Times New Roman" w:hAnsi="Times New Roman" w:cs="Times New Roman"/>
                <w:sz w:val="24"/>
                <w:szCs w:val="24"/>
              </w:rPr>
              <w:t>ë</w:t>
            </w:r>
            <w:r w:rsidR="00D945C8" w:rsidRPr="00E01A0A">
              <w:rPr>
                <w:rFonts w:ascii="Times New Roman" w:hAnsi="Times New Roman" w:cs="Times New Roman"/>
                <w:sz w:val="24"/>
                <w:szCs w:val="24"/>
              </w:rPr>
              <w:t xml:space="preserve"> Keshillit. (AMSHC)</w:t>
            </w:r>
          </w:p>
          <w:p w:rsidR="00D945C8" w:rsidRPr="00E01A0A" w:rsidRDefault="00D945C8" w:rsidP="0069359D">
            <w:pPr>
              <w:spacing w:after="160" w:line="259" w:lineRule="auto"/>
              <w:jc w:val="both"/>
              <w:rPr>
                <w:rFonts w:ascii="Times New Roman" w:hAnsi="Times New Roman" w:cs="Times New Roman"/>
                <w:sz w:val="24"/>
                <w:szCs w:val="24"/>
                <w:lang w:val="it-IT"/>
              </w:rPr>
            </w:pPr>
          </w:p>
          <w:p w:rsidR="00D945C8" w:rsidRPr="00E01A0A" w:rsidRDefault="00D945C8" w:rsidP="0069359D">
            <w:p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rPr>
              <w:t>Mbledhjet thirren nga Kryetari dhe/ose 1/3 e anetareve.</w:t>
            </w:r>
          </w:p>
          <w:p w:rsidR="00D945C8" w:rsidRPr="00E01A0A" w:rsidRDefault="00D945C8" w:rsidP="0069359D">
            <w:p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rPr>
              <w:t>Agjenda e mbledhjeve percaktohet bashkerisht nga anetaret e Keshillit.</w:t>
            </w:r>
          </w:p>
          <w:p w:rsidR="00D945C8" w:rsidRPr="00E01A0A" w:rsidRDefault="00D945C8" w:rsidP="0069359D">
            <w:p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rPr>
              <w:t>Afati I vendosur ka marre parasysh afatet e nevosjhme per konsultimet publike me palet e interesuara dhe procedurat e nevojshme qe duhen ndjekur per te bere diskutimet dhe ndryshimet e nevojshme ne parlament. Viti 2026 eshte afati perfundimtar, afat ky qe nuk kufizon ndryshimin e ligjit para fundit te vitit 2026.</w:t>
            </w:r>
          </w:p>
          <w:p w:rsidR="00F5471C" w:rsidRPr="00E01A0A" w:rsidRDefault="00F5471C" w:rsidP="00F5471C">
            <w:pPr>
              <w:jc w:val="both"/>
              <w:rPr>
                <w:rFonts w:ascii="Times New Roman" w:hAnsi="Times New Roman" w:cs="Times New Roman"/>
                <w:i/>
                <w:sz w:val="24"/>
                <w:szCs w:val="24"/>
                <w:lang w:val="en-GB"/>
              </w:rPr>
            </w:pPr>
            <w:r w:rsidRPr="00E01A0A">
              <w:rPr>
                <w:rFonts w:ascii="Times New Roman" w:hAnsi="Times New Roman" w:cs="Times New Roman"/>
                <w:sz w:val="24"/>
                <w:szCs w:val="24"/>
                <w:lang w:val="it-IT"/>
              </w:rPr>
              <w:t xml:space="preserve">Për adresimin e komentit tuaj siç vini re në draft udhërrëfyesin për Funksionimin e Institucioneve Demokratike është parashikuar se: </w:t>
            </w:r>
            <w:r w:rsidRPr="00E01A0A">
              <w:rPr>
                <w:rFonts w:ascii="Times New Roman" w:hAnsi="Times New Roman" w:cs="Times New Roman"/>
                <w:i/>
                <w:sz w:val="24"/>
                <w:szCs w:val="24"/>
                <w:lang w:val="en-GB"/>
              </w:rPr>
              <w:t xml:space="preserve">Kuadri legjislativ për Këshillin Kombëtar për Shoqërinë Civile i ndryshuar për të përmirësuar funksionimin, përbërjen e tij dhe për të siguruar një përfshirje më të madhe të institucioneve publike dhe përfaqësuesve të shoqërisë civile për të reflektuar ndryshimet në portofolet ministrore dhe përfaqësimin në Këshill do të miratohet nga Këshilli i Ministrave në vitin 2024 dhe </w:t>
            </w:r>
            <w:r w:rsidRPr="00E01A0A">
              <w:rPr>
                <w:rFonts w:ascii="Times New Roman" w:hAnsi="Times New Roman" w:cs="Times New Roman"/>
                <w:i/>
                <w:sz w:val="24"/>
                <w:szCs w:val="24"/>
                <w:lang w:val="en-GB"/>
              </w:rPr>
              <w:lastRenderedPageBreak/>
              <w:t>nga Parlamenti në 6 muajt e parë të vitit 2025.</w:t>
            </w:r>
          </w:p>
          <w:p w:rsidR="00F5471C" w:rsidRPr="00E01A0A" w:rsidRDefault="00F5471C" w:rsidP="0069359D">
            <w:pPr>
              <w:spacing w:after="160" w:line="259" w:lineRule="auto"/>
              <w:jc w:val="both"/>
              <w:rPr>
                <w:rFonts w:ascii="Times New Roman" w:hAnsi="Times New Roman" w:cs="Times New Roman"/>
                <w:sz w:val="24"/>
                <w:szCs w:val="24"/>
                <w:lang w:val="it-IT"/>
              </w:rPr>
            </w:pP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2C023C" w:rsidRPr="00E01A0A" w:rsidRDefault="002C023C" w:rsidP="0069359D">
            <w:pPr>
              <w:spacing w:after="120" w:line="240" w:lineRule="auto"/>
              <w:ind w:firstLine="720"/>
              <w:jc w:val="both"/>
              <w:rPr>
                <w:rFonts w:ascii="Times New Roman" w:hAnsi="Times New Roman" w:cs="Times New Roman"/>
                <w:kern w:val="32"/>
                <w:sz w:val="24"/>
                <w:szCs w:val="24"/>
                <w:lang w:val="it-IT"/>
              </w:rPr>
            </w:pPr>
            <w:r w:rsidRPr="00E01A0A">
              <w:rPr>
                <w:rFonts w:ascii="Times New Roman" w:hAnsi="Times New Roman" w:cs="Times New Roman"/>
                <w:kern w:val="32"/>
                <w:sz w:val="24"/>
                <w:szCs w:val="24"/>
                <w:lang w:val="it-IT"/>
              </w:rPr>
              <w:lastRenderedPageBreak/>
              <w:t>“Partnerët Shqipëri për Ndryshim dhe Zhvillim”</w:t>
            </w:r>
          </w:p>
        </w:tc>
        <w:tc>
          <w:tcPr>
            <w:tcW w:w="4610" w:type="dxa"/>
          </w:tcPr>
          <w:p w:rsidR="002C023C" w:rsidRPr="00E01A0A" w:rsidRDefault="002C023C" w:rsidP="0069359D">
            <w:pPr>
              <w:spacing w:after="160" w:line="259" w:lineRule="auto"/>
              <w:jc w:val="both"/>
              <w:textAlignment w:val="baseline"/>
              <w:rPr>
                <w:rFonts w:ascii="Times New Roman" w:eastAsia="Times New Roman" w:hAnsi="Times New Roman" w:cs="Times New Roman"/>
                <w:bCs/>
                <w:sz w:val="24"/>
                <w:szCs w:val="24"/>
              </w:rPr>
            </w:pPr>
            <w:r w:rsidRPr="00E01A0A">
              <w:rPr>
                <w:rFonts w:ascii="Times New Roman" w:eastAsia="Times New Roman" w:hAnsi="Times New Roman" w:cs="Times New Roman"/>
                <w:bCs/>
                <w:sz w:val="24"/>
                <w:szCs w:val="24"/>
              </w:rPr>
              <w:t xml:space="preserve">Në lidhje me </w:t>
            </w:r>
            <w:r w:rsidRPr="00E01A0A">
              <w:rPr>
                <w:rFonts w:ascii="Times New Roman" w:eastAsia="Times New Roman" w:hAnsi="Times New Roman" w:cs="Times New Roman"/>
                <w:bCs/>
                <w:sz w:val="24"/>
                <w:szCs w:val="24"/>
                <w:lang w:val="it-IT"/>
              </w:rPr>
              <w:t xml:space="preserve">Fushën 3, Objekti 3.2. Kornizat kombëtare ligjore, rregullatore dhe  politike për organizatat e shoqërisë civile (OSHC). </w:t>
            </w:r>
          </w:p>
          <w:p w:rsidR="002C023C" w:rsidRPr="00E01A0A" w:rsidRDefault="002C023C" w:rsidP="0069359D">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rPr>
              <w:t xml:space="preserve">Koment. Si pjesë e objektivit, parashikohen </w:t>
            </w:r>
            <w:r w:rsidRPr="00E01A0A">
              <w:rPr>
                <w:rFonts w:ascii="Times New Roman" w:eastAsia="Times New Roman" w:hAnsi="Times New Roman" w:cs="Times New Roman"/>
                <w:bCs/>
                <w:sz w:val="24"/>
                <w:szCs w:val="24"/>
                <w:lang w:val="it-IT"/>
              </w:rPr>
              <w:t xml:space="preserve">kushtet për regjistrim, zbatimin e lirisë së asociimit, mekanizmat për parandalimin e ndërhyrjeve dhe presionit të panevojshëm mbi aktivitetet dhe anëtarët e OSHC-ve, kushtet për taksimin dhe aksesin në financim/burime, etj. </w:t>
            </w:r>
          </w:p>
          <w:p w:rsidR="002C023C" w:rsidRPr="00E01A0A" w:rsidRDefault="002C023C" w:rsidP="0069359D">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Ndërkohë, ka edhe shumë çështje të tjera të cilat mbeten problematike në kornizën ligjore dhe rregullatore dhe duhen përfshirë këtu: </w:t>
            </w:r>
          </w:p>
          <w:p w:rsidR="002C023C" w:rsidRPr="00E01A0A" w:rsidRDefault="002C023C" w:rsidP="0069359D">
            <w:pPr>
              <w:pStyle w:val="ListParagraph"/>
              <w:numPr>
                <w:ilvl w:val="0"/>
                <w:numId w:val="24"/>
              </w:numPr>
              <w:spacing w:after="160" w:line="259" w:lineRule="auto"/>
              <w:ind w:left="616" w:hanging="270"/>
              <w:jc w:val="both"/>
              <w:textAlignment w:val="baseline"/>
              <w:rPr>
                <w:rFonts w:ascii="Times New Roman" w:eastAsia="Times New Roman" w:hAnsi="Times New Roman" w:cs="Times New Roman"/>
                <w:bCs/>
                <w:sz w:val="24"/>
                <w:szCs w:val="24"/>
              </w:rPr>
            </w:pPr>
            <w:r w:rsidRPr="00E01A0A">
              <w:rPr>
                <w:rFonts w:ascii="Times New Roman" w:hAnsi="Times New Roman" w:cs="Times New Roman"/>
                <w:sz w:val="24"/>
                <w:szCs w:val="24"/>
              </w:rPr>
              <w:t xml:space="preserve">Kuadri ligjor që rregullon dhurimet mbetet i pandryshuar. Ndryshimi i ligjit për sponsorizimin është përfshirë si masë që do të zbatohej deri në fund të vitit 2023 në Udhëzuesin për Hartimin e Politikës dhe Masave për Mjedisin Mundësues për Shoqërinë Civile 2019-2023, por pavarësisht kësaj, masa mbetet e parealizuar. Mungojnë lehtësirat tatimore lidhur me veprimtarinë filantropike të individëve. Gjithashtu, nuk ka një strategji ose </w:t>
            </w:r>
            <w:r w:rsidRPr="00E01A0A">
              <w:rPr>
                <w:rFonts w:ascii="Times New Roman" w:hAnsi="Times New Roman" w:cs="Times New Roman"/>
                <w:sz w:val="24"/>
                <w:szCs w:val="24"/>
              </w:rPr>
              <w:lastRenderedPageBreak/>
              <w:t>politikë shtetërore të vendosur në lidhje me Përgjegjësinë Sociale Korporative (PSK).</w:t>
            </w:r>
          </w:p>
          <w:p w:rsidR="002C023C" w:rsidRPr="00E01A0A" w:rsidRDefault="002C023C" w:rsidP="0069359D">
            <w:pPr>
              <w:pStyle w:val="ListParagraph"/>
              <w:numPr>
                <w:ilvl w:val="0"/>
                <w:numId w:val="24"/>
              </w:numPr>
              <w:spacing w:after="160" w:line="259" w:lineRule="auto"/>
              <w:ind w:left="616" w:hanging="270"/>
              <w:jc w:val="both"/>
              <w:textAlignment w:val="baseline"/>
              <w:rPr>
                <w:rFonts w:ascii="Times New Roman" w:eastAsia="Times New Roman" w:hAnsi="Times New Roman" w:cs="Times New Roman"/>
                <w:bCs/>
                <w:sz w:val="24"/>
                <w:szCs w:val="24"/>
              </w:rPr>
            </w:pPr>
            <w:r w:rsidRPr="00E01A0A">
              <w:rPr>
                <w:rFonts w:ascii="Times New Roman" w:hAnsi="Times New Roman" w:cs="Times New Roman"/>
                <w:sz w:val="24"/>
                <w:szCs w:val="24"/>
              </w:rPr>
              <w:t xml:space="preserve">Kuadri ligjor dhe rregullator për sipërmarrjet sociale, edhe pas 8 vitesh që ka hyrë në fuqi nuk është i zbatueshëm. Mbetet i nevojshëm përmirësimi i tij dhe qartësimi, për një zbatim sa më efektiv të ligjit dhe akteve ligjore dhe rregullatore. </w:t>
            </w:r>
          </w:p>
          <w:p w:rsidR="002C023C" w:rsidRPr="00E01A0A" w:rsidRDefault="002C023C" w:rsidP="0069359D">
            <w:pPr>
              <w:pStyle w:val="ListParagraph"/>
              <w:numPr>
                <w:ilvl w:val="0"/>
                <w:numId w:val="24"/>
              </w:numPr>
              <w:spacing w:after="160" w:line="259" w:lineRule="auto"/>
              <w:ind w:left="616" w:hanging="270"/>
              <w:jc w:val="both"/>
              <w:textAlignment w:val="baseline"/>
              <w:rPr>
                <w:rFonts w:ascii="Times New Roman" w:eastAsia="Times New Roman" w:hAnsi="Times New Roman" w:cs="Times New Roman"/>
                <w:bCs/>
                <w:sz w:val="24"/>
                <w:szCs w:val="24"/>
              </w:rPr>
            </w:pPr>
            <w:r w:rsidRPr="00E01A0A">
              <w:rPr>
                <w:rFonts w:ascii="Times New Roman" w:hAnsi="Times New Roman" w:cs="Times New Roman"/>
                <w:sz w:val="24"/>
                <w:szCs w:val="24"/>
              </w:rPr>
              <w:t xml:space="preserve">Lidhur me masat për parandalimin e pastrimit të parave dhe financimit të terrorizmit, mbetet urgjente nxjerrja e sektorit të OJF-ve nga kategoria e klientëve me risk të lartë sikurse parashikohet në kuadrin ligjor ekzistues, bazuar edhe në rezultatet e vlerësimeve kombëtare të riskut, të cilat e vlerësojnë sektorin e OJF-ve si me risk të ulët. </w:t>
            </w:r>
          </w:p>
          <w:p w:rsidR="002C023C" w:rsidRPr="00E01A0A" w:rsidRDefault="002C023C" w:rsidP="0069359D">
            <w:pPr>
              <w:spacing w:after="160" w:line="259" w:lineRule="auto"/>
              <w:jc w:val="both"/>
              <w:rPr>
                <w:rFonts w:ascii="Times New Roman" w:eastAsia="Times New Roman" w:hAnsi="Times New Roman" w:cs="Times New Roman"/>
                <w:bCs/>
                <w:sz w:val="24"/>
                <w:szCs w:val="24"/>
              </w:rPr>
            </w:pPr>
          </w:p>
        </w:tc>
        <w:tc>
          <w:tcPr>
            <w:tcW w:w="3240" w:type="dxa"/>
          </w:tcPr>
          <w:p w:rsidR="00F5471C" w:rsidRPr="00E01A0A" w:rsidRDefault="00F5471C" w:rsidP="00F5471C">
            <w:pPr>
              <w:jc w:val="both"/>
              <w:rPr>
                <w:rFonts w:ascii="Times New Roman" w:eastAsia="Times New Roman" w:hAnsi="Times New Roman" w:cs="Times New Roman"/>
                <w:sz w:val="24"/>
                <w:szCs w:val="24"/>
                <w:lang w:val="sq-AL"/>
              </w:rPr>
            </w:pPr>
            <w:r w:rsidRPr="00E01A0A">
              <w:rPr>
                <w:rFonts w:ascii="Times New Roman" w:eastAsia="Times New Roman" w:hAnsi="Times New Roman" w:cs="Times New Roman"/>
                <w:sz w:val="24"/>
                <w:szCs w:val="24"/>
                <w:lang w:val="sq-AL"/>
              </w:rPr>
              <w:lastRenderedPageBreak/>
              <w:t>refuzuar komenti mbi masat per parandalimin e pastrimit te parave</w:t>
            </w:r>
          </w:p>
          <w:p w:rsidR="002C023C" w:rsidRPr="00E01A0A" w:rsidRDefault="002C023C" w:rsidP="0069359D">
            <w:pPr>
              <w:widowControl w:val="0"/>
              <w:pBdr>
                <w:top w:val="nil"/>
                <w:left w:val="nil"/>
                <w:bottom w:val="nil"/>
                <w:right w:val="nil"/>
                <w:between w:val="nil"/>
              </w:pBdr>
              <w:spacing w:line="240" w:lineRule="auto"/>
              <w:jc w:val="center"/>
              <w:rPr>
                <w:rFonts w:ascii="Times New Roman" w:hAnsi="Times New Roman" w:cs="Times New Roman"/>
                <w:sz w:val="24"/>
                <w:szCs w:val="24"/>
              </w:rPr>
            </w:pPr>
          </w:p>
        </w:tc>
        <w:tc>
          <w:tcPr>
            <w:tcW w:w="4230" w:type="dxa"/>
            <w:shd w:val="clear" w:color="auto" w:fill="auto"/>
            <w:tcMar>
              <w:top w:w="100" w:type="dxa"/>
              <w:left w:w="100" w:type="dxa"/>
              <w:bottom w:w="100" w:type="dxa"/>
              <w:right w:w="100" w:type="dxa"/>
            </w:tcMar>
          </w:tcPr>
          <w:p w:rsidR="00DF7F29" w:rsidRPr="00E01A0A" w:rsidRDefault="00DF7F29" w:rsidP="0069359D">
            <w:pPr>
              <w:jc w:val="both"/>
              <w:rPr>
                <w:rFonts w:ascii="Times New Roman" w:eastAsia="Times New Roman" w:hAnsi="Times New Roman" w:cs="Times New Roman"/>
                <w:sz w:val="24"/>
                <w:szCs w:val="24"/>
                <w:lang w:val="sq-AL"/>
              </w:rPr>
            </w:pPr>
          </w:p>
          <w:p w:rsidR="00DF7F29" w:rsidRPr="00E01A0A" w:rsidRDefault="00DF7F29" w:rsidP="0069359D">
            <w:pPr>
              <w:jc w:val="both"/>
              <w:rPr>
                <w:rFonts w:ascii="Times New Roman" w:eastAsia="Times New Roman" w:hAnsi="Times New Roman" w:cs="Times New Roman"/>
                <w:sz w:val="24"/>
                <w:szCs w:val="24"/>
                <w:lang w:val="sq-AL"/>
              </w:rPr>
            </w:pPr>
          </w:p>
          <w:p w:rsidR="00DF7F29" w:rsidRPr="00E01A0A" w:rsidRDefault="00DF7F29" w:rsidP="0069359D">
            <w:pPr>
              <w:jc w:val="both"/>
              <w:rPr>
                <w:rFonts w:ascii="Times New Roman" w:eastAsia="Times New Roman" w:hAnsi="Times New Roman" w:cs="Times New Roman"/>
                <w:b/>
                <w:sz w:val="24"/>
                <w:szCs w:val="24"/>
                <w:lang w:val="sq-AL"/>
              </w:rPr>
            </w:pPr>
            <w:r w:rsidRPr="00E01A0A">
              <w:rPr>
                <w:rFonts w:ascii="Times New Roman" w:eastAsia="Times New Roman" w:hAnsi="Times New Roman" w:cs="Times New Roman"/>
                <w:b/>
                <w:sz w:val="24"/>
                <w:szCs w:val="24"/>
                <w:lang w:val="sq-AL"/>
              </w:rPr>
              <w:t xml:space="preserve">Agjencia Inteligjences Financiare </w:t>
            </w:r>
          </w:p>
          <w:p w:rsidR="00DF7F29" w:rsidRPr="00E01A0A" w:rsidRDefault="00DF7F29" w:rsidP="0069359D">
            <w:pPr>
              <w:jc w:val="both"/>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lang w:val="sq-AL"/>
              </w:rPr>
              <w:t>Ligji  Nr.9917, datë 19.5.2008 “Për parandalimin e pastrimit të parave dhe financimit  të terrorizmit” i ndryshuar, nuk parashikon që OJF në tërësinë e tyre klasifikohen me rrezik të lartë.</w:t>
            </w:r>
          </w:p>
          <w:p w:rsidR="00DF7F29" w:rsidRPr="00E01A0A" w:rsidRDefault="00DF7F29" w:rsidP="0069359D">
            <w:pPr>
              <w:jc w:val="both"/>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lang w:val="sq-AL"/>
              </w:rPr>
              <w:t>OJF si kategori, në Vlerësimit Kombëtar të Riskut të vitit 2023 , janë vlerësuar me rrezik të ulët për financim terrorizmi. Ky dokument shërben si një nga mekanizmat orientues për rreziqet madhore të identifikuara në nivel vendi dhe në asnjë rast nuk zëvendëson detyrimin e subjekteve raportuese të parashikuara në nenin 11</w:t>
            </w:r>
            <w:hyperlink r:id="rId11" w:anchor="_ftn1" w:history="1">
              <w:r w:rsidRPr="00E01A0A">
                <w:rPr>
                  <w:rStyle w:val="Hyperlink"/>
                  <w:rFonts w:ascii="Times New Roman" w:eastAsia="Times New Roman" w:hAnsi="Times New Roman" w:cs="Times New Roman"/>
                  <w:color w:val="auto"/>
                  <w:sz w:val="24"/>
                  <w:szCs w:val="24"/>
                  <w:vertAlign w:val="superscript"/>
                  <w:lang w:val="sq-AL"/>
                </w:rPr>
                <w:t>[1]</w:t>
              </w:r>
            </w:hyperlink>
            <w:r w:rsidRPr="00E01A0A">
              <w:rPr>
                <w:rFonts w:ascii="Times New Roman" w:eastAsia="Times New Roman" w:hAnsi="Times New Roman" w:cs="Times New Roman"/>
                <w:sz w:val="24"/>
                <w:szCs w:val="24"/>
                <w:lang w:val="sq-AL"/>
              </w:rPr>
              <w:t xml:space="preserve"> të ligjit PP/FT për identifikimin e rreziqeve të tjera specifike për klientët, vendet apo zonat gjeografike, produktet, shërbimet, transaksionet apo kanalet e shpërndarjes. Pra thënë ndryshe, risku për secilën OJF klient pranë subjekteve të ligjit (p.sh. bankave) nuk parapërcaktohet në mënyrë automatike </w:t>
            </w:r>
            <w:r w:rsidRPr="00E01A0A">
              <w:rPr>
                <w:rFonts w:ascii="Times New Roman" w:eastAsia="Times New Roman" w:hAnsi="Times New Roman" w:cs="Times New Roman"/>
                <w:sz w:val="24"/>
                <w:szCs w:val="24"/>
                <w:lang w:val="sq-AL"/>
              </w:rPr>
              <w:lastRenderedPageBreak/>
              <w:t>nga Vlerësimi Kombëtar i Riskut, por përcaktohet rast pas rasti duke marrë në konsideratë veçantitë e secilës OJF si dhe elementët e mësipërm.</w:t>
            </w:r>
          </w:p>
          <w:p w:rsidR="00DF7F29" w:rsidRPr="00E01A0A" w:rsidRDefault="00DF7F29" w:rsidP="0069359D">
            <w:pPr>
              <w:jc w:val="both"/>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lang w:val="sq-AL"/>
              </w:rPr>
              <w:t>Ligji i sipërcituar nuk përcakton nivele risku për klientët, për arsyet e mësipërme, por ka kërkesa të veçanta për disa kategori klientësh, për të cilët parashikohen masa të vigjilencës së zgjeruar. Kategori të tjera, përveç OJF, janë:</w:t>
            </w:r>
          </w:p>
          <w:p w:rsidR="00DF7F29" w:rsidRPr="00E01A0A" w:rsidRDefault="00DF7F29" w:rsidP="0069359D">
            <w:pPr>
              <w:numPr>
                <w:ilvl w:val="0"/>
                <w:numId w:val="30"/>
              </w:numPr>
              <w:spacing w:before="100" w:beforeAutospacing="1" w:after="160" w:line="240" w:lineRule="auto"/>
              <w:jc w:val="both"/>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lang w:val="sq-AL"/>
              </w:rPr>
              <w:t>PEP, anëtarët e familjes së PEP, si dhe lidhjet e biznesi;</w:t>
            </w:r>
          </w:p>
          <w:p w:rsidR="00DF7F29" w:rsidRPr="00E01A0A" w:rsidRDefault="00DF7F29" w:rsidP="0069359D">
            <w:pPr>
              <w:numPr>
                <w:ilvl w:val="0"/>
                <w:numId w:val="30"/>
              </w:numPr>
              <w:spacing w:before="100" w:beforeAutospacing="1" w:after="160" w:line="240" w:lineRule="auto"/>
              <w:jc w:val="both"/>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lang w:val="sq-AL"/>
              </w:rPr>
              <w:t>kategoritë e klientëve, të cilët banojnë ose e ushtrojnë veprimtarinë e tyre në vende për të cilat kërkohet marrja e masave të posaçme sipas shkronjës “f” të nenit 22 të këtij ligji;</w:t>
            </w:r>
          </w:p>
          <w:p w:rsidR="00DF7F29" w:rsidRPr="00E01A0A" w:rsidRDefault="00DF7F29" w:rsidP="0069359D">
            <w:pPr>
              <w:numPr>
                <w:ilvl w:val="0"/>
                <w:numId w:val="30"/>
              </w:numPr>
              <w:spacing w:before="100" w:beforeAutospacing="1" w:after="160" w:line="240" w:lineRule="auto"/>
              <w:jc w:val="both"/>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lang w:val="sq-AL"/>
              </w:rPr>
              <w:t>marrëdhënieve të biznesit dhe transaksioneve me klientë organizimet ligjore apo shoqëritë që kanë aksione të mbajtësit, transaksioneve të kryera në emër apo për llogari të tyre, si dhe kur organizimet ligjore apo shoqëritë që kanë aksione të mbajtësit janë pjesë e strukturës së pronësisë, kontrollit apo vendimmarrjes së klientëve të tyre;</w:t>
            </w:r>
          </w:p>
          <w:p w:rsidR="00DF7F29" w:rsidRPr="00E01A0A" w:rsidRDefault="00DF7F29" w:rsidP="0069359D">
            <w:pPr>
              <w:numPr>
                <w:ilvl w:val="0"/>
                <w:numId w:val="30"/>
              </w:numPr>
              <w:spacing w:before="100" w:beforeAutospacing="1" w:after="160" w:line="240" w:lineRule="auto"/>
              <w:jc w:val="both"/>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lang w:val="sq-AL"/>
              </w:rPr>
              <w:lastRenderedPageBreak/>
              <w:t>transaksionet komplekse, me vlera të larta dhe të pazakonta, të cilat nuk kanë qëllim të dukshëm ekonomik ose ligjor;</w:t>
            </w:r>
          </w:p>
          <w:p w:rsidR="00DF7F29" w:rsidRPr="00E01A0A" w:rsidRDefault="00DF7F29" w:rsidP="0069359D">
            <w:pPr>
              <w:numPr>
                <w:ilvl w:val="0"/>
                <w:numId w:val="30"/>
              </w:numPr>
              <w:spacing w:before="100" w:beforeAutospacing="1" w:after="160" w:line="240" w:lineRule="auto"/>
              <w:jc w:val="both"/>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lang w:val="sq-AL"/>
              </w:rPr>
              <w:t>marrëdhënieve të biznesit dhe transaksioneve me klientë, të cilët vetë subjekti i ka kategorizuar me rrezik të lartë apo nëse gjatë një transaksioni apo marrëdhënieje biznesi identifikohen rreziqe të larta që nuk janë evidentuar më parë;</w:t>
            </w:r>
          </w:p>
          <w:p w:rsidR="00DF7F29" w:rsidRPr="00E01A0A" w:rsidRDefault="00DF7F29" w:rsidP="0069359D">
            <w:pPr>
              <w:numPr>
                <w:ilvl w:val="0"/>
                <w:numId w:val="30"/>
              </w:numPr>
              <w:spacing w:before="100" w:beforeAutospacing="1" w:after="160" w:line="240" w:lineRule="auto"/>
              <w:jc w:val="both"/>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lang w:val="sq-AL"/>
              </w:rPr>
              <w:t>marrëdhënieve të biznesit dhe transaksioneve me klientë për të cilët autoriteti përgjegjës kërkon që ky proces të kryhet.</w:t>
            </w:r>
          </w:p>
          <w:p w:rsidR="00DF7F29" w:rsidRPr="00E01A0A" w:rsidRDefault="00DF7F29" w:rsidP="0069359D">
            <w:pPr>
              <w:jc w:val="both"/>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lang w:val="sq-AL"/>
              </w:rPr>
              <w:t> </w:t>
            </w:r>
          </w:p>
          <w:p w:rsidR="00DF7F29" w:rsidRPr="00E01A0A" w:rsidRDefault="00DF7F29" w:rsidP="0069359D">
            <w:pPr>
              <w:jc w:val="both"/>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lang w:val="sq-AL"/>
              </w:rPr>
              <w:t>Nëse marrim në konsideratë konceptin e “vigjilencës së zgjeruar”, ligji (neni 2 pika 20) parashikon se “Vigjilenca e zgjeruar ndaj klientit” është një proces më i thellë kontrolli, përtej procedurave “Njihe klientin tënd”, si dhe masave të “Vigjilencës së duhur”, që synon të krijojë sigurinë e mjaftueshme për të verifikuar dhe vlerësuar:</w:t>
            </w:r>
          </w:p>
          <w:p w:rsidR="00DF7F29" w:rsidRPr="00E01A0A" w:rsidRDefault="00DF7F29" w:rsidP="0069359D">
            <w:pPr>
              <w:ind w:firstLine="720"/>
              <w:jc w:val="both"/>
              <w:rPr>
                <w:rFonts w:ascii="Times New Roman" w:eastAsia="Times New Roman" w:hAnsi="Times New Roman" w:cs="Times New Roman"/>
                <w:sz w:val="24"/>
                <w:szCs w:val="24"/>
              </w:rPr>
            </w:pPr>
            <w:r w:rsidRPr="00E01A0A">
              <w:rPr>
                <w:rFonts w:ascii="Times New Roman" w:eastAsia="Times New Roman" w:hAnsi="Times New Roman" w:cs="Times New Roman"/>
                <w:i/>
                <w:iCs/>
                <w:sz w:val="24"/>
                <w:szCs w:val="24"/>
                <w:lang w:val="sq-AL"/>
              </w:rPr>
              <w:t>a) identitetin e klientit;</w:t>
            </w:r>
          </w:p>
          <w:p w:rsidR="00DF7F29" w:rsidRPr="00E01A0A" w:rsidRDefault="00DF7F29" w:rsidP="0069359D">
            <w:pPr>
              <w:jc w:val="both"/>
              <w:rPr>
                <w:rFonts w:ascii="Times New Roman" w:eastAsia="Times New Roman" w:hAnsi="Times New Roman" w:cs="Times New Roman"/>
                <w:sz w:val="24"/>
                <w:szCs w:val="24"/>
              </w:rPr>
            </w:pPr>
            <w:r w:rsidRPr="00E01A0A">
              <w:rPr>
                <w:rFonts w:ascii="Times New Roman" w:eastAsia="Times New Roman" w:hAnsi="Times New Roman" w:cs="Times New Roman"/>
                <w:i/>
                <w:iCs/>
                <w:sz w:val="24"/>
                <w:szCs w:val="24"/>
                <w:lang w:val="sq-AL"/>
              </w:rPr>
              <w:t xml:space="preserve">b) për të kuptuar dhe testuar profilin e klientit, të biznesit dhe veprimtarisë së tij </w:t>
            </w:r>
            <w:r w:rsidRPr="00E01A0A">
              <w:rPr>
                <w:rFonts w:ascii="Times New Roman" w:eastAsia="Times New Roman" w:hAnsi="Times New Roman" w:cs="Times New Roman"/>
                <w:i/>
                <w:iCs/>
                <w:sz w:val="24"/>
                <w:szCs w:val="24"/>
                <w:lang w:val="sq-AL"/>
              </w:rPr>
              <w:lastRenderedPageBreak/>
              <w:t>lidhur me shërbimet, produktet dhe transaksionet e ofruara nga subjekti;</w:t>
            </w:r>
          </w:p>
          <w:p w:rsidR="00DF7F29" w:rsidRPr="00E01A0A" w:rsidRDefault="00DF7F29" w:rsidP="0069359D">
            <w:pPr>
              <w:jc w:val="both"/>
              <w:rPr>
                <w:rFonts w:ascii="Times New Roman" w:eastAsia="Times New Roman" w:hAnsi="Times New Roman" w:cs="Times New Roman"/>
                <w:sz w:val="24"/>
                <w:szCs w:val="24"/>
              </w:rPr>
            </w:pPr>
            <w:r w:rsidRPr="00E01A0A">
              <w:rPr>
                <w:rFonts w:ascii="Times New Roman" w:eastAsia="Times New Roman" w:hAnsi="Times New Roman" w:cs="Times New Roman"/>
                <w:i/>
                <w:iCs/>
                <w:sz w:val="24"/>
                <w:szCs w:val="24"/>
                <w:lang w:val="sq-AL"/>
              </w:rPr>
              <w:t>c) për të identifikuar informacionet me rëndësi dhe për të vlerësuar rrezikun e mundshëm për pastrim parash/financim terrorizmi, në mbështetje të vendimeve që synojnë mbrojtjen nga rreziqet financiare, rregullatore apo reputacionale, si dhe përshtatjen ndaj kërkesave ligjore</w:t>
            </w:r>
            <w:r w:rsidRPr="00E01A0A">
              <w:rPr>
                <w:rFonts w:ascii="Times New Roman" w:eastAsia="Times New Roman" w:hAnsi="Times New Roman" w:cs="Times New Roman"/>
                <w:sz w:val="24"/>
                <w:szCs w:val="24"/>
                <w:lang w:val="sq-AL"/>
              </w:rPr>
              <w:t>.</w:t>
            </w:r>
          </w:p>
          <w:p w:rsidR="00DF7F29" w:rsidRPr="00E01A0A" w:rsidRDefault="00DF7F29" w:rsidP="0069359D">
            <w:pPr>
              <w:jc w:val="both"/>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lang w:val="sq-AL"/>
              </w:rPr>
              <w:t> </w:t>
            </w:r>
          </w:p>
          <w:p w:rsidR="002C023C" w:rsidRPr="00E01A0A" w:rsidRDefault="00DF7F29" w:rsidP="0069359D">
            <w:pPr>
              <w:spacing w:after="160" w:line="259" w:lineRule="auto"/>
              <w:jc w:val="both"/>
              <w:rPr>
                <w:rFonts w:ascii="Times New Roman" w:hAnsi="Times New Roman" w:cs="Times New Roman"/>
                <w:sz w:val="24"/>
                <w:szCs w:val="24"/>
              </w:rPr>
            </w:pPr>
            <w:r w:rsidRPr="00E01A0A">
              <w:rPr>
                <w:rFonts w:ascii="Times New Roman" w:eastAsia="Times New Roman" w:hAnsi="Times New Roman" w:cs="Times New Roman"/>
                <w:sz w:val="24"/>
                <w:szCs w:val="24"/>
                <w:lang w:val="sq-AL"/>
              </w:rPr>
              <w:t>Thelbi i kërkesave ligjore për OJF por edhe një serë kategorish të tjera orienton drejt rritjes së transparencës lidhur me mënyrën e financimit të tyre si dhe përdorimin e fondeve, elementë këta që kontribuojnë në krijimin e një klime më të përshtatshme edhe për vetë OJF si grupim në tërësinë e tyre.</w:t>
            </w: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2C023C" w:rsidRPr="00E01A0A" w:rsidRDefault="002C023C" w:rsidP="0069359D">
            <w:pPr>
              <w:spacing w:after="120" w:line="240" w:lineRule="auto"/>
              <w:ind w:firstLine="720"/>
              <w:jc w:val="both"/>
              <w:rPr>
                <w:rFonts w:ascii="Times New Roman" w:hAnsi="Times New Roman" w:cs="Times New Roman"/>
                <w:kern w:val="32"/>
                <w:sz w:val="24"/>
                <w:szCs w:val="24"/>
              </w:rPr>
            </w:pPr>
            <w:r w:rsidRPr="00E01A0A">
              <w:rPr>
                <w:rFonts w:ascii="Times New Roman" w:hAnsi="Times New Roman" w:cs="Times New Roman"/>
                <w:kern w:val="32"/>
                <w:sz w:val="24"/>
                <w:szCs w:val="24"/>
              </w:rPr>
              <w:lastRenderedPageBreak/>
              <w:t>“Partnerët Shqipëri për Ndryshim dhe Zhvillim”</w:t>
            </w:r>
          </w:p>
        </w:tc>
        <w:tc>
          <w:tcPr>
            <w:tcW w:w="4610" w:type="dxa"/>
          </w:tcPr>
          <w:p w:rsidR="002C023C" w:rsidRPr="00E01A0A" w:rsidRDefault="002C023C" w:rsidP="0069359D">
            <w:pPr>
              <w:spacing w:after="160" w:line="259" w:lineRule="auto"/>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rPr>
              <w:t xml:space="preserve">Në lidhje me </w:t>
            </w:r>
            <w:r w:rsidRPr="00E01A0A">
              <w:rPr>
                <w:rFonts w:ascii="Times New Roman" w:eastAsia="Times New Roman" w:hAnsi="Times New Roman" w:cs="Times New Roman"/>
                <w:bCs/>
                <w:sz w:val="24"/>
                <w:szCs w:val="24"/>
                <w:lang w:val="it-IT"/>
              </w:rPr>
              <w:t xml:space="preserve">Fushën 3, Objekti 3.2. Kornizat kombëtare ligjore, rregullatore dhe  politike për organizatat e shoqërisë civile (OSHC), në kolonën e zbatimit dhe kapacitetit parashikohet: “Regjistri elektronik i OSHC-ve pranë Këshillit të Lartë Gjyqësor është funksional brenda vitit 2023”. </w:t>
            </w:r>
          </w:p>
          <w:p w:rsidR="002C023C" w:rsidRPr="00E01A0A" w:rsidRDefault="002C023C" w:rsidP="0069359D">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Koment. Viti 2023 u mbyll dhe regjistri elektronik nuk është funksional. Vendimi 35, datë 26.01.2022 I KLGJ ende nuk ka gjetur </w:t>
            </w:r>
            <w:r w:rsidRPr="00E01A0A">
              <w:rPr>
                <w:rFonts w:ascii="Times New Roman" w:eastAsia="Times New Roman" w:hAnsi="Times New Roman" w:cs="Times New Roman"/>
                <w:bCs/>
                <w:sz w:val="24"/>
                <w:szCs w:val="24"/>
                <w:lang w:val="it-IT"/>
              </w:rPr>
              <w:lastRenderedPageBreak/>
              <w:t xml:space="preserve">zbatim praktik dhe as nuk ka ndonje njoftim lidhur me të në përfundim të afatit të parashikuar. </w:t>
            </w:r>
          </w:p>
          <w:p w:rsidR="002C023C" w:rsidRPr="00E01A0A" w:rsidRDefault="002C023C" w:rsidP="0069359D">
            <w:pPr>
              <w:spacing w:after="160" w:line="259" w:lineRule="auto"/>
              <w:jc w:val="both"/>
              <w:textAlignment w:val="baseline"/>
              <w:rPr>
                <w:rFonts w:ascii="Times New Roman" w:eastAsia="Times New Roman" w:hAnsi="Times New Roman" w:cs="Times New Roman"/>
                <w:bCs/>
                <w:sz w:val="24"/>
                <w:szCs w:val="24"/>
                <w:lang w:val="it-IT"/>
              </w:rPr>
            </w:pPr>
          </w:p>
        </w:tc>
        <w:tc>
          <w:tcPr>
            <w:tcW w:w="3240" w:type="dxa"/>
          </w:tcPr>
          <w:p w:rsidR="002C023C" w:rsidRPr="00E01A0A" w:rsidRDefault="0042000F" w:rsidP="0069359D">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lastRenderedPageBreak/>
              <w:t xml:space="preserve">Pranuar </w:t>
            </w:r>
          </w:p>
        </w:tc>
        <w:tc>
          <w:tcPr>
            <w:tcW w:w="4230" w:type="dxa"/>
            <w:shd w:val="clear" w:color="auto" w:fill="auto"/>
            <w:tcMar>
              <w:top w:w="100" w:type="dxa"/>
              <w:left w:w="100" w:type="dxa"/>
              <w:bottom w:w="100" w:type="dxa"/>
              <w:right w:w="100" w:type="dxa"/>
            </w:tcMar>
          </w:tcPr>
          <w:p w:rsidR="001C7266" w:rsidRPr="00E01A0A" w:rsidRDefault="00F5471C" w:rsidP="0069359D">
            <w:pPr>
              <w:spacing w:line="240" w:lineRule="auto"/>
              <w:rPr>
                <w:rFonts w:ascii="Times New Roman" w:eastAsia="Times New Roman" w:hAnsi="Times New Roman" w:cs="Times New Roman"/>
                <w:b/>
                <w:sz w:val="24"/>
                <w:szCs w:val="24"/>
                <w:bdr w:val="none" w:sz="0" w:space="0" w:color="auto" w:frame="1"/>
                <w:shd w:val="clear" w:color="auto" w:fill="FFFFFF"/>
              </w:rPr>
            </w:pPr>
            <w:r w:rsidRPr="00E01A0A">
              <w:rPr>
                <w:rFonts w:ascii="Times New Roman" w:eastAsia="Times New Roman" w:hAnsi="Times New Roman" w:cs="Times New Roman"/>
                <w:b/>
                <w:sz w:val="24"/>
                <w:szCs w:val="24"/>
                <w:bdr w:val="none" w:sz="0" w:space="0" w:color="auto" w:frame="1"/>
                <w:shd w:val="clear" w:color="auto" w:fill="FFFFFF"/>
              </w:rPr>
              <w:t xml:space="preserve">AKSHI: </w:t>
            </w:r>
            <w:r w:rsidR="001C7266" w:rsidRPr="00E01A0A">
              <w:rPr>
                <w:rFonts w:ascii="Times New Roman" w:eastAsia="Times New Roman" w:hAnsi="Times New Roman" w:cs="Times New Roman"/>
                <w:sz w:val="24"/>
                <w:szCs w:val="24"/>
                <w:bdr w:val="none" w:sz="0" w:space="0" w:color="auto" w:frame="1"/>
                <w:shd w:val="clear" w:color="auto" w:fill="FFFFFF"/>
              </w:rPr>
              <w:t>Këshilli i Lartë Gjyqësor do të ofrojë në portalin e-Albania 8 shërbime elektronike lidhur me Organizatat Jofitimprurese.</w:t>
            </w:r>
          </w:p>
          <w:p w:rsidR="001C7266" w:rsidRPr="00E01A0A" w:rsidRDefault="001C7266" w:rsidP="0069359D">
            <w:pPr>
              <w:spacing w:line="240" w:lineRule="auto"/>
              <w:ind w:left="360"/>
              <w:rPr>
                <w:rFonts w:ascii="Times New Roman" w:eastAsia="Times New Roman" w:hAnsi="Times New Roman" w:cs="Times New Roman"/>
                <w:sz w:val="24"/>
                <w:szCs w:val="24"/>
              </w:rPr>
            </w:pPr>
          </w:p>
          <w:p w:rsidR="001C7266" w:rsidRPr="00E01A0A" w:rsidRDefault="001C7266" w:rsidP="0069359D">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Aplikim për regjistrim OJF</w:t>
            </w:r>
          </w:p>
          <w:p w:rsidR="001C7266" w:rsidRPr="00E01A0A" w:rsidRDefault="001C7266" w:rsidP="0069359D">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Aplikim për ndryshim të dhënash të OJF</w:t>
            </w:r>
          </w:p>
          <w:p w:rsidR="001C7266" w:rsidRPr="00E01A0A" w:rsidRDefault="001C7266" w:rsidP="0069359D">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Aplikim për plotësim të dhënash të OJF</w:t>
            </w:r>
          </w:p>
          <w:p w:rsidR="001C7266" w:rsidRPr="00E01A0A" w:rsidRDefault="001C7266" w:rsidP="0069359D">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Aplikim për likujdim</w:t>
            </w:r>
          </w:p>
          <w:p w:rsidR="001C7266" w:rsidRPr="00E01A0A" w:rsidRDefault="001C7266" w:rsidP="0069359D">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Aplikim për çregjistrim OJF</w:t>
            </w:r>
          </w:p>
          <w:p w:rsidR="001C7266" w:rsidRPr="00E01A0A" w:rsidRDefault="001C7266" w:rsidP="0069359D">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lastRenderedPageBreak/>
              <w:t>Aplikim për pezullim aktiviteti të OJF</w:t>
            </w:r>
          </w:p>
          <w:p w:rsidR="001C7266" w:rsidRPr="00E01A0A" w:rsidRDefault="001C7266" w:rsidP="0069359D">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Aplikim për riaktivizim aktiviteti të OJF</w:t>
            </w:r>
          </w:p>
          <w:p w:rsidR="001C7266" w:rsidRPr="00E01A0A" w:rsidRDefault="001C7266" w:rsidP="0069359D">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Ekstrakt i thjeshte/historik OJF</w:t>
            </w:r>
          </w:p>
          <w:p w:rsidR="001C7266" w:rsidRPr="00E01A0A" w:rsidRDefault="001C7266" w:rsidP="0069359D">
            <w:p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rPr>
              <w:t> </w:t>
            </w:r>
          </w:p>
          <w:p w:rsidR="002C023C" w:rsidRPr="00E01A0A" w:rsidRDefault="001C7266" w:rsidP="00F5471C">
            <w:p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Shërbimet e mësipërme janë në fazë implementimi dhe zhvillimi të cilat po ndiqen dhe jemi në komunikime të vazhdueshme me institucionin, deri n</w:t>
            </w:r>
            <w:r w:rsidRPr="00E01A0A">
              <w:rPr>
                <w:rFonts w:ascii="Times New Roman" w:eastAsia="Times New Roman" w:hAnsi="Times New Roman" w:cs="Times New Roman"/>
                <w:sz w:val="24"/>
                <w:szCs w:val="24"/>
                <w:bdr w:val="none" w:sz="0" w:space="0" w:color="auto" w:frame="1"/>
                <w:lang w:eastAsia="ja-JP"/>
              </w:rPr>
              <w:t>ë</w:t>
            </w:r>
            <w:r w:rsidRPr="00E01A0A">
              <w:rPr>
                <w:rFonts w:ascii="Times New Roman" w:eastAsia="Times New Roman" w:hAnsi="Times New Roman" w:cs="Times New Roman"/>
                <w:sz w:val="24"/>
                <w:szCs w:val="24"/>
                <w:bdr w:val="none" w:sz="0" w:space="0" w:color="auto" w:frame="1"/>
              </w:rPr>
              <w:t xml:space="preserve"> finalizimin e zhvillimeve dhe publikimin në portalin e-Albania të shërbimeve elektronike.</w:t>
            </w: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2C023C" w:rsidRPr="00E01A0A" w:rsidRDefault="002C023C" w:rsidP="0069359D">
            <w:pPr>
              <w:spacing w:after="120" w:line="240" w:lineRule="auto"/>
              <w:ind w:firstLine="720"/>
              <w:jc w:val="both"/>
              <w:rPr>
                <w:rFonts w:ascii="Times New Roman" w:hAnsi="Times New Roman" w:cs="Times New Roman"/>
                <w:kern w:val="32"/>
                <w:sz w:val="24"/>
                <w:szCs w:val="24"/>
                <w:lang w:val="it-IT"/>
              </w:rPr>
            </w:pPr>
          </w:p>
          <w:p w:rsidR="002C023C" w:rsidRPr="00E01A0A" w:rsidRDefault="002C023C" w:rsidP="0069359D">
            <w:pPr>
              <w:spacing w:after="120" w:line="240" w:lineRule="auto"/>
              <w:ind w:firstLine="720"/>
              <w:jc w:val="both"/>
              <w:rPr>
                <w:rFonts w:ascii="Times New Roman" w:hAnsi="Times New Roman" w:cs="Times New Roman"/>
                <w:kern w:val="32"/>
                <w:sz w:val="24"/>
                <w:szCs w:val="24"/>
                <w:lang w:val="it-IT"/>
              </w:rPr>
            </w:pPr>
            <w:r w:rsidRPr="00E01A0A">
              <w:rPr>
                <w:rFonts w:ascii="Times New Roman" w:hAnsi="Times New Roman" w:cs="Times New Roman"/>
                <w:kern w:val="32"/>
                <w:sz w:val="24"/>
                <w:szCs w:val="24"/>
                <w:lang w:val="it-IT"/>
              </w:rPr>
              <w:t>“Partnerët Shqipëri për Ndryshim dhe Zhvillim”</w:t>
            </w:r>
          </w:p>
        </w:tc>
        <w:tc>
          <w:tcPr>
            <w:tcW w:w="4610" w:type="dxa"/>
          </w:tcPr>
          <w:p w:rsidR="002C023C" w:rsidRPr="00E01A0A" w:rsidRDefault="002C023C" w:rsidP="0069359D">
            <w:pPr>
              <w:spacing w:after="160" w:line="259" w:lineRule="auto"/>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rPr>
              <w:t xml:space="preserve">Në lidhje me </w:t>
            </w:r>
            <w:r w:rsidRPr="00E01A0A">
              <w:rPr>
                <w:rFonts w:ascii="Times New Roman" w:eastAsia="Times New Roman" w:hAnsi="Times New Roman" w:cs="Times New Roman"/>
                <w:bCs/>
                <w:sz w:val="24"/>
                <w:szCs w:val="24"/>
                <w:lang w:val="it-IT"/>
              </w:rPr>
              <w:t xml:space="preserve">Fushën 3, Objekti 3.2. Kornizat kombëtare ligjore, rregullatore dhe  politike për organizatat e shoqërisë civile (OSHC), në kolonën e zbatimit dhe kapacitetit parashikohet: “Ka kapacitete e Këshillit të Lartë Gjyqësor për të siguruar funksionimin e sistemit dixhital për regjistrimin e OSHC-ve brenda vitit 2023”.  </w:t>
            </w:r>
          </w:p>
          <w:p w:rsidR="002C023C" w:rsidRPr="00E01A0A" w:rsidRDefault="002C023C" w:rsidP="0069359D">
            <w:pPr>
              <w:pStyle w:val="ListParagraph"/>
              <w:ind w:left="1080"/>
              <w:jc w:val="both"/>
              <w:textAlignment w:val="baseline"/>
              <w:rPr>
                <w:rFonts w:ascii="Times New Roman" w:eastAsia="Times New Roman" w:hAnsi="Times New Roman" w:cs="Times New Roman"/>
                <w:bCs/>
                <w:sz w:val="24"/>
                <w:szCs w:val="24"/>
                <w:lang w:val="it-IT"/>
              </w:rPr>
            </w:pPr>
          </w:p>
          <w:p w:rsidR="002C023C" w:rsidRPr="00E01A0A" w:rsidRDefault="002C023C" w:rsidP="0069359D">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Koment. Sërish vlen i njëjti koment. Viti 2023 u mbyll dhe regjistri elektronik nuk është funksional. Nuk ka ndonjë informacion publik në lidhje me rritjen e kapaciteteve të KLGJ për të siguruar funksionimin e sistemit dixhital për regjistrimin e OSHC-ve. </w:t>
            </w:r>
          </w:p>
          <w:p w:rsidR="002C023C" w:rsidRPr="00E01A0A" w:rsidRDefault="002C023C" w:rsidP="0069359D">
            <w:pPr>
              <w:spacing w:after="160" w:line="259" w:lineRule="auto"/>
              <w:jc w:val="both"/>
              <w:textAlignment w:val="baseline"/>
              <w:rPr>
                <w:rFonts w:ascii="Times New Roman" w:eastAsia="Times New Roman" w:hAnsi="Times New Roman" w:cs="Times New Roman"/>
                <w:bCs/>
                <w:sz w:val="24"/>
                <w:szCs w:val="24"/>
                <w:lang w:val="it-IT"/>
              </w:rPr>
            </w:pPr>
          </w:p>
        </w:tc>
        <w:tc>
          <w:tcPr>
            <w:tcW w:w="3240" w:type="dxa"/>
          </w:tcPr>
          <w:p w:rsidR="002C023C" w:rsidRPr="00E01A0A" w:rsidRDefault="002B3B7A" w:rsidP="0069359D">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t xml:space="preserve">Pranuar </w:t>
            </w:r>
          </w:p>
        </w:tc>
        <w:tc>
          <w:tcPr>
            <w:tcW w:w="4230" w:type="dxa"/>
            <w:shd w:val="clear" w:color="auto" w:fill="auto"/>
            <w:tcMar>
              <w:top w:w="100" w:type="dxa"/>
              <w:left w:w="100" w:type="dxa"/>
              <w:bottom w:w="100" w:type="dxa"/>
              <w:right w:w="100" w:type="dxa"/>
            </w:tcMar>
          </w:tcPr>
          <w:p w:rsidR="001C7266" w:rsidRPr="00E01A0A" w:rsidRDefault="001C7266" w:rsidP="0069359D">
            <w:pPr>
              <w:spacing w:line="240" w:lineRule="auto"/>
              <w:rPr>
                <w:rFonts w:ascii="Times New Roman" w:eastAsia="Times New Roman" w:hAnsi="Times New Roman" w:cs="Times New Roman"/>
                <w:b/>
                <w:sz w:val="24"/>
                <w:szCs w:val="24"/>
                <w:bdr w:val="none" w:sz="0" w:space="0" w:color="auto" w:frame="1"/>
                <w:shd w:val="clear" w:color="auto" w:fill="FFFFFF"/>
              </w:rPr>
            </w:pPr>
            <w:r w:rsidRPr="00E01A0A">
              <w:rPr>
                <w:rFonts w:ascii="Times New Roman" w:eastAsia="Times New Roman" w:hAnsi="Times New Roman" w:cs="Times New Roman"/>
                <w:b/>
                <w:sz w:val="24"/>
                <w:szCs w:val="24"/>
                <w:bdr w:val="none" w:sz="0" w:space="0" w:color="auto" w:frame="1"/>
                <w:shd w:val="clear" w:color="auto" w:fill="FFFFFF"/>
              </w:rPr>
              <w:t>AKSHI</w:t>
            </w:r>
          </w:p>
          <w:p w:rsidR="001C7266" w:rsidRPr="00E01A0A" w:rsidRDefault="001C7266" w:rsidP="0069359D">
            <w:pPr>
              <w:rPr>
                <w:rFonts w:ascii="Times New Roman" w:hAnsi="Times New Roman" w:cs="Times New Roman"/>
                <w:sz w:val="24"/>
                <w:szCs w:val="24"/>
              </w:rPr>
            </w:pPr>
          </w:p>
          <w:p w:rsidR="001C7266" w:rsidRPr="00E01A0A" w:rsidRDefault="001C7266" w:rsidP="00E01C31">
            <w:p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shd w:val="clear" w:color="auto" w:fill="FFFFFF"/>
              </w:rPr>
              <w:t>Këshilli i Lartë Gjyqësor do të ofrojë në portalin e-Albania 8 shërbime elektronike lidhur me Organizatat Jofitimprurese.</w:t>
            </w:r>
          </w:p>
          <w:p w:rsidR="001C7266" w:rsidRPr="00E01A0A" w:rsidRDefault="001C7266" w:rsidP="0069359D">
            <w:pPr>
              <w:spacing w:line="240" w:lineRule="auto"/>
              <w:ind w:left="360"/>
              <w:rPr>
                <w:rFonts w:ascii="Times New Roman" w:eastAsia="Times New Roman" w:hAnsi="Times New Roman" w:cs="Times New Roman"/>
                <w:sz w:val="24"/>
                <w:szCs w:val="24"/>
              </w:rPr>
            </w:pPr>
          </w:p>
          <w:p w:rsidR="001C7266" w:rsidRPr="00E01A0A" w:rsidRDefault="001C7266" w:rsidP="0069359D">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Aplikim për regjistrim OJF</w:t>
            </w:r>
          </w:p>
          <w:p w:rsidR="001C7266" w:rsidRPr="00E01A0A" w:rsidRDefault="001C7266" w:rsidP="0069359D">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Aplikim për ndryshim të dhënash të OJF</w:t>
            </w:r>
          </w:p>
          <w:p w:rsidR="001C7266" w:rsidRPr="00E01A0A" w:rsidRDefault="001C7266" w:rsidP="0069359D">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Aplikim për plotësim të dhënash të OJF</w:t>
            </w:r>
          </w:p>
          <w:p w:rsidR="001C7266" w:rsidRPr="00E01A0A" w:rsidRDefault="001C7266" w:rsidP="0069359D">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Aplikim për likujdim</w:t>
            </w:r>
          </w:p>
          <w:p w:rsidR="001C7266" w:rsidRPr="00E01A0A" w:rsidRDefault="001C7266" w:rsidP="0069359D">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Aplikim për çregjistrim OJF</w:t>
            </w:r>
          </w:p>
          <w:p w:rsidR="001C7266" w:rsidRPr="00E01A0A" w:rsidRDefault="001C7266" w:rsidP="0069359D">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Aplikim për pezullim aktiviteti të OJF</w:t>
            </w:r>
          </w:p>
          <w:p w:rsidR="001C7266" w:rsidRPr="00E01A0A" w:rsidRDefault="001C7266" w:rsidP="0069359D">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Aplikim për riaktivizim aktiviteti të OJF</w:t>
            </w:r>
          </w:p>
          <w:p w:rsidR="001C7266" w:rsidRPr="00E01A0A" w:rsidRDefault="001C7266" w:rsidP="0069359D">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Ekstrakt i thjeshte/historik OJF</w:t>
            </w:r>
          </w:p>
          <w:p w:rsidR="001C7266" w:rsidRPr="00E01A0A" w:rsidRDefault="001C7266" w:rsidP="0069359D">
            <w:p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rPr>
              <w:t> </w:t>
            </w:r>
          </w:p>
          <w:p w:rsidR="001C7266" w:rsidRPr="00E01A0A" w:rsidRDefault="001C7266" w:rsidP="0069359D">
            <w:p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lastRenderedPageBreak/>
              <w:t>Shërbimet e mësipërme janë në fazë implementimi dhe zhvillimi të cilat po ndiqen dhe jemi në komunikime të vazhdueshme me institucionin, deri n</w:t>
            </w:r>
            <w:r w:rsidRPr="00E01A0A">
              <w:rPr>
                <w:rFonts w:ascii="Times New Roman" w:eastAsia="Times New Roman" w:hAnsi="Times New Roman" w:cs="Times New Roman"/>
                <w:sz w:val="24"/>
                <w:szCs w:val="24"/>
                <w:bdr w:val="none" w:sz="0" w:space="0" w:color="auto" w:frame="1"/>
                <w:lang w:eastAsia="ja-JP"/>
              </w:rPr>
              <w:t>ë</w:t>
            </w:r>
            <w:r w:rsidRPr="00E01A0A">
              <w:rPr>
                <w:rFonts w:ascii="Times New Roman" w:eastAsia="Times New Roman" w:hAnsi="Times New Roman" w:cs="Times New Roman"/>
                <w:sz w:val="24"/>
                <w:szCs w:val="24"/>
                <w:bdr w:val="none" w:sz="0" w:space="0" w:color="auto" w:frame="1"/>
              </w:rPr>
              <w:t xml:space="preserve"> finalizimin e zhvillimeve dhe publikimin në portalin e-Albania të shërbimeve elektronike.</w:t>
            </w:r>
          </w:p>
          <w:p w:rsidR="002C023C" w:rsidRPr="00E01A0A" w:rsidRDefault="002C023C" w:rsidP="0069359D">
            <w:pPr>
              <w:spacing w:after="160" w:line="259" w:lineRule="auto"/>
              <w:jc w:val="both"/>
              <w:rPr>
                <w:rFonts w:ascii="Times New Roman" w:hAnsi="Times New Roman" w:cs="Times New Roman"/>
                <w:sz w:val="24"/>
                <w:szCs w:val="24"/>
                <w:lang w:val="it-IT"/>
              </w:rPr>
            </w:pPr>
          </w:p>
        </w:tc>
      </w:tr>
      <w:tr w:rsidR="0069359D" w:rsidRPr="00E01A0A" w:rsidTr="00C74183">
        <w:trPr>
          <w:trHeight w:val="1338"/>
        </w:trPr>
        <w:tc>
          <w:tcPr>
            <w:tcW w:w="3420" w:type="dxa"/>
            <w:shd w:val="clear" w:color="auto" w:fill="auto"/>
            <w:tcMar>
              <w:top w:w="100" w:type="dxa"/>
              <w:left w:w="100" w:type="dxa"/>
              <w:bottom w:w="100" w:type="dxa"/>
              <w:right w:w="100" w:type="dxa"/>
            </w:tcMar>
          </w:tcPr>
          <w:p w:rsidR="002C023C" w:rsidRPr="00E01A0A" w:rsidRDefault="002C023C" w:rsidP="0069359D">
            <w:pPr>
              <w:spacing w:after="120" w:line="240" w:lineRule="auto"/>
              <w:ind w:firstLine="720"/>
              <w:jc w:val="both"/>
              <w:rPr>
                <w:rFonts w:ascii="Times New Roman" w:hAnsi="Times New Roman" w:cs="Times New Roman"/>
                <w:kern w:val="32"/>
                <w:sz w:val="24"/>
                <w:szCs w:val="24"/>
                <w:lang w:val="it-IT"/>
              </w:rPr>
            </w:pPr>
            <w:r w:rsidRPr="00E01A0A">
              <w:rPr>
                <w:rFonts w:ascii="Times New Roman" w:hAnsi="Times New Roman" w:cs="Times New Roman"/>
                <w:kern w:val="32"/>
                <w:sz w:val="24"/>
                <w:szCs w:val="24"/>
                <w:lang w:val="it-IT"/>
              </w:rPr>
              <w:lastRenderedPageBreak/>
              <w:t>“Partnerët Shqipëri për Ndryshim dhe Zhvillim”</w:t>
            </w:r>
          </w:p>
        </w:tc>
        <w:tc>
          <w:tcPr>
            <w:tcW w:w="4610" w:type="dxa"/>
          </w:tcPr>
          <w:p w:rsidR="002C023C" w:rsidRPr="00E01A0A" w:rsidRDefault="002C023C" w:rsidP="0069359D">
            <w:pPr>
              <w:spacing w:after="160" w:line="259" w:lineRule="auto"/>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rPr>
              <w:t xml:space="preserve">Në lidhje me </w:t>
            </w:r>
            <w:r w:rsidRPr="00E01A0A">
              <w:rPr>
                <w:rFonts w:ascii="Times New Roman" w:eastAsia="Times New Roman" w:hAnsi="Times New Roman" w:cs="Times New Roman"/>
                <w:bCs/>
                <w:sz w:val="24"/>
                <w:szCs w:val="24"/>
                <w:lang w:val="it-IT"/>
              </w:rPr>
              <w:t xml:space="preserve">Fushën 3, Objekti 3.2. Kornizat kombëtare ligjore, rregullatore dhe  politike për organizatat e shoqërisë civile (OSHC), në kolonën e zbatimit dhe kapacitetit parashikohet: “U rritën kapacitetet e organeve tatimore për të përballuar nevojën për të mundësuar procedura të shpejta të rimbursimit të TVSH-së”.  </w:t>
            </w:r>
          </w:p>
          <w:p w:rsidR="002C023C" w:rsidRPr="00E01A0A" w:rsidRDefault="002C023C" w:rsidP="0069359D">
            <w:pPr>
              <w:pStyle w:val="ListParagraph"/>
              <w:ind w:left="1080"/>
              <w:jc w:val="both"/>
              <w:textAlignment w:val="baseline"/>
              <w:rPr>
                <w:rFonts w:ascii="Times New Roman" w:eastAsia="Times New Roman" w:hAnsi="Times New Roman" w:cs="Times New Roman"/>
                <w:bCs/>
                <w:sz w:val="24"/>
                <w:szCs w:val="24"/>
                <w:lang w:val="it-IT"/>
              </w:rPr>
            </w:pPr>
          </w:p>
          <w:p w:rsidR="002C023C" w:rsidRPr="00E01A0A" w:rsidRDefault="002C023C" w:rsidP="0069359D">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Koment. Këtu nuk reflektohet kuadri ligjor në fuqi dhe ndryshimet e fundit që kanë ndodhur që prej shtatorit 2023, përderisa i referohet procedurave të shpejta të rimbursimit. Sipas këtyre ndryshimeve, nuk flitet më për rimbursim, po për përjashtim nga TVSH-ja. Për më tej, kuadri ligjor në fuqi, nuk ka afate kohore se kur hyn në fuqi procedura e re për përjashtim nga TVSH. Kjo duhet të reflektohet me ndryshimin se kur duhet të hyjë në fuqi. Më pas, kapacitetet e organeve </w:t>
            </w:r>
            <w:r w:rsidRPr="00E01A0A">
              <w:rPr>
                <w:rFonts w:ascii="Times New Roman" w:eastAsia="Times New Roman" w:hAnsi="Times New Roman" w:cs="Times New Roman"/>
                <w:bCs/>
                <w:sz w:val="24"/>
                <w:szCs w:val="24"/>
                <w:lang w:val="it-IT"/>
              </w:rPr>
              <w:lastRenderedPageBreak/>
              <w:t xml:space="preserve">tatimore duhen rritur në përputhje me kuadrin ligjor ekzistues. </w:t>
            </w:r>
          </w:p>
          <w:p w:rsidR="002C023C" w:rsidRPr="00E01A0A" w:rsidRDefault="002C023C" w:rsidP="0069359D">
            <w:pPr>
              <w:spacing w:after="160" w:line="259" w:lineRule="auto"/>
              <w:jc w:val="both"/>
              <w:textAlignment w:val="baseline"/>
              <w:rPr>
                <w:rFonts w:ascii="Times New Roman" w:eastAsia="Times New Roman" w:hAnsi="Times New Roman" w:cs="Times New Roman"/>
                <w:bCs/>
                <w:sz w:val="24"/>
                <w:szCs w:val="24"/>
                <w:lang w:val="it-IT"/>
              </w:rPr>
            </w:pPr>
          </w:p>
        </w:tc>
        <w:tc>
          <w:tcPr>
            <w:tcW w:w="3240" w:type="dxa"/>
          </w:tcPr>
          <w:p w:rsidR="002C023C" w:rsidRPr="00E01A0A" w:rsidRDefault="005412B4" w:rsidP="0069359D">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lastRenderedPageBreak/>
              <w:t>Pranuar</w:t>
            </w:r>
          </w:p>
        </w:tc>
        <w:tc>
          <w:tcPr>
            <w:tcW w:w="4230" w:type="dxa"/>
            <w:shd w:val="clear" w:color="auto" w:fill="auto"/>
            <w:tcMar>
              <w:top w:w="100" w:type="dxa"/>
              <w:left w:w="100" w:type="dxa"/>
              <w:bottom w:w="100" w:type="dxa"/>
              <w:right w:w="100" w:type="dxa"/>
            </w:tcMar>
          </w:tcPr>
          <w:p w:rsidR="002C023C" w:rsidRPr="00E01A0A" w:rsidRDefault="005412B4" w:rsidP="0069359D">
            <w:pPr>
              <w:spacing w:after="160" w:line="259" w:lineRule="auto"/>
              <w:jc w:val="both"/>
              <w:rPr>
                <w:rFonts w:ascii="Times New Roman" w:hAnsi="Times New Roman" w:cs="Times New Roman"/>
                <w:sz w:val="24"/>
                <w:szCs w:val="24"/>
                <w:lang w:val="it-IT"/>
              </w:rPr>
            </w:pPr>
            <w:r w:rsidRPr="00E01A0A">
              <w:rPr>
                <w:rFonts w:ascii="Times New Roman" w:hAnsi="Times New Roman" w:cs="Times New Roman"/>
                <w:sz w:val="24"/>
                <w:szCs w:val="24"/>
                <w:lang w:val="it-IT"/>
              </w:rPr>
              <w:t>Ministria e Drejtesisë e vlerëson kete koment dhe ju siguron që përmes bashkërendimit të ngushtë me M</w:t>
            </w:r>
            <w:r w:rsidR="002B3B7A" w:rsidRPr="00E01A0A">
              <w:rPr>
                <w:rFonts w:ascii="Times New Roman" w:hAnsi="Times New Roman" w:cs="Times New Roman"/>
                <w:sz w:val="24"/>
                <w:szCs w:val="24"/>
                <w:lang w:val="it-IT"/>
              </w:rPr>
              <w:t xml:space="preserve">inistrinë e </w:t>
            </w:r>
            <w:r w:rsidRPr="00E01A0A">
              <w:rPr>
                <w:rFonts w:ascii="Times New Roman" w:hAnsi="Times New Roman" w:cs="Times New Roman"/>
                <w:sz w:val="24"/>
                <w:szCs w:val="24"/>
                <w:lang w:val="it-IT"/>
              </w:rPr>
              <w:t>F</w:t>
            </w:r>
            <w:r w:rsidR="002B3B7A" w:rsidRPr="00E01A0A">
              <w:rPr>
                <w:rFonts w:ascii="Times New Roman" w:hAnsi="Times New Roman" w:cs="Times New Roman"/>
                <w:sz w:val="24"/>
                <w:szCs w:val="24"/>
                <w:lang w:val="it-IT"/>
              </w:rPr>
              <w:t>inancave</w:t>
            </w:r>
            <w:r w:rsidRPr="00E01A0A">
              <w:rPr>
                <w:rFonts w:ascii="Times New Roman" w:hAnsi="Times New Roman" w:cs="Times New Roman"/>
                <w:sz w:val="24"/>
                <w:szCs w:val="24"/>
                <w:lang w:val="it-IT"/>
              </w:rPr>
              <w:t xml:space="preserve"> dhe DPT e ka risaktesuar këtë masë sipas procedurave të reja të parashikuara me ndryshimet ligjore të muajit shtator 2023</w:t>
            </w:r>
          </w:p>
        </w:tc>
      </w:tr>
      <w:tr w:rsidR="0042000F" w:rsidRPr="00E01A0A" w:rsidTr="00C74183">
        <w:trPr>
          <w:trHeight w:val="1338"/>
        </w:trPr>
        <w:tc>
          <w:tcPr>
            <w:tcW w:w="3420" w:type="dxa"/>
            <w:shd w:val="clear" w:color="auto" w:fill="auto"/>
            <w:tcMar>
              <w:top w:w="100" w:type="dxa"/>
              <w:left w:w="100" w:type="dxa"/>
              <w:bottom w:w="100" w:type="dxa"/>
              <w:right w:w="100" w:type="dxa"/>
            </w:tcMar>
          </w:tcPr>
          <w:p w:rsidR="0042000F" w:rsidRPr="00E01A0A" w:rsidRDefault="0042000F" w:rsidP="0042000F">
            <w:pPr>
              <w:spacing w:after="120" w:line="240" w:lineRule="auto"/>
              <w:ind w:firstLine="720"/>
              <w:jc w:val="both"/>
              <w:rPr>
                <w:rFonts w:ascii="Times New Roman" w:hAnsi="Times New Roman" w:cs="Times New Roman"/>
                <w:kern w:val="32"/>
                <w:sz w:val="24"/>
                <w:szCs w:val="24"/>
                <w:lang w:val="it-IT"/>
              </w:rPr>
            </w:pPr>
            <w:r w:rsidRPr="00E01A0A">
              <w:rPr>
                <w:rFonts w:ascii="Times New Roman" w:hAnsi="Times New Roman" w:cs="Times New Roman"/>
                <w:kern w:val="32"/>
                <w:sz w:val="24"/>
                <w:szCs w:val="24"/>
                <w:lang w:val="it-IT"/>
              </w:rPr>
              <w:t>“Partnerët Shqipëri për Ndryshim dhe Zhvillim”</w:t>
            </w:r>
          </w:p>
        </w:tc>
        <w:tc>
          <w:tcPr>
            <w:tcW w:w="4610" w:type="dxa"/>
          </w:tcPr>
          <w:p w:rsidR="0042000F" w:rsidRPr="00E01A0A" w:rsidRDefault="0042000F" w:rsidP="0042000F">
            <w:pPr>
              <w:spacing w:after="160" w:line="259" w:lineRule="auto"/>
              <w:jc w:val="both"/>
              <w:textAlignment w:val="baseline"/>
              <w:rPr>
                <w:rFonts w:ascii="Times New Roman" w:eastAsia="Times New Roman" w:hAnsi="Times New Roman" w:cs="Times New Roman"/>
                <w:bCs/>
                <w:sz w:val="24"/>
                <w:szCs w:val="24"/>
                <w:lang w:val="de-DE"/>
              </w:rPr>
            </w:pPr>
            <w:r w:rsidRPr="00E01A0A">
              <w:rPr>
                <w:rFonts w:ascii="Times New Roman" w:eastAsia="Times New Roman" w:hAnsi="Times New Roman" w:cs="Times New Roman"/>
                <w:bCs/>
                <w:sz w:val="24"/>
                <w:szCs w:val="24"/>
              </w:rPr>
              <w:t xml:space="preserve">Në lidhje me </w:t>
            </w:r>
            <w:r w:rsidRPr="00E01A0A">
              <w:rPr>
                <w:rFonts w:ascii="Times New Roman" w:eastAsia="Times New Roman" w:hAnsi="Times New Roman" w:cs="Times New Roman"/>
                <w:bCs/>
                <w:sz w:val="24"/>
                <w:szCs w:val="24"/>
                <w:lang w:val="it-IT"/>
              </w:rPr>
              <w:t>Fushën 3, Objekti 3.3. Konteksti më i gjerë për një mjedis mundësues, Masa. “Korniza ligjore e rishikuar për vullnetarizmin miratuar brenda vitit 2027”.</w:t>
            </w:r>
          </w:p>
          <w:p w:rsidR="0042000F" w:rsidRPr="00E01A0A" w:rsidRDefault="0042000F" w:rsidP="0042000F">
            <w:pPr>
              <w:pStyle w:val="ListParagraph"/>
              <w:ind w:left="1080"/>
              <w:jc w:val="both"/>
              <w:textAlignment w:val="baseline"/>
              <w:rPr>
                <w:rFonts w:ascii="Times New Roman" w:eastAsia="Times New Roman" w:hAnsi="Times New Roman" w:cs="Times New Roman"/>
                <w:bCs/>
                <w:sz w:val="24"/>
                <w:szCs w:val="24"/>
                <w:lang w:val="de-DE"/>
              </w:rPr>
            </w:pPr>
          </w:p>
          <w:p w:rsidR="0042000F" w:rsidRPr="00E01A0A" w:rsidRDefault="0042000F" w:rsidP="001F35C7">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Koment. Sipas Vendim nr. 790, datë 28.12.2023 “Për miratimin e programit të përgjithshëm analitik të projektakteve që do të paraqiten për shqyrtim në këshillin e ministrave gjatë vitit 2024”, rishikimi i Ligjit 45/2016 “Për vullnetarizmin” është parashikuar gjatë Katërmujorit të III-të të vitit 2024. Ndërkohë, prej vitit 2022, është krijuar një grup pune me përfaqësues nga OJF-të, Ministri i Shtetit për Rininë dhe Fëmijët, Ministrinë e Financave, Agjencinë Kombëtare për të Punësimit dhe Aftësive dhe ekspertë ligjorë, për diskutimin e ndryshimeve dhe përmirësimeve ligjore dhe rregullatore. Nisur nga këto parashikime dhe zhvillime, afati deri në vitin 2027 është shumë i largët dhe i panevojshëm. Ligji që prej miratimit të tij në 2016-ën, nuk është bërë asnjëherë funksional dhe nuk e ka përmbushur objektin e tij. Nuk </w:t>
            </w:r>
            <w:r w:rsidRPr="00E01A0A">
              <w:rPr>
                <w:rFonts w:ascii="Times New Roman" w:eastAsia="Times New Roman" w:hAnsi="Times New Roman" w:cs="Times New Roman"/>
                <w:bCs/>
                <w:sz w:val="24"/>
                <w:szCs w:val="24"/>
                <w:lang w:val="it-IT"/>
              </w:rPr>
              <w:lastRenderedPageBreak/>
              <w:t>është e nevojshme që kjo situatë të zgjatet edhe për disa vite të tjera, cka do të ndikonte negativisht në zhvillimin e një mjedisi mundësues për nxi</w:t>
            </w:r>
            <w:r w:rsidR="001F35C7" w:rsidRPr="00E01A0A">
              <w:rPr>
                <w:rFonts w:ascii="Times New Roman" w:eastAsia="Times New Roman" w:hAnsi="Times New Roman" w:cs="Times New Roman"/>
                <w:bCs/>
                <w:sz w:val="24"/>
                <w:szCs w:val="24"/>
                <w:lang w:val="it-IT"/>
              </w:rPr>
              <w:t xml:space="preserve">tjen e vullnetarizmit në vend. </w:t>
            </w:r>
          </w:p>
        </w:tc>
        <w:tc>
          <w:tcPr>
            <w:tcW w:w="3240" w:type="dxa"/>
          </w:tcPr>
          <w:p w:rsidR="0042000F" w:rsidRPr="00E01A0A" w:rsidRDefault="001F35C7" w:rsidP="0042000F">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lastRenderedPageBreak/>
              <w:t>P</w:t>
            </w:r>
            <w:r w:rsidR="0042000F" w:rsidRPr="00E01A0A">
              <w:rPr>
                <w:rFonts w:ascii="Times New Roman" w:hAnsi="Times New Roman" w:cs="Times New Roman"/>
                <w:sz w:val="24"/>
                <w:szCs w:val="24"/>
                <w:lang w:val="it-IT"/>
              </w:rPr>
              <w:t>ranuar</w:t>
            </w:r>
          </w:p>
        </w:tc>
        <w:tc>
          <w:tcPr>
            <w:tcW w:w="4230" w:type="dxa"/>
            <w:shd w:val="clear" w:color="auto" w:fill="auto"/>
            <w:tcMar>
              <w:top w:w="100" w:type="dxa"/>
              <w:left w:w="100" w:type="dxa"/>
              <w:bottom w:w="100" w:type="dxa"/>
              <w:right w:w="100" w:type="dxa"/>
            </w:tcMar>
          </w:tcPr>
          <w:p w:rsidR="0042000F" w:rsidRPr="00E01A0A" w:rsidRDefault="0042000F" w:rsidP="0042000F">
            <w:pPr>
              <w:spacing w:after="160" w:line="259" w:lineRule="auto"/>
              <w:jc w:val="both"/>
              <w:rPr>
                <w:rFonts w:ascii="Times New Roman" w:eastAsia="Times New Roman" w:hAnsi="Times New Roman" w:cs="Times New Roman"/>
                <w:bCs/>
                <w:color w:val="000000" w:themeColor="text1"/>
                <w:sz w:val="24"/>
                <w:szCs w:val="24"/>
                <w:lang w:val="it-IT"/>
              </w:rPr>
            </w:pPr>
            <w:r w:rsidRPr="00E01A0A">
              <w:rPr>
                <w:rFonts w:ascii="Times New Roman" w:eastAsia="Times New Roman" w:hAnsi="Times New Roman" w:cs="Times New Roman"/>
                <w:b/>
                <w:bCs/>
                <w:color w:val="000000" w:themeColor="text1"/>
                <w:sz w:val="24"/>
                <w:szCs w:val="24"/>
                <w:lang w:val="it-IT"/>
              </w:rPr>
              <w:t>Ministri i Shtetit për Rininë dhe Fëmijët</w:t>
            </w:r>
            <w:r w:rsidRPr="00E01A0A">
              <w:rPr>
                <w:rFonts w:ascii="Times New Roman" w:eastAsia="Times New Roman" w:hAnsi="Times New Roman" w:cs="Times New Roman"/>
                <w:bCs/>
                <w:color w:val="000000" w:themeColor="text1"/>
                <w:sz w:val="24"/>
                <w:szCs w:val="24"/>
                <w:lang w:val="it-IT"/>
              </w:rPr>
              <w:t xml:space="preserve">: Bazuar në Vendimin nr. 790, datë 28.12.2023 “Për miratimin e programit të përgjithshëm analitik të projektakteve që do të paraqiten për shqyrtim të Këshillit të Ministrave gjatë vitit 2024”, rishikimi i Ligjit 45/2016 “Për vullnetarizmin” është parashikuar të  propozohet si projektligj qeveritar. Miratimi i projektligjit nga Këshilli i Ministrave parashikohet të kryhet brenda katërmujorit të III-të të vitit 2024. Në vlerësimin e MSHRF, viti 2026 mbetet afati me realist dhe i sigurt që mban parasysh mundësinë e adresimit të përshtatshëm të çdo çështje apo aspekti të paparashikuar gjatë shqyrtimit të projekt-aktit në procesin legjislativ. Ky parashikim megjithatë nuk pengon mundësinë e përfundimit të këtyre procedurave në një periudhë edhe më të hershme, në varësi të mbarëvajtjes së procesit legjislativ.  </w:t>
            </w:r>
          </w:p>
          <w:p w:rsidR="0042000F" w:rsidRPr="00E01A0A" w:rsidRDefault="0042000F" w:rsidP="0042000F">
            <w:pPr>
              <w:spacing w:after="160" w:line="259" w:lineRule="auto"/>
              <w:jc w:val="both"/>
              <w:rPr>
                <w:rFonts w:ascii="Times New Roman" w:hAnsi="Times New Roman" w:cs="Times New Roman"/>
                <w:sz w:val="24"/>
                <w:szCs w:val="24"/>
                <w:lang w:val="it-IT"/>
              </w:rPr>
            </w:pPr>
          </w:p>
        </w:tc>
      </w:tr>
      <w:tr w:rsidR="0042000F" w:rsidRPr="00E01A0A" w:rsidTr="00C74183">
        <w:trPr>
          <w:trHeight w:val="1338"/>
        </w:trPr>
        <w:tc>
          <w:tcPr>
            <w:tcW w:w="3420" w:type="dxa"/>
            <w:shd w:val="clear" w:color="auto" w:fill="auto"/>
            <w:tcMar>
              <w:top w:w="100" w:type="dxa"/>
              <w:left w:w="100" w:type="dxa"/>
              <w:bottom w:w="100" w:type="dxa"/>
              <w:right w:w="100" w:type="dxa"/>
            </w:tcMar>
          </w:tcPr>
          <w:p w:rsidR="0042000F" w:rsidRPr="00E01A0A" w:rsidRDefault="0042000F" w:rsidP="0042000F">
            <w:pPr>
              <w:spacing w:after="120" w:line="240" w:lineRule="auto"/>
              <w:ind w:firstLine="720"/>
              <w:jc w:val="both"/>
              <w:rPr>
                <w:rFonts w:ascii="Times New Roman" w:hAnsi="Times New Roman" w:cs="Times New Roman"/>
                <w:kern w:val="32"/>
                <w:sz w:val="24"/>
                <w:szCs w:val="24"/>
                <w:lang w:val="it-IT"/>
              </w:rPr>
            </w:pPr>
            <w:r w:rsidRPr="00E01A0A">
              <w:rPr>
                <w:rFonts w:ascii="Times New Roman" w:hAnsi="Times New Roman" w:cs="Times New Roman"/>
                <w:kern w:val="32"/>
                <w:sz w:val="24"/>
                <w:szCs w:val="24"/>
                <w:lang w:val="it-IT"/>
              </w:rPr>
              <w:t>“Partnerët Shqipëri për Ndryshim dhe Zhvillim”</w:t>
            </w:r>
          </w:p>
        </w:tc>
        <w:tc>
          <w:tcPr>
            <w:tcW w:w="4610" w:type="dxa"/>
          </w:tcPr>
          <w:p w:rsidR="0042000F" w:rsidRPr="00E01A0A" w:rsidRDefault="0042000F" w:rsidP="0042000F">
            <w:pPr>
              <w:spacing w:after="160" w:line="259" w:lineRule="auto"/>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rPr>
              <w:t xml:space="preserve">Në lidhje me </w:t>
            </w:r>
            <w:r w:rsidRPr="00E01A0A">
              <w:rPr>
                <w:rFonts w:ascii="Times New Roman" w:eastAsia="Times New Roman" w:hAnsi="Times New Roman" w:cs="Times New Roman"/>
                <w:bCs/>
                <w:sz w:val="24"/>
                <w:szCs w:val="24"/>
                <w:lang w:val="it-IT"/>
              </w:rPr>
              <w:t>Fushën 3, Objekti 3.3. Konteksti më i gjerë për një mjedis mundësues, Masa. “Ndryshim në ligjin nr.146/2014 “Për njoftimin dhe konsultimin publik”, dhe në legjislacionin dytësor për konsultimin publik bëhet në mënyrë progresive drejt vitit 2030”.</w:t>
            </w:r>
          </w:p>
          <w:p w:rsidR="0042000F" w:rsidRPr="00E01A0A" w:rsidRDefault="0042000F" w:rsidP="0042000F">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Koment. Ndryshimet në ligjin nr.146/2014 “Për njoftimin dhe konsultimin publik”, dhe në legjislacionin dytësor për konsultimin publik kanë shumë vite që janë ngritur si cështje nga organizatat e shoqërisë civile dhe jo vetëm. Progres Raporti i BE-së në mënyrë periodike thekson nevojën për përmirësimin në këtë drejtim. Në këto kushte, kur kjo çështje është diskutuar shumë dhe prej një kohe të gjatë, afati duhet afruar. Nuk mund të vendoset deri në 2030 sepse është një peruidhë shumë e gjatë, ndërkohë që konsultimi publik duhet të përmirësohet sa më shpejt, dhe kuadri ligjor e rregullator të jetë sa më mundësues dhe efektiv. </w:t>
            </w:r>
          </w:p>
          <w:p w:rsidR="0042000F" w:rsidRPr="00E01A0A" w:rsidRDefault="0042000F" w:rsidP="00792600">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Bazuar në Vendim nr. 790, datë 28.12.2023 “Për miratimin e programit të përgjithshëm </w:t>
            </w:r>
            <w:r w:rsidRPr="00E01A0A">
              <w:rPr>
                <w:rFonts w:ascii="Times New Roman" w:eastAsia="Times New Roman" w:hAnsi="Times New Roman" w:cs="Times New Roman"/>
                <w:bCs/>
                <w:sz w:val="24"/>
                <w:szCs w:val="24"/>
                <w:lang w:val="it-IT"/>
              </w:rPr>
              <w:lastRenderedPageBreak/>
              <w:t>analitik të projektakteve që do të paraqiten për shqyrtim në këshillin e ministrave gjatë vitit 2024”, Ligji për Konsultimin Publik nuk është parashikuar të përfshihet në axhendën e punimeve gjatë 2024. Mbetet e nevojshme, afrimi i afatit për këtë Ligj kaq të rëndësishëm që garanton përfshirjen e të gjithë aktorëve dhe grupeve të interesit në politikëbërje dhe që lidhet në mënyrë të drejtpërdrejtë edhe me procesin</w:t>
            </w:r>
            <w:r w:rsidR="00792600" w:rsidRPr="00E01A0A">
              <w:rPr>
                <w:rFonts w:ascii="Times New Roman" w:eastAsia="Times New Roman" w:hAnsi="Times New Roman" w:cs="Times New Roman"/>
                <w:bCs/>
                <w:sz w:val="24"/>
                <w:szCs w:val="24"/>
                <w:lang w:val="it-IT"/>
              </w:rPr>
              <w:t xml:space="preserve"> e integrimit të vendit në BE. </w:t>
            </w:r>
          </w:p>
        </w:tc>
        <w:tc>
          <w:tcPr>
            <w:tcW w:w="3240" w:type="dxa"/>
          </w:tcPr>
          <w:p w:rsidR="0042000F" w:rsidRPr="00E01A0A" w:rsidRDefault="001F35C7" w:rsidP="0042000F">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lastRenderedPageBreak/>
              <w:t xml:space="preserve">Refuzuar </w:t>
            </w:r>
          </w:p>
        </w:tc>
        <w:tc>
          <w:tcPr>
            <w:tcW w:w="4230" w:type="dxa"/>
            <w:shd w:val="clear" w:color="auto" w:fill="auto"/>
            <w:tcMar>
              <w:top w:w="100" w:type="dxa"/>
              <w:left w:w="100" w:type="dxa"/>
              <w:bottom w:w="100" w:type="dxa"/>
              <w:right w:w="100" w:type="dxa"/>
            </w:tcMar>
          </w:tcPr>
          <w:p w:rsidR="001F35C7" w:rsidRPr="00E01A0A" w:rsidRDefault="001F35C7" w:rsidP="0042000F">
            <w:pPr>
              <w:spacing w:after="160" w:line="259" w:lineRule="auto"/>
              <w:jc w:val="both"/>
              <w:rPr>
                <w:rFonts w:ascii="Times New Roman" w:hAnsi="Times New Roman" w:cs="Times New Roman"/>
                <w:sz w:val="24"/>
                <w:szCs w:val="24"/>
                <w:lang w:val="it-IT"/>
              </w:rPr>
            </w:pPr>
            <w:r w:rsidRPr="00E01A0A">
              <w:rPr>
                <w:rFonts w:ascii="Times New Roman" w:hAnsi="Times New Roman" w:cs="Times New Roman"/>
                <w:sz w:val="24"/>
                <w:szCs w:val="24"/>
                <w:lang w:val="it-IT"/>
              </w:rPr>
              <w:t xml:space="preserve">Risaktësojmë se viti 2030 është parashikuar për përafrimin e poltë të legjsilacioni për konsultimin publik me </w:t>
            </w:r>
            <w:r w:rsidRPr="00E01A0A">
              <w:rPr>
                <w:rFonts w:ascii="Times New Roman" w:hAnsi="Times New Roman" w:cs="Times New Roman"/>
                <w:i/>
                <w:sz w:val="24"/>
                <w:szCs w:val="24"/>
                <w:lang w:val="it-IT"/>
              </w:rPr>
              <w:t xml:space="preserve">acquis </w:t>
            </w:r>
            <w:r w:rsidRPr="00E01A0A">
              <w:rPr>
                <w:rFonts w:ascii="Times New Roman" w:hAnsi="Times New Roman" w:cs="Times New Roman"/>
                <w:sz w:val="24"/>
                <w:szCs w:val="24"/>
                <w:lang w:val="it-IT"/>
              </w:rPr>
              <w:t xml:space="preserve">e BE ndërkohë qĽ draft udhërrëfyesi për funskionimin e Institucioneve Demokratike ka një sërë masash të ndërmjetme kur disa prej tyre janë si vijon: </w:t>
            </w:r>
          </w:p>
          <w:p w:rsidR="001F35C7" w:rsidRPr="00E01A0A" w:rsidRDefault="001F35C7" w:rsidP="001F35C7">
            <w:pPr>
              <w:jc w:val="both"/>
              <w:rPr>
                <w:rFonts w:ascii="Times New Roman" w:hAnsi="Times New Roman" w:cs="Times New Roman"/>
                <w:i/>
                <w:sz w:val="24"/>
                <w:szCs w:val="24"/>
                <w:lang w:val="en-GB"/>
              </w:rPr>
            </w:pPr>
            <w:r w:rsidRPr="00E01A0A">
              <w:rPr>
                <w:rFonts w:ascii="Times New Roman" w:hAnsi="Times New Roman" w:cs="Times New Roman"/>
                <w:i/>
                <w:sz w:val="24"/>
                <w:szCs w:val="24"/>
                <w:lang w:val="en-GB"/>
              </w:rPr>
              <w:t>Cilësia e konsultimeve, transparenca dhe pjesëmarrja publike e OSHC-ve në proceset vendimmarrëse përmirësohet duke u drejtuar në mënyrë proaktive dhe plotësisht gjithëpërfshirëse, dhe shtrirë në të gjitha iniciativat legjislative dhe politike duke u realizuar përmes mekanizmave efektivë institucionalë dhe për një dialog brenda vitit 2025.</w:t>
            </w:r>
          </w:p>
          <w:p w:rsidR="001F35C7" w:rsidRPr="00E01A0A" w:rsidRDefault="001F35C7" w:rsidP="001F35C7">
            <w:pPr>
              <w:jc w:val="both"/>
              <w:rPr>
                <w:rFonts w:ascii="Times New Roman" w:hAnsi="Times New Roman" w:cs="Times New Roman"/>
                <w:i/>
                <w:sz w:val="24"/>
                <w:szCs w:val="24"/>
                <w:lang w:val="en-GB"/>
              </w:rPr>
            </w:pPr>
          </w:p>
          <w:p w:rsidR="00792600" w:rsidRPr="00E01A0A" w:rsidRDefault="001F35C7" w:rsidP="00792600">
            <w:pPr>
              <w:jc w:val="both"/>
              <w:rPr>
                <w:rFonts w:ascii="Times New Roman" w:hAnsi="Times New Roman" w:cs="Times New Roman"/>
                <w:i/>
                <w:sz w:val="24"/>
                <w:szCs w:val="24"/>
                <w:lang w:val="en-GB"/>
              </w:rPr>
            </w:pPr>
            <w:r w:rsidRPr="00E01A0A">
              <w:rPr>
                <w:rFonts w:ascii="Times New Roman" w:hAnsi="Times New Roman" w:cs="Times New Roman"/>
                <w:i/>
                <w:sz w:val="24"/>
                <w:szCs w:val="24"/>
                <w:lang w:val="en-GB"/>
              </w:rPr>
              <w:t xml:space="preserve">Forcimi i kulturës pjesëmarrëse të publikut dhe palëve të interesuara dhe rritja e llogaridhënies së institucioneve në vendimmarrje përmes konsultimit publik </w:t>
            </w:r>
            <w:r w:rsidRPr="00E01A0A">
              <w:rPr>
                <w:rFonts w:ascii="Times New Roman" w:hAnsi="Times New Roman" w:cs="Times New Roman"/>
                <w:i/>
                <w:sz w:val="24"/>
                <w:szCs w:val="24"/>
                <w:lang w:val="en-GB"/>
              </w:rPr>
              <w:lastRenderedPageBreak/>
              <w:t>që çon në rregullime më të mira brenda vitit 2026</w:t>
            </w:r>
          </w:p>
          <w:p w:rsidR="00792600" w:rsidRPr="00E01A0A" w:rsidRDefault="00792600" w:rsidP="00792600">
            <w:pPr>
              <w:jc w:val="both"/>
              <w:rPr>
                <w:rFonts w:ascii="Times New Roman" w:hAnsi="Times New Roman" w:cs="Times New Roman"/>
                <w:i/>
                <w:sz w:val="24"/>
                <w:szCs w:val="24"/>
                <w:lang w:val="en-GB"/>
              </w:rPr>
            </w:pPr>
          </w:p>
          <w:p w:rsidR="00792600" w:rsidRPr="00E01A0A" w:rsidRDefault="00792600" w:rsidP="00792600">
            <w:pPr>
              <w:jc w:val="both"/>
              <w:rPr>
                <w:rFonts w:ascii="Times New Roman" w:hAnsi="Times New Roman" w:cs="Times New Roman"/>
                <w:i/>
                <w:sz w:val="24"/>
                <w:szCs w:val="24"/>
                <w:lang w:val="en-GB"/>
              </w:rPr>
            </w:pPr>
            <w:r w:rsidRPr="00E01A0A">
              <w:rPr>
                <w:rFonts w:ascii="Times New Roman" w:hAnsi="Times New Roman" w:cs="Times New Roman"/>
                <w:i/>
                <w:sz w:val="24"/>
                <w:szCs w:val="24"/>
                <w:lang w:val="en-GB"/>
              </w:rPr>
              <w:t>Administrata publike në Qendrën e Qeverisjes është e aftë të kryejë procesin e konsultimit publik bazuar në standardet më të larta – në vazhdim.</w:t>
            </w:r>
          </w:p>
          <w:p w:rsidR="00792600" w:rsidRPr="00E01A0A" w:rsidRDefault="00792600" w:rsidP="00792600">
            <w:pPr>
              <w:jc w:val="both"/>
              <w:rPr>
                <w:rFonts w:ascii="Times New Roman" w:hAnsi="Times New Roman" w:cs="Times New Roman"/>
                <w:i/>
                <w:sz w:val="24"/>
                <w:szCs w:val="24"/>
                <w:lang w:val="en-GB"/>
              </w:rPr>
            </w:pPr>
            <w:r w:rsidRPr="00E01A0A">
              <w:rPr>
                <w:rFonts w:ascii="Times New Roman" w:hAnsi="Times New Roman" w:cs="Times New Roman"/>
                <w:i/>
                <w:sz w:val="24"/>
                <w:szCs w:val="24"/>
                <w:lang w:val="en-GB"/>
              </w:rPr>
              <w:t>Afati i publikimit për konsultimin elektronik respektohet së paku në nivelin 90 %</w:t>
            </w:r>
          </w:p>
          <w:p w:rsidR="00792600" w:rsidRPr="00E01A0A" w:rsidRDefault="00792600" w:rsidP="00792600">
            <w:pPr>
              <w:spacing w:after="160" w:line="259" w:lineRule="auto"/>
              <w:jc w:val="both"/>
              <w:rPr>
                <w:rFonts w:ascii="Times New Roman" w:hAnsi="Times New Roman" w:cs="Times New Roman"/>
                <w:sz w:val="24"/>
                <w:szCs w:val="24"/>
                <w:lang w:val="it-IT"/>
              </w:rPr>
            </w:pPr>
            <w:r w:rsidRPr="00E01A0A">
              <w:rPr>
                <w:rFonts w:ascii="Times New Roman" w:hAnsi="Times New Roman" w:cs="Times New Roman"/>
                <w:i/>
                <w:sz w:val="24"/>
                <w:szCs w:val="24"/>
                <w:lang w:val="en-GB"/>
              </w:rPr>
              <w:t>Shoqëria civile konsultohet plotësisht dhe merr pjesë në mënyrë transparente dhe gjithëpërfshirëse në negociatat e anëtarësimit në BE nga viti 2025.</w:t>
            </w:r>
          </w:p>
        </w:tc>
      </w:tr>
      <w:tr w:rsidR="0042000F" w:rsidRPr="00E01A0A" w:rsidTr="00C74183">
        <w:trPr>
          <w:trHeight w:val="1338"/>
        </w:trPr>
        <w:tc>
          <w:tcPr>
            <w:tcW w:w="3420" w:type="dxa"/>
            <w:shd w:val="clear" w:color="auto" w:fill="auto"/>
            <w:tcMar>
              <w:top w:w="100" w:type="dxa"/>
              <w:left w:w="100" w:type="dxa"/>
              <w:bottom w:w="100" w:type="dxa"/>
              <w:right w:w="100" w:type="dxa"/>
            </w:tcMar>
          </w:tcPr>
          <w:p w:rsidR="0042000F" w:rsidRPr="00E01A0A" w:rsidRDefault="0042000F" w:rsidP="0042000F">
            <w:pPr>
              <w:spacing w:after="120" w:line="240" w:lineRule="auto"/>
              <w:jc w:val="both"/>
              <w:rPr>
                <w:rFonts w:ascii="Times New Roman" w:hAnsi="Times New Roman" w:cs="Times New Roman"/>
                <w:kern w:val="32"/>
                <w:sz w:val="24"/>
                <w:szCs w:val="24"/>
                <w:lang w:val="it-IT"/>
              </w:rPr>
            </w:pPr>
            <w:r w:rsidRPr="00E01A0A">
              <w:rPr>
                <w:rFonts w:ascii="Times New Roman" w:eastAsia="Times New Roman" w:hAnsi="Times New Roman" w:cs="Times New Roman"/>
                <w:bCs/>
                <w:sz w:val="24"/>
                <w:szCs w:val="24"/>
                <w:lang w:val="it-IT"/>
              </w:rPr>
              <w:lastRenderedPageBreak/>
              <w:t>Qendra Shkencë dhe Inovacion për Zhvillim</w:t>
            </w:r>
          </w:p>
        </w:tc>
        <w:tc>
          <w:tcPr>
            <w:tcW w:w="4610" w:type="dxa"/>
          </w:tcPr>
          <w:p w:rsidR="0042000F" w:rsidRPr="00E01A0A" w:rsidRDefault="0042000F" w:rsidP="0042000F">
            <w:pPr>
              <w:jc w:val="both"/>
              <w:textAlignment w:val="baseline"/>
              <w:rPr>
                <w:rFonts w:ascii="Times New Roman" w:eastAsia="Times New Roman" w:hAnsi="Times New Roman" w:cs="Times New Roman"/>
                <w:b/>
                <w:bCs/>
                <w:sz w:val="24"/>
                <w:szCs w:val="24"/>
                <w:lang w:val="it-IT"/>
              </w:rPr>
            </w:pPr>
            <w:r w:rsidRPr="00E01A0A">
              <w:rPr>
                <w:rFonts w:ascii="Times New Roman" w:hAnsi="Times New Roman" w:cs="Times New Roman"/>
                <w:b/>
                <w:bCs/>
                <w:sz w:val="24"/>
                <w:szCs w:val="24"/>
                <w:lang w:val="it-IT"/>
              </w:rPr>
              <w:t xml:space="preserve">1.2 </w:t>
            </w:r>
            <w:r w:rsidRPr="00E01A0A">
              <w:rPr>
                <w:rFonts w:ascii="Times New Roman" w:eastAsia="Times New Roman" w:hAnsi="Times New Roman" w:cs="Times New Roman"/>
                <w:b/>
                <w:bCs/>
                <w:sz w:val="24"/>
                <w:szCs w:val="24"/>
                <w:lang w:val="it-IT"/>
              </w:rPr>
              <w:t>Media në fushatën zgjedhore</w:t>
            </w:r>
          </w:p>
          <w:p w:rsidR="0042000F" w:rsidRPr="00E01A0A" w:rsidRDefault="0042000F" w:rsidP="0042000F">
            <w:pPr>
              <w:jc w:val="both"/>
              <w:textAlignment w:val="baseline"/>
              <w:rPr>
                <w:rFonts w:ascii="Times New Roman" w:eastAsia="Times New Roman" w:hAnsi="Times New Roman" w:cs="Times New Roman"/>
                <w:b/>
                <w:bCs/>
                <w:sz w:val="24"/>
                <w:szCs w:val="24"/>
                <w:lang w:val="it-IT"/>
              </w:rPr>
            </w:pPr>
          </w:p>
          <w:p w:rsidR="0042000F" w:rsidRPr="00E01A0A" w:rsidRDefault="0042000F" w:rsidP="0042000F">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sz w:val="24"/>
                <w:szCs w:val="24"/>
                <w:lang w:val="it-IT"/>
              </w:rPr>
              <w:t xml:space="preserve">SCiDEV mirëpret synimin për të adresuar </w:t>
            </w:r>
            <w:r w:rsidRPr="00E01A0A">
              <w:rPr>
                <w:rFonts w:ascii="Times New Roman" w:eastAsia="Times New Roman" w:hAnsi="Times New Roman" w:cs="Times New Roman"/>
                <w:bCs/>
                <w:sz w:val="24"/>
                <w:szCs w:val="24"/>
                <w:lang w:val="it-IT"/>
              </w:rPr>
              <w:t xml:space="preserve">mbulimit të fushatës mediatike me materiale të gatshëm të ofruar nga partitë, megjithatë Udhërrëfyesi nuk ofron një qasje specifike sesi planifikohet të realizohet kjo. Materialet e gatshme vijnë jo vetëm nga partitë politike, por, sidomos, edhe nga Qeveria, Institucionet qendrore, Bashkitë si edhe aktorët e tjerë politikë. Është e rëndësishme të specifikon cilat ndryshime ligjore parashikohen në Kodin Zgjedhor. </w:t>
            </w:r>
          </w:p>
          <w:p w:rsidR="0042000F" w:rsidRPr="00E01A0A" w:rsidRDefault="0042000F" w:rsidP="0042000F">
            <w:pPr>
              <w:jc w:val="both"/>
              <w:textAlignment w:val="baseline"/>
              <w:rPr>
                <w:rFonts w:ascii="Times New Roman" w:eastAsia="Times New Roman" w:hAnsi="Times New Roman" w:cs="Times New Roman"/>
                <w:bCs/>
                <w:sz w:val="24"/>
                <w:szCs w:val="24"/>
                <w:lang w:val="it-IT"/>
              </w:rPr>
            </w:pPr>
          </w:p>
          <w:p w:rsidR="0042000F" w:rsidRPr="00E01A0A" w:rsidRDefault="0042000F" w:rsidP="0042000F">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lastRenderedPageBreak/>
              <w:t xml:space="preserve">Sa i takon ndryshimeve ligjore në Kodin Zgjedhor për monitorimin e mediave sociale gjatë fushatës zgjedhore, sërish nevojitet specifik i masës së propozuar si dhe cilat media sociale i referohemi, cili institucion do bëj monitorimin (Nuk është kompetencë e AMA dhe as e KQZ, Shqipëria nuk ka legjislacion për mediat online apo ato sociale) dhe çfarë masash supozohet të merren pas monitorimit, si do sigurohet që monitorimi i mediave sociale nuk shndërrohet në një instrument për të heshtur disa zëra apo cënuar lirinë e shprehjes. </w:t>
            </w:r>
          </w:p>
          <w:p w:rsidR="0042000F" w:rsidRPr="00E01A0A" w:rsidRDefault="0042000F" w:rsidP="0042000F">
            <w:pPr>
              <w:jc w:val="both"/>
              <w:textAlignment w:val="baseline"/>
              <w:rPr>
                <w:rFonts w:ascii="Times New Roman" w:eastAsia="Times New Roman" w:hAnsi="Times New Roman" w:cs="Times New Roman"/>
                <w:bCs/>
                <w:sz w:val="24"/>
                <w:szCs w:val="24"/>
                <w:lang w:val="it-IT"/>
              </w:rPr>
            </w:pPr>
          </w:p>
          <w:p w:rsidR="0042000F" w:rsidRPr="00E01A0A" w:rsidRDefault="0042000F" w:rsidP="0042000F">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Është e nevojshme të shmanget plotësisht pjesa deklarative e masave, ato të duhet të jenë specifike, konkrete dhe me përgjegjësi konkrete për cilët institucione janë përgjegjës. Gjithashtu, për këto ndryshime të parashikuara në pikën 1.2 në Kodin Zgjedhor brenda 2024, është thelbësore një proces konsultimi i mirëfilltë dhe gjithëpërfshirës me të gjithë aktorët në tryeza dialogu të strukturuar dhe me transparencë të plotë. </w:t>
            </w:r>
          </w:p>
          <w:p w:rsidR="0042000F" w:rsidRPr="00E01A0A" w:rsidRDefault="0042000F" w:rsidP="0042000F">
            <w:pPr>
              <w:spacing w:after="160" w:line="259" w:lineRule="auto"/>
              <w:jc w:val="both"/>
              <w:textAlignment w:val="baseline"/>
              <w:rPr>
                <w:rFonts w:ascii="Times New Roman" w:eastAsia="Times New Roman" w:hAnsi="Times New Roman" w:cs="Times New Roman"/>
                <w:bCs/>
                <w:sz w:val="24"/>
                <w:szCs w:val="24"/>
                <w:lang w:val="it-IT"/>
              </w:rPr>
            </w:pPr>
          </w:p>
        </w:tc>
        <w:tc>
          <w:tcPr>
            <w:tcW w:w="3240" w:type="dxa"/>
          </w:tcPr>
          <w:p w:rsidR="0042000F" w:rsidRPr="00E01A0A" w:rsidRDefault="0042000F" w:rsidP="0042000F">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lastRenderedPageBreak/>
              <w:t xml:space="preserve">Pranuar pjeserisht </w:t>
            </w:r>
          </w:p>
          <w:p w:rsidR="0042000F" w:rsidRPr="00E01A0A" w:rsidRDefault="0042000F" w:rsidP="0042000F">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p>
        </w:tc>
        <w:tc>
          <w:tcPr>
            <w:tcW w:w="4230" w:type="dxa"/>
            <w:shd w:val="clear" w:color="auto" w:fill="auto"/>
            <w:tcMar>
              <w:top w:w="100" w:type="dxa"/>
              <w:left w:w="100" w:type="dxa"/>
              <w:bottom w:w="100" w:type="dxa"/>
              <w:right w:w="100" w:type="dxa"/>
            </w:tcMar>
          </w:tcPr>
          <w:p w:rsidR="0042000F" w:rsidRPr="00E01A0A" w:rsidRDefault="0042000F" w:rsidP="0042000F">
            <w:pPr>
              <w:spacing w:after="160" w:line="256" w:lineRule="auto"/>
              <w:jc w:val="both"/>
              <w:rPr>
                <w:rFonts w:ascii="Times New Roman" w:hAnsi="Times New Roman" w:cs="Times New Roman"/>
                <w:sz w:val="24"/>
                <w:szCs w:val="24"/>
              </w:rPr>
            </w:pPr>
          </w:p>
          <w:p w:rsidR="00747A5A" w:rsidRPr="00E01A0A" w:rsidRDefault="00747A5A" w:rsidP="00747A5A">
            <w:pPr>
              <w:widowControl w:val="0"/>
              <w:pBdr>
                <w:top w:val="nil"/>
                <w:left w:val="nil"/>
                <w:bottom w:val="nil"/>
                <w:right w:val="nil"/>
                <w:between w:val="nil"/>
              </w:pBdr>
              <w:spacing w:line="240" w:lineRule="auto"/>
              <w:jc w:val="both"/>
              <w:rPr>
                <w:rFonts w:ascii="Times New Roman" w:hAnsi="Times New Roman" w:cs="Times New Roman"/>
                <w:i/>
                <w:iCs/>
                <w:sz w:val="24"/>
                <w:szCs w:val="24"/>
                <w:lang w:val="sq-AL"/>
              </w:rPr>
            </w:pPr>
            <w:r w:rsidRPr="00E01A0A">
              <w:rPr>
                <w:rFonts w:ascii="Times New Roman" w:hAnsi="Times New Roman" w:cs="Times New Roman"/>
                <w:sz w:val="24"/>
                <w:szCs w:val="24"/>
                <w:lang w:val="sq-AL"/>
              </w:rPr>
              <w:t>Ndryshimet e Kodit Zgjedhor në 26.7.2024 realizuan ndryshimet ligjore për asdresimin e votës së diasporës dhe zbatimin e vendimeve të Gjykatës Kushtetuese.</w:t>
            </w:r>
          </w:p>
          <w:p w:rsidR="00747A5A" w:rsidRPr="00E01A0A" w:rsidRDefault="00747A5A" w:rsidP="0042000F">
            <w:pPr>
              <w:spacing w:after="160" w:line="259" w:lineRule="auto"/>
              <w:jc w:val="both"/>
              <w:rPr>
                <w:rFonts w:ascii="Times New Roman" w:hAnsi="Times New Roman" w:cs="Times New Roman"/>
                <w:sz w:val="24"/>
                <w:szCs w:val="24"/>
              </w:rPr>
            </w:pPr>
          </w:p>
          <w:p w:rsidR="0042000F" w:rsidRPr="00E01A0A" w:rsidRDefault="0042000F" w:rsidP="00F100E4">
            <w:pPr>
              <w:spacing w:after="160" w:line="259" w:lineRule="auto"/>
              <w:jc w:val="both"/>
              <w:rPr>
                <w:rFonts w:ascii="Times New Roman" w:hAnsi="Times New Roman" w:cs="Times New Roman"/>
                <w:sz w:val="24"/>
                <w:szCs w:val="24"/>
                <w:lang w:val="it-IT"/>
              </w:rPr>
            </w:pPr>
          </w:p>
        </w:tc>
      </w:tr>
      <w:tr w:rsidR="0042000F" w:rsidRPr="00E01A0A" w:rsidTr="00C74183">
        <w:trPr>
          <w:trHeight w:val="1338"/>
        </w:trPr>
        <w:tc>
          <w:tcPr>
            <w:tcW w:w="3420" w:type="dxa"/>
            <w:shd w:val="clear" w:color="auto" w:fill="auto"/>
            <w:tcMar>
              <w:top w:w="100" w:type="dxa"/>
              <w:left w:w="100" w:type="dxa"/>
              <w:bottom w:w="100" w:type="dxa"/>
              <w:right w:w="100" w:type="dxa"/>
            </w:tcMar>
          </w:tcPr>
          <w:p w:rsidR="0042000F" w:rsidRPr="00E01A0A" w:rsidRDefault="0042000F" w:rsidP="0042000F">
            <w:pPr>
              <w:spacing w:after="120" w:line="240" w:lineRule="auto"/>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lastRenderedPageBreak/>
              <w:t>Qendra Shkencë dhe Inovacion për Zhvillim</w:t>
            </w:r>
          </w:p>
        </w:tc>
        <w:tc>
          <w:tcPr>
            <w:tcW w:w="4610" w:type="dxa"/>
          </w:tcPr>
          <w:p w:rsidR="0042000F" w:rsidRPr="00E01A0A" w:rsidRDefault="0042000F" w:rsidP="0042000F">
            <w:pPr>
              <w:jc w:val="both"/>
              <w:textAlignment w:val="baseline"/>
              <w:rPr>
                <w:rFonts w:ascii="Times New Roman" w:eastAsia="Times New Roman" w:hAnsi="Times New Roman" w:cs="Times New Roman"/>
                <w:bCs/>
                <w:sz w:val="24"/>
                <w:szCs w:val="24"/>
                <w:lang w:val="it-IT"/>
              </w:rPr>
            </w:pPr>
            <w:bookmarkStart w:id="2" w:name="OLE_LINK1"/>
            <w:r w:rsidRPr="00E01A0A">
              <w:rPr>
                <w:rFonts w:ascii="Times New Roman" w:eastAsia="Times New Roman" w:hAnsi="Times New Roman" w:cs="Times New Roman"/>
                <w:bCs/>
                <w:sz w:val="24"/>
                <w:szCs w:val="24"/>
                <w:lang w:val="it-IT"/>
              </w:rPr>
              <w:t>Sa i takon masës për “</w:t>
            </w:r>
            <w:r w:rsidRPr="00E01A0A">
              <w:rPr>
                <w:rFonts w:ascii="Times New Roman" w:eastAsia="Times New Roman" w:hAnsi="Times New Roman" w:cs="Times New Roman"/>
                <w:b/>
                <w:bCs/>
                <w:sz w:val="24"/>
                <w:szCs w:val="24"/>
                <w:lang w:val="it-IT"/>
              </w:rPr>
              <w:t>Rritjen e monitorimit dhe profesionalizmit sasior dhe cilësor në raportimin mediatik”</w:t>
            </w:r>
            <w:r w:rsidRPr="00E01A0A">
              <w:rPr>
                <w:rFonts w:ascii="Times New Roman" w:eastAsia="Times New Roman" w:hAnsi="Times New Roman" w:cs="Times New Roman"/>
                <w:bCs/>
                <w:sz w:val="24"/>
                <w:szCs w:val="24"/>
                <w:lang w:val="it-IT"/>
              </w:rPr>
              <w:t xml:space="preserve">, </w:t>
            </w:r>
            <w:bookmarkEnd w:id="2"/>
            <w:r w:rsidRPr="00E01A0A">
              <w:rPr>
                <w:rFonts w:ascii="Times New Roman" w:eastAsia="Times New Roman" w:hAnsi="Times New Roman" w:cs="Times New Roman"/>
                <w:bCs/>
                <w:sz w:val="24"/>
                <w:szCs w:val="24"/>
                <w:lang w:val="it-IT"/>
              </w:rPr>
              <w:t xml:space="preserve">SCiDEV vlerëson se këto janë dy tema të ndara: profesionalizmi dhe raportimi i medias, dhe nga ana tjetër monitorimi i AMA-s së raportimit mediatik. Nuk kuptohet qartë se si do të ndërhyj qeveria në rritjen e kapacitetit të medias për profesionalizëm në raportim dhe në fakt nëse kjo është në interes të funksionimit të demokracisë; kjo është çështje për median, gazetarët, redaktorët, pronarët dhe publikun. Nevojitet institucionalizimi i programeve të Edukimit për Median dhe Informacionin në të gjitha nivelet arsimore për të nxitur një qytetari të mirë-informuar. Sa i përket monitorimit të AMA-s, përmirësimet janë të mirëpritura, por problemi qëndron në veprimet pas monitorimit, si për shembull gjobat e vogla për shkeljet e kodit zgjedhor nga mediat e mëdha. Sërish, Udhërrëfyesi nuk ka specifikime se çfarë do të ndryshojë në monitorimin e AMA-s dhe sesi kjo do të përmirësoj situatën. </w:t>
            </w:r>
          </w:p>
          <w:p w:rsidR="0042000F" w:rsidRPr="00E01A0A" w:rsidRDefault="0042000F" w:rsidP="0042000F">
            <w:pPr>
              <w:jc w:val="both"/>
              <w:textAlignment w:val="baseline"/>
              <w:rPr>
                <w:rFonts w:ascii="Times New Roman" w:hAnsi="Times New Roman" w:cs="Times New Roman"/>
                <w:b/>
                <w:bCs/>
                <w:sz w:val="24"/>
                <w:szCs w:val="24"/>
                <w:lang w:val="it-IT"/>
              </w:rPr>
            </w:pPr>
          </w:p>
        </w:tc>
        <w:tc>
          <w:tcPr>
            <w:tcW w:w="3240" w:type="dxa"/>
          </w:tcPr>
          <w:p w:rsidR="0042000F" w:rsidRPr="00E01A0A" w:rsidRDefault="003F4005" w:rsidP="0042000F">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t>Refuzuar</w:t>
            </w:r>
          </w:p>
        </w:tc>
        <w:tc>
          <w:tcPr>
            <w:tcW w:w="4230" w:type="dxa"/>
            <w:shd w:val="clear" w:color="auto" w:fill="auto"/>
            <w:tcMar>
              <w:top w:w="100" w:type="dxa"/>
              <w:left w:w="100" w:type="dxa"/>
              <w:bottom w:w="100" w:type="dxa"/>
              <w:right w:w="100" w:type="dxa"/>
            </w:tcMar>
          </w:tcPr>
          <w:p w:rsidR="0042000F" w:rsidRPr="00E01A0A" w:rsidRDefault="003F4005" w:rsidP="003F4005">
            <w:pPr>
              <w:spacing w:after="160" w:line="259" w:lineRule="auto"/>
              <w:jc w:val="both"/>
              <w:rPr>
                <w:rFonts w:ascii="Times New Roman" w:hAnsi="Times New Roman" w:cs="Times New Roman"/>
                <w:sz w:val="24"/>
                <w:szCs w:val="24"/>
                <w:lang w:val="it-IT"/>
              </w:rPr>
            </w:pPr>
            <w:r w:rsidRPr="00E01A0A">
              <w:rPr>
                <w:rFonts w:ascii="Times New Roman" w:hAnsi="Times New Roman" w:cs="Times New Roman"/>
                <w:sz w:val="24"/>
                <w:szCs w:val="24"/>
                <w:lang w:val="it-IT"/>
              </w:rPr>
              <w:t xml:space="preserve">Udhërrëfyesi për Funksionimin e Institucioneve Demokratike është një dokument makro-politik që synon të adresojë të gjitha gjetjet e raportit </w:t>
            </w:r>
            <w:r w:rsidRPr="00E01A0A">
              <w:rPr>
                <w:rFonts w:ascii="Times New Roman" w:hAnsi="Times New Roman" w:cs="Times New Roman"/>
                <w:i/>
                <w:sz w:val="24"/>
                <w:szCs w:val="24"/>
                <w:lang w:val="it-IT"/>
              </w:rPr>
              <w:t xml:space="preserve">screening </w:t>
            </w:r>
            <w:r w:rsidRPr="00E01A0A">
              <w:rPr>
                <w:rFonts w:ascii="Times New Roman" w:hAnsi="Times New Roman" w:cs="Times New Roman"/>
                <w:sz w:val="24"/>
                <w:szCs w:val="24"/>
                <w:lang w:val="it-IT"/>
              </w:rPr>
              <w:t>dhe rekomandimeve të OSBE/ODIHR. Bazuar në komentin tuaj theksojmë se AMA është një institucion i pavarur ashtu si dhe KQZ dhe se ekzekutivi nuk ndërhyn në rritjen e kapacitetit të medias për profesionalizëm në raportim por po punon përmes aktorëve të medias dhe shoqërisë civile për ngritjen e një dialogu të qëndrueshëm. Për më tepër marrëdhëniet e monitorimit të medias në fushatat zgj</w:t>
            </w:r>
            <w:r w:rsidR="00747A5A" w:rsidRPr="00E01A0A">
              <w:rPr>
                <w:rFonts w:ascii="Times New Roman" w:hAnsi="Times New Roman" w:cs="Times New Roman"/>
                <w:sz w:val="24"/>
                <w:szCs w:val="24"/>
                <w:lang w:val="it-IT"/>
              </w:rPr>
              <w:t>e</w:t>
            </w:r>
            <w:r w:rsidRPr="00E01A0A">
              <w:rPr>
                <w:rFonts w:ascii="Times New Roman" w:hAnsi="Times New Roman" w:cs="Times New Roman"/>
                <w:sz w:val="24"/>
                <w:szCs w:val="24"/>
                <w:lang w:val="it-IT"/>
              </w:rPr>
              <w:t xml:space="preserve">dhore janë të rregulluara nga Kodi Zgjedhor ku aktorët kryesorë janë AMA dhe KQZ. </w:t>
            </w:r>
          </w:p>
        </w:tc>
      </w:tr>
      <w:tr w:rsidR="0042000F" w:rsidRPr="00E01A0A" w:rsidTr="00C74183">
        <w:trPr>
          <w:trHeight w:val="1338"/>
        </w:trPr>
        <w:tc>
          <w:tcPr>
            <w:tcW w:w="3420" w:type="dxa"/>
            <w:shd w:val="clear" w:color="auto" w:fill="auto"/>
            <w:tcMar>
              <w:top w:w="100" w:type="dxa"/>
              <w:left w:w="100" w:type="dxa"/>
              <w:bottom w:w="100" w:type="dxa"/>
              <w:right w:w="100" w:type="dxa"/>
            </w:tcMar>
          </w:tcPr>
          <w:p w:rsidR="0042000F" w:rsidRPr="00E01A0A" w:rsidRDefault="0042000F" w:rsidP="0042000F">
            <w:pPr>
              <w:spacing w:after="120" w:line="240" w:lineRule="auto"/>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lastRenderedPageBreak/>
              <w:t>Qendra Shkencë dhe Inovacion për Zhvillim</w:t>
            </w:r>
          </w:p>
        </w:tc>
        <w:tc>
          <w:tcPr>
            <w:tcW w:w="4610" w:type="dxa"/>
          </w:tcPr>
          <w:p w:rsidR="0042000F" w:rsidRPr="00E01A0A" w:rsidRDefault="0042000F" w:rsidP="0042000F">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Sa i takon masës </w:t>
            </w:r>
            <w:r w:rsidRPr="00E01A0A">
              <w:rPr>
                <w:rFonts w:ascii="Times New Roman" w:eastAsia="Times New Roman" w:hAnsi="Times New Roman" w:cs="Times New Roman"/>
                <w:b/>
                <w:bCs/>
                <w:sz w:val="24"/>
                <w:szCs w:val="24"/>
                <w:lang w:val="it-IT"/>
              </w:rPr>
              <w:t xml:space="preserve">“Angazhimi institucional në shënjestrimin e dezinformimit gjatë proceseve zgjedhore </w:t>
            </w:r>
            <w:r w:rsidRPr="00E01A0A">
              <w:rPr>
                <w:rFonts w:ascii="Times New Roman" w:eastAsia="Times New Roman" w:hAnsi="Times New Roman" w:cs="Times New Roman"/>
                <w:bCs/>
                <w:sz w:val="24"/>
                <w:szCs w:val="24"/>
                <w:lang w:val="it-IT"/>
              </w:rPr>
              <w:t xml:space="preserve">në çdo cikël zgjedhor, duke filluar nga zgjedhjet e vitit 2025, duke përfshirë target grupet përkatëse”, SCiDEV ngre shqetësimin se pa qartësimet e nevojshme dhe përcaktim specifik se për çfarë lloj angazhimi bëhet fjalë (heqje e përmbjajtjes mediatike në internet, survejim?), ekziston rreziku i interpretimeve të ndryshme dhe zbatimeve të gabuara të kësaj mase. Duhet të specifikohet se kush janë grupet e synuara përkatëse dhe institucionet përgjegjëse, cili do të jetë burimi i investimeve për këto kapacitete dhe me çfarë synimi. Kjo ndihmon në krijimin e transparencës dhe besueshmërisë rreth kësaj mase dhe rreth rolit të qeverisë në çështjet e çrregullimit të informacionit. Duke pasur parasysh tendencën e qeverisë për të rregulluar median online, çdo plan duhet të jetë i qartë dhe specifik për të shmangur ndërhyrjet e panevojshme dhe kufizimin e lirisë së shprehjes. Është jetike që të gjitha aspektet e kësaj nisme të jenë të qarta dhe të specifikuara. Kjo përfshin përcaktimin e qartë të atyre që do të jenë përgjegjës për zbatimin dhe monitorimin, si dhe qëllimet specifike që synohen të arrihen. Është thelbësore të jemi të kujdesshëm ndaj ndikimit </w:t>
            </w:r>
            <w:r w:rsidRPr="00E01A0A">
              <w:rPr>
                <w:rFonts w:ascii="Times New Roman" w:eastAsia="Times New Roman" w:hAnsi="Times New Roman" w:cs="Times New Roman"/>
                <w:bCs/>
                <w:sz w:val="24"/>
                <w:szCs w:val="24"/>
                <w:lang w:val="it-IT"/>
              </w:rPr>
              <w:lastRenderedPageBreak/>
              <w:t>të partive politike dhe qeverisë në këtë proces. Si burime të mundshme të propagandës dhe dezinformimit, duhet të ketë një sqarim të qartë të rolit dhe kufizimeve të tyre në këtë iniciativë.</w:t>
            </w:r>
          </w:p>
          <w:p w:rsidR="0042000F" w:rsidRPr="00E01A0A" w:rsidRDefault="0042000F" w:rsidP="0042000F">
            <w:pPr>
              <w:jc w:val="both"/>
              <w:textAlignment w:val="baseline"/>
              <w:rPr>
                <w:rFonts w:ascii="Times New Roman" w:eastAsia="Times New Roman" w:hAnsi="Times New Roman" w:cs="Times New Roman"/>
                <w:bCs/>
                <w:sz w:val="24"/>
                <w:szCs w:val="24"/>
                <w:lang w:val="it-IT"/>
              </w:rPr>
            </w:pPr>
          </w:p>
        </w:tc>
        <w:tc>
          <w:tcPr>
            <w:tcW w:w="3240" w:type="dxa"/>
          </w:tcPr>
          <w:p w:rsidR="0042000F" w:rsidRPr="00E01A0A" w:rsidRDefault="00EF2632" w:rsidP="0042000F">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lastRenderedPageBreak/>
              <w:t>Pranuar pjesërisht</w:t>
            </w:r>
          </w:p>
        </w:tc>
        <w:tc>
          <w:tcPr>
            <w:tcW w:w="4230" w:type="dxa"/>
            <w:shd w:val="clear" w:color="auto" w:fill="auto"/>
            <w:tcMar>
              <w:top w:w="100" w:type="dxa"/>
              <w:left w:w="100" w:type="dxa"/>
              <w:bottom w:w="100" w:type="dxa"/>
              <w:right w:w="100" w:type="dxa"/>
            </w:tcMar>
          </w:tcPr>
          <w:p w:rsidR="0042000F" w:rsidRPr="00E01A0A" w:rsidRDefault="00EF2632" w:rsidP="0042000F">
            <w:pPr>
              <w:spacing w:after="160" w:line="259" w:lineRule="auto"/>
              <w:jc w:val="both"/>
              <w:rPr>
                <w:rFonts w:ascii="Times New Roman" w:hAnsi="Times New Roman" w:cs="Times New Roman"/>
                <w:sz w:val="24"/>
                <w:szCs w:val="24"/>
                <w:lang w:val="it-IT"/>
              </w:rPr>
            </w:pPr>
            <w:r w:rsidRPr="00E01A0A">
              <w:rPr>
                <w:rFonts w:ascii="Times New Roman" w:hAnsi="Times New Roman" w:cs="Times New Roman"/>
                <w:sz w:val="24"/>
                <w:szCs w:val="24"/>
                <w:lang w:val="it-IT"/>
              </w:rPr>
              <w:t>Duke vlerësuar komentin e SCIDEV sigurojmë se ky koment i është bërë me dije anëtarëve të GNPIE të kuvendit për hartimin e këtij udhërrëfyesi dhe se rishikimi i Kodit zgjedhor është në</w:t>
            </w:r>
            <w:r w:rsidR="0042000F" w:rsidRPr="00E01A0A">
              <w:rPr>
                <w:rFonts w:ascii="Times New Roman" w:hAnsi="Times New Roman" w:cs="Times New Roman"/>
                <w:sz w:val="24"/>
                <w:szCs w:val="24"/>
                <w:lang w:val="it-IT"/>
              </w:rPr>
              <w:t xml:space="preserve"> diskrecionin e Kuvendit pasi bëhet fjalë për një rekomandim të hershëm të OSBE/ODIHR që do të preket nga reforma potenciale zgjedhore.</w:t>
            </w:r>
          </w:p>
          <w:p w:rsidR="0042000F" w:rsidRPr="00E01A0A" w:rsidRDefault="00AE1751" w:rsidP="0042000F">
            <w:pPr>
              <w:spacing w:after="160" w:line="259" w:lineRule="auto"/>
              <w:jc w:val="both"/>
              <w:rPr>
                <w:rFonts w:ascii="Times New Roman" w:hAnsi="Times New Roman" w:cs="Times New Roman"/>
                <w:sz w:val="24"/>
                <w:szCs w:val="24"/>
                <w:lang w:val="it-IT"/>
              </w:rPr>
            </w:pPr>
            <w:r w:rsidRPr="00E01A0A">
              <w:rPr>
                <w:rFonts w:ascii="Times New Roman" w:hAnsi="Times New Roman" w:cs="Times New Roman"/>
                <w:sz w:val="24"/>
                <w:szCs w:val="24"/>
                <w:lang w:val="it-IT"/>
              </w:rPr>
              <w:t xml:space="preserve">Ritheksojmë se Udhërrëfyesi për Funksionimin e Institucioneve Demokratike është një dokument makro-politik që synon të adresojë të gjitha gjetjet e raportit </w:t>
            </w:r>
            <w:r w:rsidRPr="00E01A0A">
              <w:rPr>
                <w:rFonts w:ascii="Times New Roman" w:hAnsi="Times New Roman" w:cs="Times New Roman"/>
                <w:i/>
                <w:sz w:val="24"/>
                <w:szCs w:val="24"/>
                <w:lang w:val="it-IT"/>
              </w:rPr>
              <w:t xml:space="preserve">screening </w:t>
            </w:r>
            <w:r w:rsidRPr="00E01A0A">
              <w:rPr>
                <w:rFonts w:ascii="Times New Roman" w:hAnsi="Times New Roman" w:cs="Times New Roman"/>
                <w:sz w:val="24"/>
                <w:szCs w:val="24"/>
                <w:lang w:val="it-IT"/>
              </w:rPr>
              <w:t>dhe rekomandimeve të OSBE/ODIHR duke shprehur angazhimet kyce të Shqipërisë ndërsa masat ligjore dhe nënligjore për zbatimin e tij do të ndiqen në vijim nga institucionet kompetente.</w:t>
            </w:r>
          </w:p>
          <w:p w:rsidR="00747A5A" w:rsidRPr="00E01A0A" w:rsidRDefault="00AE1751" w:rsidP="00747A5A">
            <w:pPr>
              <w:spacing w:after="160" w:line="259" w:lineRule="auto"/>
              <w:jc w:val="both"/>
              <w:rPr>
                <w:rFonts w:ascii="Times New Roman" w:hAnsi="Times New Roman" w:cs="Times New Roman"/>
                <w:sz w:val="24"/>
                <w:szCs w:val="24"/>
                <w:lang w:val="it-IT"/>
              </w:rPr>
            </w:pPr>
            <w:r w:rsidRPr="00E01A0A">
              <w:rPr>
                <w:rFonts w:ascii="Times New Roman" w:hAnsi="Times New Roman" w:cs="Times New Roman"/>
                <w:sz w:val="24"/>
                <w:szCs w:val="24"/>
                <w:lang w:val="it-IT"/>
              </w:rPr>
              <w:t xml:space="preserve">Për më tepër prej korrikut 2024 është ngritur në Kuvendin e Shqipërisë një </w:t>
            </w:r>
            <w:r w:rsidR="00747A5A" w:rsidRPr="00E01A0A">
              <w:rPr>
                <w:rFonts w:ascii="Times New Roman" w:hAnsi="Times New Roman" w:cs="Times New Roman"/>
                <w:sz w:val="24"/>
                <w:szCs w:val="24"/>
                <w:lang w:val="it-IT"/>
              </w:rPr>
              <w:t>K</w:t>
            </w:r>
            <w:r w:rsidRPr="00E01A0A">
              <w:rPr>
                <w:rFonts w:ascii="Times New Roman" w:hAnsi="Times New Roman" w:cs="Times New Roman"/>
                <w:sz w:val="24"/>
                <w:szCs w:val="24"/>
                <w:lang w:val="it-IT"/>
              </w:rPr>
              <w:t xml:space="preserve">omision </w:t>
            </w:r>
            <w:r w:rsidR="00747A5A" w:rsidRPr="00E01A0A">
              <w:rPr>
                <w:rFonts w:ascii="Times New Roman" w:hAnsi="Times New Roman" w:cs="Times New Roman"/>
                <w:sz w:val="24"/>
                <w:szCs w:val="24"/>
                <w:lang w:val="it-IT"/>
              </w:rPr>
              <w:t>i</w:t>
            </w:r>
            <w:r w:rsidRPr="00E01A0A">
              <w:rPr>
                <w:rFonts w:ascii="Times New Roman" w:hAnsi="Times New Roman" w:cs="Times New Roman"/>
                <w:sz w:val="24"/>
                <w:szCs w:val="24"/>
                <w:lang w:val="it-IT"/>
              </w:rPr>
              <w:t xml:space="preserve"> posaçëm për adresimin e dezinformimit</w:t>
            </w:r>
            <w:r w:rsidR="00747A5A" w:rsidRPr="00E01A0A">
              <w:rPr>
                <w:rFonts w:ascii="Times New Roman" w:hAnsi="Times New Roman" w:cs="Times New Roman"/>
                <w:sz w:val="24"/>
                <w:szCs w:val="24"/>
                <w:lang w:val="it-IT"/>
              </w:rPr>
              <w:t>, i cili ka objekt të veprimtarisë së tij:</w:t>
            </w:r>
          </w:p>
          <w:p w:rsidR="00747A5A" w:rsidRPr="00E01A0A" w:rsidRDefault="00747A5A" w:rsidP="00747A5A">
            <w:pPr>
              <w:pStyle w:val="ListParagraph"/>
              <w:numPr>
                <w:ilvl w:val="0"/>
                <w:numId w:val="24"/>
              </w:numPr>
              <w:spacing w:after="160" w:line="259" w:lineRule="auto"/>
              <w:ind w:left="332" w:hanging="270"/>
              <w:jc w:val="both"/>
              <w:rPr>
                <w:rFonts w:ascii="Times New Roman" w:hAnsi="Times New Roman" w:cs="Times New Roman"/>
                <w:sz w:val="24"/>
                <w:szCs w:val="24"/>
                <w:lang w:val="it-IT"/>
              </w:rPr>
            </w:pPr>
            <w:r w:rsidRPr="00E01A0A">
              <w:rPr>
                <w:rFonts w:ascii="Times New Roman" w:hAnsi="Times New Roman" w:cs="Times New Roman"/>
                <w:sz w:val="24"/>
                <w:szCs w:val="24"/>
                <w:lang w:val="it-IT"/>
              </w:rPr>
              <w:t>rishikimin e kuadrit ligjor dhe praktikës për ndalimin e ndërhyrjeve të huaja në proceset demokratike dhe ato zgjedhore;</w:t>
            </w:r>
          </w:p>
          <w:p w:rsidR="00747A5A" w:rsidRPr="00E01A0A" w:rsidRDefault="00747A5A" w:rsidP="00747A5A">
            <w:pPr>
              <w:pStyle w:val="ListParagraph"/>
              <w:numPr>
                <w:ilvl w:val="0"/>
                <w:numId w:val="24"/>
              </w:numPr>
              <w:spacing w:after="160" w:line="259" w:lineRule="auto"/>
              <w:ind w:left="332" w:hanging="270"/>
              <w:jc w:val="both"/>
              <w:rPr>
                <w:rFonts w:ascii="Times New Roman" w:hAnsi="Times New Roman" w:cs="Times New Roman"/>
                <w:sz w:val="24"/>
                <w:szCs w:val="24"/>
                <w:lang w:val="it-IT"/>
              </w:rPr>
            </w:pPr>
            <w:r w:rsidRPr="00E01A0A">
              <w:rPr>
                <w:rFonts w:ascii="Times New Roman" w:hAnsi="Times New Roman" w:cs="Times New Roman"/>
                <w:sz w:val="24"/>
                <w:szCs w:val="24"/>
                <w:lang w:val="it-IT"/>
              </w:rPr>
              <w:lastRenderedPageBreak/>
              <w:t>forcimin e kuadrit ligjor dhe masave institucionale në mbrojtjen e sigurisë kombëtare nga ndërhyrjet e huaja keqdashës;</w:t>
            </w:r>
          </w:p>
          <w:p w:rsidR="00747A5A" w:rsidRPr="00E01A0A" w:rsidRDefault="00747A5A" w:rsidP="00747A5A">
            <w:pPr>
              <w:pStyle w:val="ListParagraph"/>
              <w:numPr>
                <w:ilvl w:val="0"/>
                <w:numId w:val="24"/>
              </w:numPr>
              <w:spacing w:after="160" w:line="259" w:lineRule="auto"/>
              <w:ind w:left="332" w:hanging="270"/>
              <w:jc w:val="both"/>
              <w:rPr>
                <w:rFonts w:ascii="Times New Roman" w:hAnsi="Times New Roman" w:cs="Times New Roman"/>
                <w:sz w:val="24"/>
                <w:szCs w:val="24"/>
                <w:lang w:val="it-IT"/>
              </w:rPr>
            </w:pPr>
            <w:r w:rsidRPr="00E01A0A">
              <w:rPr>
                <w:rFonts w:ascii="Times New Roman" w:hAnsi="Times New Roman" w:cs="Times New Roman"/>
                <w:sz w:val="24"/>
                <w:szCs w:val="24"/>
                <w:lang w:val="it-IT"/>
              </w:rPr>
              <w:t>rishikimin e kuadrit ligjor dhe praktikës për ndalimin e ndërhyrjeve të huaja në ekonomi dhe sektorë të tjerë kritik;</w:t>
            </w:r>
          </w:p>
          <w:p w:rsidR="00AE1751" w:rsidRPr="00E01A0A" w:rsidRDefault="00747A5A" w:rsidP="00747A5A">
            <w:pPr>
              <w:pStyle w:val="ListParagraph"/>
              <w:numPr>
                <w:ilvl w:val="0"/>
                <w:numId w:val="24"/>
              </w:numPr>
              <w:spacing w:after="160" w:line="259" w:lineRule="auto"/>
              <w:ind w:left="332" w:hanging="270"/>
              <w:jc w:val="both"/>
              <w:rPr>
                <w:rFonts w:ascii="Times New Roman" w:hAnsi="Times New Roman" w:cs="Times New Roman"/>
                <w:sz w:val="24"/>
                <w:szCs w:val="24"/>
                <w:lang w:val="it-IT"/>
              </w:rPr>
            </w:pPr>
            <w:r w:rsidRPr="00E01A0A">
              <w:rPr>
                <w:rFonts w:ascii="Times New Roman" w:hAnsi="Times New Roman" w:cs="Times New Roman"/>
                <w:sz w:val="24"/>
                <w:szCs w:val="24"/>
                <w:lang w:val="it-IT"/>
              </w:rPr>
              <w:t>mbrojtjen dhe promovimin e lirisë së shprehjes, lirisë së medias dhe pluralizmin online dhe offline, aksesit në informacion, rritjen e ndërgjegjësimit publik dhe nxitjen e debatit publik rreth angazhimit kundër dezinformimit.</w:t>
            </w:r>
          </w:p>
        </w:tc>
      </w:tr>
      <w:tr w:rsidR="0042000F" w:rsidRPr="00E01A0A" w:rsidTr="00C74183">
        <w:trPr>
          <w:trHeight w:val="1338"/>
        </w:trPr>
        <w:tc>
          <w:tcPr>
            <w:tcW w:w="3420" w:type="dxa"/>
            <w:shd w:val="clear" w:color="auto" w:fill="auto"/>
            <w:tcMar>
              <w:top w:w="100" w:type="dxa"/>
              <w:left w:w="100" w:type="dxa"/>
              <w:bottom w:w="100" w:type="dxa"/>
              <w:right w:w="100" w:type="dxa"/>
            </w:tcMar>
          </w:tcPr>
          <w:p w:rsidR="0042000F" w:rsidRPr="00E01A0A" w:rsidRDefault="0042000F" w:rsidP="0042000F">
            <w:pPr>
              <w:spacing w:after="120" w:line="240" w:lineRule="auto"/>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lastRenderedPageBreak/>
              <w:t>Qendra Shkencë dhe Inovacion për Zhvillim</w:t>
            </w:r>
          </w:p>
        </w:tc>
        <w:tc>
          <w:tcPr>
            <w:tcW w:w="4610" w:type="dxa"/>
          </w:tcPr>
          <w:p w:rsidR="0042000F" w:rsidRPr="00E01A0A" w:rsidRDefault="0042000F" w:rsidP="0042000F">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Sa i takon, </w:t>
            </w:r>
            <w:r w:rsidRPr="00E01A0A">
              <w:rPr>
                <w:rFonts w:ascii="Times New Roman" w:eastAsia="Times New Roman" w:hAnsi="Times New Roman" w:cs="Times New Roman"/>
                <w:b/>
                <w:bCs/>
                <w:sz w:val="24"/>
                <w:szCs w:val="24"/>
                <w:lang w:val="it-IT"/>
              </w:rPr>
              <w:t>“Rreziqet e dezinformimit zbuten gjithnjë e më shumë përmes masave të synuara nga KQZ-ja dhe AMA brenda vitit 2030</w:t>
            </w:r>
            <w:r w:rsidRPr="00E01A0A">
              <w:rPr>
                <w:rFonts w:ascii="Times New Roman" w:eastAsia="Times New Roman" w:hAnsi="Times New Roman" w:cs="Times New Roman"/>
                <w:bCs/>
                <w:sz w:val="24"/>
                <w:szCs w:val="24"/>
                <w:lang w:val="it-IT"/>
              </w:rPr>
              <w:t xml:space="preserve">”, sërish nuk është e qartë kompetenca e AMA dhe KQZ në këtë drejtim dhe komentet e mësipërme mbeten të vlefshme. </w:t>
            </w:r>
          </w:p>
          <w:p w:rsidR="0042000F" w:rsidRPr="00E01A0A" w:rsidRDefault="0042000F" w:rsidP="0042000F">
            <w:pPr>
              <w:jc w:val="both"/>
              <w:textAlignment w:val="baseline"/>
              <w:rPr>
                <w:rFonts w:ascii="Times New Roman" w:eastAsia="Times New Roman" w:hAnsi="Times New Roman" w:cs="Times New Roman"/>
                <w:bCs/>
                <w:sz w:val="24"/>
                <w:szCs w:val="24"/>
                <w:lang w:val="it-IT"/>
              </w:rPr>
            </w:pPr>
          </w:p>
          <w:p w:rsidR="0042000F" w:rsidRPr="00E01A0A" w:rsidRDefault="0042000F" w:rsidP="0042000F">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SCiDEV vë re se përgjithësisht masat janë deklarative, jo specifike dhe jo të qarta dhe kjo mund të ndikojë në mënyrën sesi interpretohen dhe zbatohen. </w:t>
            </w:r>
          </w:p>
          <w:p w:rsidR="0042000F" w:rsidRPr="00E01A0A" w:rsidRDefault="0042000F" w:rsidP="0042000F">
            <w:pPr>
              <w:jc w:val="both"/>
              <w:textAlignment w:val="baseline"/>
              <w:rPr>
                <w:rFonts w:ascii="Times New Roman" w:eastAsia="Times New Roman" w:hAnsi="Times New Roman" w:cs="Times New Roman"/>
                <w:bCs/>
                <w:sz w:val="24"/>
                <w:szCs w:val="24"/>
                <w:lang w:val="it-IT"/>
              </w:rPr>
            </w:pPr>
          </w:p>
          <w:p w:rsidR="0042000F" w:rsidRPr="00E01A0A" w:rsidRDefault="0042000F" w:rsidP="0042000F">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lastRenderedPageBreak/>
              <w:t>SCiDEV rithekson sërish rëndësinë jetike të një procesi transparent dhe gjithëpërfshirës të konsultimit përmes tryezave të strukturuara të dialogut si PPIE, Këshilli Kombëtar i Integrimit Europian, tryeza specifike të ngritura enkas me aktorët përkatës të medias, shoqërisë civile, organizatave mediatike, ekspertëve, institucionet e pavarura, akademia për të konsultuar udhërrëfyesin për funksionimin e demokracisë.</w:t>
            </w:r>
          </w:p>
          <w:p w:rsidR="0042000F" w:rsidRPr="00E01A0A" w:rsidRDefault="0042000F" w:rsidP="0042000F">
            <w:pPr>
              <w:jc w:val="both"/>
              <w:textAlignment w:val="baseline"/>
              <w:rPr>
                <w:rFonts w:ascii="Times New Roman" w:eastAsia="Times New Roman" w:hAnsi="Times New Roman" w:cs="Times New Roman"/>
                <w:bCs/>
                <w:sz w:val="24"/>
                <w:szCs w:val="24"/>
                <w:lang w:val="it-IT"/>
              </w:rPr>
            </w:pPr>
          </w:p>
        </w:tc>
        <w:tc>
          <w:tcPr>
            <w:tcW w:w="3240" w:type="dxa"/>
          </w:tcPr>
          <w:p w:rsidR="0042000F" w:rsidRPr="00E01A0A" w:rsidRDefault="0042000F" w:rsidP="0042000F">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rPr>
              <w:lastRenderedPageBreak/>
              <w:t>Pranuar pjesërisht</w:t>
            </w:r>
          </w:p>
        </w:tc>
        <w:tc>
          <w:tcPr>
            <w:tcW w:w="4230" w:type="dxa"/>
            <w:shd w:val="clear" w:color="auto" w:fill="auto"/>
            <w:tcMar>
              <w:top w:w="100" w:type="dxa"/>
              <w:left w:w="100" w:type="dxa"/>
              <w:bottom w:w="100" w:type="dxa"/>
              <w:right w:w="100" w:type="dxa"/>
            </w:tcMar>
          </w:tcPr>
          <w:p w:rsidR="0042000F" w:rsidRPr="00E01A0A" w:rsidRDefault="0042000F" w:rsidP="0042000F">
            <w:pPr>
              <w:spacing w:after="160" w:line="259" w:lineRule="auto"/>
              <w:jc w:val="both"/>
              <w:rPr>
                <w:rFonts w:ascii="Times New Roman" w:hAnsi="Times New Roman" w:cs="Times New Roman"/>
                <w:b/>
                <w:sz w:val="24"/>
                <w:szCs w:val="24"/>
                <w:lang w:val="it-IT"/>
              </w:rPr>
            </w:pPr>
          </w:p>
          <w:p w:rsidR="0042000F" w:rsidRPr="00E01A0A" w:rsidRDefault="0042000F" w:rsidP="0042000F">
            <w:pPr>
              <w:spacing w:after="160" w:line="259" w:lineRule="auto"/>
              <w:jc w:val="both"/>
              <w:rPr>
                <w:rFonts w:ascii="Times New Roman" w:hAnsi="Times New Roman" w:cs="Times New Roman"/>
                <w:sz w:val="24"/>
                <w:szCs w:val="24"/>
                <w:lang w:val="it-IT"/>
              </w:rPr>
            </w:pPr>
            <w:r w:rsidRPr="00E01A0A">
              <w:rPr>
                <w:rFonts w:ascii="Times New Roman" w:hAnsi="Times New Roman" w:cs="Times New Roman"/>
                <w:b/>
                <w:sz w:val="24"/>
                <w:szCs w:val="24"/>
              </w:rPr>
              <w:t>Vlerësim i Kuvendit</w:t>
            </w:r>
            <w:r w:rsidRPr="00E01A0A">
              <w:rPr>
                <w:rFonts w:ascii="Times New Roman" w:hAnsi="Times New Roman" w:cs="Times New Roman"/>
                <w:sz w:val="24"/>
                <w:szCs w:val="24"/>
              </w:rPr>
              <w:t>: Këshilli Kombëtar i Integrimit Europian do të zhvillojë gjatë vitit 2024 takime mbi monitorimin e tre udhërrëfyesve që adresojnë rekomandimet e Raportit Screening për Grupkapitullin e 1, ku përfshihet dhe ai i FDI.</w:t>
            </w:r>
          </w:p>
          <w:p w:rsidR="0042000F" w:rsidRPr="00E01A0A" w:rsidRDefault="0042000F" w:rsidP="0042000F">
            <w:pPr>
              <w:spacing w:after="160" w:line="259" w:lineRule="auto"/>
              <w:jc w:val="both"/>
              <w:rPr>
                <w:rFonts w:ascii="Times New Roman" w:hAnsi="Times New Roman" w:cs="Times New Roman"/>
                <w:sz w:val="24"/>
                <w:szCs w:val="24"/>
                <w:lang w:val="it-IT"/>
              </w:rPr>
            </w:pPr>
            <w:r w:rsidRPr="00E01A0A">
              <w:rPr>
                <w:rFonts w:ascii="Times New Roman" w:hAnsi="Times New Roman" w:cs="Times New Roman"/>
                <w:sz w:val="24"/>
                <w:szCs w:val="24"/>
                <w:lang w:val="it-IT"/>
              </w:rPr>
              <w:t>Kompetenca e KQZ dhe AMA do të përcaktohet nga roli që do t'i caktojë ligjvënësi, për cdo rast bëhet fjalë për periudhat zgjedhore të rregulluara me ligj.</w:t>
            </w:r>
          </w:p>
          <w:p w:rsidR="00747A5A" w:rsidRPr="00E01A0A" w:rsidRDefault="00747A5A" w:rsidP="0042000F">
            <w:pPr>
              <w:spacing w:after="160" w:line="259" w:lineRule="auto"/>
              <w:jc w:val="both"/>
              <w:rPr>
                <w:rFonts w:ascii="Times New Roman" w:hAnsi="Times New Roman" w:cs="Times New Roman"/>
                <w:sz w:val="24"/>
                <w:szCs w:val="24"/>
                <w:lang w:val="it-IT"/>
              </w:rPr>
            </w:pPr>
            <w:r w:rsidRPr="00E01A0A">
              <w:rPr>
                <w:rFonts w:ascii="Times New Roman" w:hAnsi="Times New Roman" w:cs="Times New Roman"/>
                <w:sz w:val="24"/>
                <w:szCs w:val="24"/>
                <w:lang w:val="it-IT"/>
              </w:rPr>
              <w:t xml:space="preserve">Për më tepër, nga korriku 2024 është ngritur </w:t>
            </w:r>
            <w:r w:rsidR="005C6A99" w:rsidRPr="00E01A0A">
              <w:rPr>
                <w:rFonts w:ascii="Times New Roman" w:hAnsi="Times New Roman" w:cs="Times New Roman"/>
                <w:sz w:val="24"/>
                <w:szCs w:val="24"/>
                <w:lang w:val="it-IT"/>
              </w:rPr>
              <w:t xml:space="preserve">Komisioni Posaçëm “Për të </w:t>
            </w:r>
            <w:r w:rsidR="005C6A99" w:rsidRPr="00E01A0A">
              <w:rPr>
                <w:rFonts w:ascii="Times New Roman" w:hAnsi="Times New Roman" w:cs="Times New Roman"/>
                <w:sz w:val="24"/>
                <w:szCs w:val="24"/>
                <w:lang w:val="it-IT"/>
              </w:rPr>
              <w:lastRenderedPageBreak/>
              <w:t>koordinuar dhe mbikëqyrur të gjitha veprimet institucionale për të luftuar dezinformimin dhe format e tjera të ndërhyrjes së huaj në proceset demokratike të vendit”</w:t>
            </w:r>
          </w:p>
          <w:p w:rsidR="0042000F" w:rsidRPr="00E01A0A" w:rsidRDefault="0042000F" w:rsidP="0042000F">
            <w:pPr>
              <w:spacing w:after="160" w:line="259" w:lineRule="auto"/>
              <w:jc w:val="both"/>
              <w:rPr>
                <w:rFonts w:ascii="Times New Roman" w:hAnsi="Times New Roman" w:cs="Times New Roman"/>
                <w:sz w:val="24"/>
                <w:szCs w:val="24"/>
                <w:lang w:val="it-IT"/>
              </w:rPr>
            </w:pPr>
          </w:p>
        </w:tc>
      </w:tr>
      <w:tr w:rsidR="0042000F" w:rsidRPr="00E01A0A" w:rsidTr="00C74183">
        <w:trPr>
          <w:trHeight w:val="1338"/>
        </w:trPr>
        <w:tc>
          <w:tcPr>
            <w:tcW w:w="3420" w:type="dxa"/>
            <w:shd w:val="clear" w:color="auto" w:fill="auto"/>
            <w:tcMar>
              <w:top w:w="100" w:type="dxa"/>
              <w:left w:w="100" w:type="dxa"/>
              <w:bottom w:w="100" w:type="dxa"/>
              <w:right w:w="100" w:type="dxa"/>
            </w:tcMar>
          </w:tcPr>
          <w:p w:rsidR="0042000F" w:rsidRPr="00E01A0A" w:rsidRDefault="0042000F" w:rsidP="0042000F">
            <w:pPr>
              <w:spacing w:after="120" w:line="240" w:lineRule="auto"/>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lastRenderedPageBreak/>
              <w:t>Qendra Shkencë dhe Inovacion për Zhvillim</w:t>
            </w:r>
          </w:p>
        </w:tc>
        <w:tc>
          <w:tcPr>
            <w:tcW w:w="4610" w:type="dxa"/>
          </w:tcPr>
          <w:p w:rsidR="0042000F" w:rsidRPr="00E01A0A" w:rsidRDefault="0042000F" w:rsidP="0042000F">
            <w:pPr>
              <w:jc w:val="both"/>
              <w:textAlignment w:val="baseline"/>
              <w:rPr>
                <w:rFonts w:ascii="Times New Roman" w:eastAsia="Times New Roman" w:hAnsi="Times New Roman" w:cs="Times New Roman"/>
                <w:b/>
                <w:sz w:val="24"/>
                <w:szCs w:val="24"/>
                <w:lang w:val="it-IT"/>
              </w:rPr>
            </w:pPr>
            <w:r w:rsidRPr="00E01A0A">
              <w:rPr>
                <w:rFonts w:ascii="Times New Roman" w:eastAsia="Times New Roman" w:hAnsi="Times New Roman" w:cs="Times New Roman"/>
                <w:b/>
                <w:sz w:val="24"/>
                <w:szCs w:val="24"/>
                <w:lang w:val="it-IT"/>
              </w:rPr>
              <w:t>2 Funksionimi i Kuvendit</w:t>
            </w:r>
          </w:p>
          <w:p w:rsidR="0042000F" w:rsidRPr="00E01A0A" w:rsidRDefault="0042000F" w:rsidP="0042000F">
            <w:pPr>
              <w:jc w:val="both"/>
              <w:textAlignment w:val="baseline"/>
              <w:rPr>
                <w:rFonts w:ascii="Times New Roman" w:eastAsia="Times New Roman" w:hAnsi="Times New Roman" w:cs="Times New Roman"/>
                <w:bCs/>
                <w:sz w:val="24"/>
                <w:szCs w:val="24"/>
                <w:lang w:val="it-IT"/>
              </w:rPr>
            </w:pPr>
          </w:p>
          <w:p w:rsidR="0042000F" w:rsidRPr="00E01A0A" w:rsidRDefault="0042000F" w:rsidP="0042000F">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Sa i takon, pikës 2 Funksionimi i Kuvendit, pika 2.1 Transparenca dhe llogaridhënia, SCiDEV vlerëson që edhe pse masat e propozuara janë të mirëpritura në parim, pjesa më e madhe e masave janë deklarative dhe të përsëritura por pa mekanizma apo masa specifike për zbatueshmërinë e tyre. </w:t>
            </w:r>
          </w:p>
          <w:p w:rsidR="0042000F" w:rsidRPr="00E01A0A" w:rsidRDefault="0042000F" w:rsidP="0042000F">
            <w:pPr>
              <w:jc w:val="both"/>
              <w:textAlignment w:val="baseline"/>
              <w:rPr>
                <w:rFonts w:ascii="Times New Roman" w:eastAsia="Times New Roman" w:hAnsi="Times New Roman" w:cs="Times New Roman"/>
                <w:bCs/>
                <w:sz w:val="24"/>
                <w:szCs w:val="24"/>
                <w:lang w:val="it-IT"/>
              </w:rPr>
            </w:pPr>
          </w:p>
          <w:p w:rsidR="0042000F" w:rsidRPr="00E01A0A" w:rsidRDefault="0042000F" w:rsidP="0042000F">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Sugjerimet specifike:</w:t>
            </w:r>
          </w:p>
          <w:p w:rsidR="0042000F" w:rsidRPr="00E01A0A" w:rsidRDefault="0042000F" w:rsidP="0042000F">
            <w:pPr>
              <w:pStyle w:val="ListParagraph"/>
              <w:numPr>
                <w:ilvl w:val="0"/>
                <w:numId w:val="25"/>
              </w:numPr>
              <w:spacing w:after="160" w:line="259" w:lineRule="auto"/>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Kuvendi duhet të ri-vlerësojë me një proces konsultimi transparent dhe gjithëperfshirës Rregulloren për Akreditimin e Medias duke e përshtatur me sugjerimet e organizatave të mbrojtjes së lirisë së shprehjes dhe mediave dhe kërkesave </w:t>
            </w:r>
            <w:r w:rsidRPr="00E01A0A">
              <w:rPr>
                <w:rFonts w:ascii="Times New Roman" w:eastAsia="Times New Roman" w:hAnsi="Times New Roman" w:cs="Times New Roman"/>
                <w:bCs/>
                <w:sz w:val="24"/>
                <w:szCs w:val="24"/>
                <w:lang w:val="it-IT"/>
              </w:rPr>
              <w:lastRenderedPageBreak/>
              <w:t xml:space="preserve">të vetë gazetarëve për aksesin në Parlament duke nisur nga aksesi fizik në Seancat Plenare dhe Mbledhjet e Komisioneve e deri tek aksesi në informacion dhe dokumentacion. </w:t>
            </w:r>
          </w:p>
          <w:p w:rsidR="0042000F" w:rsidRPr="00E01A0A" w:rsidRDefault="0042000F" w:rsidP="0042000F">
            <w:pPr>
              <w:pStyle w:val="ListParagraph"/>
              <w:numPr>
                <w:ilvl w:val="0"/>
                <w:numId w:val="25"/>
              </w:numPr>
              <w:spacing w:after="160" w:line="259" w:lineRule="auto"/>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Faqja e Kuvendit e re ka qenë pjesën më të madhe të kohës jofunksionale dhe nuk është e lehtë të gjendet informacioni, ndaj duhen brenda 2024 masa specifike dhe konkrete për përmirësimin e përdorueshmërisë së faqes si dhe pasurimit të saj me materialet e nevojshme në kohë reale dhe pa vonesa (si psh zbardhja e procesverbaleve, vendimet, votimet etj.)</w:t>
            </w:r>
          </w:p>
          <w:p w:rsidR="0042000F" w:rsidRPr="00E01A0A" w:rsidRDefault="0042000F" w:rsidP="0042000F">
            <w:pPr>
              <w:pStyle w:val="ListParagraph"/>
              <w:numPr>
                <w:ilvl w:val="0"/>
                <w:numId w:val="25"/>
              </w:numPr>
              <w:spacing w:after="160" w:line="259" w:lineRule="auto"/>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Kuvendi duhet të rimarrë funksionin e tij ligjbërës dhe jo thjesht të miratoj projekt ligjet e gatshme që vijnë nga qeveria. Si dhe duhet të përforcojë funksionin e tij mbikqyrës ndaj qeverisë. Gjithashtu për institucionet e pavarura, Kuvendi publikon një rezolute mbi raportin e tyre vjetor, por këto rezoluta nuk përmbajnë rekomandime specifike dhe afate kohore në të gjitha rastet, ndaj rezolutat duhet të shndërrohen në instrumenta realë që Kuvendi ka në dispozicion për të nxitur përmirësimin </w:t>
            </w:r>
            <w:r w:rsidRPr="00E01A0A">
              <w:rPr>
                <w:rFonts w:ascii="Times New Roman" w:eastAsia="Times New Roman" w:hAnsi="Times New Roman" w:cs="Times New Roman"/>
                <w:bCs/>
                <w:sz w:val="24"/>
                <w:szCs w:val="24"/>
                <w:lang w:val="it-IT"/>
              </w:rPr>
              <w:lastRenderedPageBreak/>
              <w:t xml:space="preserve">e performancës së institucioneve të pavarura. </w:t>
            </w:r>
          </w:p>
          <w:p w:rsidR="0042000F" w:rsidRPr="00E01A0A" w:rsidRDefault="0042000F" w:rsidP="0042000F">
            <w:pPr>
              <w:pStyle w:val="ListParagraph"/>
              <w:numPr>
                <w:ilvl w:val="0"/>
                <w:numId w:val="25"/>
              </w:numPr>
              <w:spacing w:after="160" w:line="259" w:lineRule="auto"/>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Komisioni për Edukimin dhe Mjetet e Informimit Publik duhet të rrisë rolin e tij mbikqyrës lidhur me lirinë e medias dhe të shprehjes si edhe sigurisë së gazetarëve në Shqipëri. </w:t>
            </w:r>
          </w:p>
          <w:p w:rsidR="0042000F" w:rsidRPr="00E01A0A" w:rsidRDefault="0042000F" w:rsidP="0042000F">
            <w:pPr>
              <w:pStyle w:val="ListParagraph"/>
              <w:numPr>
                <w:ilvl w:val="0"/>
                <w:numId w:val="25"/>
              </w:numPr>
              <w:spacing w:after="160" w:line="259" w:lineRule="auto"/>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Këshilli Kombëtar për Integrimin Europian në Kuvend duhet të thërrasë për prezantime dhe raportime insticuionet përgjegjëse për Udhërrëfyesit si pjesë e procesit të negociatave. </w:t>
            </w:r>
          </w:p>
          <w:p w:rsidR="0042000F" w:rsidRPr="00E01A0A" w:rsidRDefault="0042000F" w:rsidP="0042000F">
            <w:pPr>
              <w:pStyle w:val="ListParagraph"/>
              <w:numPr>
                <w:ilvl w:val="0"/>
                <w:numId w:val="25"/>
              </w:numPr>
              <w:spacing w:after="160" w:line="259" w:lineRule="auto"/>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Kuvendi duhet të specifikojë çfarë kuptohet me lobist në Shqipëri dhe të ndërtohet një Regjistër i Lobistëve për të siguruar transparencë. </w:t>
            </w:r>
          </w:p>
          <w:p w:rsidR="0042000F" w:rsidRPr="00E01A0A" w:rsidRDefault="0042000F" w:rsidP="0042000F">
            <w:pPr>
              <w:jc w:val="both"/>
              <w:textAlignment w:val="baseline"/>
              <w:rPr>
                <w:rFonts w:ascii="Times New Roman" w:eastAsia="Times New Roman" w:hAnsi="Times New Roman" w:cs="Times New Roman"/>
                <w:bCs/>
                <w:sz w:val="24"/>
                <w:szCs w:val="24"/>
                <w:lang w:val="it-IT"/>
              </w:rPr>
            </w:pPr>
          </w:p>
        </w:tc>
        <w:tc>
          <w:tcPr>
            <w:tcW w:w="3240" w:type="dxa"/>
          </w:tcPr>
          <w:p w:rsidR="0042000F" w:rsidRPr="00E01A0A" w:rsidRDefault="0042000F" w:rsidP="0042000F">
            <w:p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rPr>
              <w:lastRenderedPageBreak/>
              <w:t xml:space="preserve">Pranuar pjesërisht </w:t>
            </w:r>
          </w:p>
          <w:p w:rsidR="0042000F" w:rsidRPr="00E01A0A" w:rsidRDefault="0042000F" w:rsidP="0042000F">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p>
        </w:tc>
        <w:tc>
          <w:tcPr>
            <w:tcW w:w="4230" w:type="dxa"/>
            <w:shd w:val="clear" w:color="auto" w:fill="auto"/>
            <w:tcMar>
              <w:top w:w="100" w:type="dxa"/>
              <w:left w:w="100" w:type="dxa"/>
              <w:bottom w:w="100" w:type="dxa"/>
              <w:right w:w="100" w:type="dxa"/>
            </w:tcMar>
          </w:tcPr>
          <w:p w:rsidR="0042000F" w:rsidRPr="00E01A0A" w:rsidRDefault="0042000F" w:rsidP="0042000F">
            <w:pPr>
              <w:spacing w:after="160" w:line="259" w:lineRule="auto"/>
              <w:jc w:val="both"/>
              <w:rPr>
                <w:rFonts w:ascii="Times New Roman" w:hAnsi="Times New Roman" w:cs="Times New Roman"/>
                <w:sz w:val="24"/>
                <w:szCs w:val="24"/>
              </w:rPr>
            </w:pPr>
          </w:p>
          <w:p w:rsidR="0042000F" w:rsidRPr="00E01A0A" w:rsidRDefault="0042000F" w:rsidP="0042000F">
            <w:pPr>
              <w:spacing w:after="160" w:line="252" w:lineRule="auto"/>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
                <w:bCs/>
                <w:sz w:val="24"/>
                <w:szCs w:val="24"/>
                <w:lang w:val="it-IT"/>
              </w:rPr>
              <w:t xml:space="preserve">Vlerësim i Kuvendit: </w:t>
            </w:r>
            <w:r w:rsidRPr="00E01A0A">
              <w:rPr>
                <w:rFonts w:ascii="Times New Roman" w:eastAsia="Times New Roman" w:hAnsi="Times New Roman" w:cs="Times New Roman"/>
                <w:bCs/>
                <w:sz w:val="24"/>
                <w:szCs w:val="24"/>
                <w:lang w:val="it-IT"/>
              </w:rPr>
              <w:t xml:space="preserve">Rregullorja e Akreditimit të Masmedias qe është aktualisht në fuqi, është hartuar në vitin 2021 dhe pas shqetësimeve të ngritura nga përfaqesuesit e medias që mbulojnë Kuvendin, u bënë disa ndryshime në Rregullore duke reflektuar kërkesat dhe shqetësimet e ngritura nga gazetarët. Kjo rregullore e përditësuar është miratuar në Qershor të vitit 2021. Në vijim të takimeve të zhvilluara ndërmjet drejtuesve të Kuvendit dhe përfaqësuesve të medias që mbulojnë Kuvendin, është kërkuar në fund të vitit 2023 nga gazetarët, që kjo Rregullore të rishikohet sërisht, duke reflektuar edhe zhvillimet e fundit në </w:t>
            </w:r>
            <w:r w:rsidRPr="00E01A0A">
              <w:rPr>
                <w:rFonts w:ascii="Times New Roman" w:eastAsia="Times New Roman" w:hAnsi="Times New Roman" w:cs="Times New Roman"/>
                <w:bCs/>
                <w:sz w:val="24"/>
                <w:szCs w:val="24"/>
                <w:lang w:val="it-IT"/>
              </w:rPr>
              <w:lastRenderedPageBreak/>
              <w:t>veprimtarinë parlamentare dhe ky process pritet të nis përgjatë vitit 2024.</w:t>
            </w:r>
          </w:p>
          <w:p w:rsidR="0042000F" w:rsidRPr="00E01A0A" w:rsidRDefault="0042000F" w:rsidP="0042000F">
            <w:pPr>
              <w:spacing w:after="160" w:line="252" w:lineRule="auto"/>
              <w:jc w:val="both"/>
              <w:textAlignment w:val="baseline"/>
              <w:rPr>
                <w:rFonts w:ascii="Times New Roman" w:hAnsi="Times New Roman" w:cs="Times New Roman"/>
                <w:sz w:val="24"/>
                <w:szCs w:val="24"/>
              </w:rPr>
            </w:pPr>
            <w:r w:rsidRPr="00E01A0A">
              <w:rPr>
                <w:rFonts w:ascii="Times New Roman" w:eastAsia="Times New Roman" w:hAnsi="Times New Roman" w:cs="Times New Roman"/>
                <w:bCs/>
                <w:sz w:val="24"/>
                <w:szCs w:val="24"/>
                <w:lang w:val="it-IT"/>
              </w:rPr>
              <w:t xml:space="preserve">-Faqja e re e  Kuvendit është lancuar në fund të vitit 2022 dhe gjatë gjithë vitit 2023 ka vijuar puna për plotësimin e faqes me  dokumentacionin e nevojshëm, me përshtatjen dhe kalimin e dokumentacionit nga faqja e vjetër te e reja, me përmirësimin teknik të funksionalitetit të faqes WEB, me përmirësimin e aksesit të publikut në faqe të gjitha ndryshimet strukturore të nevojshme duke ju përshtatur kërkesave të stafit të Kuvendit dhe jo vetëm. Ky proces ka kërkuar kohë duke marrë në konsideratë faktin që faqja e Kuvendit permban material shume voluminoz. Në vijim të kësaj pune, faqja është përmiresuar ndjeshëm në përmbajtje dhe akses sikurse edhe në aspektet teknike, por referuar sulmit kibernetik dhe masave të marra nga teknikët e IT duke përfshirë këtu shtimin e filtrave të sigurisë apo edhe të masave të tjera për hostimin e faqes në mënyrë sa më të sigurt dhe të mbrojtur nga sulmet kibernetike, kanë bërë që ndonjëherë të ketë probleme teknike, të cilat janë ndjekur me prioritet nga ekspertët e IT-së. Për vitin 2024 është parashikuar dhe po punohet për përmirësimin e mëtejshëm të faqes nga </w:t>
            </w:r>
            <w:r w:rsidRPr="00E01A0A">
              <w:rPr>
                <w:rFonts w:ascii="Times New Roman" w:eastAsia="Times New Roman" w:hAnsi="Times New Roman" w:cs="Times New Roman"/>
                <w:bCs/>
                <w:sz w:val="24"/>
                <w:szCs w:val="24"/>
                <w:lang w:val="it-IT"/>
              </w:rPr>
              <w:lastRenderedPageBreak/>
              <w:t>pikëpamja teknike, funksionalitetin e plotë të saj dhe pasurimin me rubrika dhe informacione të reja në funksion të transparencës, rritjes së aksesit të qytetarëve në faqe, të informimit të publikut në kohë sa më të shpejtë dhe në mënyrë sa më interactive</w:t>
            </w:r>
            <w:r w:rsidRPr="00E01A0A">
              <w:rPr>
                <w:rFonts w:ascii="Times New Roman" w:hAnsi="Times New Roman" w:cs="Times New Roman"/>
                <w:sz w:val="24"/>
                <w:szCs w:val="24"/>
              </w:rPr>
              <w:t xml:space="preserve">. </w:t>
            </w:r>
          </w:p>
          <w:p w:rsidR="0042000F" w:rsidRPr="00E01A0A" w:rsidRDefault="0042000F" w:rsidP="0042000F">
            <w:pPr>
              <w:spacing w:after="160" w:line="252" w:lineRule="auto"/>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 Kuvendi ushtron të gjitha kompetencat e tij sa i përket procesit të ligjbërjes dhe këtë e dëshmon qartësisht puna që bëhet qoftë në Komisionet parlamentare me amendamentet qoftë në seancë plenare. Referuar rezolutave të miratuara për punën e institucioneve të pavarurara është e rëndësishme të theksohet se ato në disa raste përmbajnë rekomandime me afate të caktuara dhe shpesh herë përmbajnë rekomandime të cilat për nga natyra e tyre, zgjasin në kohë.  </w:t>
            </w:r>
          </w:p>
          <w:p w:rsidR="0042000F" w:rsidRPr="00E01A0A" w:rsidRDefault="0042000F" w:rsidP="0042000F">
            <w:p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rPr>
              <w:t xml:space="preserve">-Konferenca e kryetarëve të Komisioneve Parlamentare ka miratuar të gjitha masat që janë pjese e roadmap të FDI për Kuvendin dhe sir rejedhim të gjitha masat duhet dhe të zbatohen nga të gjithë Kryetarët e Komisioneve. </w:t>
            </w:r>
          </w:p>
          <w:p w:rsidR="0042000F" w:rsidRPr="00E01A0A" w:rsidRDefault="0042000F" w:rsidP="0042000F">
            <w:p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rPr>
              <w:t xml:space="preserve">-Këshilli Kombëtar i Integrimit Europian do të zhvillojë gjatë vitit 2024 takime mbi monitorimin e tre udhërrëfyesve që adresojnë rekomandimet e Raportit </w:t>
            </w:r>
            <w:r w:rsidRPr="00E01A0A">
              <w:rPr>
                <w:rFonts w:ascii="Times New Roman" w:hAnsi="Times New Roman" w:cs="Times New Roman"/>
                <w:sz w:val="24"/>
                <w:szCs w:val="24"/>
              </w:rPr>
              <w:lastRenderedPageBreak/>
              <w:t>Screening për Grupkapitullin e 1, ku përfshihet dhe ai i FDI.</w:t>
            </w:r>
          </w:p>
          <w:p w:rsidR="0042000F" w:rsidRPr="00E01A0A" w:rsidRDefault="0042000F" w:rsidP="0042000F">
            <w:pPr>
              <w:jc w:val="both"/>
              <w:rPr>
                <w:rFonts w:ascii="Times New Roman" w:hAnsi="Times New Roman" w:cs="Times New Roman"/>
                <w:sz w:val="24"/>
                <w:szCs w:val="24"/>
              </w:rPr>
            </w:pPr>
            <w:r w:rsidRPr="00E01A0A">
              <w:rPr>
                <w:rFonts w:ascii="Times New Roman" w:hAnsi="Times New Roman" w:cs="Times New Roman"/>
                <w:sz w:val="24"/>
                <w:szCs w:val="24"/>
              </w:rPr>
              <w:t xml:space="preserve">- Udhëzues i detajuar i Kodit të sjelljes së deputetëve të Kuvendit të </w:t>
            </w:r>
            <w:proofErr w:type="gramStart"/>
            <w:r w:rsidRPr="00E01A0A">
              <w:rPr>
                <w:rFonts w:ascii="Times New Roman" w:hAnsi="Times New Roman" w:cs="Times New Roman"/>
                <w:sz w:val="24"/>
                <w:szCs w:val="24"/>
              </w:rPr>
              <w:t>R.Sh</w:t>
            </w:r>
            <w:proofErr w:type="gramEnd"/>
            <w:r w:rsidRPr="00E01A0A">
              <w:rPr>
                <w:rFonts w:ascii="Times New Roman" w:hAnsi="Times New Roman" w:cs="Times New Roman"/>
                <w:sz w:val="24"/>
                <w:szCs w:val="24"/>
              </w:rPr>
              <w:t xml:space="preserve">, miratuar me vendimin e Byrosë së Kuvendit nr. 19, datë 27.9.2018 përcakton udhëzime mbi zbatimin e Kodit të sjelljes së deputetëve, ku referuar veprimtarisë së deputetit në mbrojtje të lobizimit është përcaktuar se: </w:t>
            </w:r>
          </w:p>
          <w:p w:rsidR="0042000F" w:rsidRPr="00E01A0A" w:rsidRDefault="0042000F" w:rsidP="0042000F">
            <w:pPr>
              <w:jc w:val="both"/>
              <w:rPr>
                <w:rFonts w:ascii="Times New Roman" w:hAnsi="Times New Roman" w:cs="Times New Roman"/>
                <w:sz w:val="24"/>
                <w:szCs w:val="24"/>
              </w:rPr>
            </w:pPr>
            <w:r w:rsidRPr="00E01A0A">
              <w:rPr>
                <w:rFonts w:ascii="Times New Roman" w:hAnsi="Times New Roman" w:cs="Times New Roman"/>
                <w:sz w:val="24"/>
                <w:szCs w:val="24"/>
              </w:rPr>
              <w:t>“</w:t>
            </w:r>
            <w:r w:rsidRPr="00E01A0A">
              <w:rPr>
                <w:rFonts w:ascii="Times New Roman" w:hAnsi="Times New Roman" w:cs="Times New Roman"/>
                <w:i/>
                <w:sz w:val="24"/>
                <w:szCs w:val="24"/>
              </w:rPr>
              <w:t>Lobist nënkupton: - një person teknik, që përfaqëson një grup interesi, i cili ka si synim që të ndërtojë ura komunikimi me personat përfaqësues të institucioneve ose organeve që kanë rol vendimmarrës në proces, me qëllim që të ndikojë mbi to, duke kërkuar ndryshimin e një rregulli, norme ose dispozite, duke bërë rolin e mbrojtësit, si dhe duke kërkuar që çështja të bëhet temë e agjendës politike; - organizata jofitimprurëse, që janë shprehur në terma lobizmi për çështje të caktuara, ose përfaqësojnë grupe sociale qartësisht të shprehura; - organizata biznesi, që angazhojnë lobistë profesionistë ose formatojnë qëndrime të identifikuara si lobizëm</w:t>
            </w:r>
            <w:r w:rsidRPr="00E01A0A">
              <w:rPr>
                <w:rFonts w:ascii="Times New Roman" w:hAnsi="Times New Roman" w:cs="Times New Roman"/>
                <w:sz w:val="24"/>
                <w:szCs w:val="24"/>
              </w:rPr>
              <w:t xml:space="preserve">. Lobisti bën publike interesat privatё të posaçёm, të cilёt beson se shteti nuk i njeh mjaftueshëm dhe të cilёt për këtë shkak </w:t>
            </w:r>
            <w:r w:rsidRPr="00E01A0A">
              <w:rPr>
                <w:rFonts w:ascii="Times New Roman" w:hAnsi="Times New Roman" w:cs="Times New Roman"/>
                <w:sz w:val="24"/>
                <w:szCs w:val="24"/>
              </w:rPr>
              <w:lastRenderedPageBreak/>
              <w:t xml:space="preserve">mund të sakrifikohen në favor të interesave ose objektivave të tjerё. Qëllimi i lobizmit është që, duke i deklaruar këta interesa, të mund të vihet në funksionim mekanizmi i pjesëmarrjes në vendimmarrje, qoftë edhe nëpërmjet ekspozimit të interesave të tjerё, për të cilёt grupi i interesit, i mbrojtur nga lobisti, zgjidhet të sakrifikohet nga vendimmarrja politike”. </w:t>
            </w:r>
          </w:p>
          <w:p w:rsidR="0042000F" w:rsidRPr="00E01A0A" w:rsidRDefault="0042000F" w:rsidP="0042000F">
            <w:pPr>
              <w:jc w:val="both"/>
              <w:rPr>
                <w:rFonts w:ascii="Times New Roman" w:hAnsi="Times New Roman" w:cs="Times New Roman"/>
                <w:sz w:val="24"/>
                <w:szCs w:val="24"/>
              </w:rPr>
            </w:pPr>
            <w:r w:rsidRPr="00E01A0A">
              <w:rPr>
                <w:rFonts w:ascii="Times New Roman" w:hAnsi="Times New Roman" w:cs="Times New Roman"/>
                <w:sz w:val="24"/>
                <w:szCs w:val="24"/>
              </w:rPr>
              <w:t xml:space="preserve">Për më shumë informacion lutem referojuni linkut të mëposhtëm. </w:t>
            </w:r>
          </w:p>
          <w:p w:rsidR="0042000F" w:rsidRPr="00E01A0A" w:rsidRDefault="00494FFA" w:rsidP="0042000F">
            <w:pPr>
              <w:jc w:val="both"/>
              <w:rPr>
                <w:rFonts w:ascii="Times New Roman" w:hAnsi="Times New Roman" w:cs="Times New Roman"/>
                <w:sz w:val="24"/>
                <w:szCs w:val="24"/>
              </w:rPr>
            </w:pPr>
            <w:hyperlink r:id="rId12" w:history="1">
              <w:r w:rsidR="0042000F" w:rsidRPr="00E01A0A">
                <w:rPr>
                  <w:rStyle w:val="Hyperlink"/>
                  <w:rFonts w:ascii="Times New Roman" w:hAnsi="Times New Roman" w:cs="Times New Roman"/>
                  <w:color w:val="auto"/>
                  <w:sz w:val="24"/>
                  <w:szCs w:val="24"/>
                </w:rPr>
                <w:t>https://kuvendiwebfiles.blob.core.windows.net/webfiles/202212261847395210Udhe%CC%88zuesi%20i%20Detajuar%20pe%CC%88r%20Sjelljen%20ne%CC%88%20Kuvend.pdf</w:t>
              </w:r>
            </w:hyperlink>
          </w:p>
          <w:p w:rsidR="0042000F" w:rsidRPr="00E01A0A" w:rsidRDefault="0042000F" w:rsidP="0042000F">
            <w:pPr>
              <w:jc w:val="both"/>
              <w:rPr>
                <w:rFonts w:ascii="Times New Roman" w:hAnsi="Times New Roman" w:cs="Times New Roman"/>
                <w:sz w:val="24"/>
                <w:szCs w:val="24"/>
              </w:rPr>
            </w:pPr>
            <w:r w:rsidRPr="00E01A0A">
              <w:rPr>
                <w:rFonts w:ascii="Times New Roman" w:hAnsi="Times New Roman" w:cs="Times New Roman"/>
                <w:sz w:val="24"/>
                <w:szCs w:val="24"/>
              </w:rPr>
              <w:t>Rregjistri i lobistëve gjendet i publikuar në faqen e Kuvendit në linkun e mëposhtëm</w:t>
            </w:r>
          </w:p>
          <w:p w:rsidR="0042000F" w:rsidRPr="00E01A0A" w:rsidRDefault="0042000F" w:rsidP="0042000F">
            <w:pPr>
              <w:jc w:val="both"/>
              <w:rPr>
                <w:rFonts w:ascii="Times New Roman" w:hAnsi="Times New Roman" w:cs="Times New Roman"/>
                <w:sz w:val="24"/>
                <w:szCs w:val="24"/>
              </w:rPr>
            </w:pPr>
          </w:p>
          <w:p w:rsidR="0042000F" w:rsidRPr="00E01A0A" w:rsidRDefault="00494FFA" w:rsidP="0042000F">
            <w:pPr>
              <w:spacing w:after="160" w:line="259" w:lineRule="auto"/>
              <w:jc w:val="both"/>
              <w:rPr>
                <w:rFonts w:ascii="Times New Roman" w:hAnsi="Times New Roman" w:cs="Times New Roman"/>
                <w:sz w:val="24"/>
                <w:szCs w:val="24"/>
              </w:rPr>
            </w:pPr>
            <w:hyperlink r:id="rId13" w:anchor="doku" w:history="1">
              <w:r w:rsidR="0042000F" w:rsidRPr="00E01A0A">
                <w:rPr>
                  <w:rStyle w:val="Hyperlink"/>
                  <w:rFonts w:ascii="Times New Roman" w:hAnsi="Times New Roman" w:cs="Times New Roman"/>
                  <w:color w:val="auto"/>
                  <w:sz w:val="24"/>
                  <w:szCs w:val="24"/>
                </w:rPr>
                <w:t>https://parlament.al/struktura/1f6ca8d8-fdf4-440b-869d-05ac3d0b915d/#doku</w:t>
              </w:r>
            </w:hyperlink>
          </w:p>
        </w:tc>
      </w:tr>
      <w:tr w:rsidR="0042000F" w:rsidRPr="00E01A0A" w:rsidTr="00C74183">
        <w:trPr>
          <w:trHeight w:val="1338"/>
        </w:trPr>
        <w:tc>
          <w:tcPr>
            <w:tcW w:w="3420" w:type="dxa"/>
            <w:shd w:val="clear" w:color="auto" w:fill="auto"/>
            <w:tcMar>
              <w:top w:w="100" w:type="dxa"/>
              <w:left w:w="100" w:type="dxa"/>
              <w:bottom w:w="100" w:type="dxa"/>
              <w:right w:w="100" w:type="dxa"/>
            </w:tcMar>
          </w:tcPr>
          <w:p w:rsidR="0042000F" w:rsidRPr="00E01A0A" w:rsidRDefault="0042000F" w:rsidP="0042000F">
            <w:pPr>
              <w:spacing w:after="120" w:line="240" w:lineRule="auto"/>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lastRenderedPageBreak/>
              <w:t>Qendra Shkencë dhe Inovacion për Zhvillim</w:t>
            </w:r>
          </w:p>
        </w:tc>
        <w:tc>
          <w:tcPr>
            <w:tcW w:w="4610" w:type="dxa"/>
          </w:tcPr>
          <w:p w:rsidR="0042000F" w:rsidRPr="00E01A0A" w:rsidRDefault="0042000F" w:rsidP="0042000F">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sa i takon pikës </w:t>
            </w:r>
            <w:r w:rsidRPr="00E01A0A">
              <w:rPr>
                <w:rFonts w:ascii="Times New Roman" w:eastAsia="Times New Roman" w:hAnsi="Times New Roman" w:cs="Times New Roman"/>
                <w:b/>
                <w:bCs/>
                <w:sz w:val="24"/>
                <w:szCs w:val="24"/>
                <w:lang w:val="it-IT"/>
              </w:rPr>
              <w:t>3 Roli i Shoqërisë Civile</w:t>
            </w:r>
            <w:r w:rsidRPr="00E01A0A">
              <w:rPr>
                <w:rFonts w:ascii="Times New Roman" w:eastAsia="Times New Roman" w:hAnsi="Times New Roman" w:cs="Times New Roman"/>
                <w:bCs/>
                <w:sz w:val="24"/>
                <w:szCs w:val="24"/>
                <w:lang w:val="it-IT"/>
              </w:rPr>
              <w:t xml:space="preserve">, Pika 3.1 Kuadri Ligjor i Shoqërisë Civile, mungojnë masat specifike dhe të qarta lidhur me Këshillin Kombëtar të Shoqërisë Civile dhe sesi do të bëhet funksional si tryezë e ndërveprimit real mes institucioneve dhe </w:t>
            </w:r>
            <w:r w:rsidRPr="00E01A0A">
              <w:rPr>
                <w:rFonts w:ascii="Times New Roman" w:eastAsia="Times New Roman" w:hAnsi="Times New Roman" w:cs="Times New Roman"/>
                <w:bCs/>
                <w:sz w:val="24"/>
                <w:szCs w:val="24"/>
                <w:lang w:val="it-IT"/>
              </w:rPr>
              <w:lastRenderedPageBreak/>
              <w:t xml:space="preserve">përfaqësuesve të shoqërisë civile, dhe jo një takim formal nën drejtimin e ministrit përkatës pa diskutime të shqetësimeve të sektorit dhe pa masa për ndjekje më pas. Gjithashtu nevojitet bërja publike e agendës së këtyre takimeve, pjesëmarrësve, procesverable diskutimi si edhe mundësisht transmetimi live përmes platformave online. </w:t>
            </w:r>
          </w:p>
          <w:p w:rsidR="0042000F" w:rsidRPr="00E01A0A" w:rsidRDefault="0042000F" w:rsidP="0042000F">
            <w:pPr>
              <w:jc w:val="both"/>
              <w:textAlignment w:val="baseline"/>
              <w:rPr>
                <w:rFonts w:ascii="Times New Roman" w:eastAsia="Times New Roman" w:hAnsi="Times New Roman" w:cs="Times New Roman"/>
                <w:b/>
                <w:sz w:val="24"/>
                <w:szCs w:val="24"/>
                <w:lang w:val="it-IT"/>
              </w:rPr>
            </w:pPr>
          </w:p>
        </w:tc>
        <w:tc>
          <w:tcPr>
            <w:tcW w:w="3240" w:type="dxa"/>
          </w:tcPr>
          <w:p w:rsidR="0042000F" w:rsidRPr="00E01A0A" w:rsidRDefault="0042000F" w:rsidP="0042000F">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lastRenderedPageBreak/>
              <w:t>Pranuar pjesërisht</w:t>
            </w:r>
          </w:p>
        </w:tc>
        <w:tc>
          <w:tcPr>
            <w:tcW w:w="4230" w:type="dxa"/>
            <w:shd w:val="clear" w:color="auto" w:fill="auto"/>
            <w:tcMar>
              <w:top w:w="100" w:type="dxa"/>
              <w:left w:w="100" w:type="dxa"/>
              <w:bottom w:w="100" w:type="dxa"/>
              <w:right w:w="100" w:type="dxa"/>
            </w:tcMar>
          </w:tcPr>
          <w:p w:rsidR="0042000F" w:rsidRPr="00E01A0A" w:rsidRDefault="0042000F" w:rsidP="0042000F">
            <w:pPr>
              <w:spacing w:after="160" w:line="259" w:lineRule="auto"/>
              <w:jc w:val="both"/>
              <w:rPr>
                <w:rFonts w:ascii="Times New Roman" w:hAnsi="Times New Roman" w:cs="Times New Roman"/>
                <w:sz w:val="24"/>
                <w:szCs w:val="24"/>
              </w:rPr>
            </w:pPr>
            <w:r w:rsidRPr="00E01A0A">
              <w:rPr>
                <w:rFonts w:ascii="Times New Roman" w:hAnsi="Times New Roman" w:cs="Times New Roman"/>
                <w:b/>
                <w:sz w:val="24"/>
                <w:szCs w:val="24"/>
              </w:rPr>
              <w:t xml:space="preserve">Vlerësim AMSHC: </w:t>
            </w:r>
            <w:r w:rsidRPr="00E01A0A">
              <w:rPr>
                <w:rFonts w:ascii="Times New Roman" w:hAnsi="Times New Roman" w:cs="Times New Roman"/>
                <w:sz w:val="24"/>
                <w:szCs w:val="24"/>
              </w:rPr>
              <w:t>Eshte parashikuar ndryshimi i Ligjit me afat perfundimtar vitin 202</w:t>
            </w:r>
            <w:r w:rsidR="00591F46" w:rsidRPr="00E01A0A">
              <w:rPr>
                <w:rFonts w:ascii="Times New Roman" w:hAnsi="Times New Roman" w:cs="Times New Roman"/>
                <w:sz w:val="24"/>
                <w:szCs w:val="24"/>
              </w:rPr>
              <w:t>5</w:t>
            </w:r>
            <w:r w:rsidRPr="00E01A0A">
              <w:rPr>
                <w:rFonts w:ascii="Times New Roman" w:hAnsi="Times New Roman" w:cs="Times New Roman"/>
                <w:sz w:val="24"/>
                <w:szCs w:val="24"/>
              </w:rPr>
              <w:t xml:space="preserve">, dhe koordinimi me eficent per organizmin e mbledhjeve (Agjenda dhe kalendari i aktiviteteve) mes Ministrise se </w:t>
            </w:r>
            <w:r w:rsidRPr="00E01A0A">
              <w:rPr>
                <w:rFonts w:ascii="Times New Roman" w:hAnsi="Times New Roman" w:cs="Times New Roman"/>
                <w:sz w:val="24"/>
                <w:szCs w:val="24"/>
              </w:rPr>
              <w:lastRenderedPageBreak/>
              <w:t xml:space="preserve">Shendetesise dhe Propozimeve qe duhet te vine nga Shoqeria </w:t>
            </w:r>
            <w:proofErr w:type="gramStart"/>
            <w:r w:rsidRPr="00E01A0A">
              <w:rPr>
                <w:rFonts w:ascii="Times New Roman" w:hAnsi="Times New Roman" w:cs="Times New Roman"/>
                <w:sz w:val="24"/>
                <w:szCs w:val="24"/>
              </w:rPr>
              <w:t>Civile.(</w:t>
            </w:r>
            <w:proofErr w:type="gramEnd"/>
            <w:r w:rsidRPr="00E01A0A">
              <w:rPr>
                <w:rFonts w:ascii="Times New Roman" w:hAnsi="Times New Roman" w:cs="Times New Roman"/>
                <w:sz w:val="24"/>
                <w:szCs w:val="24"/>
              </w:rPr>
              <w:t>AMSHC)</w:t>
            </w:r>
          </w:p>
          <w:p w:rsidR="0042000F" w:rsidRPr="00E01A0A" w:rsidRDefault="0042000F" w:rsidP="0042000F">
            <w:pPr>
              <w:pStyle w:val="CommentText"/>
              <w:rPr>
                <w:rFonts w:ascii="Times New Roman" w:hAnsi="Times New Roman" w:cs="Times New Roman"/>
                <w:sz w:val="24"/>
                <w:szCs w:val="24"/>
              </w:rPr>
            </w:pPr>
            <w:r w:rsidRPr="00E01A0A">
              <w:rPr>
                <w:rFonts w:ascii="Times New Roman" w:hAnsi="Times New Roman" w:cs="Times New Roman"/>
                <w:sz w:val="24"/>
                <w:szCs w:val="24"/>
              </w:rPr>
              <w:t xml:space="preserve">Organizimi i KKSHC-se, si nje organ </w:t>
            </w:r>
            <w:r w:rsidRPr="00E01A0A">
              <w:rPr>
                <w:rFonts w:ascii="Times New Roman" w:hAnsi="Times New Roman" w:cs="Times New Roman"/>
                <w:b/>
                <w:sz w:val="24"/>
                <w:szCs w:val="24"/>
              </w:rPr>
              <w:t xml:space="preserve">kolegjial keshillimor, </w:t>
            </w:r>
            <w:r w:rsidRPr="00E01A0A">
              <w:rPr>
                <w:rFonts w:ascii="Times New Roman" w:hAnsi="Times New Roman" w:cs="Times New Roman"/>
                <w:sz w:val="24"/>
                <w:szCs w:val="24"/>
              </w:rPr>
              <w:t xml:space="preserve">eshte i rregulluar nga Ligji nr.119/2015, ne te cilin percaktohet kush dhe si organizohen mbledhjet e KKSHC-se. Propozimet per ndryshime politikash, legjislative, etj. vijne ne Keshill nga shoqeria civile. </w:t>
            </w:r>
          </w:p>
          <w:p w:rsidR="0042000F" w:rsidRPr="00E01A0A" w:rsidRDefault="0042000F" w:rsidP="0042000F">
            <w:pPr>
              <w:spacing w:after="160" w:line="259" w:lineRule="auto"/>
              <w:jc w:val="both"/>
              <w:rPr>
                <w:rFonts w:ascii="Times New Roman" w:hAnsi="Times New Roman" w:cs="Times New Roman"/>
                <w:sz w:val="24"/>
                <w:szCs w:val="24"/>
                <w:lang w:val="it-IT"/>
              </w:rPr>
            </w:pPr>
            <w:r w:rsidRPr="00E01A0A">
              <w:rPr>
                <w:rFonts w:ascii="Times New Roman" w:hAnsi="Times New Roman" w:cs="Times New Roman"/>
                <w:sz w:val="24"/>
                <w:szCs w:val="24"/>
              </w:rPr>
              <w:t>Ne roadmap jane parashikuar masa per organizimin me eficent te mbledhjeve. (AMSHC)</w:t>
            </w:r>
          </w:p>
        </w:tc>
      </w:tr>
      <w:tr w:rsidR="0042000F" w:rsidRPr="00E01A0A" w:rsidTr="00C74183">
        <w:trPr>
          <w:trHeight w:val="1338"/>
        </w:trPr>
        <w:tc>
          <w:tcPr>
            <w:tcW w:w="3420" w:type="dxa"/>
            <w:shd w:val="clear" w:color="auto" w:fill="auto"/>
            <w:tcMar>
              <w:top w:w="100" w:type="dxa"/>
              <w:left w:w="100" w:type="dxa"/>
              <w:bottom w:w="100" w:type="dxa"/>
              <w:right w:w="100" w:type="dxa"/>
            </w:tcMar>
          </w:tcPr>
          <w:p w:rsidR="0042000F" w:rsidRPr="00E01A0A" w:rsidRDefault="0042000F" w:rsidP="0042000F">
            <w:pPr>
              <w:spacing w:after="120" w:line="240" w:lineRule="auto"/>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lastRenderedPageBreak/>
              <w:t>Qendra Shkencë dhe Inovacion për Zhvillim</w:t>
            </w:r>
          </w:p>
        </w:tc>
        <w:tc>
          <w:tcPr>
            <w:tcW w:w="4610" w:type="dxa"/>
          </w:tcPr>
          <w:p w:rsidR="0042000F" w:rsidRPr="00E01A0A" w:rsidRDefault="0042000F" w:rsidP="0042000F">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Sa i takon masës “Bashkëpunimi i institucionalizuar ndërmjet Qeverisë dhe shoqërisë civile dhe sigurimi i pjesëmarrjes kuptimplote të OSHC-ve në proceset vendimmarrëse, duke përfshirë në kontekstin e negociatave të anëtarësimit në BE, përmirësohet përmes miratimit dhe monitorimit të një udhërrëfyesi të ri brenda vitit 2024”, si do të përmirësohet nuk është e qartë. Sugjerimet konkrete si për përmirësimin e bashkëpunimit me Qeverinë dhe me median për procesin e anëtarësimit në BE:</w:t>
            </w:r>
          </w:p>
          <w:p w:rsidR="0042000F" w:rsidRPr="00E01A0A" w:rsidRDefault="0042000F" w:rsidP="0042000F">
            <w:pPr>
              <w:pStyle w:val="ListParagraph"/>
              <w:numPr>
                <w:ilvl w:val="0"/>
                <w:numId w:val="26"/>
              </w:numPr>
              <w:spacing w:after="160" w:line="259" w:lineRule="auto"/>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Kryenegociatori duhet të ketë një faqe online të dedikuar me Program Transparence dhe Koordinator për të Drejtën e Informimit dhe të </w:t>
            </w:r>
            <w:r w:rsidRPr="00E01A0A">
              <w:rPr>
                <w:rFonts w:ascii="Times New Roman" w:eastAsia="Times New Roman" w:hAnsi="Times New Roman" w:cs="Times New Roman"/>
                <w:bCs/>
                <w:sz w:val="24"/>
                <w:szCs w:val="24"/>
                <w:lang w:val="it-IT"/>
              </w:rPr>
              <w:lastRenderedPageBreak/>
              <w:t>Konsulimit Publik që janë detyrime ligjore që aktualisht nuk i përmbush;</w:t>
            </w:r>
          </w:p>
          <w:p w:rsidR="0042000F" w:rsidRPr="00E01A0A" w:rsidRDefault="0042000F" w:rsidP="0042000F">
            <w:pPr>
              <w:pStyle w:val="ListParagraph"/>
              <w:numPr>
                <w:ilvl w:val="0"/>
                <w:numId w:val="26"/>
              </w:numPr>
              <w:spacing w:after="160" w:line="259" w:lineRule="auto"/>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Të gjithë Platformat e Partneritit me Shoqërinë Civile për Integrimin Europian duhet të bëhen transparente: përbërja, takimet, agenda, procesverbalet e takimeve, raportet etj. Këto duhet të jenë lehtësisht të aksesueshme online tek Faqja e Kryenegociatorit dhe në secilën ministry përgjegjëse për Platformën përkatëse sipas parimeve të të dhënave të hapura të OGP, për të cilën qeveria shqiptare ka marrë angazhim.</w:t>
            </w:r>
          </w:p>
          <w:p w:rsidR="0042000F" w:rsidRPr="00E01A0A" w:rsidRDefault="0042000F" w:rsidP="0042000F">
            <w:pPr>
              <w:pStyle w:val="ListParagraph"/>
              <w:numPr>
                <w:ilvl w:val="0"/>
                <w:numId w:val="26"/>
              </w:numPr>
              <w:spacing w:after="160" w:line="259" w:lineRule="auto"/>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Nevojitet informim dhe transparencë për screening proces, takimet negociuese në Bruksel, fazat aktuale të procesit, arritjet, pritshmëritë, sfidat etj. Deri më tani OSHC-të dhe media informohen nga faqja zyrtare e DGNear dhe jo nga institucionet përkatëse në Shqipëri. </w:t>
            </w:r>
          </w:p>
          <w:p w:rsidR="0042000F" w:rsidRPr="00E01A0A" w:rsidRDefault="0042000F" w:rsidP="0042000F">
            <w:pPr>
              <w:pStyle w:val="ListParagraph"/>
              <w:numPr>
                <w:ilvl w:val="0"/>
                <w:numId w:val="26"/>
              </w:numPr>
              <w:spacing w:after="160" w:line="259" w:lineRule="auto"/>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Vendosja e një marrëdhënie bashkëpunimi me një komunitet gazetarës të integrimit europian si dhe me organizatat që punojnë në këtë drejtim për të ndarë informacionin dhe rritur lidhjen dhe shpjegimin e procesit të komplikuar tek publiku. </w:t>
            </w:r>
          </w:p>
          <w:p w:rsidR="0042000F" w:rsidRPr="00E01A0A" w:rsidRDefault="0042000F" w:rsidP="0042000F">
            <w:pPr>
              <w:jc w:val="both"/>
              <w:textAlignment w:val="baseline"/>
              <w:rPr>
                <w:rFonts w:ascii="Times New Roman" w:eastAsia="Times New Roman" w:hAnsi="Times New Roman" w:cs="Times New Roman"/>
                <w:b/>
                <w:sz w:val="24"/>
                <w:szCs w:val="24"/>
                <w:lang w:val="it-IT"/>
              </w:rPr>
            </w:pPr>
          </w:p>
        </w:tc>
        <w:tc>
          <w:tcPr>
            <w:tcW w:w="3240" w:type="dxa"/>
          </w:tcPr>
          <w:p w:rsidR="0042000F" w:rsidRPr="00E01A0A" w:rsidRDefault="005C6A99" w:rsidP="0042000F">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lastRenderedPageBreak/>
              <w:t>Pranuar</w:t>
            </w:r>
          </w:p>
        </w:tc>
        <w:tc>
          <w:tcPr>
            <w:tcW w:w="4230" w:type="dxa"/>
            <w:shd w:val="clear" w:color="auto" w:fill="auto"/>
            <w:tcMar>
              <w:top w:w="100" w:type="dxa"/>
              <w:left w:w="100" w:type="dxa"/>
              <w:bottom w:w="100" w:type="dxa"/>
              <w:right w:w="100" w:type="dxa"/>
            </w:tcMar>
          </w:tcPr>
          <w:p w:rsidR="0042000F" w:rsidRPr="00E01A0A" w:rsidRDefault="005C6A99" w:rsidP="0042000F">
            <w:pPr>
              <w:spacing w:after="160" w:line="259" w:lineRule="auto"/>
              <w:jc w:val="both"/>
              <w:rPr>
                <w:rFonts w:ascii="Times New Roman" w:hAnsi="Times New Roman" w:cs="Times New Roman"/>
                <w:sz w:val="24"/>
                <w:szCs w:val="24"/>
                <w:lang w:val="it-IT"/>
              </w:rPr>
            </w:pPr>
            <w:r w:rsidRPr="00E01A0A">
              <w:rPr>
                <w:rFonts w:ascii="Times New Roman" w:hAnsi="Times New Roman" w:cs="Times New Roman"/>
                <w:sz w:val="24"/>
                <w:szCs w:val="24"/>
                <w:lang w:val="it-IT"/>
              </w:rPr>
              <w:t>Besimplotë në nevojën e rritjes dhe përmirësimit së bashkëpunimit të institucionalizuar ndërmjet Qeverisë dhe shoqërisë civile dhe sigurimi i pjesëmarrjes kuptimplote të OSHC-ve në proceset vendimmarrëse, duke përfshirë në kontekstin e negociatave të anëtarësimit në BE, rol kyç luan zhvillimi i Platformave të Partneritetit për Integrimin Evropian, si dhe po eksplorohen mënyra inovatore dhe të qëndrueshme për ta zhvilluar edhe më tej këtë proces.</w:t>
            </w:r>
          </w:p>
        </w:tc>
      </w:tr>
      <w:tr w:rsidR="0042000F" w:rsidRPr="00E01A0A" w:rsidTr="00C74183">
        <w:trPr>
          <w:trHeight w:val="1338"/>
        </w:trPr>
        <w:tc>
          <w:tcPr>
            <w:tcW w:w="3420" w:type="dxa"/>
            <w:shd w:val="clear" w:color="auto" w:fill="auto"/>
            <w:tcMar>
              <w:top w:w="100" w:type="dxa"/>
              <w:left w:w="100" w:type="dxa"/>
              <w:bottom w:w="100" w:type="dxa"/>
              <w:right w:w="100" w:type="dxa"/>
            </w:tcMar>
          </w:tcPr>
          <w:p w:rsidR="0042000F" w:rsidRPr="00E01A0A" w:rsidRDefault="0042000F" w:rsidP="0042000F">
            <w:pPr>
              <w:spacing w:after="120" w:line="240" w:lineRule="auto"/>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lastRenderedPageBreak/>
              <w:t>Qendra Shkencë dhe Inovacion për Zhvillim</w:t>
            </w:r>
          </w:p>
        </w:tc>
        <w:tc>
          <w:tcPr>
            <w:tcW w:w="4610" w:type="dxa"/>
          </w:tcPr>
          <w:p w:rsidR="0042000F" w:rsidRPr="00E01A0A" w:rsidRDefault="0042000F" w:rsidP="0042000F">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Sa i takon, “Miratimi i Udhërrëfyesit të ri për mjedisin mundësues për OSHC-të 2024-2027 brenda vitit 2024”, duhet të bëhet me proces transparent konsultues dhe gjithëpërfshirës me masa specifike dhe përgjegjësi konkrete. Gjithashtu, duhet specifikuar masat dhe institucionet përgjegjëse për mekanizmin monitorues të udhërrëfyesit të miratuar për një mjedis të favorshëm për shoqërinë civile brenda vitit 2024. Kërkohet monitorim i pavarur dhe nga shoqëria civile, por që kjo të ndodh duhet të sigurohet transparencë e plotë e zbatimit të udhërrëfyesit. </w:t>
            </w:r>
          </w:p>
          <w:p w:rsidR="0042000F" w:rsidRPr="00E01A0A" w:rsidRDefault="0042000F" w:rsidP="0042000F">
            <w:pPr>
              <w:jc w:val="both"/>
              <w:textAlignment w:val="baseline"/>
              <w:rPr>
                <w:rFonts w:ascii="Times New Roman" w:eastAsia="Times New Roman" w:hAnsi="Times New Roman" w:cs="Times New Roman"/>
                <w:bCs/>
                <w:sz w:val="24"/>
                <w:szCs w:val="24"/>
                <w:lang w:val="it-IT"/>
              </w:rPr>
            </w:pPr>
          </w:p>
        </w:tc>
        <w:tc>
          <w:tcPr>
            <w:tcW w:w="3240" w:type="dxa"/>
          </w:tcPr>
          <w:p w:rsidR="0042000F" w:rsidRPr="00E01A0A" w:rsidRDefault="00591F46" w:rsidP="0042000F">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t xml:space="preserve">Pranuar </w:t>
            </w:r>
          </w:p>
        </w:tc>
        <w:tc>
          <w:tcPr>
            <w:tcW w:w="4230" w:type="dxa"/>
            <w:shd w:val="clear" w:color="auto" w:fill="auto"/>
            <w:tcMar>
              <w:top w:w="100" w:type="dxa"/>
              <w:left w:w="100" w:type="dxa"/>
              <w:bottom w:w="100" w:type="dxa"/>
              <w:right w:w="100" w:type="dxa"/>
            </w:tcMar>
          </w:tcPr>
          <w:p w:rsidR="0042000F" w:rsidRPr="00E01A0A" w:rsidRDefault="00591F46" w:rsidP="0042000F">
            <w:pPr>
              <w:spacing w:after="160" w:line="259" w:lineRule="auto"/>
              <w:jc w:val="both"/>
              <w:rPr>
                <w:rFonts w:ascii="Times New Roman" w:hAnsi="Times New Roman" w:cs="Times New Roman"/>
                <w:i/>
                <w:sz w:val="24"/>
                <w:szCs w:val="24"/>
                <w:lang w:val="en-GB"/>
              </w:rPr>
            </w:pPr>
            <w:r w:rsidRPr="00E01A0A">
              <w:rPr>
                <w:rFonts w:ascii="Times New Roman" w:hAnsi="Times New Roman" w:cs="Times New Roman"/>
                <w:sz w:val="24"/>
                <w:szCs w:val="24"/>
                <w:lang w:val="it-IT"/>
              </w:rPr>
              <w:t xml:space="preserve">Në draft dokument është parashikuar masë specifike për sigurimin e transparencës dhe konsultimit: </w:t>
            </w:r>
            <w:r w:rsidRPr="00E01A0A">
              <w:rPr>
                <w:rFonts w:ascii="Times New Roman" w:hAnsi="Times New Roman" w:cs="Times New Roman"/>
                <w:i/>
                <w:sz w:val="24"/>
                <w:szCs w:val="24"/>
                <w:lang w:val="en-GB"/>
              </w:rPr>
              <w:t>Publikimi, konsultimi dhe miratimi i Udhërrëfyesit të ri për mjedisin mundësues për OSHC-të 2024-2027 realizohet brenda vitit 2024.</w:t>
            </w:r>
          </w:p>
          <w:p w:rsidR="00591F46" w:rsidRPr="00E01A0A" w:rsidRDefault="00591F46" w:rsidP="00591F46">
            <w:pPr>
              <w:spacing w:after="160" w:line="259" w:lineRule="auto"/>
              <w:jc w:val="both"/>
              <w:rPr>
                <w:rFonts w:ascii="Times New Roman" w:hAnsi="Times New Roman" w:cs="Times New Roman"/>
                <w:sz w:val="24"/>
                <w:szCs w:val="24"/>
                <w:lang w:val="it-IT"/>
              </w:rPr>
            </w:pPr>
            <w:r w:rsidRPr="00E01A0A">
              <w:rPr>
                <w:rFonts w:ascii="Times New Roman" w:hAnsi="Times New Roman" w:cs="Times New Roman"/>
                <w:sz w:val="24"/>
                <w:szCs w:val="24"/>
                <w:lang w:val="en-GB"/>
              </w:rPr>
              <w:t xml:space="preserve">Po ashtu ndryshimet ligjore që po punohen për sa I përket KKSHC po shqyrtojnë mekanizmat më të mira për sigurimin e monitorimit të pavarur të zbatimit të </w:t>
            </w:r>
            <w:r w:rsidRPr="00E01A0A">
              <w:rPr>
                <w:rFonts w:ascii="Times New Roman" w:eastAsia="Times New Roman" w:hAnsi="Times New Roman" w:cs="Times New Roman"/>
                <w:bCs/>
                <w:sz w:val="24"/>
                <w:szCs w:val="24"/>
                <w:lang w:val="it-IT"/>
              </w:rPr>
              <w:t>udhërrëfyesit të ri për një mjedis të favorshëm për shoqërinë civile.</w:t>
            </w:r>
          </w:p>
        </w:tc>
      </w:tr>
      <w:tr w:rsidR="0042000F" w:rsidRPr="00E01A0A" w:rsidTr="00C74183">
        <w:trPr>
          <w:trHeight w:val="1338"/>
        </w:trPr>
        <w:tc>
          <w:tcPr>
            <w:tcW w:w="3420" w:type="dxa"/>
            <w:shd w:val="clear" w:color="auto" w:fill="auto"/>
            <w:tcMar>
              <w:top w:w="100" w:type="dxa"/>
              <w:left w:w="100" w:type="dxa"/>
              <w:bottom w:w="100" w:type="dxa"/>
              <w:right w:w="100" w:type="dxa"/>
            </w:tcMar>
          </w:tcPr>
          <w:p w:rsidR="0042000F" w:rsidRPr="00E01A0A" w:rsidRDefault="0042000F" w:rsidP="0042000F">
            <w:pPr>
              <w:spacing w:after="120" w:line="240" w:lineRule="auto"/>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Qendra Shkencë dhe Inovacion për Zhvillim</w:t>
            </w:r>
          </w:p>
        </w:tc>
        <w:tc>
          <w:tcPr>
            <w:tcW w:w="4610" w:type="dxa"/>
          </w:tcPr>
          <w:p w:rsidR="0042000F" w:rsidRPr="00E01A0A" w:rsidRDefault="0042000F" w:rsidP="0042000F">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Sa i takon, “Procedurat administrative të procesit të dhënies së granteve të AMSHC do të përmirësohen brenda vitit 2025. Funksionaliteti i plotë i platformës online për ndjekjen e procesit të granteve është do të aktivizohet brenda vitit 2025”, sërish janë declarative dhe jo specifike. Duhet të adresohen me themel shqetësimet që shoqëria civile nga ngritur për AMSHC-në, pavarësinë, mënyrën e dhënies së granteve, llojet e organizatave që mbështeten, përdorimi i granteve si instrument i mundshëm presioni për të mbështetur qeverinë etj. </w:t>
            </w:r>
          </w:p>
          <w:p w:rsidR="0042000F" w:rsidRPr="00E01A0A" w:rsidRDefault="0042000F" w:rsidP="0042000F">
            <w:pPr>
              <w:jc w:val="both"/>
              <w:textAlignment w:val="baseline"/>
              <w:rPr>
                <w:rFonts w:ascii="Times New Roman" w:eastAsia="Times New Roman" w:hAnsi="Times New Roman" w:cs="Times New Roman"/>
                <w:bCs/>
                <w:sz w:val="24"/>
                <w:szCs w:val="24"/>
                <w:lang w:val="it-IT"/>
              </w:rPr>
            </w:pPr>
          </w:p>
        </w:tc>
        <w:tc>
          <w:tcPr>
            <w:tcW w:w="3240" w:type="dxa"/>
          </w:tcPr>
          <w:p w:rsidR="0042000F" w:rsidRPr="00E01A0A" w:rsidRDefault="00EE65C6" w:rsidP="0042000F">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t>Pranuar</w:t>
            </w:r>
          </w:p>
        </w:tc>
        <w:tc>
          <w:tcPr>
            <w:tcW w:w="4230" w:type="dxa"/>
            <w:shd w:val="clear" w:color="auto" w:fill="auto"/>
            <w:tcMar>
              <w:top w:w="100" w:type="dxa"/>
              <w:left w:w="100" w:type="dxa"/>
              <w:bottom w:w="100" w:type="dxa"/>
              <w:right w:w="100" w:type="dxa"/>
            </w:tcMar>
          </w:tcPr>
          <w:p w:rsidR="0042000F" w:rsidRPr="00E01A0A" w:rsidRDefault="00EE65C6" w:rsidP="0042000F">
            <w:pPr>
              <w:spacing w:after="160" w:line="259" w:lineRule="auto"/>
              <w:jc w:val="both"/>
              <w:rPr>
                <w:rFonts w:ascii="Times New Roman" w:hAnsi="Times New Roman" w:cs="Times New Roman"/>
                <w:sz w:val="24"/>
                <w:szCs w:val="24"/>
                <w:lang w:val="it-IT"/>
              </w:rPr>
            </w:pPr>
            <w:r w:rsidRPr="00E01A0A">
              <w:rPr>
                <w:rFonts w:ascii="Times New Roman" w:hAnsi="Times New Roman" w:cs="Times New Roman"/>
                <w:sz w:val="24"/>
                <w:szCs w:val="24"/>
                <w:lang w:val="it-IT"/>
              </w:rPr>
              <w:t xml:space="preserve">Udhërrëfyesi për Funksionimin e Institucioneve Demokratike është një dokument makro-politik i cili eshtë konsultuar dhe dakordësuar me shërbimet e Komisionit Evropian dhe paraqet zotimet kryesore të vendit tonë për sa i përket Funksionimit të Institucioneve Demokratike. Konkretisht masat e parashikuara </w:t>
            </w:r>
            <w:r w:rsidR="000A3B81" w:rsidRPr="00E01A0A">
              <w:rPr>
                <w:rFonts w:ascii="Times New Roman" w:hAnsi="Times New Roman" w:cs="Times New Roman"/>
                <w:sz w:val="24"/>
                <w:szCs w:val="24"/>
                <w:lang w:val="it-IT"/>
              </w:rPr>
              <w:t xml:space="preserve">si vijon </w:t>
            </w:r>
            <w:r w:rsidR="000A3B81" w:rsidRPr="00E01A0A">
              <w:rPr>
                <w:rFonts w:ascii="Times New Roman" w:hAnsi="Times New Roman" w:cs="Times New Roman"/>
                <w:i/>
                <w:sz w:val="24"/>
                <w:szCs w:val="24"/>
                <w:lang w:val="it-IT"/>
              </w:rPr>
              <w:t>“</w:t>
            </w:r>
            <w:r w:rsidR="000A3B81" w:rsidRPr="00E01A0A">
              <w:rPr>
                <w:rFonts w:ascii="Times New Roman" w:eastAsia="Times New Roman" w:hAnsi="Times New Roman" w:cs="Times New Roman"/>
                <w:bCs/>
                <w:i/>
                <w:sz w:val="24"/>
                <w:szCs w:val="24"/>
                <w:lang w:val="it-IT"/>
              </w:rPr>
              <w:t xml:space="preserve">Procedurat administrative të procesit të dhënies së granteve të AMSHC do të përmirësohen brenda vitit 2025. Funksionaliteti i plotë i platformës online për ndjekjen e procesit të granteve është do të aktivizohet brenda vitit 2025”, </w:t>
            </w:r>
            <w:r w:rsidR="000A3B81" w:rsidRPr="00E01A0A">
              <w:rPr>
                <w:rFonts w:ascii="Times New Roman" w:eastAsia="Times New Roman" w:hAnsi="Times New Roman" w:cs="Times New Roman"/>
                <w:bCs/>
                <w:sz w:val="24"/>
                <w:szCs w:val="24"/>
                <w:lang w:val="it-IT"/>
              </w:rPr>
              <w:t xml:space="preserve">shprehin objektivat kryesorë </w:t>
            </w:r>
            <w:r w:rsidR="000A3B81" w:rsidRPr="00E01A0A">
              <w:rPr>
                <w:rFonts w:ascii="Times New Roman" w:eastAsia="Times New Roman" w:hAnsi="Times New Roman" w:cs="Times New Roman"/>
                <w:bCs/>
                <w:sz w:val="24"/>
                <w:szCs w:val="24"/>
                <w:lang w:val="it-IT"/>
              </w:rPr>
              <w:lastRenderedPageBreak/>
              <w:t>të cilët do të pasohen me akte dhe procedura ligjore dhe administrative duke i kushtuar vemendje shqetësimeve të ngritura nga shoqëria civile.</w:t>
            </w:r>
          </w:p>
        </w:tc>
      </w:tr>
      <w:tr w:rsidR="0042000F" w:rsidRPr="00E01A0A" w:rsidTr="00C74183">
        <w:trPr>
          <w:trHeight w:val="1338"/>
        </w:trPr>
        <w:tc>
          <w:tcPr>
            <w:tcW w:w="3420" w:type="dxa"/>
            <w:shd w:val="clear" w:color="auto" w:fill="auto"/>
            <w:tcMar>
              <w:top w:w="100" w:type="dxa"/>
              <w:left w:w="100" w:type="dxa"/>
              <w:bottom w:w="100" w:type="dxa"/>
              <w:right w:w="100" w:type="dxa"/>
            </w:tcMar>
          </w:tcPr>
          <w:p w:rsidR="0042000F" w:rsidRPr="00E01A0A" w:rsidRDefault="0042000F" w:rsidP="0042000F">
            <w:pPr>
              <w:spacing w:after="120" w:line="240" w:lineRule="auto"/>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lastRenderedPageBreak/>
              <w:t>Qendra Shkencë dhe Inovacion për Zhvillim</w:t>
            </w:r>
          </w:p>
        </w:tc>
        <w:tc>
          <w:tcPr>
            <w:tcW w:w="4610" w:type="dxa"/>
          </w:tcPr>
          <w:p w:rsidR="0042000F" w:rsidRPr="00E01A0A" w:rsidRDefault="0042000F" w:rsidP="0042000F">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Lidhur me pikën 3.2. Regjistri elektronik i OSHC-ve pranë Këshillit të Lartë Gjyqësor është funksional brenda vitit 2023, SCiDEV vlerëson se ky regjistër nuk funksionon dhe nuk ka prova se ekziston si i tillë (Janar 2024). Për më tepër që OSHC-të kanë paqartësi lidhur me këtë. </w:t>
            </w:r>
          </w:p>
          <w:p w:rsidR="0042000F" w:rsidRPr="00E01A0A" w:rsidRDefault="0042000F" w:rsidP="0042000F">
            <w:pPr>
              <w:jc w:val="both"/>
              <w:textAlignment w:val="baseline"/>
              <w:rPr>
                <w:rFonts w:ascii="Times New Roman" w:eastAsia="Times New Roman" w:hAnsi="Times New Roman" w:cs="Times New Roman"/>
                <w:bCs/>
                <w:sz w:val="24"/>
                <w:szCs w:val="24"/>
                <w:lang w:val="it-IT"/>
              </w:rPr>
            </w:pPr>
          </w:p>
          <w:p w:rsidR="0042000F" w:rsidRPr="00E01A0A" w:rsidRDefault="0042000F" w:rsidP="0042000F">
            <w:pPr>
              <w:jc w:val="both"/>
              <w:textAlignment w:val="baseline"/>
              <w:rPr>
                <w:rFonts w:ascii="Times New Roman" w:eastAsia="Times New Roman" w:hAnsi="Times New Roman" w:cs="Times New Roman"/>
                <w:bCs/>
                <w:sz w:val="24"/>
                <w:szCs w:val="24"/>
                <w:lang w:val="it-IT"/>
              </w:rPr>
            </w:pPr>
          </w:p>
        </w:tc>
        <w:tc>
          <w:tcPr>
            <w:tcW w:w="3240" w:type="dxa"/>
          </w:tcPr>
          <w:p w:rsidR="0042000F" w:rsidRPr="00E01A0A" w:rsidRDefault="00E01C31" w:rsidP="0042000F">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t xml:space="preserve">Pranuar </w:t>
            </w:r>
          </w:p>
        </w:tc>
        <w:tc>
          <w:tcPr>
            <w:tcW w:w="4230" w:type="dxa"/>
            <w:shd w:val="clear" w:color="auto" w:fill="auto"/>
            <w:tcMar>
              <w:top w:w="100" w:type="dxa"/>
              <w:left w:w="100" w:type="dxa"/>
              <w:bottom w:w="100" w:type="dxa"/>
              <w:right w:w="100" w:type="dxa"/>
            </w:tcMar>
          </w:tcPr>
          <w:p w:rsidR="00E01C31" w:rsidRPr="00E01A0A" w:rsidRDefault="00E01C31" w:rsidP="00E01C31">
            <w:p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shd w:val="clear" w:color="auto" w:fill="FFFFFF"/>
              </w:rPr>
              <w:t>Këshilli i Lartë Gjyqësor do të ofrojë në portalin e-Albania 8 shërbime elektronike lidhur me Organizatat Jofitimprurese.</w:t>
            </w:r>
          </w:p>
          <w:p w:rsidR="00E01C31" w:rsidRPr="00E01A0A" w:rsidRDefault="00E01C31" w:rsidP="00E01C31">
            <w:pPr>
              <w:spacing w:line="240" w:lineRule="auto"/>
              <w:ind w:left="360"/>
              <w:rPr>
                <w:rFonts w:ascii="Times New Roman" w:eastAsia="Times New Roman" w:hAnsi="Times New Roman" w:cs="Times New Roman"/>
                <w:sz w:val="24"/>
                <w:szCs w:val="24"/>
              </w:rPr>
            </w:pPr>
          </w:p>
          <w:p w:rsidR="00E01C31" w:rsidRPr="00E01A0A" w:rsidRDefault="00E01C31" w:rsidP="00E01C31">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Aplikim për regjistrim OJF</w:t>
            </w:r>
          </w:p>
          <w:p w:rsidR="00E01C31" w:rsidRPr="00E01A0A" w:rsidRDefault="00E01C31" w:rsidP="00E01C31">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Aplikim për ndryshim të dhënash të OJF</w:t>
            </w:r>
          </w:p>
          <w:p w:rsidR="00E01C31" w:rsidRPr="00E01A0A" w:rsidRDefault="00E01C31" w:rsidP="00E01C31">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Aplikim për plotësim të dhënash të OJF</w:t>
            </w:r>
          </w:p>
          <w:p w:rsidR="00E01C31" w:rsidRPr="00E01A0A" w:rsidRDefault="00E01C31" w:rsidP="00E01C31">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Aplikim për likujdim</w:t>
            </w:r>
          </w:p>
          <w:p w:rsidR="00E01C31" w:rsidRPr="00E01A0A" w:rsidRDefault="00E01C31" w:rsidP="00E01C31">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Aplikim për çregjistrim OJF</w:t>
            </w:r>
          </w:p>
          <w:p w:rsidR="00E01C31" w:rsidRPr="00E01A0A" w:rsidRDefault="00E01C31" w:rsidP="00E01C31">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Aplikim për pezullim aktiviteti të OJF</w:t>
            </w:r>
          </w:p>
          <w:p w:rsidR="00E01C31" w:rsidRPr="00E01A0A" w:rsidRDefault="00E01C31" w:rsidP="00E01C31">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Aplikim për riaktivizim aktiviteti të OJF</w:t>
            </w:r>
          </w:p>
          <w:p w:rsidR="00E01C31" w:rsidRPr="00E01A0A" w:rsidRDefault="00E01C31" w:rsidP="00E01C31">
            <w:pPr>
              <w:numPr>
                <w:ilvl w:val="0"/>
                <w:numId w:val="35"/>
              </w:num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Ekstrakt i thjeshte/historik OJF</w:t>
            </w:r>
          </w:p>
          <w:p w:rsidR="00E01C31" w:rsidRPr="00E01A0A" w:rsidRDefault="00E01C31" w:rsidP="00E01C31">
            <w:p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rPr>
              <w:t> </w:t>
            </w:r>
          </w:p>
          <w:p w:rsidR="00E01C31" w:rsidRPr="00E01A0A" w:rsidRDefault="00E01C31" w:rsidP="00E01C31">
            <w:pPr>
              <w:spacing w:line="240" w:lineRule="auto"/>
              <w:rPr>
                <w:rFonts w:ascii="Times New Roman" w:eastAsia="Times New Roman" w:hAnsi="Times New Roman" w:cs="Times New Roman"/>
                <w:sz w:val="24"/>
                <w:szCs w:val="24"/>
                <w:bdr w:val="none" w:sz="0" w:space="0" w:color="auto" w:frame="1"/>
              </w:rPr>
            </w:pPr>
            <w:r w:rsidRPr="00E01A0A">
              <w:rPr>
                <w:rFonts w:ascii="Times New Roman" w:eastAsia="Times New Roman" w:hAnsi="Times New Roman" w:cs="Times New Roman"/>
                <w:sz w:val="24"/>
                <w:szCs w:val="24"/>
                <w:bdr w:val="none" w:sz="0" w:space="0" w:color="auto" w:frame="1"/>
              </w:rPr>
              <w:t>Shërbimet e mësipërme janë në fazë implementimi dhe zhvillimi të cilat po ndiqen dhe jemi në komunikime të vazhdueshme me institucionin, deri n</w:t>
            </w:r>
            <w:r w:rsidRPr="00E01A0A">
              <w:rPr>
                <w:rFonts w:ascii="Times New Roman" w:eastAsia="Times New Roman" w:hAnsi="Times New Roman" w:cs="Times New Roman"/>
                <w:sz w:val="24"/>
                <w:szCs w:val="24"/>
                <w:bdr w:val="none" w:sz="0" w:space="0" w:color="auto" w:frame="1"/>
                <w:lang w:eastAsia="ja-JP"/>
              </w:rPr>
              <w:t>ë</w:t>
            </w:r>
            <w:r w:rsidRPr="00E01A0A">
              <w:rPr>
                <w:rFonts w:ascii="Times New Roman" w:eastAsia="Times New Roman" w:hAnsi="Times New Roman" w:cs="Times New Roman"/>
                <w:sz w:val="24"/>
                <w:szCs w:val="24"/>
                <w:bdr w:val="none" w:sz="0" w:space="0" w:color="auto" w:frame="1"/>
              </w:rPr>
              <w:t xml:space="preserve"> finalizimin e zhvillimeve dhe publikimin në portalin e-Albania të shërbimeve elektronike.</w:t>
            </w:r>
          </w:p>
          <w:p w:rsidR="005C6A99" w:rsidRPr="00E01A0A" w:rsidRDefault="005C6A99" w:rsidP="00E01C31">
            <w:pPr>
              <w:spacing w:line="240" w:lineRule="auto"/>
              <w:rPr>
                <w:rFonts w:ascii="Times New Roman" w:eastAsia="Times New Roman" w:hAnsi="Times New Roman" w:cs="Times New Roman"/>
                <w:sz w:val="24"/>
                <w:szCs w:val="24"/>
                <w:bdr w:val="none" w:sz="0" w:space="0" w:color="auto" w:frame="1"/>
              </w:rPr>
            </w:pPr>
          </w:p>
          <w:p w:rsidR="005C6A99" w:rsidRPr="00E01A0A" w:rsidRDefault="005C6A99" w:rsidP="005C6A99">
            <w:pPr>
              <w:spacing w:line="240" w:lineRule="auto"/>
              <w:rPr>
                <w:rFonts w:ascii="Times New Roman" w:eastAsia="Times New Roman" w:hAnsi="Times New Roman" w:cs="Times New Roman"/>
                <w:sz w:val="24"/>
                <w:szCs w:val="24"/>
                <w:bdr w:val="none" w:sz="0" w:space="0" w:color="auto" w:frame="1"/>
              </w:rPr>
            </w:pPr>
            <w:r w:rsidRPr="00E01A0A">
              <w:rPr>
                <w:rFonts w:ascii="Times New Roman" w:eastAsia="Times New Roman" w:hAnsi="Times New Roman" w:cs="Times New Roman"/>
                <w:sz w:val="24"/>
                <w:szCs w:val="24"/>
                <w:bdr w:val="none" w:sz="0" w:space="0" w:color="auto" w:frame="1"/>
              </w:rPr>
              <w:t xml:space="preserve">Për më tepër, Këshilli i Lartë Gjyqësor, më datë 24.07.2023 ka marr Vendimin </w:t>
            </w:r>
          </w:p>
          <w:p w:rsidR="005C6A99" w:rsidRPr="00E01A0A" w:rsidRDefault="005C6A99" w:rsidP="005C6A99">
            <w:pPr>
              <w:spacing w:line="240" w:lineRule="auto"/>
              <w:rPr>
                <w:rFonts w:ascii="Times New Roman" w:eastAsia="Times New Roman" w:hAnsi="Times New Roman" w:cs="Times New Roman"/>
                <w:sz w:val="24"/>
                <w:szCs w:val="24"/>
                <w:bdr w:val="none" w:sz="0" w:space="0" w:color="auto" w:frame="1"/>
              </w:rPr>
            </w:pPr>
            <w:r w:rsidRPr="00E01A0A">
              <w:rPr>
                <w:rFonts w:ascii="Times New Roman" w:eastAsia="Times New Roman" w:hAnsi="Times New Roman" w:cs="Times New Roman"/>
                <w:sz w:val="24"/>
                <w:szCs w:val="24"/>
                <w:bdr w:val="none" w:sz="0" w:space="0" w:color="auto" w:frame="1"/>
              </w:rPr>
              <w:lastRenderedPageBreak/>
              <w:t>nr. 445 “Për miratimin e formularëve standard të regjistrit elektronik të</w:t>
            </w:r>
          </w:p>
          <w:p w:rsidR="005C6A99" w:rsidRPr="00E01A0A" w:rsidRDefault="005C6A99" w:rsidP="005C6A99">
            <w:pPr>
              <w:spacing w:line="240" w:lineRule="auto"/>
              <w:rPr>
                <w:rFonts w:ascii="Times New Roman" w:eastAsia="Times New Roman" w:hAnsi="Times New Roman" w:cs="Times New Roman"/>
                <w:sz w:val="24"/>
                <w:szCs w:val="24"/>
              </w:rPr>
            </w:pPr>
            <w:r w:rsidRPr="00E01A0A">
              <w:rPr>
                <w:rFonts w:ascii="Times New Roman" w:eastAsia="Times New Roman" w:hAnsi="Times New Roman" w:cs="Times New Roman"/>
                <w:sz w:val="24"/>
                <w:szCs w:val="24"/>
                <w:bdr w:val="none" w:sz="0" w:space="0" w:color="auto" w:frame="1"/>
              </w:rPr>
              <w:t>organizatave jofitimprurëse”</w:t>
            </w:r>
          </w:p>
          <w:p w:rsidR="0042000F" w:rsidRPr="00E01A0A" w:rsidRDefault="0042000F" w:rsidP="0042000F">
            <w:pPr>
              <w:spacing w:after="160" w:line="259" w:lineRule="auto"/>
              <w:jc w:val="both"/>
              <w:rPr>
                <w:rFonts w:ascii="Times New Roman" w:hAnsi="Times New Roman" w:cs="Times New Roman"/>
                <w:sz w:val="24"/>
                <w:szCs w:val="24"/>
                <w:lang w:val="it-IT"/>
              </w:rPr>
            </w:pPr>
          </w:p>
        </w:tc>
      </w:tr>
      <w:tr w:rsidR="0042000F" w:rsidRPr="00E01A0A" w:rsidTr="00C74183">
        <w:trPr>
          <w:trHeight w:val="1338"/>
        </w:trPr>
        <w:tc>
          <w:tcPr>
            <w:tcW w:w="3420" w:type="dxa"/>
            <w:shd w:val="clear" w:color="auto" w:fill="auto"/>
            <w:tcMar>
              <w:top w:w="100" w:type="dxa"/>
              <w:left w:w="100" w:type="dxa"/>
              <w:bottom w:w="100" w:type="dxa"/>
              <w:right w:w="100" w:type="dxa"/>
            </w:tcMar>
          </w:tcPr>
          <w:p w:rsidR="0042000F" w:rsidRPr="00E01A0A" w:rsidRDefault="0042000F" w:rsidP="0042000F">
            <w:pPr>
              <w:spacing w:after="120" w:line="240" w:lineRule="auto"/>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lastRenderedPageBreak/>
              <w:t>Qendra Shkencë dhe Inovacion për Zhvillim</w:t>
            </w:r>
          </w:p>
        </w:tc>
        <w:tc>
          <w:tcPr>
            <w:tcW w:w="4610" w:type="dxa"/>
          </w:tcPr>
          <w:p w:rsidR="0042000F" w:rsidRPr="00E01A0A" w:rsidRDefault="0042000F" w:rsidP="0042000F">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Lidhur me 3.3 Konteksti më i gjerë për një mjedisi mundësues, afati 2027 për miratimin e kuadrit ligjor për vullnetarizmin është i gjatë. Aktualisht janë dy propozime në Kuvend për ligjin për vullnetarizmin.</w:t>
            </w:r>
          </w:p>
          <w:p w:rsidR="0042000F" w:rsidRPr="00E01A0A" w:rsidRDefault="0042000F" w:rsidP="0042000F">
            <w:pPr>
              <w:jc w:val="both"/>
              <w:textAlignment w:val="baseline"/>
              <w:rPr>
                <w:rFonts w:ascii="Times New Roman" w:eastAsia="Times New Roman" w:hAnsi="Times New Roman" w:cs="Times New Roman"/>
                <w:bCs/>
                <w:sz w:val="24"/>
                <w:szCs w:val="24"/>
                <w:lang w:val="it-IT"/>
              </w:rPr>
            </w:pPr>
          </w:p>
        </w:tc>
        <w:tc>
          <w:tcPr>
            <w:tcW w:w="3240" w:type="dxa"/>
          </w:tcPr>
          <w:p w:rsidR="0042000F" w:rsidRPr="00E01A0A" w:rsidRDefault="000218B4" w:rsidP="0042000F">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t xml:space="preserve">Pranuar </w:t>
            </w:r>
          </w:p>
        </w:tc>
        <w:tc>
          <w:tcPr>
            <w:tcW w:w="4230" w:type="dxa"/>
            <w:shd w:val="clear" w:color="auto" w:fill="auto"/>
            <w:tcMar>
              <w:top w:w="100" w:type="dxa"/>
              <w:left w:w="100" w:type="dxa"/>
              <w:bottom w:w="100" w:type="dxa"/>
              <w:right w:w="100" w:type="dxa"/>
            </w:tcMar>
          </w:tcPr>
          <w:p w:rsidR="0042000F" w:rsidRPr="00E01A0A" w:rsidRDefault="000218B4" w:rsidP="0042000F">
            <w:pPr>
              <w:pStyle w:val="NormalWeb"/>
              <w:spacing w:before="0" w:beforeAutospacing="0" w:after="0" w:afterAutospacing="0" w:line="253" w:lineRule="atLeast"/>
              <w:jc w:val="both"/>
              <w:rPr>
                <w:bCs/>
                <w:lang w:val="it-IT"/>
              </w:rPr>
            </w:pPr>
            <w:r w:rsidRPr="00E01A0A">
              <w:rPr>
                <w:bCs/>
                <w:lang w:val="it-IT"/>
              </w:rPr>
              <w:t>Ministrit i Shtetit për Rininë dhe Fëmijët</w:t>
            </w:r>
            <w:r w:rsidR="0042000F" w:rsidRPr="00E01A0A">
              <w:rPr>
                <w:bCs/>
                <w:lang w:val="it-IT"/>
              </w:rPr>
              <w:t xml:space="preserve">: Referuar komenteve mbi afatet e parashikuara për miratimin nga Kuvendi i Shqipërisë i ndryshimeve në Ligjit 45/2016 “Për vullnetarizmin”, në vlerësimin tonë rezultojnë të drejta. Lutem nga MD të mbahet në vëmendje komentet e përcjella nga MSHRF përmes emailit e datës 28.07.2023 dhe me shkresës 3672/1, datë 22.08.2023 (bashkelidhur) , si vijon: </w:t>
            </w:r>
          </w:p>
          <w:p w:rsidR="0042000F" w:rsidRPr="00E01A0A" w:rsidRDefault="0042000F" w:rsidP="0042000F">
            <w:pPr>
              <w:spacing w:line="253" w:lineRule="atLeast"/>
              <w:jc w:val="both"/>
              <w:rPr>
                <w:rFonts w:ascii="Times New Roman" w:eastAsia="Times New Roman" w:hAnsi="Times New Roman" w:cs="Times New Roman"/>
                <w:bCs/>
                <w:i/>
                <w:sz w:val="24"/>
                <w:szCs w:val="24"/>
                <w:lang w:val="it-IT"/>
              </w:rPr>
            </w:pPr>
            <w:r w:rsidRPr="00E01A0A">
              <w:rPr>
                <w:rFonts w:ascii="Times New Roman" w:eastAsia="Times New Roman" w:hAnsi="Times New Roman" w:cs="Times New Roman"/>
                <w:bCs/>
                <w:i/>
                <w:sz w:val="24"/>
                <w:szCs w:val="24"/>
                <w:lang w:val="it-IT"/>
              </w:rPr>
              <w:t xml:space="preserve">“Pas rishikimit materialeve të dërguara, vlerësojmë se afati më realist për miratimin nga Kuvendi i Shqipërisë i amendimeve të Ligjit 45/2016 “Për Vullnetarizmin” është viti 2026. Rredhimisht, propozojme që ky afat të shënohet edhe në roadmap.”  </w:t>
            </w:r>
          </w:p>
          <w:p w:rsidR="0042000F" w:rsidRPr="00E01A0A" w:rsidRDefault="0042000F" w:rsidP="0042000F">
            <w:pPr>
              <w:spacing w:line="253" w:lineRule="atLeast"/>
              <w:jc w:val="both"/>
              <w:rPr>
                <w:rFonts w:ascii="Times New Roman" w:eastAsia="Times New Roman" w:hAnsi="Times New Roman" w:cs="Times New Roman"/>
                <w:bCs/>
                <w:sz w:val="24"/>
                <w:szCs w:val="24"/>
                <w:lang w:val="it-IT"/>
              </w:rPr>
            </w:pPr>
          </w:p>
          <w:p w:rsidR="0042000F" w:rsidRPr="00E01A0A" w:rsidRDefault="0042000F" w:rsidP="0042000F">
            <w:pPr>
              <w:spacing w:after="160" w:line="259" w:lineRule="auto"/>
              <w:jc w:val="both"/>
              <w:rPr>
                <w:rFonts w:ascii="Times New Roman" w:hAnsi="Times New Roman" w:cs="Times New Roman"/>
                <w:sz w:val="24"/>
                <w:szCs w:val="24"/>
                <w:lang w:val="it-IT"/>
              </w:rPr>
            </w:pPr>
            <w:r w:rsidRPr="00E01A0A">
              <w:rPr>
                <w:rFonts w:ascii="Times New Roman" w:eastAsia="Times New Roman" w:hAnsi="Times New Roman" w:cs="Times New Roman"/>
                <w:bCs/>
                <w:sz w:val="24"/>
                <w:szCs w:val="24"/>
                <w:lang w:val="it-IT"/>
              </w:rPr>
              <w:t xml:space="preserve">Në vlerësimin e MSHRF, viti 2026 mbetet afati me realist dhe i sigurt që mban parasysh mundësinë e adresimit të përshtatshëm të çdo çështje apo aspekti të paparashikuar gjatë shqyrtimit të projekt-aktit në procesin legjislativ. Ky parashikim megjithatë nuk pengon mundësinë e përfundimit të këtyre procedurave në një periudhë edhe më të </w:t>
            </w:r>
            <w:r w:rsidRPr="00E01A0A">
              <w:rPr>
                <w:rFonts w:ascii="Times New Roman" w:eastAsia="Times New Roman" w:hAnsi="Times New Roman" w:cs="Times New Roman"/>
                <w:bCs/>
                <w:sz w:val="24"/>
                <w:szCs w:val="24"/>
                <w:lang w:val="it-IT"/>
              </w:rPr>
              <w:lastRenderedPageBreak/>
              <w:t xml:space="preserve">hershme, në varësi të mbarëvajtjes së procesit legjislativ.  </w:t>
            </w:r>
          </w:p>
        </w:tc>
      </w:tr>
      <w:tr w:rsidR="0042000F" w:rsidRPr="00E01A0A" w:rsidTr="00C74183">
        <w:trPr>
          <w:trHeight w:val="1338"/>
        </w:trPr>
        <w:tc>
          <w:tcPr>
            <w:tcW w:w="3420" w:type="dxa"/>
            <w:shd w:val="clear" w:color="auto" w:fill="auto"/>
            <w:tcMar>
              <w:top w:w="100" w:type="dxa"/>
              <w:left w:w="100" w:type="dxa"/>
              <w:bottom w:w="100" w:type="dxa"/>
              <w:right w:w="100" w:type="dxa"/>
            </w:tcMar>
          </w:tcPr>
          <w:p w:rsidR="0042000F" w:rsidRPr="00E01A0A" w:rsidRDefault="0042000F" w:rsidP="0042000F">
            <w:pPr>
              <w:spacing w:after="120" w:line="240" w:lineRule="auto"/>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lastRenderedPageBreak/>
              <w:t>Qendra Shkencë dhe Inovacion për Zhvillim</w:t>
            </w:r>
          </w:p>
        </w:tc>
        <w:tc>
          <w:tcPr>
            <w:tcW w:w="4610" w:type="dxa"/>
          </w:tcPr>
          <w:p w:rsidR="0042000F" w:rsidRPr="00E01A0A" w:rsidRDefault="0042000F" w:rsidP="0042000F">
            <w:pPr>
              <w:jc w:val="both"/>
              <w:textAlignment w:val="baseline"/>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 xml:space="preserve">Lidhur me ndryshim në ligjin nr.146/2014 “Për njoftimin dhe konsultimin publik”, dhe në legjislacionin dytësor për konsultimin publik bëhet në mënyrë progresive drejt vitit 2030, sugjerohet një afat më i shpejtë për zgjerimin e fushës së konsultimit publik për aktet e qeverisë, një kërkesë e ripërsëritur e shoqërisë civile. </w:t>
            </w:r>
          </w:p>
          <w:p w:rsidR="0042000F" w:rsidRPr="00E01A0A" w:rsidRDefault="0042000F" w:rsidP="0042000F">
            <w:pPr>
              <w:jc w:val="both"/>
              <w:textAlignment w:val="baseline"/>
              <w:rPr>
                <w:rFonts w:ascii="Times New Roman" w:eastAsia="Times New Roman" w:hAnsi="Times New Roman" w:cs="Times New Roman"/>
                <w:bCs/>
                <w:sz w:val="24"/>
                <w:szCs w:val="24"/>
                <w:lang w:val="it-IT"/>
              </w:rPr>
            </w:pPr>
          </w:p>
        </w:tc>
        <w:tc>
          <w:tcPr>
            <w:tcW w:w="3240" w:type="dxa"/>
          </w:tcPr>
          <w:p w:rsidR="0042000F" w:rsidRPr="00E01A0A" w:rsidRDefault="000218B4" w:rsidP="0042000F">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t xml:space="preserve">Refuzuar </w:t>
            </w:r>
          </w:p>
        </w:tc>
        <w:tc>
          <w:tcPr>
            <w:tcW w:w="4230" w:type="dxa"/>
            <w:shd w:val="clear" w:color="auto" w:fill="auto"/>
            <w:tcMar>
              <w:top w:w="100" w:type="dxa"/>
              <w:left w:w="100" w:type="dxa"/>
              <w:bottom w:w="100" w:type="dxa"/>
              <w:right w:w="100" w:type="dxa"/>
            </w:tcMar>
          </w:tcPr>
          <w:p w:rsidR="0042000F" w:rsidRPr="00E01A0A" w:rsidRDefault="0042000F" w:rsidP="0042000F">
            <w:pPr>
              <w:spacing w:after="160" w:line="259" w:lineRule="auto"/>
              <w:jc w:val="both"/>
              <w:rPr>
                <w:rFonts w:ascii="Times New Roman" w:hAnsi="Times New Roman" w:cs="Times New Roman"/>
                <w:sz w:val="24"/>
                <w:szCs w:val="24"/>
                <w:lang w:val="it-IT"/>
              </w:rPr>
            </w:pPr>
            <w:r w:rsidRPr="00E01A0A">
              <w:rPr>
                <w:rFonts w:ascii="Times New Roman" w:hAnsi="Times New Roman" w:cs="Times New Roman"/>
                <w:sz w:val="24"/>
                <w:szCs w:val="24"/>
                <w:lang w:val="it-IT"/>
              </w:rPr>
              <w:t xml:space="preserve">Afatet e parashikuara në këtë draft udhërrëfyes janë në një vijë me parashikimet dhe afatet e udherrëfyesit të Reformës së Administratës Publike tashmë të miratuar me Vendim të Këshillit të Ministrave, pas negociatave të bëra dhe me shërbimet e Komisionit Evropian. Vlerësojmë sugjerimin tuaj për sa i përket kërkesës për përshpejtim afati, por ndërkohë saktësojmë se ky është një proces kompleks dhe kërkon kohë të arsyeshme për realizim të plotë. </w:t>
            </w:r>
          </w:p>
        </w:tc>
      </w:tr>
      <w:tr w:rsidR="0042000F" w:rsidRPr="00E01A0A" w:rsidTr="00C74183">
        <w:trPr>
          <w:trHeight w:val="1338"/>
        </w:trPr>
        <w:tc>
          <w:tcPr>
            <w:tcW w:w="3420" w:type="dxa"/>
            <w:shd w:val="clear" w:color="auto" w:fill="auto"/>
            <w:tcMar>
              <w:top w:w="100" w:type="dxa"/>
              <w:left w:w="100" w:type="dxa"/>
              <w:bottom w:w="100" w:type="dxa"/>
              <w:right w:w="100" w:type="dxa"/>
            </w:tcMar>
          </w:tcPr>
          <w:p w:rsidR="0042000F" w:rsidRPr="00E01A0A" w:rsidRDefault="0042000F" w:rsidP="0042000F">
            <w:pPr>
              <w:spacing w:after="120" w:line="240" w:lineRule="auto"/>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Komiteti Shqiptar i Helsinkit</w:t>
            </w:r>
          </w:p>
        </w:tc>
        <w:tc>
          <w:tcPr>
            <w:tcW w:w="4610" w:type="dxa"/>
          </w:tcPr>
          <w:p w:rsidR="0042000F" w:rsidRPr="00E01A0A" w:rsidRDefault="0042000F" w:rsidP="0042000F">
            <w:pPr>
              <w:pStyle w:val="NormalWeb"/>
              <w:spacing w:before="0" w:beforeAutospacing="0" w:after="240" w:afterAutospacing="0"/>
              <w:jc w:val="both"/>
              <w:rPr>
                <w:lang w:val="it-IT"/>
              </w:rPr>
            </w:pPr>
            <w:r w:rsidRPr="00E01A0A">
              <w:rPr>
                <w:lang w:val="it-IT"/>
              </w:rPr>
              <w:t xml:space="preserve">KShH vlerëson se adresimi i çështjeve të identifikuara, përmes miratimit të legjislacionit të ri zgjedhor, nën dritën e rekomandimeve të OSBE-së dhe sugjerimeve të organizatave të shoqërisë civile dhe ekspertëve të fushës së legjislacionit zgjedhor, duhet të jetë i plotë, i gjithëanshëm dhe jo selektiv. Reforma zgjedhore nuk duhet të jetë monopol i partive politike, ndaj kjo vlerësojmë se duhet të pasqyrhet qartazi në udhërrëfyes. Rëndësi prioritare duhet t’i jepet plotësimit të vakumit ligjor të krijuar nga </w:t>
            </w:r>
            <w:r w:rsidRPr="00E01A0A">
              <w:rPr>
                <w:lang w:val="it-IT"/>
              </w:rPr>
              <w:lastRenderedPageBreak/>
              <w:t xml:space="preserve">vendimmarrjet e Gjykatës Kushtetuese, për shfuqizimin e neneve të Kodit Zgjedhor. </w:t>
            </w:r>
          </w:p>
          <w:p w:rsidR="0042000F" w:rsidRPr="00E01A0A" w:rsidRDefault="0042000F" w:rsidP="0042000F">
            <w:pPr>
              <w:pStyle w:val="NormalWeb"/>
              <w:spacing w:before="0" w:beforeAutospacing="0" w:after="240" w:afterAutospacing="0"/>
              <w:jc w:val="both"/>
              <w:rPr>
                <w:lang w:val="it-IT"/>
              </w:rPr>
            </w:pPr>
            <w:r w:rsidRPr="00E01A0A">
              <w:rPr>
                <w:lang w:val="it-IT"/>
              </w:rPr>
              <w:t>Në këtë kuadër, procesi i propozimit të ndryshimeve në legjislacionin e ri zgjedhor, duhet të paraprihet dhe shoqërohet me një fazë studimi të kujdesshëm dhe konsultimi transparent, gjithpërfshirës, dhe efektiv të tij. Si rrjedhojë e problemeve të identifikuara në mënyrë të herëpashershme, KShH vlerëson se financimi i partive politike dhe fushatave zgjedhore si dhe ndalimet për shpërdorimin e burimeve publike paraqesin një nevojë të shtuar për t’u ndalur dhe adresuar. Krahas miratimit të legjislacionit detyrues për subjektet zgjedhore, mbetet veëanërisht i rëndësishëm promovimi dhe mbështetja për krijimin e institucioneve efikase për monitorimin e financave të fushatës dhe subjekteve zgjedhore si dhe shpërdorimin e burimeve publike nga subjektet zgjedhore.</w:t>
            </w:r>
          </w:p>
          <w:p w:rsidR="0042000F" w:rsidRPr="00E01A0A" w:rsidRDefault="0042000F" w:rsidP="0042000F">
            <w:pPr>
              <w:pStyle w:val="NormalWeb"/>
              <w:spacing w:before="0" w:beforeAutospacing="0" w:after="240" w:afterAutospacing="0"/>
              <w:jc w:val="both"/>
              <w:rPr>
                <w:lang w:val="it-IT"/>
              </w:rPr>
            </w:pPr>
          </w:p>
          <w:p w:rsidR="0042000F" w:rsidRPr="00E01A0A" w:rsidRDefault="0042000F" w:rsidP="0042000F">
            <w:pPr>
              <w:jc w:val="both"/>
              <w:textAlignment w:val="baseline"/>
              <w:rPr>
                <w:rFonts w:ascii="Times New Roman" w:eastAsia="Times New Roman" w:hAnsi="Times New Roman" w:cs="Times New Roman"/>
                <w:bCs/>
                <w:sz w:val="24"/>
                <w:szCs w:val="24"/>
                <w:lang w:val="it-IT"/>
              </w:rPr>
            </w:pPr>
          </w:p>
        </w:tc>
        <w:tc>
          <w:tcPr>
            <w:tcW w:w="3240" w:type="dxa"/>
          </w:tcPr>
          <w:p w:rsidR="0042000F" w:rsidRPr="00E01A0A" w:rsidRDefault="0042000F" w:rsidP="0042000F">
            <w:pPr>
              <w:widowControl w:val="0"/>
              <w:pBdr>
                <w:top w:val="nil"/>
                <w:left w:val="nil"/>
                <w:bottom w:val="nil"/>
                <w:right w:val="nil"/>
                <w:between w:val="nil"/>
              </w:pBdr>
              <w:spacing w:line="240" w:lineRule="auto"/>
              <w:jc w:val="center"/>
              <w:rPr>
                <w:rFonts w:ascii="Times New Roman" w:hAnsi="Times New Roman" w:cs="Times New Roman"/>
                <w:sz w:val="24"/>
                <w:szCs w:val="24"/>
                <w:lang w:val="it-IT"/>
              </w:rPr>
            </w:pPr>
            <w:r w:rsidRPr="00E01A0A">
              <w:rPr>
                <w:rFonts w:ascii="Times New Roman" w:hAnsi="Times New Roman" w:cs="Times New Roman"/>
                <w:sz w:val="24"/>
                <w:szCs w:val="24"/>
                <w:lang w:val="it-IT"/>
              </w:rPr>
              <w:lastRenderedPageBreak/>
              <w:t>Pranuar pjesërisht</w:t>
            </w:r>
          </w:p>
        </w:tc>
        <w:tc>
          <w:tcPr>
            <w:tcW w:w="4230" w:type="dxa"/>
            <w:shd w:val="clear" w:color="auto" w:fill="auto"/>
            <w:tcMar>
              <w:top w:w="100" w:type="dxa"/>
              <w:left w:w="100" w:type="dxa"/>
              <w:bottom w:w="100" w:type="dxa"/>
              <w:right w:w="100" w:type="dxa"/>
            </w:tcMar>
          </w:tcPr>
          <w:p w:rsidR="0042000F" w:rsidRPr="00E01A0A" w:rsidRDefault="0042000F" w:rsidP="00F100E4">
            <w:p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lang w:val="it-IT"/>
              </w:rPr>
              <w:t>.</w:t>
            </w:r>
            <w:r w:rsidRPr="00E01A0A">
              <w:rPr>
                <w:rFonts w:ascii="Times New Roman" w:hAnsi="Times New Roman" w:cs="Times New Roman"/>
                <w:sz w:val="24"/>
                <w:szCs w:val="24"/>
              </w:rPr>
              <w:t xml:space="preserve"> </w:t>
            </w:r>
          </w:p>
          <w:p w:rsidR="005C6A99" w:rsidRPr="00E01A0A" w:rsidRDefault="005C6A99" w:rsidP="0042000F">
            <w:pPr>
              <w:jc w:val="both"/>
              <w:rPr>
                <w:rFonts w:ascii="Times New Roman" w:hAnsi="Times New Roman" w:cs="Times New Roman"/>
                <w:sz w:val="24"/>
                <w:szCs w:val="24"/>
              </w:rPr>
            </w:pPr>
          </w:p>
          <w:p w:rsidR="0042000F" w:rsidRPr="00E01A0A" w:rsidRDefault="005C6A99" w:rsidP="0042000F">
            <w:pPr>
              <w:spacing w:after="160" w:line="259" w:lineRule="auto"/>
              <w:jc w:val="both"/>
              <w:rPr>
                <w:rFonts w:ascii="Times New Roman" w:hAnsi="Times New Roman" w:cs="Times New Roman"/>
                <w:sz w:val="24"/>
                <w:szCs w:val="24"/>
                <w:lang w:val="it-IT"/>
              </w:rPr>
            </w:pPr>
            <w:r w:rsidRPr="00E01A0A">
              <w:rPr>
                <w:rFonts w:ascii="Times New Roman" w:hAnsi="Times New Roman" w:cs="Times New Roman"/>
                <w:sz w:val="24"/>
                <w:szCs w:val="24"/>
                <w:lang w:val="sq-AL"/>
              </w:rPr>
              <w:t>Ndryshimet e Kodit Zgjedhor në 26.7.2024 realizuan ndryshimet ligjore për asdresimin e votës së diasporës dhe zbatimin e vendimeve të Gjykatës Kushtetuese.</w:t>
            </w:r>
          </w:p>
        </w:tc>
      </w:tr>
      <w:tr w:rsidR="0042000F" w:rsidRPr="00E01A0A" w:rsidTr="00C74183">
        <w:trPr>
          <w:trHeight w:val="1338"/>
        </w:trPr>
        <w:tc>
          <w:tcPr>
            <w:tcW w:w="3420" w:type="dxa"/>
            <w:shd w:val="clear" w:color="auto" w:fill="auto"/>
            <w:tcMar>
              <w:top w:w="100" w:type="dxa"/>
              <w:left w:w="100" w:type="dxa"/>
              <w:bottom w:w="100" w:type="dxa"/>
              <w:right w:w="100" w:type="dxa"/>
            </w:tcMar>
          </w:tcPr>
          <w:p w:rsidR="0042000F" w:rsidRPr="00E01A0A" w:rsidRDefault="0042000F" w:rsidP="0042000F">
            <w:pPr>
              <w:spacing w:after="120" w:line="240" w:lineRule="auto"/>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t>Komiteti Shqiptar i Helsinkit</w:t>
            </w:r>
          </w:p>
        </w:tc>
        <w:tc>
          <w:tcPr>
            <w:tcW w:w="4610" w:type="dxa"/>
          </w:tcPr>
          <w:p w:rsidR="0042000F" w:rsidRPr="00E01A0A" w:rsidRDefault="0042000F" w:rsidP="0042000F">
            <w:pPr>
              <w:pStyle w:val="Paragrafi"/>
              <w:numPr>
                <w:ilvl w:val="0"/>
                <w:numId w:val="28"/>
              </w:numPr>
              <w:spacing w:after="240"/>
              <w:rPr>
                <w:rFonts w:ascii="Times New Roman" w:hAnsi="Times New Roman"/>
                <w:b/>
                <w:sz w:val="24"/>
                <w:szCs w:val="24"/>
                <w:lang w:val="sq-AL"/>
              </w:rPr>
            </w:pPr>
            <w:r w:rsidRPr="00E01A0A">
              <w:rPr>
                <w:rFonts w:ascii="Times New Roman" w:hAnsi="Times New Roman"/>
                <w:b/>
                <w:sz w:val="24"/>
                <w:szCs w:val="24"/>
                <w:lang w:val="sq-AL"/>
              </w:rPr>
              <w:t>“Funksionimi i Kuvendit”:</w:t>
            </w:r>
          </w:p>
          <w:p w:rsidR="0042000F" w:rsidRPr="00E01A0A" w:rsidRDefault="0042000F" w:rsidP="0042000F">
            <w:pPr>
              <w:pStyle w:val="Paragrafi"/>
              <w:spacing w:after="240"/>
              <w:ind w:firstLine="0"/>
              <w:rPr>
                <w:rFonts w:ascii="Times New Roman" w:hAnsi="Times New Roman"/>
                <w:sz w:val="24"/>
                <w:szCs w:val="24"/>
                <w:lang w:val="sq-AL"/>
              </w:rPr>
            </w:pPr>
            <w:r w:rsidRPr="00E01A0A">
              <w:rPr>
                <w:rFonts w:ascii="Times New Roman" w:hAnsi="Times New Roman"/>
                <w:sz w:val="24"/>
                <w:szCs w:val="24"/>
                <w:lang w:val="sq-AL"/>
              </w:rPr>
              <w:t xml:space="preserve">Një fokus të veëantë në amendimin e Kodit të Sjelljes sugjerojmë se duhet t’i dedikohet fenomenit të ‘lobizmit’, sa i përket rritjes së kapacitetit të deputetëve për masat që duhen ndërmarrë për formalizimin e këtij fenomeni, dallimin e tij në raport me konfliktin e </w:t>
            </w:r>
            <w:r w:rsidRPr="00E01A0A">
              <w:rPr>
                <w:rFonts w:ascii="Times New Roman" w:hAnsi="Times New Roman"/>
                <w:sz w:val="24"/>
                <w:szCs w:val="24"/>
                <w:lang w:val="sq-AL"/>
              </w:rPr>
              <w:lastRenderedPageBreak/>
              <w:t xml:space="preserve">interesit, si dhe ndërgjegjësimin e palëve të interesit (siç mund të jetë shoqëria civile) në formalizimin e veprimeve lobiste. </w:t>
            </w:r>
          </w:p>
          <w:p w:rsidR="0042000F" w:rsidRPr="00E01A0A" w:rsidRDefault="0042000F" w:rsidP="0042000F">
            <w:pPr>
              <w:pStyle w:val="Paragrafi"/>
              <w:spacing w:after="240"/>
              <w:ind w:firstLine="0"/>
              <w:rPr>
                <w:rFonts w:ascii="Times New Roman" w:hAnsi="Times New Roman"/>
                <w:sz w:val="24"/>
                <w:szCs w:val="24"/>
                <w:lang w:val="sq-AL"/>
              </w:rPr>
            </w:pPr>
            <w:r w:rsidRPr="00E01A0A">
              <w:rPr>
                <w:rFonts w:ascii="Times New Roman" w:hAnsi="Times New Roman"/>
                <w:sz w:val="24"/>
                <w:szCs w:val="24"/>
                <w:lang w:val="sq-AL"/>
              </w:rPr>
              <w:t>Sië edhe më herët KSHH ka analizuar nëpërmjet Raportit Studimor “Instrumentet ligjorë dhe sfidat e angazhimit të qytetarëve dhe të shoqërisë civile në proceset vendimmarrëse dhe legjislative të Kuvendit”</w:t>
            </w:r>
            <w:r w:rsidRPr="00E01A0A">
              <w:rPr>
                <w:rStyle w:val="FootnoteReference"/>
                <w:rFonts w:ascii="Times New Roman" w:hAnsi="Times New Roman"/>
                <w:sz w:val="24"/>
                <w:szCs w:val="24"/>
                <w:lang w:val="sq-AL"/>
              </w:rPr>
              <w:footnoteReference w:id="1"/>
            </w:r>
            <w:r w:rsidRPr="00E01A0A">
              <w:rPr>
                <w:rFonts w:ascii="Times New Roman" w:hAnsi="Times New Roman"/>
                <w:sz w:val="24"/>
                <w:szCs w:val="24"/>
                <w:lang w:val="sq-AL"/>
              </w:rPr>
              <w:t xml:space="preserve">, sugjerojmë ndryshimin e Rregullores së Kuvendit sa i përket efikasitetit të mekanizmit të peticionit. Formulimi i Nenit 104 të Rregullores së Kuvendit dikton nevojën për rregullim më të plotë dhe të detajuar në dispozitat e saj me qëllim që e drejta e peticionit të jetë lehtësisht e realizueshme dhe organet parlamentare të kenë përgjegjësinë maksimale për shqyrtimin me rigorozitet të ëdo peticioni. Kjo do të ndihmonte në rikthimin e besimit të qytetarëve tek institucioni më i rëndësishëm që ushtron pushtetin legjislativ në vendin tonë, Kuvendi i RSH-së. Format për paraqitjen e peticioneve rekomandohen të jenë alternative, duke iu përshtatur trendeve të teknologjisë së informacionit (e-peticioni), duke garantuar një nivel më të mirë unifikimi të praktikës parlamentare të shpërndarjes dhe shqyrtimit të tij, etj. Në procedurat parlamentare, rekomandojmë të parashikohen shprehimisht garancitë e procesit të rregullt ndaj dërguesve </w:t>
            </w:r>
            <w:r w:rsidRPr="00E01A0A">
              <w:rPr>
                <w:rFonts w:ascii="Times New Roman" w:hAnsi="Times New Roman"/>
                <w:sz w:val="24"/>
                <w:szCs w:val="24"/>
                <w:lang w:val="sq-AL"/>
              </w:rPr>
              <w:lastRenderedPageBreak/>
              <w:t>të peticionit. KShH ka sugjeruar më herët rishikimin e kuadrit rregullator të Kuvendit duke marrë në konsideratë modelin gjerman të peticioneve, pasi parashikon elementë të rëndësishëm të kësaj të drejte, të tillë si: mundësia e hetimit administrativ, përcaktimi i afateve të shqyrtimit të peticionit, ballafaqimi me autoritetet, mundësia për të zhvilluar dëgjesë me përfaqësuesit e autoriteteve, me nënshkruesit e peticionit, ekspertë apo dëshmitarë, njoftimi në mënyrë të arsyetuar i nënshkruesit të peticionit për vendimmarrjen e parlamentit.</w:t>
            </w:r>
          </w:p>
          <w:p w:rsidR="0042000F" w:rsidRPr="00E01A0A" w:rsidRDefault="0042000F" w:rsidP="0042000F">
            <w:pPr>
              <w:pStyle w:val="Paragrafi"/>
              <w:spacing w:after="240"/>
              <w:ind w:firstLine="0"/>
              <w:rPr>
                <w:rFonts w:ascii="Times New Roman" w:hAnsi="Times New Roman"/>
                <w:sz w:val="24"/>
                <w:szCs w:val="24"/>
                <w:lang w:val="sq-AL"/>
              </w:rPr>
            </w:pPr>
            <w:r w:rsidRPr="00E01A0A">
              <w:rPr>
                <w:rFonts w:ascii="Times New Roman" w:hAnsi="Times New Roman"/>
                <w:sz w:val="24"/>
                <w:szCs w:val="24"/>
                <w:lang w:val="sq-AL"/>
              </w:rPr>
              <w:t xml:space="preserve">Përpos disponueshmërisë në përmirësimin e informacionit të publikuar në faqen zyrtare të Kuvendit, sugjerojmë standardizimin e formateve të dokumentacionit parlamentar me qëllim garantimin e konsistencës dhe kuptueshmërisë kundrejt palëve të interesit. Hartimi i udhëzuesve elektronikë, në një gjuhë miqësore, që garanton aksesueshmërinë e informacionit në faqen e Kuvendit edhe nga kategoritë vulnerabël të shoqërisë, si personat me paaftësi fizike, hulumtuesit e rinj etj. </w:t>
            </w:r>
          </w:p>
          <w:p w:rsidR="0042000F" w:rsidRPr="00E01A0A" w:rsidRDefault="0042000F" w:rsidP="0042000F">
            <w:pPr>
              <w:pStyle w:val="Paragrafi"/>
              <w:spacing w:after="240"/>
              <w:ind w:firstLine="0"/>
              <w:rPr>
                <w:rFonts w:ascii="Times New Roman" w:hAnsi="Times New Roman"/>
                <w:sz w:val="24"/>
                <w:szCs w:val="24"/>
                <w:lang w:val="sq-AL"/>
              </w:rPr>
            </w:pPr>
            <w:r w:rsidRPr="00E01A0A">
              <w:rPr>
                <w:rFonts w:ascii="Times New Roman" w:hAnsi="Times New Roman"/>
                <w:sz w:val="24"/>
                <w:szCs w:val="24"/>
                <w:lang w:val="sq-AL"/>
              </w:rPr>
              <w:t xml:space="preserve">Sa i përket rritjes së pjesëmarrjes së OSHC-ve dhe grupeve të interesit në mbledhjet e komisioneve parlamentare gjatë procesit ligjbërës dhe mbikëqyrës si dhe gjatë ushtrimit të funksionit zgjedhor të Kuvendit, sugjerojmë ngritjen e një mekanizmi të qëndrueshëm, të administrueshëm nga stafi i Kuvendit në bashkërendim me një grup deputetësh </w:t>
            </w:r>
            <w:r w:rsidRPr="00E01A0A">
              <w:rPr>
                <w:rFonts w:ascii="Times New Roman" w:hAnsi="Times New Roman"/>
                <w:sz w:val="24"/>
                <w:szCs w:val="24"/>
                <w:lang w:val="sq-AL"/>
              </w:rPr>
              <w:lastRenderedPageBreak/>
              <w:t xml:space="preserve">përfaqësues të forcave të ndryshme politike, me qëllim që organizatat të ftohen në seanca dëgjimore për projektligje të veçanta, ato të konsultohen rregullisht dhe jo mbi baza konsultative, përfshi këtu edhe konsultimin për rezolutat e raporteve vjetore të institucioneve të pavarura. Në këtë proces, rëndësi parësore merr dhënia e përgjigjeve ndaj organizatave të konsultuara, për rekomandimet e marra në konsideratë dhe njohjen me arsyetimin e përmbledhur të shkaqeve për rekomandimet që nuk merren në konsideratë. Ndërkohë, lidhur me Regjistrin e Transparencës sugjerojmë rishikimin e tij dhe hartimin e një liste më të plotë të OSHC-ve të cilat realisht ushtrojnë veprimtari që do t’i shërbente përmirësimit të mëtejshëm të punës së deputetëve dhe të Komisioneve përkatëse të Kuvendit. </w:t>
            </w:r>
          </w:p>
          <w:p w:rsidR="0042000F" w:rsidRPr="00E01A0A" w:rsidRDefault="0042000F" w:rsidP="0042000F">
            <w:pPr>
              <w:pStyle w:val="Paragrafi"/>
              <w:spacing w:after="240"/>
              <w:ind w:firstLine="0"/>
              <w:rPr>
                <w:rFonts w:ascii="Times New Roman" w:hAnsi="Times New Roman"/>
                <w:sz w:val="24"/>
                <w:szCs w:val="24"/>
                <w:lang w:val="sq-AL"/>
              </w:rPr>
            </w:pPr>
            <w:r w:rsidRPr="00E01A0A">
              <w:rPr>
                <w:rFonts w:ascii="Times New Roman" w:hAnsi="Times New Roman"/>
                <w:sz w:val="24"/>
                <w:szCs w:val="24"/>
                <w:lang w:val="sq-AL"/>
              </w:rPr>
              <w:t xml:space="preserve">Sugjerojmë rritjen e përfshirjes së OSHC-ve të lokalizuara në zonat rurale, proaktive në fusha të caktuara dhe në juridiksione konkrete territoriale, grupeve informale dhe palëve të interesit, nëpërmjet forcimit të përgjegjshmërisë dhe llogaridhënies së deputetëve në organizimin periodik e eficent të ditëve të takimit me qytetarët (në kuadër të Javës së Gjelbër). Nismat e ndërmarra në kuadër të përafrimit të legjislacionit me atë </w:t>
            </w:r>
            <w:r w:rsidRPr="00E01A0A">
              <w:rPr>
                <w:rFonts w:ascii="Times New Roman" w:hAnsi="Times New Roman"/>
                <w:i/>
                <w:sz w:val="24"/>
                <w:szCs w:val="24"/>
                <w:lang w:val="sq-AL"/>
              </w:rPr>
              <w:t xml:space="preserve">acquis </w:t>
            </w:r>
            <w:r w:rsidRPr="00E01A0A">
              <w:rPr>
                <w:rFonts w:ascii="Times New Roman" w:hAnsi="Times New Roman"/>
                <w:sz w:val="24"/>
                <w:szCs w:val="24"/>
                <w:lang w:val="sq-AL"/>
              </w:rPr>
              <w:t xml:space="preserve">dhe reformimet e sugjeruara, vlerësojmë se kërkojnë rritjen e kapaciteteve të Kuvendit për ndërgjegjësimin e informimin e publikut në masë, nëpërmjet fushatave e </w:t>
            </w:r>
            <w:r w:rsidRPr="00E01A0A">
              <w:rPr>
                <w:rFonts w:ascii="Times New Roman" w:hAnsi="Times New Roman"/>
                <w:sz w:val="24"/>
                <w:szCs w:val="24"/>
                <w:lang w:val="sq-AL"/>
              </w:rPr>
              <w:lastRenderedPageBreak/>
              <w:t xml:space="preserve">aktiviteteve në terren dhe në media. </w:t>
            </w:r>
          </w:p>
          <w:p w:rsidR="0042000F" w:rsidRPr="00E01A0A" w:rsidRDefault="0042000F" w:rsidP="0042000F">
            <w:pPr>
              <w:pStyle w:val="Paragrafi"/>
              <w:spacing w:after="240"/>
              <w:ind w:firstLine="0"/>
              <w:rPr>
                <w:rFonts w:ascii="Times New Roman" w:hAnsi="Times New Roman"/>
                <w:sz w:val="24"/>
                <w:szCs w:val="24"/>
                <w:lang w:val="sq-AL"/>
              </w:rPr>
            </w:pPr>
            <w:r w:rsidRPr="00E01A0A">
              <w:rPr>
                <w:rFonts w:ascii="Times New Roman" w:hAnsi="Times New Roman"/>
                <w:sz w:val="24"/>
                <w:szCs w:val="24"/>
                <w:lang w:val="sq-AL"/>
              </w:rPr>
              <w:t>Në vijim, parashikimet mbi përmirësimin e rolit mbikëqyrës së Kuvendit mbi ekzekutivin përmes përdorimit të shtuar të instrumenteve të kontrollit nga deputetët, janë parashikime që varen nga vullneti i vetë deputetëve dhe Udhërrëfyesi nuk parashikon asnjë masë konkrete, objektive dhe të matshme se si do të zbatohet ky parashikim. Në kët drejtim, sugjerojmë krijimin e programeve të trajnimit të detyrueshëm (fillestar e vazhdues) nga Instituti Parlamentar, me synim përdorimin efektiv nga ana e deputetëve të instrumenteve të kontrollit qoftë me anë të Komisioneve Parlamentare, Nën-Komisioneve por edhe në Seancë Plenare. Publikimi i raporteve, gjetjeve të komisioneve dhe nënkomisioneve parlamentare, si dhe të dhënave, që kanë rezultuar nga ushtrimi i kontrollit parlamentar, sugjerojmë se do t’i shërbente informimit të publikut. Gjithashtu, do të ishte e rekomandueshme krijimi i mekanizmave që mundësojnë vlerësimin periodik të impaktit dhe eficiencës së përdorimit të masave mbikqyrëse parlamentare.</w:t>
            </w:r>
          </w:p>
          <w:p w:rsidR="0042000F" w:rsidRPr="00E01A0A" w:rsidRDefault="0042000F" w:rsidP="0042000F">
            <w:pPr>
              <w:pStyle w:val="Paragrafi"/>
              <w:spacing w:after="240"/>
              <w:ind w:firstLine="0"/>
              <w:rPr>
                <w:rFonts w:ascii="Times New Roman" w:hAnsi="Times New Roman"/>
                <w:sz w:val="24"/>
                <w:szCs w:val="24"/>
                <w:lang w:val="sq-AL"/>
              </w:rPr>
            </w:pPr>
            <w:r w:rsidRPr="00E01A0A">
              <w:rPr>
                <w:rFonts w:ascii="Times New Roman" w:hAnsi="Times New Roman"/>
                <w:sz w:val="24"/>
                <w:szCs w:val="24"/>
                <w:lang w:val="sq-AL"/>
              </w:rPr>
              <w:t xml:space="preserve">Vlerësojmë se në kuadër të garantimit të transparencës dhe llogaridhënies së deputetëve, Kuvendi duhet të marrë masa konkrete për ngritjen e platformave të dedikuara online që ofrojnë të dhëna të aksesueshme në kohë reale nga publiku, lidhur me burimet financiare, të ardhurat dhe lidhjet </w:t>
            </w:r>
            <w:r w:rsidRPr="00E01A0A">
              <w:rPr>
                <w:rFonts w:ascii="Times New Roman" w:hAnsi="Times New Roman"/>
                <w:sz w:val="24"/>
                <w:szCs w:val="24"/>
                <w:lang w:val="sq-AL"/>
              </w:rPr>
              <w:lastRenderedPageBreak/>
              <w:t>me subjekte të ndryshme private, të deputetëve të mandatuar. Seksioni i dedikuar “Pyet deputetin” në faqen zyrtare të Kuvendit, duhet të shërbejë si një mekanizëm jo më formal, por funksional, për ti dhënë shoqërisë civile dhe qytetarëve mundësinë e komunikimit të drejtëpërdrejtë me deputetët, në përputhje dhe me vetë synimin e këtij mekanizmi.</w:t>
            </w:r>
          </w:p>
          <w:p w:rsidR="0042000F" w:rsidRPr="00E01A0A" w:rsidRDefault="0042000F" w:rsidP="0042000F">
            <w:pPr>
              <w:pStyle w:val="Paragrafi"/>
              <w:spacing w:after="240"/>
              <w:ind w:firstLine="0"/>
              <w:rPr>
                <w:rFonts w:ascii="Times New Roman" w:hAnsi="Times New Roman"/>
                <w:sz w:val="24"/>
                <w:szCs w:val="24"/>
                <w:lang w:val="sq-AL"/>
              </w:rPr>
            </w:pPr>
            <w:r w:rsidRPr="00E01A0A">
              <w:rPr>
                <w:rFonts w:ascii="Times New Roman" w:hAnsi="Times New Roman"/>
                <w:sz w:val="24"/>
                <w:szCs w:val="24"/>
                <w:lang w:val="sq-AL"/>
              </w:rPr>
              <w:t xml:space="preserve">Sa i përket integrimit të procesit të e-legjislacionit në hallkën e vetme të ligjbërjes, sugjerohet marrja e masave nga ana e Kuvendit për identifikimin e mundësive për automatizimin e proceseve të punës brenda sistemit legjislativ, për aq sa mund të lejohet. Zbatimi i mjeteve/mekanizmave monitorues për të gjurmuar performancën dhe përdorimin e sistemit e-Legjislacioni, do të kërkonte vlerësimin e efikasitetit të tij dhe grumbullimin e reagimeve nga përdoruesit e sistemit. </w:t>
            </w:r>
          </w:p>
          <w:p w:rsidR="0042000F" w:rsidRPr="00E01A0A" w:rsidRDefault="0042000F" w:rsidP="0042000F">
            <w:pPr>
              <w:pStyle w:val="Paragrafi"/>
              <w:spacing w:after="240"/>
              <w:ind w:firstLine="0"/>
              <w:rPr>
                <w:rFonts w:ascii="Times New Roman" w:hAnsi="Times New Roman"/>
                <w:sz w:val="24"/>
                <w:szCs w:val="24"/>
                <w:lang w:val="sq-AL"/>
              </w:rPr>
            </w:pPr>
            <w:r w:rsidRPr="00E01A0A">
              <w:rPr>
                <w:rFonts w:ascii="Times New Roman" w:hAnsi="Times New Roman"/>
                <w:sz w:val="24"/>
                <w:szCs w:val="24"/>
                <w:lang w:val="sq-AL"/>
              </w:rPr>
              <w:t xml:space="preserve">KShH vëren se mungojnë në vijim mënyrat e zbatimit edhe për masat mbi “organzimin e procesve të zgjedhjeve/emërimeve të kryetarëve dhe anëtarëve të institucioneve të pavarura sipas afateve ligjore dhe vendeve vakante të krijuara, pa vonesa dhe duke siguruar zbatimin e parimeve të paanshëmrisë, pavarësisë dhe transparencës”. Edhe në këto procese, Kuvendi duhet të përqafojë metodat e konsultimit publik, të cilat rezultojnë të munguara, ndërkohë që shumica e krerëve të </w:t>
            </w:r>
            <w:r w:rsidRPr="00E01A0A">
              <w:rPr>
                <w:rFonts w:ascii="Times New Roman" w:hAnsi="Times New Roman"/>
                <w:sz w:val="24"/>
                <w:szCs w:val="24"/>
                <w:lang w:val="sq-AL"/>
              </w:rPr>
              <w:lastRenderedPageBreak/>
              <w:t>këtyre institucioneve që zgjidhen me shumicë të thjeshtë apo absolute, prej afro tre dekadash reflektojnë vullnetin e shumicës parlamentare. Deri më tani përgjatë veprimtarisë së tij Kuvendi është përballur me vonesa në organizimin e këtyre proceseve dhe duhet që të parashikohen mekanizma efikas zhbllokues konkretë.</w:t>
            </w:r>
          </w:p>
          <w:p w:rsidR="0042000F" w:rsidRPr="00E01A0A" w:rsidRDefault="0042000F" w:rsidP="0042000F">
            <w:pPr>
              <w:pStyle w:val="NormalWeb"/>
              <w:spacing w:before="0" w:beforeAutospacing="0" w:after="240" w:afterAutospacing="0"/>
              <w:jc w:val="both"/>
              <w:rPr>
                <w:lang w:val="sq-AL"/>
              </w:rPr>
            </w:pPr>
          </w:p>
        </w:tc>
        <w:tc>
          <w:tcPr>
            <w:tcW w:w="3240" w:type="dxa"/>
          </w:tcPr>
          <w:p w:rsidR="0042000F" w:rsidRPr="00E01A0A" w:rsidRDefault="0042000F" w:rsidP="0042000F">
            <w:pPr>
              <w:spacing w:after="160" w:line="259" w:lineRule="auto"/>
              <w:jc w:val="both"/>
              <w:rPr>
                <w:rFonts w:ascii="Times New Roman" w:hAnsi="Times New Roman" w:cs="Times New Roman"/>
                <w:sz w:val="24"/>
                <w:szCs w:val="24"/>
                <w:lang w:val="sq-AL"/>
              </w:rPr>
            </w:pPr>
            <w:r w:rsidRPr="00E01A0A">
              <w:rPr>
                <w:rFonts w:ascii="Times New Roman" w:hAnsi="Times New Roman" w:cs="Times New Roman"/>
                <w:sz w:val="24"/>
                <w:szCs w:val="24"/>
                <w:lang w:val="sq-AL"/>
              </w:rPr>
              <w:lastRenderedPageBreak/>
              <w:t>Pranuar pjeserisht nga Kuvendi</w:t>
            </w:r>
          </w:p>
          <w:p w:rsidR="0042000F" w:rsidRPr="00E01A0A" w:rsidRDefault="0042000F" w:rsidP="0042000F">
            <w:pPr>
              <w:widowControl w:val="0"/>
              <w:pBdr>
                <w:top w:val="nil"/>
                <w:left w:val="nil"/>
                <w:bottom w:val="nil"/>
                <w:right w:val="nil"/>
                <w:between w:val="nil"/>
              </w:pBdr>
              <w:spacing w:line="240" w:lineRule="auto"/>
              <w:jc w:val="center"/>
              <w:rPr>
                <w:rFonts w:ascii="Times New Roman" w:hAnsi="Times New Roman" w:cs="Times New Roman"/>
                <w:sz w:val="24"/>
                <w:szCs w:val="24"/>
                <w:lang w:val="sq-AL"/>
              </w:rPr>
            </w:pPr>
          </w:p>
        </w:tc>
        <w:tc>
          <w:tcPr>
            <w:tcW w:w="4230" w:type="dxa"/>
            <w:shd w:val="clear" w:color="auto" w:fill="auto"/>
            <w:tcMar>
              <w:top w:w="100" w:type="dxa"/>
              <w:left w:w="100" w:type="dxa"/>
              <w:bottom w:w="100" w:type="dxa"/>
              <w:right w:w="100" w:type="dxa"/>
            </w:tcMar>
          </w:tcPr>
          <w:p w:rsidR="0042000F" w:rsidRPr="00E01A0A" w:rsidRDefault="0042000F" w:rsidP="0042000F">
            <w:pPr>
              <w:spacing w:line="240" w:lineRule="auto"/>
              <w:jc w:val="both"/>
              <w:rPr>
                <w:rFonts w:ascii="Times New Roman" w:hAnsi="Times New Roman" w:cs="Times New Roman"/>
                <w:sz w:val="24"/>
                <w:szCs w:val="24"/>
              </w:rPr>
            </w:pPr>
            <w:r w:rsidRPr="00E01A0A">
              <w:rPr>
                <w:rFonts w:ascii="Times New Roman" w:hAnsi="Times New Roman" w:cs="Times New Roman"/>
                <w:b/>
                <w:sz w:val="24"/>
                <w:szCs w:val="24"/>
                <w:lang w:val="sq-AL"/>
              </w:rPr>
              <w:t>Vlerësim i Kuvendit</w:t>
            </w:r>
            <w:r w:rsidRPr="00E01A0A">
              <w:rPr>
                <w:rFonts w:ascii="Times New Roman" w:hAnsi="Times New Roman" w:cs="Times New Roman"/>
                <w:sz w:val="24"/>
                <w:szCs w:val="24"/>
              </w:rPr>
              <w:t xml:space="preserve"> :Udhëzues i detajuar i Kodit të sjelljes së deputetëve të Kuvendit të R.Sh, miratuar me vendimin e Byrosë së Kuvendit nr. 19, datë 27.9.2018 përcakton udhëzime mbi zbatimin e Kodit të sjelljes së deputetëve, ku referuar veprimtarisë së deputetit në mbrojtje të lobizimit është përcaktuar se: </w:t>
            </w:r>
          </w:p>
          <w:p w:rsidR="0042000F" w:rsidRPr="00E01A0A" w:rsidRDefault="0042000F" w:rsidP="0042000F">
            <w:pPr>
              <w:spacing w:line="240" w:lineRule="auto"/>
              <w:jc w:val="both"/>
              <w:rPr>
                <w:rFonts w:ascii="Times New Roman" w:hAnsi="Times New Roman" w:cs="Times New Roman"/>
                <w:sz w:val="24"/>
                <w:szCs w:val="24"/>
              </w:rPr>
            </w:pPr>
            <w:r w:rsidRPr="00E01A0A">
              <w:rPr>
                <w:rFonts w:ascii="Times New Roman" w:hAnsi="Times New Roman" w:cs="Times New Roman"/>
                <w:sz w:val="24"/>
                <w:szCs w:val="24"/>
              </w:rPr>
              <w:lastRenderedPageBreak/>
              <w:t>“</w:t>
            </w:r>
            <w:r w:rsidRPr="00E01A0A">
              <w:rPr>
                <w:rFonts w:ascii="Times New Roman" w:hAnsi="Times New Roman" w:cs="Times New Roman"/>
                <w:i/>
                <w:sz w:val="24"/>
                <w:szCs w:val="24"/>
              </w:rPr>
              <w:t>Lobist nënkupton: - një person teknik, që përfaqëson një grup interesi, i cili ka si synim që të ndërtojë ura komunikimi me personat përfaqësues të institucioneve ose organeve që kanë rol vendimmarrës në proces, me qëllim që të ndikojë mbi to, duke kërkuar ndryshimin e një rregulli, norme ose dispozite, duke bërë rolin e mbrojtësit, si dhe duke kërkuar që çështja të bëhet temë e agjendës politike; - organizata jofitimprurëse, që janë shprehur në terma lobizmi për çështje të caktuara, ose përfaqësojnë grupe sociale qartësisht të shprehura; - organizata biznesi, që angazhojnë lobistë profesionistë ose formatojnë qëndrime të identifikuara si lobizëm</w:t>
            </w:r>
            <w:r w:rsidRPr="00E01A0A">
              <w:rPr>
                <w:rFonts w:ascii="Times New Roman" w:hAnsi="Times New Roman" w:cs="Times New Roman"/>
                <w:sz w:val="24"/>
                <w:szCs w:val="24"/>
              </w:rPr>
              <w:t xml:space="preserve">. Lobisti bën publike interesat privatё të posaçёm, të cilёt beson se shteti nuk i njeh mjaftueshëm dhe të cilёt për këtë shkak mund të sakrifikohen në favor të interesave ose objektivave të tjerё. Qëllimi i lobizmit është që, duke i deklaruar këta interesa, të mund të vihet në funksionim mekanizmi i pjesëmarrjes në vendimmarrje, qoftë edhe nëpërmjet ekspozimit të interesave të tjerё, për të cilёt grupi i interesit, i mbrojtur nga lobisti, zgjidhet të sakrifikohet nga vendimmarrja politike”. </w:t>
            </w:r>
          </w:p>
          <w:p w:rsidR="0042000F" w:rsidRPr="00E01A0A" w:rsidRDefault="0042000F" w:rsidP="0042000F">
            <w:pPr>
              <w:spacing w:line="240" w:lineRule="auto"/>
              <w:jc w:val="both"/>
              <w:rPr>
                <w:rFonts w:ascii="Times New Roman" w:hAnsi="Times New Roman" w:cs="Times New Roman"/>
                <w:sz w:val="24"/>
                <w:szCs w:val="24"/>
              </w:rPr>
            </w:pPr>
            <w:r w:rsidRPr="00E01A0A">
              <w:rPr>
                <w:rFonts w:ascii="Times New Roman" w:hAnsi="Times New Roman" w:cs="Times New Roman"/>
                <w:sz w:val="24"/>
                <w:szCs w:val="24"/>
              </w:rPr>
              <w:lastRenderedPageBreak/>
              <w:t xml:space="preserve">Për më shumë informacion lutem referojuni linkut të mëposhtëm. </w:t>
            </w:r>
          </w:p>
          <w:p w:rsidR="0042000F" w:rsidRPr="00E01A0A" w:rsidRDefault="00494FFA" w:rsidP="0042000F">
            <w:pPr>
              <w:spacing w:line="240" w:lineRule="auto"/>
              <w:jc w:val="both"/>
              <w:rPr>
                <w:rFonts w:ascii="Times New Roman" w:hAnsi="Times New Roman" w:cs="Times New Roman"/>
                <w:sz w:val="24"/>
                <w:szCs w:val="24"/>
              </w:rPr>
            </w:pPr>
            <w:hyperlink r:id="rId14" w:history="1">
              <w:r w:rsidR="0042000F" w:rsidRPr="00E01A0A">
                <w:rPr>
                  <w:rStyle w:val="Hyperlink"/>
                  <w:rFonts w:ascii="Times New Roman" w:hAnsi="Times New Roman" w:cs="Times New Roman"/>
                  <w:color w:val="auto"/>
                  <w:sz w:val="24"/>
                  <w:szCs w:val="24"/>
                </w:rPr>
                <w:t>https://kuvendiwebfiles.blob.core.windows.net/webfiles/202212261847395210Udhe%CC%88zuesi%20i%20Detajuar%20pe%CC%88r%20Sjelljen%20ne%CC%88%20Kuvend.pdf</w:t>
              </w:r>
            </w:hyperlink>
          </w:p>
          <w:p w:rsidR="0042000F" w:rsidRPr="00E01A0A" w:rsidRDefault="0042000F" w:rsidP="0042000F">
            <w:pPr>
              <w:spacing w:line="240" w:lineRule="auto"/>
              <w:jc w:val="both"/>
              <w:rPr>
                <w:rFonts w:ascii="Times New Roman" w:hAnsi="Times New Roman" w:cs="Times New Roman"/>
                <w:sz w:val="24"/>
                <w:szCs w:val="24"/>
              </w:rPr>
            </w:pPr>
            <w:r w:rsidRPr="00E01A0A">
              <w:rPr>
                <w:rFonts w:ascii="Times New Roman" w:hAnsi="Times New Roman" w:cs="Times New Roman"/>
                <w:sz w:val="24"/>
                <w:szCs w:val="24"/>
              </w:rPr>
              <w:t>Rregjistri i lobistëve gjendet i publikuar në faqen e Kuvendit në linkun e mëposhtëm</w:t>
            </w:r>
          </w:p>
          <w:p w:rsidR="0042000F" w:rsidRPr="00E01A0A" w:rsidRDefault="00494FFA" w:rsidP="0042000F">
            <w:pPr>
              <w:spacing w:line="240" w:lineRule="auto"/>
              <w:jc w:val="both"/>
              <w:rPr>
                <w:rFonts w:ascii="Times New Roman" w:hAnsi="Times New Roman" w:cs="Times New Roman"/>
                <w:sz w:val="24"/>
                <w:szCs w:val="24"/>
              </w:rPr>
            </w:pPr>
            <w:hyperlink r:id="rId15" w:anchor="doku" w:history="1">
              <w:r w:rsidR="0042000F" w:rsidRPr="00E01A0A">
                <w:rPr>
                  <w:rStyle w:val="Hyperlink"/>
                  <w:rFonts w:ascii="Times New Roman" w:hAnsi="Times New Roman" w:cs="Times New Roman"/>
                  <w:color w:val="auto"/>
                  <w:sz w:val="24"/>
                  <w:szCs w:val="24"/>
                </w:rPr>
                <w:t>https://parlament.al/struktura/1f6ca8d8-fdf4-440b-869d-05ac3d0b915d/#doku</w:t>
              </w:r>
            </w:hyperlink>
          </w:p>
          <w:p w:rsidR="0042000F" w:rsidRPr="00E01A0A" w:rsidRDefault="0042000F" w:rsidP="0042000F">
            <w:pPr>
              <w:spacing w:line="240" w:lineRule="auto"/>
              <w:jc w:val="both"/>
              <w:rPr>
                <w:rFonts w:ascii="Times New Roman" w:hAnsi="Times New Roman" w:cs="Times New Roman"/>
                <w:sz w:val="24"/>
                <w:szCs w:val="24"/>
              </w:rPr>
            </w:pPr>
          </w:p>
          <w:p w:rsidR="0042000F" w:rsidRPr="00E01A0A" w:rsidRDefault="0042000F" w:rsidP="0042000F">
            <w:pPr>
              <w:spacing w:line="240" w:lineRule="auto"/>
              <w:jc w:val="both"/>
              <w:rPr>
                <w:rFonts w:ascii="Times New Roman" w:hAnsi="Times New Roman" w:cs="Times New Roman"/>
                <w:sz w:val="24"/>
                <w:szCs w:val="24"/>
              </w:rPr>
            </w:pPr>
          </w:p>
          <w:p w:rsidR="0042000F" w:rsidRPr="00E01A0A" w:rsidRDefault="0042000F" w:rsidP="0042000F">
            <w:pPr>
              <w:spacing w:line="240" w:lineRule="auto"/>
              <w:jc w:val="both"/>
              <w:rPr>
                <w:rFonts w:ascii="Times New Roman" w:hAnsi="Times New Roman" w:cs="Times New Roman"/>
                <w:sz w:val="24"/>
                <w:szCs w:val="24"/>
              </w:rPr>
            </w:pPr>
            <w:r w:rsidRPr="00E01A0A">
              <w:rPr>
                <w:rFonts w:ascii="Times New Roman" w:hAnsi="Times New Roman" w:cs="Times New Roman"/>
                <w:sz w:val="24"/>
                <w:szCs w:val="24"/>
              </w:rPr>
              <w:t xml:space="preserve">- Në Kuvend është ngritur një grup pune qe po analizon problematikat dhe/apo nevojat për sqarim apo detajim në lidhje me zbatimin e dispozitave të Rregullores së Kuvendit, e cila ndër të tjera pritet të adresojë dhe procedimin e trajtimit të një peticioni </w:t>
            </w:r>
            <w:r w:rsidRPr="00E01A0A">
              <w:rPr>
                <w:rFonts w:ascii="Times New Roman" w:hAnsi="Times New Roman" w:cs="Times New Roman"/>
                <w:sz w:val="24"/>
                <w:szCs w:val="24"/>
                <w:lang w:val="sq-AL"/>
              </w:rPr>
              <w:t>me qëllim që e drejta e peticionit të jetë lehtësisht e realizueshme.</w:t>
            </w:r>
          </w:p>
          <w:p w:rsidR="0042000F" w:rsidRPr="00E01A0A" w:rsidRDefault="0042000F" w:rsidP="0042000F">
            <w:pPr>
              <w:spacing w:line="240" w:lineRule="auto"/>
              <w:jc w:val="both"/>
              <w:rPr>
                <w:rFonts w:ascii="Times New Roman" w:hAnsi="Times New Roman" w:cs="Times New Roman"/>
                <w:sz w:val="24"/>
                <w:szCs w:val="24"/>
              </w:rPr>
            </w:pPr>
          </w:p>
          <w:p w:rsidR="0042000F" w:rsidRPr="00E01A0A" w:rsidRDefault="0042000F" w:rsidP="0042000F">
            <w:pPr>
              <w:spacing w:line="240" w:lineRule="auto"/>
              <w:jc w:val="both"/>
              <w:rPr>
                <w:rFonts w:ascii="Times New Roman" w:eastAsia="Times New Roman" w:hAnsi="Times New Roman" w:cs="Times New Roman"/>
                <w:sz w:val="24"/>
                <w:szCs w:val="24"/>
                <w:lang w:val="sq-AL"/>
              </w:rPr>
            </w:pPr>
            <w:r w:rsidRPr="00E01A0A">
              <w:rPr>
                <w:rFonts w:ascii="Times New Roman" w:eastAsia="Times New Roman" w:hAnsi="Times New Roman" w:cs="Times New Roman"/>
                <w:sz w:val="24"/>
                <w:szCs w:val="24"/>
                <w:lang w:val="sq-AL"/>
              </w:rPr>
              <w:t xml:space="preserve">-Dokumenti i Standarteve të Transaprencës ështe një dokument i hartuar, dakortësuar, konsultuar  dhe finalizuar tashmë pas një procesi pune të gjatë dhe gjithëpërfshirës me pjesëmarrjen e të gjitha palëve të interesuara Kuvend- Media – Shoqëri Civile.  Sapo të miratohet ky dokument në Kuvend, do të pasohet me hartimin e planit të punës për arritjen e standarteve të transparences si dhe më pas do të vijohet me monitorimin e realizimit të këtij plani. I gjithë ky proces është </w:t>
            </w:r>
            <w:r w:rsidRPr="00E01A0A">
              <w:rPr>
                <w:rFonts w:ascii="Times New Roman" w:eastAsia="Times New Roman" w:hAnsi="Times New Roman" w:cs="Times New Roman"/>
                <w:sz w:val="24"/>
                <w:szCs w:val="24"/>
                <w:lang w:val="sq-AL"/>
              </w:rPr>
              <w:lastRenderedPageBreak/>
              <w:t>parashikuar që të realizohet në cdo fazë me përfshirjen dhe kontributin e të tre palëve Kuvend – Media – Shoqëri Civile.</w:t>
            </w:r>
          </w:p>
          <w:p w:rsidR="0042000F" w:rsidRPr="00E01A0A" w:rsidRDefault="0042000F" w:rsidP="0042000F">
            <w:pPr>
              <w:spacing w:after="160" w:line="259" w:lineRule="auto"/>
              <w:jc w:val="both"/>
              <w:rPr>
                <w:rFonts w:ascii="Times New Roman" w:eastAsia="Times New Roman" w:hAnsi="Times New Roman" w:cs="Times New Roman"/>
                <w:sz w:val="24"/>
                <w:szCs w:val="24"/>
                <w:lang w:val="sq-AL"/>
              </w:rPr>
            </w:pPr>
            <w:r w:rsidRPr="00E01A0A">
              <w:rPr>
                <w:rFonts w:ascii="Times New Roman" w:eastAsia="Times New Roman" w:hAnsi="Times New Roman" w:cs="Times New Roman"/>
                <w:sz w:val="24"/>
                <w:szCs w:val="24"/>
                <w:lang w:val="sq-AL"/>
              </w:rPr>
              <w:t>Dokumenti i Standarteve të Transparencës, disa standarte që kanë të bëjnë me paraqitjen e dokumentacionit parlamentar në faqe, në mënyrë sa më të aksesueshme nga publiku, në gjuhë sa më miqësore, në formatin open data etj.  Gjithashtu duke marrë në konsideratë edhe kërkesat për mundësimin e aksesit të informacionit edhe personat me aftësi fizike të kufizuara, do të vijojmë me përpjekjet dhe masat konkrete për të mundësuar gjithnjë e më shumë aksesin e cdo grupi në informacionin dhe dokumentacionin parlamentar. Një nga masat e marra është edhe transmetimi i seancave plenare  (tashmë prej 3 vitesh) në gjuhën e shenjave sipas një protokolli të caktuar.</w:t>
            </w:r>
          </w:p>
          <w:p w:rsidR="0042000F" w:rsidRPr="00E01A0A" w:rsidRDefault="0042000F" w:rsidP="0042000F">
            <w:pPr>
              <w:spacing w:after="160" w:line="259" w:lineRule="auto"/>
              <w:jc w:val="both"/>
              <w:rPr>
                <w:rFonts w:ascii="Times New Roman" w:hAnsi="Times New Roman" w:cs="Times New Roman"/>
                <w:sz w:val="24"/>
                <w:szCs w:val="24"/>
                <w:lang w:val="sq-AL"/>
              </w:rPr>
            </w:pPr>
            <w:r w:rsidRPr="00E01A0A">
              <w:rPr>
                <w:rFonts w:ascii="Times New Roman" w:hAnsi="Times New Roman" w:cs="Times New Roman"/>
                <w:sz w:val="24"/>
                <w:szCs w:val="24"/>
              </w:rPr>
              <w:t>-</w:t>
            </w:r>
            <w:r w:rsidRPr="00E01A0A">
              <w:rPr>
                <w:rFonts w:ascii="Times New Roman" w:hAnsi="Times New Roman" w:cs="Times New Roman"/>
                <w:sz w:val="24"/>
                <w:szCs w:val="24"/>
                <w:lang w:val="sq-AL"/>
              </w:rPr>
              <w:t xml:space="preserve"> Masa e planifikuar është evindentuar si mangësi në raport me legjislacionin europian </w:t>
            </w:r>
            <w:r w:rsidRPr="00E01A0A">
              <w:rPr>
                <w:rFonts w:ascii="Times New Roman" w:hAnsi="Times New Roman" w:cs="Times New Roman"/>
                <w:sz w:val="24"/>
                <w:szCs w:val="24"/>
              </w:rPr>
              <w:t>(</w:t>
            </w:r>
            <w:r w:rsidRPr="00E01A0A">
              <w:rPr>
                <w:rFonts w:ascii="Times New Roman" w:hAnsi="Times New Roman" w:cs="Times New Roman"/>
                <w:sz w:val="24"/>
                <w:szCs w:val="24"/>
                <w:lang w:val="sq-AL"/>
              </w:rPr>
              <w:t>Vendimin e Komisionit të datës 31 janar 2018 mbi Kodin e Sjelljes për Anëtarët e Komisionit Evropian (</w:t>
            </w:r>
            <w:proofErr w:type="gramStart"/>
            <w:r w:rsidRPr="00E01A0A">
              <w:rPr>
                <w:rFonts w:ascii="Times New Roman" w:hAnsi="Times New Roman" w:cs="Times New Roman"/>
                <w:sz w:val="24"/>
                <w:szCs w:val="24"/>
                <w:lang w:val="sq-AL"/>
              </w:rPr>
              <w:t>C(</w:t>
            </w:r>
            <w:proofErr w:type="gramEnd"/>
            <w:r w:rsidRPr="00E01A0A">
              <w:rPr>
                <w:rFonts w:ascii="Times New Roman" w:hAnsi="Times New Roman" w:cs="Times New Roman"/>
                <w:sz w:val="24"/>
                <w:szCs w:val="24"/>
                <w:lang w:val="sq-AL"/>
              </w:rPr>
              <w:t>2018)0700), Neni. 7, të cilën Kuvendi duhet ta adresojë.</w:t>
            </w:r>
            <w:r w:rsidRPr="00E01A0A">
              <w:rPr>
                <w:rFonts w:ascii="Times New Roman" w:hAnsi="Times New Roman" w:cs="Times New Roman"/>
                <w:sz w:val="24"/>
                <w:szCs w:val="24"/>
              </w:rPr>
              <w:t xml:space="preserve"> </w:t>
            </w:r>
            <w:r w:rsidRPr="00E01A0A">
              <w:rPr>
                <w:rFonts w:ascii="Times New Roman" w:hAnsi="Times New Roman" w:cs="Times New Roman"/>
                <w:sz w:val="24"/>
                <w:szCs w:val="24"/>
                <w:lang w:val="sq-AL"/>
              </w:rPr>
              <w:t xml:space="preserve">Referuar aktivitetit të OSHC, ju informojmë se të gjitha OSHC ju bëhet thirrje nga Koordinatori i grupeve të interesit në Kuvend për rregjistrimin ose </w:t>
            </w:r>
            <w:r w:rsidRPr="00E01A0A">
              <w:rPr>
                <w:rFonts w:ascii="Times New Roman" w:hAnsi="Times New Roman" w:cs="Times New Roman"/>
                <w:sz w:val="24"/>
                <w:szCs w:val="24"/>
                <w:lang w:val="sq-AL"/>
              </w:rPr>
              <w:lastRenderedPageBreak/>
              <w:t>përditësimin e të dhënave të tyre por kuptohet që Kuvendi nuk heton mbi veprimtarinë e tyre. Ato japin dhe numer NIPT dhe nr e vendimit të themelimit ne gjykatë. Verifikimi i vetem që realizon Kuvendi është nqs eshte i rregjistruar apo jo tek Tatimet por jo nqs ka aktivitet me palë të tjera. Rregjistri përditesohet peridoikisht. Madje aktualisht është duke u përditësuar.</w:t>
            </w:r>
          </w:p>
          <w:p w:rsidR="0042000F" w:rsidRPr="00E01A0A" w:rsidRDefault="0042000F" w:rsidP="0042000F">
            <w:pPr>
              <w:spacing w:line="240" w:lineRule="auto"/>
              <w:jc w:val="both"/>
              <w:rPr>
                <w:rFonts w:ascii="Times New Roman" w:hAnsi="Times New Roman" w:cs="Times New Roman"/>
                <w:sz w:val="24"/>
                <w:szCs w:val="24"/>
                <w:lang w:val="sq-AL"/>
              </w:rPr>
            </w:pPr>
            <w:r w:rsidRPr="00E01A0A">
              <w:rPr>
                <w:rFonts w:ascii="Times New Roman" w:hAnsi="Times New Roman" w:cs="Times New Roman"/>
                <w:sz w:val="24"/>
                <w:szCs w:val="24"/>
                <w:lang w:val="sq-AL"/>
              </w:rPr>
              <w:t>Në vijim të miratimit të ndryshimeve ligjore të ligjit 15/2015 si dhe referuar sfidave sa i përket procesit të negociatave, përafrimit të legjislacionit me acquis, monitorimit të detyrimeve të anëtarësimit si dhe rritjes se kapaciteteve në këtë drejtim, Kuvendi ka miratuar ndryshimin e strukturës dhe ka krijuar Shërbimin e Integrimit Europian. Aktivitetet e KKIE transmentohen live në media pikërisht për të rritur ndërgjegjësimin mbi çështjet që diskutohen.</w:t>
            </w:r>
          </w:p>
          <w:p w:rsidR="0042000F" w:rsidRPr="00E01A0A" w:rsidRDefault="0042000F" w:rsidP="0042000F">
            <w:pPr>
              <w:spacing w:line="240" w:lineRule="auto"/>
              <w:jc w:val="both"/>
              <w:rPr>
                <w:rFonts w:ascii="Times New Roman" w:hAnsi="Times New Roman" w:cs="Times New Roman"/>
                <w:sz w:val="24"/>
                <w:szCs w:val="24"/>
                <w:lang w:val="sq-AL"/>
              </w:rPr>
            </w:pPr>
          </w:p>
          <w:p w:rsidR="0042000F" w:rsidRPr="00E01A0A" w:rsidRDefault="0042000F" w:rsidP="0042000F">
            <w:pPr>
              <w:spacing w:line="240" w:lineRule="auto"/>
              <w:jc w:val="both"/>
              <w:rPr>
                <w:rFonts w:ascii="Times New Roman" w:hAnsi="Times New Roman" w:cs="Times New Roman"/>
                <w:b/>
                <w:i/>
                <w:sz w:val="24"/>
                <w:szCs w:val="24"/>
              </w:rPr>
            </w:pPr>
            <w:r w:rsidRPr="00E01A0A">
              <w:rPr>
                <w:rFonts w:ascii="Times New Roman" w:hAnsi="Times New Roman" w:cs="Times New Roman"/>
                <w:sz w:val="24"/>
                <w:szCs w:val="24"/>
              </w:rPr>
              <w:t xml:space="preserve">-Instrumentat e kontrollit parlamentar përcaktohen nga rregullorja (pavarësisht se nuk janë përmendur të gjitha pasi është termi “etj” ku përshihen patjetër dhe komisionet hetimore) si të tilla dhe pse nuk mund të kemi një planifikim në shifra të përdorimit të tyre duke qenë se ato janë instrumenta që mund të përdoren nga deputetët. Ju bëjmë me dije se bazuar në </w:t>
            </w:r>
            <w:r w:rsidRPr="00E01A0A">
              <w:rPr>
                <w:rFonts w:ascii="Times New Roman" w:hAnsi="Times New Roman" w:cs="Times New Roman"/>
                <w:sz w:val="24"/>
                <w:szCs w:val="24"/>
              </w:rPr>
              <w:lastRenderedPageBreak/>
              <w:t>statistikat e Kuvendit rezulton se përgjatë viteve 2019-2022, instrumenti më i përdorur nga deputetët për kontroll parlamentar ishte ai “kërkesave me shkrim” dhe “interpelancave të kërkuara” drejtuar qeverisë dhe /apo institucioneve të saj të varësisë</w:t>
            </w:r>
            <w:r w:rsidRPr="00E01A0A">
              <w:rPr>
                <w:rFonts w:ascii="Times New Roman" w:hAnsi="Times New Roman" w:cs="Times New Roman"/>
                <w:b/>
                <w:i/>
                <w:sz w:val="24"/>
                <w:szCs w:val="24"/>
              </w:rPr>
              <w:t xml:space="preserve">. </w:t>
            </w:r>
          </w:p>
          <w:p w:rsidR="0042000F" w:rsidRPr="00E01A0A" w:rsidRDefault="0042000F" w:rsidP="0042000F">
            <w:pPr>
              <w:spacing w:line="240" w:lineRule="auto"/>
              <w:jc w:val="both"/>
              <w:rPr>
                <w:rFonts w:ascii="Times New Roman" w:hAnsi="Times New Roman" w:cs="Times New Roman"/>
                <w:b/>
                <w:i/>
                <w:sz w:val="24"/>
                <w:szCs w:val="24"/>
              </w:rPr>
            </w:pPr>
          </w:p>
          <w:p w:rsidR="0042000F" w:rsidRPr="00E01A0A" w:rsidRDefault="0042000F" w:rsidP="0042000F">
            <w:pPr>
              <w:spacing w:line="240" w:lineRule="auto"/>
              <w:jc w:val="both"/>
              <w:rPr>
                <w:rFonts w:ascii="Times New Roman" w:hAnsi="Times New Roman" w:cs="Times New Roman"/>
                <w:b/>
                <w:i/>
                <w:sz w:val="24"/>
                <w:szCs w:val="24"/>
              </w:rPr>
            </w:pPr>
            <w:r w:rsidRPr="00E01A0A">
              <w:rPr>
                <w:rFonts w:ascii="Times New Roman" w:hAnsi="Times New Roman" w:cs="Times New Roman"/>
                <w:b/>
                <w:i/>
                <w:sz w:val="24"/>
                <w:szCs w:val="24"/>
              </w:rPr>
              <w:t xml:space="preserve"> Në cdo legjislaturë të re si dhe gjatë sesioneve informuese, stafi i Kuvendit ju bënë me dije deputetëve, llojin dhe mënyrën e përdorimit të tyre.</w:t>
            </w:r>
          </w:p>
          <w:p w:rsidR="0042000F" w:rsidRPr="00E01A0A" w:rsidRDefault="0042000F" w:rsidP="0042000F">
            <w:pPr>
              <w:spacing w:line="240" w:lineRule="auto"/>
              <w:jc w:val="both"/>
              <w:rPr>
                <w:rFonts w:ascii="Times New Roman" w:hAnsi="Times New Roman" w:cs="Times New Roman"/>
                <w:b/>
                <w:i/>
                <w:sz w:val="24"/>
                <w:szCs w:val="24"/>
                <w:lang w:val="sq-AL"/>
              </w:rPr>
            </w:pPr>
          </w:p>
          <w:p w:rsidR="0042000F" w:rsidRPr="00E01A0A" w:rsidRDefault="0042000F" w:rsidP="0042000F">
            <w:pPr>
              <w:spacing w:line="240" w:lineRule="auto"/>
              <w:jc w:val="both"/>
              <w:rPr>
                <w:rFonts w:ascii="Times New Roman" w:hAnsi="Times New Roman" w:cs="Times New Roman"/>
                <w:sz w:val="24"/>
                <w:szCs w:val="24"/>
                <w:lang w:val="sq-AL"/>
              </w:rPr>
            </w:pPr>
            <w:r w:rsidRPr="00E01A0A">
              <w:rPr>
                <w:rFonts w:ascii="Times New Roman" w:hAnsi="Times New Roman" w:cs="Times New Roman"/>
                <w:sz w:val="24"/>
                <w:szCs w:val="24"/>
                <w:lang w:val="sq-AL"/>
              </w:rPr>
              <w:t>Publikimi i raporteve të Komisioneve bëhet rregullisht pasi ato firmosen pas shqyrtimit të projektligjeve në faqen e Kuvendit.  Një shembull e keni më poshtë:</w:t>
            </w:r>
          </w:p>
          <w:p w:rsidR="0042000F" w:rsidRPr="00E01A0A" w:rsidRDefault="00494FFA" w:rsidP="0042000F">
            <w:pPr>
              <w:spacing w:line="240" w:lineRule="auto"/>
              <w:jc w:val="both"/>
              <w:rPr>
                <w:rFonts w:ascii="Times New Roman" w:hAnsi="Times New Roman" w:cs="Times New Roman"/>
                <w:sz w:val="24"/>
                <w:szCs w:val="24"/>
                <w:lang w:val="sq-AL"/>
              </w:rPr>
            </w:pPr>
            <w:hyperlink r:id="rId16" w:history="1">
              <w:r w:rsidR="0042000F" w:rsidRPr="00E01A0A">
                <w:rPr>
                  <w:rStyle w:val="Hyperlink"/>
                  <w:rFonts w:ascii="Times New Roman" w:hAnsi="Times New Roman" w:cs="Times New Roman"/>
                  <w:color w:val="auto"/>
                  <w:sz w:val="24"/>
                  <w:szCs w:val="24"/>
                  <w:lang w:val="sq-AL"/>
                </w:rPr>
                <w:t>https://www.parlament.al/dokumentacioni/aktet/03270df6-c171-43b0-922a-bb42f1f16644</w:t>
              </w:r>
            </w:hyperlink>
          </w:p>
          <w:p w:rsidR="0042000F" w:rsidRPr="00E01A0A" w:rsidRDefault="0042000F" w:rsidP="0042000F">
            <w:pPr>
              <w:spacing w:line="240" w:lineRule="auto"/>
              <w:jc w:val="both"/>
              <w:rPr>
                <w:rFonts w:ascii="Times New Roman" w:hAnsi="Times New Roman" w:cs="Times New Roman"/>
                <w:sz w:val="24"/>
                <w:szCs w:val="24"/>
                <w:lang w:val="sq-AL"/>
              </w:rPr>
            </w:pPr>
          </w:p>
          <w:p w:rsidR="0042000F" w:rsidRPr="00E01A0A" w:rsidRDefault="0042000F" w:rsidP="0042000F">
            <w:pPr>
              <w:spacing w:line="240" w:lineRule="auto"/>
              <w:jc w:val="both"/>
              <w:rPr>
                <w:rFonts w:ascii="Times New Roman" w:hAnsi="Times New Roman" w:cs="Times New Roman"/>
                <w:sz w:val="24"/>
                <w:szCs w:val="24"/>
                <w:lang w:val="sq-AL"/>
              </w:rPr>
            </w:pPr>
          </w:p>
          <w:p w:rsidR="0042000F" w:rsidRPr="00E01A0A" w:rsidRDefault="0042000F" w:rsidP="0042000F">
            <w:pPr>
              <w:spacing w:line="240" w:lineRule="auto"/>
              <w:jc w:val="both"/>
              <w:rPr>
                <w:rFonts w:ascii="Times New Roman" w:hAnsi="Times New Roman" w:cs="Times New Roman"/>
                <w:sz w:val="24"/>
                <w:szCs w:val="24"/>
                <w:lang w:val="sq-AL"/>
              </w:rPr>
            </w:pPr>
            <w:r w:rsidRPr="00E01A0A">
              <w:rPr>
                <w:rFonts w:ascii="Times New Roman" w:hAnsi="Times New Roman" w:cs="Times New Roman"/>
                <w:sz w:val="24"/>
                <w:szCs w:val="24"/>
                <w:lang w:val="sq-AL"/>
              </w:rPr>
              <w:t xml:space="preserve">-Ka disa instrumenta të cilat janë dhe on line si rregjistri i dhuratave, rregjistri i deklarimit të konfliktit të interesave, deklarimit te veprimtarive të mbuluar nga të tretët, publikimi i shpenzimeve të deputeteve etj të cilat janë në faqen e Kuvendit dhe grantojnë si transparencën dhe llogaridhënien e deputetëve ndaj qytetarëve.  </w:t>
            </w:r>
          </w:p>
          <w:p w:rsidR="0042000F" w:rsidRPr="00E01A0A" w:rsidRDefault="0042000F" w:rsidP="0042000F">
            <w:pPr>
              <w:spacing w:line="240" w:lineRule="auto"/>
              <w:jc w:val="both"/>
              <w:rPr>
                <w:rFonts w:ascii="Times New Roman" w:hAnsi="Times New Roman" w:cs="Times New Roman"/>
                <w:sz w:val="24"/>
                <w:szCs w:val="24"/>
                <w:lang w:val="sq-AL"/>
              </w:rPr>
            </w:pPr>
            <w:r w:rsidRPr="00E01A0A">
              <w:rPr>
                <w:rFonts w:ascii="Times New Roman" w:hAnsi="Times New Roman" w:cs="Times New Roman"/>
                <w:sz w:val="24"/>
                <w:szCs w:val="24"/>
                <w:lang w:val="sq-AL"/>
              </w:rPr>
              <w:t>Për pagat dhe përfitimet</w:t>
            </w:r>
          </w:p>
          <w:p w:rsidR="0042000F" w:rsidRPr="00E01A0A" w:rsidRDefault="00494FFA" w:rsidP="0042000F">
            <w:pPr>
              <w:spacing w:line="240" w:lineRule="auto"/>
              <w:jc w:val="both"/>
              <w:rPr>
                <w:rStyle w:val="Hyperlink"/>
                <w:rFonts w:ascii="Times New Roman" w:hAnsi="Times New Roman" w:cs="Times New Roman"/>
                <w:color w:val="auto"/>
                <w:sz w:val="24"/>
                <w:szCs w:val="24"/>
              </w:rPr>
            </w:pPr>
            <w:hyperlink r:id="rId17" w:anchor="doku" w:history="1">
              <w:r w:rsidR="0042000F" w:rsidRPr="00E01A0A">
                <w:rPr>
                  <w:rStyle w:val="Hyperlink"/>
                  <w:rFonts w:ascii="Times New Roman" w:eastAsia="MingLiU-ExtB" w:hAnsi="Times New Roman" w:cs="Times New Roman"/>
                  <w:color w:val="auto"/>
                  <w:sz w:val="24"/>
                  <w:szCs w:val="24"/>
                  <w:lang w:val="sq-AL"/>
                </w:rPr>
                <w:t>https://parlament.al/struktura/67d6663d-5f74-4836-b7b8-ec0c88bf1419/#doku</w:t>
              </w:r>
            </w:hyperlink>
          </w:p>
          <w:p w:rsidR="0042000F" w:rsidRPr="00E01A0A" w:rsidRDefault="0042000F" w:rsidP="0042000F">
            <w:pPr>
              <w:spacing w:line="240" w:lineRule="auto"/>
              <w:jc w:val="both"/>
              <w:rPr>
                <w:rFonts w:ascii="Times New Roman" w:hAnsi="Times New Roman" w:cs="Times New Roman"/>
                <w:sz w:val="24"/>
                <w:szCs w:val="24"/>
                <w:lang w:val="sq-AL"/>
              </w:rPr>
            </w:pPr>
            <w:r w:rsidRPr="00E01A0A">
              <w:rPr>
                <w:rFonts w:ascii="Times New Roman" w:hAnsi="Times New Roman" w:cs="Times New Roman"/>
                <w:sz w:val="24"/>
                <w:szCs w:val="24"/>
                <w:lang w:val="sq-AL"/>
              </w:rPr>
              <w:lastRenderedPageBreak/>
              <w:t>Për rregjistrin e deklarimit të konfliktit të interesave</w:t>
            </w:r>
          </w:p>
          <w:p w:rsidR="0042000F" w:rsidRPr="00E01A0A" w:rsidRDefault="00494FFA" w:rsidP="0042000F">
            <w:pPr>
              <w:spacing w:line="240" w:lineRule="auto"/>
              <w:jc w:val="both"/>
              <w:rPr>
                <w:rStyle w:val="Hyperlink"/>
                <w:rFonts w:ascii="Times New Roman" w:hAnsi="Times New Roman" w:cs="Times New Roman"/>
                <w:color w:val="auto"/>
                <w:sz w:val="24"/>
                <w:szCs w:val="24"/>
              </w:rPr>
            </w:pPr>
            <w:hyperlink r:id="rId18" w:anchor="doku" w:history="1">
              <w:r w:rsidR="0042000F" w:rsidRPr="00E01A0A">
                <w:rPr>
                  <w:rStyle w:val="Hyperlink"/>
                  <w:rFonts w:ascii="Times New Roman" w:eastAsia="MingLiU-ExtB" w:hAnsi="Times New Roman" w:cs="Times New Roman"/>
                  <w:color w:val="auto"/>
                  <w:sz w:val="24"/>
                  <w:szCs w:val="24"/>
                  <w:lang w:val="sq-AL"/>
                </w:rPr>
                <w:t>https://parlament.al/struktura/1cd4218c-b5cf-4a59-895f-b92291c0f5da/#doku</w:t>
              </w:r>
            </w:hyperlink>
          </w:p>
          <w:p w:rsidR="0042000F" w:rsidRPr="00E01A0A" w:rsidRDefault="0042000F" w:rsidP="0042000F">
            <w:pPr>
              <w:pBdr>
                <w:left w:val="single" w:sz="18" w:space="23" w:color="D90A1B"/>
              </w:pBdr>
              <w:spacing w:line="240" w:lineRule="auto"/>
              <w:outlineLvl w:val="1"/>
              <w:rPr>
                <w:rFonts w:ascii="Times New Roman" w:hAnsi="Times New Roman" w:cs="Times New Roman"/>
                <w:sz w:val="24"/>
                <w:szCs w:val="24"/>
                <w:lang w:val="sq-AL"/>
              </w:rPr>
            </w:pPr>
            <w:r w:rsidRPr="00E01A0A">
              <w:rPr>
                <w:rFonts w:ascii="Times New Roman" w:hAnsi="Times New Roman" w:cs="Times New Roman"/>
                <w:sz w:val="24"/>
                <w:szCs w:val="24"/>
                <w:lang w:val="sq-AL"/>
              </w:rPr>
              <w:t>Deklarime të deputetëve për pjesëmarrje në veprimtaritë e organizuara nga të tretë</w:t>
            </w:r>
          </w:p>
          <w:p w:rsidR="0042000F" w:rsidRPr="00E01A0A" w:rsidRDefault="00494FFA" w:rsidP="0042000F">
            <w:pPr>
              <w:spacing w:line="240" w:lineRule="auto"/>
              <w:jc w:val="both"/>
              <w:rPr>
                <w:rFonts w:ascii="Times New Roman" w:eastAsia="MingLiU-ExtB" w:hAnsi="Times New Roman" w:cs="Times New Roman"/>
                <w:sz w:val="24"/>
                <w:szCs w:val="24"/>
                <w:lang w:val="sq-AL"/>
              </w:rPr>
            </w:pPr>
            <w:hyperlink r:id="rId19" w:anchor="doku" w:history="1">
              <w:r w:rsidR="0042000F" w:rsidRPr="00E01A0A">
                <w:rPr>
                  <w:rStyle w:val="Hyperlink"/>
                  <w:rFonts w:ascii="Times New Roman" w:eastAsia="MingLiU-ExtB" w:hAnsi="Times New Roman" w:cs="Times New Roman"/>
                  <w:color w:val="auto"/>
                  <w:sz w:val="24"/>
                  <w:szCs w:val="24"/>
                  <w:lang w:val="sq-AL"/>
                </w:rPr>
                <w:t>https://parlament.al/struktura/1cd4218c-b5cf-4a59-895f-b92291c0f5da/#doku</w:t>
              </w:r>
            </w:hyperlink>
          </w:p>
          <w:p w:rsidR="0042000F" w:rsidRPr="00E01A0A" w:rsidRDefault="0042000F" w:rsidP="0042000F">
            <w:pPr>
              <w:spacing w:line="240" w:lineRule="auto"/>
              <w:jc w:val="both"/>
              <w:rPr>
                <w:rFonts w:ascii="Times New Roman" w:eastAsia="MingLiU-ExtB" w:hAnsi="Times New Roman" w:cs="Times New Roman"/>
                <w:sz w:val="24"/>
                <w:szCs w:val="24"/>
                <w:lang w:val="sq-AL"/>
              </w:rPr>
            </w:pPr>
          </w:p>
          <w:p w:rsidR="0042000F" w:rsidRPr="00E01A0A" w:rsidRDefault="0042000F" w:rsidP="0042000F">
            <w:pPr>
              <w:pStyle w:val="Paragrafi"/>
              <w:spacing w:after="240"/>
              <w:ind w:firstLine="0"/>
              <w:rPr>
                <w:rFonts w:ascii="Times New Roman" w:hAnsi="Times New Roman"/>
                <w:sz w:val="24"/>
                <w:szCs w:val="24"/>
                <w:lang w:val="sq-AL"/>
              </w:rPr>
            </w:pPr>
            <w:r w:rsidRPr="00E01A0A">
              <w:rPr>
                <w:rFonts w:ascii="Times New Roman" w:hAnsi="Times New Roman"/>
                <w:sz w:val="24"/>
                <w:szCs w:val="24"/>
                <w:lang w:val="sq-AL"/>
              </w:rPr>
              <w:t xml:space="preserve">-Faqja “Pyet deputetin” ka si qëllim për ti dhënë shoqërisë civile dhe qytetarëve mundësinë e komunikimit të drejtëpërdrejtë me deputetët, në përputhje dhe me vetë synimin e këtij mekanizmi. Është e rëndësishme të theksohet se kjo rubrikë administrohet tërësisht nga vetë deputetët. Pjesa e aktivizimit në kthimin e përgjigjes varet dhe nga koha që ata kanë në dispozicion për tu përgjigjur në këtë rubrikë por kjo e fundit shërben si një instrument efikas për të kontaktuar me ta. </w:t>
            </w:r>
          </w:p>
          <w:p w:rsidR="0042000F" w:rsidRPr="00E01A0A" w:rsidRDefault="0042000F" w:rsidP="0042000F">
            <w:pPr>
              <w:spacing w:after="160" w:line="259" w:lineRule="auto"/>
              <w:jc w:val="both"/>
              <w:rPr>
                <w:rFonts w:ascii="Times New Roman" w:hAnsi="Times New Roman" w:cs="Times New Roman"/>
                <w:sz w:val="24"/>
                <w:szCs w:val="24"/>
                <w:lang w:val="sq-AL"/>
              </w:rPr>
            </w:pPr>
            <w:r w:rsidRPr="00E01A0A">
              <w:rPr>
                <w:rFonts w:ascii="Times New Roman" w:eastAsia="Times New Roman" w:hAnsi="Times New Roman" w:cs="Times New Roman"/>
                <w:sz w:val="24"/>
                <w:szCs w:val="24"/>
                <w:lang w:val="sq-AL"/>
              </w:rPr>
              <w:t>- Të gjitha masat e Kuvendit të cilat janë pjese e roadmap për FDI, janë të miratuara në Konferencë e Kryetarëve, të cilët janë të ndërgjegjësuar dhe mbi detyrimin që kanë për zbatimin e tyre</w:t>
            </w:r>
          </w:p>
          <w:p w:rsidR="0042000F" w:rsidRPr="00E01A0A" w:rsidRDefault="0042000F" w:rsidP="0042000F">
            <w:pPr>
              <w:spacing w:after="160" w:line="259" w:lineRule="auto"/>
              <w:jc w:val="both"/>
              <w:rPr>
                <w:rFonts w:ascii="Times New Roman" w:hAnsi="Times New Roman" w:cs="Times New Roman"/>
                <w:sz w:val="24"/>
                <w:szCs w:val="24"/>
                <w:lang w:val="sq-AL"/>
              </w:rPr>
            </w:pPr>
          </w:p>
          <w:p w:rsidR="0042000F" w:rsidRPr="00E01A0A" w:rsidRDefault="0042000F" w:rsidP="0042000F">
            <w:pPr>
              <w:spacing w:after="160" w:line="259" w:lineRule="auto"/>
              <w:jc w:val="both"/>
              <w:rPr>
                <w:rFonts w:ascii="Times New Roman" w:hAnsi="Times New Roman" w:cs="Times New Roman"/>
                <w:sz w:val="24"/>
                <w:szCs w:val="24"/>
                <w:lang w:val="sq-AL"/>
              </w:rPr>
            </w:pPr>
          </w:p>
        </w:tc>
      </w:tr>
      <w:tr w:rsidR="0042000F" w:rsidRPr="00E01A0A" w:rsidTr="00C74183">
        <w:trPr>
          <w:trHeight w:val="1338"/>
        </w:trPr>
        <w:tc>
          <w:tcPr>
            <w:tcW w:w="3420" w:type="dxa"/>
            <w:shd w:val="clear" w:color="auto" w:fill="auto"/>
            <w:tcMar>
              <w:top w:w="100" w:type="dxa"/>
              <w:left w:w="100" w:type="dxa"/>
              <w:bottom w:w="100" w:type="dxa"/>
              <w:right w:w="100" w:type="dxa"/>
            </w:tcMar>
          </w:tcPr>
          <w:p w:rsidR="0042000F" w:rsidRPr="00E01A0A" w:rsidRDefault="0042000F" w:rsidP="0042000F">
            <w:pPr>
              <w:spacing w:after="120" w:line="240" w:lineRule="auto"/>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Cs/>
                <w:sz w:val="24"/>
                <w:szCs w:val="24"/>
                <w:lang w:val="it-IT"/>
              </w:rPr>
              <w:lastRenderedPageBreak/>
              <w:t>Komiteti Shqiptar i Helsinkit</w:t>
            </w:r>
          </w:p>
        </w:tc>
        <w:tc>
          <w:tcPr>
            <w:tcW w:w="4610" w:type="dxa"/>
          </w:tcPr>
          <w:p w:rsidR="0042000F" w:rsidRPr="00E01A0A" w:rsidRDefault="0042000F" w:rsidP="0042000F">
            <w:pPr>
              <w:pStyle w:val="Paragrafi"/>
              <w:numPr>
                <w:ilvl w:val="0"/>
                <w:numId w:val="28"/>
              </w:numPr>
              <w:spacing w:after="240"/>
              <w:rPr>
                <w:rFonts w:ascii="Times New Roman" w:hAnsi="Times New Roman"/>
                <w:b/>
                <w:sz w:val="24"/>
                <w:szCs w:val="24"/>
                <w:lang w:val="sq-AL"/>
              </w:rPr>
            </w:pPr>
            <w:r w:rsidRPr="00E01A0A">
              <w:rPr>
                <w:rFonts w:ascii="Times New Roman" w:hAnsi="Times New Roman"/>
                <w:b/>
                <w:sz w:val="24"/>
                <w:szCs w:val="24"/>
                <w:lang w:val="sq-AL"/>
              </w:rPr>
              <w:t>“Shoqëria Civile”:</w:t>
            </w:r>
          </w:p>
          <w:p w:rsidR="0042000F" w:rsidRPr="00E01A0A" w:rsidRDefault="0042000F" w:rsidP="0042000F">
            <w:pPr>
              <w:pStyle w:val="Paragrafi"/>
              <w:spacing w:after="240"/>
              <w:ind w:firstLine="0"/>
              <w:rPr>
                <w:rFonts w:ascii="Times New Roman" w:hAnsi="Times New Roman"/>
                <w:sz w:val="24"/>
                <w:szCs w:val="24"/>
                <w:lang w:val="sq-AL"/>
              </w:rPr>
            </w:pPr>
            <w:r w:rsidRPr="00E01A0A">
              <w:rPr>
                <w:rFonts w:ascii="Times New Roman" w:hAnsi="Times New Roman"/>
                <w:sz w:val="24"/>
                <w:szCs w:val="24"/>
                <w:lang w:val="sq-AL"/>
              </w:rPr>
              <w:t xml:space="preserve">Sa kohë që amendimi i kuadrit ligjor për Këshillin Kombëtar të Shoqërisë Civile (KKSHC) parashikohet si një masë strategjike, sugjerojmë reflektimin e hapave konkretë lidhur me zbatueshmërinë e saj, pasi në projekt-aktin e konsultuar rezultojnë plotësisht të munguara. Rregullimi i ri ligjor i KKSHC duhet të parashikojë rritjen e përpjekjeve efektive, për konsolidimin e bashkëpunimit, konsultimit dhe koordinimit institucional ndërmjet aktorëve të shoqërisë civile. Me synim mirëfunksionimin e mekanizmit monitorues të udhërrëfyesit të miratuar për një mjedis të favorshëm për shoqërinë civile, sugjerojmë marrjen e masave për organizimin e një forumi konsultativ mbi baza periodike, me synim ndërmjetësimin e dialogut, shkëmbimin e perspektivave të ndryshme dhe kontribuimin në zhvillimin e një kornize të fuqishme monitorimi. </w:t>
            </w:r>
          </w:p>
          <w:p w:rsidR="0042000F" w:rsidRPr="00E01A0A" w:rsidRDefault="0042000F" w:rsidP="0042000F">
            <w:pPr>
              <w:pStyle w:val="Paragrafi"/>
              <w:spacing w:after="240"/>
              <w:ind w:firstLine="0"/>
              <w:rPr>
                <w:rFonts w:ascii="Times New Roman" w:hAnsi="Times New Roman"/>
                <w:sz w:val="24"/>
                <w:szCs w:val="24"/>
                <w:lang w:val="sq-AL"/>
              </w:rPr>
            </w:pPr>
            <w:r w:rsidRPr="00E01A0A">
              <w:rPr>
                <w:rFonts w:ascii="Times New Roman" w:hAnsi="Times New Roman"/>
                <w:sz w:val="24"/>
                <w:szCs w:val="24"/>
                <w:lang w:val="sq-AL"/>
              </w:rPr>
              <w:t xml:space="preserve">Është e rekomandueshme që ndryshimet ligjore lidhur me përbërjen dhe funksionimin e KKSHC-së të shoqërohen me fuqizimin e kapacitetit të një njësie task-forcë përgjegjëse monitoruese, të pozicionuar në rol vlerësues, asnjanës dhe objektiv, e jo me detyra konkrete në Këshill. Rritja e kapaciteteve të tyre mund të realizohet nëpërmjet programeve të trajnimit vazhdues mbi kuadrin ligjor të amenduar, metodologjitë monitoruese dhe lehtësimin e risqeve. Ngritja e një njësie me </w:t>
            </w:r>
            <w:r w:rsidRPr="00E01A0A">
              <w:rPr>
                <w:rFonts w:ascii="Times New Roman" w:hAnsi="Times New Roman"/>
                <w:sz w:val="24"/>
                <w:szCs w:val="24"/>
                <w:lang w:val="sq-AL"/>
              </w:rPr>
              <w:lastRenderedPageBreak/>
              <w:t xml:space="preserve">ekspertizë në fushën ligjore dhe atë rregullatore do të ishte e rekomandueshme. </w:t>
            </w:r>
          </w:p>
          <w:p w:rsidR="0042000F" w:rsidRPr="00E01A0A" w:rsidRDefault="0042000F" w:rsidP="0042000F">
            <w:pPr>
              <w:pStyle w:val="Paragrafi"/>
              <w:spacing w:after="240"/>
              <w:ind w:firstLine="0"/>
              <w:rPr>
                <w:rFonts w:ascii="Times New Roman" w:hAnsi="Times New Roman"/>
                <w:sz w:val="24"/>
                <w:szCs w:val="24"/>
                <w:lang w:val="sq-AL"/>
              </w:rPr>
            </w:pPr>
            <w:r w:rsidRPr="00E01A0A">
              <w:rPr>
                <w:rFonts w:ascii="Times New Roman" w:hAnsi="Times New Roman"/>
                <w:sz w:val="24"/>
                <w:szCs w:val="24"/>
                <w:lang w:val="sq-AL"/>
              </w:rPr>
              <w:t>Rekomandohet parashikimi i funksionalitetit të plotë të mekanizmave administrues në zbatimin e dokumentacionit të standardizuar dhe jetësimin e një sistemi raportimi periodik, të aftë për të dokumentuar progresin, sfidat dhe arritjet cilësore e rezultative të udhërrëfyesit të implementuar. Rritja e kapaciteteve të stafit përgjegjës të Këshillit për publikimin e të dhënave të këtyre raporteve, si dhe përditësimin sistematik të informacionit në faqen zyrtare/platformën publike të Këshillit ndihmon në promovimin e transparencës.</w:t>
            </w:r>
          </w:p>
          <w:p w:rsidR="0042000F" w:rsidRPr="00E01A0A" w:rsidRDefault="0042000F" w:rsidP="0042000F">
            <w:pPr>
              <w:pStyle w:val="Paragrafi"/>
              <w:spacing w:after="240"/>
              <w:ind w:firstLine="0"/>
              <w:rPr>
                <w:rFonts w:ascii="Times New Roman" w:hAnsi="Times New Roman"/>
                <w:sz w:val="24"/>
                <w:szCs w:val="24"/>
                <w:lang w:val="sq-AL"/>
              </w:rPr>
            </w:pPr>
            <w:r w:rsidRPr="00E01A0A">
              <w:rPr>
                <w:rFonts w:ascii="Times New Roman" w:hAnsi="Times New Roman"/>
                <w:sz w:val="24"/>
                <w:szCs w:val="24"/>
                <w:lang w:val="sq-AL"/>
              </w:rPr>
              <w:t>Për shkak të misionit të KSHH në dhënien e kontributit për respektimin e  të drejtave dhe lirive të shtetasve, nëpërmjet luajtjes së rolit proaktiv monitorues</w:t>
            </w:r>
            <w:r w:rsidRPr="00E01A0A">
              <w:rPr>
                <w:rFonts w:ascii="Times New Roman" w:hAnsi="Times New Roman"/>
                <w:i/>
                <w:sz w:val="24"/>
                <w:szCs w:val="24"/>
                <w:lang w:val="sq-AL"/>
              </w:rPr>
              <w:t xml:space="preserve"> </w:t>
            </w:r>
            <w:r w:rsidRPr="00E01A0A">
              <w:rPr>
                <w:rFonts w:ascii="Times New Roman" w:hAnsi="Times New Roman"/>
                <w:sz w:val="24"/>
                <w:szCs w:val="24"/>
                <w:lang w:val="sq-AL"/>
              </w:rPr>
              <w:t>sugjerojmë mbajtjen në konsideratë në përmirësimin e procedurave administrative të procesit të dhënies së granteve të AMSHC-së ndaj OSHC-ve, duke ruajtur dhe promovuar pavarësinë e individualitetit e tyre si organizma joqeveritarë. Funksionaliteti i plotë i platformës online të grant-dhënies duhet të mundësojë mirë-funksionimin e mekanizmave të shqyrtimit të ankesave, si dhe ndjekjen periodike në mënyrë transparente të të gjithë procesit të shqyrtimit të një projekt-ideje. Marrja e masave konkrete për promovimin e fuqizimit të partneritetit publik-</w:t>
            </w:r>
            <w:r w:rsidRPr="00E01A0A">
              <w:rPr>
                <w:rFonts w:ascii="Times New Roman" w:hAnsi="Times New Roman"/>
                <w:sz w:val="24"/>
                <w:szCs w:val="24"/>
                <w:lang w:val="sq-AL"/>
              </w:rPr>
              <w:lastRenderedPageBreak/>
              <w:t xml:space="preserve">privat (PPP) dhe formave inovatore të Obligacioneve të Ndikimit Social (ONS) do të shërbente në forcimin e qëndrueshmërisë së shoqërisë civile, fokusuar në ato të përfshira në programe sociale kundrejt grupeve vulnerabël e atyre të margjinalizuara. </w:t>
            </w:r>
          </w:p>
          <w:p w:rsidR="0042000F" w:rsidRPr="00E01A0A" w:rsidRDefault="0042000F" w:rsidP="0042000F">
            <w:pPr>
              <w:pStyle w:val="Paragrafi"/>
              <w:spacing w:after="240"/>
              <w:ind w:firstLine="0"/>
              <w:rPr>
                <w:rFonts w:ascii="Times New Roman" w:hAnsi="Times New Roman"/>
                <w:sz w:val="24"/>
                <w:szCs w:val="24"/>
                <w:lang w:val="sq-AL"/>
              </w:rPr>
            </w:pPr>
            <w:r w:rsidRPr="00E01A0A">
              <w:rPr>
                <w:rFonts w:ascii="Times New Roman" w:hAnsi="Times New Roman"/>
                <w:sz w:val="24"/>
                <w:szCs w:val="24"/>
                <w:lang w:val="sq-AL"/>
              </w:rPr>
              <w:t>Sa i përket kornizës kombëtare për OSHC-të, vlerësojmë se duhet shtuar marrja e masës strategjike për ndryshimin e ligjit nr. 81/2020 “Për regjistrimin e organizatave jofitimprurëse” në përputhje me vendimmarrjen e shpallur më dt. 20.11.2023, lidhur me pranimin e pjesshëm të kërkesës së depozituar nga KSHH mbi shfuqizimin e disa prej dispozitave cënuese të lirisë së organizimit.</w:t>
            </w:r>
            <w:r w:rsidRPr="00E01A0A">
              <w:rPr>
                <w:rStyle w:val="FootnoteReference"/>
                <w:rFonts w:ascii="Times New Roman" w:hAnsi="Times New Roman"/>
                <w:sz w:val="24"/>
                <w:szCs w:val="24"/>
                <w:lang w:val="sq-AL"/>
              </w:rPr>
              <w:footnoteReference w:id="2"/>
            </w:r>
            <w:r w:rsidRPr="00E01A0A">
              <w:rPr>
                <w:rFonts w:ascii="Times New Roman" w:hAnsi="Times New Roman"/>
                <w:sz w:val="24"/>
                <w:szCs w:val="24"/>
                <w:lang w:val="sq-AL"/>
              </w:rPr>
              <w:t xml:space="preserve"> Sugjerojmë ndryshimin e afatit të përcaktuar lidhur me funksionalitetin e regjistrit elektronik të OJF-ve, pasi ky regjistër nuk ka qenë funksional brenda vitit 2023</w:t>
            </w:r>
            <w:r w:rsidRPr="00E01A0A">
              <w:rPr>
                <w:rStyle w:val="FootnoteReference"/>
                <w:rFonts w:ascii="Times New Roman" w:hAnsi="Times New Roman"/>
                <w:sz w:val="24"/>
                <w:szCs w:val="24"/>
                <w:lang w:val="sq-AL"/>
              </w:rPr>
              <w:footnoteReference w:id="3"/>
            </w:r>
            <w:r w:rsidRPr="00E01A0A">
              <w:rPr>
                <w:rFonts w:ascii="Times New Roman" w:hAnsi="Times New Roman"/>
                <w:sz w:val="24"/>
                <w:szCs w:val="24"/>
                <w:lang w:val="sq-AL"/>
              </w:rPr>
              <w:t xml:space="preserve">, pavarësisht se vendimi i KLGJ-së nr. 35/2022, ka përcaktuar afatin 30 dhjetor 2023 si datë e vënies në funksion të tij. I njëjti sugjerim vlen për ndryshimin e afatit të masës zbatuese, sa i përket kapaciteteve të KLGJ-së për të siguruar funksionimin e sistemit dixhital për regjistrimin e OSHC-ve, të cilat nuk vlerësohen si të përmbushura brenda vitit 2023. Sugjerojmë gjithashtu që çdo ndryshim në këtë ligj apo ligje të tjera që prekin sektorin e OSHC-ve, të konsultohet paraprakisht dhe </w:t>
            </w:r>
            <w:r w:rsidRPr="00E01A0A">
              <w:rPr>
                <w:rFonts w:ascii="Times New Roman" w:hAnsi="Times New Roman"/>
                <w:sz w:val="24"/>
                <w:szCs w:val="24"/>
                <w:lang w:val="sq-AL"/>
              </w:rPr>
              <w:lastRenderedPageBreak/>
              <w:t xml:space="preserve">efektivisht, duke shmangur praktikën jopozitive të miratimit të këtij ligji, i cili u konsultua në afate të ngushta kohore dhe nuk pati asnjë reagim për sugjerimet/rekomandimet e pranuara apo të refuzuara nga Ministria e Drejtësisë. </w:t>
            </w:r>
          </w:p>
          <w:p w:rsidR="0042000F" w:rsidRPr="00E01A0A" w:rsidRDefault="0042000F" w:rsidP="0042000F">
            <w:pPr>
              <w:pStyle w:val="Paragrafi"/>
              <w:spacing w:after="240"/>
              <w:ind w:firstLine="0"/>
              <w:rPr>
                <w:rFonts w:ascii="Times New Roman" w:hAnsi="Times New Roman"/>
                <w:sz w:val="24"/>
                <w:szCs w:val="24"/>
                <w:lang w:val="sq-AL"/>
              </w:rPr>
            </w:pPr>
            <w:r w:rsidRPr="00E01A0A">
              <w:rPr>
                <w:rFonts w:ascii="Times New Roman" w:hAnsi="Times New Roman"/>
                <w:sz w:val="24"/>
                <w:szCs w:val="24"/>
                <w:lang w:val="sq-AL"/>
              </w:rPr>
              <w:t xml:space="preserve">Rekomandojmë harmonizimin e parashikimeve strategjike të reflektuara në projekt-akte të ndryshme, duke mbajtur në konsideratë standardet më të mira të reflektuara në Partneritetin për Qeverisje të Hapur (OGP) dhe Planin e Veprimit 2022-2024 të hartuar për këtë qëllim. Sugjerojmë përfshirjen në procese të konsultimit publik të një fushe më të zgjeruar të projekt-akteve (përfshirë ato të qeverisë), ndërkohë që sugjerojmë fuqizimin e mekanizmave të shmangies së formalizmave dhe fuqizimit e promovimit të eficencës së procesit nëpërmjet përfshirjes demokratike e promovimit të pjesëmarrjes qytetare në politikëbërje. </w:t>
            </w:r>
          </w:p>
          <w:p w:rsidR="0042000F" w:rsidRPr="00E01A0A" w:rsidRDefault="0042000F" w:rsidP="0042000F">
            <w:pPr>
              <w:pStyle w:val="Paragrafi"/>
              <w:spacing w:after="240"/>
              <w:ind w:firstLine="0"/>
              <w:rPr>
                <w:rFonts w:ascii="Times New Roman" w:hAnsi="Times New Roman"/>
                <w:sz w:val="24"/>
                <w:szCs w:val="24"/>
                <w:lang w:val="sq-AL"/>
              </w:rPr>
            </w:pPr>
            <w:r w:rsidRPr="00E01A0A">
              <w:rPr>
                <w:rFonts w:ascii="Times New Roman" w:hAnsi="Times New Roman"/>
                <w:sz w:val="24"/>
                <w:szCs w:val="24"/>
                <w:lang w:val="sq-AL"/>
              </w:rPr>
              <w:t xml:space="preserve">Ndërkohë që mbetet për t’u qartësuar se cilat do të jenë mjetet digjitale që do të përdoren për të siguruar një konsultim më të gjerë publik, sugjerojmë marrjen e masave për publikimin rigoroz dhe konform parashikimeve ligjore të ligjit nr.146/2014 të raporteve të transparencës në procesin vendimmarrës. Rekomandojmë marrjen e masave për garantimin e qëndrueshmërisë së koordinatorëve për njoftimin dhe konsultimin publik në secilin institucion përgjegjës dhe ky pozicion të </w:t>
            </w:r>
            <w:r w:rsidRPr="00E01A0A">
              <w:rPr>
                <w:rFonts w:ascii="Times New Roman" w:hAnsi="Times New Roman"/>
                <w:sz w:val="24"/>
                <w:szCs w:val="24"/>
                <w:lang w:val="sq-AL"/>
              </w:rPr>
              <w:lastRenderedPageBreak/>
              <w:t xml:space="preserve">ushtrohet nga nëpunës civilë të nivelit të mesëm ose të lartë drejtues, për të siguruar ushtrimin e autoritetit të nevojshëm në të gjitha nivelet e punonjësve dhe strukturat e institucioneve për zbatimin e ligjit nr.146/2014. Sugjerojmë përcaktimin e detyrueshmërisë së publikimit në një nga format e njoftimit, të rekomandimeve të grupeve të interesit që nuk janë marrë në konsideratë dhe përmbledhje të arsyeve për mospranimin e tyre. Me qëllim vënien e fokusit kundrejt grupeve vulnerabël e të margjinalizuara të shoqërisë, rekomandojmë marrjen e masave nga institucionet përgjegjëse për të kontribuar në hartimin e qasjeve metodologjike dhe formateve të thjeshta e të kuptueshme për publikun e gjerë dhe palët e interesit, të cilët synojnë përfshirjen në procesin e konsultimit publik. Në këtë kuptim, ne vërejmë se shumë projektligje të rëndësishme po konsultohen vetëm me anë të regjistrit elektronik të konsultimit, ndërkohë që të gjitha Ministritë duhet të harmonizojnë këtë formë konsultimi me tryezat e dëgjesës nga afër me grupet e interesit dhe OSHC-të në tërësi. Vlerësohet e domosdoshme nxitja e një qasjeje monitoruese dhe vlerësuese nga ana e institucioneve eprore, ndaj atyre të varësisë, lidhur me zhvillimin e indikatorëve krahasimorë dhe analizues, të suksesit, vështirësive e sfidave me të cilat haset procesi i njoftimit dhe konsultimit publik. </w:t>
            </w:r>
          </w:p>
          <w:p w:rsidR="0042000F" w:rsidRPr="00E01A0A" w:rsidRDefault="0042000F" w:rsidP="0042000F">
            <w:pPr>
              <w:pStyle w:val="Paragrafi"/>
              <w:spacing w:after="240"/>
              <w:ind w:left="720" w:firstLine="0"/>
              <w:rPr>
                <w:rFonts w:ascii="Times New Roman" w:hAnsi="Times New Roman"/>
                <w:b/>
                <w:sz w:val="24"/>
                <w:szCs w:val="24"/>
                <w:lang w:val="sq-AL"/>
              </w:rPr>
            </w:pPr>
          </w:p>
        </w:tc>
        <w:tc>
          <w:tcPr>
            <w:tcW w:w="3240" w:type="dxa"/>
          </w:tcPr>
          <w:p w:rsidR="0042000F" w:rsidRPr="00E01A0A" w:rsidRDefault="0042000F" w:rsidP="0042000F">
            <w:pPr>
              <w:widowControl w:val="0"/>
              <w:pBdr>
                <w:top w:val="nil"/>
                <w:left w:val="nil"/>
                <w:bottom w:val="nil"/>
                <w:right w:val="nil"/>
                <w:between w:val="nil"/>
              </w:pBdr>
              <w:spacing w:line="240" w:lineRule="auto"/>
              <w:jc w:val="center"/>
              <w:rPr>
                <w:rFonts w:ascii="Times New Roman" w:hAnsi="Times New Roman" w:cs="Times New Roman"/>
                <w:sz w:val="24"/>
                <w:szCs w:val="24"/>
                <w:lang w:val="sq-AL"/>
              </w:rPr>
            </w:pPr>
            <w:r w:rsidRPr="00E01A0A">
              <w:rPr>
                <w:rFonts w:ascii="Times New Roman" w:hAnsi="Times New Roman" w:cs="Times New Roman"/>
                <w:sz w:val="24"/>
                <w:szCs w:val="24"/>
                <w:lang w:val="sq-AL"/>
              </w:rPr>
              <w:lastRenderedPageBreak/>
              <w:t xml:space="preserve">Pranuar </w:t>
            </w:r>
          </w:p>
        </w:tc>
        <w:tc>
          <w:tcPr>
            <w:tcW w:w="4230" w:type="dxa"/>
            <w:shd w:val="clear" w:color="auto" w:fill="auto"/>
            <w:tcMar>
              <w:top w:w="100" w:type="dxa"/>
              <w:left w:w="100" w:type="dxa"/>
              <w:bottom w:w="100" w:type="dxa"/>
              <w:right w:w="100" w:type="dxa"/>
            </w:tcMar>
          </w:tcPr>
          <w:p w:rsidR="0042000F" w:rsidRPr="00E01A0A" w:rsidRDefault="0042000F" w:rsidP="000218B4">
            <w:pPr>
              <w:spacing w:after="160" w:line="259" w:lineRule="auto"/>
              <w:jc w:val="both"/>
              <w:rPr>
                <w:rFonts w:ascii="Times New Roman" w:hAnsi="Times New Roman" w:cs="Times New Roman"/>
                <w:sz w:val="24"/>
                <w:szCs w:val="24"/>
                <w:lang w:val="sq-AL"/>
              </w:rPr>
            </w:pPr>
            <w:r w:rsidRPr="00E01A0A">
              <w:rPr>
                <w:rFonts w:ascii="Times New Roman" w:hAnsi="Times New Roman" w:cs="Times New Roman"/>
                <w:b/>
                <w:sz w:val="24"/>
                <w:szCs w:val="24"/>
              </w:rPr>
              <w:t>Vlerësim AMSHC</w:t>
            </w:r>
            <w:r w:rsidRPr="00E01A0A">
              <w:rPr>
                <w:rFonts w:ascii="Times New Roman" w:hAnsi="Times New Roman" w:cs="Times New Roman"/>
                <w:sz w:val="24"/>
                <w:szCs w:val="24"/>
              </w:rPr>
              <w:t xml:space="preserve">: Propozimet ne lidhje me forumin konsultativ, dhe ngritjen e nje task-force, pas nje kerkese te bere me shkrese zyrtare ose me email nga Komiteti Shqiptar i Helsinkit, mund te hidhen per diskutim ne mbledhjen e ardhshme te Keshillit. </w:t>
            </w:r>
          </w:p>
        </w:tc>
      </w:tr>
      <w:tr w:rsidR="0042000F" w:rsidRPr="00E01A0A" w:rsidTr="00C74183">
        <w:trPr>
          <w:trHeight w:val="1338"/>
        </w:trPr>
        <w:tc>
          <w:tcPr>
            <w:tcW w:w="3420" w:type="dxa"/>
            <w:shd w:val="clear" w:color="auto" w:fill="auto"/>
            <w:tcMar>
              <w:top w:w="100" w:type="dxa"/>
              <w:left w:w="100" w:type="dxa"/>
              <w:bottom w:w="100" w:type="dxa"/>
              <w:right w:w="100" w:type="dxa"/>
            </w:tcMar>
          </w:tcPr>
          <w:p w:rsidR="0042000F" w:rsidRPr="00E01A0A" w:rsidRDefault="0042000F" w:rsidP="0042000F">
            <w:pPr>
              <w:spacing w:after="120" w:line="240" w:lineRule="auto"/>
              <w:jc w:val="both"/>
              <w:rPr>
                <w:rFonts w:ascii="Times New Roman" w:eastAsia="Times New Roman" w:hAnsi="Times New Roman" w:cs="Times New Roman"/>
                <w:b/>
                <w:bCs/>
                <w:sz w:val="24"/>
                <w:szCs w:val="24"/>
                <w:lang w:val="it-IT"/>
              </w:rPr>
            </w:pPr>
            <w:r w:rsidRPr="00E01A0A">
              <w:rPr>
                <w:rFonts w:ascii="Times New Roman" w:eastAsia="Times New Roman" w:hAnsi="Times New Roman" w:cs="Times New Roman"/>
                <w:b/>
                <w:bCs/>
                <w:sz w:val="24"/>
                <w:szCs w:val="24"/>
                <w:lang w:val="it-IT"/>
              </w:rPr>
              <w:lastRenderedPageBreak/>
              <w:t xml:space="preserve">EMA </w:t>
            </w:r>
          </w:p>
          <w:p w:rsidR="0042000F" w:rsidRPr="00E01A0A" w:rsidRDefault="0042000F" w:rsidP="0042000F">
            <w:pPr>
              <w:spacing w:after="120" w:line="240" w:lineRule="auto"/>
              <w:jc w:val="both"/>
              <w:rPr>
                <w:rFonts w:ascii="Times New Roman" w:eastAsia="Times New Roman" w:hAnsi="Times New Roman" w:cs="Times New Roman"/>
                <w:bCs/>
                <w:sz w:val="24"/>
                <w:szCs w:val="24"/>
                <w:lang w:val="it-IT"/>
              </w:rPr>
            </w:pPr>
            <w:r w:rsidRPr="00E01A0A">
              <w:rPr>
                <w:rFonts w:ascii="Times New Roman" w:eastAsia="Times New Roman" w:hAnsi="Times New Roman" w:cs="Times New Roman"/>
                <w:b/>
                <w:bCs/>
                <w:sz w:val="24"/>
                <w:szCs w:val="24"/>
                <w:lang w:val="it-IT"/>
              </w:rPr>
              <w:t>European Movement Albania</w:t>
            </w:r>
          </w:p>
        </w:tc>
        <w:tc>
          <w:tcPr>
            <w:tcW w:w="4610" w:type="dxa"/>
          </w:tcPr>
          <w:p w:rsidR="000218B4" w:rsidRPr="00E01A0A" w:rsidRDefault="0042000F" w:rsidP="0042000F">
            <w:pPr>
              <w:spacing w:line="240" w:lineRule="auto"/>
              <w:jc w:val="both"/>
              <w:rPr>
                <w:rFonts w:ascii="Times New Roman" w:hAnsi="Times New Roman" w:cs="Times New Roman"/>
                <w:sz w:val="24"/>
                <w:szCs w:val="24"/>
              </w:rPr>
            </w:pPr>
            <w:r w:rsidRPr="00E01A0A">
              <w:rPr>
                <w:rFonts w:ascii="Times New Roman" w:hAnsi="Times New Roman" w:cs="Times New Roman"/>
                <w:sz w:val="24"/>
                <w:szCs w:val="24"/>
              </w:rPr>
              <w:t xml:space="preserve">Në këtë Udhërrëfyes përfshihen masa konkrete të argumentuara dhe të bazuara në të dhëna konkrete si dhe periudhat dhe afatet për çdo masë që parashikohet të ndërmerret për periudhën 2024-2030.  Fushat e përfshira në Udhërrëfyes janë: Procesi zgjedhor, Kuvendi dhe Shoqëria Civile. Sa i përket procesit zgjedhor dy çështje prioritare lidhen me monitorimin e mediave gjatë fushatës elektorale dhe financimi i partive politike gjatë procesit zgjedhor. Në Shqipëri ka rreth 68 operatorë mediash (Radio dhe Televizione) ku vetëm 4 prej tyre janë kombëtare, ndërkohë që numërohen rreth 1000 portale dhe media online. Problematike për median mbetet sidomos pjesa e medias online e cila nuk është e formalizuar dhe nuk ka një ligj të posaçëm për menaxhimin dhe funksionin e saj. Në këtë drejtim bëhet sfidues për autoritetet monitoruese për ti identifikuar dhe monitoruar ato sidomos gjatë procesit zgjedhor dhe fushatës zgjedhore, ku ka pasur raste dhe të keqinformimit dhe të përdorimit të tyre nga ana e partive politike. </w:t>
            </w:r>
          </w:p>
          <w:p w:rsidR="000218B4" w:rsidRPr="00E01A0A" w:rsidRDefault="000218B4" w:rsidP="0042000F">
            <w:pPr>
              <w:spacing w:line="240" w:lineRule="auto"/>
              <w:jc w:val="both"/>
              <w:rPr>
                <w:rFonts w:ascii="Times New Roman" w:hAnsi="Times New Roman" w:cs="Times New Roman"/>
                <w:sz w:val="24"/>
                <w:szCs w:val="24"/>
              </w:rPr>
            </w:pPr>
          </w:p>
          <w:p w:rsidR="0042000F" w:rsidRPr="00E01A0A" w:rsidRDefault="0042000F" w:rsidP="0042000F">
            <w:pPr>
              <w:spacing w:line="240" w:lineRule="auto"/>
              <w:jc w:val="both"/>
              <w:rPr>
                <w:rFonts w:ascii="Times New Roman" w:hAnsi="Times New Roman" w:cs="Times New Roman"/>
                <w:sz w:val="24"/>
                <w:szCs w:val="24"/>
              </w:rPr>
            </w:pPr>
            <w:r w:rsidRPr="00E01A0A">
              <w:rPr>
                <w:rFonts w:ascii="Times New Roman" w:hAnsi="Times New Roman" w:cs="Times New Roman"/>
                <w:sz w:val="24"/>
                <w:szCs w:val="24"/>
              </w:rPr>
              <w:t xml:space="preserve">Sa i përket financimit të partive politike, dhe në raportet e Komisionit Europian mbetet problematike mungesa e transparencës nga </w:t>
            </w:r>
            <w:r w:rsidRPr="00E01A0A">
              <w:rPr>
                <w:rFonts w:ascii="Times New Roman" w:hAnsi="Times New Roman" w:cs="Times New Roman"/>
                <w:sz w:val="24"/>
                <w:szCs w:val="24"/>
              </w:rPr>
              <w:lastRenderedPageBreak/>
              <w:t xml:space="preserve">ana e subjekteve politike për burimet e financimit ndërkohë që institucionet zgjedhore synojnë rritjen e bashkëpunimit dhe përfshirjen e aktorëve të shoqërisë civile për të realizuar monitorimin e këtyre financimeve, duke ofruar ekspertizën dhe kontributin e tyre. </w:t>
            </w:r>
          </w:p>
          <w:p w:rsidR="0042000F" w:rsidRPr="00E01A0A" w:rsidRDefault="0042000F" w:rsidP="0042000F">
            <w:pPr>
              <w:spacing w:line="240" w:lineRule="auto"/>
              <w:jc w:val="both"/>
              <w:rPr>
                <w:rFonts w:ascii="Times New Roman" w:hAnsi="Times New Roman" w:cs="Times New Roman"/>
                <w:sz w:val="24"/>
                <w:szCs w:val="24"/>
              </w:rPr>
            </w:pPr>
          </w:p>
          <w:p w:rsidR="0042000F" w:rsidRPr="00E01A0A" w:rsidRDefault="0042000F" w:rsidP="0042000F">
            <w:pPr>
              <w:pStyle w:val="ListParagraph"/>
              <w:numPr>
                <w:ilvl w:val="0"/>
                <w:numId w:val="31"/>
              </w:numPr>
              <w:spacing w:after="160" w:line="259" w:lineRule="auto"/>
              <w:ind w:left="709"/>
              <w:jc w:val="both"/>
              <w:rPr>
                <w:rFonts w:ascii="Times New Roman" w:hAnsi="Times New Roman" w:cs="Times New Roman"/>
                <w:sz w:val="24"/>
                <w:szCs w:val="24"/>
              </w:rPr>
            </w:pPr>
            <w:r w:rsidRPr="00E01A0A">
              <w:rPr>
                <w:rFonts w:ascii="Times New Roman" w:hAnsi="Times New Roman" w:cs="Times New Roman"/>
                <w:i/>
                <w:iCs/>
                <w:sz w:val="24"/>
                <w:szCs w:val="24"/>
              </w:rPr>
              <w:t xml:space="preserve">Rekomandohet një bashkëpunim më i ngushtë dhe proaktiv mes Komisionit Qendror të Zjgedhjeve dhe shoqërisë civile, në mënyrë që këta të fundit të kenë një mjedis mundësues për tu angazhuar dhe për tu përfshirë në procesin monitorues të mediave gjatë fushatës zgjedhore. </w:t>
            </w:r>
          </w:p>
          <w:p w:rsidR="0042000F" w:rsidRPr="00E01A0A" w:rsidRDefault="0042000F" w:rsidP="0042000F">
            <w:pPr>
              <w:pStyle w:val="ListParagraph"/>
              <w:numPr>
                <w:ilvl w:val="0"/>
                <w:numId w:val="31"/>
              </w:numPr>
              <w:spacing w:after="160" w:line="259" w:lineRule="auto"/>
              <w:ind w:left="709"/>
              <w:jc w:val="both"/>
              <w:rPr>
                <w:rFonts w:ascii="Times New Roman" w:hAnsi="Times New Roman" w:cs="Times New Roman"/>
                <w:sz w:val="24"/>
                <w:szCs w:val="24"/>
              </w:rPr>
            </w:pPr>
            <w:r w:rsidRPr="00E01A0A">
              <w:rPr>
                <w:rFonts w:ascii="Times New Roman" w:hAnsi="Times New Roman" w:cs="Times New Roman"/>
                <w:i/>
                <w:iCs/>
                <w:sz w:val="24"/>
                <w:szCs w:val="24"/>
              </w:rPr>
              <w:t xml:space="preserve">Edhe pse KQZ nuk mund të imponojë apo detyrojë përfshirjen e OSHC-ve në këtë proces, kërkohet që ai ta promovojë dhe ta inkurajojë këtë përfshirje duke krijuar një dialog më të strukturuar dhe të qëndrueshëm me aktorët e shoqërisë civile të interesuar për tu përfshirë. Ky bashkëpunim mund të përfshihet në rregulloren e re të KQZ, ku organizatat e shoqërisë civile të vlerësohen si aktorë dhe partnerë me rëndësi për bashkëpunim. </w:t>
            </w:r>
          </w:p>
          <w:p w:rsidR="0042000F" w:rsidRPr="00E01A0A" w:rsidRDefault="0042000F" w:rsidP="0042000F">
            <w:pPr>
              <w:pStyle w:val="ListParagraph"/>
              <w:numPr>
                <w:ilvl w:val="0"/>
                <w:numId w:val="31"/>
              </w:numPr>
              <w:spacing w:after="160" w:line="259" w:lineRule="auto"/>
              <w:ind w:left="709"/>
              <w:jc w:val="both"/>
              <w:rPr>
                <w:rFonts w:ascii="Times New Roman" w:hAnsi="Times New Roman" w:cs="Times New Roman"/>
                <w:sz w:val="24"/>
                <w:szCs w:val="24"/>
              </w:rPr>
            </w:pPr>
            <w:r w:rsidRPr="00E01A0A">
              <w:rPr>
                <w:rFonts w:ascii="Times New Roman" w:hAnsi="Times New Roman" w:cs="Times New Roman"/>
                <w:i/>
                <w:iCs/>
                <w:sz w:val="24"/>
                <w:szCs w:val="24"/>
              </w:rPr>
              <w:t xml:space="preserve">Për këtë sugjerohet që të realizohet një hartëzim i atyre organizatave që kanë eksperiencë dhe ekspertizë në këtë </w:t>
            </w:r>
            <w:r w:rsidRPr="00E01A0A">
              <w:rPr>
                <w:rFonts w:ascii="Times New Roman" w:hAnsi="Times New Roman" w:cs="Times New Roman"/>
                <w:i/>
                <w:iCs/>
                <w:sz w:val="24"/>
                <w:szCs w:val="24"/>
              </w:rPr>
              <w:lastRenderedPageBreak/>
              <w:t xml:space="preserve">fushë dhe të kontaktohen drejtpërdrejt për tu përfshirë në proces. </w:t>
            </w:r>
          </w:p>
          <w:p w:rsidR="0042000F" w:rsidRPr="00E01A0A" w:rsidRDefault="0042000F" w:rsidP="0042000F">
            <w:pPr>
              <w:pStyle w:val="ListParagraph"/>
              <w:numPr>
                <w:ilvl w:val="0"/>
                <w:numId w:val="31"/>
              </w:numPr>
              <w:spacing w:after="160" w:line="259" w:lineRule="auto"/>
              <w:ind w:left="709"/>
              <w:jc w:val="both"/>
              <w:rPr>
                <w:rFonts w:ascii="Times New Roman" w:hAnsi="Times New Roman" w:cs="Times New Roman"/>
                <w:sz w:val="24"/>
                <w:szCs w:val="24"/>
              </w:rPr>
            </w:pPr>
            <w:r w:rsidRPr="00E01A0A">
              <w:rPr>
                <w:rFonts w:ascii="Times New Roman" w:hAnsi="Times New Roman" w:cs="Times New Roman"/>
                <w:i/>
                <w:iCs/>
                <w:sz w:val="24"/>
                <w:szCs w:val="24"/>
              </w:rPr>
              <w:t xml:space="preserve">Një rekomandim është dhe realizimi i trajnimeve dhe ngritjes së kapaciteteve për ato organizata që kanë interesin dhe vullnetin për tu përfshirë, por që nuk kanë eksperiencë në pjesën e monitorimit. Këto trajnime mund të realizohen në bashkëpunim me ekspertë të huaj apo vendas. </w:t>
            </w:r>
          </w:p>
          <w:p w:rsidR="0042000F" w:rsidRPr="00E01A0A" w:rsidRDefault="0042000F" w:rsidP="0042000F">
            <w:pPr>
              <w:pStyle w:val="ListParagraph"/>
              <w:numPr>
                <w:ilvl w:val="0"/>
                <w:numId w:val="31"/>
              </w:numPr>
              <w:spacing w:after="160" w:line="259" w:lineRule="auto"/>
              <w:ind w:left="709"/>
              <w:jc w:val="both"/>
              <w:rPr>
                <w:rFonts w:ascii="Times New Roman" w:hAnsi="Times New Roman" w:cs="Times New Roman"/>
                <w:i/>
                <w:iCs/>
                <w:sz w:val="24"/>
                <w:szCs w:val="24"/>
              </w:rPr>
            </w:pPr>
            <w:r w:rsidRPr="00E01A0A">
              <w:rPr>
                <w:rFonts w:ascii="Times New Roman" w:hAnsi="Times New Roman" w:cs="Times New Roman"/>
                <w:i/>
                <w:iCs/>
                <w:sz w:val="24"/>
                <w:szCs w:val="24"/>
              </w:rPr>
              <w:t xml:space="preserve">Si çështje me prioritet për realizimin dhe pasjen e zgjedhjeve të lira dhe të ndershme, të pakontestueshme dhe transparente, rekomandohet që të rriten mundësitë për financime dhe grante për OSHC </w:t>
            </w:r>
            <w:proofErr w:type="gramStart"/>
            <w:r w:rsidRPr="00E01A0A">
              <w:rPr>
                <w:rFonts w:ascii="Times New Roman" w:hAnsi="Times New Roman" w:cs="Times New Roman"/>
                <w:i/>
                <w:iCs/>
                <w:sz w:val="24"/>
                <w:szCs w:val="24"/>
              </w:rPr>
              <w:t>( një</w:t>
            </w:r>
            <w:proofErr w:type="gramEnd"/>
            <w:r w:rsidRPr="00E01A0A">
              <w:rPr>
                <w:rFonts w:ascii="Times New Roman" w:hAnsi="Times New Roman" w:cs="Times New Roman"/>
                <w:i/>
                <w:iCs/>
                <w:sz w:val="24"/>
                <w:szCs w:val="24"/>
              </w:rPr>
              <w:t xml:space="preserve"> rol më të madh duhet të ketë dhe Agjencia për Mbështetjen e Shoqërisë Civile) por dhe mundësitë për mbështetje financiare nga donatorë të tjerë vendas apo ndërkombëtarë. </w:t>
            </w:r>
          </w:p>
          <w:p w:rsidR="0042000F" w:rsidRPr="00E01A0A" w:rsidRDefault="0042000F" w:rsidP="0042000F">
            <w:pPr>
              <w:pStyle w:val="ListParagraph"/>
              <w:numPr>
                <w:ilvl w:val="0"/>
                <w:numId w:val="31"/>
              </w:numPr>
              <w:spacing w:after="160" w:line="259" w:lineRule="auto"/>
              <w:ind w:left="709"/>
              <w:jc w:val="both"/>
              <w:rPr>
                <w:rFonts w:ascii="Times New Roman" w:hAnsi="Times New Roman" w:cs="Times New Roman"/>
                <w:i/>
                <w:iCs/>
                <w:sz w:val="24"/>
                <w:szCs w:val="24"/>
              </w:rPr>
            </w:pPr>
            <w:r w:rsidRPr="00E01A0A">
              <w:rPr>
                <w:rFonts w:ascii="Times New Roman" w:hAnsi="Times New Roman" w:cs="Times New Roman"/>
                <w:i/>
                <w:iCs/>
                <w:sz w:val="24"/>
                <w:szCs w:val="24"/>
              </w:rPr>
              <w:t xml:space="preserve">Aktorët e shoqërisë civile në shumë raste nuk janë aktiv apo nuk përfshihen pasi nuk shohin rezultat dhe follow up të punës dhe aktivitetit të tyre dhe nuk duket sikur arrijnë të influencojnë në marrjen e masave apo në bërjen e politikave. Për këtë është shumë e rëndësishme që të ketë një reagim nga institucionet e interesuara që të gjitha inputet e rekomandimet e ardhura nga </w:t>
            </w:r>
            <w:r w:rsidRPr="00E01A0A">
              <w:rPr>
                <w:rFonts w:ascii="Times New Roman" w:hAnsi="Times New Roman" w:cs="Times New Roman"/>
                <w:i/>
                <w:iCs/>
                <w:sz w:val="24"/>
                <w:szCs w:val="24"/>
              </w:rPr>
              <w:lastRenderedPageBreak/>
              <w:t xml:space="preserve">shoqëria civile të merren në konsideratë dhe të ketë një reagim ndaj tyre, nëse pranohen apo jo duke argumentuar dhe arsyet përkatëse. Kjo është e rëndësishme për të krijuar një bashkëpunim të qëndrueshëm mes institucioneve publike dhe OSHC-ve dhe për të inkurajuar OSHC-të për të vazhduar misionin e tyre. </w:t>
            </w:r>
          </w:p>
          <w:p w:rsidR="0042000F" w:rsidRPr="00E01A0A" w:rsidRDefault="0042000F" w:rsidP="0042000F">
            <w:pPr>
              <w:pStyle w:val="ListParagraph"/>
              <w:numPr>
                <w:ilvl w:val="0"/>
                <w:numId w:val="31"/>
              </w:numPr>
              <w:spacing w:after="160" w:line="259" w:lineRule="auto"/>
              <w:ind w:left="709"/>
              <w:jc w:val="both"/>
              <w:rPr>
                <w:rFonts w:ascii="Times New Roman" w:hAnsi="Times New Roman" w:cs="Times New Roman"/>
                <w:i/>
                <w:iCs/>
                <w:sz w:val="24"/>
                <w:szCs w:val="24"/>
              </w:rPr>
            </w:pPr>
            <w:r w:rsidRPr="00E01A0A">
              <w:rPr>
                <w:rFonts w:ascii="Times New Roman" w:hAnsi="Times New Roman" w:cs="Times New Roman"/>
                <w:i/>
                <w:iCs/>
                <w:sz w:val="24"/>
                <w:szCs w:val="24"/>
              </w:rPr>
              <w:t xml:space="preserve">Informimi dhe realizimi i një fushate informuese dhe promovimi për përfshirjen e grupeve të interesit është gjithashtu një element i rëndësishëm, ku sugjerohet që nëpërmjet promovimit të mundësive për bashkëpunim dhe kontribut nga ana e aktorëve të shoqërisë civile mundësohet përfshirja e tyre për të qenë aktiv gjatë procesit zgjedhor. </w:t>
            </w:r>
          </w:p>
          <w:p w:rsidR="0042000F" w:rsidRPr="00E01A0A" w:rsidRDefault="0042000F" w:rsidP="0042000F">
            <w:pPr>
              <w:pStyle w:val="ListParagraph"/>
              <w:numPr>
                <w:ilvl w:val="0"/>
                <w:numId w:val="31"/>
              </w:numPr>
              <w:spacing w:after="160" w:line="259" w:lineRule="auto"/>
              <w:ind w:left="709"/>
              <w:jc w:val="both"/>
              <w:rPr>
                <w:rFonts w:ascii="Times New Roman" w:hAnsi="Times New Roman" w:cs="Times New Roman"/>
                <w:i/>
                <w:iCs/>
                <w:sz w:val="24"/>
                <w:szCs w:val="24"/>
              </w:rPr>
            </w:pPr>
            <w:r w:rsidRPr="00E01A0A">
              <w:rPr>
                <w:rFonts w:ascii="Times New Roman" w:hAnsi="Times New Roman" w:cs="Times New Roman"/>
                <w:i/>
                <w:iCs/>
                <w:sz w:val="24"/>
                <w:szCs w:val="24"/>
              </w:rPr>
              <w:t xml:space="preserve">Organizatat e shoqërisë civile sidomos ato që mund të ofrojnë dhe ekspertizën e nevojshme mund të përfshihen dhe si ekspertë dhe të kontribuojnë në ofrimin e ekspertizës për institucionet apo aktorët e tjerë të interesuar, dhe për këtë sugjerohet që të ofrohen incentiva dhe monetare në mënyrë që kontributi të jetë i vlerësuar dhe OSHC-të të motivohen për dhënien e eksperiencës së tyre. </w:t>
            </w:r>
          </w:p>
          <w:p w:rsidR="0042000F" w:rsidRPr="00E01A0A" w:rsidRDefault="0042000F" w:rsidP="0042000F">
            <w:pPr>
              <w:pStyle w:val="ListParagraph"/>
              <w:numPr>
                <w:ilvl w:val="0"/>
                <w:numId w:val="31"/>
              </w:numPr>
              <w:spacing w:after="160" w:line="259" w:lineRule="auto"/>
              <w:ind w:left="709"/>
              <w:jc w:val="both"/>
              <w:rPr>
                <w:rFonts w:ascii="Times New Roman" w:hAnsi="Times New Roman" w:cs="Times New Roman"/>
                <w:i/>
                <w:iCs/>
                <w:sz w:val="24"/>
                <w:szCs w:val="24"/>
              </w:rPr>
            </w:pPr>
            <w:r w:rsidRPr="00E01A0A">
              <w:rPr>
                <w:rFonts w:ascii="Times New Roman" w:hAnsi="Times New Roman" w:cs="Times New Roman"/>
                <w:i/>
                <w:iCs/>
                <w:sz w:val="24"/>
                <w:szCs w:val="24"/>
              </w:rPr>
              <w:lastRenderedPageBreak/>
              <w:t xml:space="preserve">Rekomandohet që një vëmendje e shtuar duhet ti kushtohet dhe organizatave që punojnë në nivelin lokal, të cilat mund të kenë më pak mundësi për tu përfshirë (për shkak të mangësive financiare apo kapaciteteve njerëzore). Gjithsesi ato mund të ofrojnë kontribute të vlefshme sidomos për problematikat e hasura në nivel vendor. Një bashkëpunim më i ngushtë mes OSHC-ve lokale dhe autoriteteve vendore vlerësohet si shumë i rëndësishëm për përfshirjen e tyre direkte. </w:t>
            </w:r>
          </w:p>
          <w:p w:rsidR="0042000F" w:rsidRPr="00E01A0A" w:rsidRDefault="0042000F" w:rsidP="0042000F">
            <w:pPr>
              <w:pStyle w:val="ListParagraph"/>
              <w:numPr>
                <w:ilvl w:val="0"/>
                <w:numId w:val="31"/>
              </w:numPr>
              <w:spacing w:after="160" w:line="259" w:lineRule="auto"/>
              <w:ind w:left="709"/>
              <w:jc w:val="both"/>
              <w:rPr>
                <w:rFonts w:ascii="Times New Roman" w:hAnsi="Times New Roman" w:cs="Times New Roman"/>
                <w:i/>
                <w:iCs/>
                <w:sz w:val="24"/>
                <w:szCs w:val="24"/>
              </w:rPr>
            </w:pPr>
            <w:r w:rsidRPr="00E01A0A">
              <w:rPr>
                <w:rFonts w:ascii="Times New Roman" w:hAnsi="Times New Roman" w:cs="Times New Roman"/>
                <w:i/>
                <w:iCs/>
                <w:sz w:val="24"/>
                <w:szCs w:val="24"/>
              </w:rPr>
              <w:t xml:space="preserve">OSHC-të duhet të angazhohen dhe në rrjete apo grupe organizatash dhe të realizojnë raporte monitorimi për masat dhe reformat që autoritetet vendore marrin në kuadër të procesit të negociatave, duke realizuar ato që njihet si shadow reports, që mund të jenë dokumente me vlerë për të krahasuar raportet e realizuara nga vet institucionet publike me ato të realizuara nga OSHC-të nga njëra anë, dhe raportet e Bashkimit Europian. </w:t>
            </w:r>
          </w:p>
          <w:p w:rsidR="0042000F" w:rsidRPr="00E01A0A" w:rsidRDefault="0042000F" w:rsidP="0042000F">
            <w:pPr>
              <w:spacing w:line="240" w:lineRule="auto"/>
              <w:jc w:val="both"/>
              <w:rPr>
                <w:rFonts w:ascii="Times New Roman" w:hAnsi="Times New Roman" w:cs="Times New Roman"/>
                <w:sz w:val="24"/>
                <w:szCs w:val="24"/>
              </w:rPr>
            </w:pPr>
          </w:p>
          <w:p w:rsidR="0042000F" w:rsidRPr="00E01A0A" w:rsidRDefault="0042000F" w:rsidP="0042000F">
            <w:pPr>
              <w:pStyle w:val="Paragrafi"/>
              <w:spacing w:after="240"/>
              <w:ind w:firstLine="0"/>
              <w:rPr>
                <w:rFonts w:ascii="Times New Roman" w:hAnsi="Times New Roman"/>
                <w:b/>
                <w:sz w:val="24"/>
                <w:szCs w:val="24"/>
                <w:lang w:val="sq-AL"/>
              </w:rPr>
            </w:pPr>
          </w:p>
        </w:tc>
        <w:tc>
          <w:tcPr>
            <w:tcW w:w="3240" w:type="dxa"/>
          </w:tcPr>
          <w:p w:rsidR="0042000F" w:rsidRPr="00E01A0A" w:rsidRDefault="000218B4" w:rsidP="0042000F">
            <w:pPr>
              <w:widowControl w:val="0"/>
              <w:pBdr>
                <w:top w:val="nil"/>
                <w:left w:val="nil"/>
                <w:bottom w:val="nil"/>
                <w:right w:val="nil"/>
                <w:between w:val="nil"/>
              </w:pBdr>
              <w:spacing w:line="240" w:lineRule="auto"/>
              <w:jc w:val="center"/>
              <w:rPr>
                <w:rFonts w:ascii="Times New Roman" w:hAnsi="Times New Roman" w:cs="Times New Roman"/>
                <w:sz w:val="24"/>
                <w:szCs w:val="24"/>
                <w:lang w:val="sq-AL"/>
              </w:rPr>
            </w:pPr>
            <w:r w:rsidRPr="00E01A0A">
              <w:rPr>
                <w:rFonts w:ascii="Times New Roman" w:hAnsi="Times New Roman" w:cs="Times New Roman"/>
                <w:sz w:val="24"/>
                <w:szCs w:val="24"/>
                <w:lang w:val="sq-AL"/>
              </w:rPr>
              <w:lastRenderedPageBreak/>
              <w:t>Pranuar</w:t>
            </w:r>
          </w:p>
        </w:tc>
        <w:tc>
          <w:tcPr>
            <w:tcW w:w="4230" w:type="dxa"/>
            <w:shd w:val="clear" w:color="auto" w:fill="auto"/>
            <w:tcMar>
              <w:top w:w="100" w:type="dxa"/>
              <w:left w:w="100" w:type="dxa"/>
              <w:bottom w:w="100" w:type="dxa"/>
              <w:right w:w="100" w:type="dxa"/>
            </w:tcMar>
          </w:tcPr>
          <w:p w:rsidR="0042000F" w:rsidRPr="00E01A0A" w:rsidRDefault="000218B4" w:rsidP="00CC6979">
            <w:pPr>
              <w:pStyle w:val="ListParagraph"/>
              <w:numPr>
                <w:ilvl w:val="0"/>
                <w:numId w:val="36"/>
              </w:num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rPr>
              <w:t xml:space="preserve">Sa </w:t>
            </w:r>
            <w:r w:rsidR="00EC7687" w:rsidRPr="00E01A0A">
              <w:rPr>
                <w:rFonts w:ascii="Times New Roman" w:hAnsi="Times New Roman" w:cs="Times New Roman"/>
                <w:sz w:val="24"/>
                <w:szCs w:val="24"/>
              </w:rPr>
              <w:t>i</w:t>
            </w:r>
            <w:r w:rsidRPr="00E01A0A">
              <w:rPr>
                <w:rFonts w:ascii="Times New Roman" w:hAnsi="Times New Roman" w:cs="Times New Roman"/>
                <w:sz w:val="24"/>
                <w:szCs w:val="24"/>
              </w:rPr>
              <w:t xml:space="preserve"> përket monitorimit të medias në fushatat zgjedhore janë parashikuar masa konkrete në udhërrëfyes si vijon: </w:t>
            </w:r>
          </w:p>
          <w:p w:rsidR="00CC6979" w:rsidRPr="00E01A0A" w:rsidRDefault="00CC6979" w:rsidP="00CC6979">
            <w:pPr>
              <w:jc w:val="both"/>
              <w:rPr>
                <w:rFonts w:ascii="Times New Roman" w:hAnsi="Times New Roman" w:cs="Times New Roman"/>
                <w:sz w:val="24"/>
                <w:szCs w:val="24"/>
                <w:lang w:val="en-GB"/>
              </w:rPr>
            </w:pPr>
            <w:r w:rsidRPr="00E01A0A">
              <w:rPr>
                <w:rFonts w:ascii="Times New Roman" w:hAnsi="Times New Roman" w:cs="Times New Roman"/>
                <w:b/>
                <w:sz w:val="24"/>
                <w:szCs w:val="24"/>
              </w:rPr>
              <w:t xml:space="preserve">Masa ligjore/strategjike: </w:t>
            </w:r>
            <w:r w:rsidRPr="00E01A0A">
              <w:rPr>
                <w:rFonts w:ascii="Times New Roman" w:hAnsi="Times New Roman" w:cs="Times New Roman"/>
                <w:sz w:val="24"/>
                <w:szCs w:val="24"/>
                <w:lang w:val="en-GB"/>
              </w:rPr>
              <w:t>Ndryshimet legjislative në Kodin Zgjedhor përmes një konsensusi të gjerë ndërpartiak dhe vullneti politik dhe një procesi të hapur konsultimi gjithëpërfshirës me qëllim që të:</w:t>
            </w:r>
          </w:p>
          <w:p w:rsidR="00CC6979" w:rsidRPr="00E01A0A" w:rsidRDefault="00CC6979" w:rsidP="00CC6979">
            <w:pPr>
              <w:jc w:val="both"/>
              <w:rPr>
                <w:rFonts w:ascii="Times New Roman" w:hAnsi="Times New Roman" w:cs="Times New Roman"/>
                <w:bCs/>
                <w:sz w:val="24"/>
                <w:szCs w:val="24"/>
                <w:lang w:val="en-GB"/>
              </w:rPr>
            </w:pPr>
            <w:r w:rsidRPr="00E01A0A">
              <w:rPr>
                <w:rFonts w:ascii="Times New Roman" w:hAnsi="Times New Roman" w:cs="Times New Roman"/>
                <w:sz w:val="24"/>
                <w:szCs w:val="24"/>
                <w:lang w:val="en-GB"/>
              </w:rPr>
              <w:t xml:space="preserve">- garantojnë mundësi të barabarta për të gjitha palët konkuruese për t`u qasur në media, duke përfshirë adresimin e hapësirës reklamuese dhe kufizimin e mbulimit të fushatës mediatike me materiale të gatshme </w:t>
            </w:r>
            <w:r w:rsidRPr="00E01A0A">
              <w:rPr>
                <w:rFonts w:ascii="Times New Roman" w:hAnsi="Times New Roman" w:cs="Times New Roman"/>
                <w:bCs/>
                <w:i/>
                <w:color w:val="000000"/>
                <w:sz w:val="24"/>
                <w:szCs w:val="24"/>
                <w:lang w:val="en-GB"/>
              </w:rPr>
              <w:t>të ofruara nga partitë</w:t>
            </w:r>
            <w:r w:rsidRPr="00E01A0A">
              <w:rPr>
                <w:rFonts w:ascii="Times New Roman" w:hAnsi="Times New Roman" w:cs="Times New Roman"/>
                <w:bCs/>
                <w:color w:val="000000"/>
                <w:sz w:val="24"/>
                <w:szCs w:val="24"/>
                <w:lang w:val="en-GB"/>
              </w:rPr>
              <w:t xml:space="preserve"> politike,</w:t>
            </w:r>
            <w:r w:rsidRPr="00E01A0A">
              <w:rPr>
                <w:rFonts w:ascii="Times New Roman" w:hAnsi="Times New Roman" w:cs="Times New Roman"/>
                <w:bCs/>
                <w:sz w:val="24"/>
                <w:szCs w:val="24"/>
                <w:lang w:val="en-GB"/>
              </w:rPr>
              <w:t xml:space="preserve"> përfshirë </w:t>
            </w:r>
            <w:r w:rsidRPr="00E01A0A">
              <w:rPr>
                <w:rFonts w:ascii="Times New Roman" w:hAnsi="Times New Roman" w:cs="Times New Roman"/>
                <w:bCs/>
                <w:color w:val="000000"/>
                <w:sz w:val="24"/>
                <w:szCs w:val="24"/>
                <w:lang w:val="en-GB"/>
              </w:rPr>
              <w:t xml:space="preserve">monitorimin e mediave sociale, </w:t>
            </w:r>
            <w:r w:rsidRPr="00E01A0A">
              <w:rPr>
                <w:rFonts w:ascii="Times New Roman" w:hAnsi="Times New Roman" w:cs="Times New Roman"/>
                <w:bCs/>
                <w:sz w:val="24"/>
                <w:szCs w:val="24"/>
                <w:lang w:val="en-GB"/>
              </w:rPr>
              <w:t>miratohen pas një procesi konsultimi publik dhe në përputhje me standardet dhe rekomandimet evropiane, duke përfshirë rekomandimet e OSBE/ODHIR dhe të Komisionit të Venecias.</w:t>
            </w:r>
          </w:p>
          <w:p w:rsidR="00CC6979" w:rsidRPr="00E01A0A" w:rsidRDefault="00CC6979" w:rsidP="00CC6979">
            <w:pPr>
              <w:jc w:val="both"/>
              <w:rPr>
                <w:rFonts w:ascii="Times New Roman" w:hAnsi="Times New Roman" w:cs="Times New Roman"/>
                <w:bCs/>
                <w:sz w:val="24"/>
                <w:szCs w:val="24"/>
                <w:lang w:val="en-GB"/>
              </w:rPr>
            </w:pPr>
          </w:p>
          <w:p w:rsidR="00CC6979" w:rsidRPr="00E01A0A" w:rsidRDefault="00CC6979" w:rsidP="00CC6979">
            <w:pPr>
              <w:jc w:val="both"/>
              <w:rPr>
                <w:rFonts w:ascii="Times New Roman" w:hAnsi="Times New Roman" w:cs="Times New Roman"/>
                <w:sz w:val="24"/>
                <w:szCs w:val="24"/>
                <w:lang w:val="en-GB"/>
              </w:rPr>
            </w:pPr>
            <w:r w:rsidRPr="00E01A0A">
              <w:rPr>
                <w:rFonts w:ascii="Times New Roman" w:hAnsi="Times New Roman" w:cs="Times New Roman"/>
                <w:color w:val="000000"/>
                <w:sz w:val="24"/>
                <w:szCs w:val="24"/>
                <w:lang w:val="en-GB"/>
              </w:rPr>
              <w:lastRenderedPageBreak/>
              <w:t>Ndryshimet ligjore për të forcuar efikasitetin, pavarësinë e rregullatorit të medias audiovizive do të miratohen në përputhje me standardet e Këshillit të Evropës dhe rekomandimet e Komisionit të Venecias brenda vitit 2026.</w:t>
            </w:r>
          </w:p>
          <w:p w:rsidR="00CC6979" w:rsidRPr="00E01A0A" w:rsidRDefault="00CC6979" w:rsidP="00CC6979">
            <w:pPr>
              <w:spacing w:after="160" w:line="259" w:lineRule="auto"/>
              <w:jc w:val="both"/>
              <w:rPr>
                <w:rFonts w:ascii="Times New Roman" w:hAnsi="Times New Roman" w:cs="Times New Roman"/>
                <w:color w:val="000000"/>
                <w:sz w:val="24"/>
                <w:szCs w:val="24"/>
                <w:lang w:val="en-GB"/>
              </w:rPr>
            </w:pPr>
            <w:r w:rsidRPr="00E01A0A">
              <w:rPr>
                <w:rFonts w:ascii="Times New Roman" w:hAnsi="Times New Roman" w:cs="Times New Roman"/>
                <w:color w:val="000000"/>
                <w:sz w:val="24"/>
                <w:szCs w:val="24"/>
                <w:lang w:val="en-GB"/>
              </w:rPr>
              <w:t>Korniza rregullatore e organeve të tjera që monitorojnë mediat online gjatë zgjedhjeve do të miratohet duke filluar nga viti 2026 e në vazhdim.</w:t>
            </w:r>
          </w:p>
          <w:p w:rsidR="00CC6979" w:rsidRPr="00E01A0A" w:rsidRDefault="00CC6979" w:rsidP="00CC6979">
            <w:pPr>
              <w:spacing w:after="160" w:line="259" w:lineRule="auto"/>
              <w:jc w:val="both"/>
              <w:rPr>
                <w:rFonts w:ascii="Times New Roman" w:hAnsi="Times New Roman" w:cs="Times New Roman"/>
                <w:b/>
                <w:color w:val="000000"/>
                <w:sz w:val="24"/>
                <w:szCs w:val="24"/>
                <w:lang w:val="en-GB"/>
              </w:rPr>
            </w:pPr>
            <w:r w:rsidRPr="00E01A0A">
              <w:rPr>
                <w:rFonts w:ascii="Times New Roman" w:hAnsi="Times New Roman" w:cs="Times New Roman"/>
                <w:b/>
                <w:color w:val="000000"/>
                <w:sz w:val="24"/>
                <w:szCs w:val="24"/>
                <w:lang w:val="en-GB"/>
              </w:rPr>
              <w:t xml:space="preserve">Masa institucionale dhe zbatuese: </w:t>
            </w:r>
          </w:p>
          <w:p w:rsidR="00CC6979" w:rsidRPr="00E01A0A" w:rsidRDefault="00CC6979" w:rsidP="00CC6979">
            <w:pPr>
              <w:jc w:val="both"/>
              <w:rPr>
                <w:rFonts w:ascii="Times New Roman" w:hAnsi="Times New Roman" w:cs="Times New Roman"/>
                <w:color w:val="000000"/>
                <w:sz w:val="24"/>
                <w:szCs w:val="24"/>
                <w:lang w:val="en-GB"/>
              </w:rPr>
            </w:pPr>
            <w:r w:rsidRPr="00E01A0A">
              <w:rPr>
                <w:rFonts w:ascii="Times New Roman" w:hAnsi="Times New Roman" w:cs="Times New Roman"/>
                <w:color w:val="000000"/>
                <w:sz w:val="24"/>
                <w:szCs w:val="24"/>
                <w:lang w:val="en-GB"/>
              </w:rPr>
              <w:t>Rritja e sasiore dhe cilësore e monitorimit dhe profesionalizmit në raportimin mediatik gjatë fushatës zgjedhore në çdo cikël zgjedhor, si dhe e kapaciteteve të AMA-s për të kryer monitorimin në mënyrën e duhur, duke filluar nga zgjedhjet e vitit 2025, nëpërmjet zbatimit të projektit “Modernizimi i studios së monitorimi” nga AMA.</w:t>
            </w:r>
          </w:p>
          <w:p w:rsidR="00CC6979" w:rsidRPr="00E01A0A" w:rsidRDefault="00CC6979" w:rsidP="00CC6979">
            <w:pPr>
              <w:jc w:val="both"/>
              <w:rPr>
                <w:rFonts w:ascii="Times New Roman" w:hAnsi="Times New Roman" w:cs="Times New Roman"/>
                <w:color w:val="000000"/>
                <w:sz w:val="24"/>
                <w:szCs w:val="24"/>
                <w:lang w:val="en-GB"/>
              </w:rPr>
            </w:pPr>
          </w:p>
          <w:p w:rsidR="00CC6979" w:rsidRPr="00E01A0A" w:rsidRDefault="00CC6979" w:rsidP="00CC6979">
            <w:pPr>
              <w:jc w:val="both"/>
              <w:rPr>
                <w:rFonts w:ascii="Times New Roman" w:hAnsi="Times New Roman" w:cs="Times New Roman"/>
                <w:sz w:val="24"/>
                <w:szCs w:val="24"/>
                <w:lang w:val="en-GB"/>
              </w:rPr>
            </w:pPr>
            <w:r w:rsidRPr="00E01A0A">
              <w:rPr>
                <w:rFonts w:ascii="Times New Roman" w:hAnsi="Times New Roman" w:cs="Times New Roman"/>
                <w:sz w:val="24"/>
                <w:szCs w:val="24"/>
                <w:lang w:val="en-GB"/>
              </w:rPr>
              <w:t>Krijohen kapacitete për evidentimin e dezinformimit gjatë proceseve zgjedhore në çdo cikël zgjedhor, duke filluar nga zgjedhjet e vitit 2025, përfshirë target grupet përkatëse.</w:t>
            </w:r>
          </w:p>
          <w:p w:rsidR="00CC6979" w:rsidRPr="00E01A0A" w:rsidRDefault="00CC6979" w:rsidP="00CC6979">
            <w:pPr>
              <w:jc w:val="both"/>
              <w:rPr>
                <w:rFonts w:ascii="Times New Roman" w:hAnsi="Times New Roman" w:cs="Times New Roman"/>
                <w:sz w:val="24"/>
                <w:szCs w:val="24"/>
                <w:lang w:val="en-GB"/>
              </w:rPr>
            </w:pPr>
          </w:p>
          <w:p w:rsidR="00CC6979" w:rsidRPr="00E01A0A" w:rsidRDefault="00CC6979" w:rsidP="00CC6979">
            <w:pPr>
              <w:spacing w:after="160" w:line="259" w:lineRule="auto"/>
              <w:jc w:val="both"/>
              <w:rPr>
                <w:rFonts w:ascii="Times New Roman" w:hAnsi="Times New Roman" w:cs="Times New Roman"/>
                <w:sz w:val="24"/>
                <w:szCs w:val="24"/>
                <w:lang w:val="en-GB"/>
              </w:rPr>
            </w:pPr>
            <w:r w:rsidRPr="00E01A0A">
              <w:rPr>
                <w:rFonts w:ascii="Times New Roman" w:hAnsi="Times New Roman" w:cs="Times New Roman"/>
                <w:sz w:val="24"/>
                <w:szCs w:val="24"/>
                <w:lang w:val="en-GB"/>
              </w:rPr>
              <w:t xml:space="preserve">Zbatimi i vazhdueshëm i mekanizmave të konsoliduar monitorues nga KQZ-ja në </w:t>
            </w:r>
            <w:r w:rsidRPr="00E01A0A">
              <w:rPr>
                <w:rFonts w:ascii="Times New Roman" w:hAnsi="Times New Roman" w:cs="Times New Roman"/>
                <w:sz w:val="24"/>
                <w:szCs w:val="24"/>
                <w:lang w:val="en-GB"/>
              </w:rPr>
              <w:lastRenderedPageBreak/>
              <w:t>bashkëpunim me institucionet e tjera përkatëse mundësohet nga ndryshimet e Kodit Zgjedhor, që shqyrtojnë fushatat digjitale për keqinformim, manipulim dhe ndërhyrje të huaja duke vendosur teknologji të avancuara për analiza në kohë reale, duke bashkëpunuar me platformat e mediave sociale për të zbuluar dhe për të luftuar dezinformimin dhe për të nxitur bashkëpunimin ndërkombëtar që synon adresimin e kërcënimeve ndërkufitare. – Në vazhdim.</w:t>
            </w:r>
          </w:p>
          <w:p w:rsidR="00CC6979" w:rsidRPr="00E01A0A" w:rsidRDefault="00CC6979" w:rsidP="00CC6979">
            <w:pPr>
              <w:pStyle w:val="ListParagraph"/>
              <w:numPr>
                <w:ilvl w:val="0"/>
                <w:numId w:val="36"/>
              </w:numPr>
              <w:spacing w:after="160" w:line="259" w:lineRule="auto"/>
              <w:jc w:val="both"/>
              <w:rPr>
                <w:rFonts w:ascii="Times New Roman" w:hAnsi="Times New Roman" w:cs="Times New Roman"/>
                <w:sz w:val="24"/>
                <w:szCs w:val="24"/>
              </w:rPr>
            </w:pPr>
            <w:r w:rsidRPr="00E01A0A">
              <w:rPr>
                <w:rFonts w:ascii="Times New Roman" w:hAnsi="Times New Roman" w:cs="Times New Roman"/>
                <w:sz w:val="24"/>
                <w:szCs w:val="24"/>
              </w:rPr>
              <w:t>Sa i përket financimit të partive politike</w:t>
            </w:r>
            <w:r w:rsidR="009543F1" w:rsidRPr="00E01A0A">
              <w:rPr>
                <w:rFonts w:ascii="Times New Roman" w:hAnsi="Times New Roman" w:cs="Times New Roman"/>
                <w:sz w:val="24"/>
                <w:szCs w:val="24"/>
              </w:rPr>
              <w:t xml:space="preserve"> rekomandimet tuaja janë mëse të vlefshme dhe Ministria e Drejtësisë ja ka komunikuar KQZ me qëllim marrjen parasysh dhe sigurimin sa më të gjerë të shoqërisë civile në monitorimin e financave të partive politike.</w:t>
            </w:r>
          </w:p>
        </w:tc>
      </w:tr>
    </w:tbl>
    <w:p w:rsidR="00FF0AE1" w:rsidRPr="00E01A0A" w:rsidRDefault="00FF0AE1" w:rsidP="0069359D">
      <w:pPr>
        <w:tabs>
          <w:tab w:val="left" w:pos="3914"/>
        </w:tabs>
        <w:spacing w:line="240" w:lineRule="auto"/>
        <w:rPr>
          <w:rFonts w:ascii="Times New Roman" w:hAnsi="Times New Roman" w:cs="Times New Roman"/>
          <w:sz w:val="24"/>
          <w:szCs w:val="24"/>
          <w:lang w:val="sq-AL"/>
        </w:rPr>
      </w:pPr>
    </w:p>
    <w:sectPr w:rsidR="00FF0AE1" w:rsidRPr="00E01A0A" w:rsidSect="00E01A0A">
      <w:headerReference w:type="default" r:id="rId20"/>
      <w:footerReference w:type="default" r:id="rId21"/>
      <w:headerReference w:type="first" r:id="rId22"/>
      <w:pgSz w:w="16839" w:h="11907" w:orient="landscape" w:code="9"/>
      <w:pgMar w:top="720" w:right="720" w:bottom="720" w:left="720" w:header="720" w:footer="720"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A56AEBB" w16cex:dateUtc="2024-09-22T19:29:00Z"/>
  <w16cex:commentExtensible w16cex:durableId="216CF72B" w16cex:dateUtc="2024-09-22T19:29:00Z"/>
  <w16cex:commentExtensible w16cex:durableId="3F53315A" w16cex:dateUtc="2024-09-22T19:35:00Z"/>
  <w16cex:commentExtensible w16cex:durableId="1E686BA4" w16cex:dateUtc="2024-09-22T19:35:00Z"/>
  <w16cex:commentExtensible w16cex:durableId="1BA8A7AE" w16cex:dateUtc="2024-09-22T19:41:00Z"/>
  <w16cex:commentExtensible w16cex:durableId="64C4D8A5" w16cex:dateUtc="2024-09-22T19: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FFA" w:rsidRDefault="00494FFA">
      <w:pPr>
        <w:spacing w:line="240" w:lineRule="auto"/>
      </w:pPr>
      <w:r>
        <w:separator/>
      </w:r>
    </w:p>
  </w:endnote>
  <w:endnote w:type="continuationSeparator" w:id="0">
    <w:p w:rsidR="00494FFA" w:rsidRDefault="00494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751" w:rsidRDefault="00AD225C">
    <w:pPr>
      <w:jc w:val="right"/>
    </w:pPr>
    <w:r>
      <w:fldChar w:fldCharType="begin"/>
    </w:r>
    <w:r w:rsidR="00AE1751">
      <w:instrText>PAGE</w:instrText>
    </w:r>
    <w:r>
      <w:fldChar w:fldCharType="separate"/>
    </w:r>
    <w:r w:rsidR="008C38A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FFA" w:rsidRDefault="00494FFA">
      <w:pPr>
        <w:spacing w:line="240" w:lineRule="auto"/>
      </w:pPr>
      <w:r>
        <w:separator/>
      </w:r>
    </w:p>
  </w:footnote>
  <w:footnote w:type="continuationSeparator" w:id="0">
    <w:p w:rsidR="00494FFA" w:rsidRDefault="00494FFA">
      <w:pPr>
        <w:spacing w:line="240" w:lineRule="auto"/>
      </w:pPr>
      <w:r>
        <w:continuationSeparator/>
      </w:r>
    </w:p>
  </w:footnote>
  <w:footnote w:id="1">
    <w:p w:rsidR="00AE1751" w:rsidRDefault="00AE1751" w:rsidP="004A7DF1">
      <w:pPr>
        <w:pStyle w:val="FootnoteText"/>
      </w:pPr>
      <w:r>
        <w:rPr>
          <w:rStyle w:val="FootnoteReference"/>
        </w:rPr>
        <w:footnoteRef/>
      </w:r>
      <w:r>
        <w:t xml:space="preserve"> </w:t>
      </w:r>
      <w:hyperlink r:id="rId1" w:history="1">
        <w:r w:rsidRPr="001A5A04">
          <w:rPr>
            <w:rStyle w:val="Hyperlink"/>
          </w:rPr>
          <w:t>https://ahc.org.al/wp-content/uploads/2022/10/Raport-Studimor-Instrumentet-ligjore-dhe-sfidat-e-angazhimit-te-qytetareve-dhe-te-shoqerise-civile-ne-proceset-vendimmarrese-dhe-legjislative-te-kuvendit.pdf</w:t>
        </w:r>
      </w:hyperlink>
      <w:r>
        <w:t xml:space="preserve"> </w:t>
      </w:r>
    </w:p>
  </w:footnote>
  <w:footnote w:id="2">
    <w:p w:rsidR="00AE1751" w:rsidRPr="008F0655" w:rsidRDefault="00AE1751" w:rsidP="004A7DF1">
      <w:pPr>
        <w:pStyle w:val="FootnoteText"/>
        <w:rPr>
          <w:lang w:val="de-DE"/>
        </w:rPr>
      </w:pPr>
      <w:r>
        <w:rPr>
          <w:rStyle w:val="FootnoteReference"/>
        </w:rPr>
        <w:footnoteRef/>
      </w:r>
      <w:r w:rsidRPr="008F0655">
        <w:rPr>
          <w:lang w:val="de-DE"/>
        </w:rPr>
        <w:t xml:space="preserve"> Pika 4 </w:t>
      </w:r>
      <w:hyperlink r:id="rId2" w:history="1">
        <w:r w:rsidRPr="008F0655">
          <w:rPr>
            <w:rStyle w:val="Hyperlink"/>
            <w:lang w:val="de-DE"/>
          </w:rPr>
          <w:t>https://www.gjk.gov.al/web/NJOFTIME_MBI_VENDIMMARRJENEGJYKAT_S_KUSHTETUESE_GJAT_MUAJIT_NENTOR_2023_2639_1-2582.php</w:t>
        </w:r>
      </w:hyperlink>
      <w:r w:rsidRPr="008F0655">
        <w:rPr>
          <w:lang w:val="de-DE"/>
        </w:rPr>
        <w:t xml:space="preserve"> </w:t>
      </w:r>
    </w:p>
  </w:footnote>
  <w:footnote w:id="3">
    <w:p w:rsidR="00AE1751" w:rsidRPr="008F0655" w:rsidRDefault="00AE1751" w:rsidP="004A7DF1">
      <w:pPr>
        <w:pStyle w:val="FootnoteText"/>
        <w:rPr>
          <w:lang w:val="de-DE"/>
        </w:rPr>
      </w:pPr>
      <w:r>
        <w:rPr>
          <w:rStyle w:val="FootnoteReference"/>
        </w:rPr>
        <w:footnoteRef/>
      </w:r>
      <w:r w:rsidRPr="008F0655">
        <w:rPr>
          <w:lang w:val="de-DE"/>
        </w:rPr>
        <w:t xml:space="preserve"> </w:t>
      </w:r>
      <w:hyperlink r:id="rId3" w:history="1">
        <w:r w:rsidRPr="008F0655">
          <w:rPr>
            <w:rStyle w:val="Hyperlink"/>
            <w:lang w:val="de-DE"/>
          </w:rPr>
          <w:t>https://gjykatatirana.gov.al/gjykatatirana/zyrat-e-regjistrimit-te-ojf/</w:t>
        </w:r>
      </w:hyperlink>
      <w:r w:rsidRPr="008F0655">
        <w:rPr>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A0A" w:rsidRDefault="00E01A0A" w:rsidP="00E01A0A">
    <w:pPr>
      <w:pStyle w:val="Default"/>
      <w:jc w:val="center"/>
      <w:rPr>
        <w:b/>
      </w:rPr>
    </w:pPr>
  </w:p>
  <w:p w:rsidR="00AE1751" w:rsidRPr="00CD6973" w:rsidRDefault="00AE1751" w:rsidP="00766192">
    <w:pPr>
      <w:pStyle w:val="Header"/>
      <w:jc w:val="center"/>
      <w:rPr>
        <w:rFonts w:ascii="Times New Roman" w:eastAsia="Times New Roman" w:hAnsi="Times New Roman" w:cs="Times New Roman"/>
        <w:b/>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A0A" w:rsidRDefault="00E01A0A" w:rsidP="00E01A0A">
    <w:pPr>
      <w:pStyle w:val="Default"/>
      <w:jc w:val="center"/>
      <w:rPr>
        <w:b/>
      </w:rPr>
    </w:pPr>
    <w:r>
      <w:rPr>
        <w:noProof/>
      </w:rPr>
      <w:drawing>
        <wp:inline distT="0" distB="0" distL="0" distR="0" wp14:anchorId="2CEA7B4E" wp14:editId="3A892193">
          <wp:extent cx="5688330" cy="722586"/>
          <wp:effectExtent l="0" t="0" r="63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330" cy="722586"/>
                  </a:xfrm>
                  <a:prstGeom prst="rect">
                    <a:avLst/>
                  </a:prstGeom>
                  <a:noFill/>
                  <a:ln>
                    <a:noFill/>
                  </a:ln>
                </pic:spPr>
              </pic:pic>
            </a:graphicData>
          </a:graphic>
        </wp:inline>
      </w:drawing>
    </w:r>
  </w:p>
  <w:p w:rsidR="00E01A0A" w:rsidRPr="00F223E6" w:rsidRDefault="00E01A0A" w:rsidP="00E01A0A">
    <w:pPr>
      <w:spacing w:line="240" w:lineRule="auto"/>
      <w:jc w:val="center"/>
      <w:rPr>
        <w:rFonts w:ascii="Times New Roman" w:hAnsi="Times New Roman"/>
        <w:sz w:val="24"/>
        <w:szCs w:val="24"/>
      </w:rPr>
    </w:pPr>
    <w:r w:rsidRPr="000C235E">
      <w:rPr>
        <w:rFonts w:ascii="Times New Roman" w:hAnsi="Times New Roman"/>
        <w:b/>
        <w:sz w:val="24"/>
        <w:szCs w:val="24"/>
      </w:rPr>
      <w:t xml:space="preserve">   MINISTRIA E DREJTËSISË</w:t>
    </w:r>
  </w:p>
  <w:p w:rsidR="00E01A0A" w:rsidRDefault="00E01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502"/>
    <w:multiLevelType w:val="hybridMultilevel"/>
    <w:tmpl w:val="646E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F01D0"/>
    <w:multiLevelType w:val="hybridMultilevel"/>
    <w:tmpl w:val="87CAB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C53A2"/>
    <w:multiLevelType w:val="multilevel"/>
    <w:tmpl w:val="4E4642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B4739B"/>
    <w:multiLevelType w:val="hybridMultilevel"/>
    <w:tmpl w:val="13D4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903DB"/>
    <w:multiLevelType w:val="hybridMultilevel"/>
    <w:tmpl w:val="DB66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67E8D"/>
    <w:multiLevelType w:val="hybridMultilevel"/>
    <w:tmpl w:val="5FBC3E70"/>
    <w:lvl w:ilvl="0" w:tplc="796CCA8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8D0B84"/>
    <w:multiLevelType w:val="hybridMultilevel"/>
    <w:tmpl w:val="5D88B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81403"/>
    <w:multiLevelType w:val="hybridMultilevel"/>
    <w:tmpl w:val="E18A01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825E9"/>
    <w:multiLevelType w:val="hybridMultilevel"/>
    <w:tmpl w:val="FE4C3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B3779"/>
    <w:multiLevelType w:val="hybridMultilevel"/>
    <w:tmpl w:val="9F507020"/>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0" w15:restartNumberingAfterBreak="0">
    <w:nsid w:val="3120490C"/>
    <w:multiLevelType w:val="hybridMultilevel"/>
    <w:tmpl w:val="0B16C7C0"/>
    <w:lvl w:ilvl="0" w:tplc="A54AB700">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32372100"/>
    <w:multiLevelType w:val="hybridMultilevel"/>
    <w:tmpl w:val="DF682200"/>
    <w:lvl w:ilvl="0" w:tplc="B1FEF23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27A9E"/>
    <w:multiLevelType w:val="hybridMultilevel"/>
    <w:tmpl w:val="29CCE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E17C2"/>
    <w:multiLevelType w:val="hybridMultilevel"/>
    <w:tmpl w:val="2A8C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16E77"/>
    <w:multiLevelType w:val="multilevel"/>
    <w:tmpl w:val="1B000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B53017"/>
    <w:multiLevelType w:val="hybridMultilevel"/>
    <w:tmpl w:val="47E8E9C4"/>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36AC1823"/>
    <w:multiLevelType w:val="hybridMultilevel"/>
    <w:tmpl w:val="E166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BB01FB"/>
    <w:multiLevelType w:val="hybridMultilevel"/>
    <w:tmpl w:val="4AB430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E73BA"/>
    <w:multiLevelType w:val="hybridMultilevel"/>
    <w:tmpl w:val="D1F2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315017"/>
    <w:multiLevelType w:val="hybridMultilevel"/>
    <w:tmpl w:val="AB4AC938"/>
    <w:lvl w:ilvl="0" w:tplc="35DCACB8">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15:restartNumberingAfterBreak="0">
    <w:nsid w:val="44E254BF"/>
    <w:multiLevelType w:val="hybridMultilevel"/>
    <w:tmpl w:val="CC54331C"/>
    <w:lvl w:ilvl="0" w:tplc="3DF2FD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347163"/>
    <w:multiLevelType w:val="hybridMultilevel"/>
    <w:tmpl w:val="E668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5145FA"/>
    <w:multiLevelType w:val="hybridMultilevel"/>
    <w:tmpl w:val="E33ABB44"/>
    <w:lvl w:ilvl="0" w:tplc="9E1623B2">
      <w:start w:val="1"/>
      <w:numFmt w:val="decimal"/>
      <w:lvlText w:val="%1."/>
      <w:lvlJc w:val="left"/>
      <w:pPr>
        <w:ind w:left="72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823B31"/>
    <w:multiLevelType w:val="hybridMultilevel"/>
    <w:tmpl w:val="C0144A74"/>
    <w:lvl w:ilvl="0" w:tplc="5F8C13B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16BD6"/>
    <w:multiLevelType w:val="multilevel"/>
    <w:tmpl w:val="73D4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442C43"/>
    <w:multiLevelType w:val="hybridMultilevel"/>
    <w:tmpl w:val="608A29F8"/>
    <w:lvl w:ilvl="0" w:tplc="6616D9E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F622D"/>
    <w:multiLevelType w:val="hybridMultilevel"/>
    <w:tmpl w:val="DAEC157E"/>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7" w15:restartNumberingAfterBreak="0">
    <w:nsid w:val="63DD543C"/>
    <w:multiLevelType w:val="multilevel"/>
    <w:tmpl w:val="9F2E3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7C587E"/>
    <w:multiLevelType w:val="hybridMultilevel"/>
    <w:tmpl w:val="EA542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6A6403"/>
    <w:multiLevelType w:val="hybridMultilevel"/>
    <w:tmpl w:val="2242A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A6DD1"/>
    <w:multiLevelType w:val="hybridMultilevel"/>
    <w:tmpl w:val="7B96BC42"/>
    <w:lvl w:ilvl="0" w:tplc="C9D0EC00">
      <w:start w:val="10"/>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F5737F6"/>
    <w:multiLevelType w:val="hybridMultilevel"/>
    <w:tmpl w:val="4EBC06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9610D8"/>
    <w:multiLevelType w:val="hybridMultilevel"/>
    <w:tmpl w:val="C610CB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6"/>
  </w:num>
  <w:num w:numId="4">
    <w:abstractNumId w:val="23"/>
  </w:num>
  <w:num w:numId="5">
    <w:abstractNumId w:val="20"/>
  </w:num>
  <w:num w:numId="6">
    <w:abstractNumId w:val="31"/>
  </w:num>
  <w:num w:numId="7">
    <w:abstractNumId w:val="25"/>
  </w:num>
  <w:num w:numId="8">
    <w:abstractNumId w:val="11"/>
  </w:num>
  <w:num w:numId="9">
    <w:abstractNumId w:val="3"/>
  </w:num>
  <w:num w:numId="10">
    <w:abstractNumId w:val="8"/>
  </w:num>
  <w:num w:numId="11">
    <w:abstractNumId w:val="4"/>
  </w:num>
  <w:num w:numId="12">
    <w:abstractNumId w:val="28"/>
  </w:num>
  <w:num w:numId="13">
    <w:abstractNumId w:val="18"/>
  </w:num>
  <w:num w:numId="14">
    <w:abstractNumId w:val="21"/>
  </w:num>
  <w:num w:numId="15">
    <w:abstractNumId w:val="29"/>
  </w:num>
  <w:num w:numId="16">
    <w:abstractNumId w:val="12"/>
  </w:num>
  <w:num w:numId="17">
    <w:abstractNumId w:val="7"/>
  </w:num>
  <w:num w:numId="18">
    <w:abstractNumId w:val="1"/>
  </w:num>
  <w:num w:numId="19">
    <w:abstractNumId w:val="10"/>
  </w:num>
  <w:num w:numId="20">
    <w:abstractNumId w:val="19"/>
  </w:num>
  <w:num w:numId="21">
    <w:abstractNumId w:val="13"/>
  </w:num>
  <w:num w:numId="22">
    <w:abstractNumId w:val="26"/>
  </w:num>
  <w:num w:numId="23">
    <w:abstractNumId w:val="5"/>
  </w:num>
  <w:num w:numId="24">
    <w:abstractNumId w:val="30"/>
  </w:num>
  <w:num w:numId="25">
    <w:abstractNumId w:val="17"/>
  </w:num>
  <w:num w:numId="26">
    <w:abstractNumId w:val="32"/>
  </w:num>
  <w:num w:numId="27">
    <w:abstractNumId w:val="24"/>
  </w:num>
  <w:num w:numId="28">
    <w:abstractNumId w:val="1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9"/>
  </w:num>
  <w:num w:numId="32">
    <w:abstractNumId w:val="2"/>
  </w:num>
  <w:num w:numId="33">
    <w:abstractNumId w:val="14"/>
  </w:num>
  <w:num w:numId="34">
    <w:abstractNumId w:val="2"/>
  </w:num>
  <w:num w:numId="35">
    <w:abstractNumId w:val="14"/>
  </w:num>
  <w:num w:numId="36">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GB" w:vendorID="64" w:dllVersion="0" w:nlCheck="1" w:checkStyle="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9D"/>
    <w:rsid w:val="00000FA3"/>
    <w:rsid w:val="000034B2"/>
    <w:rsid w:val="0001105E"/>
    <w:rsid w:val="00011A76"/>
    <w:rsid w:val="000218B4"/>
    <w:rsid w:val="00023471"/>
    <w:rsid w:val="00023C51"/>
    <w:rsid w:val="00026E1A"/>
    <w:rsid w:val="00042FCA"/>
    <w:rsid w:val="00050896"/>
    <w:rsid w:val="00053248"/>
    <w:rsid w:val="000560E3"/>
    <w:rsid w:val="00056899"/>
    <w:rsid w:val="00062DD6"/>
    <w:rsid w:val="000641DA"/>
    <w:rsid w:val="00064E7E"/>
    <w:rsid w:val="000A3327"/>
    <w:rsid w:val="000A3B81"/>
    <w:rsid w:val="000A497A"/>
    <w:rsid w:val="000B5861"/>
    <w:rsid w:val="000C23DB"/>
    <w:rsid w:val="000C2A20"/>
    <w:rsid w:val="000C55A6"/>
    <w:rsid w:val="000D1AD6"/>
    <w:rsid w:val="000D5431"/>
    <w:rsid w:val="000D6B4F"/>
    <w:rsid w:val="000E20C0"/>
    <w:rsid w:val="000F583B"/>
    <w:rsid w:val="0010123A"/>
    <w:rsid w:val="001073D3"/>
    <w:rsid w:val="00110AE8"/>
    <w:rsid w:val="001127A4"/>
    <w:rsid w:val="0011459B"/>
    <w:rsid w:val="001207A4"/>
    <w:rsid w:val="001210D3"/>
    <w:rsid w:val="00121CF6"/>
    <w:rsid w:val="00126CD0"/>
    <w:rsid w:val="0012780F"/>
    <w:rsid w:val="0013398E"/>
    <w:rsid w:val="00137B6B"/>
    <w:rsid w:val="00147CA1"/>
    <w:rsid w:val="001522B1"/>
    <w:rsid w:val="00152366"/>
    <w:rsid w:val="0015269F"/>
    <w:rsid w:val="0015430B"/>
    <w:rsid w:val="001571DF"/>
    <w:rsid w:val="0015732D"/>
    <w:rsid w:val="0015735F"/>
    <w:rsid w:val="001605AA"/>
    <w:rsid w:val="00167924"/>
    <w:rsid w:val="001701D8"/>
    <w:rsid w:val="001717C4"/>
    <w:rsid w:val="00173F27"/>
    <w:rsid w:val="001855A9"/>
    <w:rsid w:val="00186B56"/>
    <w:rsid w:val="00187FCA"/>
    <w:rsid w:val="001A14AE"/>
    <w:rsid w:val="001B7AAD"/>
    <w:rsid w:val="001C6912"/>
    <w:rsid w:val="001C7266"/>
    <w:rsid w:val="001D2A7F"/>
    <w:rsid w:val="001D4228"/>
    <w:rsid w:val="001E332E"/>
    <w:rsid w:val="001E5814"/>
    <w:rsid w:val="001E6E95"/>
    <w:rsid w:val="001F35C7"/>
    <w:rsid w:val="001F4991"/>
    <w:rsid w:val="001F7D66"/>
    <w:rsid w:val="00200D13"/>
    <w:rsid w:val="0020401F"/>
    <w:rsid w:val="00205042"/>
    <w:rsid w:val="002050E9"/>
    <w:rsid w:val="002051FC"/>
    <w:rsid w:val="00205A76"/>
    <w:rsid w:val="00206549"/>
    <w:rsid w:val="002076B5"/>
    <w:rsid w:val="002122BD"/>
    <w:rsid w:val="00213B28"/>
    <w:rsid w:val="00215C5F"/>
    <w:rsid w:val="00231608"/>
    <w:rsid w:val="002335BB"/>
    <w:rsid w:val="00241727"/>
    <w:rsid w:val="0024696E"/>
    <w:rsid w:val="00253786"/>
    <w:rsid w:val="00264084"/>
    <w:rsid w:val="00267D74"/>
    <w:rsid w:val="002701E1"/>
    <w:rsid w:val="00272B62"/>
    <w:rsid w:val="00276ACD"/>
    <w:rsid w:val="00280006"/>
    <w:rsid w:val="00287568"/>
    <w:rsid w:val="002909FB"/>
    <w:rsid w:val="0029193E"/>
    <w:rsid w:val="002932EA"/>
    <w:rsid w:val="00293D1F"/>
    <w:rsid w:val="002B382E"/>
    <w:rsid w:val="002B3B7A"/>
    <w:rsid w:val="002B3F76"/>
    <w:rsid w:val="002B4C64"/>
    <w:rsid w:val="002B554E"/>
    <w:rsid w:val="002C023C"/>
    <w:rsid w:val="002C3470"/>
    <w:rsid w:val="002C6272"/>
    <w:rsid w:val="002C7323"/>
    <w:rsid w:val="002C7B76"/>
    <w:rsid w:val="002D1C01"/>
    <w:rsid w:val="002D621A"/>
    <w:rsid w:val="002E2C53"/>
    <w:rsid w:val="002E6779"/>
    <w:rsid w:val="002E7449"/>
    <w:rsid w:val="002F4834"/>
    <w:rsid w:val="002F507F"/>
    <w:rsid w:val="002F6952"/>
    <w:rsid w:val="00320095"/>
    <w:rsid w:val="00323664"/>
    <w:rsid w:val="00326D2D"/>
    <w:rsid w:val="0033132E"/>
    <w:rsid w:val="00331A07"/>
    <w:rsid w:val="003337A1"/>
    <w:rsid w:val="00337392"/>
    <w:rsid w:val="003431E8"/>
    <w:rsid w:val="00350466"/>
    <w:rsid w:val="003654C6"/>
    <w:rsid w:val="003670BA"/>
    <w:rsid w:val="00371AD1"/>
    <w:rsid w:val="00381CD0"/>
    <w:rsid w:val="003878D9"/>
    <w:rsid w:val="00390516"/>
    <w:rsid w:val="003905AE"/>
    <w:rsid w:val="003930C6"/>
    <w:rsid w:val="00395B5E"/>
    <w:rsid w:val="003A2342"/>
    <w:rsid w:val="003A266A"/>
    <w:rsid w:val="003B6319"/>
    <w:rsid w:val="003B7825"/>
    <w:rsid w:val="003C038D"/>
    <w:rsid w:val="003C1831"/>
    <w:rsid w:val="003C2E74"/>
    <w:rsid w:val="003E262D"/>
    <w:rsid w:val="003E341E"/>
    <w:rsid w:val="003F4005"/>
    <w:rsid w:val="003F6E7A"/>
    <w:rsid w:val="003F7D22"/>
    <w:rsid w:val="00400DD3"/>
    <w:rsid w:val="00405045"/>
    <w:rsid w:val="00406117"/>
    <w:rsid w:val="00406791"/>
    <w:rsid w:val="004078E0"/>
    <w:rsid w:val="004175ED"/>
    <w:rsid w:val="0042000F"/>
    <w:rsid w:val="004207A5"/>
    <w:rsid w:val="00427ADB"/>
    <w:rsid w:val="00427C3C"/>
    <w:rsid w:val="00427DB3"/>
    <w:rsid w:val="004318DF"/>
    <w:rsid w:val="00431B75"/>
    <w:rsid w:val="004329C3"/>
    <w:rsid w:val="00444084"/>
    <w:rsid w:val="00445846"/>
    <w:rsid w:val="00461B9C"/>
    <w:rsid w:val="00474366"/>
    <w:rsid w:val="00474D5C"/>
    <w:rsid w:val="00484D56"/>
    <w:rsid w:val="00485E5D"/>
    <w:rsid w:val="00494FFA"/>
    <w:rsid w:val="004A270B"/>
    <w:rsid w:val="004A2B4E"/>
    <w:rsid w:val="004A7DF1"/>
    <w:rsid w:val="004B2844"/>
    <w:rsid w:val="004B7F05"/>
    <w:rsid w:val="004D7DB6"/>
    <w:rsid w:val="004E7BB0"/>
    <w:rsid w:val="00501AF5"/>
    <w:rsid w:val="005033F1"/>
    <w:rsid w:val="00505B66"/>
    <w:rsid w:val="00514226"/>
    <w:rsid w:val="005232C7"/>
    <w:rsid w:val="00530093"/>
    <w:rsid w:val="00531B65"/>
    <w:rsid w:val="005325ED"/>
    <w:rsid w:val="0053414C"/>
    <w:rsid w:val="0053451E"/>
    <w:rsid w:val="00541031"/>
    <w:rsid w:val="005412B4"/>
    <w:rsid w:val="00550606"/>
    <w:rsid w:val="00550E35"/>
    <w:rsid w:val="0055116A"/>
    <w:rsid w:val="00554E29"/>
    <w:rsid w:val="00560281"/>
    <w:rsid w:val="0056623A"/>
    <w:rsid w:val="0057427A"/>
    <w:rsid w:val="005752F1"/>
    <w:rsid w:val="00576615"/>
    <w:rsid w:val="00581FEA"/>
    <w:rsid w:val="00581FF0"/>
    <w:rsid w:val="00582838"/>
    <w:rsid w:val="0058712E"/>
    <w:rsid w:val="00591F46"/>
    <w:rsid w:val="00596475"/>
    <w:rsid w:val="005A0817"/>
    <w:rsid w:val="005A2D9C"/>
    <w:rsid w:val="005A484B"/>
    <w:rsid w:val="005A6EF4"/>
    <w:rsid w:val="005B305D"/>
    <w:rsid w:val="005B4F7B"/>
    <w:rsid w:val="005B7114"/>
    <w:rsid w:val="005C1755"/>
    <w:rsid w:val="005C6A99"/>
    <w:rsid w:val="005D1B43"/>
    <w:rsid w:val="005D46B1"/>
    <w:rsid w:val="005E12FB"/>
    <w:rsid w:val="005E3B23"/>
    <w:rsid w:val="005F019A"/>
    <w:rsid w:val="005F0AC9"/>
    <w:rsid w:val="005F4258"/>
    <w:rsid w:val="005F4C49"/>
    <w:rsid w:val="005F6EF5"/>
    <w:rsid w:val="00602B54"/>
    <w:rsid w:val="00602F06"/>
    <w:rsid w:val="00606D2A"/>
    <w:rsid w:val="00606DD1"/>
    <w:rsid w:val="00611B29"/>
    <w:rsid w:val="0061361B"/>
    <w:rsid w:val="006142E2"/>
    <w:rsid w:val="0061656A"/>
    <w:rsid w:val="0062139D"/>
    <w:rsid w:val="00622317"/>
    <w:rsid w:val="00622A41"/>
    <w:rsid w:val="00623BA4"/>
    <w:rsid w:val="00625A22"/>
    <w:rsid w:val="006319A7"/>
    <w:rsid w:val="00632570"/>
    <w:rsid w:val="00633475"/>
    <w:rsid w:val="00633AB7"/>
    <w:rsid w:val="006407C3"/>
    <w:rsid w:val="00640F7B"/>
    <w:rsid w:val="0064644A"/>
    <w:rsid w:val="006508C6"/>
    <w:rsid w:val="00650F08"/>
    <w:rsid w:val="00661C3D"/>
    <w:rsid w:val="00663AD1"/>
    <w:rsid w:val="00664495"/>
    <w:rsid w:val="00666510"/>
    <w:rsid w:val="00666B97"/>
    <w:rsid w:val="006705A4"/>
    <w:rsid w:val="00671FE0"/>
    <w:rsid w:val="00675E35"/>
    <w:rsid w:val="0068099A"/>
    <w:rsid w:val="00682850"/>
    <w:rsid w:val="00683A15"/>
    <w:rsid w:val="006842C4"/>
    <w:rsid w:val="00686BDD"/>
    <w:rsid w:val="006872A4"/>
    <w:rsid w:val="006932F9"/>
    <w:rsid w:val="0069359D"/>
    <w:rsid w:val="0069364C"/>
    <w:rsid w:val="00695800"/>
    <w:rsid w:val="006B6442"/>
    <w:rsid w:val="006C2AA2"/>
    <w:rsid w:val="006D32F1"/>
    <w:rsid w:val="006F0470"/>
    <w:rsid w:val="006F0F9A"/>
    <w:rsid w:val="006F3397"/>
    <w:rsid w:val="007123E6"/>
    <w:rsid w:val="00714990"/>
    <w:rsid w:val="00715778"/>
    <w:rsid w:val="007202EF"/>
    <w:rsid w:val="00720574"/>
    <w:rsid w:val="00722B87"/>
    <w:rsid w:val="00730D48"/>
    <w:rsid w:val="00747A5A"/>
    <w:rsid w:val="007615D3"/>
    <w:rsid w:val="00766192"/>
    <w:rsid w:val="00777DAE"/>
    <w:rsid w:val="00783C66"/>
    <w:rsid w:val="00784D3C"/>
    <w:rsid w:val="00792600"/>
    <w:rsid w:val="00795E9F"/>
    <w:rsid w:val="007B284F"/>
    <w:rsid w:val="007B31F9"/>
    <w:rsid w:val="007B32DC"/>
    <w:rsid w:val="007C7369"/>
    <w:rsid w:val="007C7BAD"/>
    <w:rsid w:val="007D45C5"/>
    <w:rsid w:val="007D5019"/>
    <w:rsid w:val="007D50B1"/>
    <w:rsid w:val="007D7918"/>
    <w:rsid w:val="007E09E7"/>
    <w:rsid w:val="007E12D3"/>
    <w:rsid w:val="007E31F5"/>
    <w:rsid w:val="007E33B3"/>
    <w:rsid w:val="007E59EB"/>
    <w:rsid w:val="007E5EAD"/>
    <w:rsid w:val="007F5CAF"/>
    <w:rsid w:val="0080056F"/>
    <w:rsid w:val="00801A50"/>
    <w:rsid w:val="00803FFD"/>
    <w:rsid w:val="008120B7"/>
    <w:rsid w:val="008219A6"/>
    <w:rsid w:val="00822644"/>
    <w:rsid w:val="008276E1"/>
    <w:rsid w:val="00827E77"/>
    <w:rsid w:val="008430B1"/>
    <w:rsid w:val="008435A7"/>
    <w:rsid w:val="008504A8"/>
    <w:rsid w:val="00860C40"/>
    <w:rsid w:val="00860E6D"/>
    <w:rsid w:val="00861CC4"/>
    <w:rsid w:val="00863189"/>
    <w:rsid w:val="00863906"/>
    <w:rsid w:val="00866CAD"/>
    <w:rsid w:val="008777CC"/>
    <w:rsid w:val="008779A3"/>
    <w:rsid w:val="00882DD5"/>
    <w:rsid w:val="00884878"/>
    <w:rsid w:val="0089667C"/>
    <w:rsid w:val="008A2BC1"/>
    <w:rsid w:val="008A2E47"/>
    <w:rsid w:val="008A5679"/>
    <w:rsid w:val="008A5791"/>
    <w:rsid w:val="008B2531"/>
    <w:rsid w:val="008B57D7"/>
    <w:rsid w:val="008B71BB"/>
    <w:rsid w:val="008B7228"/>
    <w:rsid w:val="008C38A4"/>
    <w:rsid w:val="008C6C95"/>
    <w:rsid w:val="008C7FB5"/>
    <w:rsid w:val="008D5445"/>
    <w:rsid w:val="008F0655"/>
    <w:rsid w:val="008F5F05"/>
    <w:rsid w:val="00901200"/>
    <w:rsid w:val="00903C69"/>
    <w:rsid w:val="0091019E"/>
    <w:rsid w:val="009112B5"/>
    <w:rsid w:val="0091767C"/>
    <w:rsid w:val="00930011"/>
    <w:rsid w:val="0093072C"/>
    <w:rsid w:val="00930A3F"/>
    <w:rsid w:val="00930FBB"/>
    <w:rsid w:val="009346A0"/>
    <w:rsid w:val="00935083"/>
    <w:rsid w:val="00935691"/>
    <w:rsid w:val="00935F32"/>
    <w:rsid w:val="00941D33"/>
    <w:rsid w:val="0094251C"/>
    <w:rsid w:val="00950C1D"/>
    <w:rsid w:val="00950E52"/>
    <w:rsid w:val="009543F1"/>
    <w:rsid w:val="009656D5"/>
    <w:rsid w:val="00967919"/>
    <w:rsid w:val="00972367"/>
    <w:rsid w:val="00973B36"/>
    <w:rsid w:val="009759FC"/>
    <w:rsid w:val="00975C6A"/>
    <w:rsid w:val="009907F9"/>
    <w:rsid w:val="009B1320"/>
    <w:rsid w:val="009B61E7"/>
    <w:rsid w:val="009C5B9A"/>
    <w:rsid w:val="009D025B"/>
    <w:rsid w:val="009E02AE"/>
    <w:rsid w:val="00A054C0"/>
    <w:rsid w:val="00A15DB8"/>
    <w:rsid w:val="00A20E47"/>
    <w:rsid w:val="00A22B3D"/>
    <w:rsid w:val="00A2414A"/>
    <w:rsid w:val="00A255A2"/>
    <w:rsid w:val="00A25948"/>
    <w:rsid w:val="00A2664D"/>
    <w:rsid w:val="00A34863"/>
    <w:rsid w:val="00A41066"/>
    <w:rsid w:val="00A46F85"/>
    <w:rsid w:val="00A54EB2"/>
    <w:rsid w:val="00A60419"/>
    <w:rsid w:val="00A6665D"/>
    <w:rsid w:val="00A66FC4"/>
    <w:rsid w:val="00A7013B"/>
    <w:rsid w:val="00A725E4"/>
    <w:rsid w:val="00A74290"/>
    <w:rsid w:val="00A75BBB"/>
    <w:rsid w:val="00A80699"/>
    <w:rsid w:val="00A92DF6"/>
    <w:rsid w:val="00AA2006"/>
    <w:rsid w:val="00AA283B"/>
    <w:rsid w:val="00AA2E88"/>
    <w:rsid w:val="00AA5805"/>
    <w:rsid w:val="00AC0A2A"/>
    <w:rsid w:val="00AC1F31"/>
    <w:rsid w:val="00AC3FD6"/>
    <w:rsid w:val="00AC5E14"/>
    <w:rsid w:val="00AD225C"/>
    <w:rsid w:val="00AD2431"/>
    <w:rsid w:val="00AD259C"/>
    <w:rsid w:val="00AE1751"/>
    <w:rsid w:val="00AE4529"/>
    <w:rsid w:val="00B06588"/>
    <w:rsid w:val="00B16078"/>
    <w:rsid w:val="00B25641"/>
    <w:rsid w:val="00B271F2"/>
    <w:rsid w:val="00B30935"/>
    <w:rsid w:val="00B31274"/>
    <w:rsid w:val="00B33D20"/>
    <w:rsid w:val="00B34831"/>
    <w:rsid w:val="00B40959"/>
    <w:rsid w:val="00B425BC"/>
    <w:rsid w:val="00B43397"/>
    <w:rsid w:val="00B457D6"/>
    <w:rsid w:val="00B45DAD"/>
    <w:rsid w:val="00B5626D"/>
    <w:rsid w:val="00B5732B"/>
    <w:rsid w:val="00B669CA"/>
    <w:rsid w:val="00B71E3F"/>
    <w:rsid w:val="00B8201C"/>
    <w:rsid w:val="00B83716"/>
    <w:rsid w:val="00B8519D"/>
    <w:rsid w:val="00B90C5F"/>
    <w:rsid w:val="00B93611"/>
    <w:rsid w:val="00BA0911"/>
    <w:rsid w:val="00BA236B"/>
    <w:rsid w:val="00BA373D"/>
    <w:rsid w:val="00BA5DB3"/>
    <w:rsid w:val="00BA6DC0"/>
    <w:rsid w:val="00BB1D52"/>
    <w:rsid w:val="00BB49CB"/>
    <w:rsid w:val="00BB4AAE"/>
    <w:rsid w:val="00BC0A18"/>
    <w:rsid w:val="00BC127F"/>
    <w:rsid w:val="00BE101B"/>
    <w:rsid w:val="00BE501E"/>
    <w:rsid w:val="00BE5432"/>
    <w:rsid w:val="00BF1DB0"/>
    <w:rsid w:val="00BF1E8D"/>
    <w:rsid w:val="00BF35BB"/>
    <w:rsid w:val="00BF72F5"/>
    <w:rsid w:val="00C05098"/>
    <w:rsid w:val="00C0561F"/>
    <w:rsid w:val="00C069B4"/>
    <w:rsid w:val="00C12A3C"/>
    <w:rsid w:val="00C20157"/>
    <w:rsid w:val="00C20D8A"/>
    <w:rsid w:val="00C31ED9"/>
    <w:rsid w:val="00C3372C"/>
    <w:rsid w:val="00C34FDA"/>
    <w:rsid w:val="00C415E0"/>
    <w:rsid w:val="00C47C30"/>
    <w:rsid w:val="00C505B6"/>
    <w:rsid w:val="00C53063"/>
    <w:rsid w:val="00C54A9B"/>
    <w:rsid w:val="00C5574E"/>
    <w:rsid w:val="00C57D8A"/>
    <w:rsid w:val="00C6024E"/>
    <w:rsid w:val="00C61AF8"/>
    <w:rsid w:val="00C63E58"/>
    <w:rsid w:val="00C669FC"/>
    <w:rsid w:val="00C711DD"/>
    <w:rsid w:val="00C71D22"/>
    <w:rsid w:val="00C74183"/>
    <w:rsid w:val="00C855DB"/>
    <w:rsid w:val="00C90CCD"/>
    <w:rsid w:val="00C9213E"/>
    <w:rsid w:val="00CA04FD"/>
    <w:rsid w:val="00CA4639"/>
    <w:rsid w:val="00CA7413"/>
    <w:rsid w:val="00CA76A5"/>
    <w:rsid w:val="00CB6950"/>
    <w:rsid w:val="00CC0F9B"/>
    <w:rsid w:val="00CC4C23"/>
    <w:rsid w:val="00CC6979"/>
    <w:rsid w:val="00CD16B7"/>
    <w:rsid w:val="00CD45D8"/>
    <w:rsid w:val="00CD4AD8"/>
    <w:rsid w:val="00CD564D"/>
    <w:rsid w:val="00CD6973"/>
    <w:rsid w:val="00CD69D2"/>
    <w:rsid w:val="00CE1F96"/>
    <w:rsid w:val="00D10E93"/>
    <w:rsid w:val="00D148B9"/>
    <w:rsid w:val="00D229B9"/>
    <w:rsid w:val="00D253BD"/>
    <w:rsid w:val="00D4391A"/>
    <w:rsid w:val="00D447D8"/>
    <w:rsid w:val="00D50937"/>
    <w:rsid w:val="00D52E6C"/>
    <w:rsid w:val="00D56452"/>
    <w:rsid w:val="00D60AA2"/>
    <w:rsid w:val="00D61B35"/>
    <w:rsid w:val="00D64790"/>
    <w:rsid w:val="00D65886"/>
    <w:rsid w:val="00D67937"/>
    <w:rsid w:val="00D75C4D"/>
    <w:rsid w:val="00D84549"/>
    <w:rsid w:val="00D8607A"/>
    <w:rsid w:val="00D93F66"/>
    <w:rsid w:val="00D945C8"/>
    <w:rsid w:val="00D973B6"/>
    <w:rsid w:val="00D97C2D"/>
    <w:rsid w:val="00DA6AF3"/>
    <w:rsid w:val="00DB7C6F"/>
    <w:rsid w:val="00DC2D62"/>
    <w:rsid w:val="00DC4398"/>
    <w:rsid w:val="00DD02B7"/>
    <w:rsid w:val="00DD39BB"/>
    <w:rsid w:val="00DE3BAF"/>
    <w:rsid w:val="00DE5B05"/>
    <w:rsid w:val="00DF3E25"/>
    <w:rsid w:val="00DF471B"/>
    <w:rsid w:val="00DF7CB9"/>
    <w:rsid w:val="00DF7F29"/>
    <w:rsid w:val="00E0026C"/>
    <w:rsid w:val="00E01A0A"/>
    <w:rsid w:val="00E01C31"/>
    <w:rsid w:val="00E020ED"/>
    <w:rsid w:val="00E022D2"/>
    <w:rsid w:val="00E0569A"/>
    <w:rsid w:val="00E06D2E"/>
    <w:rsid w:val="00E10DA4"/>
    <w:rsid w:val="00E113FF"/>
    <w:rsid w:val="00E17F06"/>
    <w:rsid w:val="00E20C27"/>
    <w:rsid w:val="00E23E67"/>
    <w:rsid w:val="00E25EAD"/>
    <w:rsid w:val="00E3253E"/>
    <w:rsid w:val="00E4276A"/>
    <w:rsid w:val="00E4740C"/>
    <w:rsid w:val="00E52906"/>
    <w:rsid w:val="00E54E54"/>
    <w:rsid w:val="00E55C0B"/>
    <w:rsid w:val="00E5719E"/>
    <w:rsid w:val="00E60B7C"/>
    <w:rsid w:val="00E61EC4"/>
    <w:rsid w:val="00E705E5"/>
    <w:rsid w:val="00E70EDB"/>
    <w:rsid w:val="00E7258E"/>
    <w:rsid w:val="00E749CB"/>
    <w:rsid w:val="00E751B9"/>
    <w:rsid w:val="00E7621C"/>
    <w:rsid w:val="00E81197"/>
    <w:rsid w:val="00E85B2A"/>
    <w:rsid w:val="00E87AFA"/>
    <w:rsid w:val="00E96336"/>
    <w:rsid w:val="00E96BC9"/>
    <w:rsid w:val="00E97894"/>
    <w:rsid w:val="00EA7D4E"/>
    <w:rsid w:val="00EB0165"/>
    <w:rsid w:val="00EB5242"/>
    <w:rsid w:val="00EB5734"/>
    <w:rsid w:val="00EC2BD1"/>
    <w:rsid w:val="00EC7687"/>
    <w:rsid w:val="00ED0B46"/>
    <w:rsid w:val="00EE137E"/>
    <w:rsid w:val="00EE4945"/>
    <w:rsid w:val="00EE4D7D"/>
    <w:rsid w:val="00EE52FB"/>
    <w:rsid w:val="00EE5FC1"/>
    <w:rsid w:val="00EE65C6"/>
    <w:rsid w:val="00EF0429"/>
    <w:rsid w:val="00EF2632"/>
    <w:rsid w:val="00F03002"/>
    <w:rsid w:val="00F040D7"/>
    <w:rsid w:val="00F100E4"/>
    <w:rsid w:val="00F10102"/>
    <w:rsid w:val="00F15395"/>
    <w:rsid w:val="00F2019C"/>
    <w:rsid w:val="00F216EF"/>
    <w:rsid w:val="00F35393"/>
    <w:rsid w:val="00F4791D"/>
    <w:rsid w:val="00F512F7"/>
    <w:rsid w:val="00F51C41"/>
    <w:rsid w:val="00F531E2"/>
    <w:rsid w:val="00F5471C"/>
    <w:rsid w:val="00F5525B"/>
    <w:rsid w:val="00F571A0"/>
    <w:rsid w:val="00F60370"/>
    <w:rsid w:val="00F63CBC"/>
    <w:rsid w:val="00F6467D"/>
    <w:rsid w:val="00F75BF6"/>
    <w:rsid w:val="00F85747"/>
    <w:rsid w:val="00F90C97"/>
    <w:rsid w:val="00F961F0"/>
    <w:rsid w:val="00F964A7"/>
    <w:rsid w:val="00FA327A"/>
    <w:rsid w:val="00FA5203"/>
    <w:rsid w:val="00FA5B27"/>
    <w:rsid w:val="00FA6461"/>
    <w:rsid w:val="00FA6CD6"/>
    <w:rsid w:val="00FB3307"/>
    <w:rsid w:val="00FC41BA"/>
    <w:rsid w:val="00FD2F84"/>
    <w:rsid w:val="00FE2FEF"/>
    <w:rsid w:val="00FF0AE1"/>
    <w:rsid w:val="00FF73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18B859-8149-451B-970F-B788C662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15DB8"/>
  </w:style>
  <w:style w:type="paragraph" w:styleId="Heading1">
    <w:name w:val="heading 1"/>
    <w:basedOn w:val="Normal"/>
    <w:next w:val="Normal"/>
    <w:rsid w:val="00554E29"/>
    <w:pPr>
      <w:keepNext/>
      <w:keepLines/>
      <w:spacing w:before="400" w:after="120"/>
      <w:outlineLvl w:val="0"/>
    </w:pPr>
    <w:rPr>
      <w:sz w:val="40"/>
      <w:szCs w:val="40"/>
    </w:rPr>
  </w:style>
  <w:style w:type="paragraph" w:styleId="Heading2">
    <w:name w:val="heading 2"/>
    <w:basedOn w:val="Normal"/>
    <w:next w:val="Normal"/>
    <w:rsid w:val="00554E29"/>
    <w:pPr>
      <w:keepNext/>
      <w:keepLines/>
      <w:spacing w:before="360" w:after="120"/>
      <w:outlineLvl w:val="1"/>
    </w:pPr>
    <w:rPr>
      <w:sz w:val="32"/>
      <w:szCs w:val="32"/>
    </w:rPr>
  </w:style>
  <w:style w:type="paragraph" w:styleId="Heading3">
    <w:name w:val="heading 3"/>
    <w:basedOn w:val="Normal"/>
    <w:next w:val="Normal"/>
    <w:rsid w:val="00554E29"/>
    <w:pPr>
      <w:keepNext/>
      <w:keepLines/>
      <w:spacing w:before="320" w:after="80"/>
      <w:outlineLvl w:val="2"/>
    </w:pPr>
    <w:rPr>
      <w:color w:val="434343"/>
      <w:sz w:val="28"/>
      <w:szCs w:val="28"/>
    </w:rPr>
  </w:style>
  <w:style w:type="paragraph" w:styleId="Heading4">
    <w:name w:val="heading 4"/>
    <w:basedOn w:val="Normal"/>
    <w:next w:val="Normal"/>
    <w:rsid w:val="00554E29"/>
    <w:pPr>
      <w:keepNext/>
      <w:keepLines/>
      <w:spacing w:before="280" w:after="80"/>
      <w:outlineLvl w:val="3"/>
    </w:pPr>
    <w:rPr>
      <w:color w:val="666666"/>
      <w:sz w:val="24"/>
      <w:szCs w:val="24"/>
    </w:rPr>
  </w:style>
  <w:style w:type="paragraph" w:styleId="Heading5">
    <w:name w:val="heading 5"/>
    <w:basedOn w:val="Normal"/>
    <w:next w:val="Normal"/>
    <w:rsid w:val="00554E29"/>
    <w:pPr>
      <w:keepNext/>
      <w:keepLines/>
      <w:spacing w:before="240" w:after="80"/>
      <w:outlineLvl w:val="4"/>
    </w:pPr>
    <w:rPr>
      <w:color w:val="666666"/>
    </w:rPr>
  </w:style>
  <w:style w:type="paragraph" w:styleId="Heading6">
    <w:name w:val="heading 6"/>
    <w:basedOn w:val="Normal"/>
    <w:next w:val="Normal"/>
    <w:rsid w:val="00554E2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54E29"/>
    <w:pPr>
      <w:keepNext/>
      <w:keepLines/>
      <w:spacing w:after="60"/>
    </w:pPr>
    <w:rPr>
      <w:sz w:val="52"/>
      <w:szCs w:val="52"/>
    </w:rPr>
  </w:style>
  <w:style w:type="paragraph" w:styleId="Subtitle">
    <w:name w:val="Subtitle"/>
    <w:basedOn w:val="Normal"/>
    <w:next w:val="Normal"/>
    <w:rsid w:val="00554E29"/>
    <w:pPr>
      <w:keepNext/>
      <w:keepLines/>
      <w:spacing w:after="320"/>
    </w:pPr>
    <w:rPr>
      <w:color w:val="666666"/>
      <w:sz w:val="30"/>
      <w:szCs w:val="30"/>
    </w:rPr>
  </w:style>
  <w:style w:type="table" w:customStyle="1" w:styleId="1">
    <w:name w:val="1"/>
    <w:basedOn w:val="TableNormal"/>
    <w:rsid w:val="00554E29"/>
    <w:tblPr>
      <w:tblStyleRowBandSize w:val="1"/>
      <w:tblStyleColBandSize w:val="1"/>
      <w:tblCellMar>
        <w:top w:w="100" w:type="dxa"/>
        <w:left w:w="100" w:type="dxa"/>
        <w:bottom w:w="100" w:type="dxa"/>
        <w:right w:w="100" w:type="dxa"/>
      </w:tblCellMar>
    </w:tbl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CC0F9B"/>
    <w:pPr>
      <w:ind w:left="720"/>
      <w:contextualSpacing/>
    </w:pPr>
  </w:style>
  <w:style w:type="paragraph" w:styleId="BalloonText">
    <w:name w:val="Balloon Text"/>
    <w:basedOn w:val="Normal"/>
    <w:link w:val="BalloonTextChar"/>
    <w:uiPriority w:val="99"/>
    <w:semiHidden/>
    <w:unhideWhenUsed/>
    <w:rsid w:val="00BE50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1E"/>
    <w:rPr>
      <w:rFonts w:ascii="Segoe UI" w:hAnsi="Segoe UI" w:cs="Segoe UI"/>
      <w:sz w:val="18"/>
      <w:szCs w:val="18"/>
    </w:rPr>
  </w:style>
  <w:style w:type="paragraph" w:styleId="CommentText">
    <w:name w:val="annotation text"/>
    <w:basedOn w:val="Normal"/>
    <w:link w:val="CommentTextChar"/>
    <w:uiPriority w:val="99"/>
    <w:unhideWhenUsed/>
    <w:rsid w:val="004329C3"/>
    <w:pPr>
      <w:spacing w:line="240" w:lineRule="auto"/>
    </w:pPr>
    <w:rPr>
      <w:sz w:val="20"/>
      <w:szCs w:val="20"/>
      <w:lang w:eastAsia="sq-AL"/>
    </w:rPr>
  </w:style>
  <w:style w:type="character" w:customStyle="1" w:styleId="CommentTextChar">
    <w:name w:val="Comment Text Char"/>
    <w:basedOn w:val="DefaultParagraphFont"/>
    <w:link w:val="CommentText"/>
    <w:uiPriority w:val="99"/>
    <w:rsid w:val="004329C3"/>
    <w:rPr>
      <w:sz w:val="20"/>
      <w:szCs w:val="20"/>
      <w:lang w:eastAsia="sq-AL"/>
    </w:rPr>
  </w:style>
  <w:style w:type="paragraph" w:styleId="Header">
    <w:name w:val="header"/>
    <w:basedOn w:val="Normal"/>
    <w:link w:val="HeaderChar"/>
    <w:uiPriority w:val="99"/>
    <w:unhideWhenUsed/>
    <w:rsid w:val="007B284F"/>
    <w:pPr>
      <w:tabs>
        <w:tab w:val="center" w:pos="4680"/>
        <w:tab w:val="right" w:pos="9360"/>
      </w:tabs>
      <w:spacing w:line="240" w:lineRule="auto"/>
    </w:pPr>
  </w:style>
  <w:style w:type="character" w:customStyle="1" w:styleId="HeaderChar">
    <w:name w:val="Header Char"/>
    <w:basedOn w:val="DefaultParagraphFont"/>
    <w:link w:val="Header"/>
    <w:uiPriority w:val="99"/>
    <w:rsid w:val="007B284F"/>
  </w:style>
  <w:style w:type="paragraph" w:styleId="Footer">
    <w:name w:val="footer"/>
    <w:basedOn w:val="Normal"/>
    <w:link w:val="FooterChar"/>
    <w:uiPriority w:val="99"/>
    <w:unhideWhenUsed/>
    <w:rsid w:val="007B284F"/>
    <w:pPr>
      <w:tabs>
        <w:tab w:val="center" w:pos="4680"/>
        <w:tab w:val="right" w:pos="9360"/>
      </w:tabs>
      <w:spacing w:line="240" w:lineRule="auto"/>
    </w:pPr>
  </w:style>
  <w:style w:type="character" w:customStyle="1" w:styleId="FooterChar">
    <w:name w:val="Footer Char"/>
    <w:basedOn w:val="DefaultParagraphFont"/>
    <w:link w:val="Footer"/>
    <w:uiPriority w:val="99"/>
    <w:rsid w:val="007B284F"/>
  </w:style>
  <w:style w:type="paragraph" w:styleId="BodyText">
    <w:name w:val="Body Text"/>
    <w:basedOn w:val="Normal"/>
    <w:link w:val="BodyTextChar"/>
    <w:uiPriority w:val="99"/>
    <w:qFormat/>
    <w:rsid w:val="006407C3"/>
    <w:pPr>
      <w:suppressAutoHyphens/>
      <w:spacing w:after="120" w:line="240" w:lineRule="auto"/>
    </w:pPr>
    <w:rPr>
      <w:rFonts w:ascii="Times New Roman" w:eastAsia="MS Mincho" w:hAnsi="Times New Roman" w:cs="Times New Roman"/>
      <w:sz w:val="24"/>
      <w:szCs w:val="24"/>
      <w:lang w:eastAsia="ar-SA"/>
    </w:rPr>
  </w:style>
  <w:style w:type="character" w:customStyle="1" w:styleId="BodyTextChar">
    <w:name w:val="Body Text Char"/>
    <w:basedOn w:val="DefaultParagraphFont"/>
    <w:link w:val="BodyText"/>
    <w:uiPriority w:val="99"/>
    <w:rsid w:val="006407C3"/>
    <w:rPr>
      <w:rFonts w:ascii="Times New Roman" w:eastAsia="MS Mincho" w:hAnsi="Times New Roman" w:cs="Times New Roman"/>
      <w:sz w:val="24"/>
      <w:szCs w:val="24"/>
      <w:lang w:val="en-US" w:eastAsia="ar-SA"/>
    </w:rPr>
  </w:style>
  <w:style w:type="paragraph" w:styleId="NoSpacing">
    <w:name w:val="No Spacing"/>
    <w:link w:val="NoSpacingChar"/>
    <w:uiPriority w:val="1"/>
    <w:qFormat/>
    <w:rsid w:val="006407C3"/>
    <w:pPr>
      <w:spacing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6407C3"/>
    <w:rPr>
      <w:rFonts w:ascii="Times New Roman" w:eastAsia="Times New Roman" w:hAnsi="Times New Roman" w:cs="Times New Roman"/>
      <w:sz w:val="24"/>
      <w:szCs w:val="24"/>
      <w:lang w:val="en-US"/>
    </w:rPr>
  </w:style>
  <w:style w:type="table" w:styleId="TableGrid">
    <w:name w:val="Table Grid"/>
    <w:basedOn w:val="TableNormal"/>
    <w:uiPriority w:val="59"/>
    <w:rsid w:val="00DD02B7"/>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27ADB"/>
    <w:rPr>
      <w:sz w:val="16"/>
      <w:szCs w:val="16"/>
    </w:rPr>
  </w:style>
  <w:style w:type="paragraph" w:styleId="CommentSubject">
    <w:name w:val="annotation subject"/>
    <w:basedOn w:val="CommentText"/>
    <w:next w:val="CommentText"/>
    <w:link w:val="CommentSubjectChar"/>
    <w:uiPriority w:val="99"/>
    <w:semiHidden/>
    <w:unhideWhenUsed/>
    <w:rsid w:val="00427ADB"/>
    <w:rPr>
      <w:b/>
      <w:bCs/>
      <w:lang w:eastAsia="en-US"/>
    </w:rPr>
  </w:style>
  <w:style w:type="character" w:customStyle="1" w:styleId="CommentSubjectChar">
    <w:name w:val="Comment Subject Char"/>
    <w:basedOn w:val="CommentTextChar"/>
    <w:link w:val="CommentSubject"/>
    <w:uiPriority w:val="99"/>
    <w:semiHidden/>
    <w:rsid w:val="00427ADB"/>
    <w:rPr>
      <w:b/>
      <w:bCs/>
      <w:sz w:val="20"/>
      <w:szCs w:val="20"/>
      <w:lang w:eastAsia="sq-AL"/>
    </w:rPr>
  </w:style>
  <w:style w:type="paragraph" w:styleId="FootnoteText">
    <w:name w:val="footnote text"/>
    <w:basedOn w:val="Normal"/>
    <w:link w:val="FootnoteTextChar"/>
    <w:semiHidden/>
    <w:unhideWhenUsed/>
    <w:rsid w:val="00E55C0B"/>
    <w:pPr>
      <w:spacing w:line="240" w:lineRule="auto"/>
    </w:pPr>
    <w:rPr>
      <w:sz w:val="20"/>
      <w:szCs w:val="20"/>
    </w:rPr>
  </w:style>
  <w:style w:type="character" w:customStyle="1" w:styleId="FootnoteTextChar">
    <w:name w:val="Footnote Text Char"/>
    <w:basedOn w:val="DefaultParagraphFont"/>
    <w:link w:val="FootnoteText"/>
    <w:uiPriority w:val="99"/>
    <w:semiHidden/>
    <w:rsid w:val="00E55C0B"/>
    <w:rPr>
      <w:sz w:val="20"/>
      <w:szCs w:val="20"/>
    </w:rPr>
  </w:style>
  <w:style w:type="character" w:styleId="FootnoteReference">
    <w:name w:val="footnote reference"/>
    <w:basedOn w:val="DefaultParagraphFont"/>
    <w:semiHidden/>
    <w:unhideWhenUsed/>
    <w:rsid w:val="00E55C0B"/>
    <w:rPr>
      <w:vertAlign w:val="superscript"/>
    </w:rPr>
  </w:style>
  <w:style w:type="character" w:customStyle="1" w:styleId="normalchar">
    <w:name w:val="normal__char"/>
    <w:basedOn w:val="DefaultParagraphFont"/>
    <w:rsid w:val="008779A3"/>
  </w:style>
  <w:style w:type="paragraph" w:customStyle="1" w:styleId="Paragrafi">
    <w:name w:val="Paragrafi"/>
    <w:link w:val="ParagrafiChar"/>
    <w:rsid w:val="00EF0429"/>
    <w:pPr>
      <w:widowControl w:val="0"/>
      <w:spacing w:line="240" w:lineRule="auto"/>
      <w:ind w:firstLine="720"/>
      <w:jc w:val="both"/>
    </w:pPr>
    <w:rPr>
      <w:rFonts w:ascii="CG Times" w:eastAsia="Times New Roman" w:hAnsi="CG Times" w:cs="Times New Roman"/>
      <w:szCs w:val="20"/>
    </w:rPr>
  </w:style>
  <w:style w:type="character" w:customStyle="1" w:styleId="ParagrafiChar">
    <w:name w:val="Paragrafi Char"/>
    <w:basedOn w:val="DefaultParagraphFont"/>
    <w:link w:val="Paragrafi"/>
    <w:locked/>
    <w:rsid w:val="00EF0429"/>
    <w:rPr>
      <w:rFonts w:ascii="CG Times" w:eastAsia="Times New Roman" w:hAnsi="CG Times" w:cs="Times New Roman"/>
      <w:szCs w:val="20"/>
    </w:rPr>
  </w:style>
  <w:style w:type="character" w:styleId="Hyperlink">
    <w:name w:val="Hyperlink"/>
    <w:basedOn w:val="DefaultParagraphFont"/>
    <w:uiPriority w:val="99"/>
    <w:unhideWhenUsed/>
    <w:rsid w:val="0080056F"/>
    <w:rPr>
      <w:color w:val="0000FF" w:themeColor="hyperlink"/>
      <w:u w:val="single"/>
    </w:rPr>
  </w:style>
  <w:style w:type="paragraph" w:customStyle="1" w:styleId="BazLigjPropozues">
    <w:name w:val="Baz_Ligj_Propozues"/>
    <w:rsid w:val="004078E0"/>
    <w:pPr>
      <w:keepNext/>
      <w:widowControl w:val="0"/>
      <w:spacing w:line="240" w:lineRule="auto"/>
      <w:ind w:firstLine="720"/>
      <w:jc w:val="both"/>
    </w:pPr>
    <w:rPr>
      <w:rFonts w:ascii="CG Times" w:eastAsia="Times New Roman" w:hAnsi="CG Times" w:cs="Times New Roman"/>
      <w:color w:val="000000"/>
      <w:lang w:val="en-GB"/>
    </w:rPr>
  </w:style>
  <w:style w:type="paragraph" w:customStyle="1" w:styleId="NeniTitull">
    <w:name w:val="Neni_Titull"/>
    <w:next w:val="Normal"/>
    <w:rsid w:val="00683A15"/>
    <w:pPr>
      <w:keepNext/>
      <w:widowControl w:val="0"/>
      <w:spacing w:line="240" w:lineRule="auto"/>
      <w:jc w:val="center"/>
      <w:outlineLvl w:val="2"/>
    </w:pPr>
    <w:rPr>
      <w:rFonts w:ascii="CG Times" w:eastAsia="Times New Roman" w:hAnsi="CG Times" w:cs="Times New Roman"/>
      <w:b/>
      <w:szCs w:val="20"/>
      <w:lang w:val="en-GB"/>
    </w:rPr>
  </w:style>
  <w:style w:type="paragraph" w:customStyle="1" w:styleId="Hapesira7">
    <w:name w:val="Hapesira 7"/>
    <w:basedOn w:val="Paragrafi"/>
    <w:qFormat/>
    <w:rsid w:val="004B2844"/>
    <w:pPr>
      <w:ind w:firstLine="284"/>
    </w:pPr>
    <w:rPr>
      <w:rFonts w:ascii="Garamond" w:eastAsia="MS Mincho" w:hAnsi="Garamond" w:cs="CG Times"/>
      <w:sz w:val="14"/>
      <w:szCs w:val="24"/>
    </w:rPr>
  </w:style>
  <w:style w:type="paragraph" w:customStyle="1" w:styleId="NeniNr">
    <w:name w:val="Neni_Nr"/>
    <w:next w:val="Normal"/>
    <w:rsid w:val="004B2844"/>
    <w:pPr>
      <w:keepNext/>
      <w:widowControl w:val="0"/>
      <w:spacing w:line="240" w:lineRule="auto"/>
      <w:jc w:val="center"/>
    </w:pPr>
    <w:rPr>
      <w:rFonts w:ascii="CG Times" w:eastAsia="Times New Roman" w:hAnsi="CG Times" w:cs="Times New Roman"/>
      <w:szCs w:val="20"/>
      <w:lang w:val="en-GB"/>
    </w:rPr>
  </w:style>
  <w:style w:type="paragraph" w:customStyle="1" w:styleId="KapitulliTitull">
    <w:name w:val="Kapitulli_Titull"/>
    <w:rsid w:val="00541031"/>
    <w:pPr>
      <w:keepNext/>
      <w:widowControl w:val="0"/>
      <w:spacing w:line="240" w:lineRule="auto"/>
      <w:jc w:val="center"/>
    </w:pPr>
    <w:rPr>
      <w:rFonts w:ascii="CG Times" w:eastAsia="Times New Roman" w:hAnsi="CG Times" w:cs="Times New Roman"/>
      <w:caps/>
      <w:lang w:val="en-GB"/>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1855A9"/>
  </w:style>
  <w:style w:type="paragraph" w:customStyle="1" w:styleId="paragrafi0">
    <w:name w:val="paragrafi"/>
    <w:basedOn w:val="Normal"/>
    <w:rsid w:val="00625A22"/>
    <w:pPr>
      <w:spacing w:line="240" w:lineRule="auto"/>
      <w:ind w:firstLine="720"/>
      <w:jc w:val="both"/>
    </w:pPr>
    <w:rPr>
      <w:rFonts w:ascii="CG Times" w:eastAsiaTheme="minorHAnsi" w:hAnsi="CG Times" w:cs="Times New Roman"/>
      <w:lang w:val="sq-AL" w:eastAsia="sq-AL"/>
    </w:rPr>
  </w:style>
  <w:style w:type="character" w:styleId="SubtleEmphasis">
    <w:name w:val="Subtle Emphasis"/>
    <w:basedOn w:val="DefaultParagraphFont"/>
    <w:uiPriority w:val="19"/>
    <w:qFormat/>
    <w:rsid w:val="005F4C49"/>
    <w:rPr>
      <w:i/>
      <w:iCs/>
      <w:color w:val="404040" w:themeColor="text1" w:themeTint="BF"/>
    </w:rPr>
  </w:style>
  <w:style w:type="paragraph" w:styleId="NormalWeb">
    <w:name w:val="Normal (Web)"/>
    <w:basedOn w:val="Normal"/>
    <w:uiPriority w:val="99"/>
    <w:unhideWhenUsed/>
    <w:rsid w:val="000D1AD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47A5A"/>
    <w:pPr>
      <w:spacing w:line="240" w:lineRule="auto"/>
    </w:pPr>
  </w:style>
  <w:style w:type="paragraph" w:customStyle="1" w:styleId="Default">
    <w:name w:val="Default"/>
    <w:rsid w:val="00E01A0A"/>
    <w:pPr>
      <w:autoSpaceDE w:val="0"/>
      <w:autoSpaceDN w:val="0"/>
      <w:adjustRightInd w:val="0"/>
      <w:spacing w:line="240" w:lineRule="auto"/>
      <w:jc w:val="both"/>
    </w:pPr>
    <w:rPr>
      <w:rFonts w:ascii="Times New Roman" w:eastAsiaTheme="minorHAnsi" w:hAnsi="Times New Roman" w:cs="Times New Roman"/>
      <w:color w:val="000000"/>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57576">
      <w:bodyDiv w:val="1"/>
      <w:marLeft w:val="0"/>
      <w:marRight w:val="0"/>
      <w:marTop w:val="0"/>
      <w:marBottom w:val="0"/>
      <w:divBdr>
        <w:top w:val="none" w:sz="0" w:space="0" w:color="auto"/>
        <w:left w:val="none" w:sz="0" w:space="0" w:color="auto"/>
        <w:bottom w:val="none" w:sz="0" w:space="0" w:color="auto"/>
        <w:right w:val="none" w:sz="0" w:space="0" w:color="auto"/>
      </w:divBdr>
    </w:div>
    <w:div w:id="331951044">
      <w:bodyDiv w:val="1"/>
      <w:marLeft w:val="0"/>
      <w:marRight w:val="0"/>
      <w:marTop w:val="0"/>
      <w:marBottom w:val="0"/>
      <w:divBdr>
        <w:top w:val="none" w:sz="0" w:space="0" w:color="auto"/>
        <w:left w:val="none" w:sz="0" w:space="0" w:color="auto"/>
        <w:bottom w:val="none" w:sz="0" w:space="0" w:color="auto"/>
        <w:right w:val="none" w:sz="0" w:space="0" w:color="auto"/>
      </w:divBdr>
    </w:div>
    <w:div w:id="516163496">
      <w:bodyDiv w:val="1"/>
      <w:marLeft w:val="0"/>
      <w:marRight w:val="0"/>
      <w:marTop w:val="0"/>
      <w:marBottom w:val="0"/>
      <w:divBdr>
        <w:top w:val="none" w:sz="0" w:space="0" w:color="auto"/>
        <w:left w:val="none" w:sz="0" w:space="0" w:color="auto"/>
        <w:bottom w:val="none" w:sz="0" w:space="0" w:color="auto"/>
        <w:right w:val="none" w:sz="0" w:space="0" w:color="auto"/>
      </w:divBdr>
      <w:divsChild>
        <w:div w:id="1791587990">
          <w:marLeft w:val="0"/>
          <w:marRight w:val="0"/>
          <w:marTop w:val="0"/>
          <w:marBottom w:val="0"/>
          <w:divBdr>
            <w:top w:val="none" w:sz="0" w:space="0" w:color="auto"/>
            <w:left w:val="none" w:sz="0" w:space="0" w:color="auto"/>
            <w:bottom w:val="none" w:sz="0" w:space="0" w:color="auto"/>
            <w:right w:val="none" w:sz="0" w:space="0" w:color="auto"/>
          </w:divBdr>
        </w:div>
        <w:div w:id="24453194">
          <w:marLeft w:val="0"/>
          <w:marRight w:val="0"/>
          <w:marTop w:val="0"/>
          <w:marBottom w:val="0"/>
          <w:divBdr>
            <w:top w:val="none" w:sz="0" w:space="0" w:color="auto"/>
            <w:left w:val="none" w:sz="0" w:space="0" w:color="auto"/>
            <w:bottom w:val="none" w:sz="0" w:space="0" w:color="auto"/>
            <w:right w:val="none" w:sz="0" w:space="0" w:color="auto"/>
          </w:divBdr>
        </w:div>
        <w:div w:id="1336031874">
          <w:marLeft w:val="0"/>
          <w:marRight w:val="0"/>
          <w:marTop w:val="0"/>
          <w:marBottom w:val="0"/>
          <w:divBdr>
            <w:top w:val="none" w:sz="0" w:space="0" w:color="auto"/>
            <w:left w:val="none" w:sz="0" w:space="0" w:color="auto"/>
            <w:bottom w:val="none" w:sz="0" w:space="0" w:color="auto"/>
            <w:right w:val="none" w:sz="0" w:space="0" w:color="auto"/>
          </w:divBdr>
        </w:div>
        <w:div w:id="966665054">
          <w:marLeft w:val="0"/>
          <w:marRight w:val="0"/>
          <w:marTop w:val="0"/>
          <w:marBottom w:val="0"/>
          <w:divBdr>
            <w:top w:val="none" w:sz="0" w:space="0" w:color="auto"/>
            <w:left w:val="none" w:sz="0" w:space="0" w:color="auto"/>
            <w:bottom w:val="none" w:sz="0" w:space="0" w:color="auto"/>
            <w:right w:val="none" w:sz="0" w:space="0" w:color="auto"/>
          </w:divBdr>
        </w:div>
        <w:div w:id="1322613215">
          <w:marLeft w:val="0"/>
          <w:marRight w:val="0"/>
          <w:marTop w:val="0"/>
          <w:marBottom w:val="0"/>
          <w:divBdr>
            <w:top w:val="none" w:sz="0" w:space="0" w:color="auto"/>
            <w:left w:val="none" w:sz="0" w:space="0" w:color="auto"/>
            <w:bottom w:val="none" w:sz="0" w:space="0" w:color="auto"/>
            <w:right w:val="none" w:sz="0" w:space="0" w:color="auto"/>
          </w:divBdr>
        </w:div>
        <w:div w:id="417094672">
          <w:marLeft w:val="0"/>
          <w:marRight w:val="0"/>
          <w:marTop w:val="0"/>
          <w:marBottom w:val="0"/>
          <w:divBdr>
            <w:top w:val="none" w:sz="0" w:space="0" w:color="auto"/>
            <w:left w:val="none" w:sz="0" w:space="0" w:color="auto"/>
            <w:bottom w:val="none" w:sz="0" w:space="0" w:color="auto"/>
            <w:right w:val="none" w:sz="0" w:space="0" w:color="auto"/>
          </w:divBdr>
        </w:div>
        <w:div w:id="50428530">
          <w:marLeft w:val="0"/>
          <w:marRight w:val="0"/>
          <w:marTop w:val="0"/>
          <w:marBottom w:val="0"/>
          <w:divBdr>
            <w:top w:val="none" w:sz="0" w:space="0" w:color="auto"/>
            <w:left w:val="none" w:sz="0" w:space="0" w:color="auto"/>
            <w:bottom w:val="none" w:sz="0" w:space="0" w:color="auto"/>
            <w:right w:val="none" w:sz="0" w:space="0" w:color="auto"/>
          </w:divBdr>
        </w:div>
        <w:div w:id="212082460">
          <w:marLeft w:val="0"/>
          <w:marRight w:val="0"/>
          <w:marTop w:val="0"/>
          <w:marBottom w:val="0"/>
          <w:divBdr>
            <w:top w:val="none" w:sz="0" w:space="0" w:color="auto"/>
            <w:left w:val="none" w:sz="0" w:space="0" w:color="auto"/>
            <w:bottom w:val="none" w:sz="0" w:space="0" w:color="auto"/>
            <w:right w:val="none" w:sz="0" w:space="0" w:color="auto"/>
          </w:divBdr>
        </w:div>
        <w:div w:id="2058433563">
          <w:marLeft w:val="0"/>
          <w:marRight w:val="0"/>
          <w:marTop w:val="0"/>
          <w:marBottom w:val="0"/>
          <w:divBdr>
            <w:top w:val="none" w:sz="0" w:space="0" w:color="auto"/>
            <w:left w:val="none" w:sz="0" w:space="0" w:color="auto"/>
            <w:bottom w:val="none" w:sz="0" w:space="0" w:color="auto"/>
            <w:right w:val="none" w:sz="0" w:space="0" w:color="auto"/>
          </w:divBdr>
        </w:div>
        <w:div w:id="2014725961">
          <w:marLeft w:val="0"/>
          <w:marRight w:val="0"/>
          <w:marTop w:val="0"/>
          <w:marBottom w:val="0"/>
          <w:divBdr>
            <w:top w:val="none" w:sz="0" w:space="0" w:color="auto"/>
            <w:left w:val="none" w:sz="0" w:space="0" w:color="auto"/>
            <w:bottom w:val="none" w:sz="0" w:space="0" w:color="auto"/>
            <w:right w:val="none" w:sz="0" w:space="0" w:color="auto"/>
          </w:divBdr>
        </w:div>
        <w:div w:id="1610772060">
          <w:marLeft w:val="0"/>
          <w:marRight w:val="0"/>
          <w:marTop w:val="0"/>
          <w:marBottom w:val="0"/>
          <w:divBdr>
            <w:top w:val="none" w:sz="0" w:space="0" w:color="auto"/>
            <w:left w:val="none" w:sz="0" w:space="0" w:color="auto"/>
            <w:bottom w:val="none" w:sz="0" w:space="0" w:color="auto"/>
            <w:right w:val="none" w:sz="0" w:space="0" w:color="auto"/>
          </w:divBdr>
        </w:div>
        <w:div w:id="1757437959">
          <w:marLeft w:val="0"/>
          <w:marRight w:val="0"/>
          <w:marTop w:val="0"/>
          <w:marBottom w:val="0"/>
          <w:divBdr>
            <w:top w:val="none" w:sz="0" w:space="0" w:color="auto"/>
            <w:left w:val="none" w:sz="0" w:space="0" w:color="auto"/>
            <w:bottom w:val="none" w:sz="0" w:space="0" w:color="auto"/>
            <w:right w:val="none" w:sz="0" w:space="0" w:color="auto"/>
          </w:divBdr>
        </w:div>
        <w:div w:id="40906723">
          <w:marLeft w:val="0"/>
          <w:marRight w:val="0"/>
          <w:marTop w:val="0"/>
          <w:marBottom w:val="0"/>
          <w:divBdr>
            <w:top w:val="none" w:sz="0" w:space="0" w:color="auto"/>
            <w:left w:val="none" w:sz="0" w:space="0" w:color="auto"/>
            <w:bottom w:val="none" w:sz="0" w:space="0" w:color="auto"/>
            <w:right w:val="none" w:sz="0" w:space="0" w:color="auto"/>
          </w:divBdr>
        </w:div>
      </w:divsChild>
    </w:div>
    <w:div w:id="584266620">
      <w:bodyDiv w:val="1"/>
      <w:marLeft w:val="0"/>
      <w:marRight w:val="0"/>
      <w:marTop w:val="0"/>
      <w:marBottom w:val="0"/>
      <w:divBdr>
        <w:top w:val="none" w:sz="0" w:space="0" w:color="auto"/>
        <w:left w:val="none" w:sz="0" w:space="0" w:color="auto"/>
        <w:bottom w:val="none" w:sz="0" w:space="0" w:color="auto"/>
        <w:right w:val="none" w:sz="0" w:space="0" w:color="auto"/>
      </w:divBdr>
    </w:div>
    <w:div w:id="585378845">
      <w:bodyDiv w:val="1"/>
      <w:marLeft w:val="0"/>
      <w:marRight w:val="0"/>
      <w:marTop w:val="0"/>
      <w:marBottom w:val="0"/>
      <w:divBdr>
        <w:top w:val="none" w:sz="0" w:space="0" w:color="auto"/>
        <w:left w:val="none" w:sz="0" w:space="0" w:color="auto"/>
        <w:bottom w:val="none" w:sz="0" w:space="0" w:color="auto"/>
        <w:right w:val="none" w:sz="0" w:space="0" w:color="auto"/>
      </w:divBdr>
      <w:divsChild>
        <w:div w:id="205682751">
          <w:marLeft w:val="0"/>
          <w:marRight w:val="0"/>
          <w:marTop w:val="0"/>
          <w:marBottom w:val="0"/>
          <w:divBdr>
            <w:top w:val="none" w:sz="0" w:space="0" w:color="auto"/>
            <w:left w:val="none" w:sz="0" w:space="0" w:color="auto"/>
            <w:bottom w:val="none" w:sz="0" w:space="0" w:color="auto"/>
            <w:right w:val="none" w:sz="0" w:space="0" w:color="auto"/>
          </w:divBdr>
        </w:div>
        <w:div w:id="818771684">
          <w:marLeft w:val="0"/>
          <w:marRight w:val="0"/>
          <w:marTop w:val="0"/>
          <w:marBottom w:val="0"/>
          <w:divBdr>
            <w:top w:val="none" w:sz="0" w:space="0" w:color="auto"/>
            <w:left w:val="none" w:sz="0" w:space="0" w:color="auto"/>
            <w:bottom w:val="none" w:sz="0" w:space="0" w:color="auto"/>
            <w:right w:val="none" w:sz="0" w:space="0" w:color="auto"/>
          </w:divBdr>
        </w:div>
        <w:div w:id="1332368096">
          <w:marLeft w:val="0"/>
          <w:marRight w:val="0"/>
          <w:marTop w:val="0"/>
          <w:marBottom w:val="0"/>
          <w:divBdr>
            <w:top w:val="none" w:sz="0" w:space="0" w:color="auto"/>
            <w:left w:val="none" w:sz="0" w:space="0" w:color="auto"/>
            <w:bottom w:val="none" w:sz="0" w:space="0" w:color="auto"/>
            <w:right w:val="none" w:sz="0" w:space="0" w:color="auto"/>
          </w:divBdr>
        </w:div>
      </w:divsChild>
    </w:div>
    <w:div w:id="669873093">
      <w:bodyDiv w:val="1"/>
      <w:marLeft w:val="0"/>
      <w:marRight w:val="0"/>
      <w:marTop w:val="0"/>
      <w:marBottom w:val="0"/>
      <w:divBdr>
        <w:top w:val="none" w:sz="0" w:space="0" w:color="auto"/>
        <w:left w:val="none" w:sz="0" w:space="0" w:color="auto"/>
        <w:bottom w:val="none" w:sz="0" w:space="0" w:color="auto"/>
        <w:right w:val="none" w:sz="0" w:space="0" w:color="auto"/>
      </w:divBdr>
    </w:div>
    <w:div w:id="671026650">
      <w:bodyDiv w:val="1"/>
      <w:marLeft w:val="0"/>
      <w:marRight w:val="0"/>
      <w:marTop w:val="0"/>
      <w:marBottom w:val="0"/>
      <w:divBdr>
        <w:top w:val="none" w:sz="0" w:space="0" w:color="auto"/>
        <w:left w:val="none" w:sz="0" w:space="0" w:color="auto"/>
        <w:bottom w:val="none" w:sz="0" w:space="0" w:color="auto"/>
        <w:right w:val="none" w:sz="0" w:space="0" w:color="auto"/>
      </w:divBdr>
    </w:div>
    <w:div w:id="846559692">
      <w:bodyDiv w:val="1"/>
      <w:marLeft w:val="0"/>
      <w:marRight w:val="0"/>
      <w:marTop w:val="0"/>
      <w:marBottom w:val="0"/>
      <w:divBdr>
        <w:top w:val="none" w:sz="0" w:space="0" w:color="auto"/>
        <w:left w:val="none" w:sz="0" w:space="0" w:color="auto"/>
        <w:bottom w:val="none" w:sz="0" w:space="0" w:color="auto"/>
        <w:right w:val="none" w:sz="0" w:space="0" w:color="auto"/>
      </w:divBdr>
    </w:div>
    <w:div w:id="1039671984">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224482348">
      <w:bodyDiv w:val="1"/>
      <w:marLeft w:val="0"/>
      <w:marRight w:val="0"/>
      <w:marTop w:val="0"/>
      <w:marBottom w:val="0"/>
      <w:divBdr>
        <w:top w:val="none" w:sz="0" w:space="0" w:color="auto"/>
        <w:left w:val="none" w:sz="0" w:space="0" w:color="auto"/>
        <w:bottom w:val="none" w:sz="0" w:space="0" w:color="auto"/>
        <w:right w:val="none" w:sz="0" w:space="0" w:color="auto"/>
      </w:divBdr>
    </w:div>
    <w:div w:id="1283071091">
      <w:bodyDiv w:val="1"/>
      <w:marLeft w:val="0"/>
      <w:marRight w:val="0"/>
      <w:marTop w:val="0"/>
      <w:marBottom w:val="0"/>
      <w:divBdr>
        <w:top w:val="none" w:sz="0" w:space="0" w:color="auto"/>
        <w:left w:val="none" w:sz="0" w:space="0" w:color="auto"/>
        <w:bottom w:val="none" w:sz="0" w:space="0" w:color="auto"/>
        <w:right w:val="none" w:sz="0" w:space="0" w:color="auto"/>
      </w:divBdr>
    </w:div>
    <w:div w:id="1369720874">
      <w:bodyDiv w:val="1"/>
      <w:marLeft w:val="0"/>
      <w:marRight w:val="0"/>
      <w:marTop w:val="0"/>
      <w:marBottom w:val="0"/>
      <w:divBdr>
        <w:top w:val="none" w:sz="0" w:space="0" w:color="auto"/>
        <w:left w:val="none" w:sz="0" w:space="0" w:color="auto"/>
        <w:bottom w:val="none" w:sz="0" w:space="0" w:color="auto"/>
        <w:right w:val="none" w:sz="0" w:space="0" w:color="auto"/>
      </w:divBdr>
      <w:divsChild>
        <w:div w:id="1474324396">
          <w:marLeft w:val="0"/>
          <w:marRight w:val="0"/>
          <w:marTop w:val="0"/>
          <w:marBottom w:val="0"/>
          <w:divBdr>
            <w:top w:val="none" w:sz="0" w:space="0" w:color="auto"/>
            <w:left w:val="none" w:sz="0" w:space="0" w:color="auto"/>
            <w:bottom w:val="none" w:sz="0" w:space="0" w:color="auto"/>
            <w:right w:val="none" w:sz="0" w:space="0" w:color="auto"/>
          </w:divBdr>
        </w:div>
        <w:div w:id="1388652699">
          <w:marLeft w:val="0"/>
          <w:marRight w:val="0"/>
          <w:marTop w:val="0"/>
          <w:marBottom w:val="0"/>
          <w:divBdr>
            <w:top w:val="none" w:sz="0" w:space="0" w:color="auto"/>
            <w:left w:val="none" w:sz="0" w:space="0" w:color="auto"/>
            <w:bottom w:val="none" w:sz="0" w:space="0" w:color="auto"/>
            <w:right w:val="none" w:sz="0" w:space="0" w:color="auto"/>
          </w:divBdr>
        </w:div>
        <w:div w:id="1331643884">
          <w:marLeft w:val="0"/>
          <w:marRight w:val="0"/>
          <w:marTop w:val="0"/>
          <w:marBottom w:val="0"/>
          <w:divBdr>
            <w:top w:val="none" w:sz="0" w:space="0" w:color="auto"/>
            <w:left w:val="none" w:sz="0" w:space="0" w:color="auto"/>
            <w:bottom w:val="none" w:sz="0" w:space="0" w:color="auto"/>
            <w:right w:val="none" w:sz="0" w:space="0" w:color="auto"/>
          </w:divBdr>
        </w:div>
        <w:div w:id="152257605">
          <w:marLeft w:val="0"/>
          <w:marRight w:val="0"/>
          <w:marTop w:val="0"/>
          <w:marBottom w:val="0"/>
          <w:divBdr>
            <w:top w:val="none" w:sz="0" w:space="0" w:color="auto"/>
            <w:left w:val="none" w:sz="0" w:space="0" w:color="auto"/>
            <w:bottom w:val="none" w:sz="0" w:space="0" w:color="auto"/>
            <w:right w:val="none" w:sz="0" w:space="0" w:color="auto"/>
          </w:divBdr>
        </w:div>
        <w:div w:id="790630815">
          <w:marLeft w:val="0"/>
          <w:marRight w:val="0"/>
          <w:marTop w:val="0"/>
          <w:marBottom w:val="0"/>
          <w:divBdr>
            <w:top w:val="none" w:sz="0" w:space="0" w:color="auto"/>
            <w:left w:val="none" w:sz="0" w:space="0" w:color="auto"/>
            <w:bottom w:val="none" w:sz="0" w:space="0" w:color="auto"/>
            <w:right w:val="none" w:sz="0" w:space="0" w:color="auto"/>
          </w:divBdr>
        </w:div>
        <w:div w:id="2060855747">
          <w:marLeft w:val="0"/>
          <w:marRight w:val="0"/>
          <w:marTop w:val="0"/>
          <w:marBottom w:val="0"/>
          <w:divBdr>
            <w:top w:val="none" w:sz="0" w:space="0" w:color="auto"/>
            <w:left w:val="none" w:sz="0" w:space="0" w:color="auto"/>
            <w:bottom w:val="none" w:sz="0" w:space="0" w:color="auto"/>
            <w:right w:val="none" w:sz="0" w:space="0" w:color="auto"/>
          </w:divBdr>
        </w:div>
        <w:div w:id="975138429">
          <w:marLeft w:val="0"/>
          <w:marRight w:val="0"/>
          <w:marTop w:val="0"/>
          <w:marBottom w:val="0"/>
          <w:divBdr>
            <w:top w:val="none" w:sz="0" w:space="0" w:color="auto"/>
            <w:left w:val="none" w:sz="0" w:space="0" w:color="auto"/>
            <w:bottom w:val="none" w:sz="0" w:space="0" w:color="auto"/>
            <w:right w:val="none" w:sz="0" w:space="0" w:color="auto"/>
          </w:divBdr>
        </w:div>
        <w:div w:id="1705328525">
          <w:marLeft w:val="0"/>
          <w:marRight w:val="0"/>
          <w:marTop w:val="0"/>
          <w:marBottom w:val="0"/>
          <w:divBdr>
            <w:top w:val="none" w:sz="0" w:space="0" w:color="auto"/>
            <w:left w:val="none" w:sz="0" w:space="0" w:color="auto"/>
            <w:bottom w:val="none" w:sz="0" w:space="0" w:color="auto"/>
            <w:right w:val="none" w:sz="0" w:space="0" w:color="auto"/>
          </w:divBdr>
        </w:div>
        <w:div w:id="705985631">
          <w:marLeft w:val="0"/>
          <w:marRight w:val="0"/>
          <w:marTop w:val="0"/>
          <w:marBottom w:val="0"/>
          <w:divBdr>
            <w:top w:val="none" w:sz="0" w:space="0" w:color="auto"/>
            <w:left w:val="none" w:sz="0" w:space="0" w:color="auto"/>
            <w:bottom w:val="none" w:sz="0" w:space="0" w:color="auto"/>
            <w:right w:val="none" w:sz="0" w:space="0" w:color="auto"/>
          </w:divBdr>
        </w:div>
        <w:div w:id="129518303">
          <w:marLeft w:val="0"/>
          <w:marRight w:val="0"/>
          <w:marTop w:val="0"/>
          <w:marBottom w:val="0"/>
          <w:divBdr>
            <w:top w:val="none" w:sz="0" w:space="0" w:color="auto"/>
            <w:left w:val="none" w:sz="0" w:space="0" w:color="auto"/>
            <w:bottom w:val="none" w:sz="0" w:space="0" w:color="auto"/>
            <w:right w:val="none" w:sz="0" w:space="0" w:color="auto"/>
          </w:divBdr>
        </w:div>
        <w:div w:id="1499416852">
          <w:marLeft w:val="0"/>
          <w:marRight w:val="0"/>
          <w:marTop w:val="0"/>
          <w:marBottom w:val="0"/>
          <w:divBdr>
            <w:top w:val="none" w:sz="0" w:space="0" w:color="auto"/>
            <w:left w:val="none" w:sz="0" w:space="0" w:color="auto"/>
            <w:bottom w:val="none" w:sz="0" w:space="0" w:color="auto"/>
            <w:right w:val="none" w:sz="0" w:space="0" w:color="auto"/>
          </w:divBdr>
        </w:div>
        <w:div w:id="476066490">
          <w:marLeft w:val="0"/>
          <w:marRight w:val="0"/>
          <w:marTop w:val="0"/>
          <w:marBottom w:val="0"/>
          <w:divBdr>
            <w:top w:val="none" w:sz="0" w:space="0" w:color="auto"/>
            <w:left w:val="none" w:sz="0" w:space="0" w:color="auto"/>
            <w:bottom w:val="none" w:sz="0" w:space="0" w:color="auto"/>
            <w:right w:val="none" w:sz="0" w:space="0" w:color="auto"/>
          </w:divBdr>
        </w:div>
        <w:div w:id="464079569">
          <w:marLeft w:val="0"/>
          <w:marRight w:val="0"/>
          <w:marTop w:val="0"/>
          <w:marBottom w:val="0"/>
          <w:divBdr>
            <w:top w:val="none" w:sz="0" w:space="0" w:color="auto"/>
            <w:left w:val="none" w:sz="0" w:space="0" w:color="auto"/>
            <w:bottom w:val="none" w:sz="0" w:space="0" w:color="auto"/>
            <w:right w:val="none" w:sz="0" w:space="0" w:color="auto"/>
          </w:divBdr>
        </w:div>
      </w:divsChild>
    </w:div>
    <w:div w:id="1598951251">
      <w:bodyDiv w:val="1"/>
      <w:marLeft w:val="0"/>
      <w:marRight w:val="0"/>
      <w:marTop w:val="0"/>
      <w:marBottom w:val="0"/>
      <w:divBdr>
        <w:top w:val="none" w:sz="0" w:space="0" w:color="auto"/>
        <w:left w:val="none" w:sz="0" w:space="0" w:color="auto"/>
        <w:bottom w:val="none" w:sz="0" w:space="0" w:color="auto"/>
        <w:right w:val="none" w:sz="0" w:space="0" w:color="auto"/>
      </w:divBdr>
    </w:div>
    <w:div w:id="1684479480">
      <w:bodyDiv w:val="1"/>
      <w:marLeft w:val="0"/>
      <w:marRight w:val="0"/>
      <w:marTop w:val="0"/>
      <w:marBottom w:val="0"/>
      <w:divBdr>
        <w:top w:val="none" w:sz="0" w:space="0" w:color="auto"/>
        <w:left w:val="none" w:sz="0" w:space="0" w:color="auto"/>
        <w:bottom w:val="none" w:sz="0" w:space="0" w:color="auto"/>
        <w:right w:val="none" w:sz="0" w:space="0" w:color="auto"/>
      </w:divBdr>
    </w:div>
    <w:div w:id="185345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vendiwebfiles.blob.core.windows.net/webfiles/202212261847395210Udhe%CC%88zuesi%20i%20Detajuar%20pe%CC%88r%20Sjelljen%20ne%CC%88%20Kuvend.pdf" TargetMode="External"/><Relationship Id="rId13" Type="http://schemas.openxmlformats.org/officeDocument/2006/relationships/hyperlink" Target="https://parlament.al/struktura/1f6ca8d8-fdf4-440b-869d-05ac3d0b915d/" TargetMode="External"/><Relationship Id="rId18" Type="http://schemas.openxmlformats.org/officeDocument/2006/relationships/hyperlink" Target="https://parlament.al/struktura/1cd4218c-b5cf-4a59-895f-b92291c0f5d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kuvendiwebfiles.blob.core.windows.net/webfiles/202212261847395210Udhe%CC%88zuesi%20i%20Detajuar%20pe%CC%88r%20Sjelljen%20ne%CC%88%20Kuvend.pdf" TargetMode="External"/><Relationship Id="rId17" Type="http://schemas.openxmlformats.org/officeDocument/2006/relationships/hyperlink" Target="https://parlament.al/struktura/67d6663d-5f74-4836-b7b8-ec0c88bf1419/"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parlament.al/dokumentacioni/aktet/03270df6-c171-43b0-922a-bb42f1f1664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1.30.11/ow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arlament.al/struktura/1f6ca8d8-fdf4-440b-869d-05ac3d0b915d/" TargetMode="External"/><Relationship Id="rId23" Type="http://schemas.openxmlformats.org/officeDocument/2006/relationships/fontTable" Target="fontTable.xml"/><Relationship Id="rId10" Type="http://schemas.openxmlformats.org/officeDocument/2006/relationships/hyperlink" Target="https://www.drejtesia.gov.al/wp-content/uploads/2023/05/urdher-57-2442023.pdf" TargetMode="External"/><Relationship Id="rId19" Type="http://schemas.openxmlformats.org/officeDocument/2006/relationships/hyperlink" Target="https://parlament.al/struktura/1cd4218c-b5cf-4a59-895f-b92291c0f5da/" TargetMode="External"/><Relationship Id="rId4" Type="http://schemas.openxmlformats.org/officeDocument/2006/relationships/settings" Target="settings.xml"/><Relationship Id="rId9" Type="http://schemas.openxmlformats.org/officeDocument/2006/relationships/hyperlink" Target="https://parlament.al/struktura/1f6ca8d8-fdf4-440b-869d-05ac3d0b915d/" TargetMode="External"/><Relationship Id="rId14" Type="http://schemas.openxmlformats.org/officeDocument/2006/relationships/hyperlink" Target="https://kuvendiwebfiles.blob.core.windows.net/webfiles/202212261847395210Udhe%CC%88zuesi%20i%20Detajuar%20pe%CC%88r%20Sjelljen%20ne%CC%88%20Kuvend.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gjykatatirana.gov.al/gjykatatirana/zyrat-e-regjistrimit-te-ojf/" TargetMode="External"/><Relationship Id="rId2" Type="http://schemas.openxmlformats.org/officeDocument/2006/relationships/hyperlink" Target="https://www.gjk.gov.al/web/NJOFTIME_MBI_VENDIMMARRJENEGJYKAT_S_KUSHTETUESE_GJAT_MUAJIT_NENTOR_2023_2639_1-2582.php" TargetMode="External"/><Relationship Id="rId1" Type="http://schemas.openxmlformats.org/officeDocument/2006/relationships/hyperlink" Target="https://ahc.org.al/wp-content/uploads/2022/10/Raport-Studimor-Instrumentet-ligjore-dhe-sfidat-e-angazhimit-te-qytetareve-dhe-te-shoqerise-civile-ne-proceset-vendimmarrese-dhe-legjislative-te-kuvendi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F7728-6E4B-4902-804F-DE53CA81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15628</Words>
  <Characters>89082</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104501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dc:creator>
  <cp:lastModifiedBy>Greis Como</cp:lastModifiedBy>
  <cp:revision>2</cp:revision>
  <cp:lastPrinted>2020-07-21T17:23:00Z</cp:lastPrinted>
  <dcterms:created xsi:type="dcterms:W3CDTF">2024-11-12T12:53:00Z</dcterms:created>
  <dcterms:modified xsi:type="dcterms:W3CDTF">2024-11-12T12:53:00Z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75bb09ca28a88b1016dd619ab0ee8c351fb136d67b4f823f6136d0f917aa8818</vt:lpwstr>
  </property>
</Properties>
</file>