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44DBE" w14:textId="77777777" w:rsidR="00BE7B4C" w:rsidRPr="00CC1A5A" w:rsidRDefault="002A6DE4">
      <w:pPr>
        <w:spacing w:after="0" w:line="276" w:lineRule="auto"/>
        <w:jc w:val="center"/>
        <w:rPr>
          <w:rFonts w:ascii="Times New Roman" w:eastAsia="Times New Roman" w:hAnsi="Times New Roman" w:cs="Times New Roman"/>
          <w:b/>
          <w:sz w:val="28"/>
          <w:szCs w:val="28"/>
          <w:lang w:val="pt-BR"/>
        </w:rPr>
      </w:pPr>
      <w:r w:rsidRPr="00CC1A5A">
        <w:rPr>
          <w:rFonts w:ascii="Times New Roman" w:eastAsia="Times New Roman" w:hAnsi="Times New Roman" w:cs="Times New Roman"/>
          <w:b/>
          <w:sz w:val="28"/>
          <w:szCs w:val="28"/>
          <w:lang w:val="pt-BR"/>
        </w:rPr>
        <w:t>RELACION SHPJEGUES</w:t>
      </w:r>
    </w:p>
    <w:p w14:paraId="582767BC" w14:textId="77777777" w:rsidR="00BE7B4C" w:rsidRPr="00CC1A5A" w:rsidRDefault="002A6DE4">
      <w:pPr>
        <w:spacing w:after="0" w:line="276" w:lineRule="auto"/>
        <w:jc w:val="center"/>
        <w:rPr>
          <w:rFonts w:ascii="Times New Roman" w:eastAsia="Times New Roman" w:hAnsi="Times New Roman" w:cs="Times New Roman"/>
          <w:b/>
          <w:sz w:val="28"/>
          <w:szCs w:val="28"/>
          <w:lang w:val="pt-BR"/>
        </w:rPr>
      </w:pPr>
      <w:r w:rsidRPr="00CC1A5A">
        <w:rPr>
          <w:rFonts w:ascii="Times New Roman" w:eastAsia="Times New Roman" w:hAnsi="Times New Roman" w:cs="Times New Roman"/>
          <w:b/>
          <w:sz w:val="28"/>
          <w:szCs w:val="28"/>
          <w:lang w:val="pt-BR"/>
        </w:rPr>
        <w:t xml:space="preserve">PËR PROJEKTLIGJIN “PËR PATENTAT E SHPIKJEVE DHE MODELET E PËRDORIMIT” </w:t>
      </w:r>
    </w:p>
    <w:p w14:paraId="7AC37EEB" w14:textId="77777777" w:rsidR="00BE7B4C" w:rsidRPr="00CC1A5A" w:rsidRDefault="00BE7B4C">
      <w:pPr>
        <w:spacing w:after="0" w:line="276" w:lineRule="auto"/>
        <w:jc w:val="both"/>
        <w:rPr>
          <w:rFonts w:ascii="Times New Roman" w:eastAsia="Times New Roman" w:hAnsi="Times New Roman" w:cs="Times New Roman"/>
          <w:b/>
          <w:sz w:val="28"/>
          <w:szCs w:val="28"/>
          <w:lang w:val="pt-BR"/>
        </w:rPr>
      </w:pPr>
    </w:p>
    <w:p w14:paraId="38E90597" w14:textId="77777777" w:rsidR="00BE7B4C" w:rsidRPr="00CC1A5A" w:rsidRDefault="002A6DE4">
      <w:pPr>
        <w:spacing w:after="0" w:line="240" w:lineRule="auto"/>
        <w:ind w:right="1640"/>
        <w:jc w:val="both"/>
        <w:rPr>
          <w:rFonts w:ascii="Times New Roman" w:eastAsia="Times New Roman" w:hAnsi="Times New Roman" w:cs="Times New Roman"/>
          <w:b/>
          <w:sz w:val="28"/>
          <w:szCs w:val="28"/>
          <w:lang w:val="pt-BR"/>
        </w:rPr>
      </w:pPr>
      <w:r w:rsidRPr="00CC1A5A">
        <w:rPr>
          <w:rFonts w:ascii="Times New Roman" w:eastAsia="Times New Roman" w:hAnsi="Times New Roman" w:cs="Times New Roman"/>
          <w:b/>
          <w:sz w:val="28"/>
          <w:szCs w:val="28"/>
          <w:lang w:val="pt-BR"/>
        </w:rPr>
        <w:tab/>
      </w:r>
      <w:r w:rsidRPr="00CC1A5A">
        <w:rPr>
          <w:rFonts w:ascii="Times New Roman" w:eastAsia="Times New Roman" w:hAnsi="Times New Roman" w:cs="Times New Roman"/>
          <w:b/>
          <w:sz w:val="28"/>
          <w:szCs w:val="28"/>
          <w:lang w:val="pt-BR"/>
        </w:rPr>
        <w:tab/>
      </w:r>
      <w:r w:rsidRPr="00CC1A5A">
        <w:rPr>
          <w:rFonts w:ascii="Times New Roman" w:eastAsia="Times New Roman" w:hAnsi="Times New Roman" w:cs="Times New Roman"/>
          <w:b/>
          <w:sz w:val="28"/>
          <w:szCs w:val="28"/>
          <w:lang w:val="pt-BR"/>
        </w:rPr>
        <w:tab/>
      </w:r>
      <w:r w:rsidRPr="00CC1A5A">
        <w:rPr>
          <w:rFonts w:ascii="Times New Roman" w:eastAsia="Times New Roman" w:hAnsi="Times New Roman" w:cs="Times New Roman"/>
          <w:b/>
          <w:sz w:val="28"/>
          <w:szCs w:val="28"/>
          <w:lang w:val="pt-BR"/>
        </w:rPr>
        <w:tab/>
      </w:r>
    </w:p>
    <w:p w14:paraId="5E885462" w14:textId="0F0AB45A" w:rsidR="00BE7B4C" w:rsidRPr="00CC1A5A" w:rsidRDefault="002A6DE4" w:rsidP="00CC1A5A">
      <w:pPr>
        <w:pStyle w:val="ListParagraph"/>
        <w:numPr>
          <w:ilvl w:val="0"/>
          <w:numId w:val="12"/>
        </w:numPr>
        <w:spacing w:after="200" w:line="276" w:lineRule="auto"/>
        <w:ind w:left="540" w:hanging="540"/>
        <w:jc w:val="both"/>
        <w:rPr>
          <w:rFonts w:ascii="Times New Roman" w:eastAsia="Times New Roman" w:hAnsi="Times New Roman" w:cs="Times New Roman"/>
          <w:b/>
          <w:sz w:val="28"/>
          <w:szCs w:val="28"/>
        </w:rPr>
      </w:pPr>
      <w:r w:rsidRPr="00CC1A5A">
        <w:rPr>
          <w:rFonts w:ascii="Times New Roman" w:eastAsia="Times New Roman" w:hAnsi="Times New Roman" w:cs="Times New Roman"/>
          <w:b/>
          <w:sz w:val="28"/>
          <w:szCs w:val="28"/>
        </w:rPr>
        <w:t>QËLLIMI I PROJEKTAKTIT DHE OBJEKTIVAT QË SYNOHEN TË ARRIHEN</w:t>
      </w:r>
    </w:p>
    <w:p w14:paraId="2F1A2E56" w14:textId="77777777" w:rsidR="00BE7B4C" w:rsidRPr="00CC1A5A" w:rsidRDefault="00BE7B4C">
      <w:pPr>
        <w:spacing w:after="0" w:line="276" w:lineRule="auto"/>
        <w:jc w:val="both"/>
        <w:rPr>
          <w:rFonts w:ascii="Times New Roman" w:eastAsia="Times New Roman" w:hAnsi="Times New Roman" w:cs="Times New Roman"/>
          <w:color w:val="000000"/>
          <w:sz w:val="28"/>
          <w:szCs w:val="28"/>
        </w:rPr>
      </w:pPr>
    </w:p>
    <w:p w14:paraId="1A7060F4" w14:textId="77777777" w:rsidR="00BE7B4C" w:rsidRPr="00CC1A5A" w:rsidRDefault="002A6DE4">
      <w:pPr>
        <w:spacing w:after="0" w:line="240" w:lineRule="auto"/>
        <w:jc w:val="both"/>
        <w:rPr>
          <w:rFonts w:ascii="Times New Roman" w:eastAsia="Times New Roman" w:hAnsi="Times New Roman" w:cs="Times New Roman"/>
          <w:color w:val="000000"/>
          <w:sz w:val="28"/>
          <w:szCs w:val="28"/>
        </w:rPr>
      </w:pPr>
      <w:r w:rsidRPr="00CC1A5A">
        <w:rPr>
          <w:rFonts w:ascii="Times New Roman" w:eastAsia="Times New Roman" w:hAnsi="Times New Roman" w:cs="Times New Roman"/>
          <w:color w:val="000000"/>
          <w:sz w:val="28"/>
          <w:szCs w:val="28"/>
        </w:rPr>
        <w:t xml:space="preserve">Me këtë projektligj, </w:t>
      </w:r>
      <w:r w:rsidRPr="00CC1A5A">
        <w:rPr>
          <w:rFonts w:ascii="Times New Roman" w:eastAsia="Times New Roman" w:hAnsi="Times New Roman" w:cs="Times New Roman"/>
          <w:sz w:val="28"/>
          <w:szCs w:val="28"/>
        </w:rPr>
        <w:t>Drejtoria e Përgjithshme e Pronësisë Industriale (në vijim “</w:t>
      </w:r>
      <w:r w:rsidRPr="00CC1A5A">
        <w:rPr>
          <w:rFonts w:ascii="Times New Roman" w:eastAsia="Times New Roman" w:hAnsi="Times New Roman" w:cs="Times New Roman"/>
          <w:b/>
          <w:sz w:val="28"/>
          <w:szCs w:val="28"/>
        </w:rPr>
        <w:t>DPPI</w:t>
      </w:r>
      <w:r w:rsidRPr="00CC1A5A">
        <w:rPr>
          <w:rFonts w:ascii="Times New Roman" w:eastAsia="Times New Roman" w:hAnsi="Times New Roman" w:cs="Times New Roman"/>
          <w:sz w:val="28"/>
          <w:szCs w:val="28"/>
        </w:rPr>
        <w:t>”)</w:t>
      </w:r>
      <w:r w:rsidRPr="00CC1A5A">
        <w:rPr>
          <w:rFonts w:ascii="Times New Roman" w:eastAsia="Times New Roman" w:hAnsi="Times New Roman" w:cs="Times New Roman"/>
          <w:color w:val="000000"/>
          <w:sz w:val="28"/>
          <w:szCs w:val="28"/>
        </w:rPr>
        <w:t xml:space="preserve"> synon të përmbushë një sërë objektivash të rëndësishme, të cilat janë:</w:t>
      </w:r>
    </w:p>
    <w:p w14:paraId="64441D99" w14:textId="77777777" w:rsidR="00BE7B4C" w:rsidRPr="00CC1A5A" w:rsidRDefault="00BE7B4C">
      <w:pPr>
        <w:spacing w:after="0" w:line="240" w:lineRule="auto"/>
        <w:jc w:val="both"/>
        <w:rPr>
          <w:rFonts w:ascii="Times New Roman" w:eastAsia="Times New Roman" w:hAnsi="Times New Roman" w:cs="Times New Roman"/>
          <w:color w:val="000000"/>
          <w:sz w:val="28"/>
          <w:szCs w:val="28"/>
        </w:rPr>
      </w:pPr>
    </w:p>
    <w:p w14:paraId="24304FD3" w14:textId="77777777" w:rsidR="00BE7B4C" w:rsidRPr="00CC1A5A" w:rsidRDefault="002A6DE4">
      <w:pPr>
        <w:spacing w:after="0" w:line="240" w:lineRule="auto"/>
        <w:jc w:val="both"/>
        <w:rPr>
          <w:rFonts w:ascii="Times New Roman" w:eastAsia="Times New Roman" w:hAnsi="Times New Roman" w:cs="Times New Roman"/>
          <w:color w:val="000000"/>
          <w:spacing w:val="-10"/>
          <w:sz w:val="28"/>
          <w:szCs w:val="28"/>
        </w:rPr>
      </w:pPr>
      <w:r w:rsidRPr="00CC1A5A">
        <w:rPr>
          <w:rFonts w:ascii="Times New Roman" w:eastAsia="Times New Roman" w:hAnsi="Times New Roman" w:cs="Times New Roman"/>
          <w:color w:val="000000"/>
          <w:sz w:val="28"/>
          <w:szCs w:val="28"/>
        </w:rPr>
        <w:t>1. Rregullimi i plotë i marrëdhënieve juridike që lidhen me patentat e shpikjeve dhe modelet e përdorimit, marrëdhënie këto që aktualisht rregullohen nga li</w:t>
      </w:r>
      <w:r w:rsidRPr="00CC1A5A">
        <w:rPr>
          <w:rFonts w:ascii="Times New Roman" w:eastAsia="Times New Roman" w:hAnsi="Times New Roman" w:cs="Times New Roman"/>
          <w:color w:val="000000"/>
          <w:spacing w:val="-5"/>
          <w:sz w:val="28"/>
          <w:szCs w:val="28"/>
        </w:rPr>
        <w:t xml:space="preserve">gji ekzistues nr. 9947, datë 7.7.2008, “Për </w:t>
      </w:r>
      <w:r w:rsidRPr="00CC1A5A">
        <w:rPr>
          <w:rFonts w:ascii="Times New Roman" w:eastAsia="Times New Roman" w:hAnsi="Times New Roman" w:cs="Times New Roman"/>
          <w:color w:val="000000"/>
          <w:spacing w:val="-10"/>
          <w:sz w:val="28"/>
          <w:szCs w:val="28"/>
        </w:rPr>
        <w:t>Pronësinë Industriale”, i ndryshuar (në vijim “</w:t>
      </w:r>
      <w:r w:rsidRPr="00CC1A5A">
        <w:rPr>
          <w:rFonts w:ascii="Times New Roman" w:eastAsia="Times New Roman" w:hAnsi="Times New Roman" w:cs="Times New Roman"/>
          <w:b/>
          <w:bCs/>
          <w:color w:val="000000"/>
          <w:sz w:val="28"/>
          <w:szCs w:val="28"/>
        </w:rPr>
        <w:t>Ligji 9947</w:t>
      </w:r>
      <w:r w:rsidRPr="00CC1A5A">
        <w:rPr>
          <w:rFonts w:ascii="Times New Roman" w:eastAsia="Times New Roman" w:hAnsi="Times New Roman" w:cs="Times New Roman"/>
          <w:color w:val="000000"/>
          <w:spacing w:val="-10"/>
          <w:sz w:val="28"/>
          <w:szCs w:val="28"/>
        </w:rPr>
        <w:t>”);</w:t>
      </w:r>
    </w:p>
    <w:p w14:paraId="6C7311F0" w14:textId="77777777" w:rsidR="00BE7B4C" w:rsidRPr="00CC1A5A" w:rsidRDefault="00BE7B4C">
      <w:pPr>
        <w:spacing w:after="0" w:line="240" w:lineRule="auto"/>
        <w:jc w:val="both"/>
        <w:rPr>
          <w:rFonts w:ascii="Times New Roman" w:eastAsia="Times New Roman" w:hAnsi="Times New Roman" w:cs="Times New Roman"/>
          <w:color w:val="000000"/>
          <w:spacing w:val="-10"/>
          <w:sz w:val="28"/>
          <w:szCs w:val="28"/>
        </w:rPr>
      </w:pPr>
    </w:p>
    <w:p w14:paraId="15841E8C" w14:textId="03B60633" w:rsidR="00BE7B4C" w:rsidRPr="00CC1A5A" w:rsidRDefault="002A6DE4">
      <w:pPr>
        <w:spacing w:after="0" w:line="240" w:lineRule="auto"/>
        <w:jc w:val="both"/>
        <w:rPr>
          <w:rFonts w:ascii="Times New Roman" w:eastAsia="Times New Roman" w:hAnsi="Times New Roman" w:cs="Times New Roman"/>
          <w:sz w:val="28"/>
          <w:szCs w:val="28"/>
        </w:rPr>
      </w:pPr>
      <w:r w:rsidRPr="00CC1A5A">
        <w:rPr>
          <w:rFonts w:ascii="Times New Roman" w:eastAsia="Times New Roman" w:hAnsi="Times New Roman" w:cs="Times New Roman"/>
          <w:color w:val="000000"/>
          <w:spacing w:val="-10"/>
          <w:sz w:val="28"/>
          <w:szCs w:val="28"/>
        </w:rPr>
        <w:t>2</w:t>
      </w:r>
      <w:r w:rsidRPr="00CC1A5A">
        <w:rPr>
          <w:rFonts w:ascii="Times New Roman" w:eastAsia="Times New Roman" w:hAnsi="Times New Roman" w:cs="Times New Roman"/>
          <w:sz w:val="28"/>
          <w:szCs w:val="28"/>
        </w:rPr>
        <w:t>. Sigurimi i një mbrojtjeje më të gjerë dhe më të fortë të patentave</w:t>
      </w:r>
      <w:r w:rsidR="007A4BBB" w:rsidRPr="00CC1A5A">
        <w:rPr>
          <w:rFonts w:ascii="Times New Roman" w:eastAsia="Times New Roman" w:hAnsi="Times New Roman" w:cs="Times New Roman"/>
          <w:sz w:val="28"/>
          <w:szCs w:val="28"/>
        </w:rPr>
        <w:t xml:space="preserve">, </w:t>
      </w:r>
      <w:r w:rsidRPr="00CC1A5A">
        <w:rPr>
          <w:rFonts w:ascii="Times New Roman" w:eastAsia="Times New Roman" w:hAnsi="Times New Roman" w:cs="Times New Roman"/>
          <w:sz w:val="28"/>
          <w:szCs w:val="28"/>
        </w:rPr>
        <w:t xml:space="preserve">modeleve të përdorimit </w:t>
      </w:r>
      <w:r w:rsidR="007A4BBB" w:rsidRPr="00CC1A5A">
        <w:rPr>
          <w:rFonts w:ascii="Times New Roman" w:eastAsia="Times New Roman" w:hAnsi="Times New Roman" w:cs="Times New Roman"/>
          <w:sz w:val="28"/>
          <w:szCs w:val="28"/>
        </w:rPr>
        <w:t xml:space="preserve">dhe certifikatave të mbrojtjes shtesë </w:t>
      </w:r>
      <w:r w:rsidRPr="00CC1A5A">
        <w:rPr>
          <w:rFonts w:ascii="Times New Roman" w:eastAsia="Times New Roman" w:hAnsi="Times New Roman" w:cs="Times New Roman"/>
          <w:sz w:val="28"/>
          <w:szCs w:val="28"/>
        </w:rPr>
        <w:t xml:space="preserve">për shkak të rolit të madh që luajnë këto objekte të pronësisë industriale në aktivitetet e subjekteve </w:t>
      </w:r>
      <w:proofErr w:type="gramStart"/>
      <w:r w:rsidRPr="00CC1A5A">
        <w:rPr>
          <w:rFonts w:ascii="Times New Roman" w:eastAsia="Times New Roman" w:hAnsi="Times New Roman" w:cs="Times New Roman"/>
          <w:sz w:val="28"/>
          <w:szCs w:val="28"/>
        </w:rPr>
        <w:t>vendas</w:t>
      </w:r>
      <w:proofErr w:type="gramEnd"/>
      <w:r w:rsidRPr="00CC1A5A">
        <w:rPr>
          <w:rFonts w:ascii="Times New Roman" w:eastAsia="Times New Roman" w:hAnsi="Times New Roman" w:cs="Times New Roman"/>
          <w:sz w:val="28"/>
          <w:szCs w:val="28"/>
        </w:rPr>
        <w:t xml:space="preserve"> dhe të huaj;</w:t>
      </w:r>
    </w:p>
    <w:p w14:paraId="0894AC2B" w14:textId="77777777" w:rsidR="00BE7B4C" w:rsidRPr="00CC1A5A" w:rsidRDefault="00BE7B4C">
      <w:pPr>
        <w:spacing w:after="0" w:line="240" w:lineRule="auto"/>
        <w:jc w:val="both"/>
        <w:rPr>
          <w:rFonts w:ascii="Times New Roman" w:eastAsia="Times New Roman" w:hAnsi="Times New Roman" w:cs="Times New Roman"/>
          <w:color w:val="000000"/>
          <w:spacing w:val="-10"/>
          <w:sz w:val="28"/>
          <w:szCs w:val="28"/>
        </w:rPr>
      </w:pPr>
    </w:p>
    <w:p w14:paraId="4A9D8FCA" w14:textId="77777777" w:rsidR="00BE7B4C" w:rsidRPr="00CC1A5A" w:rsidRDefault="002A6DE4">
      <w:pPr>
        <w:spacing w:line="240" w:lineRule="auto"/>
        <w:jc w:val="both"/>
        <w:rPr>
          <w:rFonts w:ascii="Times New Roman" w:eastAsia="Times New Roman" w:hAnsi="Times New Roman" w:cs="Times New Roman"/>
          <w:sz w:val="28"/>
          <w:szCs w:val="28"/>
        </w:rPr>
      </w:pPr>
      <w:r w:rsidRPr="00CC1A5A">
        <w:rPr>
          <w:rFonts w:ascii="Times New Roman" w:eastAsia="Times New Roman" w:hAnsi="Times New Roman" w:cs="Times New Roman"/>
          <w:sz w:val="28"/>
          <w:szCs w:val="28"/>
        </w:rPr>
        <w:t>3. Përafrimi i plotë i dispozitave ligjore për patentat me dispozitat e akteve përkatëse të Bashkimit Evropian, siç janë:</w:t>
      </w:r>
    </w:p>
    <w:p w14:paraId="7B600DFB" w14:textId="4B951006" w:rsidR="007A4BBB" w:rsidRPr="00CC1A5A" w:rsidRDefault="007A4BBB" w:rsidP="007A4BBB">
      <w:pPr>
        <w:spacing w:after="0" w:line="276" w:lineRule="auto"/>
        <w:rPr>
          <w:rFonts w:ascii="Times New Roman" w:eastAsia="MS Mincho" w:hAnsi="Times New Roman" w:cs="Times New Roman"/>
          <w:i/>
          <w:iCs/>
          <w:sz w:val="28"/>
          <w:szCs w:val="28"/>
          <w:lang w:val="es-ES" w:eastAsia="en-US"/>
        </w:rPr>
      </w:pPr>
      <w:r w:rsidRPr="00CC1A5A">
        <w:rPr>
          <w:rFonts w:ascii="Times New Roman" w:eastAsia="MS Mincho" w:hAnsi="Times New Roman" w:cs="Times New Roman"/>
          <w:i/>
          <w:iCs/>
          <w:sz w:val="28"/>
          <w:szCs w:val="28"/>
          <w:lang w:val="es-ES" w:eastAsia="en-US"/>
        </w:rPr>
        <w:t>1. Ky ligj është përafruar me aktet e mëposhtme të Bashkimit Europian</w:t>
      </w:r>
      <w:proofErr w:type="gramStart"/>
      <w:r w:rsidRPr="00CC1A5A">
        <w:rPr>
          <w:rFonts w:ascii="Times New Roman" w:eastAsia="MS Mincho" w:hAnsi="Times New Roman" w:cs="Times New Roman"/>
          <w:i/>
          <w:iCs/>
          <w:sz w:val="28"/>
          <w:szCs w:val="28"/>
          <w:lang w:val="es-ES" w:eastAsia="en-US"/>
        </w:rPr>
        <w:t>:1</w:t>
      </w:r>
      <w:proofErr w:type="gramEnd"/>
      <w:r w:rsidRPr="00CC1A5A">
        <w:rPr>
          <w:rFonts w:ascii="Times New Roman" w:eastAsia="MS Mincho" w:hAnsi="Times New Roman" w:cs="Times New Roman"/>
          <w:i/>
          <w:iCs/>
          <w:sz w:val="28"/>
          <w:szCs w:val="28"/>
          <w:lang w:val="es-ES" w:eastAsia="en-US"/>
        </w:rPr>
        <w:t xml:space="preserve">. Direktiva 98/44/KE e Parlamentit dhe Këshillit Europian e datës 6 Korrik 1998 për mbrojtjen ligjore të shpikjeve bioteknologjike (OJ L 213, 30.7.1998). </w:t>
      </w:r>
    </w:p>
    <w:p w14:paraId="2F054587" w14:textId="77777777" w:rsidR="007A4BBB" w:rsidRPr="00CC1A5A" w:rsidRDefault="007A4BBB" w:rsidP="007A4BBB">
      <w:pPr>
        <w:spacing w:after="0" w:line="276" w:lineRule="auto"/>
        <w:rPr>
          <w:rFonts w:ascii="Times New Roman" w:eastAsia="MS Mincho" w:hAnsi="Times New Roman" w:cs="Times New Roman"/>
          <w:i/>
          <w:iCs/>
          <w:sz w:val="28"/>
          <w:szCs w:val="28"/>
          <w:lang w:val="es-ES" w:eastAsia="en-US"/>
        </w:rPr>
      </w:pPr>
      <w:r w:rsidRPr="00CC1A5A">
        <w:rPr>
          <w:rFonts w:ascii="Times New Roman" w:eastAsia="MS Mincho" w:hAnsi="Times New Roman" w:cs="Times New Roman"/>
          <w:i/>
          <w:iCs/>
          <w:sz w:val="28"/>
          <w:szCs w:val="28"/>
          <w:lang w:val="es-ES" w:eastAsia="en-US"/>
        </w:rPr>
        <w:t>2. Direktiva 2004/48/KE e Parlamentit dhe Këshillit Europian e datës 29 Prill 2004 për zbatimin e të drejtave të pronësisë intelektuale (OJ L 157, 30.4.2004).</w:t>
      </w:r>
    </w:p>
    <w:p w14:paraId="784922E2" w14:textId="77777777" w:rsidR="007A4BBB" w:rsidRPr="00CC1A5A" w:rsidRDefault="007A4BBB" w:rsidP="007A4BBB">
      <w:pPr>
        <w:spacing w:after="0" w:line="276" w:lineRule="auto"/>
        <w:rPr>
          <w:rFonts w:ascii="Times New Roman" w:eastAsia="MS Mincho" w:hAnsi="Times New Roman" w:cs="Times New Roman"/>
          <w:i/>
          <w:iCs/>
          <w:sz w:val="28"/>
          <w:szCs w:val="28"/>
          <w:lang w:val="es-ES" w:eastAsia="en-US"/>
        </w:rPr>
      </w:pPr>
      <w:r w:rsidRPr="00CC1A5A">
        <w:rPr>
          <w:rFonts w:ascii="Times New Roman" w:eastAsia="MS Mincho" w:hAnsi="Times New Roman" w:cs="Times New Roman"/>
          <w:i/>
          <w:iCs/>
          <w:sz w:val="28"/>
          <w:szCs w:val="28"/>
          <w:lang w:val="es-ES" w:eastAsia="en-US"/>
        </w:rPr>
        <w:t>3. Rregullorja (KE) Nr. 816/2006 e Parlamentit dhe Këshillit Europian e datës 17 Maj 2006 për licensimin detyrues të patentave në lidhje me prodhimin e produkteve farmaceutike për eksport në vende me probleme të shëndetit publik OJ L 157, 9.6.2006 – në vijim: Rregullorja (KE) Nr. 816/2006).</w:t>
      </w:r>
    </w:p>
    <w:p w14:paraId="28CC25F3" w14:textId="77777777" w:rsidR="007A4BBB" w:rsidRPr="00CC1A5A" w:rsidRDefault="007A4BBB" w:rsidP="007A4BBB">
      <w:pPr>
        <w:spacing w:after="0" w:line="276" w:lineRule="auto"/>
        <w:rPr>
          <w:rFonts w:ascii="Times New Roman" w:eastAsia="MS Mincho" w:hAnsi="Times New Roman" w:cs="Times New Roman"/>
          <w:i/>
          <w:iCs/>
          <w:sz w:val="28"/>
          <w:szCs w:val="28"/>
          <w:lang w:val="es-ES" w:eastAsia="en-US"/>
        </w:rPr>
      </w:pPr>
      <w:r w:rsidRPr="00CC1A5A">
        <w:rPr>
          <w:rFonts w:ascii="Times New Roman" w:eastAsia="MS Mincho" w:hAnsi="Times New Roman" w:cs="Times New Roman"/>
          <w:i/>
          <w:iCs/>
          <w:sz w:val="28"/>
          <w:szCs w:val="28"/>
          <w:lang w:val="es-ES" w:eastAsia="en-US"/>
        </w:rPr>
        <w:t xml:space="preserve">4. Rregullorja </w:t>
      </w:r>
      <w:r w:rsidRPr="00CC1A5A">
        <w:rPr>
          <w:rFonts w:ascii="Times New Roman" w:eastAsia="MS Mincho" w:hAnsi="Times New Roman" w:cs="Times New Roman"/>
          <w:i/>
          <w:iCs/>
          <w:color w:val="19161B"/>
          <w:sz w:val="28"/>
          <w:szCs w:val="28"/>
          <w:lang w:val="es-ES" w:eastAsia="en-US"/>
        </w:rPr>
        <w:t>(KE) Nr. 469/2009 e Parlamentit dhe Këshillit Europian e datës 6 Maj 2009 në lidhje me certifikatën e mbrojtjes shtesë për produkte mjekësore (OJL 152, 16.6.2009).</w:t>
      </w:r>
    </w:p>
    <w:p w14:paraId="3AD899D8" w14:textId="77777777" w:rsidR="007A4BBB" w:rsidRPr="00CC1A5A" w:rsidRDefault="007A4BBB" w:rsidP="007A4BBB">
      <w:pPr>
        <w:autoSpaceDE w:val="0"/>
        <w:autoSpaceDN w:val="0"/>
        <w:adjustRightInd w:val="0"/>
        <w:spacing w:after="0" w:line="240" w:lineRule="auto"/>
        <w:rPr>
          <w:rFonts w:ascii="Times New Roman" w:eastAsia="MS Mincho" w:hAnsi="Times New Roman" w:cs="Times New Roman"/>
          <w:i/>
          <w:iCs/>
          <w:color w:val="000000"/>
          <w:sz w:val="28"/>
          <w:szCs w:val="28"/>
          <w:lang w:val="es-ES" w:eastAsia="en-US"/>
        </w:rPr>
      </w:pPr>
      <w:r w:rsidRPr="00CC1A5A">
        <w:rPr>
          <w:rFonts w:ascii="Times New Roman" w:eastAsia="MS Mincho" w:hAnsi="Times New Roman" w:cs="Times New Roman"/>
          <w:i/>
          <w:iCs/>
          <w:color w:val="19161B"/>
          <w:sz w:val="28"/>
          <w:szCs w:val="28"/>
          <w:lang w:val="es-ES" w:eastAsia="en-US"/>
        </w:rPr>
        <w:t xml:space="preserve">5. Rregullorja (KE) Nr. </w:t>
      </w:r>
      <w:r w:rsidRPr="00CC1A5A">
        <w:rPr>
          <w:rFonts w:ascii="Times New Roman" w:eastAsia="MS Mincho" w:hAnsi="Times New Roman" w:cs="Times New Roman"/>
          <w:i/>
          <w:iCs/>
          <w:color w:val="000000"/>
          <w:sz w:val="28"/>
          <w:szCs w:val="28"/>
          <w:lang w:val="es-ES" w:eastAsia="en-US"/>
        </w:rPr>
        <w:t xml:space="preserve">2019/933 </w:t>
      </w:r>
      <w:r w:rsidRPr="00CC1A5A">
        <w:rPr>
          <w:rFonts w:ascii="Times New Roman" w:eastAsia="MS Mincho" w:hAnsi="Times New Roman" w:cs="Times New Roman"/>
          <w:i/>
          <w:iCs/>
          <w:color w:val="19161B"/>
          <w:sz w:val="28"/>
          <w:szCs w:val="28"/>
          <w:lang w:val="es-ES" w:eastAsia="en-US"/>
        </w:rPr>
        <w:t>e Parlamentit dhe Këshillit Europian e datës</w:t>
      </w:r>
      <w:r w:rsidRPr="00CC1A5A">
        <w:rPr>
          <w:rFonts w:ascii="Times New Roman" w:eastAsia="MS Mincho" w:hAnsi="Times New Roman" w:cs="Times New Roman"/>
          <w:i/>
          <w:iCs/>
          <w:color w:val="000000"/>
          <w:sz w:val="28"/>
          <w:szCs w:val="28"/>
          <w:lang w:val="es-ES" w:eastAsia="en-US"/>
        </w:rPr>
        <w:t xml:space="preserve"> 20 Maj 2019 që amendon Rregulloren (KE) Nr. 469/2009 </w:t>
      </w:r>
      <w:r w:rsidRPr="00CC1A5A">
        <w:rPr>
          <w:rFonts w:ascii="Times New Roman" w:eastAsia="MS Mincho" w:hAnsi="Times New Roman" w:cs="Times New Roman"/>
          <w:i/>
          <w:iCs/>
          <w:color w:val="19161B"/>
          <w:sz w:val="28"/>
          <w:szCs w:val="28"/>
          <w:lang w:val="es-ES" w:eastAsia="en-US"/>
        </w:rPr>
        <w:t>në lidhje me certifikatën e mbrojtjes shtesë për produkte mjekësore (</w:t>
      </w:r>
      <w:r w:rsidRPr="00CC1A5A">
        <w:rPr>
          <w:rFonts w:ascii="Times New Roman" w:eastAsia="MS Mincho" w:hAnsi="Times New Roman" w:cs="Times New Roman"/>
          <w:i/>
          <w:iCs/>
          <w:color w:val="000000"/>
          <w:sz w:val="28"/>
          <w:szCs w:val="28"/>
          <w:lang w:val="es-ES" w:eastAsia="en-US"/>
        </w:rPr>
        <w:t>OJ L 153, 11.6.2019).</w:t>
      </w:r>
    </w:p>
    <w:p w14:paraId="2292C0A6" w14:textId="77777777" w:rsidR="007A4BBB" w:rsidRPr="00CC1A5A" w:rsidRDefault="007A4BBB" w:rsidP="007A4BBB">
      <w:pPr>
        <w:spacing w:after="0" w:line="276" w:lineRule="auto"/>
        <w:rPr>
          <w:rFonts w:ascii="Times New Roman" w:eastAsia="MS Mincho" w:hAnsi="Times New Roman" w:cs="Times New Roman"/>
          <w:i/>
          <w:iCs/>
          <w:sz w:val="28"/>
          <w:szCs w:val="28"/>
          <w:lang w:val="es-ES" w:eastAsia="en-US"/>
        </w:rPr>
      </w:pPr>
      <w:r w:rsidRPr="00CC1A5A">
        <w:rPr>
          <w:rFonts w:ascii="Times New Roman" w:eastAsia="MS Mincho" w:hAnsi="Times New Roman" w:cs="Times New Roman"/>
          <w:i/>
          <w:iCs/>
          <w:sz w:val="28"/>
          <w:szCs w:val="28"/>
          <w:lang w:val="es-ES" w:eastAsia="en-US"/>
        </w:rPr>
        <w:lastRenderedPageBreak/>
        <w:t xml:space="preserve">6. Rregullorja (KE) Nr. 1610/96 e </w:t>
      </w:r>
      <w:r w:rsidRPr="00CC1A5A">
        <w:rPr>
          <w:rFonts w:ascii="Times New Roman" w:eastAsia="MS Mincho" w:hAnsi="Times New Roman" w:cs="Times New Roman"/>
          <w:i/>
          <w:iCs/>
          <w:color w:val="19161B"/>
          <w:sz w:val="28"/>
          <w:szCs w:val="28"/>
          <w:lang w:val="es-ES" w:eastAsia="en-US"/>
        </w:rPr>
        <w:t>Parlamentit dhe Këshillit Europian e datës</w:t>
      </w:r>
      <w:r w:rsidRPr="00CC1A5A">
        <w:rPr>
          <w:rFonts w:ascii="Times New Roman" w:eastAsia="MS Mincho" w:hAnsi="Times New Roman" w:cs="Times New Roman"/>
          <w:i/>
          <w:iCs/>
          <w:sz w:val="28"/>
          <w:szCs w:val="28"/>
          <w:lang w:val="es-ES" w:eastAsia="en-US"/>
        </w:rPr>
        <w:t xml:space="preserve"> 23 Korrik 1996 në lidhje me krijimin e certifikatës së mbrojtjes shtesë për produktet e mbrojtjes së bimëve (OJ L 198, 8.8.1996).</w:t>
      </w:r>
    </w:p>
    <w:p w14:paraId="72F55739" w14:textId="77777777" w:rsidR="007A4BBB" w:rsidRPr="00CC1A5A" w:rsidRDefault="007A4BBB" w:rsidP="007A4BBB">
      <w:pPr>
        <w:autoSpaceDE w:val="0"/>
        <w:autoSpaceDN w:val="0"/>
        <w:adjustRightInd w:val="0"/>
        <w:spacing w:after="0" w:line="240" w:lineRule="auto"/>
        <w:rPr>
          <w:rFonts w:ascii="Times New Roman" w:eastAsia="MS Mincho" w:hAnsi="Times New Roman" w:cs="Times New Roman"/>
          <w:i/>
          <w:iCs/>
          <w:color w:val="000000"/>
          <w:sz w:val="28"/>
          <w:szCs w:val="28"/>
          <w:lang w:val="es-ES" w:eastAsia="en-US"/>
        </w:rPr>
      </w:pPr>
      <w:r w:rsidRPr="00CC1A5A">
        <w:rPr>
          <w:rFonts w:ascii="Times New Roman" w:eastAsia="MS Mincho" w:hAnsi="Times New Roman" w:cs="Times New Roman"/>
          <w:i/>
          <w:iCs/>
          <w:color w:val="000000"/>
          <w:sz w:val="28"/>
          <w:szCs w:val="28"/>
          <w:lang w:val="es-ES" w:eastAsia="en-US"/>
        </w:rPr>
        <w:t>7. Rregullorja (KE) Nr. 1901/2006 e Parlamentit dhe Këshillit Europian e datës 12 Dhjetor 2006 për produktet mjekësore për përdorim pediatrik dhe ndryshon Rregulloren (EEC) Nr. 1768/92, Direktivën 2001/20/EC, Direktivën 2001/83/EC dhe Rregulloren (KE) Nr. 726/2004.</w:t>
      </w:r>
    </w:p>
    <w:p w14:paraId="36B26AC6" w14:textId="7D7F4020" w:rsidR="00BE7B4C" w:rsidRPr="00CC1A5A" w:rsidRDefault="007A4BBB" w:rsidP="007A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8"/>
          <w:szCs w:val="28"/>
          <w:shd w:val="clear" w:color="auto" w:fill="FFFF00"/>
          <w:lang w:val="es-ES"/>
        </w:rPr>
      </w:pPr>
      <w:r w:rsidRPr="00CC1A5A">
        <w:rPr>
          <w:rFonts w:ascii="Times New Roman" w:eastAsia="MS Mincho" w:hAnsi="Times New Roman" w:cs="Times New Roman"/>
          <w:i/>
          <w:iCs/>
          <w:sz w:val="28"/>
          <w:szCs w:val="28"/>
          <w:lang w:val="es-ES" w:eastAsia="en-US"/>
        </w:rPr>
        <w:t>8. Rregullorja (KE) Nr. 141/2000 e Parlamentit dhe Këshillit Europian e datës 16 Dhjetor 1999 për produktet mjekësore të sëmundjeve të rralla.</w:t>
      </w:r>
    </w:p>
    <w:p w14:paraId="75B6F9FB" w14:textId="77777777" w:rsidR="00BE7B4C" w:rsidRPr="00CC1A5A" w:rsidRDefault="00BE7B4C">
      <w:pPr>
        <w:spacing w:after="0" w:line="240" w:lineRule="auto"/>
        <w:jc w:val="both"/>
        <w:rPr>
          <w:rFonts w:ascii="Times New Roman" w:eastAsia="Times New Roman" w:hAnsi="Times New Roman" w:cs="Times New Roman"/>
          <w:sz w:val="28"/>
          <w:szCs w:val="28"/>
          <w:shd w:val="clear" w:color="auto" w:fill="FFFF00"/>
          <w:lang w:val="es-ES"/>
        </w:rPr>
      </w:pPr>
    </w:p>
    <w:p w14:paraId="3B9C2812" w14:textId="7E445735" w:rsidR="007A4BBB" w:rsidRPr="00CC1A5A" w:rsidRDefault="007A4BBB">
      <w:pPr>
        <w:spacing w:after="0" w:line="240" w:lineRule="auto"/>
        <w:jc w:val="both"/>
        <w:rPr>
          <w:rFonts w:ascii="Times New Roman" w:hAnsi="Times New Roman" w:cs="Times New Roman"/>
          <w:sz w:val="28"/>
          <w:szCs w:val="28"/>
          <w:lang w:val="sq-AL"/>
        </w:rPr>
      </w:pPr>
      <w:r w:rsidRPr="00CC1A5A">
        <w:rPr>
          <w:rFonts w:ascii="Times New Roman" w:hAnsi="Times New Roman" w:cs="Times New Roman"/>
          <w:sz w:val="28"/>
          <w:szCs w:val="28"/>
          <w:lang w:val="sq-AL"/>
        </w:rPr>
        <w:t>4. Plotësimi dhe mbushja e mangësive ligjore të vërejtuara në praktikë gjatë ndjekjes së procedurave administrative në DPPI.</w:t>
      </w:r>
    </w:p>
    <w:p w14:paraId="0F3DAC6D" w14:textId="77777777" w:rsidR="007A4BBB" w:rsidRPr="00CC1A5A" w:rsidRDefault="007A4BBB">
      <w:pPr>
        <w:spacing w:after="0" w:line="240" w:lineRule="auto"/>
        <w:jc w:val="both"/>
        <w:rPr>
          <w:rFonts w:ascii="Times New Roman" w:hAnsi="Times New Roman" w:cs="Times New Roman"/>
          <w:sz w:val="28"/>
          <w:szCs w:val="28"/>
          <w:lang w:val="sq-AL"/>
        </w:rPr>
      </w:pPr>
    </w:p>
    <w:p w14:paraId="17629B30" w14:textId="5BB9084D" w:rsidR="007A4BBB" w:rsidRPr="00CC1A5A" w:rsidRDefault="007A4BBB">
      <w:pPr>
        <w:spacing w:after="0" w:line="240" w:lineRule="auto"/>
        <w:jc w:val="both"/>
        <w:rPr>
          <w:rFonts w:ascii="Times New Roman" w:hAnsi="Times New Roman" w:cs="Times New Roman"/>
          <w:color w:val="000000"/>
          <w:sz w:val="28"/>
          <w:szCs w:val="28"/>
          <w:lang w:val="sq-AL"/>
        </w:rPr>
      </w:pPr>
      <w:r w:rsidRPr="00CC1A5A">
        <w:rPr>
          <w:rFonts w:ascii="Times New Roman" w:hAnsi="Times New Roman" w:cs="Times New Roman"/>
          <w:sz w:val="28"/>
          <w:szCs w:val="28"/>
          <w:lang w:val="sq-AL"/>
        </w:rPr>
        <w:t xml:space="preserve">5. </w:t>
      </w:r>
      <w:r w:rsidRPr="00CC1A5A">
        <w:rPr>
          <w:rFonts w:ascii="Times New Roman" w:hAnsi="Times New Roman" w:cs="Times New Roman"/>
          <w:color w:val="000000"/>
          <w:sz w:val="28"/>
          <w:szCs w:val="28"/>
          <w:lang w:val="sq-AL"/>
        </w:rPr>
        <w:t>Përmbushja e objektivave të strategjisë kombëtare të pronësisë intelektuale 2022-2025 për reformën ligjore dhe miratimin e ligjeve të veçanta për çdo objekt të pronësisë industriale</w:t>
      </w:r>
      <w:r w:rsidR="00D43322" w:rsidRPr="00CC1A5A">
        <w:rPr>
          <w:rFonts w:ascii="Times New Roman" w:hAnsi="Times New Roman" w:cs="Times New Roman"/>
          <w:color w:val="000000"/>
          <w:sz w:val="28"/>
          <w:szCs w:val="28"/>
          <w:lang w:val="sq-AL"/>
        </w:rPr>
        <w:t>.</w:t>
      </w:r>
    </w:p>
    <w:p w14:paraId="2D950670" w14:textId="77777777" w:rsidR="00D43322" w:rsidRPr="00CC1A5A" w:rsidRDefault="00D43322">
      <w:pPr>
        <w:spacing w:after="0" w:line="240" w:lineRule="auto"/>
        <w:jc w:val="both"/>
        <w:rPr>
          <w:rFonts w:ascii="Times New Roman" w:hAnsi="Times New Roman" w:cs="Times New Roman"/>
          <w:color w:val="000000"/>
          <w:sz w:val="28"/>
          <w:szCs w:val="28"/>
          <w:lang w:val="sq-AL"/>
        </w:rPr>
      </w:pPr>
    </w:p>
    <w:p w14:paraId="205B8B04" w14:textId="362F3873" w:rsidR="00D43322" w:rsidRPr="00CC1A5A" w:rsidRDefault="00D43322">
      <w:pPr>
        <w:spacing w:after="0" w:line="240" w:lineRule="auto"/>
        <w:jc w:val="both"/>
        <w:rPr>
          <w:rFonts w:ascii="Times New Roman" w:hAnsi="Times New Roman" w:cs="Times New Roman"/>
          <w:color w:val="000000"/>
          <w:sz w:val="28"/>
          <w:szCs w:val="28"/>
          <w:lang w:val="sq-AL"/>
        </w:rPr>
      </w:pPr>
      <w:r w:rsidRPr="00CC1A5A">
        <w:rPr>
          <w:rFonts w:ascii="Times New Roman" w:hAnsi="Times New Roman" w:cs="Times New Roman"/>
          <w:color w:val="000000"/>
          <w:sz w:val="28"/>
          <w:szCs w:val="28"/>
          <w:lang w:val="sq-AL"/>
        </w:rPr>
        <w:t>6. Rregullimi i saktë dhe i detajuar i procedurave që lidhen me licensat sekrete dhe licensat detyruese apo vullnetare.</w:t>
      </w:r>
    </w:p>
    <w:p w14:paraId="728BBB7C" w14:textId="77777777" w:rsidR="00D43322" w:rsidRPr="00CC1A5A" w:rsidRDefault="00D43322">
      <w:pPr>
        <w:spacing w:after="0" w:line="240" w:lineRule="auto"/>
        <w:jc w:val="both"/>
        <w:rPr>
          <w:rFonts w:ascii="Times New Roman" w:hAnsi="Times New Roman" w:cs="Times New Roman"/>
          <w:color w:val="000000"/>
          <w:sz w:val="28"/>
          <w:szCs w:val="28"/>
          <w:lang w:val="sq-AL"/>
        </w:rPr>
      </w:pPr>
    </w:p>
    <w:p w14:paraId="43A61AAB" w14:textId="685603DF" w:rsidR="00D43322" w:rsidRPr="00CC1A5A" w:rsidRDefault="00D43322">
      <w:pPr>
        <w:spacing w:after="0" w:line="240" w:lineRule="auto"/>
        <w:jc w:val="both"/>
        <w:rPr>
          <w:rFonts w:ascii="Times New Roman" w:eastAsia="Times New Roman" w:hAnsi="Times New Roman" w:cs="Times New Roman"/>
          <w:color w:val="000000"/>
          <w:sz w:val="28"/>
          <w:szCs w:val="28"/>
          <w:lang w:val="sq-AL"/>
        </w:rPr>
      </w:pPr>
      <w:r w:rsidRPr="00CC1A5A">
        <w:rPr>
          <w:rFonts w:ascii="Times New Roman" w:hAnsi="Times New Roman" w:cs="Times New Roman"/>
          <w:color w:val="000000"/>
          <w:sz w:val="28"/>
          <w:szCs w:val="28"/>
          <w:lang w:val="sq-AL"/>
        </w:rPr>
        <w:t xml:space="preserve">7. </w:t>
      </w:r>
      <w:r w:rsidRPr="00CC1A5A">
        <w:rPr>
          <w:rFonts w:ascii="Times New Roman" w:eastAsia="Times New Roman" w:hAnsi="Times New Roman" w:cs="Times New Roman"/>
          <w:color w:val="000000"/>
          <w:sz w:val="28"/>
          <w:szCs w:val="28"/>
          <w:lang w:val="sq-AL"/>
        </w:rPr>
        <w:t>Rregullimi i plotë i marrëdhënieve juridike që lidhen me patentat e shpikjeve bioteknologjike.</w:t>
      </w:r>
    </w:p>
    <w:p w14:paraId="07CCC712" w14:textId="77777777" w:rsidR="00D43322" w:rsidRPr="00CC1A5A" w:rsidRDefault="00D43322">
      <w:pPr>
        <w:spacing w:after="0" w:line="240" w:lineRule="auto"/>
        <w:jc w:val="both"/>
        <w:rPr>
          <w:rFonts w:ascii="Times New Roman" w:eastAsia="Times New Roman" w:hAnsi="Times New Roman" w:cs="Times New Roman"/>
          <w:color w:val="000000"/>
          <w:sz w:val="28"/>
          <w:szCs w:val="28"/>
          <w:lang w:val="sq-AL"/>
        </w:rPr>
      </w:pPr>
    </w:p>
    <w:p w14:paraId="7F9102BA" w14:textId="70CC332F" w:rsidR="00D43322" w:rsidRPr="00CC1A5A" w:rsidRDefault="00D43322">
      <w:pPr>
        <w:spacing w:after="0" w:line="240" w:lineRule="auto"/>
        <w:jc w:val="both"/>
        <w:rPr>
          <w:rFonts w:ascii="Times New Roman" w:hAnsi="Times New Roman" w:cs="Times New Roman"/>
          <w:sz w:val="28"/>
          <w:szCs w:val="28"/>
          <w:lang w:val="sq-AL"/>
        </w:rPr>
      </w:pPr>
      <w:r w:rsidRPr="00CC1A5A">
        <w:rPr>
          <w:rFonts w:ascii="Times New Roman" w:eastAsia="Times New Roman" w:hAnsi="Times New Roman" w:cs="Times New Roman"/>
          <w:color w:val="000000"/>
          <w:sz w:val="28"/>
          <w:szCs w:val="28"/>
          <w:lang w:val="sq-AL"/>
        </w:rPr>
        <w:t>8. Rregullimi i çështjeve dhe procedurave që lidhen me certifikatat e mbrojtjes shtesë për përdorim pediatrik.</w:t>
      </w:r>
    </w:p>
    <w:p w14:paraId="502F41A5" w14:textId="77777777" w:rsidR="007A4BBB" w:rsidRPr="00CC1A5A" w:rsidRDefault="007A4BBB">
      <w:pPr>
        <w:spacing w:after="0" w:line="240" w:lineRule="auto"/>
        <w:jc w:val="both"/>
        <w:rPr>
          <w:rFonts w:ascii="Times New Roman" w:eastAsia="Times New Roman" w:hAnsi="Times New Roman" w:cs="Times New Roman"/>
          <w:sz w:val="28"/>
          <w:szCs w:val="28"/>
          <w:shd w:val="clear" w:color="auto" w:fill="FFFF00"/>
          <w:lang w:val="sq-AL"/>
        </w:rPr>
      </w:pPr>
    </w:p>
    <w:p w14:paraId="07A0FA0A" w14:textId="1752C028" w:rsidR="00BE7B4C" w:rsidRPr="00CC1A5A" w:rsidRDefault="002A6DE4" w:rsidP="00CC1A5A">
      <w:pPr>
        <w:pStyle w:val="ListParagraph"/>
        <w:numPr>
          <w:ilvl w:val="0"/>
          <w:numId w:val="12"/>
        </w:numPr>
        <w:spacing w:after="200" w:line="276" w:lineRule="auto"/>
        <w:ind w:left="450" w:hanging="450"/>
        <w:jc w:val="both"/>
        <w:rPr>
          <w:rFonts w:ascii="Times New Roman" w:eastAsia="Times New Roman" w:hAnsi="Times New Roman" w:cs="Times New Roman"/>
          <w:b/>
          <w:sz w:val="28"/>
          <w:szCs w:val="28"/>
          <w:lang w:val="sq-AL"/>
        </w:rPr>
      </w:pPr>
      <w:r w:rsidRPr="00CC1A5A">
        <w:rPr>
          <w:rFonts w:ascii="Times New Roman" w:eastAsia="Times New Roman" w:hAnsi="Times New Roman" w:cs="Times New Roman"/>
          <w:b/>
          <w:sz w:val="28"/>
          <w:szCs w:val="28"/>
          <w:lang w:val="sq-AL"/>
        </w:rPr>
        <w:t>VLERËSIMI I PROJEKTAKTIT NË RAPORT ME PROGRAMIN POLITIK TË KËSHILLIT TË MINISTRAVE, PROGRAMIN ANALITIK TË AKTEVE DHE DOKUMENTET E TJERA POLITIKE</w:t>
      </w:r>
    </w:p>
    <w:p w14:paraId="45A4FBD1" w14:textId="77777777" w:rsidR="00BE7B4C" w:rsidRPr="00CC1A5A" w:rsidRDefault="002A6DE4">
      <w:pPr>
        <w:spacing w:after="240" w:line="240" w:lineRule="auto"/>
        <w:jc w:val="both"/>
        <w:rPr>
          <w:rFonts w:ascii="Times New Roman" w:eastAsia="Times New Roman" w:hAnsi="Times New Roman" w:cs="Times New Roman"/>
          <w:sz w:val="28"/>
          <w:szCs w:val="28"/>
          <w:lang w:val="sq-AL"/>
        </w:rPr>
      </w:pPr>
      <w:r w:rsidRPr="00CC1A5A">
        <w:rPr>
          <w:rFonts w:ascii="Times New Roman" w:eastAsia="Times New Roman" w:hAnsi="Times New Roman" w:cs="Times New Roman"/>
          <w:sz w:val="28"/>
          <w:szCs w:val="28"/>
          <w:lang w:val="sq-AL"/>
        </w:rPr>
        <w:t>Projektligji është planifikuar në programin analitik të akteve dhe dokumenteve të tjera politike për vitin 2023 dhe PKIE 2022-2025.</w:t>
      </w:r>
    </w:p>
    <w:p w14:paraId="655D64E1" w14:textId="77777777" w:rsidR="00BE7B4C" w:rsidRPr="00CC1A5A" w:rsidRDefault="00BE7B4C">
      <w:pPr>
        <w:spacing w:after="0" w:line="240" w:lineRule="auto"/>
        <w:jc w:val="both"/>
        <w:rPr>
          <w:rFonts w:ascii="Times New Roman" w:eastAsia="Times New Roman" w:hAnsi="Times New Roman" w:cs="Times New Roman"/>
          <w:sz w:val="28"/>
          <w:szCs w:val="28"/>
          <w:lang w:val="sq-AL"/>
        </w:rPr>
      </w:pPr>
    </w:p>
    <w:p w14:paraId="4AF3F16A" w14:textId="4E06DA76" w:rsidR="00BE7B4C" w:rsidRPr="00CC1A5A" w:rsidRDefault="002A6DE4" w:rsidP="00CC1A5A">
      <w:pPr>
        <w:pStyle w:val="ListParagraph"/>
        <w:numPr>
          <w:ilvl w:val="0"/>
          <w:numId w:val="12"/>
        </w:numPr>
        <w:spacing w:after="200" w:line="276" w:lineRule="auto"/>
        <w:ind w:left="450" w:hanging="450"/>
        <w:jc w:val="both"/>
        <w:rPr>
          <w:rFonts w:ascii="Times New Roman" w:eastAsia="Times New Roman" w:hAnsi="Times New Roman" w:cs="Times New Roman"/>
          <w:b/>
          <w:sz w:val="28"/>
          <w:szCs w:val="28"/>
          <w:lang w:val="en-US"/>
        </w:rPr>
      </w:pPr>
      <w:r w:rsidRPr="00CC1A5A">
        <w:rPr>
          <w:rFonts w:ascii="Times New Roman" w:eastAsia="Times New Roman" w:hAnsi="Times New Roman" w:cs="Times New Roman"/>
          <w:b/>
          <w:sz w:val="28"/>
          <w:szCs w:val="28"/>
          <w:lang w:val="en-US"/>
        </w:rPr>
        <w:t>ARGUMENTIMI I PROJEKTAKTIT LIDHUR ME PËRPARËSITË, PROBLEMATIKAT, EFEKTET E PRITSHME</w:t>
      </w:r>
    </w:p>
    <w:p w14:paraId="0B815C02"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Ligji 9947 rregullon sistemin e dhënies dhe mbrojtjes së të drejtave të pronësisë industriale, ku përfshihen këto objekte të pronësisë industriale (a) patentat dhe modelet e përdorimit, (b) dizenjot industriale, (c) markat tregtare, (ç) treguesit gjeografikë dhe emërtimet e origjinës dhe (d) sekreti tregtar.</w:t>
      </w:r>
    </w:p>
    <w:p w14:paraId="7CB36CCC"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0A61D788"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lastRenderedPageBreak/>
        <w:t>Në kuadër të çeljes së negociatave me Bashkimin Europian dhe nevojës për përafrimin sa më të plotë të legjislacionit shqiptar me aktet e mësipërme të BE-së, është e nevojshme të bëhen rregullime, përmirësime dhe plotësime të mëtejshme të dispozitave ligjore që rregullojnë patentat dhe modelet e përdorimit, si dhe mbrojtjen e të drejtave mbi shpikjet dhe modelet e përdorimit.</w:t>
      </w:r>
    </w:p>
    <w:p w14:paraId="38329DBA" w14:textId="77777777" w:rsidR="007A4BBB" w:rsidRPr="00CC1A5A" w:rsidRDefault="007A4BBB">
      <w:pPr>
        <w:spacing w:after="0" w:line="240" w:lineRule="auto"/>
        <w:jc w:val="both"/>
        <w:rPr>
          <w:rFonts w:ascii="Times New Roman" w:eastAsia="Times New Roman" w:hAnsi="Times New Roman" w:cs="Times New Roman"/>
          <w:sz w:val="28"/>
          <w:szCs w:val="28"/>
          <w:lang w:val="en-US"/>
        </w:rPr>
      </w:pPr>
    </w:p>
    <w:p w14:paraId="237FF947" w14:textId="03105635" w:rsidR="007A4BBB" w:rsidRPr="00CC1A5A" w:rsidRDefault="007A4BBB">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Po ashtu, një rregullim i posaçëm është i nevojshëm t’i kushtohet sistemit të regjistrimit së certifikatave të mbrojtjes shtesë si mjet për zgjatjen e afatit të vlefshmërisë së patentave të dhëna për produkte farmaceutike dhe për produkte për mbrojtjen e bimëve.</w:t>
      </w:r>
    </w:p>
    <w:p w14:paraId="4F7E8561" w14:textId="77777777" w:rsidR="00D43322" w:rsidRPr="00CC1A5A" w:rsidRDefault="00D43322">
      <w:pPr>
        <w:spacing w:after="0" w:line="240" w:lineRule="auto"/>
        <w:jc w:val="both"/>
        <w:rPr>
          <w:rFonts w:ascii="Times New Roman" w:eastAsia="Times New Roman" w:hAnsi="Times New Roman" w:cs="Times New Roman"/>
          <w:sz w:val="28"/>
          <w:szCs w:val="28"/>
          <w:lang w:val="en-US"/>
        </w:rPr>
      </w:pPr>
    </w:p>
    <w:p w14:paraId="2B7B39FB" w14:textId="67767A78"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Së pari, vlen të theksojmë se Ligji 9947 rregullon dhe trajton të gjitha objektet e pronësisë industriale, siç u përmendën më lart, të marra së bashku, ndërkohë që eksperienca dhe praktika e vendeve të tjera të Europës e rregullojnë secilin objekt të pronësisë industriale me ligj të veçantë.  Një gjë e tillë lehtëson dhe ndihmon që të gjitha çështjet komplekse që lidhen me çdo objekt të pronësisë industriale, siç është edhe rasti i patentave dhe modeleve të përdorimit, të trajtohen në të gjithë gjerësinë dhe detajet e tyre.</w:t>
      </w:r>
    </w:p>
    <w:p w14:paraId="4952F2A2" w14:textId="77777777" w:rsidR="00D43322" w:rsidRPr="00CC1A5A" w:rsidRDefault="00D43322">
      <w:pPr>
        <w:spacing w:after="0" w:line="240" w:lineRule="auto"/>
        <w:jc w:val="both"/>
        <w:rPr>
          <w:rFonts w:ascii="Times New Roman" w:eastAsia="Times New Roman" w:hAnsi="Times New Roman" w:cs="Times New Roman"/>
          <w:sz w:val="28"/>
          <w:szCs w:val="28"/>
          <w:lang w:val="en-US"/>
        </w:rPr>
      </w:pPr>
    </w:p>
    <w:p w14:paraId="316C1FE3"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1C1008CE"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Trajtimi i patentave dhe modeleve të përdorimit në një ligj të veçantë bëhet i nevojshëm edhe për faktin se, nëse deri më sot përafrimi në këtë aspekt ka qënë i pjesshëm, përafrimi i plotë kërkon të parashikohen edhe një sërë institutesh dhe momentesh të tjera që deri më sot ose rregulloheshin pjesërisht ose nuk rregulloheshin fare.</w:t>
      </w:r>
    </w:p>
    <w:p w14:paraId="2E2E894C"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4A5606DE" w14:textId="18DA09B4"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Projektligji bazohet, jo vetëm në aktet e BE-së, por edhe në ligjet për patentat dhe modelet e përdorimit të miratuara kohët e fundit në vende europiane, si Kroacia, ku gjejnë pasqyrim të gjitha parashikimet e fundit të akteve të BE-së në fushën e patentave, sipas mënyrës së duhur të teknikës legjislative. Sigurisht, projektligji përmban edhe reflektime të drejtpërdrejta të akteve të BE për patentat</w:t>
      </w:r>
      <w:r w:rsidR="00D43322" w:rsidRPr="00CC1A5A">
        <w:rPr>
          <w:rFonts w:ascii="Times New Roman" w:eastAsia="Times New Roman" w:hAnsi="Times New Roman" w:cs="Times New Roman"/>
          <w:sz w:val="28"/>
          <w:szCs w:val="28"/>
          <w:lang w:val="en-US"/>
        </w:rPr>
        <w:t xml:space="preserve">, </w:t>
      </w:r>
      <w:r w:rsidRPr="00CC1A5A">
        <w:rPr>
          <w:rFonts w:ascii="Times New Roman" w:eastAsia="Times New Roman" w:hAnsi="Times New Roman" w:cs="Times New Roman"/>
          <w:sz w:val="28"/>
          <w:szCs w:val="28"/>
          <w:lang w:val="en-US"/>
        </w:rPr>
        <w:t>modelet e përdorimit</w:t>
      </w:r>
      <w:r w:rsidR="00D43322" w:rsidRPr="00CC1A5A">
        <w:rPr>
          <w:rFonts w:ascii="Times New Roman" w:eastAsia="Times New Roman" w:hAnsi="Times New Roman" w:cs="Times New Roman"/>
          <w:sz w:val="28"/>
          <w:szCs w:val="28"/>
          <w:lang w:val="en-US"/>
        </w:rPr>
        <w:t xml:space="preserve"> dhe certifikatave të mbrojtjes shtesë</w:t>
      </w:r>
      <w:r w:rsidRPr="00CC1A5A">
        <w:rPr>
          <w:rFonts w:ascii="Times New Roman" w:eastAsia="Times New Roman" w:hAnsi="Times New Roman" w:cs="Times New Roman"/>
          <w:sz w:val="28"/>
          <w:szCs w:val="28"/>
          <w:lang w:val="en-US"/>
        </w:rPr>
        <w:t>.  Madje, vlen të theksojmë se dispozitat e akteve të BE për patentat</w:t>
      </w:r>
      <w:r w:rsidR="00D43322" w:rsidRPr="00CC1A5A">
        <w:rPr>
          <w:rFonts w:ascii="Times New Roman" w:eastAsia="Times New Roman" w:hAnsi="Times New Roman" w:cs="Times New Roman"/>
          <w:sz w:val="28"/>
          <w:szCs w:val="28"/>
          <w:lang w:val="en-US"/>
        </w:rPr>
        <w:t xml:space="preserve">, </w:t>
      </w:r>
      <w:r w:rsidRPr="00CC1A5A">
        <w:rPr>
          <w:rFonts w:ascii="Times New Roman" w:eastAsia="Times New Roman" w:hAnsi="Times New Roman" w:cs="Times New Roman"/>
          <w:sz w:val="28"/>
          <w:szCs w:val="28"/>
          <w:lang w:val="en-US"/>
        </w:rPr>
        <w:t>modelet e përdorimit</w:t>
      </w:r>
      <w:r w:rsidR="00D43322" w:rsidRPr="00CC1A5A">
        <w:rPr>
          <w:rFonts w:ascii="Times New Roman" w:eastAsia="Times New Roman" w:hAnsi="Times New Roman" w:cs="Times New Roman"/>
          <w:sz w:val="28"/>
          <w:szCs w:val="28"/>
          <w:lang w:val="en-US"/>
        </w:rPr>
        <w:t xml:space="preserve"> dhe certifikatat e mbrojtjes shtesë</w:t>
      </w:r>
      <w:r w:rsidRPr="00CC1A5A">
        <w:rPr>
          <w:rFonts w:ascii="Times New Roman" w:eastAsia="Times New Roman" w:hAnsi="Times New Roman" w:cs="Times New Roman"/>
          <w:sz w:val="28"/>
          <w:szCs w:val="28"/>
          <w:lang w:val="en-US"/>
        </w:rPr>
        <w:t xml:space="preserve"> janë mbajtur parasysh dhe janë konsultuar gjatë hartimit të çdo dispozite të projektligjit në fjalë.</w:t>
      </w:r>
    </w:p>
    <w:p w14:paraId="61525FD1"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3032C7B8"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Projektligji sjell përmirësime të rëndësishme në raport me Ligjin 9947, si në strukturë, në përmbajtje dhe në trajtimin e çështjeve të veçanta.</w:t>
      </w:r>
    </w:p>
    <w:p w14:paraId="27249BD0"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427A365B"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Përmirësime konstatohen që tek përkufizimet që jepen që në nenet e para të projektligjit, të cilat sqarojnë më tej kuptimin, interpretimin, si dhe do të ndihmojnë në zbatimin më të mirë të këtij projektligji në praktikë pasi të miratohet.</w:t>
      </w:r>
    </w:p>
    <w:p w14:paraId="658418F3"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17BDFE97"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Projektligji është fokusuar dhe ka plotësuar më mirë momente të tilla si shpikja dhe elementët e saj, risia, hapi shpikës dhe zbatueshmëria në industri (që përfshin edhe bujqësinë).  Po kështu, projektligji ka bërë plotësime dhe saktësime në lidhje me shpikjet në fushën e bioteknologjisë, në lidhje me bimët ose kafshët, në lidhje me elementë të izoluar të marra nga trupi i njeriut e kështu me radhë.  Jepen ne mënyrë më të plotë edhe variatetet bimore dhe kafshore, proceset dhe shpikjet në përgjithësi që përjashtohen nga patentueshmëria.</w:t>
      </w:r>
    </w:p>
    <w:p w14:paraId="6EDCB84D"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24974CD3" w14:textId="6BBCA7AD"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 xml:space="preserve">Me qëllim që të sigurojë një mbrojtje më të mirë të patentave, modeleve të përdorimit dhe të certifikatave të mbrojtjes shtesë, projektligji nuk parashikon vetëm detyrimin e DPPI-së të mbajë regjistra për secilën prej këtyre objekteve që u përmendën, por e </w:t>
      </w:r>
      <w:r w:rsidR="00D43322" w:rsidRPr="00CC1A5A">
        <w:rPr>
          <w:rFonts w:ascii="Times New Roman" w:eastAsia="Times New Roman" w:hAnsi="Times New Roman" w:cs="Times New Roman"/>
          <w:sz w:val="28"/>
          <w:szCs w:val="28"/>
          <w:lang w:val="en-US"/>
        </w:rPr>
        <w:t>trajton</w:t>
      </w:r>
      <w:r w:rsidRPr="00CC1A5A">
        <w:rPr>
          <w:rFonts w:ascii="Times New Roman" w:eastAsia="Times New Roman" w:hAnsi="Times New Roman" w:cs="Times New Roman"/>
          <w:sz w:val="28"/>
          <w:szCs w:val="28"/>
          <w:lang w:val="en-US"/>
        </w:rPr>
        <w:t xml:space="preserve"> informacionin që përmbahet në këto regjistra në nivel ligjor, kur aktualisht ky informacion jepet dhe parashikohet në rregulloren e DPPI-së, që është miratuar me vendim të Këshillit të Ministrave.  Sigurisht, kjo siguron një trajtim dhe një mbrojtje më të lartë të këtyre të dhënave që shënohen në regjistra, si dhe rrit shkallën e përgjegjësisë së punonjësve që mbajnë dhe azhornojnë regjistra të tillë.   </w:t>
      </w:r>
    </w:p>
    <w:p w14:paraId="5B6AEF07"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3060B81C"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Projektligji sjell përmirësime të dukshme në lidhje me kryerjen e inspektimeve të dosjeve në DPPI, rivendosjen e të drejtave të pronarëve dhe mbajtësve të patentave, në botimin në Buletinin e DPPI-së të çdo gjëje që lidhet me patentat, duke filluar nga aplikimi, ndryshimet e pronësisë, korrigjimet e të metave dhe mangësive, proceset vazhduese e deri tek shfuqizimi dhe deklarimi i pavlefshmërisë së patentave.</w:t>
      </w:r>
    </w:p>
    <w:p w14:paraId="0983D87A"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22146CAE" w14:textId="3252EFF1"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Mbrojtjes së patentës së shpikjes dhe modelit të përdorimit i kushtohet gjithashtu një vëmendje e veçantë edhe përsa i përket aplikimit dhe regjistrimit të tyre. Kështu, në këtë aspekt, projektligji parashikon me saktësi dhe në mënyrë të detajuar kërkesat dhe procedurat që nevojiten të ndiqen dhe të plotësohen për regjistrimin e patentës duke filluar që nga momenti i aplikimit për patentë.  Në këtë kuadër, projektligji trajton në mënyrë më të zgjeruar të drejtën për prioritet që lidhet me momentin e datës së depozitimit të një patente ose modeli përdorimi.</w:t>
      </w:r>
    </w:p>
    <w:p w14:paraId="049A1712"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2673C86F" w14:textId="59E4DED0"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Ndonëse DPPI-ja nuk bën ekzaminim thelbësor të një patente për shpikje, projektligji i ka rregulluar dhe parashikuar më saktë dhe më mirë procedurat për kryerjen e këtij ekzaminimi sipas procedurave të përcaktuara nga vende që e kryejnë një ekzaminim të tillë, vende me të cilat vendi ynë ka nënshkruar marrëveshjet përkatëse</w:t>
      </w:r>
      <w:r w:rsidR="00D43322" w:rsidRPr="00CC1A5A">
        <w:rPr>
          <w:rFonts w:ascii="Times New Roman" w:eastAsia="Times New Roman" w:hAnsi="Times New Roman" w:cs="Times New Roman"/>
          <w:sz w:val="28"/>
          <w:szCs w:val="28"/>
          <w:lang w:val="en-US"/>
        </w:rPr>
        <w:t xml:space="preserve"> siç është për shembull Zyra Europiane e Patentave me seli në Mynih</w:t>
      </w:r>
      <w:r w:rsidRPr="00CC1A5A">
        <w:rPr>
          <w:rFonts w:ascii="Times New Roman" w:eastAsia="Times New Roman" w:hAnsi="Times New Roman" w:cs="Times New Roman"/>
          <w:sz w:val="28"/>
          <w:szCs w:val="28"/>
          <w:lang w:val="en-US"/>
        </w:rPr>
        <w:t xml:space="preserve">.  </w:t>
      </w:r>
      <w:proofErr w:type="gramStart"/>
      <w:r w:rsidRPr="00CC1A5A">
        <w:rPr>
          <w:rFonts w:ascii="Times New Roman" w:eastAsia="Times New Roman" w:hAnsi="Times New Roman" w:cs="Times New Roman"/>
          <w:sz w:val="28"/>
          <w:szCs w:val="28"/>
          <w:lang w:val="en-US"/>
        </w:rPr>
        <w:t>Ky</w:t>
      </w:r>
      <w:proofErr w:type="gramEnd"/>
      <w:r w:rsidRPr="00CC1A5A">
        <w:rPr>
          <w:rFonts w:ascii="Times New Roman" w:eastAsia="Times New Roman" w:hAnsi="Times New Roman" w:cs="Times New Roman"/>
          <w:sz w:val="28"/>
          <w:szCs w:val="28"/>
          <w:lang w:val="en-US"/>
        </w:rPr>
        <w:t xml:space="preserve"> moment gjithashtu përbën një risi të projektligjit në raport me Ligjin 9947. </w:t>
      </w:r>
    </w:p>
    <w:p w14:paraId="42DD1B52"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376E0031"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lastRenderedPageBreak/>
        <w:t>Ligji 9947 ka disa mangësi në trajtimin e produkteve mjekësore dhe produkteve për mbrojtjen e bimëve, që lidhen me dhënien e cerifikatave të mbrojtjes shtesë për një patentë, mangësi këto që mendojmë se plotësohen në projektligj i cili, ndërmjet të tjerave, ndalet dhe bën përkufizimet e nevojshme, duke lehtësuar kuptimin dhe zbatimin e këtij kreu të projektligjit për certifikatat e mbrojtjes shtesë. Ndonëse ky kre ishte përafruar shumë me dispozitat respektive të akteve të BE-së, projektligji ka saktësuar dhe plotësuar më tej momente të tilla, si aplikimi dhe përmbajtja e tij, depozitimi dhe dhënia e certifikatës, afati dhe momenti i fillimit të saj, deri në botimin e certifikatës në Buletinin e DPPI-së.</w:t>
      </w:r>
    </w:p>
    <w:p w14:paraId="120A24C1"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2A30C87F"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 xml:space="preserve">Projektligji e ka përmirësuar ndjeshëm çështjen e licensave vullnetare dhe, sidomos, të licensave detyruese, të cilat kanë një rëndësi të konsiderueshme për përdorimin e patentave, për të mos i lënë këto të fjetura në arkivat e DPPI-së. Projektligji parashikon në mënyrë të detajuar procedurën për aplikimin dhe dhënien e licensës detyruese, si dhe autoritetin përkatës për dhënien e kësaj license, përfshi edhe momente të tjera të nevojshme që lidhen me të sipas akteve të BE-së.  Licensat ekskluzive dhe jo-ekskluzive zënë vendin që u takon në projektligj, si dhe </w:t>
      </w:r>
      <w:proofErr w:type="gramStart"/>
      <w:r w:rsidRPr="00CC1A5A">
        <w:rPr>
          <w:rFonts w:ascii="Times New Roman" w:eastAsia="Times New Roman" w:hAnsi="Times New Roman" w:cs="Times New Roman"/>
          <w:sz w:val="28"/>
          <w:szCs w:val="28"/>
          <w:lang w:val="en-US"/>
        </w:rPr>
        <w:t>iu</w:t>
      </w:r>
      <w:proofErr w:type="gramEnd"/>
      <w:r w:rsidRPr="00CC1A5A">
        <w:rPr>
          <w:rFonts w:ascii="Times New Roman" w:eastAsia="Times New Roman" w:hAnsi="Times New Roman" w:cs="Times New Roman"/>
          <w:sz w:val="28"/>
          <w:szCs w:val="28"/>
          <w:lang w:val="en-US"/>
        </w:rPr>
        <w:t xml:space="preserve"> është dhënë trajtimi i duhur ligjor.</w:t>
      </w:r>
    </w:p>
    <w:p w14:paraId="2C887572"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0A0E70EE"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Aplikimi dhe regjistrimi i patentave europiane, efektet e tyre, konvertimi i tyre në patentë kombëtare, aplikimet nderkombëtare sipas Traktatit të Bashkëpunimit për Patentat, me të gjithë elementët përkatës, janë trajtuar dhe përmirësuar në projektligjin që propozohet, duke e linjëzuar plotësisht praktikën ndërkombëtare me atë kombëtare.</w:t>
      </w:r>
    </w:p>
    <w:p w14:paraId="670F1E1E"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4A0365ED" w14:textId="77777777"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Së fundi, projektligji ka rregulluar më mirë masat për mbrojtjen e patentave.  Projektligji e bën këtë duke i dhënë pronarëve dhe mbajtëseve të patentave të gjitha mjetet e duhura për t’iu kundërvënë shkeljeve të ndryshme që mund të hasen në praktikën dhe veprimtarinë e përditshme.</w:t>
      </w:r>
    </w:p>
    <w:p w14:paraId="7F6A06B1" w14:textId="77777777" w:rsidR="00BE7B4C" w:rsidRPr="00CC1A5A" w:rsidRDefault="00BE7B4C">
      <w:pPr>
        <w:spacing w:after="0" w:line="240" w:lineRule="auto"/>
        <w:jc w:val="both"/>
        <w:rPr>
          <w:rFonts w:ascii="Times New Roman" w:eastAsia="Times New Roman" w:hAnsi="Times New Roman" w:cs="Times New Roman"/>
          <w:sz w:val="28"/>
          <w:szCs w:val="28"/>
          <w:lang w:val="en-US"/>
        </w:rPr>
      </w:pPr>
    </w:p>
    <w:p w14:paraId="217B734F" w14:textId="77777777" w:rsidR="00527EC2"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sz w:val="28"/>
          <w:szCs w:val="28"/>
          <w:lang w:val="en-US"/>
        </w:rPr>
        <w:t>Projektligji është një hap tjetër përmbushës që hedh Qeveria Shqipare për realizimin e strategjisë dhe objektivave të saj në drejtim të përafrimit plotësisht të ligjeve kombëare me aktet respektive të BE-së.</w:t>
      </w:r>
    </w:p>
    <w:p w14:paraId="218FAD16" w14:textId="6CFC2DF1" w:rsidR="00BE7B4C" w:rsidRPr="00CC1A5A" w:rsidRDefault="002A6DE4">
      <w:pPr>
        <w:spacing w:after="0" w:line="240" w:lineRule="auto"/>
        <w:jc w:val="both"/>
        <w:rPr>
          <w:rFonts w:ascii="Times New Roman" w:eastAsia="Times New Roman" w:hAnsi="Times New Roman" w:cs="Times New Roman"/>
          <w:sz w:val="28"/>
          <w:szCs w:val="28"/>
          <w:lang w:val="en-US"/>
        </w:rPr>
      </w:pPr>
      <w:r w:rsidRPr="00CC1A5A">
        <w:rPr>
          <w:rFonts w:ascii="Times New Roman" w:eastAsia="Times New Roman" w:hAnsi="Times New Roman" w:cs="Times New Roman"/>
          <w:i/>
          <w:sz w:val="28"/>
          <w:szCs w:val="28"/>
          <w:lang w:val="en-US"/>
        </w:rPr>
        <w:t xml:space="preserve"> </w:t>
      </w:r>
    </w:p>
    <w:p w14:paraId="1C749966" w14:textId="710E6D23" w:rsidR="00527EC2" w:rsidRPr="00CC1A5A" w:rsidRDefault="00527EC2" w:rsidP="00527EC2">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color w:val="000000"/>
          <w:spacing w:val="-10"/>
          <w:sz w:val="28"/>
          <w:szCs w:val="28"/>
          <w:lang w:val="fr-FR"/>
        </w:rPr>
        <w:t>Për këtë qëllim, Projektligji iu dërgua për mendim edhe Organizatës Botërore të Pronësisë Intelektuale, Zyrës Europiane të Patentave dhe Zyrës së Bashkimit Europian të Pronësisë Industriale, institucioneve ndërkombëtare ku Shqipëria aderon, si dhe me të cilat bashkëpunon (në vijim “institucionet ndërkombëtare”).</w:t>
      </w:r>
    </w:p>
    <w:p w14:paraId="402DA3D0" w14:textId="77777777" w:rsidR="00527EC2" w:rsidRPr="00CC1A5A" w:rsidRDefault="00527EC2" w:rsidP="00527EC2">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color w:val="000000"/>
          <w:spacing w:val="-10"/>
          <w:sz w:val="28"/>
          <w:szCs w:val="28"/>
          <w:lang w:val="fr-FR"/>
        </w:rPr>
        <w:t>Pasi e shqyrtuan projektligjin, institucionet ndërkombëtare bënë disa sugjerime dhe rekomandime në lidhje me të, ku vlen të theksojmë më poshtë ato që janë më të rëndësishmet.</w:t>
      </w:r>
    </w:p>
    <w:p w14:paraId="31F24086" w14:textId="77777777" w:rsidR="00527EC2" w:rsidRPr="00CC1A5A" w:rsidRDefault="00527EC2" w:rsidP="00527EC2">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color w:val="000000"/>
          <w:spacing w:val="-10"/>
          <w:sz w:val="28"/>
          <w:szCs w:val="28"/>
          <w:lang w:val="fr-FR"/>
        </w:rPr>
        <w:lastRenderedPageBreak/>
        <w:t>1.  Sipas sistemit dhe strukturës së patentave, që parashikohen në projektligj, krijohen dy tipe patentash: tipi i parë do të ishte patenta për të cilën do të sigurohej raport hetimi dhe opinion me shkrim, e cila do të përfitonte një afat të plotë mbrojtjeje prej 20 vjetësh nga data e aplikimit.  Tipi i dytë do të ishte patenta pa raport hetimi dhe opinioni me shkrim, për të cilën gjithsesi do të jepej një patentë prej 10 vjetësh, gjatë të cilës patenta do të ishte e vlefshme dhe e zbatueshme.  Afati 20 vjeçar për këtë tip të dytë patente do të sigurohej vetëm pasi të konfirmohej me prova patentueshmëria e shpikjes.</w:t>
      </w:r>
    </w:p>
    <w:p w14:paraId="35A225FA" w14:textId="77777777" w:rsidR="00527EC2" w:rsidRPr="00CC1A5A" w:rsidRDefault="00527EC2" w:rsidP="00527EC2">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color w:val="000000"/>
          <w:spacing w:val="-10"/>
          <w:sz w:val="28"/>
          <w:szCs w:val="28"/>
          <w:lang w:val="fr-FR"/>
        </w:rPr>
        <w:t>Sipas sugjerimeve të institucioneve ndërkombëtare, Shqipërisë i rekomandohet që projektligji të parashikonte një tip të vetëm patentash, me qëllim që të evitohej çdo lloj konfuzioni.  Për këtë qëllim, institucionet ndërkombëtare rekomandonin katër opsione për të përmbushur një objektiv të tillë.  Opsioni më i përshtatshëm që u gjykua për t’u ndjekur është opsioni i dytë, sipas të cilit raporti i hetimit dhe oponioni me shkrim të kërkohej për të gjitha rastet, opsion që bazohet në modelin belg ose atë hollandez.</w:t>
      </w:r>
    </w:p>
    <w:p w14:paraId="2897C4BC" w14:textId="77777777" w:rsidR="00527EC2" w:rsidRPr="00CC1A5A" w:rsidRDefault="00527EC2" w:rsidP="00527EC2">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color w:val="000000"/>
          <w:spacing w:val="-10"/>
          <w:sz w:val="28"/>
          <w:szCs w:val="28"/>
          <w:lang w:val="fr-FR"/>
        </w:rPr>
        <w:t>Pas shqyrtimit të këtyre modeleve të ngjashëm, përfundimisht u gjykua që varianti belg është më i përshtatshëm, gjë që gjeti reflektimin përkatës dhe të plotë në projektligj.</w:t>
      </w:r>
    </w:p>
    <w:p w14:paraId="61631CC3" w14:textId="77777777" w:rsidR="00527EC2" w:rsidRPr="00CC1A5A" w:rsidRDefault="00527EC2" w:rsidP="00527EC2">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color w:val="000000"/>
          <w:spacing w:val="-10"/>
          <w:sz w:val="28"/>
          <w:szCs w:val="28"/>
          <w:lang w:val="fr-FR"/>
        </w:rPr>
        <w:t>2. Një tjetër sugjerim i institucioneve ndërkombëtare ishte përmirësimi dhe parashikimi më i detajuar i marrëdhënieve dhe/ose të drejtave të punëmarrësve dhe punëdhënësve në lidhje me shpikjet.  Gjithashtu edhe kjo gjeti reflektimin e duhur në projektligj.</w:t>
      </w:r>
    </w:p>
    <w:p w14:paraId="32535515" w14:textId="77777777" w:rsidR="00527EC2" w:rsidRPr="00CC1A5A" w:rsidRDefault="00527EC2" w:rsidP="00527EC2">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color w:val="000000"/>
          <w:spacing w:val="-10"/>
          <w:sz w:val="28"/>
          <w:szCs w:val="28"/>
          <w:lang w:val="fr-FR"/>
        </w:rPr>
        <w:t xml:space="preserve">3. Lehtësimi i kritereve për dhënien e modeleve të përdorimit, ishte një tjetër sugjerim i institucioneve ndërkombëtare, që fokusohej në heqjen e hapit shpikës si kriter për dhënien e modeleve të përdorimit, sugjerim që gjeti po ashtu reflektim në projektligji. </w:t>
      </w:r>
    </w:p>
    <w:p w14:paraId="41F3E437" w14:textId="77777777" w:rsidR="00527EC2" w:rsidRPr="00CC1A5A" w:rsidRDefault="00527EC2" w:rsidP="00527EC2">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color w:val="000000"/>
          <w:spacing w:val="-10"/>
          <w:sz w:val="28"/>
          <w:szCs w:val="28"/>
          <w:lang w:val="fr-FR"/>
        </w:rPr>
        <w:t xml:space="preserve">4. Së fundi, përmendim sugjerimin, sipas Traktatit të Ligjit për Patentat (TLP), për depozitimin e aplikimeve për patentë dhe të dokumenteve shoqëruese jo vetëm </w:t>
      </w:r>
      <w:proofErr w:type="gramStart"/>
      <w:r w:rsidRPr="00CC1A5A">
        <w:rPr>
          <w:rFonts w:ascii="Times New Roman" w:eastAsia="Times New Roman" w:hAnsi="Times New Roman" w:cs="Times New Roman"/>
          <w:color w:val="000000"/>
          <w:spacing w:val="-10"/>
          <w:sz w:val="28"/>
          <w:szCs w:val="28"/>
          <w:lang w:val="fr-FR"/>
        </w:rPr>
        <w:t>online ,</w:t>
      </w:r>
      <w:proofErr w:type="gramEnd"/>
      <w:r w:rsidRPr="00CC1A5A">
        <w:rPr>
          <w:rFonts w:ascii="Times New Roman" w:eastAsia="Times New Roman" w:hAnsi="Times New Roman" w:cs="Times New Roman"/>
          <w:color w:val="000000"/>
          <w:spacing w:val="-10"/>
          <w:sz w:val="28"/>
          <w:szCs w:val="28"/>
          <w:lang w:val="fr-FR"/>
        </w:rPr>
        <w:t xml:space="preserve"> por edhe me dorëzim fizik të tyre.   </w:t>
      </w:r>
    </w:p>
    <w:p w14:paraId="1FA6E3E4" w14:textId="5558AA51" w:rsidR="0000770B" w:rsidRPr="00CC1A5A" w:rsidRDefault="0000770B" w:rsidP="00527EC2">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color w:val="000000"/>
          <w:spacing w:val="-10"/>
          <w:sz w:val="28"/>
          <w:szCs w:val="28"/>
          <w:lang w:val="fr-FR"/>
        </w:rPr>
        <w:t>5. Ky projekligj do të jetë objekt i shqyrtimit sipas ligjit 66/2016 “Për shërbimet”.</w:t>
      </w:r>
    </w:p>
    <w:p w14:paraId="53F08FFC" w14:textId="4486E6CD" w:rsidR="00BE7B4C" w:rsidRPr="00CC1A5A" w:rsidRDefault="00527EC2" w:rsidP="00527EC2">
      <w:pPr>
        <w:spacing w:after="0" w:line="240" w:lineRule="auto"/>
        <w:jc w:val="both"/>
        <w:rPr>
          <w:rFonts w:ascii="Times New Roman" w:eastAsia="Times New Roman" w:hAnsi="Times New Roman" w:cs="Times New Roman"/>
          <w:sz w:val="28"/>
          <w:szCs w:val="28"/>
          <w:lang w:val="fr-FR"/>
        </w:rPr>
      </w:pPr>
      <w:r w:rsidRPr="00CC1A5A">
        <w:rPr>
          <w:rFonts w:ascii="Times New Roman" w:eastAsia="Times New Roman" w:hAnsi="Times New Roman" w:cs="Times New Roman"/>
          <w:color w:val="000000"/>
          <w:spacing w:val="-10"/>
          <w:sz w:val="28"/>
          <w:szCs w:val="28"/>
          <w:lang w:val="fr-FR"/>
        </w:rPr>
        <w:t>Këto sugjerime u reflektuan përkatësisht në projektligj dhe, në këtë aspekt, mund të pohojmë se përafrimi i tij i plotë me aktet europiane është konfirmuar edhe nga institucionet ndërkombëtare të sipërcituara.</w:t>
      </w:r>
    </w:p>
    <w:p w14:paraId="4ED0860C" w14:textId="77777777" w:rsidR="00BE7B4C" w:rsidRPr="00CC1A5A" w:rsidRDefault="00BE7B4C">
      <w:pPr>
        <w:spacing w:after="0" w:line="240" w:lineRule="auto"/>
        <w:jc w:val="both"/>
        <w:rPr>
          <w:rFonts w:ascii="Times New Roman" w:eastAsia="Times New Roman" w:hAnsi="Times New Roman" w:cs="Times New Roman"/>
          <w:sz w:val="28"/>
          <w:szCs w:val="28"/>
          <w:lang w:val="fr-FR"/>
        </w:rPr>
      </w:pPr>
    </w:p>
    <w:p w14:paraId="30B3497C" w14:textId="236CB544" w:rsidR="00BE7B4C" w:rsidRPr="00CC1A5A" w:rsidRDefault="002A6DE4" w:rsidP="00CC1A5A">
      <w:pPr>
        <w:pStyle w:val="ListParagraph"/>
        <w:numPr>
          <w:ilvl w:val="0"/>
          <w:numId w:val="12"/>
        </w:numPr>
        <w:spacing w:after="0" w:line="240" w:lineRule="auto"/>
        <w:ind w:left="450" w:hanging="450"/>
        <w:jc w:val="both"/>
        <w:rPr>
          <w:rFonts w:ascii="Times New Roman" w:eastAsia="Times New Roman" w:hAnsi="Times New Roman" w:cs="Times New Roman"/>
          <w:sz w:val="28"/>
          <w:szCs w:val="28"/>
          <w:lang w:val="fr-FR"/>
        </w:rPr>
      </w:pPr>
      <w:r w:rsidRPr="00CC1A5A">
        <w:rPr>
          <w:rFonts w:ascii="Times New Roman" w:eastAsia="Times New Roman" w:hAnsi="Times New Roman" w:cs="Times New Roman"/>
          <w:b/>
          <w:sz w:val="28"/>
          <w:szCs w:val="28"/>
          <w:lang w:val="fr-FR"/>
        </w:rPr>
        <w:t>VLERËSIMI I LIGJSHMËRISË, KUSHTETUESHMËRISË DHE HARMONIZIMI ME LEGJISLACIONIN NË FUQI VENDAS E NDËRKOMBËTAR</w:t>
      </w:r>
    </w:p>
    <w:p w14:paraId="6916ECB1" w14:textId="77777777" w:rsidR="00BE7B4C" w:rsidRPr="00CC1A5A" w:rsidRDefault="00BE7B4C">
      <w:pPr>
        <w:spacing w:after="0" w:line="240" w:lineRule="auto"/>
        <w:ind w:left="1080"/>
        <w:jc w:val="both"/>
        <w:rPr>
          <w:rFonts w:ascii="Times New Roman" w:eastAsia="Times New Roman" w:hAnsi="Times New Roman" w:cs="Times New Roman"/>
          <w:sz w:val="28"/>
          <w:szCs w:val="28"/>
          <w:lang w:val="fr-FR"/>
        </w:rPr>
      </w:pPr>
    </w:p>
    <w:p w14:paraId="3289040A" w14:textId="419E55F3" w:rsidR="00D43322" w:rsidRPr="00CC1A5A" w:rsidRDefault="00D43322" w:rsidP="00D43322">
      <w:pPr>
        <w:jc w:val="both"/>
        <w:rPr>
          <w:rFonts w:ascii="Times New Roman" w:hAnsi="Times New Roman" w:cs="Times New Roman"/>
          <w:sz w:val="28"/>
          <w:szCs w:val="28"/>
          <w:lang w:val="sq-AL"/>
        </w:rPr>
      </w:pPr>
      <w:r w:rsidRPr="00CC1A5A">
        <w:rPr>
          <w:rFonts w:ascii="Times New Roman" w:hAnsi="Times New Roman" w:cs="Times New Roman"/>
          <w:sz w:val="28"/>
          <w:szCs w:val="28"/>
          <w:lang w:val="sq-AL"/>
        </w:rPr>
        <w:t>Ky projekligj është hartuar në përputhje të plotë me nenet 78, 83, pika 1, dhe nenin 121 të Kushtetutës, Kodin Doganor.</w:t>
      </w:r>
    </w:p>
    <w:p w14:paraId="55DDEB9A" w14:textId="77777777" w:rsidR="00BE7B4C" w:rsidRPr="00CC1A5A" w:rsidRDefault="002A6DE4">
      <w:pPr>
        <w:spacing w:after="0" w:line="312" w:lineRule="auto"/>
        <w:jc w:val="both"/>
        <w:rPr>
          <w:rFonts w:ascii="Times New Roman" w:eastAsia="Times New Roman" w:hAnsi="Times New Roman" w:cs="Times New Roman"/>
          <w:sz w:val="28"/>
          <w:szCs w:val="28"/>
          <w:lang w:val="fr-FR"/>
        </w:rPr>
      </w:pPr>
      <w:r w:rsidRPr="00CC1A5A">
        <w:rPr>
          <w:rFonts w:ascii="Times New Roman" w:eastAsia="Times New Roman" w:hAnsi="Times New Roman" w:cs="Times New Roman"/>
          <w:sz w:val="28"/>
          <w:szCs w:val="28"/>
          <w:lang w:val="fr-FR"/>
        </w:rPr>
        <w:t xml:space="preserve"> </w:t>
      </w:r>
    </w:p>
    <w:p w14:paraId="3DA44392" w14:textId="2A240850" w:rsidR="00BE7B4C" w:rsidRPr="00CC1A5A" w:rsidRDefault="002A6DE4" w:rsidP="00CC1A5A">
      <w:pPr>
        <w:pStyle w:val="ListParagraph"/>
        <w:numPr>
          <w:ilvl w:val="0"/>
          <w:numId w:val="12"/>
        </w:numPr>
        <w:spacing w:after="0" w:line="240" w:lineRule="auto"/>
        <w:ind w:left="450" w:hanging="450"/>
        <w:jc w:val="both"/>
        <w:rPr>
          <w:rFonts w:ascii="Times New Roman" w:eastAsia="Times New Roman" w:hAnsi="Times New Roman" w:cs="Times New Roman"/>
          <w:b/>
          <w:sz w:val="28"/>
          <w:szCs w:val="28"/>
          <w:lang w:val="fr-FR"/>
        </w:rPr>
      </w:pPr>
      <w:r w:rsidRPr="00CC1A5A">
        <w:rPr>
          <w:rFonts w:ascii="Times New Roman" w:eastAsia="Times New Roman" w:hAnsi="Times New Roman" w:cs="Times New Roman"/>
          <w:b/>
          <w:sz w:val="28"/>
          <w:szCs w:val="28"/>
          <w:lang w:val="fr-FR"/>
        </w:rPr>
        <w:t xml:space="preserve"> VLERËSIMI I SHKALLËS SË PËRAFRIMIT ME </w:t>
      </w:r>
      <w:r w:rsidRPr="00CC1A5A">
        <w:rPr>
          <w:rFonts w:ascii="Times New Roman" w:eastAsia="Times New Roman" w:hAnsi="Times New Roman" w:cs="Times New Roman"/>
          <w:b/>
          <w:i/>
          <w:sz w:val="28"/>
          <w:szCs w:val="28"/>
          <w:lang w:val="fr-FR"/>
        </w:rPr>
        <w:t xml:space="preserve">ACQUIS COMMUNAUTAIRE </w:t>
      </w:r>
      <w:r w:rsidRPr="00CC1A5A">
        <w:rPr>
          <w:rFonts w:ascii="Times New Roman" w:eastAsia="Times New Roman" w:hAnsi="Times New Roman" w:cs="Times New Roman"/>
          <w:b/>
          <w:sz w:val="28"/>
          <w:szCs w:val="28"/>
          <w:lang w:val="fr-FR"/>
        </w:rPr>
        <w:t>(PËR PROJEKTAKET NORMATIVE)</w:t>
      </w:r>
    </w:p>
    <w:p w14:paraId="61C0FC99" w14:textId="77777777" w:rsidR="00BE7B4C" w:rsidRPr="00CC1A5A" w:rsidRDefault="00BE7B4C">
      <w:pPr>
        <w:spacing w:after="0" w:line="240" w:lineRule="auto"/>
        <w:ind w:left="1080"/>
        <w:jc w:val="both"/>
        <w:rPr>
          <w:rFonts w:ascii="Times New Roman" w:eastAsia="Times New Roman" w:hAnsi="Times New Roman" w:cs="Times New Roman"/>
          <w:b/>
          <w:sz w:val="28"/>
          <w:szCs w:val="28"/>
          <w:lang w:val="fr-FR"/>
        </w:rPr>
      </w:pPr>
    </w:p>
    <w:p w14:paraId="43A75B24" w14:textId="656FBE1F" w:rsidR="00BE7B4C" w:rsidRPr="00CC1A5A" w:rsidRDefault="002A6DE4">
      <w:pPr>
        <w:spacing w:line="240" w:lineRule="auto"/>
        <w:jc w:val="both"/>
        <w:rPr>
          <w:rFonts w:ascii="Times New Roman" w:eastAsia="Times New Roman" w:hAnsi="Times New Roman" w:cs="Times New Roman"/>
          <w:color w:val="000000"/>
          <w:spacing w:val="-10"/>
          <w:sz w:val="28"/>
          <w:szCs w:val="28"/>
          <w:lang w:val="fr-FR"/>
        </w:rPr>
      </w:pPr>
      <w:r w:rsidRPr="00CC1A5A">
        <w:rPr>
          <w:rFonts w:ascii="Times New Roman" w:eastAsia="Times New Roman" w:hAnsi="Times New Roman" w:cs="Times New Roman"/>
          <w:sz w:val="28"/>
          <w:szCs w:val="28"/>
          <w:lang w:val="fr-FR"/>
        </w:rPr>
        <w:t>Qeveria shqiptare është angazhuar që të përafrojë plotësisht legjislacionin e saj me aktet e Bashkimit Evropian, bazuar në ecurinë e vendit drejt integrimit me këtë Bashkim. Ky angazhim i Qeverisë shqiptare mund të shihet konkretisht i zbatuar edhe në projektligjin për patentat e shpikjeve dhe modelet e përdorimit, hartimi dhe përmbajtja e të cilit është bazuar në direktivat dhe rregulloret e BE-së, siç specifikohen më lart.  Përsa i përket fushës për të cilën është hartuar ky projektligj, përafrimi me aktet e BE-së</w:t>
      </w:r>
      <w:r w:rsidR="00527EC2" w:rsidRPr="00CC1A5A">
        <w:rPr>
          <w:rFonts w:ascii="Times New Roman" w:eastAsia="Times New Roman" w:hAnsi="Times New Roman" w:cs="Times New Roman"/>
          <w:sz w:val="28"/>
          <w:szCs w:val="28"/>
          <w:lang w:val="fr-FR"/>
        </w:rPr>
        <w:t>, siç u theksua edhe më lart,</w:t>
      </w:r>
      <w:r w:rsidRPr="00CC1A5A">
        <w:rPr>
          <w:rFonts w:ascii="Times New Roman" w:eastAsia="Times New Roman" w:hAnsi="Times New Roman" w:cs="Times New Roman"/>
          <w:sz w:val="28"/>
          <w:szCs w:val="28"/>
          <w:lang w:val="fr-FR"/>
        </w:rPr>
        <w:t xml:space="preserve"> është i plotë</w:t>
      </w:r>
      <w:r w:rsidRPr="00CC1A5A">
        <w:rPr>
          <w:rFonts w:ascii="Times New Roman" w:eastAsia="Times New Roman" w:hAnsi="Times New Roman" w:cs="Times New Roman"/>
          <w:color w:val="000000"/>
          <w:spacing w:val="-10"/>
          <w:sz w:val="28"/>
          <w:szCs w:val="28"/>
          <w:lang w:val="fr-FR"/>
        </w:rPr>
        <w:t xml:space="preserve">. </w:t>
      </w:r>
    </w:p>
    <w:p w14:paraId="1F2A082A" w14:textId="77777777" w:rsidR="00225670" w:rsidRPr="00CC1A5A" w:rsidRDefault="00225670">
      <w:pPr>
        <w:spacing w:line="240" w:lineRule="auto"/>
        <w:jc w:val="both"/>
        <w:rPr>
          <w:rFonts w:ascii="Times New Roman" w:eastAsia="Times New Roman" w:hAnsi="Times New Roman" w:cs="Times New Roman"/>
          <w:color w:val="000000"/>
          <w:spacing w:val="-10"/>
          <w:sz w:val="28"/>
          <w:szCs w:val="28"/>
          <w:lang w:val="fr-FR"/>
        </w:rPr>
      </w:pPr>
    </w:p>
    <w:p w14:paraId="06603A97" w14:textId="3185366C" w:rsidR="00BE7B4C" w:rsidRPr="00CC1A5A" w:rsidRDefault="002A6DE4" w:rsidP="00CC1A5A">
      <w:pPr>
        <w:pStyle w:val="ListParagraph"/>
        <w:numPr>
          <w:ilvl w:val="0"/>
          <w:numId w:val="12"/>
        </w:numPr>
        <w:spacing w:before="100" w:after="222" w:line="240" w:lineRule="auto"/>
        <w:ind w:left="450" w:hanging="450"/>
        <w:jc w:val="both"/>
        <w:rPr>
          <w:rFonts w:ascii="Times New Roman" w:eastAsia="Times New Roman" w:hAnsi="Times New Roman" w:cs="Times New Roman"/>
          <w:sz w:val="28"/>
          <w:szCs w:val="28"/>
          <w:lang w:val="fr-FR"/>
        </w:rPr>
      </w:pPr>
      <w:r w:rsidRPr="00CC1A5A">
        <w:rPr>
          <w:rFonts w:ascii="Times New Roman" w:eastAsia="Times New Roman" w:hAnsi="Times New Roman" w:cs="Times New Roman"/>
          <w:b/>
          <w:color w:val="000000"/>
          <w:sz w:val="28"/>
          <w:szCs w:val="28"/>
          <w:lang w:val="fr-FR"/>
        </w:rPr>
        <w:t>PËRMBLEDHJE SHPJEGUESE E PËRMBAJTJES SË AKTIT</w:t>
      </w:r>
    </w:p>
    <w:p w14:paraId="34B46369" w14:textId="46F9179D" w:rsidR="00BE7B4C" w:rsidRPr="00CC1A5A" w:rsidRDefault="002A6DE4">
      <w:pPr>
        <w:spacing w:before="100" w:after="222" w:line="240" w:lineRule="auto"/>
        <w:jc w:val="both"/>
        <w:rPr>
          <w:rFonts w:ascii="Times New Roman" w:eastAsia="Times New Roman" w:hAnsi="Times New Roman" w:cs="Times New Roman"/>
          <w:sz w:val="28"/>
          <w:szCs w:val="28"/>
          <w:lang w:val="fr-FR"/>
        </w:rPr>
      </w:pPr>
      <w:r w:rsidRPr="00CC1A5A">
        <w:rPr>
          <w:rFonts w:ascii="Times New Roman" w:eastAsia="Times New Roman" w:hAnsi="Times New Roman" w:cs="Times New Roman"/>
          <w:sz w:val="28"/>
          <w:szCs w:val="28"/>
          <w:lang w:val="fr-FR"/>
        </w:rPr>
        <w:t>Ky projektligj përmban XV</w:t>
      </w:r>
      <w:r w:rsidR="00E103A4" w:rsidRPr="00CC1A5A">
        <w:rPr>
          <w:rFonts w:ascii="Times New Roman" w:eastAsia="Times New Roman" w:hAnsi="Times New Roman" w:cs="Times New Roman"/>
          <w:sz w:val="28"/>
          <w:szCs w:val="28"/>
          <w:lang w:val="fr-FR"/>
        </w:rPr>
        <w:t xml:space="preserve"> </w:t>
      </w:r>
      <w:r w:rsidRPr="00CC1A5A">
        <w:rPr>
          <w:rFonts w:ascii="Times New Roman" w:eastAsia="Times New Roman" w:hAnsi="Times New Roman" w:cs="Times New Roman"/>
          <w:sz w:val="28"/>
          <w:szCs w:val="28"/>
          <w:lang w:val="fr-FR"/>
        </w:rPr>
        <w:t>Pjesë në të cilat përfshihen 167 nene, me përmbajtjen dhe strukturën që vijon:</w:t>
      </w:r>
    </w:p>
    <w:p w14:paraId="07568199"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b/>
          <w:sz w:val="28"/>
          <w:szCs w:val="28"/>
          <w:u w:val="single"/>
          <w:lang w:val="it-IT"/>
        </w:rPr>
        <w:t>1. Pjesa e parë – Dispozita të përgjithshme</w:t>
      </w:r>
    </w:p>
    <w:p w14:paraId="1CB684E1"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këtë Pjesë trajtohen objekti i projektligjit dhe përkufizimet që shërbejnë për të lehtësuar dhe kuptuar në mënyrë të unifikuar të gjithë përmbajtjen e projektligjit. Dhënia e plotë e përkufizimeve shërben gjithashtu edhe për të sqaruar kuptimin e një vargu konceptesh që përdoren në projektligj, si dhe jepen në Konventat e ndryshme ku bazohet projektligji për trajtimin dhe zgjidhjen e mjaft çështjeve juridike.</w:t>
      </w:r>
    </w:p>
    <w:p w14:paraId="21146B5B"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Po kështu në këtë pjesë parashikohet edhe zbatimi i dispozitave të kodit që rregullojnë procedurën civile në proceset gjyqësore civile, përveçse kur parashikohet ndryshe në këtë ligj.</w:t>
      </w:r>
    </w:p>
    <w:p w14:paraId="27673DB4"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Së fundi, në këtë pjesë jepen dhe bëhen disa interpretime sqaruese dhe detyruese që do të lehtësojnë zbatimin në praktikë të dispozitave të projektligjit.</w:t>
      </w:r>
    </w:p>
    <w:p w14:paraId="3EB6EC58" w14:textId="77777777"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2.  Pjesa II – Objekti i Mbrojtjes së Shpikjes</w:t>
      </w:r>
    </w:p>
    <w:p w14:paraId="0A95D087" w14:textId="70BF5FB1" w:rsidR="00BE7B4C" w:rsidRPr="00CC1A5A" w:rsidRDefault="002A6DE4" w:rsidP="00741D26">
      <w:pPr>
        <w:spacing w:after="0" w:line="276" w:lineRule="auto"/>
        <w:jc w:val="both"/>
        <w:rPr>
          <w:rFonts w:ascii="Times New Roman" w:eastAsia="Times New Roman" w:hAnsi="Times New Roman" w:cs="Times New Roman"/>
          <w:sz w:val="28"/>
          <w:szCs w:val="28"/>
          <w:lang w:val="it-IT"/>
        </w:rPr>
      </w:pPr>
      <w:r w:rsidRPr="00CC1A5A">
        <w:rPr>
          <w:rFonts w:ascii="Times New Roman" w:eastAsia="Calibri" w:hAnsi="Times New Roman" w:cs="Times New Roman"/>
          <w:sz w:val="28"/>
          <w:szCs w:val="28"/>
          <w:lang w:val="it-IT"/>
        </w:rPr>
        <w:t>Në këtë pjesë, pikë së pari, flitet për karakteristikat që duhet të ketë një shpikje q</w:t>
      </w:r>
      <w:r w:rsidRPr="00CC1A5A">
        <w:rPr>
          <w:rFonts w:ascii="Times New Roman" w:eastAsia="Times New Roman" w:hAnsi="Times New Roman" w:cs="Times New Roman"/>
          <w:sz w:val="28"/>
          <w:szCs w:val="28"/>
          <w:lang w:val="it-IT"/>
        </w:rPr>
        <w:t xml:space="preserve">ë </w:t>
      </w:r>
      <w:r w:rsidRPr="00CC1A5A">
        <w:rPr>
          <w:rFonts w:ascii="Times New Roman" w:eastAsia="Calibri" w:hAnsi="Times New Roman" w:cs="Times New Roman"/>
          <w:sz w:val="28"/>
          <w:szCs w:val="28"/>
          <w:lang w:val="it-IT"/>
        </w:rPr>
        <w:t xml:space="preserve">të konsiderohet e patentueshme, të cilat janë </w:t>
      </w:r>
      <w:r w:rsidR="000E1100" w:rsidRPr="00CC1A5A">
        <w:rPr>
          <w:rFonts w:ascii="Times New Roman" w:eastAsia="Times New Roman" w:hAnsi="Times New Roman" w:cs="Times New Roman"/>
          <w:sz w:val="28"/>
          <w:szCs w:val="28"/>
          <w:lang w:val="it-IT"/>
        </w:rPr>
        <w:t>-</w:t>
      </w:r>
      <w:r w:rsidRPr="00CC1A5A">
        <w:rPr>
          <w:rFonts w:ascii="Times New Roman" w:eastAsia="Times New Roman" w:hAnsi="Times New Roman" w:cs="Times New Roman"/>
          <w:sz w:val="28"/>
          <w:szCs w:val="28"/>
          <w:lang w:val="it-IT"/>
        </w:rPr>
        <w:t xml:space="preserve"> risia, - përmbajtja e hapit shpikës dhe – zbatueshmëria në industri (duke përfshirë edhe bujqësinë), karakteristika ose elementë këto që rregullohen me hollësi dhe me qartësinë e duhur.</w:t>
      </w:r>
    </w:p>
    <w:p w14:paraId="306D7561" w14:textId="77777777" w:rsidR="00BE7B4C" w:rsidRPr="00CC1A5A" w:rsidRDefault="00BE7B4C" w:rsidP="00741D26">
      <w:pPr>
        <w:spacing w:after="0" w:line="276" w:lineRule="auto"/>
        <w:jc w:val="both"/>
        <w:rPr>
          <w:rFonts w:ascii="Times New Roman" w:eastAsia="Times New Roman" w:hAnsi="Times New Roman" w:cs="Times New Roman"/>
          <w:sz w:val="28"/>
          <w:szCs w:val="28"/>
          <w:lang w:val="it-IT"/>
        </w:rPr>
      </w:pPr>
    </w:p>
    <w:p w14:paraId="723CD5C3" w14:textId="0AA27878" w:rsidR="00BE7B4C" w:rsidRPr="00CC1A5A" w:rsidRDefault="002A6DE4" w:rsidP="00741D26">
      <w:pPr>
        <w:spacing w:after="0" w:line="276" w:lineRule="auto"/>
        <w:jc w:val="both"/>
        <w:rPr>
          <w:rFonts w:ascii="Times New Roman" w:eastAsia="Calibri" w:hAnsi="Times New Roman" w:cs="Times New Roman"/>
          <w:sz w:val="28"/>
          <w:szCs w:val="28"/>
          <w:lang w:val="it-IT"/>
        </w:rPr>
      </w:pPr>
      <w:r w:rsidRPr="00CC1A5A">
        <w:rPr>
          <w:rFonts w:ascii="Times New Roman" w:eastAsia="Times New Roman" w:hAnsi="Times New Roman" w:cs="Times New Roman"/>
          <w:sz w:val="28"/>
          <w:szCs w:val="28"/>
          <w:lang w:val="it-IT"/>
        </w:rPr>
        <w:t xml:space="preserve">Projektligji përcakton qartë se cilat gjëra nuk mund të vlerësohen apo të konsiderohen si shpikje, që do të thotë se ato </w:t>
      </w:r>
      <w:r w:rsidR="00BB2B51" w:rsidRPr="00CC1A5A">
        <w:rPr>
          <w:rFonts w:ascii="Times New Roman" w:eastAsia="Times New Roman" w:hAnsi="Times New Roman" w:cs="Times New Roman"/>
          <w:sz w:val="28"/>
          <w:szCs w:val="28"/>
          <w:lang w:val="it-IT"/>
        </w:rPr>
        <w:t>nuk mund të mbrohen nga një patentë</w:t>
      </w:r>
      <w:r w:rsidRPr="00CC1A5A">
        <w:rPr>
          <w:rFonts w:ascii="Times New Roman" w:eastAsia="Times New Roman" w:hAnsi="Times New Roman" w:cs="Times New Roman"/>
          <w:sz w:val="28"/>
          <w:szCs w:val="28"/>
          <w:lang w:val="it-IT"/>
        </w:rPr>
        <w:t xml:space="preserve">. </w:t>
      </w:r>
    </w:p>
    <w:p w14:paraId="22E19DA4" w14:textId="77777777" w:rsidR="00BE7B4C" w:rsidRPr="00CC1A5A" w:rsidRDefault="002A6DE4" w:rsidP="00741D26">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Më tej, projektligji trajton shpikjet që patentohen në fushën e bioteknologjisë, shpikjet që lidhen me trupin e njeriut, si dhe shpikjet që mund të jenë të patentueshme në lidhje me këtë fushë.</w:t>
      </w:r>
    </w:p>
    <w:p w14:paraId="44696389"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lastRenderedPageBreak/>
        <w:t>Gjithashtu, projekti saktëson dhe liston edhe elementë të ndryshëm të cilat përjashtohen nga patentueshmëria, duke ndarë qartë ato elementë/shpikje që mund të patentohen si shpikje nga ato që nuk mund të patentohen si të tilla.</w:t>
      </w:r>
    </w:p>
    <w:p w14:paraId="1A1C5923"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b/>
          <w:sz w:val="28"/>
          <w:szCs w:val="28"/>
          <w:lang w:val="it-IT"/>
        </w:rPr>
        <w:t>3.  Pjesa III – E Drejta për të Mbrojtur Shpikjen</w:t>
      </w:r>
    </w:p>
    <w:p w14:paraId="4C944970"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këtë pjesë flitet për personat që kanë të drejtë të zotërojnë një shpikje, e cila i përket shpikësit ose zëvendësuesit të tij ligjor.  Të dy këta gjejnë trajtimin e detajuar dhe të duhur në projektligj.</w:t>
      </w:r>
    </w:p>
    <w:p w14:paraId="6FD23097"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 xml:space="preserve">Mënyra e përfaqësimit para DPPI-së është një moment tjetër që rregullohet më saktësisht në projektligj, duke mbushur disa boshllëqe që ekzistojnë në Ligjin 9947. </w:t>
      </w:r>
    </w:p>
    <w:p w14:paraId="6D9F0810" w14:textId="77777777"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4.  Pjesa IV – Procedura për Mbrojtjen e Shpikjes</w:t>
      </w:r>
    </w:p>
    <w:p w14:paraId="09054DB8" w14:textId="4C8C91FB"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Fillimisht parashikohet autoriteti që kryen procedurat administrative për dhënien e patentës,</w:t>
      </w:r>
      <w:r w:rsidR="00BB2B51" w:rsidRPr="00CC1A5A">
        <w:rPr>
          <w:rFonts w:ascii="Times New Roman" w:eastAsia="Times New Roman" w:hAnsi="Times New Roman" w:cs="Times New Roman"/>
          <w:sz w:val="28"/>
          <w:szCs w:val="28"/>
          <w:lang w:val="it-IT"/>
        </w:rPr>
        <w:t xml:space="preserve"> modelit të përdorimit dhe</w:t>
      </w:r>
      <w:r w:rsidRPr="00CC1A5A">
        <w:rPr>
          <w:rFonts w:ascii="Times New Roman" w:eastAsia="Times New Roman" w:hAnsi="Times New Roman" w:cs="Times New Roman"/>
          <w:sz w:val="28"/>
          <w:szCs w:val="28"/>
          <w:lang w:val="it-IT"/>
        </w:rPr>
        <w:t xml:space="preserve"> certifikatës së mbrojtjes shtesë, procedura që kryhen nga DPPI-ja, pasi kryhen pagesat e tarifave dhe të pagesave të tjera procedurale.  Këto të fundit parashikohet të rregullohen me vendim të Këshillit të Ministrave.</w:t>
      </w:r>
    </w:p>
    <w:p w14:paraId="2B8341B8" w14:textId="09135BE4"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dallim nga Ligji 9947, projektligji parashikon edhe regjistrat që mbahen në DPPI në lidhje me këto objekte të pronësisë industriale, si dhe detajon se çfarë të dhënash do të regjistrohen në secilin prej regjistrave. Dallimi kryesor qëndron në fo</w:t>
      </w:r>
      <w:r w:rsidR="00BB2B51" w:rsidRPr="00CC1A5A">
        <w:rPr>
          <w:rFonts w:ascii="Times New Roman" w:eastAsia="Times New Roman" w:hAnsi="Times New Roman" w:cs="Times New Roman"/>
          <w:sz w:val="28"/>
          <w:szCs w:val="28"/>
          <w:lang w:val="it-IT"/>
        </w:rPr>
        <w:t>r</w:t>
      </w:r>
      <w:r w:rsidRPr="00CC1A5A">
        <w:rPr>
          <w:rFonts w:ascii="Times New Roman" w:eastAsia="Times New Roman" w:hAnsi="Times New Roman" w:cs="Times New Roman"/>
          <w:sz w:val="28"/>
          <w:szCs w:val="28"/>
          <w:lang w:val="it-IT"/>
        </w:rPr>
        <w:t>cën ligjore që projektligji i jep të dhënave që duhet të pasqyrohen në regjistrat përkatës.</w:t>
      </w:r>
    </w:p>
    <w:p w14:paraId="657CFA52"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I gjithë ky informacion që parashikohet dhe përshkruhet në projektligj duhet të botohet në Buletinin e DPPI-së, përveç disa rasteve që projektligji parashikon ndryshe për shkaqe konfidencialiteti.</w:t>
      </w:r>
    </w:p>
    <w:p w14:paraId="069C0AC3"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Dosjet që mbahen në DPPI, i nënshtrohen inspektimit nga çdo person i interesuar kur ato janë të botuara.  Projektligji përcakton edhe rastet kur dosjet e pabotuara mund të inspektohen.</w:t>
      </w:r>
    </w:p>
    <w:p w14:paraId="2B558EB1"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këtë kuadër, projektligji ngarkon DPPI-në të japë edhe shërbime të tjera informuese.</w:t>
      </w:r>
    </w:p>
    <w:p w14:paraId="0C4FEA74"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Projektligji parashikon edhe rastet e korrigjimit të gabimeve dhe pasaktësive të dukshme dhe një gjë e tillë është normale, po të mbajmë parasysh numrin e madh të regjistrimeve që bëhen çdo ditë në DPPI dhe korrigjimi është një rrugëdalje për paraqitjen e saktë të të dhënave në regjistra ose në Buletin.</w:t>
      </w:r>
    </w:p>
    <w:p w14:paraId="70E228EC"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 xml:space="preserve">Projektligji parashikon edhe rivendosjen e të drejtave ndaj një aplikanti ose mbajtësi të drejtash në rast se ai nuk kryen një veprim që sjell si pasojë të </w:t>
      </w:r>
      <w:r w:rsidRPr="00CC1A5A">
        <w:rPr>
          <w:rFonts w:ascii="Times New Roman" w:eastAsia="Times New Roman" w:hAnsi="Times New Roman" w:cs="Times New Roman"/>
          <w:sz w:val="28"/>
          <w:szCs w:val="28"/>
          <w:lang w:val="it-IT"/>
        </w:rPr>
        <w:lastRenderedPageBreak/>
        <w:t>drejpërdrejtë humbjen e një të drejte për aplikim. Sigurisht, kjo realizohet duke ndjekur procedurën përkatëse ligjore që detajohet në projektligj.</w:t>
      </w:r>
    </w:p>
    <w:p w14:paraId="2F48DC33" w14:textId="7CCD59AD"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Një kre më vete i kushto</w:t>
      </w:r>
      <w:r w:rsidR="00BB2B51" w:rsidRPr="00CC1A5A">
        <w:rPr>
          <w:rFonts w:ascii="Times New Roman" w:eastAsia="Times New Roman" w:hAnsi="Times New Roman" w:cs="Times New Roman"/>
          <w:sz w:val="28"/>
          <w:szCs w:val="28"/>
          <w:lang w:val="it-IT"/>
        </w:rPr>
        <w:t>het</w:t>
      </w:r>
      <w:r w:rsidRPr="00CC1A5A">
        <w:rPr>
          <w:rFonts w:ascii="Times New Roman" w:eastAsia="Times New Roman" w:hAnsi="Times New Roman" w:cs="Times New Roman"/>
          <w:sz w:val="28"/>
          <w:szCs w:val="28"/>
          <w:lang w:val="it-IT"/>
        </w:rPr>
        <w:t xml:space="preserve"> procedurës për mbrojtjen e shpikjes.  Kështu, kjo procedurë fillon me aplikimin për regjistrimin e çdo patente, aplikim që duhet të plotësojë një sërë kriteresh dhe kushtesh. Çdo aplikim ka nevojë për një përshkrim të shpikjes, si dhe shoqërohet me vizatimet dhe pretendimet përkatëse.  Këtu përfshihet edhe paraqitja e një abstrakti që është një përmbledhje e shkurtër e thelbit të shpikjes.</w:t>
      </w:r>
    </w:p>
    <w:p w14:paraId="19344AC0"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Një moment tjetër që rregullohet për herë të parë në projektligj është edhe çështja e depozitimit dhe e disponueshmërisë së materialit biologjik, i cili ka një rëndësi të veçantë për shpikjet që lidhen më këtë fushë.</w:t>
      </w:r>
    </w:p>
    <w:p w14:paraId="06246066"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Më tej, përsa i përket procedurës së mbrojtjes, projektligji rregullon në mënyrë më të plotë edhe çështjen e përmbajtjes së aplikimit për patentë që është e domosdoshme për përcaktimin e datës së depozitimit të një aplikimi për patentë.</w:t>
      </w:r>
    </w:p>
    <w:p w14:paraId="3C92E8D2"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Nisur edhe nga rastet praktike që janë shfaqur për të drejtën e prioritetit, projektligji e rregullon njëherë e mirë dhe në mënyrë të detajuar këtë të drejtë, gjë kjo që do të shmangë çdo konflikt në lidhje me faktin se cili aplikim mund të jetë paraqitur më parë dhe do të fitojë një datë më të hershme depozitimi.</w:t>
      </w:r>
    </w:p>
    <w:p w14:paraId="6AFA89DE"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Kur plotësohen kushtet dhe aplikimi është i plotë, ai i nënshtrohet ekzaminimit.  Gjatë kësaj faze ekzaminohet nëse aplikimi i paraqitur plotëson kriteret dhe kushtet e kërkuara për të marrë datën e depozitimit, nëse përshkrimi dhe vizatimet janë të plota dhe, nëse gjithçka gjendet në rregull, procedohet me regjistrimin e aplikimit.</w:t>
      </w:r>
    </w:p>
    <w:p w14:paraId="2887F1BA"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Nëse nuk plotësohen kriteret dhe kushtet, DPPI-ja njofton aplikantin të bëjë plotësimet e nevojshme të të metave dhe mangësive brenda një afati të caktuar.  Data e depozimit varet dhe përcaktohet nga plotësimi i këtyre të metave dhe mangësive, që do të thotë se data në të cilën bëhet paraqitja e dokumentave të plotësimit të të metave dhe mangësive, është edhe data përfundimtare e depozitimit të aplikimit.</w:t>
      </w:r>
    </w:p>
    <w:p w14:paraId="02512B97"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Sigurisht, nëse të metat dhe mangësitë nuk plotësohen, aplikimi refuzohet.</w:t>
      </w:r>
    </w:p>
    <w:p w14:paraId="7F01EA1D"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 xml:space="preserve">Projektligji, më tej, parashikon raportin e hetimit dhe opinionin e shkruar, të dyja këto të parashikuara për herë të parë në projektligj ose të azhornuara plotësisht me aktet e BE-së. </w:t>
      </w:r>
    </w:p>
    <w:p w14:paraId="077F4577"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 xml:space="preserve">Pasi kalon fazën e ekzaminimit, aplikimi botohet në Buletinin e DPPI-së.  Projektligji parashikon edhe mënyrën dhe përmbajtjen e botimit të aplikimit.                           </w:t>
      </w:r>
    </w:p>
    <w:p w14:paraId="38989210"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b/>
          <w:sz w:val="28"/>
          <w:szCs w:val="28"/>
          <w:lang w:val="it-IT"/>
        </w:rPr>
        <w:t>5.  Pjesa V – Modelet e Përdorimit</w:t>
      </w:r>
    </w:p>
    <w:p w14:paraId="5028539E"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lastRenderedPageBreak/>
        <w:t>Përgjithsisht për modelin e përdorimit zbatohen po ato rregulla dhe elementë që zbatohen edhe patentat.  Megjithatë, në projektligj jepen edhe ato specifika dhe karakteristika që lidhen vetëm me modelet e pëdorimit.</w:t>
      </w:r>
    </w:p>
    <w:p w14:paraId="361CAC24" w14:textId="77777777"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6.  Pjesa VI – Certifikatat e mbrojtjes shtesë</w:t>
      </w:r>
    </w:p>
    <w:p w14:paraId="0504AF75"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Fillimisht në këtë pjesë jepen përkufizimet për produktet mjekësore dhe për mbrojtjen e bimëve, të cilat kanë rëndësi dhe lidhen me aplikimin dhe dhënien e këtyre certifikatave.</w:t>
      </w:r>
    </w:p>
    <w:p w14:paraId="1FCBCED5"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Objekti i certifikatës është që çdo produkt që mbrohet me patentë, përpara se sa të hidhet në treg si produkt mjekësor ose për mbrojtjen e bimëve, duhet të pajiset me një autorizim sipas legjislacionit përkatës në fuqi.  Në këtë kuadër, projektligji përcakton edhe kushtet që nevojiten për marrjen e certifikatës.</w:t>
      </w:r>
    </w:p>
    <w:p w14:paraId="68CA851D" w14:textId="4A6ED18C"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 xml:space="preserve">Të drejtat që fitohen me certifikatën, janë po ato që jep edhe patenta, veçse certifikata e zgjat mbrojtjen e një patente edhe për </w:t>
      </w:r>
      <w:r w:rsidR="00BB2B51" w:rsidRPr="00CC1A5A">
        <w:rPr>
          <w:rFonts w:ascii="Times New Roman" w:eastAsia="Times New Roman" w:hAnsi="Times New Roman" w:cs="Times New Roman"/>
          <w:sz w:val="28"/>
          <w:szCs w:val="28"/>
          <w:lang w:val="it-IT"/>
        </w:rPr>
        <w:t xml:space="preserve">maksimumi </w:t>
      </w:r>
      <w:r w:rsidRPr="00CC1A5A">
        <w:rPr>
          <w:rFonts w:ascii="Times New Roman" w:eastAsia="Times New Roman" w:hAnsi="Times New Roman" w:cs="Times New Roman"/>
          <w:sz w:val="28"/>
          <w:szCs w:val="28"/>
          <w:lang w:val="it-IT"/>
        </w:rPr>
        <w:t>pesë vjet të tjera.</w:t>
      </w:r>
    </w:p>
    <w:p w14:paraId="3C618B2B"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Pasojat dhe efektet qe vijnë nga certifikata rregullohen në mënyrë më të detajuar në projektligj, se sa bëhet në Ligjin 9947, duke mbushur edhe ndonje boshllëk që ekzistonte në këtë aspekt.</w:t>
      </w:r>
    </w:p>
    <w:p w14:paraId="0524BE1A"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Përmbajtja e aplikimit për certifikatë, depozitimi i aplikimit, dhënia ose refuzimi i aplikimit për certifikatë, pra, procedura për mbrojtjen e certifikatës, si dhe afati i certifikatës, mbarimi, shfuqizimi dhe deklarimi i saj si e pavlefshme, gjejnë gjithashtu rregullim të plotë në projektligj.</w:t>
      </w:r>
    </w:p>
    <w:p w14:paraId="6D9D97E0" w14:textId="77777777"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7.  Pjesa VII – Kohëzgjatja, mbajtja në fuqi dhe ndërprerja e efekteve të patentës dhe modelit të përdorimit</w:t>
      </w:r>
    </w:p>
    <w:p w14:paraId="51D86190"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Të gjitha këto elementë rregullohen edhe në Ligjin 9947.  Projektligji sjell disa saktësime dhe përmirësime që vinin nga zbatimi në praktikë i këtyre dispozitave.  Në këtë pjesë caktohen afatet e një patente dhe modeli përdorimi, si dhe nevoja që të kryhen pagesa vjetore për mbajtjen në fuqi të secilës prej tyre. Moskryerja në kohë e pagesës sjell mbarimin e patentës ose të modelit të përdorimit sipas rastit.</w:t>
      </w:r>
    </w:p>
    <w:p w14:paraId="7523AE72"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Më tej në këtë pjesë shtjellohen edhe rastet e mbarimit të një patente apo modeli përdorimi.</w:t>
      </w:r>
    </w:p>
    <w:p w14:paraId="74E84326"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b/>
          <w:sz w:val="28"/>
          <w:szCs w:val="28"/>
          <w:lang w:val="it-IT"/>
        </w:rPr>
        <w:t>8.  Pjesa VIII – Efektet e patentës</w:t>
      </w:r>
    </w:p>
    <w:p w14:paraId="0D64ECD6"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Efektet e patentës lidhen me të drejtat që fiton pronari i saj pas regjistrimit dhe botimit të saj.</w:t>
      </w:r>
    </w:p>
    <w:p w14:paraId="73DE9419"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Të drejtat që fitohen nga një patentë ndonëse janë të gjera dhe ekskluzive, gjithësesi ato mund të kufizohen në disa raste, raste që parashikon në projektligj.</w:t>
      </w:r>
    </w:p>
    <w:p w14:paraId="3CE4726D"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b/>
          <w:sz w:val="28"/>
          <w:szCs w:val="28"/>
          <w:lang w:val="it-IT"/>
        </w:rPr>
        <w:lastRenderedPageBreak/>
        <w:t>9.  Pjesa IX – Licensat detyruese</w:t>
      </w:r>
      <w:r w:rsidRPr="00CC1A5A">
        <w:rPr>
          <w:rFonts w:ascii="Times New Roman" w:eastAsia="Times New Roman" w:hAnsi="Times New Roman" w:cs="Times New Roman"/>
          <w:sz w:val="28"/>
          <w:szCs w:val="28"/>
          <w:lang w:val="it-IT"/>
        </w:rPr>
        <w:t xml:space="preserve">     </w:t>
      </w:r>
    </w:p>
    <w:p w14:paraId="23069671"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lidhje me licensat detyruese, projektligji ka sjellë përmirësime të dukshme.  Autoriteti që jep licensën detyruese është gjykata dhe kjo ia jep një licensë të tillë kujtdo që ka aftësi të shfrytëzojë shpikjen dhe të plotësojë kushtet e parashikuara në projektligj.</w:t>
      </w:r>
    </w:p>
    <w:p w14:paraId="4EC63488"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Dhënia e licensës detyruese mundëson personat që mund ta shfrytëzojnë atë ta përdorin atë në industri me qëllim që të rrisin produktivitetin apo çdo gjë tjetër për të cilën shpikja është bërë dhe është regjistruar si e tillë.</w:t>
      </w:r>
    </w:p>
    <w:p w14:paraId="24DA2A30"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Sigurisht, pronari i shpikjes ka të drejtën e një kompensimi të drejtë dhe të arsyeshëm nga personi që shfrytëzon shpikjen.</w:t>
      </w:r>
    </w:p>
    <w:p w14:paraId="609132AD"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këtë pjesë bëhet fjalë edhe për licensat detyruese për produktet farmaceutike.</w:t>
      </w:r>
    </w:p>
    <w:p w14:paraId="3D51FC60" w14:textId="1646AB24"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 xml:space="preserve">Një vend të rëndësishëm projektligji i kushton licensave detyruese dhe futjes </w:t>
      </w:r>
      <w:r w:rsidR="00BB2B51" w:rsidRPr="00CC1A5A">
        <w:rPr>
          <w:rFonts w:ascii="Times New Roman" w:eastAsia="Times New Roman" w:hAnsi="Times New Roman" w:cs="Times New Roman"/>
          <w:sz w:val="28"/>
          <w:szCs w:val="28"/>
          <w:lang w:val="it-IT"/>
        </w:rPr>
        <w:t>së</w:t>
      </w:r>
      <w:r w:rsidRPr="00CC1A5A">
        <w:rPr>
          <w:rFonts w:ascii="Times New Roman" w:eastAsia="Times New Roman" w:hAnsi="Times New Roman" w:cs="Times New Roman"/>
          <w:sz w:val="28"/>
          <w:szCs w:val="28"/>
          <w:lang w:val="it-IT"/>
        </w:rPr>
        <w:t xml:space="preserve"> tyre në sistem për t’u përdorur nga vendet importuese të autorizuara, vende këto me zhvillim të pakët dhe që përfshihen në listën e Organizatës së Kombeve të Bashkuara ose në Organizatën Botërore të Tregtisë së të tilla.</w:t>
      </w:r>
    </w:p>
    <w:p w14:paraId="0D4BCD70" w14:textId="77777777"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10.  Pjesa X – Transferimi i të drejtave</w:t>
      </w:r>
    </w:p>
    <w:p w14:paraId="3014FE02"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këtë pjesë parashikohen rregulla se si mund të bëhet transferimi i pronësisë së patentës dhe kushtet që duhet të plotësohen që transferimi të jetë i vlefshëm.</w:t>
      </w:r>
    </w:p>
    <w:p w14:paraId="30614EAC" w14:textId="144B15C4"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Krahas licensimit të detyrueshëm të parashikuar në pjesën e mëparshme, në këtë pjesë parashikohet dhe rregullohet edhe licensimi i një shpikje për shfrytëzim, që është një licensim vullnetar që bëhet me vullnetin e pronarit të patentës, dhe ky licensim mund të jetë ekskluziv ose jo-ekskluziv.</w:t>
      </w:r>
    </w:p>
    <w:p w14:paraId="2013DBF3"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b/>
          <w:sz w:val="28"/>
          <w:szCs w:val="28"/>
          <w:lang w:val="it-IT"/>
        </w:rPr>
        <w:t>11.  Pjesa XI – Pavlefshmëria</w:t>
      </w:r>
      <w:r w:rsidRPr="00CC1A5A">
        <w:rPr>
          <w:rFonts w:ascii="Times New Roman" w:eastAsia="Times New Roman" w:hAnsi="Times New Roman" w:cs="Times New Roman"/>
          <w:sz w:val="28"/>
          <w:szCs w:val="28"/>
          <w:lang w:val="it-IT"/>
        </w:rPr>
        <w:t xml:space="preserve">     </w:t>
      </w:r>
    </w:p>
    <w:p w14:paraId="34E9CD59" w14:textId="3016AC9D"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këtë pjesë trajtohet deklarimi i një patente të pavlefshme, ku parashikohet se kush mund ta kërkojë një gjë të tillë dhe</w:t>
      </w:r>
      <w:r w:rsidR="00BB2B51" w:rsidRPr="00CC1A5A">
        <w:rPr>
          <w:rFonts w:ascii="Times New Roman" w:eastAsia="Times New Roman" w:hAnsi="Times New Roman" w:cs="Times New Roman"/>
          <w:sz w:val="28"/>
          <w:szCs w:val="28"/>
          <w:lang w:val="it-IT"/>
        </w:rPr>
        <w:t xml:space="preserve"> mbi cilën bazë ligjore</w:t>
      </w:r>
      <w:r w:rsidRPr="00CC1A5A">
        <w:rPr>
          <w:rFonts w:ascii="Times New Roman" w:eastAsia="Times New Roman" w:hAnsi="Times New Roman" w:cs="Times New Roman"/>
          <w:sz w:val="28"/>
          <w:szCs w:val="28"/>
          <w:lang w:val="it-IT"/>
        </w:rPr>
        <w:t>.</w:t>
      </w:r>
    </w:p>
    <w:p w14:paraId="0877A188"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Sigurisht, deklarimi si e pavlefshme e një patente passjell pasoja të cilat gjejnë rregullimin përkatës të detajuar në projektligj.</w:t>
      </w:r>
    </w:p>
    <w:p w14:paraId="707C9BD8" w14:textId="77777777"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12.  Pjesa XII – Aplikimi për patentë evropiane dhe patenta evropiane</w:t>
      </w:r>
    </w:p>
    <w:p w14:paraId="7773AB92" w14:textId="5276C71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 xml:space="preserve">Kjo pjesë, në fakt, është përafruar plotësisht me aktet e BE-së, prandaj projektligji thjesht ka bërë </w:t>
      </w:r>
      <w:r w:rsidR="00BB2B51" w:rsidRPr="00CC1A5A">
        <w:rPr>
          <w:rFonts w:ascii="Times New Roman" w:eastAsia="Times New Roman" w:hAnsi="Times New Roman" w:cs="Times New Roman"/>
          <w:sz w:val="28"/>
          <w:szCs w:val="28"/>
          <w:lang w:val="it-IT"/>
        </w:rPr>
        <w:t xml:space="preserve">disa </w:t>
      </w:r>
      <w:r w:rsidRPr="00CC1A5A">
        <w:rPr>
          <w:rFonts w:ascii="Times New Roman" w:eastAsia="Times New Roman" w:hAnsi="Times New Roman" w:cs="Times New Roman"/>
          <w:sz w:val="28"/>
          <w:szCs w:val="28"/>
          <w:lang w:val="it-IT"/>
        </w:rPr>
        <w:t xml:space="preserve">saktësime të </w:t>
      </w:r>
      <w:r w:rsidR="00BB2B51" w:rsidRPr="00CC1A5A">
        <w:rPr>
          <w:rFonts w:ascii="Times New Roman" w:eastAsia="Times New Roman" w:hAnsi="Times New Roman" w:cs="Times New Roman"/>
          <w:sz w:val="28"/>
          <w:szCs w:val="28"/>
          <w:lang w:val="it-IT"/>
        </w:rPr>
        <w:t>nevojshmë</w:t>
      </w:r>
      <w:r w:rsidRPr="00CC1A5A">
        <w:rPr>
          <w:rFonts w:ascii="Times New Roman" w:eastAsia="Times New Roman" w:hAnsi="Times New Roman" w:cs="Times New Roman"/>
          <w:sz w:val="28"/>
          <w:szCs w:val="28"/>
          <w:lang w:val="it-IT"/>
        </w:rPr>
        <w:t xml:space="preserve"> në raport me Ligjin 9947.   </w:t>
      </w:r>
    </w:p>
    <w:p w14:paraId="2B89F4DB" w14:textId="77777777"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13.  Pjesa XIII – Aplikimi ndërkomb</w:t>
      </w:r>
      <w:r w:rsidRPr="00CC1A5A">
        <w:rPr>
          <w:rFonts w:ascii="Times New Roman" w:eastAsia="Times New Roman" w:hAnsi="Times New Roman" w:cs="Times New Roman"/>
          <w:sz w:val="28"/>
          <w:szCs w:val="28"/>
          <w:lang w:val="it-IT"/>
        </w:rPr>
        <w:t>ë</w:t>
      </w:r>
      <w:r w:rsidRPr="00CC1A5A">
        <w:rPr>
          <w:rFonts w:ascii="Times New Roman" w:eastAsia="Times New Roman" w:hAnsi="Times New Roman" w:cs="Times New Roman"/>
          <w:b/>
          <w:sz w:val="28"/>
          <w:szCs w:val="28"/>
          <w:lang w:val="it-IT"/>
        </w:rPr>
        <w:t>tar sipas TBP</w:t>
      </w:r>
    </w:p>
    <w:p w14:paraId="66832FED" w14:textId="64FA2904"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E njëjta gjë që u tha në pjesën më sipër për aplikimin për patentë evropiane dhe patentën evropiane, është e vlefshme edhe për këtë pjesë.</w:t>
      </w:r>
      <w:r w:rsidR="00BB2B51" w:rsidRPr="00CC1A5A">
        <w:rPr>
          <w:rFonts w:ascii="Times New Roman" w:eastAsia="Times New Roman" w:hAnsi="Times New Roman" w:cs="Times New Roman"/>
          <w:sz w:val="28"/>
          <w:szCs w:val="28"/>
          <w:lang w:val="it-IT"/>
        </w:rPr>
        <w:t xml:space="preserve"> Në ndryshim nga ligji </w:t>
      </w:r>
      <w:r w:rsidR="00BB2B51" w:rsidRPr="00CC1A5A">
        <w:rPr>
          <w:rFonts w:ascii="Times New Roman" w:eastAsia="Times New Roman" w:hAnsi="Times New Roman" w:cs="Times New Roman"/>
          <w:sz w:val="28"/>
          <w:szCs w:val="28"/>
          <w:lang w:val="it-IT"/>
        </w:rPr>
        <w:lastRenderedPageBreak/>
        <w:t>ekzistues nr. 9947, projektligji ka parashikuar në mënyrë të detajuar procedurat bazike për aplikimin ndërkombëtar të një patente sipas TBP-së duke shmangur keqkuptimet dhe paqartësitë e krijuara nga parashikimet ligjore aktuale.</w:t>
      </w:r>
    </w:p>
    <w:p w14:paraId="51D2840B" w14:textId="77777777"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 xml:space="preserve">14. Pjesa XIV – Dispozita të përgjithshme në lidhje me zbatueshmërine e dispozitave mbi patenat – mbrojtja e të drejtave </w:t>
      </w:r>
    </w:p>
    <w:p w14:paraId="142077E2"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këtë pjesë, projektligji trajton dhe rregullon çështje të tjera si juridiksioni gjyqësor, ku bëhet ndarja e kompetencave ndërmjet gjykatës civile dhe asaj administrative, personat që kanë të drejtë të kërkojnë zbatimin e masave dhe mjeteve mbrojtëse, veprimet që përbëjnë shkelje të të drejtave të patentës për shpikje dhe modelit të përdorimit, provat, masat për sigurimin e provave, e drejta për informim, masat e përkohshme dhe vendosja e tyre, si dhe procedurat dhe masat kundër shkeljeve të të drejtave të patentës dhe modelit të përdorimit.  Të gjitha këto gjejnë trajtimin e duhur dhe të përshtatshëm në projektligj në përputhje me aktet ligjore të BE-së dhe konform rregullave procedurale të vendit tonë.</w:t>
      </w:r>
    </w:p>
    <w:p w14:paraId="3CA3E36E"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 xml:space="preserve">Po kështu, projektligji nuk lë pa trajtuar edhe çështje të tilla si, masat që duhet të marrin autoritetet doganore mbi bazën e kërkesave për veprim nga ana e pronarëve të patentave dhe modeleve të përdorimit. Projektligji përcakton detyra edhe për autoritetin e ngarkuar për mbikqyrjen e tregut të brendshëm, i cili vihet në lëvizje </w:t>
      </w:r>
      <w:r w:rsidRPr="00CC1A5A">
        <w:rPr>
          <w:rFonts w:ascii="Times New Roman" w:eastAsia="Times New Roman" w:hAnsi="Times New Roman" w:cs="Times New Roman"/>
          <w:i/>
          <w:sz w:val="28"/>
          <w:szCs w:val="28"/>
          <w:lang w:val="it-IT"/>
        </w:rPr>
        <w:t>ex officio</w:t>
      </w:r>
      <w:r w:rsidRPr="00CC1A5A">
        <w:rPr>
          <w:rFonts w:ascii="Times New Roman" w:eastAsia="Times New Roman" w:hAnsi="Times New Roman" w:cs="Times New Roman"/>
          <w:sz w:val="28"/>
          <w:szCs w:val="28"/>
          <w:lang w:val="it-IT"/>
        </w:rPr>
        <w:t xml:space="preserve"> ose edhe me kërkesë të pronarëve të patentave, të drejtat e të cilëve po cënohen ose rrezikojnë të cënohen në tregun e brendshëm.</w:t>
      </w:r>
    </w:p>
    <w:p w14:paraId="7658D3FD" w14:textId="77777777"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15.  Pjesa XV – Dispozita të përgjithshme, kalimtare dhe të fundit</w:t>
      </w:r>
    </w:p>
    <w:p w14:paraId="48C999BB" w14:textId="77777777" w:rsidR="00BE7B4C" w:rsidRPr="00CC1A5A" w:rsidRDefault="002A6DE4">
      <w:pPr>
        <w:spacing w:before="100" w:after="222" w:line="240" w:lineRule="auto"/>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t>Në këtë pjesë, projektligji flet për ankimin administrativ në Bordin e Apelit, për të drejtën që ka një palë e interesuar të zgjasë afatin me dy muaj në lidhje me veprime që i kërkohet të kryejë në DPPI, përkundrejt pagesës së tarifës përkatëse, e drejtë që mund të ushtrohet deri sa ndalohet shprehimisht nga ligji, për aplikimin elektronik dhe për mbrojtjen e të dhënave personale sipas legjislacionit në fuqi.</w:t>
      </w:r>
    </w:p>
    <w:p w14:paraId="791B687B" w14:textId="0747B433" w:rsidR="00BE7B4C" w:rsidRPr="00CC1A5A" w:rsidRDefault="002A6DE4">
      <w:pPr>
        <w:spacing w:before="100" w:after="222" w:line="240" w:lineRule="auto"/>
        <w:jc w:val="both"/>
        <w:rPr>
          <w:rFonts w:ascii="Times New Roman" w:eastAsia="Times New Roman" w:hAnsi="Times New Roman" w:cs="Times New Roman"/>
          <w:b/>
          <w:sz w:val="28"/>
          <w:szCs w:val="28"/>
          <w:lang w:val="it-IT"/>
        </w:rPr>
      </w:pPr>
      <w:r w:rsidRPr="00CC1A5A">
        <w:rPr>
          <w:rFonts w:ascii="Times New Roman" w:eastAsia="Times New Roman" w:hAnsi="Times New Roman" w:cs="Times New Roman"/>
          <w:sz w:val="28"/>
          <w:szCs w:val="28"/>
          <w:lang w:val="it-IT"/>
        </w:rPr>
        <w:t>Së fund</w:t>
      </w:r>
      <w:r w:rsidR="00D01F82" w:rsidRPr="00CC1A5A">
        <w:rPr>
          <w:rFonts w:ascii="Times New Roman" w:eastAsia="Times New Roman" w:hAnsi="Times New Roman" w:cs="Times New Roman"/>
          <w:sz w:val="28"/>
          <w:szCs w:val="28"/>
          <w:lang w:val="it-IT"/>
        </w:rPr>
        <w:t>i</w:t>
      </w:r>
      <w:r w:rsidRPr="00CC1A5A">
        <w:rPr>
          <w:rFonts w:ascii="Times New Roman" w:eastAsia="Times New Roman" w:hAnsi="Times New Roman" w:cs="Times New Roman"/>
          <w:sz w:val="28"/>
          <w:szCs w:val="28"/>
          <w:lang w:val="it-IT"/>
        </w:rPr>
        <w:t>, duke qenë se pas hyrjes në fuqi të këtij projektligji, do të mbetet në fuqi edhe Ligji 9477 për një periudhë kohe, paraqitet nevoja për parashikimin e këtyre dispozitave tranzitore për të zgjidhur dhe rregulluar situatat që mund të krijohen si pasojë e mbivendosjes së dispozitave të këtyre dy ligjeve. Gjithashtu, kjo situatë mbivendosjeje mund të imponohet edhe nga fakti se rregullorja përkatëse për patentat mund të kërkojë një afat të caktuar kohe për përgatitje dhe miratim, pas miratimit të projektligjit.  Pra, me qëllim që të shmangen konfliktet ligjore, si dhe ato nënligjore, projektligji, me dispozita tranzitore, ka bërë rregullimet e duhura të përkohshme për sheshimin e tyre.</w:t>
      </w:r>
    </w:p>
    <w:p w14:paraId="2B8436D0" w14:textId="283B94A7" w:rsidR="00BE7B4C" w:rsidRPr="00CC1A5A" w:rsidRDefault="002A6DE4" w:rsidP="00CC1A5A">
      <w:pPr>
        <w:pStyle w:val="ListParagraph"/>
        <w:numPr>
          <w:ilvl w:val="0"/>
          <w:numId w:val="12"/>
        </w:numPr>
        <w:spacing w:after="0" w:line="240" w:lineRule="auto"/>
        <w:ind w:left="360" w:hanging="360"/>
        <w:jc w:val="both"/>
        <w:rPr>
          <w:rFonts w:ascii="Times New Roman" w:eastAsia="Times New Roman" w:hAnsi="Times New Roman" w:cs="Times New Roman"/>
          <w:b/>
          <w:color w:val="000000"/>
          <w:sz w:val="28"/>
          <w:szCs w:val="28"/>
          <w:lang w:val="it-IT"/>
        </w:rPr>
      </w:pPr>
      <w:r w:rsidRPr="00CC1A5A">
        <w:rPr>
          <w:rFonts w:ascii="Times New Roman" w:eastAsia="Times New Roman" w:hAnsi="Times New Roman" w:cs="Times New Roman"/>
          <w:b/>
          <w:color w:val="000000"/>
          <w:sz w:val="28"/>
          <w:szCs w:val="28"/>
          <w:lang w:val="it-IT"/>
        </w:rPr>
        <w:t>INSTITUCIONET PËRGJEGJËSE PËR PËRGATITJEN E PROJEKTAKTIT</w:t>
      </w:r>
    </w:p>
    <w:p w14:paraId="0A37946B" w14:textId="77777777" w:rsidR="00BE7B4C" w:rsidRPr="00CC1A5A" w:rsidRDefault="00BE7B4C" w:rsidP="00CC1A5A">
      <w:pPr>
        <w:spacing w:after="0" w:line="240" w:lineRule="auto"/>
        <w:ind w:left="360" w:hanging="360"/>
        <w:jc w:val="both"/>
        <w:rPr>
          <w:rFonts w:ascii="Times New Roman" w:eastAsia="Times New Roman" w:hAnsi="Times New Roman" w:cs="Times New Roman"/>
          <w:b/>
          <w:color w:val="000000"/>
          <w:sz w:val="28"/>
          <w:szCs w:val="28"/>
          <w:lang w:val="it-IT"/>
        </w:rPr>
      </w:pPr>
    </w:p>
    <w:p w14:paraId="114591F5" w14:textId="77777777" w:rsidR="00BE7B4C" w:rsidRPr="00CC1A5A" w:rsidRDefault="002A6DE4" w:rsidP="00CC1A5A">
      <w:pPr>
        <w:spacing w:after="0" w:line="240" w:lineRule="auto"/>
        <w:ind w:left="360" w:hanging="360"/>
        <w:jc w:val="both"/>
        <w:rPr>
          <w:rFonts w:ascii="Times New Roman" w:eastAsia="Times New Roman" w:hAnsi="Times New Roman" w:cs="Times New Roman"/>
          <w:sz w:val="28"/>
          <w:szCs w:val="28"/>
          <w:lang w:val="it-IT"/>
        </w:rPr>
      </w:pPr>
      <w:r w:rsidRPr="00CC1A5A">
        <w:rPr>
          <w:rFonts w:ascii="Times New Roman" w:eastAsia="Times New Roman" w:hAnsi="Times New Roman" w:cs="Times New Roman"/>
          <w:sz w:val="28"/>
          <w:szCs w:val="28"/>
          <w:lang w:val="it-IT"/>
        </w:rPr>
        <w:lastRenderedPageBreak/>
        <w:t>Institucioni përgjegjës për përgatitjen dhe hartimin e këtij projektakti është DPPI-ja, si institucion publik që regjistron, administron dhe promovon objektet e pronësisë industriale.</w:t>
      </w:r>
    </w:p>
    <w:p w14:paraId="34FD299D" w14:textId="77777777" w:rsidR="00BE7B4C" w:rsidRPr="00CC1A5A" w:rsidRDefault="00BE7B4C" w:rsidP="00CC1A5A">
      <w:pPr>
        <w:spacing w:after="0" w:line="240" w:lineRule="auto"/>
        <w:ind w:left="360" w:hanging="360"/>
        <w:jc w:val="both"/>
        <w:rPr>
          <w:rFonts w:ascii="Times New Roman" w:eastAsia="Times New Roman" w:hAnsi="Times New Roman" w:cs="Times New Roman"/>
          <w:sz w:val="28"/>
          <w:szCs w:val="28"/>
          <w:lang w:val="it-IT"/>
        </w:rPr>
      </w:pPr>
    </w:p>
    <w:p w14:paraId="6F323C0E" w14:textId="77777777" w:rsidR="00BE7B4C" w:rsidRPr="00CC1A5A" w:rsidRDefault="00BE7B4C" w:rsidP="00CC1A5A">
      <w:pPr>
        <w:spacing w:after="0" w:line="240" w:lineRule="auto"/>
        <w:ind w:left="360" w:hanging="360"/>
        <w:jc w:val="both"/>
        <w:rPr>
          <w:rFonts w:ascii="Times New Roman" w:eastAsia="Times New Roman" w:hAnsi="Times New Roman" w:cs="Times New Roman"/>
          <w:sz w:val="28"/>
          <w:szCs w:val="28"/>
          <w:lang w:val="it-IT"/>
        </w:rPr>
      </w:pPr>
    </w:p>
    <w:p w14:paraId="7536E4FC" w14:textId="30CFA486" w:rsidR="00BE7B4C" w:rsidRPr="00CC1A5A" w:rsidRDefault="002A6DE4" w:rsidP="00CC1A5A">
      <w:pPr>
        <w:pStyle w:val="ListParagraph"/>
        <w:numPr>
          <w:ilvl w:val="0"/>
          <w:numId w:val="12"/>
        </w:numPr>
        <w:spacing w:after="200" w:line="276" w:lineRule="auto"/>
        <w:ind w:left="720"/>
        <w:jc w:val="both"/>
        <w:rPr>
          <w:rFonts w:ascii="Times New Roman" w:eastAsia="Times New Roman" w:hAnsi="Times New Roman" w:cs="Times New Roman"/>
          <w:b/>
          <w:sz w:val="28"/>
          <w:szCs w:val="28"/>
          <w:lang w:val="es-ES"/>
        </w:rPr>
      </w:pPr>
      <w:r w:rsidRPr="00CC1A5A">
        <w:rPr>
          <w:rFonts w:ascii="Times New Roman" w:eastAsia="Times New Roman" w:hAnsi="Times New Roman" w:cs="Times New Roman"/>
          <w:b/>
          <w:sz w:val="28"/>
          <w:szCs w:val="28"/>
          <w:lang w:val="es-ES"/>
        </w:rPr>
        <w:t>PERSONAT DHE INSTITUCIONET QË KANË KONTRIBUAR NË HARTIMIN E PROJEKTAKTIT</w:t>
      </w:r>
    </w:p>
    <w:p w14:paraId="55FB9A25" w14:textId="2298B1FA" w:rsidR="00BE7B4C" w:rsidRPr="00CC1A5A" w:rsidRDefault="002A6DE4">
      <w:pPr>
        <w:spacing w:after="0" w:line="240" w:lineRule="auto"/>
        <w:jc w:val="both"/>
        <w:rPr>
          <w:rFonts w:ascii="Times New Roman" w:eastAsia="Times New Roman" w:hAnsi="Times New Roman" w:cs="Times New Roman"/>
          <w:sz w:val="28"/>
          <w:szCs w:val="28"/>
          <w:lang w:val="es-ES"/>
        </w:rPr>
      </w:pPr>
      <w:r w:rsidRPr="00CC1A5A">
        <w:rPr>
          <w:rFonts w:ascii="Times New Roman" w:eastAsia="Times New Roman" w:hAnsi="Times New Roman" w:cs="Times New Roman"/>
          <w:sz w:val="28"/>
          <w:szCs w:val="28"/>
          <w:lang w:val="es-ES"/>
        </w:rPr>
        <w:t>Institucioni përgjegjës për përgatitjen dhe hartimin e këtij projektakti është DPPI-ja</w:t>
      </w:r>
      <w:r w:rsidR="00295CEA" w:rsidRPr="00CC1A5A">
        <w:rPr>
          <w:rFonts w:ascii="Times New Roman" w:eastAsia="Times New Roman" w:hAnsi="Times New Roman" w:cs="Times New Roman"/>
          <w:sz w:val="28"/>
          <w:szCs w:val="28"/>
          <w:lang w:val="es-ES"/>
        </w:rPr>
        <w:t>.</w:t>
      </w:r>
    </w:p>
    <w:p w14:paraId="2638ED86" w14:textId="40377C49" w:rsidR="00A50ADF" w:rsidRPr="00CC1A5A" w:rsidRDefault="0060282C" w:rsidP="00A50ADF">
      <w:pPr>
        <w:spacing w:after="0" w:line="240" w:lineRule="auto"/>
        <w:jc w:val="both"/>
        <w:rPr>
          <w:rFonts w:ascii="Times New Roman" w:eastAsia="Times New Roman" w:hAnsi="Times New Roman" w:cs="Times New Roman"/>
          <w:sz w:val="28"/>
          <w:szCs w:val="28"/>
          <w:lang w:val="es-ES"/>
        </w:rPr>
      </w:pPr>
      <w:r w:rsidRPr="00CC1A5A">
        <w:rPr>
          <w:rFonts w:ascii="Times New Roman" w:eastAsia="Times New Roman" w:hAnsi="Times New Roman" w:cs="Times New Roman"/>
          <w:sz w:val="28"/>
          <w:szCs w:val="28"/>
          <w:lang w:val="es-ES"/>
        </w:rPr>
        <w:t xml:space="preserve">Janë reflektuar komentet e ISHMT në projektligj në nenet </w:t>
      </w:r>
      <w:r w:rsidR="00A50ADF" w:rsidRPr="00CC1A5A">
        <w:rPr>
          <w:rFonts w:ascii="Times New Roman" w:eastAsia="Times New Roman" w:hAnsi="Times New Roman" w:cs="Times New Roman"/>
          <w:sz w:val="28"/>
          <w:szCs w:val="28"/>
          <w:lang w:val="es-ES"/>
        </w:rPr>
        <w:t>3</w:t>
      </w:r>
      <w:r w:rsidRPr="00CC1A5A">
        <w:rPr>
          <w:rFonts w:ascii="Times New Roman" w:eastAsia="Times New Roman" w:hAnsi="Times New Roman" w:cs="Times New Roman"/>
          <w:sz w:val="28"/>
          <w:szCs w:val="28"/>
          <w:lang w:val="es-ES"/>
        </w:rPr>
        <w:t xml:space="preserve"> dhe 157.</w:t>
      </w:r>
    </w:p>
    <w:p w14:paraId="70FD00D9" w14:textId="77777777" w:rsidR="00A50ADF" w:rsidRPr="00CC1A5A" w:rsidRDefault="00A50ADF" w:rsidP="00A50ADF">
      <w:pPr>
        <w:spacing w:after="0" w:line="240" w:lineRule="auto"/>
        <w:jc w:val="both"/>
        <w:rPr>
          <w:rFonts w:ascii="Times New Roman" w:eastAsia="Times New Roman" w:hAnsi="Times New Roman" w:cs="Times New Roman"/>
          <w:sz w:val="28"/>
          <w:szCs w:val="28"/>
          <w:lang w:val="es-ES"/>
        </w:rPr>
      </w:pPr>
      <w:r w:rsidRPr="00CC1A5A">
        <w:rPr>
          <w:rFonts w:ascii="Times New Roman" w:hAnsi="Times New Roman" w:cs="Times New Roman"/>
          <w:sz w:val="28"/>
          <w:szCs w:val="28"/>
          <w:lang w:val="es-ES"/>
        </w:rPr>
        <w:t>Gjithashtu tek raporti i vlerësimit të ardhurave dhe shpenzimeve është bërë sqarimi sipas komenteve të Drejtorisë së Përgjithshme të Buxhetit.</w:t>
      </w:r>
    </w:p>
    <w:p w14:paraId="0742BC28" w14:textId="77777777" w:rsidR="00A50ADF" w:rsidRPr="00CC1A5A" w:rsidRDefault="00A50ADF">
      <w:pPr>
        <w:spacing w:after="0" w:line="240" w:lineRule="auto"/>
        <w:jc w:val="both"/>
        <w:rPr>
          <w:rFonts w:ascii="Times New Roman" w:eastAsia="Times New Roman" w:hAnsi="Times New Roman" w:cs="Times New Roman"/>
          <w:sz w:val="28"/>
          <w:szCs w:val="28"/>
          <w:lang w:val="es-ES"/>
        </w:rPr>
      </w:pPr>
    </w:p>
    <w:p w14:paraId="1834FDBE" w14:textId="77777777" w:rsidR="00225670" w:rsidRPr="00CC1A5A" w:rsidRDefault="00225670" w:rsidP="00225670">
      <w:pPr>
        <w:spacing w:after="0" w:line="240" w:lineRule="auto"/>
        <w:jc w:val="both"/>
        <w:rPr>
          <w:rFonts w:ascii="Times New Roman" w:eastAsia="Times New Roman" w:hAnsi="Times New Roman" w:cs="Times New Roman"/>
          <w:sz w:val="28"/>
          <w:szCs w:val="28"/>
          <w:lang w:val="it-IT"/>
        </w:rPr>
      </w:pPr>
      <w:bookmarkStart w:id="0" w:name="_GoBack"/>
      <w:bookmarkEnd w:id="0"/>
    </w:p>
    <w:p w14:paraId="7DB5A2BA" w14:textId="3F7F0827" w:rsidR="00BE7B4C" w:rsidRPr="00CC1A5A" w:rsidRDefault="002A6DE4" w:rsidP="00CC1A5A">
      <w:pPr>
        <w:pStyle w:val="ListParagraph"/>
        <w:numPr>
          <w:ilvl w:val="0"/>
          <w:numId w:val="12"/>
        </w:numPr>
        <w:spacing w:after="0" w:line="240" w:lineRule="auto"/>
        <w:ind w:left="540" w:hanging="540"/>
        <w:jc w:val="both"/>
        <w:rPr>
          <w:rFonts w:ascii="Times New Roman" w:eastAsia="Times New Roman" w:hAnsi="Times New Roman" w:cs="Times New Roman"/>
          <w:sz w:val="28"/>
          <w:szCs w:val="28"/>
        </w:rPr>
      </w:pPr>
      <w:r w:rsidRPr="00CC1A5A">
        <w:rPr>
          <w:rFonts w:ascii="Times New Roman" w:eastAsia="Times New Roman" w:hAnsi="Times New Roman" w:cs="Times New Roman"/>
          <w:b/>
          <w:sz w:val="28"/>
          <w:szCs w:val="28"/>
        </w:rPr>
        <w:t xml:space="preserve">RAPORTI I VLERËSIMIT TË TË ARDHURAVE DHE SHPENZIMEVE </w:t>
      </w:r>
    </w:p>
    <w:p w14:paraId="3C30AE76" w14:textId="77777777" w:rsidR="00BE7B4C" w:rsidRPr="00CC1A5A" w:rsidRDefault="00BE7B4C">
      <w:pPr>
        <w:spacing w:after="0" w:line="240" w:lineRule="auto"/>
        <w:ind w:left="1080"/>
        <w:jc w:val="both"/>
        <w:rPr>
          <w:rFonts w:ascii="Times New Roman" w:eastAsia="Times New Roman" w:hAnsi="Times New Roman" w:cs="Times New Roman"/>
          <w:b/>
          <w:sz w:val="28"/>
          <w:szCs w:val="28"/>
        </w:rPr>
      </w:pPr>
    </w:p>
    <w:p w14:paraId="65FAB3C7" w14:textId="32CC4375" w:rsidR="00942512" w:rsidRPr="00CC1A5A" w:rsidRDefault="00CC1A5A" w:rsidP="00942512">
      <w:pPr>
        <w:pStyle w:val="NormalWeb"/>
        <w:shd w:val="clear" w:color="auto" w:fill="FFFFFF"/>
        <w:spacing w:before="0" w:beforeAutospacing="0" w:after="0"/>
        <w:jc w:val="both"/>
        <w:rPr>
          <w:color w:val="000000"/>
          <w:sz w:val="28"/>
          <w:szCs w:val="28"/>
        </w:rPr>
      </w:pPr>
      <w:bookmarkStart w:id="1" w:name="_Hlk144724497"/>
      <w:r w:rsidRPr="00CC1A5A">
        <w:rPr>
          <w:color w:val="000000"/>
          <w:sz w:val="28"/>
          <w:szCs w:val="28"/>
        </w:rPr>
        <w:t xml:space="preserve">Hartimi i projektligjit </w:t>
      </w:r>
      <w:r w:rsidR="00942512" w:rsidRPr="00CC1A5A">
        <w:rPr>
          <w:color w:val="000000"/>
          <w:sz w:val="28"/>
          <w:szCs w:val="28"/>
        </w:rPr>
        <w:t>"</w:t>
      </w:r>
      <w:r w:rsidR="00942512" w:rsidRPr="00CC1A5A">
        <w:rPr>
          <w:sz w:val="28"/>
          <w:szCs w:val="28"/>
        </w:rPr>
        <w:t>Për patentat e shpikjeve dhe modelet e përdorimit</w:t>
      </w:r>
      <w:r w:rsidR="00942512" w:rsidRPr="00CC1A5A">
        <w:rPr>
          <w:color w:val="000000"/>
          <w:sz w:val="28"/>
          <w:szCs w:val="28"/>
        </w:rPr>
        <w:t xml:space="preserve"> "</w:t>
      </w:r>
      <w:bookmarkEnd w:id="1"/>
      <w:r w:rsidR="00942512" w:rsidRPr="00CC1A5A">
        <w:rPr>
          <w:color w:val="000000"/>
          <w:sz w:val="28"/>
          <w:szCs w:val="28"/>
        </w:rPr>
        <w:t xml:space="preserve">, parë në këndvështrimin buxhetor, informojmë </w:t>
      </w:r>
      <w:proofErr w:type="gramStart"/>
      <w:r w:rsidR="00942512" w:rsidRPr="00CC1A5A">
        <w:rPr>
          <w:color w:val="000000"/>
          <w:sz w:val="28"/>
          <w:szCs w:val="28"/>
        </w:rPr>
        <w:t>se  nuk</w:t>
      </w:r>
      <w:proofErr w:type="gramEnd"/>
      <w:r w:rsidR="00942512" w:rsidRPr="00CC1A5A">
        <w:rPr>
          <w:color w:val="000000"/>
          <w:sz w:val="28"/>
          <w:szCs w:val="28"/>
        </w:rPr>
        <w:t xml:space="preserve"> ka parashikuar kosto shtesë në krahgasim me kostot e ligjit </w:t>
      </w:r>
      <w:r w:rsidR="00942512" w:rsidRPr="00CC1A5A">
        <w:rPr>
          <w:color w:val="000000"/>
          <w:sz w:val="28"/>
          <w:szCs w:val="28"/>
          <w:lang w:eastAsia="ja-JP"/>
        </w:rPr>
        <w:t>9947/2008 “Për pronësinë Industriale”.</w:t>
      </w:r>
      <w:r w:rsidR="00942512" w:rsidRPr="00CC1A5A">
        <w:rPr>
          <w:color w:val="000000"/>
          <w:sz w:val="28"/>
          <w:szCs w:val="28"/>
        </w:rPr>
        <w:t xml:space="preserve"> </w:t>
      </w:r>
    </w:p>
    <w:p w14:paraId="5DCFBEAB" w14:textId="77777777" w:rsidR="00942512" w:rsidRPr="00CC1A5A" w:rsidRDefault="00942512" w:rsidP="00942512">
      <w:pPr>
        <w:pStyle w:val="NormalWeb"/>
        <w:shd w:val="clear" w:color="auto" w:fill="FFFFFF"/>
        <w:spacing w:before="0" w:beforeAutospacing="0" w:after="0"/>
        <w:jc w:val="both"/>
        <w:rPr>
          <w:color w:val="000000"/>
          <w:sz w:val="28"/>
          <w:szCs w:val="28"/>
        </w:rPr>
      </w:pPr>
      <w:r w:rsidRPr="00CC1A5A">
        <w:rPr>
          <w:color w:val="000000"/>
          <w:sz w:val="28"/>
          <w:szCs w:val="28"/>
        </w:rPr>
        <w:t> </w:t>
      </w:r>
    </w:p>
    <w:p w14:paraId="05D29D1C" w14:textId="6B74EB42" w:rsidR="00942512" w:rsidRPr="00CC1A5A" w:rsidRDefault="00942512" w:rsidP="00942512">
      <w:pPr>
        <w:pStyle w:val="NormalWeb"/>
        <w:shd w:val="clear" w:color="auto" w:fill="FFFFFF"/>
        <w:spacing w:before="0" w:beforeAutospacing="0" w:after="0"/>
        <w:jc w:val="both"/>
        <w:rPr>
          <w:color w:val="000000"/>
          <w:sz w:val="28"/>
          <w:szCs w:val="28"/>
        </w:rPr>
      </w:pPr>
      <w:r w:rsidRPr="00CC1A5A">
        <w:rPr>
          <w:color w:val="000000"/>
          <w:sz w:val="28"/>
          <w:szCs w:val="28"/>
        </w:rPr>
        <w:t>Projektligji ""</w:t>
      </w:r>
      <w:r w:rsidRPr="00CC1A5A">
        <w:rPr>
          <w:sz w:val="28"/>
          <w:szCs w:val="28"/>
        </w:rPr>
        <w:t xml:space="preserve"> Për patentat e shpikjeve dhe modelet e </w:t>
      </w:r>
      <w:proofErr w:type="gramStart"/>
      <w:r w:rsidRPr="00CC1A5A">
        <w:rPr>
          <w:sz w:val="28"/>
          <w:szCs w:val="28"/>
        </w:rPr>
        <w:t>përdorimit</w:t>
      </w:r>
      <w:r w:rsidRPr="00CC1A5A">
        <w:rPr>
          <w:color w:val="000000"/>
          <w:sz w:val="28"/>
          <w:szCs w:val="28"/>
        </w:rPr>
        <w:t xml:space="preserve"> "</w:t>
      </w:r>
      <w:proofErr w:type="gramEnd"/>
      <w:r w:rsidRPr="00CC1A5A">
        <w:rPr>
          <w:color w:val="000000"/>
          <w:sz w:val="28"/>
          <w:szCs w:val="28"/>
        </w:rPr>
        <w:t xml:space="preserve"> </w:t>
      </w:r>
      <w:r w:rsidRPr="00CC1A5A">
        <w:rPr>
          <w:rFonts w:eastAsia="MS Mincho"/>
          <w:color w:val="000000"/>
          <w:sz w:val="28"/>
          <w:szCs w:val="28"/>
          <w:lang w:eastAsia="ja-JP"/>
        </w:rPr>
        <w:t xml:space="preserve">është ndarë nga ligji ekzistues 9947/2008, </w:t>
      </w:r>
      <w:r w:rsidRPr="00CC1A5A">
        <w:rPr>
          <w:color w:val="000000"/>
          <w:sz w:val="28"/>
          <w:szCs w:val="28"/>
        </w:rPr>
        <w:t xml:space="preserve">në mënyrë që procedurat, afatet, funskionimi I tij të jetë sa më i qartë si dhe të bëhet përafrimi I plotë me legjislacionin e BE. Hartimi I tij nuk parashikon të sjellë kosto shtesë pë DPPI, apo shtim stafi, por </w:t>
      </w:r>
      <w:proofErr w:type="gramStart"/>
      <w:r w:rsidRPr="00CC1A5A">
        <w:rPr>
          <w:color w:val="000000"/>
          <w:sz w:val="28"/>
          <w:szCs w:val="28"/>
        </w:rPr>
        <w:t>sjell  rregullime</w:t>
      </w:r>
      <w:proofErr w:type="gramEnd"/>
      <w:r w:rsidRPr="00CC1A5A">
        <w:rPr>
          <w:color w:val="000000"/>
          <w:sz w:val="28"/>
          <w:szCs w:val="28"/>
        </w:rPr>
        <w:t xml:space="preserve"> ligjore për të cilat ka patur mangësi në ligjin ekzistues.</w:t>
      </w:r>
    </w:p>
    <w:p w14:paraId="7BE1FFBA" w14:textId="77777777" w:rsidR="00942512" w:rsidRPr="00CC1A5A" w:rsidRDefault="00942512" w:rsidP="00942512">
      <w:pPr>
        <w:pStyle w:val="NormalWeb"/>
        <w:shd w:val="clear" w:color="auto" w:fill="FFFFFF"/>
        <w:spacing w:before="0" w:beforeAutospacing="0" w:after="0"/>
        <w:jc w:val="both"/>
        <w:rPr>
          <w:color w:val="000000"/>
          <w:sz w:val="28"/>
          <w:szCs w:val="28"/>
        </w:rPr>
      </w:pPr>
    </w:p>
    <w:p w14:paraId="281C8A7E" w14:textId="77777777" w:rsidR="00942512" w:rsidRPr="00CC1A5A" w:rsidRDefault="00942512" w:rsidP="00942512">
      <w:pPr>
        <w:pStyle w:val="NormalWeb"/>
        <w:shd w:val="clear" w:color="auto" w:fill="FFFFFF"/>
        <w:spacing w:before="0" w:beforeAutospacing="0" w:after="0"/>
        <w:jc w:val="both"/>
        <w:rPr>
          <w:color w:val="000000"/>
          <w:sz w:val="28"/>
          <w:szCs w:val="28"/>
        </w:rPr>
      </w:pPr>
      <w:r w:rsidRPr="00CC1A5A">
        <w:rPr>
          <w:color w:val="000000"/>
          <w:sz w:val="28"/>
          <w:szCs w:val="28"/>
        </w:rPr>
        <w:t>Gjithashtu projektligji nuk parashikon as ndryshim në tarifat e shërbimit.</w:t>
      </w:r>
    </w:p>
    <w:p w14:paraId="69F9CA6E" w14:textId="77777777" w:rsidR="00942512" w:rsidRPr="00CC1A5A" w:rsidRDefault="00942512" w:rsidP="00942512">
      <w:pPr>
        <w:pStyle w:val="NormalWeb"/>
        <w:shd w:val="clear" w:color="auto" w:fill="FFFFFF"/>
        <w:spacing w:before="0" w:beforeAutospacing="0" w:after="0"/>
        <w:jc w:val="both"/>
        <w:rPr>
          <w:color w:val="000000"/>
          <w:sz w:val="28"/>
          <w:szCs w:val="28"/>
        </w:rPr>
      </w:pPr>
    </w:p>
    <w:p w14:paraId="2ED7C2D1" w14:textId="77777777" w:rsidR="00942512" w:rsidRPr="00CC1A5A" w:rsidRDefault="00942512" w:rsidP="00942512">
      <w:pPr>
        <w:pStyle w:val="NormalWeb"/>
        <w:shd w:val="clear" w:color="auto" w:fill="FFFFFF"/>
        <w:spacing w:before="0" w:beforeAutospacing="0" w:after="0"/>
        <w:jc w:val="both"/>
        <w:rPr>
          <w:color w:val="000000"/>
          <w:sz w:val="28"/>
          <w:szCs w:val="28"/>
        </w:rPr>
      </w:pPr>
      <w:r w:rsidRPr="00CC1A5A">
        <w:rPr>
          <w:color w:val="000000"/>
          <w:sz w:val="28"/>
          <w:szCs w:val="28"/>
        </w:rPr>
        <w:t xml:space="preserve">DPPI në analizën e bërë në lidhje me hartimin e ligjit të </w:t>
      </w:r>
      <w:proofErr w:type="gramStart"/>
      <w:r w:rsidRPr="00CC1A5A">
        <w:rPr>
          <w:color w:val="000000"/>
          <w:sz w:val="28"/>
          <w:szCs w:val="28"/>
        </w:rPr>
        <w:t>ri</w:t>
      </w:r>
      <w:proofErr w:type="gramEnd"/>
      <w:r w:rsidRPr="00CC1A5A">
        <w:rPr>
          <w:color w:val="000000"/>
          <w:sz w:val="28"/>
          <w:szCs w:val="28"/>
        </w:rPr>
        <w:t xml:space="preserve"> ka patur si qëllim vetëm rregullim të çështjeve ligjore që kanë të bëjnë me procedurat, afatet, funskionimi dhe përafrimin e legjislacionit tone me direktivat e BE dhe jo shtim tarifash apo shtim stafi.</w:t>
      </w:r>
    </w:p>
    <w:p w14:paraId="26599223" w14:textId="77777777" w:rsidR="00942512" w:rsidRPr="00CC1A5A" w:rsidRDefault="00942512" w:rsidP="00942512">
      <w:pPr>
        <w:pStyle w:val="NormalWeb"/>
        <w:shd w:val="clear" w:color="auto" w:fill="FFFFFF"/>
        <w:spacing w:before="0" w:beforeAutospacing="0" w:after="0"/>
        <w:jc w:val="both"/>
        <w:rPr>
          <w:color w:val="000000"/>
          <w:sz w:val="28"/>
          <w:szCs w:val="28"/>
        </w:rPr>
      </w:pPr>
    </w:p>
    <w:p w14:paraId="7BE4E59D" w14:textId="7E2EECF3" w:rsidR="00CC1A5A" w:rsidRPr="00CC1A5A" w:rsidRDefault="00942512" w:rsidP="00CC1A5A">
      <w:pPr>
        <w:pStyle w:val="NormalWeb"/>
        <w:shd w:val="clear" w:color="auto" w:fill="FFFFFF"/>
        <w:spacing w:before="0" w:beforeAutospacing="0" w:after="0"/>
        <w:jc w:val="both"/>
        <w:rPr>
          <w:color w:val="000000"/>
          <w:sz w:val="28"/>
          <w:szCs w:val="28"/>
        </w:rPr>
      </w:pPr>
      <w:proofErr w:type="gramStart"/>
      <w:r w:rsidRPr="00CC1A5A">
        <w:rPr>
          <w:color w:val="000000"/>
          <w:sz w:val="28"/>
          <w:szCs w:val="28"/>
        </w:rPr>
        <w:t>Ky</w:t>
      </w:r>
      <w:proofErr w:type="gramEnd"/>
      <w:r w:rsidRPr="00CC1A5A">
        <w:rPr>
          <w:color w:val="000000"/>
          <w:sz w:val="28"/>
          <w:szCs w:val="28"/>
        </w:rPr>
        <w:t xml:space="preserve"> projektligj nuk sjell kosto të reja shtesë krahasuar me ligjin 9947/2008 “Për pronësinë Industriale” I ndryshuar.</w:t>
      </w:r>
    </w:p>
    <w:p w14:paraId="1749C1D5" w14:textId="77777777" w:rsidR="00CC1A5A" w:rsidRPr="00CC1A5A" w:rsidRDefault="00CC1A5A">
      <w:pPr>
        <w:spacing w:after="0" w:line="240" w:lineRule="auto"/>
        <w:jc w:val="both"/>
        <w:rPr>
          <w:rFonts w:ascii="Times New Roman" w:eastAsia="Times New Roman" w:hAnsi="Times New Roman" w:cs="Times New Roman"/>
          <w:b/>
          <w:sz w:val="28"/>
          <w:szCs w:val="28"/>
          <w:lang w:val="it-IT"/>
        </w:rPr>
      </w:pPr>
    </w:p>
    <w:p w14:paraId="039DBD5B" w14:textId="77777777" w:rsidR="00CC1A5A" w:rsidRPr="00CC1A5A" w:rsidRDefault="00CC1A5A">
      <w:pPr>
        <w:spacing w:after="0" w:line="240" w:lineRule="auto"/>
        <w:jc w:val="both"/>
        <w:rPr>
          <w:rFonts w:ascii="Times New Roman" w:eastAsia="Times New Roman" w:hAnsi="Times New Roman" w:cs="Times New Roman"/>
          <w:b/>
          <w:sz w:val="28"/>
          <w:szCs w:val="28"/>
          <w:lang w:val="it-IT"/>
        </w:rPr>
      </w:pPr>
    </w:p>
    <w:p w14:paraId="21BB9AB4" w14:textId="77777777" w:rsidR="00BE7B4C" w:rsidRPr="00CC1A5A" w:rsidRDefault="002A6DE4">
      <w:pPr>
        <w:spacing w:after="0" w:line="240" w:lineRule="auto"/>
        <w:jc w:val="right"/>
        <w:rPr>
          <w:rFonts w:ascii="Times New Roman" w:eastAsia="Times New Roman" w:hAnsi="Times New Roman" w:cs="Times New Roman"/>
          <w:b/>
          <w:sz w:val="28"/>
          <w:szCs w:val="28"/>
          <w:lang w:val="it-IT"/>
        </w:rPr>
      </w:pPr>
      <w:r w:rsidRPr="00CC1A5A">
        <w:rPr>
          <w:rFonts w:ascii="Times New Roman" w:eastAsia="Times New Roman" w:hAnsi="Times New Roman" w:cs="Times New Roman"/>
          <w:b/>
          <w:sz w:val="28"/>
          <w:szCs w:val="28"/>
          <w:lang w:val="it-IT"/>
        </w:rPr>
        <w:t xml:space="preserve">MINISTËR </w:t>
      </w:r>
    </w:p>
    <w:p w14:paraId="352AC24F" w14:textId="77777777" w:rsidR="00BE7B4C" w:rsidRPr="00CC1A5A" w:rsidRDefault="00BE7B4C">
      <w:pPr>
        <w:spacing w:after="0" w:line="240" w:lineRule="auto"/>
        <w:jc w:val="right"/>
        <w:rPr>
          <w:rFonts w:ascii="Times New Roman" w:eastAsia="Times New Roman" w:hAnsi="Times New Roman" w:cs="Times New Roman"/>
          <w:b/>
          <w:sz w:val="28"/>
          <w:szCs w:val="28"/>
          <w:lang w:val="it-IT"/>
        </w:rPr>
      </w:pPr>
    </w:p>
    <w:p w14:paraId="446D1F26" w14:textId="0BD15222" w:rsidR="00BE7B4C" w:rsidRPr="007A4BBB" w:rsidRDefault="008038FD">
      <w:pPr>
        <w:spacing w:after="0" w:line="240" w:lineRule="auto"/>
        <w:jc w:val="right"/>
        <w:rPr>
          <w:rFonts w:ascii="Times New Roman" w:eastAsia="Times New Roman" w:hAnsi="Times New Roman" w:cs="Times New Roman"/>
          <w:sz w:val="24"/>
          <w:szCs w:val="24"/>
          <w:lang w:val="it-IT"/>
        </w:rPr>
      </w:pPr>
      <w:r w:rsidRPr="00CC1A5A">
        <w:rPr>
          <w:rFonts w:ascii="Times New Roman" w:eastAsia="Times New Roman" w:hAnsi="Times New Roman" w:cs="Times New Roman"/>
          <w:b/>
          <w:sz w:val="28"/>
          <w:szCs w:val="28"/>
          <w:lang w:val="it-IT"/>
        </w:rPr>
        <w:t>ERVIN METE</w:t>
      </w:r>
    </w:p>
    <w:sectPr w:rsidR="00BE7B4C" w:rsidRPr="007A4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9119F"/>
    <w:multiLevelType w:val="multilevel"/>
    <w:tmpl w:val="7ADE0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C63CC"/>
    <w:multiLevelType w:val="multilevel"/>
    <w:tmpl w:val="C6F09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557BF"/>
    <w:multiLevelType w:val="hybridMultilevel"/>
    <w:tmpl w:val="9CEA3DB0"/>
    <w:lvl w:ilvl="0" w:tplc="FF2286A2">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8C36DD"/>
    <w:multiLevelType w:val="hybridMultilevel"/>
    <w:tmpl w:val="DDE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4E5D01"/>
    <w:multiLevelType w:val="multilevel"/>
    <w:tmpl w:val="6A2A5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0F37E0"/>
    <w:multiLevelType w:val="multilevel"/>
    <w:tmpl w:val="97E6E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7C24C3"/>
    <w:multiLevelType w:val="multilevel"/>
    <w:tmpl w:val="F94A3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B155EB"/>
    <w:multiLevelType w:val="multilevel"/>
    <w:tmpl w:val="D562B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B954EC"/>
    <w:multiLevelType w:val="hybridMultilevel"/>
    <w:tmpl w:val="60B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7E4460"/>
    <w:multiLevelType w:val="multilevel"/>
    <w:tmpl w:val="BD54B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CA0786"/>
    <w:multiLevelType w:val="multilevel"/>
    <w:tmpl w:val="C63CA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E1580E"/>
    <w:multiLevelType w:val="multilevel"/>
    <w:tmpl w:val="9FBC6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6"/>
  </w:num>
  <w:num w:numId="4">
    <w:abstractNumId w:val="10"/>
  </w:num>
  <w:num w:numId="5">
    <w:abstractNumId w:val="5"/>
  </w:num>
  <w:num w:numId="6">
    <w:abstractNumId w:val="4"/>
  </w:num>
  <w:num w:numId="7">
    <w:abstractNumId w:val="1"/>
  </w:num>
  <w:num w:numId="8">
    <w:abstractNumId w:val="0"/>
  </w:num>
  <w:num w:numId="9">
    <w:abstractNumId w:val="9"/>
  </w:num>
  <w:num w:numId="10">
    <w:abstractNumId w:val="8"/>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4C"/>
    <w:rsid w:val="00001229"/>
    <w:rsid w:val="0000770B"/>
    <w:rsid w:val="00007E28"/>
    <w:rsid w:val="000E1100"/>
    <w:rsid w:val="00191D54"/>
    <w:rsid w:val="001922A1"/>
    <w:rsid w:val="001F09B8"/>
    <w:rsid w:val="0021689C"/>
    <w:rsid w:val="00225670"/>
    <w:rsid w:val="00254C06"/>
    <w:rsid w:val="00284B4C"/>
    <w:rsid w:val="00295CEA"/>
    <w:rsid w:val="002A6DE4"/>
    <w:rsid w:val="00316200"/>
    <w:rsid w:val="00355218"/>
    <w:rsid w:val="00527EC2"/>
    <w:rsid w:val="0060282C"/>
    <w:rsid w:val="00617CA5"/>
    <w:rsid w:val="0065577E"/>
    <w:rsid w:val="006C74B5"/>
    <w:rsid w:val="00741D26"/>
    <w:rsid w:val="007A4BBB"/>
    <w:rsid w:val="008038FD"/>
    <w:rsid w:val="00942512"/>
    <w:rsid w:val="009A167E"/>
    <w:rsid w:val="009F54A2"/>
    <w:rsid w:val="00A50ADF"/>
    <w:rsid w:val="00B62A22"/>
    <w:rsid w:val="00BB2B51"/>
    <w:rsid w:val="00BE7B4C"/>
    <w:rsid w:val="00CC1A5A"/>
    <w:rsid w:val="00D01F82"/>
    <w:rsid w:val="00D43322"/>
    <w:rsid w:val="00DC6E46"/>
    <w:rsid w:val="00DE0829"/>
    <w:rsid w:val="00E103A4"/>
    <w:rsid w:val="00FB6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417B"/>
  <w15:docId w15:val="{7C6812C0-8991-4A85-A92D-7DAB54F0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7CA5"/>
    <w:rPr>
      <w:sz w:val="16"/>
      <w:szCs w:val="16"/>
    </w:rPr>
  </w:style>
  <w:style w:type="paragraph" w:styleId="CommentText">
    <w:name w:val="annotation text"/>
    <w:basedOn w:val="Normal"/>
    <w:link w:val="CommentTextChar"/>
    <w:uiPriority w:val="99"/>
    <w:unhideWhenUsed/>
    <w:rsid w:val="00617CA5"/>
    <w:pPr>
      <w:spacing w:line="240" w:lineRule="auto"/>
    </w:pPr>
    <w:rPr>
      <w:sz w:val="20"/>
      <w:szCs w:val="20"/>
    </w:rPr>
  </w:style>
  <w:style w:type="character" w:customStyle="1" w:styleId="CommentTextChar">
    <w:name w:val="Comment Text Char"/>
    <w:basedOn w:val="DefaultParagraphFont"/>
    <w:link w:val="CommentText"/>
    <w:uiPriority w:val="99"/>
    <w:rsid w:val="00617CA5"/>
    <w:rPr>
      <w:sz w:val="20"/>
      <w:szCs w:val="20"/>
    </w:rPr>
  </w:style>
  <w:style w:type="paragraph" w:styleId="CommentSubject">
    <w:name w:val="annotation subject"/>
    <w:basedOn w:val="CommentText"/>
    <w:next w:val="CommentText"/>
    <w:link w:val="CommentSubjectChar"/>
    <w:uiPriority w:val="99"/>
    <w:semiHidden/>
    <w:unhideWhenUsed/>
    <w:rsid w:val="00617CA5"/>
    <w:rPr>
      <w:b/>
      <w:bCs/>
    </w:rPr>
  </w:style>
  <w:style w:type="character" w:customStyle="1" w:styleId="CommentSubjectChar">
    <w:name w:val="Comment Subject Char"/>
    <w:basedOn w:val="CommentTextChar"/>
    <w:link w:val="CommentSubject"/>
    <w:uiPriority w:val="99"/>
    <w:semiHidden/>
    <w:rsid w:val="00617CA5"/>
    <w:rPr>
      <w:b/>
      <w:bCs/>
      <w:sz w:val="20"/>
      <w:szCs w:val="20"/>
    </w:rPr>
  </w:style>
  <w:style w:type="paragraph" w:styleId="ListParagraph">
    <w:name w:val="List Paragraph"/>
    <w:basedOn w:val="Normal"/>
    <w:uiPriority w:val="34"/>
    <w:qFormat/>
    <w:rsid w:val="00225670"/>
    <w:pPr>
      <w:ind w:left="720"/>
      <w:contextualSpacing/>
    </w:pPr>
  </w:style>
  <w:style w:type="paragraph" w:styleId="Revision">
    <w:name w:val="Revision"/>
    <w:hidden/>
    <w:uiPriority w:val="99"/>
    <w:semiHidden/>
    <w:rsid w:val="00225670"/>
    <w:pPr>
      <w:spacing w:after="0" w:line="240" w:lineRule="auto"/>
    </w:pPr>
  </w:style>
  <w:style w:type="paragraph" w:styleId="NormalWeb">
    <w:name w:val="Normal (Web)"/>
    <w:basedOn w:val="Normal"/>
    <w:uiPriority w:val="99"/>
    <w:unhideWhenUsed/>
    <w:rsid w:val="00942512"/>
    <w:pPr>
      <w:spacing w:before="100" w:beforeAutospacing="1" w:after="222"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4591</Words>
  <Characters>26171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Anila Panajoti</cp:lastModifiedBy>
  <cp:revision>2</cp:revision>
  <dcterms:created xsi:type="dcterms:W3CDTF">2023-12-01T10:12:00Z</dcterms:created>
  <dcterms:modified xsi:type="dcterms:W3CDTF">2023-12-01T10:12:00Z</dcterms:modified>
</cp:coreProperties>
</file>