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D6DC" w14:textId="6CEBA151" w:rsidR="00E73358" w:rsidRDefault="00F858E2" w:rsidP="00E14B65">
      <w:pPr>
        <w:pStyle w:val="Title"/>
        <w:jc w:val="center"/>
        <w:rPr>
          <w:rFonts w:ascii="Times New Roman" w:hAnsi="Times New Roman" w:cs="Times New Roman"/>
          <w:sz w:val="22"/>
          <w:szCs w:val="22"/>
          <w:lang w:val="sq-AL"/>
        </w:rPr>
      </w:pPr>
      <w:r w:rsidRPr="00610207">
        <w:rPr>
          <w:noProof/>
        </w:rPr>
        <w:drawing>
          <wp:anchor distT="0" distB="0" distL="114300" distR="114300" simplePos="0" relativeHeight="251658240" behindDoc="0" locked="0" layoutInCell="1" allowOverlap="1" wp14:anchorId="4BB4D9C7" wp14:editId="6EB4D7C2">
            <wp:simplePos x="0" y="0"/>
            <wp:positionH relativeFrom="column">
              <wp:posOffset>1873250</wp:posOffset>
            </wp:positionH>
            <wp:positionV relativeFrom="paragraph">
              <wp:posOffset>45085</wp:posOffset>
            </wp:positionV>
            <wp:extent cx="2415540" cy="1856178"/>
            <wp:effectExtent l="0" t="0" r="3810" b="0"/>
            <wp:wrapThrough wrapText="bothSides">
              <wp:wrapPolygon edited="0">
                <wp:start x="0" y="0"/>
                <wp:lineTo x="0" y="21282"/>
                <wp:lineTo x="21464" y="21282"/>
                <wp:lineTo x="21464" y="0"/>
                <wp:lineTo x="0" y="0"/>
              </wp:wrapPolygon>
            </wp:wrapThrough>
            <wp:docPr id="7" name="Picture 6" descr="Ministria e ShÃ«ndetÃ«sisÃ«">
              <a:extLst xmlns:a="http://schemas.openxmlformats.org/drawingml/2006/main">
                <a:ext uri="{FF2B5EF4-FFF2-40B4-BE49-F238E27FC236}">
                  <a16:creationId xmlns:a16="http://schemas.microsoft.com/office/drawing/2014/main" id="{A9DC6A4F-03B6-3A0D-33BF-3CBBD4DD72D9}"/>
                </a:ext>
              </a:extLst>
            </wp:docPr>
            <wp:cNvGraphicFramePr/>
            <a:graphic xmlns:a="http://schemas.openxmlformats.org/drawingml/2006/main">
              <a:graphicData uri="http://schemas.openxmlformats.org/drawingml/2006/picture">
                <pic:pic xmlns:pic="http://schemas.openxmlformats.org/drawingml/2006/picture">
                  <pic:nvPicPr>
                    <pic:cNvPr id="7" name="Picture 6" descr="Ministria e ShÃ«ndetÃ«sisÃ«">
                      <a:extLst>
                        <a:ext uri="{FF2B5EF4-FFF2-40B4-BE49-F238E27FC236}">
                          <a16:creationId xmlns:a16="http://schemas.microsoft.com/office/drawing/2014/main" id="{A9DC6A4F-03B6-3A0D-33BF-3CBBD4DD72D9}"/>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85617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ABC932D" w14:textId="0E5DD13D" w:rsidR="001E0A83" w:rsidRDefault="001E0A83" w:rsidP="001E0A83">
      <w:pPr>
        <w:rPr>
          <w:lang w:val="sq-AL"/>
        </w:rPr>
      </w:pPr>
    </w:p>
    <w:p w14:paraId="4030CFF3" w14:textId="0F252A20" w:rsidR="001E0A83" w:rsidRDefault="001E0A83" w:rsidP="001E0A83">
      <w:pPr>
        <w:rPr>
          <w:lang w:val="sq-AL"/>
        </w:rPr>
      </w:pPr>
    </w:p>
    <w:p w14:paraId="73C9919A" w14:textId="007D4C1B" w:rsidR="001E0A83" w:rsidRPr="001E0A83" w:rsidRDefault="001E0A83" w:rsidP="00817921">
      <w:pPr>
        <w:rPr>
          <w:lang w:val="sq-AL"/>
        </w:rPr>
      </w:pPr>
    </w:p>
    <w:p w14:paraId="5828559F" w14:textId="03C663B4" w:rsidR="00E73358" w:rsidRPr="00817921" w:rsidRDefault="00E73358" w:rsidP="00E14B65">
      <w:pPr>
        <w:pStyle w:val="Title"/>
        <w:jc w:val="center"/>
        <w:rPr>
          <w:rFonts w:ascii="Times New Roman" w:hAnsi="Times New Roman" w:cs="Times New Roman"/>
          <w:sz w:val="22"/>
          <w:szCs w:val="22"/>
          <w:lang w:val="sq-AL"/>
        </w:rPr>
      </w:pPr>
    </w:p>
    <w:p w14:paraId="3B7948C9" w14:textId="77777777" w:rsidR="00F858E2" w:rsidRDefault="00F858E2" w:rsidP="00E14B65">
      <w:pPr>
        <w:pStyle w:val="Title"/>
        <w:jc w:val="center"/>
        <w:rPr>
          <w:rFonts w:ascii="Times New Roman" w:hAnsi="Times New Roman" w:cs="Times New Roman"/>
          <w:b/>
          <w:bCs/>
          <w:sz w:val="48"/>
          <w:szCs w:val="48"/>
          <w:lang w:val="sq-AL"/>
        </w:rPr>
      </w:pPr>
    </w:p>
    <w:p w14:paraId="4CDF01E8" w14:textId="77777777" w:rsidR="00F858E2" w:rsidRDefault="00F858E2" w:rsidP="00E14B65">
      <w:pPr>
        <w:pStyle w:val="Title"/>
        <w:jc w:val="center"/>
        <w:rPr>
          <w:rFonts w:ascii="Times New Roman" w:hAnsi="Times New Roman" w:cs="Times New Roman"/>
          <w:b/>
          <w:bCs/>
          <w:sz w:val="48"/>
          <w:szCs w:val="48"/>
          <w:lang w:val="sq-AL"/>
        </w:rPr>
      </w:pPr>
    </w:p>
    <w:p w14:paraId="41E3FCB1" w14:textId="77777777" w:rsidR="00F858E2" w:rsidRDefault="00F858E2" w:rsidP="00E14B65">
      <w:pPr>
        <w:pStyle w:val="Title"/>
        <w:jc w:val="center"/>
        <w:rPr>
          <w:rFonts w:ascii="Times New Roman" w:hAnsi="Times New Roman" w:cs="Times New Roman"/>
          <w:b/>
          <w:bCs/>
          <w:sz w:val="48"/>
          <w:szCs w:val="48"/>
          <w:lang w:val="sq-AL"/>
        </w:rPr>
      </w:pPr>
    </w:p>
    <w:p w14:paraId="5FB314F9" w14:textId="77777777" w:rsidR="00F858E2" w:rsidRDefault="00F858E2" w:rsidP="00E14B65">
      <w:pPr>
        <w:pStyle w:val="Title"/>
        <w:jc w:val="center"/>
        <w:rPr>
          <w:rFonts w:ascii="Times New Roman" w:hAnsi="Times New Roman" w:cs="Times New Roman"/>
          <w:b/>
          <w:bCs/>
          <w:sz w:val="48"/>
          <w:szCs w:val="48"/>
          <w:lang w:val="sq-AL"/>
        </w:rPr>
      </w:pPr>
    </w:p>
    <w:p w14:paraId="37DD1DE3" w14:textId="77777777" w:rsidR="00F858E2" w:rsidRDefault="00F858E2" w:rsidP="00E14B65">
      <w:pPr>
        <w:pStyle w:val="Title"/>
        <w:jc w:val="center"/>
        <w:rPr>
          <w:rFonts w:ascii="Times New Roman" w:hAnsi="Times New Roman" w:cs="Times New Roman"/>
          <w:b/>
          <w:bCs/>
          <w:sz w:val="48"/>
          <w:szCs w:val="48"/>
          <w:lang w:val="sq-AL"/>
        </w:rPr>
      </w:pPr>
    </w:p>
    <w:p w14:paraId="3CCD9543" w14:textId="74388898" w:rsidR="005240C4" w:rsidRPr="00F858E2" w:rsidRDefault="00F66C86" w:rsidP="00E14B65">
      <w:pPr>
        <w:pStyle w:val="Title"/>
        <w:jc w:val="center"/>
        <w:rPr>
          <w:rFonts w:ascii="Times New Roman" w:hAnsi="Times New Roman" w:cs="Times New Roman"/>
          <w:b/>
          <w:bCs/>
          <w:sz w:val="48"/>
          <w:szCs w:val="48"/>
          <w:lang w:val="sq-AL"/>
        </w:rPr>
      </w:pPr>
      <w:r w:rsidRPr="00F858E2">
        <w:rPr>
          <w:rFonts w:ascii="Times New Roman" w:hAnsi="Times New Roman" w:cs="Times New Roman"/>
          <w:b/>
          <w:bCs/>
          <w:sz w:val="48"/>
          <w:szCs w:val="48"/>
          <w:lang w:val="sq-AL"/>
        </w:rPr>
        <w:t>S</w:t>
      </w:r>
      <w:r w:rsidR="00335551" w:rsidRPr="00F858E2">
        <w:rPr>
          <w:rFonts w:ascii="Times New Roman" w:hAnsi="Times New Roman" w:cs="Times New Roman"/>
          <w:b/>
          <w:bCs/>
          <w:sz w:val="48"/>
          <w:szCs w:val="48"/>
          <w:lang w:val="sq-AL"/>
        </w:rPr>
        <w:t>t</w:t>
      </w:r>
      <w:r w:rsidRPr="00F858E2">
        <w:rPr>
          <w:rFonts w:ascii="Times New Roman" w:hAnsi="Times New Roman" w:cs="Times New Roman"/>
          <w:b/>
          <w:bCs/>
          <w:sz w:val="48"/>
          <w:szCs w:val="48"/>
          <w:lang w:val="sq-AL"/>
        </w:rPr>
        <w:t>rategjia Kombëtare</w:t>
      </w:r>
    </w:p>
    <w:p w14:paraId="71242FA7" w14:textId="1F7967CB" w:rsidR="003C3772" w:rsidRPr="00F858E2" w:rsidRDefault="00897630" w:rsidP="00E14B65">
      <w:pPr>
        <w:pStyle w:val="Title"/>
        <w:jc w:val="center"/>
        <w:rPr>
          <w:rFonts w:ascii="Times New Roman" w:hAnsi="Times New Roman" w:cs="Times New Roman"/>
          <w:b/>
          <w:bCs/>
          <w:sz w:val="48"/>
          <w:szCs w:val="48"/>
          <w:lang w:val="sq-AL"/>
        </w:rPr>
      </w:pPr>
      <w:r w:rsidRPr="00F858E2">
        <w:rPr>
          <w:rFonts w:ascii="Times New Roman" w:hAnsi="Times New Roman" w:cs="Times New Roman"/>
          <w:b/>
          <w:bCs/>
          <w:sz w:val="48"/>
          <w:szCs w:val="48"/>
          <w:lang w:val="sq-AL"/>
        </w:rPr>
        <w:t>p</w:t>
      </w:r>
      <w:r w:rsidR="009A5A0E" w:rsidRPr="00F858E2">
        <w:rPr>
          <w:rFonts w:ascii="Times New Roman" w:hAnsi="Times New Roman" w:cs="Times New Roman"/>
          <w:b/>
          <w:bCs/>
          <w:sz w:val="48"/>
          <w:szCs w:val="48"/>
          <w:lang w:val="sq-AL"/>
        </w:rPr>
        <w:t>ë</w:t>
      </w:r>
      <w:r w:rsidRPr="00F858E2">
        <w:rPr>
          <w:rFonts w:ascii="Times New Roman" w:hAnsi="Times New Roman" w:cs="Times New Roman"/>
          <w:b/>
          <w:bCs/>
          <w:sz w:val="48"/>
          <w:szCs w:val="48"/>
          <w:lang w:val="sq-AL"/>
        </w:rPr>
        <w:t>r</w:t>
      </w:r>
      <w:r w:rsidR="00F66C86" w:rsidRPr="00F858E2">
        <w:rPr>
          <w:rFonts w:ascii="Times New Roman" w:hAnsi="Times New Roman" w:cs="Times New Roman"/>
          <w:b/>
          <w:bCs/>
          <w:sz w:val="48"/>
          <w:szCs w:val="48"/>
          <w:lang w:val="sq-AL"/>
        </w:rPr>
        <w:t xml:space="preserve"> </w:t>
      </w:r>
      <w:r w:rsidR="006A3FFA" w:rsidRPr="00F858E2">
        <w:rPr>
          <w:rFonts w:ascii="Times New Roman" w:hAnsi="Times New Roman" w:cs="Times New Roman"/>
          <w:b/>
          <w:bCs/>
          <w:sz w:val="48"/>
          <w:szCs w:val="48"/>
          <w:lang w:val="sq-AL"/>
        </w:rPr>
        <w:t>M</w:t>
      </w:r>
      <w:r w:rsidRPr="00F858E2">
        <w:rPr>
          <w:rFonts w:ascii="Times New Roman" w:hAnsi="Times New Roman" w:cs="Times New Roman"/>
          <w:b/>
          <w:bCs/>
          <w:sz w:val="48"/>
          <w:szCs w:val="48"/>
          <w:lang w:val="sq-AL"/>
        </w:rPr>
        <w:t xml:space="preserve">brojtjen </w:t>
      </w:r>
      <w:r w:rsidR="006A3FFA" w:rsidRPr="00F858E2">
        <w:rPr>
          <w:rFonts w:ascii="Times New Roman" w:hAnsi="Times New Roman" w:cs="Times New Roman"/>
          <w:b/>
          <w:bCs/>
          <w:sz w:val="48"/>
          <w:szCs w:val="48"/>
          <w:lang w:val="sq-AL"/>
        </w:rPr>
        <w:t>S</w:t>
      </w:r>
      <w:r w:rsidRPr="00F858E2">
        <w:rPr>
          <w:rFonts w:ascii="Times New Roman" w:hAnsi="Times New Roman" w:cs="Times New Roman"/>
          <w:b/>
          <w:bCs/>
          <w:sz w:val="48"/>
          <w:szCs w:val="48"/>
          <w:lang w:val="sq-AL"/>
        </w:rPr>
        <w:t>ociale</w:t>
      </w:r>
      <w:r w:rsidR="00F66C86" w:rsidRPr="00F858E2">
        <w:rPr>
          <w:rFonts w:ascii="Times New Roman" w:hAnsi="Times New Roman" w:cs="Times New Roman"/>
          <w:b/>
          <w:bCs/>
          <w:sz w:val="48"/>
          <w:szCs w:val="48"/>
          <w:lang w:val="sq-AL"/>
        </w:rPr>
        <w:t xml:space="preserve"> </w:t>
      </w:r>
      <w:r w:rsidR="00335551" w:rsidRPr="00F858E2">
        <w:rPr>
          <w:rFonts w:ascii="Times New Roman" w:hAnsi="Times New Roman" w:cs="Times New Roman"/>
          <w:b/>
          <w:bCs/>
          <w:sz w:val="48"/>
          <w:szCs w:val="48"/>
          <w:lang w:val="sq-AL"/>
        </w:rPr>
        <w:t>202</w:t>
      </w:r>
      <w:r w:rsidRPr="00F858E2">
        <w:rPr>
          <w:rFonts w:ascii="Times New Roman" w:hAnsi="Times New Roman" w:cs="Times New Roman"/>
          <w:b/>
          <w:bCs/>
          <w:sz w:val="48"/>
          <w:szCs w:val="48"/>
          <w:lang w:val="sq-AL"/>
        </w:rPr>
        <w:t>4</w:t>
      </w:r>
      <w:r w:rsidR="00335551" w:rsidRPr="00F858E2">
        <w:rPr>
          <w:rFonts w:ascii="Times New Roman" w:hAnsi="Times New Roman" w:cs="Times New Roman"/>
          <w:b/>
          <w:bCs/>
          <w:sz w:val="48"/>
          <w:szCs w:val="48"/>
          <w:lang w:val="sq-AL"/>
        </w:rPr>
        <w:t>-</w:t>
      </w:r>
      <w:r w:rsidR="00F66C86" w:rsidRPr="00F858E2">
        <w:rPr>
          <w:rFonts w:ascii="Times New Roman" w:hAnsi="Times New Roman" w:cs="Times New Roman"/>
          <w:b/>
          <w:bCs/>
          <w:sz w:val="48"/>
          <w:szCs w:val="48"/>
          <w:lang w:val="sq-AL"/>
        </w:rPr>
        <w:t>2030</w:t>
      </w:r>
    </w:p>
    <w:p w14:paraId="38B0E0C3" w14:textId="5E3787E1" w:rsidR="003C3772" w:rsidRPr="00F858E2" w:rsidRDefault="003C3772" w:rsidP="00E14B65">
      <w:pPr>
        <w:pStyle w:val="Title"/>
        <w:jc w:val="center"/>
        <w:rPr>
          <w:rFonts w:ascii="Times New Roman" w:hAnsi="Times New Roman" w:cs="Times New Roman"/>
          <w:b/>
          <w:bCs/>
          <w:sz w:val="48"/>
          <w:szCs w:val="48"/>
          <w:lang w:val="sq-AL"/>
        </w:rPr>
      </w:pPr>
    </w:p>
    <w:p w14:paraId="13649F6D" w14:textId="6A46D0E0" w:rsidR="00CE1867" w:rsidRPr="00F858E2" w:rsidRDefault="00CE1867" w:rsidP="00CE1867">
      <w:pPr>
        <w:rPr>
          <w:sz w:val="18"/>
          <w:szCs w:val="20"/>
          <w:lang w:val="sq-AL"/>
        </w:rPr>
      </w:pPr>
    </w:p>
    <w:p w14:paraId="39C808C7" w14:textId="77777777" w:rsidR="00CE1867" w:rsidRPr="00F858E2" w:rsidRDefault="00CE1867" w:rsidP="00817921">
      <w:pPr>
        <w:rPr>
          <w:sz w:val="18"/>
          <w:szCs w:val="20"/>
          <w:lang w:val="sq-AL"/>
        </w:rPr>
      </w:pPr>
    </w:p>
    <w:p w14:paraId="1782BB90" w14:textId="70694A45" w:rsidR="00752B93" w:rsidRPr="00F858E2" w:rsidRDefault="00897630" w:rsidP="00E14B65">
      <w:pPr>
        <w:pStyle w:val="Title"/>
        <w:jc w:val="center"/>
        <w:rPr>
          <w:rFonts w:ascii="Times New Roman" w:hAnsi="Times New Roman" w:cs="Times New Roman"/>
          <w:b/>
          <w:bCs/>
          <w:sz w:val="48"/>
          <w:szCs w:val="48"/>
          <w:lang w:val="sq-AL"/>
        </w:rPr>
      </w:pPr>
      <w:r w:rsidRPr="00F858E2">
        <w:rPr>
          <w:rFonts w:ascii="Times New Roman" w:hAnsi="Times New Roman" w:cs="Times New Roman"/>
          <w:b/>
          <w:bCs/>
          <w:sz w:val="48"/>
          <w:szCs w:val="48"/>
          <w:lang w:val="sq-AL"/>
        </w:rPr>
        <w:t xml:space="preserve">First </w:t>
      </w:r>
      <w:r w:rsidR="006A3FFA" w:rsidRPr="00F858E2">
        <w:rPr>
          <w:rFonts w:ascii="Times New Roman" w:hAnsi="Times New Roman" w:cs="Times New Roman"/>
          <w:b/>
          <w:bCs/>
          <w:sz w:val="48"/>
          <w:szCs w:val="48"/>
          <w:lang w:val="sq-AL"/>
        </w:rPr>
        <w:t xml:space="preserve">Final </w:t>
      </w:r>
      <w:r w:rsidR="003C3772" w:rsidRPr="00F858E2">
        <w:rPr>
          <w:rFonts w:ascii="Times New Roman" w:hAnsi="Times New Roman" w:cs="Times New Roman"/>
          <w:b/>
          <w:bCs/>
          <w:sz w:val="48"/>
          <w:szCs w:val="48"/>
          <w:lang w:val="sq-AL"/>
        </w:rPr>
        <w:t xml:space="preserve">Draft </w:t>
      </w:r>
    </w:p>
    <w:p w14:paraId="6D5DC054" w14:textId="14A29322" w:rsidR="00752B93" w:rsidRPr="00817921" w:rsidRDefault="00752B93" w:rsidP="00E14B65">
      <w:pPr>
        <w:jc w:val="center"/>
        <w:rPr>
          <w:rFonts w:ascii="Times New Roman" w:hAnsi="Times New Roman" w:cs="Times New Roman"/>
          <w:b/>
          <w:bCs/>
          <w:sz w:val="52"/>
          <w:szCs w:val="52"/>
          <w:lang w:val="sq-AL"/>
        </w:rPr>
      </w:pPr>
    </w:p>
    <w:p w14:paraId="3BF33A8C" w14:textId="7D19D35D" w:rsidR="0061550F" w:rsidRPr="00817921" w:rsidRDefault="0061550F" w:rsidP="00E14B65">
      <w:pPr>
        <w:jc w:val="center"/>
        <w:rPr>
          <w:rFonts w:ascii="Times New Roman" w:hAnsi="Times New Roman" w:cs="Times New Roman"/>
          <w:b/>
          <w:bCs/>
          <w:sz w:val="52"/>
          <w:szCs w:val="52"/>
          <w:lang w:val="sq-AL"/>
        </w:rPr>
      </w:pPr>
    </w:p>
    <w:p w14:paraId="62CE9410" w14:textId="77777777" w:rsidR="0061550F" w:rsidRPr="00817921" w:rsidRDefault="0061550F" w:rsidP="00E14B65">
      <w:pPr>
        <w:jc w:val="center"/>
        <w:rPr>
          <w:rFonts w:ascii="Times New Roman" w:hAnsi="Times New Roman" w:cs="Times New Roman"/>
          <w:szCs w:val="22"/>
          <w:lang w:val="sq-AL"/>
        </w:rPr>
      </w:pPr>
    </w:p>
    <w:p w14:paraId="12BADDB3" w14:textId="7B9A9CB9" w:rsidR="00752B93" w:rsidRDefault="00752B93" w:rsidP="00E14B65">
      <w:pPr>
        <w:jc w:val="center"/>
        <w:rPr>
          <w:rFonts w:ascii="Times New Roman" w:hAnsi="Times New Roman" w:cs="Times New Roman"/>
          <w:szCs w:val="22"/>
          <w:lang w:val="sq-AL"/>
        </w:rPr>
      </w:pPr>
    </w:p>
    <w:p w14:paraId="757B5F1D" w14:textId="66003917" w:rsidR="00CE1867" w:rsidRDefault="00CE1867" w:rsidP="00E14B65">
      <w:pPr>
        <w:jc w:val="center"/>
        <w:rPr>
          <w:rFonts w:ascii="Times New Roman" w:hAnsi="Times New Roman" w:cs="Times New Roman"/>
          <w:szCs w:val="22"/>
          <w:lang w:val="sq-AL"/>
        </w:rPr>
      </w:pPr>
    </w:p>
    <w:p w14:paraId="319B03D1" w14:textId="69FD1A4E" w:rsidR="00CE1867" w:rsidRDefault="00CE1867" w:rsidP="00E14B65">
      <w:pPr>
        <w:jc w:val="center"/>
        <w:rPr>
          <w:rFonts w:ascii="Times New Roman" w:hAnsi="Times New Roman" w:cs="Times New Roman"/>
          <w:szCs w:val="22"/>
          <w:lang w:val="sq-AL"/>
        </w:rPr>
      </w:pPr>
    </w:p>
    <w:p w14:paraId="2DE70684" w14:textId="3EB93F45" w:rsidR="00CE1867" w:rsidRDefault="00CE1867" w:rsidP="00E14B65">
      <w:pPr>
        <w:jc w:val="center"/>
        <w:rPr>
          <w:rFonts w:ascii="Times New Roman" w:hAnsi="Times New Roman" w:cs="Times New Roman"/>
          <w:szCs w:val="22"/>
          <w:lang w:val="sq-AL"/>
        </w:rPr>
      </w:pPr>
    </w:p>
    <w:p w14:paraId="63BD15A0" w14:textId="23D3EE91" w:rsidR="00CE1867" w:rsidRDefault="00CE1867" w:rsidP="00E14B65">
      <w:pPr>
        <w:jc w:val="center"/>
        <w:rPr>
          <w:rFonts w:ascii="Times New Roman" w:hAnsi="Times New Roman" w:cs="Times New Roman"/>
          <w:szCs w:val="22"/>
          <w:lang w:val="sq-AL"/>
        </w:rPr>
      </w:pPr>
    </w:p>
    <w:p w14:paraId="268A4003" w14:textId="77777777" w:rsidR="00CE1867" w:rsidRPr="00817921" w:rsidRDefault="00CE1867" w:rsidP="00E14B65">
      <w:pPr>
        <w:jc w:val="center"/>
        <w:rPr>
          <w:rFonts w:ascii="Times New Roman" w:hAnsi="Times New Roman" w:cs="Times New Roman"/>
          <w:szCs w:val="22"/>
          <w:lang w:val="sq-AL"/>
        </w:rPr>
      </w:pPr>
    </w:p>
    <w:p w14:paraId="4A28B06E" w14:textId="4921ED7D" w:rsidR="003C3772" w:rsidRPr="00817921" w:rsidRDefault="00897630" w:rsidP="00E14B65">
      <w:pPr>
        <w:jc w:val="center"/>
        <w:rPr>
          <w:rFonts w:ascii="Times New Roman" w:hAnsi="Times New Roman" w:cs="Times New Roman"/>
          <w:i/>
          <w:iCs/>
          <w:sz w:val="24"/>
          <w:lang w:val="sq-AL"/>
        </w:rPr>
      </w:pPr>
      <w:r w:rsidRPr="00817921">
        <w:rPr>
          <w:rFonts w:ascii="Times New Roman" w:hAnsi="Times New Roman" w:cs="Times New Roman"/>
          <w:i/>
          <w:iCs/>
          <w:sz w:val="24"/>
          <w:lang w:val="sq-AL"/>
        </w:rPr>
        <w:t xml:space="preserve">Tetor </w:t>
      </w:r>
      <w:r w:rsidR="003C3772" w:rsidRPr="00817921">
        <w:rPr>
          <w:rFonts w:ascii="Times New Roman" w:hAnsi="Times New Roman" w:cs="Times New Roman"/>
          <w:i/>
          <w:iCs/>
          <w:sz w:val="24"/>
          <w:lang w:val="sq-AL"/>
        </w:rPr>
        <w:t>202</w:t>
      </w:r>
      <w:r w:rsidRPr="00817921">
        <w:rPr>
          <w:rFonts w:ascii="Times New Roman" w:hAnsi="Times New Roman" w:cs="Times New Roman"/>
          <w:i/>
          <w:iCs/>
          <w:sz w:val="24"/>
          <w:lang w:val="sq-AL"/>
        </w:rPr>
        <w:t>3</w:t>
      </w:r>
    </w:p>
    <w:p w14:paraId="35C6ED0B" w14:textId="5F10809A" w:rsidR="00F66C86" w:rsidRPr="00817921" w:rsidRDefault="00F66C86" w:rsidP="00E14B65">
      <w:pPr>
        <w:pStyle w:val="Title"/>
        <w:rPr>
          <w:rFonts w:ascii="Times New Roman" w:hAnsi="Times New Roman" w:cs="Times New Roman"/>
          <w:sz w:val="22"/>
          <w:szCs w:val="22"/>
          <w:lang w:val="sq-AL"/>
        </w:rPr>
      </w:pPr>
      <w:r w:rsidRPr="00817921">
        <w:rPr>
          <w:rFonts w:ascii="Times New Roman" w:hAnsi="Times New Roman" w:cs="Times New Roman"/>
          <w:sz w:val="22"/>
          <w:szCs w:val="22"/>
          <w:lang w:val="sq-AL"/>
        </w:rPr>
        <w:br w:type="page"/>
      </w:r>
    </w:p>
    <w:p w14:paraId="47AEEEEC" w14:textId="4ABBE54B" w:rsidR="00E73358" w:rsidRPr="00B5007E" w:rsidRDefault="00025307" w:rsidP="00817921">
      <w:pPr>
        <w:pStyle w:val="TOC1"/>
        <w:rPr>
          <w:sz w:val="28"/>
          <w:szCs w:val="28"/>
        </w:rPr>
      </w:pPr>
      <w:r w:rsidRPr="00B5007E">
        <w:rPr>
          <w:sz w:val="28"/>
          <w:szCs w:val="28"/>
        </w:rPr>
        <w:t>TABELA E PËRMBAJTJES</w:t>
      </w:r>
    </w:p>
    <w:p w14:paraId="25585799" w14:textId="49254AE5" w:rsidR="00B5007E" w:rsidRDefault="00B5007E" w:rsidP="00B5007E">
      <w:pPr>
        <w:rPr>
          <w:lang w:val="sq-AL"/>
        </w:rPr>
      </w:pPr>
    </w:p>
    <w:p w14:paraId="2166482B" w14:textId="77777777" w:rsidR="00AB34E9" w:rsidRDefault="00B5007E">
      <w:pPr>
        <w:pStyle w:val="TOC1"/>
        <w:tabs>
          <w:tab w:val="left" w:pos="440"/>
          <w:tab w:val="right" w:leader="dot" w:pos="9620"/>
        </w:tabs>
        <w:rPr>
          <w:rFonts w:eastAsiaTheme="minorEastAsia" w:cstheme="minorBidi"/>
          <w:b w:val="0"/>
          <w:bCs w:val="0"/>
          <w:caps w:val="0"/>
          <w:noProof/>
          <w:sz w:val="22"/>
          <w:szCs w:val="22"/>
        </w:rPr>
      </w:pPr>
      <w:r>
        <w:rPr>
          <w:i/>
          <w:iCs/>
          <w:lang w:val="sq-AL"/>
        </w:rPr>
        <w:fldChar w:fldCharType="begin"/>
      </w:r>
      <w:r>
        <w:rPr>
          <w:lang w:val="sq-AL"/>
        </w:rPr>
        <w:instrText xml:space="preserve"> TOC \o "1-4" \h \z \u </w:instrText>
      </w:r>
      <w:r>
        <w:rPr>
          <w:i/>
          <w:iCs/>
          <w:lang w:val="sq-AL"/>
        </w:rPr>
        <w:fldChar w:fldCharType="separate"/>
      </w:r>
      <w:hyperlink w:anchor="_Toc150896478" w:history="1">
        <w:r w:rsidR="00AB34E9" w:rsidRPr="00D5508D">
          <w:rPr>
            <w:rStyle w:val="Hyperlink"/>
            <w:rFonts w:ascii="Times New Roman" w:hAnsi="Times New Roman" w:cs="Times New Roman"/>
            <w:noProof/>
            <w:lang w:val="sq-AL"/>
          </w:rPr>
          <w:t>I.</w:t>
        </w:r>
        <w:r w:rsidR="00AB34E9">
          <w:rPr>
            <w:rFonts w:eastAsiaTheme="minorEastAsia" w:cstheme="minorBidi"/>
            <w:b w:val="0"/>
            <w:bCs w:val="0"/>
            <w:caps w:val="0"/>
            <w:noProof/>
            <w:sz w:val="22"/>
            <w:szCs w:val="22"/>
          </w:rPr>
          <w:tab/>
        </w:r>
        <w:r w:rsidR="00AB34E9" w:rsidRPr="00D5508D">
          <w:rPr>
            <w:rStyle w:val="Hyperlink"/>
            <w:rFonts w:ascii="Times New Roman" w:hAnsi="Times New Roman" w:cs="Times New Roman"/>
            <w:noProof/>
            <w:lang w:val="sq-AL"/>
          </w:rPr>
          <w:t>Kuadri i përgjithshëm</w:t>
        </w:r>
        <w:r w:rsidR="00AB34E9">
          <w:rPr>
            <w:noProof/>
            <w:webHidden/>
          </w:rPr>
          <w:tab/>
        </w:r>
        <w:r w:rsidR="00AB34E9">
          <w:rPr>
            <w:noProof/>
            <w:webHidden/>
          </w:rPr>
          <w:fldChar w:fldCharType="begin"/>
        </w:r>
        <w:r w:rsidR="00AB34E9">
          <w:rPr>
            <w:noProof/>
            <w:webHidden/>
          </w:rPr>
          <w:instrText xml:space="preserve"> PAGEREF _Toc150896478 \h </w:instrText>
        </w:r>
        <w:r w:rsidR="00AB34E9">
          <w:rPr>
            <w:noProof/>
            <w:webHidden/>
          </w:rPr>
        </w:r>
        <w:r w:rsidR="00AB34E9">
          <w:rPr>
            <w:noProof/>
            <w:webHidden/>
          </w:rPr>
          <w:fldChar w:fldCharType="separate"/>
        </w:r>
        <w:r w:rsidR="00AB34E9">
          <w:rPr>
            <w:noProof/>
            <w:webHidden/>
          </w:rPr>
          <w:t>4</w:t>
        </w:r>
        <w:r w:rsidR="00AB34E9">
          <w:rPr>
            <w:noProof/>
            <w:webHidden/>
          </w:rPr>
          <w:fldChar w:fldCharType="end"/>
        </w:r>
      </w:hyperlink>
    </w:p>
    <w:p w14:paraId="6BEB5ABB"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79" w:history="1">
        <w:r w:rsidR="00AB34E9" w:rsidRPr="00D5508D">
          <w:rPr>
            <w:rStyle w:val="Hyperlink"/>
            <w:rFonts w:ascii="Times New Roman" w:hAnsi="Times New Roman" w:cs="Times New Roman"/>
            <w:noProof/>
            <w:lang w:val="sq-AL"/>
          </w:rPr>
          <w:t>1.1.</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Konteksti ekonomik</w:t>
        </w:r>
        <w:r w:rsidR="00AB34E9">
          <w:rPr>
            <w:noProof/>
            <w:webHidden/>
          </w:rPr>
          <w:tab/>
        </w:r>
        <w:r w:rsidR="00AB34E9">
          <w:rPr>
            <w:noProof/>
            <w:webHidden/>
          </w:rPr>
          <w:fldChar w:fldCharType="begin"/>
        </w:r>
        <w:r w:rsidR="00AB34E9">
          <w:rPr>
            <w:noProof/>
            <w:webHidden/>
          </w:rPr>
          <w:instrText xml:space="preserve"> PAGEREF _Toc150896479 \h </w:instrText>
        </w:r>
        <w:r w:rsidR="00AB34E9">
          <w:rPr>
            <w:noProof/>
            <w:webHidden/>
          </w:rPr>
        </w:r>
        <w:r w:rsidR="00AB34E9">
          <w:rPr>
            <w:noProof/>
            <w:webHidden/>
          </w:rPr>
          <w:fldChar w:fldCharType="separate"/>
        </w:r>
        <w:r w:rsidR="00AB34E9">
          <w:rPr>
            <w:noProof/>
            <w:webHidden/>
          </w:rPr>
          <w:t>4</w:t>
        </w:r>
        <w:r w:rsidR="00AB34E9">
          <w:rPr>
            <w:noProof/>
            <w:webHidden/>
          </w:rPr>
          <w:fldChar w:fldCharType="end"/>
        </w:r>
      </w:hyperlink>
    </w:p>
    <w:p w14:paraId="3F04B238"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80" w:history="1">
        <w:r w:rsidR="00AB34E9" w:rsidRPr="00D5508D">
          <w:rPr>
            <w:rStyle w:val="Hyperlink"/>
            <w:rFonts w:ascii="Times New Roman" w:hAnsi="Times New Roman" w:cs="Times New Roman"/>
            <w:noProof/>
            <w:lang w:val="sq-AL"/>
          </w:rPr>
          <w:t>1.2.</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Konteksti social</w:t>
        </w:r>
        <w:r w:rsidR="00AB34E9">
          <w:rPr>
            <w:noProof/>
            <w:webHidden/>
          </w:rPr>
          <w:tab/>
        </w:r>
        <w:r w:rsidR="00AB34E9">
          <w:rPr>
            <w:noProof/>
            <w:webHidden/>
          </w:rPr>
          <w:fldChar w:fldCharType="begin"/>
        </w:r>
        <w:r w:rsidR="00AB34E9">
          <w:rPr>
            <w:noProof/>
            <w:webHidden/>
          </w:rPr>
          <w:instrText xml:space="preserve"> PAGEREF _Toc150896480 \h </w:instrText>
        </w:r>
        <w:r w:rsidR="00AB34E9">
          <w:rPr>
            <w:noProof/>
            <w:webHidden/>
          </w:rPr>
        </w:r>
        <w:r w:rsidR="00AB34E9">
          <w:rPr>
            <w:noProof/>
            <w:webHidden/>
          </w:rPr>
          <w:fldChar w:fldCharType="separate"/>
        </w:r>
        <w:r w:rsidR="00AB34E9">
          <w:rPr>
            <w:noProof/>
            <w:webHidden/>
          </w:rPr>
          <w:t>8</w:t>
        </w:r>
        <w:r w:rsidR="00AB34E9">
          <w:rPr>
            <w:noProof/>
            <w:webHidden/>
          </w:rPr>
          <w:fldChar w:fldCharType="end"/>
        </w:r>
      </w:hyperlink>
    </w:p>
    <w:p w14:paraId="3235D29B"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81" w:history="1">
        <w:r w:rsidR="00AB34E9" w:rsidRPr="00D5508D">
          <w:rPr>
            <w:rStyle w:val="Hyperlink"/>
            <w:rFonts w:ascii="Times New Roman" w:hAnsi="Times New Roman" w:cs="Times New Roman"/>
            <w:noProof/>
            <w:lang w:val="sq-AL"/>
          </w:rPr>
          <w:t>1.3.</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Konteksti reformues</w:t>
        </w:r>
        <w:r w:rsidR="00AB34E9">
          <w:rPr>
            <w:noProof/>
            <w:webHidden/>
          </w:rPr>
          <w:tab/>
        </w:r>
        <w:r w:rsidR="00AB34E9">
          <w:rPr>
            <w:noProof/>
            <w:webHidden/>
          </w:rPr>
          <w:fldChar w:fldCharType="begin"/>
        </w:r>
        <w:r w:rsidR="00AB34E9">
          <w:rPr>
            <w:noProof/>
            <w:webHidden/>
          </w:rPr>
          <w:instrText xml:space="preserve"> PAGEREF _Toc150896481 \h </w:instrText>
        </w:r>
        <w:r w:rsidR="00AB34E9">
          <w:rPr>
            <w:noProof/>
            <w:webHidden/>
          </w:rPr>
        </w:r>
        <w:r w:rsidR="00AB34E9">
          <w:rPr>
            <w:noProof/>
            <w:webHidden/>
          </w:rPr>
          <w:fldChar w:fldCharType="separate"/>
        </w:r>
        <w:r w:rsidR="00AB34E9">
          <w:rPr>
            <w:noProof/>
            <w:webHidden/>
          </w:rPr>
          <w:t>10</w:t>
        </w:r>
        <w:r w:rsidR="00AB34E9">
          <w:rPr>
            <w:noProof/>
            <w:webHidden/>
          </w:rPr>
          <w:fldChar w:fldCharType="end"/>
        </w:r>
      </w:hyperlink>
    </w:p>
    <w:p w14:paraId="55DD49FE"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82" w:history="1">
        <w:r w:rsidR="00AB34E9" w:rsidRPr="00D5508D">
          <w:rPr>
            <w:rStyle w:val="Hyperlink"/>
            <w:rFonts w:ascii="Times New Roman" w:hAnsi="Times New Roman" w:cs="Times New Roman"/>
            <w:noProof/>
            <w:lang w:val="sq-AL"/>
          </w:rPr>
          <w:t>1.4.</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Konteksti Gjinor</w:t>
        </w:r>
        <w:r w:rsidR="00AB34E9">
          <w:rPr>
            <w:noProof/>
            <w:webHidden/>
          </w:rPr>
          <w:tab/>
        </w:r>
        <w:r w:rsidR="00AB34E9">
          <w:rPr>
            <w:noProof/>
            <w:webHidden/>
          </w:rPr>
          <w:fldChar w:fldCharType="begin"/>
        </w:r>
        <w:r w:rsidR="00AB34E9">
          <w:rPr>
            <w:noProof/>
            <w:webHidden/>
          </w:rPr>
          <w:instrText xml:space="preserve"> PAGEREF _Toc150896482 \h </w:instrText>
        </w:r>
        <w:r w:rsidR="00AB34E9">
          <w:rPr>
            <w:noProof/>
            <w:webHidden/>
          </w:rPr>
        </w:r>
        <w:r w:rsidR="00AB34E9">
          <w:rPr>
            <w:noProof/>
            <w:webHidden/>
          </w:rPr>
          <w:fldChar w:fldCharType="separate"/>
        </w:r>
        <w:r w:rsidR="00AB34E9">
          <w:rPr>
            <w:noProof/>
            <w:webHidden/>
          </w:rPr>
          <w:t>17</w:t>
        </w:r>
        <w:r w:rsidR="00AB34E9">
          <w:rPr>
            <w:noProof/>
            <w:webHidden/>
          </w:rPr>
          <w:fldChar w:fldCharType="end"/>
        </w:r>
      </w:hyperlink>
    </w:p>
    <w:p w14:paraId="256C6C44"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83" w:history="1">
        <w:r w:rsidR="00AB34E9" w:rsidRPr="00D5508D">
          <w:rPr>
            <w:rStyle w:val="Hyperlink"/>
            <w:rFonts w:ascii="Times New Roman" w:hAnsi="Times New Roman" w:cs="Times New Roman"/>
            <w:noProof/>
            <w:lang w:val="sq-AL"/>
          </w:rPr>
          <w:t>1.5.</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P</w:t>
        </w:r>
        <w:r w:rsidR="00AB34E9" w:rsidRPr="00D5508D">
          <w:rPr>
            <w:rStyle w:val="Hyperlink"/>
            <w:rFonts w:ascii="Times New Roman" w:eastAsia="Times New Roman" w:hAnsi="Times New Roman" w:cs="Times New Roman"/>
            <w:iCs/>
            <w:noProof/>
            <w:lang w:val="sq-AL" w:eastAsia="en-GB"/>
          </w:rPr>
          <w:t>ë</w:t>
        </w:r>
        <w:r w:rsidR="00AB34E9" w:rsidRPr="00D5508D">
          <w:rPr>
            <w:rStyle w:val="Hyperlink"/>
            <w:rFonts w:ascii="Times New Roman" w:hAnsi="Times New Roman" w:cs="Times New Roman"/>
            <w:noProof/>
            <w:lang w:val="sq-AL"/>
          </w:rPr>
          <w:t>rballja me emergjencat dhe situatat e krizave</w:t>
        </w:r>
        <w:r w:rsidR="00AB34E9">
          <w:rPr>
            <w:noProof/>
            <w:webHidden/>
          </w:rPr>
          <w:tab/>
        </w:r>
        <w:r w:rsidR="00AB34E9">
          <w:rPr>
            <w:noProof/>
            <w:webHidden/>
          </w:rPr>
          <w:fldChar w:fldCharType="begin"/>
        </w:r>
        <w:r w:rsidR="00AB34E9">
          <w:rPr>
            <w:noProof/>
            <w:webHidden/>
          </w:rPr>
          <w:instrText xml:space="preserve"> PAGEREF _Toc150896483 \h </w:instrText>
        </w:r>
        <w:r w:rsidR="00AB34E9">
          <w:rPr>
            <w:noProof/>
            <w:webHidden/>
          </w:rPr>
        </w:r>
        <w:r w:rsidR="00AB34E9">
          <w:rPr>
            <w:noProof/>
            <w:webHidden/>
          </w:rPr>
          <w:fldChar w:fldCharType="separate"/>
        </w:r>
        <w:r w:rsidR="00AB34E9">
          <w:rPr>
            <w:noProof/>
            <w:webHidden/>
          </w:rPr>
          <w:t>18</w:t>
        </w:r>
        <w:r w:rsidR="00AB34E9">
          <w:rPr>
            <w:noProof/>
            <w:webHidden/>
          </w:rPr>
          <w:fldChar w:fldCharType="end"/>
        </w:r>
      </w:hyperlink>
    </w:p>
    <w:p w14:paraId="4B82421F"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84" w:history="1">
        <w:r w:rsidR="00AB34E9" w:rsidRPr="00D5508D">
          <w:rPr>
            <w:rStyle w:val="Hyperlink"/>
            <w:rFonts w:ascii="Times New Roman" w:hAnsi="Times New Roman" w:cs="Times New Roman"/>
            <w:noProof/>
            <w:lang w:val="sq-AL"/>
          </w:rPr>
          <w:t>1.6.</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Konteksti Strategjik</w:t>
        </w:r>
        <w:r w:rsidR="00AB34E9">
          <w:rPr>
            <w:noProof/>
            <w:webHidden/>
          </w:rPr>
          <w:tab/>
        </w:r>
        <w:r w:rsidR="00AB34E9">
          <w:rPr>
            <w:noProof/>
            <w:webHidden/>
          </w:rPr>
          <w:fldChar w:fldCharType="begin"/>
        </w:r>
        <w:r w:rsidR="00AB34E9">
          <w:rPr>
            <w:noProof/>
            <w:webHidden/>
          </w:rPr>
          <w:instrText xml:space="preserve"> PAGEREF _Toc150896484 \h </w:instrText>
        </w:r>
        <w:r w:rsidR="00AB34E9">
          <w:rPr>
            <w:noProof/>
            <w:webHidden/>
          </w:rPr>
        </w:r>
        <w:r w:rsidR="00AB34E9">
          <w:rPr>
            <w:noProof/>
            <w:webHidden/>
          </w:rPr>
          <w:fldChar w:fldCharType="separate"/>
        </w:r>
        <w:r w:rsidR="00AB34E9">
          <w:rPr>
            <w:noProof/>
            <w:webHidden/>
          </w:rPr>
          <w:t>19</w:t>
        </w:r>
        <w:r w:rsidR="00AB34E9">
          <w:rPr>
            <w:noProof/>
            <w:webHidden/>
          </w:rPr>
          <w:fldChar w:fldCharType="end"/>
        </w:r>
      </w:hyperlink>
    </w:p>
    <w:p w14:paraId="5F2F7BCC"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85" w:history="1">
        <w:r w:rsidR="00AB34E9" w:rsidRPr="00D5508D">
          <w:rPr>
            <w:rStyle w:val="Hyperlink"/>
            <w:rFonts w:ascii="Times New Roman" w:hAnsi="Times New Roman" w:cs="Times New Roman"/>
            <w:noProof/>
            <w:lang w:val="sq-AL"/>
          </w:rPr>
          <w:t>1.7.</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Konteksti institucional</w:t>
        </w:r>
        <w:r w:rsidR="00AB34E9">
          <w:rPr>
            <w:noProof/>
            <w:webHidden/>
          </w:rPr>
          <w:tab/>
        </w:r>
        <w:r w:rsidR="00AB34E9">
          <w:rPr>
            <w:noProof/>
            <w:webHidden/>
          </w:rPr>
          <w:fldChar w:fldCharType="begin"/>
        </w:r>
        <w:r w:rsidR="00AB34E9">
          <w:rPr>
            <w:noProof/>
            <w:webHidden/>
          </w:rPr>
          <w:instrText xml:space="preserve"> PAGEREF _Toc150896485 \h </w:instrText>
        </w:r>
        <w:r w:rsidR="00AB34E9">
          <w:rPr>
            <w:noProof/>
            <w:webHidden/>
          </w:rPr>
        </w:r>
        <w:r w:rsidR="00AB34E9">
          <w:rPr>
            <w:noProof/>
            <w:webHidden/>
          </w:rPr>
          <w:fldChar w:fldCharType="separate"/>
        </w:r>
        <w:r w:rsidR="00AB34E9">
          <w:rPr>
            <w:noProof/>
            <w:webHidden/>
          </w:rPr>
          <w:t>24</w:t>
        </w:r>
        <w:r w:rsidR="00AB34E9">
          <w:rPr>
            <w:noProof/>
            <w:webHidden/>
          </w:rPr>
          <w:fldChar w:fldCharType="end"/>
        </w:r>
      </w:hyperlink>
    </w:p>
    <w:p w14:paraId="3BAD2776"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86" w:history="1">
        <w:r w:rsidR="00AB34E9" w:rsidRPr="00D5508D">
          <w:rPr>
            <w:rStyle w:val="Hyperlink"/>
            <w:rFonts w:ascii="Times New Roman" w:hAnsi="Times New Roman" w:cs="Times New Roman"/>
            <w:noProof/>
            <w:lang w:val="sq-AL"/>
          </w:rPr>
          <w:t>1.8.</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Konteksti ligjor</w:t>
        </w:r>
        <w:r w:rsidR="00AB34E9">
          <w:rPr>
            <w:noProof/>
            <w:webHidden/>
          </w:rPr>
          <w:tab/>
        </w:r>
        <w:r w:rsidR="00AB34E9">
          <w:rPr>
            <w:noProof/>
            <w:webHidden/>
          </w:rPr>
          <w:fldChar w:fldCharType="begin"/>
        </w:r>
        <w:r w:rsidR="00AB34E9">
          <w:rPr>
            <w:noProof/>
            <w:webHidden/>
          </w:rPr>
          <w:instrText xml:space="preserve"> PAGEREF _Toc150896486 \h </w:instrText>
        </w:r>
        <w:r w:rsidR="00AB34E9">
          <w:rPr>
            <w:noProof/>
            <w:webHidden/>
          </w:rPr>
        </w:r>
        <w:r w:rsidR="00AB34E9">
          <w:rPr>
            <w:noProof/>
            <w:webHidden/>
          </w:rPr>
          <w:fldChar w:fldCharType="separate"/>
        </w:r>
        <w:r w:rsidR="00AB34E9">
          <w:rPr>
            <w:noProof/>
            <w:webHidden/>
          </w:rPr>
          <w:t>25</w:t>
        </w:r>
        <w:r w:rsidR="00AB34E9">
          <w:rPr>
            <w:noProof/>
            <w:webHidden/>
          </w:rPr>
          <w:fldChar w:fldCharType="end"/>
        </w:r>
      </w:hyperlink>
    </w:p>
    <w:p w14:paraId="7CCFB859" w14:textId="77777777" w:rsidR="00AB34E9" w:rsidRDefault="003E5D5A">
      <w:pPr>
        <w:pStyle w:val="TOC1"/>
        <w:tabs>
          <w:tab w:val="left" w:pos="440"/>
          <w:tab w:val="right" w:leader="dot" w:pos="9620"/>
        </w:tabs>
        <w:rPr>
          <w:rFonts w:eastAsiaTheme="minorEastAsia" w:cstheme="minorBidi"/>
          <w:b w:val="0"/>
          <w:bCs w:val="0"/>
          <w:caps w:val="0"/>
          <w:noProof/>
          <w:sz w:val="22"/>
          <w:szCs w:val="22"/>
        </w:rPr>
      </w:pPr>
      <w:hyperlink w:anchor="_Toc150896487" w:history="1">
        <w:r w:rsidR="00AB34E9" w:rsidRPr="00D5508D">
          <w:rPr>
            <w:rStyle w:val="Hyperlink"/>
            <w:rFonts w:ascii="Times New Roman" w:hAnsi="Times New Roman" w:cs="Times New Roman"/>
            <w:noProof/>
            <w:lang w:val="sq-AL"/>
          </w:rPr>
          <w:t>II.</w:t>
        </w:r>
        <w:r w:rsidR="00AB34E9">
          <w:rPr>
            <w:rFonts w:eastAsiaTheme="minorEastAsia" w:cstheme="minorBidi"/>
            <w:b w:val="0"/>
            <w:bCs w:val="0"/>
            <w:caps w:val="0"/>
            <w:noProof/>
            <w:sz w:val="22"/>
            <w:szCs w:val="22"/>
          </w:rPr>
          <w:tab/>
        </w:r>
        <w:r w:rsidR="00AB34E9" w:rsidRPr="00D5508D">
          <w:rPr>
            <w:rStyle w:val="Hyperlink"/>
            <w:rFonts w:ascii="Times New Roman" w:hAnsi="Times New Roman" w:cs="Times New Roman"/>
            <w:noProof/>
            <w:lang w:val="sq-AL"/>
          </w:rPr>
          <w:t>Situata aktuale e Mbrojtjes Sociale në Shqipëri</w:t>
        </w:r>
        <w:r w:rsidR="00AB34E9">
          <w:rPr>
            <w:noProof/>
            <w:webHidden/>
          </w:rPr>
          <w:tab/>
        </w:r>
        <w:r w:rsidR="00AB34E9">
          <w:rPr>
            <w:noProof/>
            <w:webHidden/>
          </w:rPr>
          <w:fldChar w:fldCharType="begin"/>
        </w:r>
        <w:r w:rsidR="00AB34E9">
          <w:rPr>
            <w:noProof/>
            <w:webHidden/>
          </w:rPr>
          <w:instrText xml:space="preserve"> PAGEREF _Toc150896487 \h </w:instrText>
        </w:r>
        <w:r w:rsidR="00AB34E9">
          <w:rPr>
            <w:noProof/>
            <w:webHidden/>
          </w:rPr>
        </w:r>
        <w:r w:rsidR="00AB34E9">
          <w:rPr>
            <w:noProof/>
            <w:webHidden/>
          </w:rPr>
          <w:fldChar w:fldCharType="separate"/>
        </w:r>
        <w:r w:rsidR="00AB34E9">
          <w:rPr>
            <w:noProof/>
            <w:webHidden/>
          </w:rPr>
          <w:t>28</w:t>
        </w:r>
        <w:r w:rsidR="00AB34E9">
          <w:rPr>
            <w:noProof/>
            <w:webHidden/>
          </w:rPr>
          <w:fldChar w:fldCharType="end"/>
        </w:r>
      </w:hyperlink>
    </w:p>
    <w:p w14:paraId="47E03068"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88" w:history="1">
        <w:r w:rsidR="00AB34E9" w:rsidRPr="00D5508D">
          <w:rPr>
            <w:rStyle w:val="Hyperlink"/>
            <w:rFonts w:ascii="Times New Roman" w:hAnsi="Times New Roman" w:cs="Times New Roman"/>
            <w:noProof/>
            <w:lang w:val="sq-AL"/>
          </w:rPr>
          <w:t>2.1.</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Reforma e Ndihmës Ekonomike dhe përfitimeve të tjera</w:t>
        </w:r>
        <w:r w:rsidR="00AB34E9">
          <w:rPr>
            <w:noProof/>
            <w:webHidden/>
          </w:rPr>
          <w:tab/>
        </w:r>
        <w:r w:rsidR="00AB34E9">
          <w:rPr>
            <w:noProof/>
            <w:webHidden/>
          </w:rPr>
          <w:fldChar w:fldCharType="begin"/>
        </w:r>
        <w:r w:rsidR="00AB34E9">
          <w:rPr>
            <w:noProof/>
            <w:webHidden/>
          </w:rPr>
          <w:instrText xml:space="preserve"> PAGEREF _Toc150896488 \h </w:instrText>
        </w:r>
        <w:r w:rsidR="00AB34E9">
          <w:rPr>
            <w:noProof/>
            <w:webHidden/>
          </w:rPr>
        </w:r>
        <w:r w:rsidR="00AB34E9">
          <w:rPr>
            <w:noProof/>
            <w:webHidden/>
          </w:rPr>
          <w:fldChar w:fldCharType="separate"/>
        </w:r>
        <w:r w:rsidR="00AB34E9">
          <w:rPr>
            <w:noProof/>
            <w:webHidden/>
          </w:rPr>
          <w:t>28</w:t>
        </w:r>
        <w:r w:rsidR="00AB34E9">
          <w:rPr>
            <w:noProof/>
            <w:webHidden/>
          </w:rPr>
          <w:fldChar w:fldCharType="end"/>
        </w:r>
      </w:hyperlink>
    </w:p>
    <w:p w14:paraId="7EADEC34"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89" w:history="1">
        <w:r w:rsidR="00AB34E9" w:rsidRPr="00D5508D">
          <w:rPr>
            <w:rStyle w:val="Hyperlink"/>
            <w:rFonts w:ascii="Times New Roman" w:hAnsi="Times New Roman" w:cs="Times New Roman"/>
            <w:noProof/>
            <w:lang w:val="sq-AL"/>
          </w:rPr>
          <w:t>2.2.</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Skemat e mbështetjes për Aftësinë e Kufizuar</w:t>
        </w:r>
        <w:r w:rsidR="00AB34E9">
          <w:rPr>
            <w:noProof/>
            <w:webHidden/>
          </w:rPr>
          <w:tab/>
        </w:r>
        <w:r w:rsidR="00AB34E9">
          <w:rPr>
            <w:noProof/>
            <w:webHidden/>
          </w:rPr>
          <w:fldChar w:fldCharType="begin"/>
        </w:r>
        <w:r w:rsidR="00AB34E9">
          <w:rPr>
            <w:noProof/>
            <w:webHidden/>
          </w:rPr>
          <w:instrText xml:space="preserve"> PAGEREF _Toc150896489 \h </w:instrText>
        </w:r>
        <w:r w:rsidR="00AB34E9">
          <w:rPr>
            <w:noProof/>
            <w:webHidden/>
          </w:rPr>
        </w:r>
        <w:r w:rsidR="00AB34E9">
          <w:rPr>
            <w:noProof/>
            <w:webHidden/>
          </w:rPr>
          <w:fldChar w:fldCharType="separate"/>
        </w:r>
        <w:r w:rsidR="00AB34E9">
          <w:rPr>
            <w:noProof/>
            <w:webHidden/>
          </w:rPr>
          <w:t>32</w:t>
        </w:r>
        <w:r w:rsidR="00AB34E9">
          <w:rPr>
            <w:noProof/>
            <w:webHidden/>
          </w:rPr>
          <w:fldChar w:fldCharType="end"/>
        </w:r>
      </w:hyperlink>
    </w:p>
    <w:p w14:paraId="714B92B4"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90" w:history="1">
        <w:r w:rsidR="00AB34E9" w:rsidRPr="00D5508D">
          <w:rPr>
            <w:rStyle w:val="Hyperlink"/>
            <w:rFonts w:ascii="Times New Roman" w:hAnsi="Times New Roman" w:cs="Times New Roman"/>
            <w:noProof/>
            <w:lang w:val="sq-AL"/>
          </w:rPr>
          <w:t>2.3.</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Sh</w:t>
        </w:r>
        <w:r w:rsidR="00AB34E9" w:rsidRPr="00D5508D">
          <w:rPr>
            <w:rStyle w:val="Hyperlink"/>
            <w:rFonts w:ascii="Times New Roman" w:hAnsi="Times New Roman" w:cs="Times New Roman"/>
            <w:bCs/>
            <w:iCs/>
            <w:noProof/>
            <w:lang w:val="sq-AL"/>
          </w:rPr>
          <w:t>ë</w:t>
        </w:r>
        <w:r w:rsidR="00AB34E9" w:rsidRPr="00D5508D">
          <w:rPr>
            <w:rStyle w:val="Hyperlink"/>
            <w:rFonts w:ascii="Times New Roman" w:hAnsi="Times New Roman" w:cs="Times New Roman"/>
            <w:noProof/>
            <w:lang w:val="sq-AL"/>
          </w:rPr>
          <w:t>rbimet e Kujdesit Social drejt decentralizimit, diversifikimit dhe deinsitucionalizimit</w:t>
        </w:r>
        <w:r w:rsidR="00AB34E9">
          <w:rPr>
            <w:noProof/>
            <w:webHidden/>
          </w:rPr>
          <w:tab/>
        </w:r>
        <w:r w:rsidR="00AB34E9">
          <w:rPr>
            <w:noProof/>
            <w:webHidden/>
          </w:rPr>
          <w:fldChar w:fldCharType="begin"/>
        </w:r>
        <w:r w:rsidR="00AB34E9">
          <w:rPr>
            <w:noProof/>
            <w:webHidden/>
          </w:rPr>
          <w:instrText xml:space="preserve"> PAGEREF _Toc150896490 \h </w:instrText>
        </w:r>
        <w:r w:rsidR="00AB34E9">
          <w:rPr>
            <w:noProof/>
            <w:webHidden/>
          </w:rPr>
        </w:r>
        <w:r w:rsidR="00AB34E9">
          <w:rPr>
            <w:noProof/>
            <w:webHidden/>
          </w:rPr>
          <w:fldChar w:fldCharType="separate"/>
        </w:r>
        <w:r w:rsidR="00AB34E9">
          <w:rPr>
            <w:noProof/>
            <w:webHidden/>
          </w:rPr>
          <w:t>35</w:t>
        </w:r>
        <w:r w:rsidR="00AB34E9">
          <w:rPr>
            <w:noProof/>
            <w:webHidden/>
          </w:rPr>
          <w:fldChar w:fldCharType="end"/>
        </w:r>
      </w:hyperlink>
    </w:p>
    <w:p w14:paraId="7B48017E" w14:textId="77777777" w:rsidR="00AB34E9" w:rsidRDefault="003E5D5A">
      <w:pPr>
        <w:pStyle w:val="TOC1"/>
        <w:tabs>
          <w:tab w:val="left" w:pos="660"/>
          <w:tab w:val="right" w:leader="dot" w:pos="9620"/>
        </w:tabs>
        <w:rPr>
          <w:rFonts w:eastAsiaTheme="minorEastAsia" w:cstheme="minorBidi"/>
          <w:b w:val="0"/>
          <w:bCs w:val="0"/>
          <w:caps w:val="0"/>
          <w:noProof/>
          <w:sz w:val="22"/>
          <w:szCs w:val="22"/>
        </w:rPr>
      </w:pPr>
      <w:hyperlink w:anchor="_Toc150896491" w:history="1">
        <w:r w:rsidR="00AB34E9" w:rsidRPr="00D5508D">
          <w:rPr>
            <w:rStyle w:val="Hyperlink"/>
            <w:rFonts w:ascii="Times New Roman" w:hAnsi="Times New Roman" w:cs="Times New Roman"/>
            <w:noProof/>
            <w:lang w:val="sq-AL"/>
          </w:rPr>
          <w:t>III.</w:t>
        </w:r>
        <w:r w:rsidR="00AB34E9">
          <w:rPr>
            <w:rFonts w:eastAsiaTheme="minorEastAsia" w:cstheme="minorBidi"/>
            <w:b w:val="0"/>
            <w:bCs w:val="0"/>
            <w:caps w:val="0"/>
            <w:noProof/>
            <w:sz w:val="22"/>
            <w:szCs w:val="22"/>
          </w:rPr>
          <w:tab/>
        </w:r>
        <w:r w:rsidR="00AB34E9" w:rsidRPr="00D5508D">
          <w:rPr>
            <w:rStyle w:val="Hyperlink"/>
            <w:rFonts w:ascii="Times New Roman" w:hAnsi="Times New Roman" w:cs="Times New Roman"/>
            <w:noProof/>
            <w:lang w:val="sq-AL"/>
          </w:rPr>
          <w:t>Vizioni, Shtyllat ose Fushat Strategjike dhe Qëllimet e Politikave</w:t>
        </w:r>
        <w:r w:rsidR="00AB34E9">
          <w:rPr>
            <w:noProof/>
            <w:webHidden/>
          </w:rPr>
          <w:tab/>
        </w:r>
        <w:r w:rsidR="00AB34E9">
          <w:rPr>
            <w:noProof/>
            <w:webHidden/>
          </w:rPr>
          <w:fldChar w:fldCharType="begin"/>
        </w:r>
        <w:r w:rsidR="00AB34E9">
          <w:rPr>
            <w:noProof/>
            <w:webHidden/>
          </w:rPr>
          <w:instrText xml:space="preserve"> PAGEREF _Toc150896491 \h </w:instrText>
        </w:r>
        <w:r w:rsidR="00AB34E9">
          <w:rPr>
            <w:noProof/>
            <w:webHidden/>
          </w:rPr>
        </w:r>
        <w:r w:rsidR="00AB34E9">
          <w:rPr>
            <w:noProof/>
            <w:webHidden/>
          </w:rPr>
          <w:fldChar w:fldCharType="separate"/>
        </w:r>
        <w:r w:rsidR="00AB34E9">
          <w:rPr>
            <w:noProof/>
            <w:webHidden/>
          </w:rPr>
          <w:t>40</w:t>
        </w:r>
        <w:r w:rsidR="00AB34E9">
          <w:rPr>
            <w:noProof/>
            <w:webHidden/>
          </w:rPr>
          <w:fldChar w:fldCharType="end"/>
        </w:r>
      </w:hyperlink>
    </w:p>
    <w:p w14:paraId="146E3397"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92" w:history="1">
        <w:r w:rsidR="00AB34E9" w:rsidRPr="00D5508D">
          <w:rPr>
            <w:rStyle w:val="Hyperlink"/>
            <w:rFonts w:ascii="Times New Roman" w:hAnsi="Times New Roman" w:cs="Times New Roman"/>
            <w:noProof/>
            <w:lang w:val="sq-AL"/>
          </w:rPr>
          <w:t>3.1.</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Vizioni</w:t>
        </w:r>
        <w:r w:rsidR="00AB34E9">
          <w:rPr>
            <w:noProof/>
            <w:webHidden/>
          </w:rPr>
          <w:tab/>
        </w:r>
        <w:r w:rsidR="00AB34E9">
          <w:rPr>
            <w:noProof/>
            <w:webHidden/>
          </w:rPr>
          <w:fldChar w:fldCharType="begin"/>
        </w:r>
        <w:r w:rsidR="00AB34E9">
          <w:rPr>
            <w:noProof/>
            <w:webHidden/>
          </w:rPr>
          <w:instrText xml:space="preserve"> PAGEREF _Toc150896492 \h </w:instrText>
        </w:r>
        <w:r w:rsidR="00AB34E9">
          <w:rPr>
            <w:noProof/>
            <w:webHidden/>
          </w:rPr>
        </w:r>
        <w:r w:rsidR="00AB34E9">
          <w:rPr>
            <w:noProof/>
            <w:webHidden/>
          </w:rPr>
          <w:fldChar w:fldCharType="separate"/>
        </w:r>
        <w:r w:rsidR="00AB34E9">
          <w:rPr>
            <w:noProof/>
            <w:webHidden/>
          </w:rPr>
          <w:t>40</w:t>
        </w:r>
        <w:r w:rsidR="00AB34E9">
          <w:rPr>
            <w:noProof/>
            <w:webHidden/>
          </w:rPr>
          <w:fldChar w:fldCharType="end"/>
        </w:r>
      </w:hyperlink>
    </w:p>
    <w:p w14:paraId="62BDE239" w14:textId="77777777" w:rsidR="00AB34E9" w:rsidRDefault="003E5D5A">
      <w:pPr>
        <w:pStyle w:val="TOC2"/>
        <w:tabs>
          <w:tab w:val="right" w:leader="dot" w:pos="9620"/>
        </w:tabs>
        <w:rPr>
          <w:rFonts w:eastAsiaTheme="minorEastAsia" w:cstheme="minorBidi"/>
          <w:smallCaps w:val="0"/>
          <w:noProof/>
          <w:sz w:val="22"/>
          <w:szCs w:val="22"/>
        </w:rPr>
      </w:pPr>
      <w:hyperlink w:anchor="_Toc150896493" w:history="1">
        <w:r w:rsidR="00AB34E9" w:rsidRPr="00D5508D">
          <w:rPr>
            <w:rStyle w:val="Hyperlink"/>
            <w:rFonts w:ascii="Times New Roman" w:hAnsi="Times New Roman" w:cs="Times New Roman"/>
            <w:b/>
            <w:bCs/>
            <w:noProof/>
            <w:lang w:val="sq-AL"/>
          </w:rPr>
          <w:t>“Mbrojtje sociale në një mjedis mundësues dhe fuqizues për çdo individ në nevojë, duke garantuar jetesë dinjitoze përgjatë ciklit të jetës”.</w:t>
        </w:r>
        <w:r w:rsidR="00AB34E9">
          <w:rPr>
            <w:noProof/>
            <w:webHidden/>
          </w:rPr>
          <w:tab/>
        </w:r>
        <w:r w:rsidR="00AB34E9">
          <w:rPr>
            <w:noProof/>
            <w:webHidden/>
          </w:rPr>
          <w:fldChar w:fldCharType="begin"/>
        </w:r>
        <w:r w:rsidR="00AB34E9">
          <w:rPr>
            <w:noProof/>
            <w:webHidden/>
          </w:rPr>
          <w:instrText xml:space="preserve"> PAGEREF _Toc150896493 \h </w:instrText>
        </w:r>
        <w:r w:rsidR="00AB34E9">
          <w:rPr>
            <w:noProof/>
            <w:webHidden/>
          </w:rPr>
        </w:r>
        <w:r w:rsidR="00AB34E9">
          <w:rPr>
            <w:noProof/>
            <w:webHidden/>
          </w:rPr>
          <w:fldChar w:fldCharType="separate"/>
        </w:r>
        <w:r w:rsidR="00AB34E9">
          <w:rPr>
            <w:noProof/>
            <w:webHidden/>
          </w:rPr>
          <w:t>40</w:t>
        </w:r>
        <w:r w:rsidR="00AB34E9">
          <w:rPr>
            <w:noProof/>
            <w:webHidden/>
          </w:rPr>
          <w:fldChar w:fldCharType="end"/>
        </w:r>
      </w:hyperlink>
    </w:p>
    <w:p w14:paraId="299C91A8" w14:textId="77777777" w:rsidR="00AB34E9" w:rsidRDefault="003E5D5A">
      <w:pPr>
        <w:pStyle w:val="TOC2"/>
        <w:tabs>
          <w:tab w:val="left" w:pos="880"/>
          <w:tab w:val="right" w:leader="dot" w:pos="9620"/>
        </w:tabs>
        <w:rPr>
          <w:rFonts w:eastAsiaTheme="minorEastAsia" w:cstheme="minorBidi"/>
          <w:smallCaps w:val="0"/>
          <w:noProof/>
          <w:sz w:val="22"/>
          <w:szCs w:val="22"/>
        </w:rPr>
      </w:pPr>
      <w:hyperlink w:anchor="_Toc150896494" w:history="1">
        <w:r w:rsidR="00AB34E9" w:rsidRPr="00D5508D">
          <w:rPr>
            <w:rStyle w:val="Hyperlink"/>
            <w:rFonts w:ascii="Times New Roman" w:hAnsi="Times New Roman" w:cs="Times New Roman"/>
            <w:noProof/>
            <w:lang w:val="sq-AL"/>
          </w:rPr>
          <w:t>3.2.</w:t>
        </w:r>
        <w:r w:rsidR="00AB34E9">
          <w:rPr>
            <w:rFonts w:eastAsiaTheme="minorEastAsia" w:cstheme="minorBidi"/>
            <w:smallCaps w:val="0"/>
            <w:noProof/>
            <w:sz w:val="22"/>
            <w:szCs w:val="22"/>
          </w:rPr>
          <w:tab/>
        </w:r>
        <w:r w:rsidR="00AB34E9" w:rsidRPr="00D5508D">
          <w:rPr>
            <w:rStyle w:val="Hyperlink"/>
            <w:rFonts w:ascii="Times New Roman" w:hAnsi="Times New Roman" w:cs="Times New Roman"/>
            <w:noProof/>
            <w:lang w:val="sq-AL"/>
          </w:rPr>
          <w:t>Qëllimet e politikës</w:t>
        </w:r>
        <w:r w:rsidR="00AB34E9">
          <w:rPr>
            <w:noProof/>
            <w:webHidden/>
          </w:rPr>
          <w:tab/>
        </w:r>
        <w:r w:rsidR="00AB34E9">
          <w:rPr>
            <w:noProof/>
            <w:webHidden/>
          </w:rPr>
          <w:fldChar w:fldCharType="begin"/>
        </w:r>
        <w:r w:rsidR="00AB34E9">
          <w:rPr>
            <w:noProof/>
            <w:webHidden/>
          </w:rPr>
          <w:instrText xml:space="preserve"> PAGEREF _Toc150896494 \h </w:instrText>
        </w:r>
        <w:r w:rsidR="00AB34E9">
          <w:rPr>
            <w:noProof/>
            <w:webHidden/>
          </w:rPr>
        </w:r>
        <w:r w:rsidR="00AB34E9">
          <w:rPr>
            <w:noProof/>
            <w:webHidden/>
          </w:rPr>
          <w:fldChar w:fldCharType="separate"/>
        </w:r>
        <w:r w:rsidR="00AB34E9">
          <w:rPr>
            <w:noProof/>
            <w:webHidden/>
          </w:rPr>
          <w:t>40</w:t>
        </w:r>
        <w:r w:rsidR="00AB34E9">
          <w:rPr>
            <w:noProof/>
            <w:webHidden/>
          </w:rPr>
          <w:fldChar w:fldCharType="end"/>
        </w:r>
      </w:hyperlink>
    </w:p>
    <w:p w14:paraId="768C918D" w14:textId="77777777" w:rsidR="00AB34E9" w:rsidRDefault="003E5D5A">
      <w:pPr>
        <w:pStyle w:val="TOC3"/>
        <w:tabs>
          <w:tab w:val="right" w:leader="dot" w:pos="9620"/>
        </w:tabs>
        <w:rPr>
          <w:rFonts w:eastAsiaTheme="minorEastAsia" w:cstheme="minorBidi"/>
          <w:i w:val="0"/>
          <w:iCs w:val="0"/>
          <w:noProof/>
          <w:sz w:val="22"/>
          <w:szCs w:val="22"/>
        </w:rPr>
      </w:pPr>
      <w:hyperlink w:anchor="_Toc150896495" w:history="1">
        <w:r w:rsidR="00AB34E9" w:rsidRPr="00D5508D">
          <w:rPr>
            <w:rStyle w:val="Hyperlink"/>
            <w:rFonts w:ascii="Times New Roman" w:hAnsi="Times New Roman" w:cs="Times New Roman"/>
            <w:b/>
            <w:bCs/>
            <w:noProof/>
            <w:lang w:val="sq-AL"/>
          </w:rPr>
          <w:t>Qëllimi i politikës A:</w:t>
        </w:r>
        <w:r w:rsidR="00AB34E9" w:rsidRPr="00D5508D">
          <w:rPr>
            <w:rStyle w:val="Hyperlink"/>
            <w:rFonts w:ascii="Times New Roman" w:hAnsi="Times New Roman" w:cs="Times New Roman"/>
            <w:noProof/>
            <w:lang w:val="sq-AL"/>
          </w:rPr>
          <w:t xml:space="preserve"> Zbutja e varfërisë për çdo individ në nevojë dhe përmirësimi i jetesës për personat me Aftësi të Kufizuara nëpërmjet skemave financiare të përshtatshme, të përgjegjshme gjinore,  transparente për fuqizim dhe integrim, të afta për përballimin e rreziqeve e krizave.</w:t>
        </w:r>
        <w:r w:rsidR="00AB34E9">
          <w:rPr>
            <w:noProof/>
            <w:webHidden/>
          </w:rPr>
          <w:tab/>
        </w:r>
        <w:r w:rsidR="00AB34E9">
          <w:rPr>
            <w:noProof/>
            <w:webHidden/>
          </w:rPr>
          <w:fldChar w:fldCharType="begin"/>
        </w:r>
        <w:r w:rsidR="00AB34E9">
          <w:rPr>
            <w:noProof/>
            <w:webHidden/>
          </w:rPr>
          <w:instrText xml:space="preserve"> PAGEREF _Toc150896495 \h </w:instrText>
        </w:r>
        <w:r w:rsidR="00AB34E9">
          <w:rPr>
            <w:noProof/>
            <w:webHidden/>
          </w:rPr>
        </w:r>
        <w:r w:rsidR="00AB34E9">
          <w:rPr>
            <w:noProof/>
            <w:webHidden/>
          </w:rPr>
          <w:fldChar w:fldCharType="separate"/>
        </w:r>
        <w:r w:rsidR="00AB34E9">
          <w:rPr>
            <w:noProof/>
            <w:webHidden/>
          </w:rPr>
          <w:t>40</w:t>
        </w:r>
        <w:r w:rsidR="00AB34E9">
          <w:rPr>
            <w:noProof/>
            <w:webHidden/>
          </w:rPr>
          <w:fldChar w:fldCharType="end"/>
        </w:r>
      </w:hyperlink>
    </w:p>
    <w:p w14:paraId="09B8BEEB" w14:textId="77777777" w:rsidR="00AB34E9" w:rsidRDefault="003E5D5A">
      <w:pPr>
        <w:pStyle w:val="TOC4"/>
        <w:tabs>
          <w:tab w:val="right" w:leader="dot" w:pos="9620"/>
        </w:tabs>
        <w:rPr>
          <w:rFonts w:eastAsiaTheme="minorEastAsia" w:cstheme="minorBidi"/>
          <w:noProof/>
          <w:sz w:val="22"/>
          <w:szCs w:val="22"/>
        </w:rPr>
      </w:pPr>
      <w:hyperlink w:anchor="_Toc150896496" w:history="1">
        <w:r w:rsidR="00AB34E9" w:rsidRPr="00D5508D">
          <w:rPr>
            <w:rStyle w:val="Hyperlink"/>
            <w:rFonts w:ascii="Times New Roman" w:hAnsi="Times New Roman" w:cs="Times New Roman"/>
            <w:noProof/>
            <w:lang w:val="sq-AL"/>
          </w:rPr>
          <w:t>Objektivi specifik/strategjik A1: Të përmirësohet performanca, përshtatshmëria dhe përgjigjja ndaj krizave e skemave financiare për individët (burra, gra, djem dhe vajza) në skemën e ndihmës ekonomike.</w:t>
        </w:r>
        <w:r w:rsidR="00AB34E9">
          <w:rPr>
            <w:noProof/>
            <w:webHidden/>
          </w:rPr>
          <w:tab/>
        </w:r>
        <w:r w:rsidR="00AB34E9">
          <w:rPr>
            <w:noProof/>
            <w:webHidden/>
          </w:rPr>
          <w:fldChar w:fldCharType="begin"/>
        </w:r>
        <w:r w:rsidR="00AB34E9">
          <w:rPr>
            <w:noProof/>
            <w:webHidden/>
          </w:rPr>
          <w:instrText xml:space="preserve"> PAGEREF _Toc150896496 \h </w:instrText>
        </w:r>
        <w:r w:rsidR="00AB34E9">
          <w:rPr>
            <w:noProof/>
            <w:webHidden/>
          </w:rPr>
        </w:r>
        <w:r w:rsidR="00AB34E9">
          <w:rPr>
            <w:noProof/>
            <w:webHidden/>
          </w:rPr>
          <w:fldChar w:fldCharType="separate"/>
        </w:r>
        <w:r w:rsidR="00AB34E9">
          <w:rPr>
            <w:noProof/>
            <w:webHidden/>
          </w:rPr>
          <w:t>40</w:t>
        </w:r>
        <w:r w:rsidR="00AB34E9">
          <w:rPr>
            <w:noProof/>
            <w:webHidden/>
          </w:rPr>
          <w:fldChar w:fldCharType="end"/>
        </w:r>
      </w:hyperlink>
    </w:p>
    <w:p w14:paraId="0F80F80B" w14:textId="77777777" w:rsidR="00AB34E9" w:rsidRDefault="003E5D5A">
      <w:pPr>
        <w:pStyle w:val="TOC4"/>
        <w:tabs>
          <w:tab w:val="right" w:leader="dot" w:pos="9620"/>
        </w:tabs>
        <w:rPr>
          <w:rFonts w:eastAsiaTheme="minorEastAsia" w:cstheme="minorBidi"/>
          <w:noProof/>
          <w:sz w:val="22"/>
          <w:szCs w:val="22"/>
        </w:rPr>
      </w:pPr>
      <w:hyperlink w:anchor="_Toc150896497" w:history="1">
        <w:r w:rsidR="00AB34E9" w:rsidRPr="00D5508D">
          <w:rPr>
            <w:rStyle w:val="Hyperlink"/>
            <w:rFonts w:ascii="Times New Roman" w:hAnsi="Times New Roman" w:cs="Times New Roman"/>
            <w:noProof/>
            <w:lang w:val="sq-AL"/>
          </w:rPr>
          <w:t>Objektivi specifik/strategjik A2: Konsolidimi i vlerësimit bio-psikosocial dhe një sistem i qëndrueshëm dhe i mirëshënjestruar për Personat me Aftësi të Kufizuara.</w:t>
        </w:r>
        <w:r w:rsidR="00AB34E9">
          <w:rPr>
            <w:noProof/>
            <w:webHidden/>
          </w:rPr>
          <w:tab/>
        </w:r>
        <w:r w:rsidR="00AB34E9">
          <w:rPr>
            <w:noProof/>
            <w:webHidden/>
          </w:rPr>
          <w:fldChar w:fldCharType="begin"/>
        </w:r>
        <w:r w:rsidR="00AB34E9">
          <w:rPr>
            <w:noProof/>
            <w:webHidden/>
          </w:rPr>
          <w:instrText xml:space="preserve"> PAGEREF _Toc150896497 \h </w:instrText>
        </w:r>
        <w:r w:rsidR="00AB34E9">
          <w:rPr>
            <w:noProof/>
            <w:webHidden/>
          </w:rPr>
        </w:r>
        <w:r w:rsidR="00AB34E9">
          <w:rPr>
            <w:noProof/>
            <w:webHidden/>
          </w:rPr>
          <w:fldChar w:fldCharType="separate"/>
        </w:r>
        <w:r w:rsidR="00AB34E9">
          <w:rPr>
            <w:noProof/>
            <w:webHidden/>
          </w:rPr>
          <w:t>40</w:t>
        </w:r>
        <w:r w:rsidR="00AB34E9">
          <w:rPr>
            <w:noProof/>
            <w:webHidden/>
          </w:rPr>
          <w:fldChar w:fldCharType="end"/>
        </w:r>
      </w:hyperlink>
    </w:p>
    <w:p w14:paraId="61B87A16" w14:textId="77777777" w:rsidR="00AB34E9" w:rsidRDefault="003E5D5A">
      <w:pPr>
        <w:pStyle w:val="TOC4"/>
        <w:tabs>
          <w:tab w:val="right" w:leader="dot" w:pos="9620"/>
        </w:tabs>
        <w:rPr>
          <w:rFonts w:eastAsiaTheme="minorEastAsia" w:cstheme="minorBidi"/>
          <w:noProof/>
          <w:sz w:val="22"/>
          <w:szCs w:val="22"/>
        </w:rPr>
      </w:pPr>
      <w:hyperlink w:anchor="_Toc150896498" w:history="1">
        <w:r w:rsidR="00AB34E9" w:rsidRPr="00D5508D">
          <w:rPr>
            <w:rStyle w:val="Hyperlink"/>
            <w:rFonts w:ascii="Times New Roman" w:hAnsi="Times New Roman" w:cs="Times New Roman"/>
            <w:noProof/>
            <w:lang w:val="sq-AL"/>
          </w:rPr>
          <w:t>Objektivi specifik/strategjik A3: Përmirësimi i shënjestrimit të fëmijëve, vajza dhe djem përmes skemave financare të ndjeshme gjinore dhe një programi mbrojtje sociale me fokus fëmijët.</w:t>
        </w:r>
        <w:r w:rsidR="00AB34E9">
          <w:rPr>
            <w:noProof/>
            <w:webHidden/>
          </w:rPr>
          <w:tab/>
        </w:r>
        <w:r w:rsidR="00AB34E9">
          <w:rPr>
            <w:noProof/>
            <w:webHidden/>
          </w:rPr>
          <w:fldChar w:fldCharType="begin"/>
        </w:r>
        <w:r w:rsidR="00AB34E9">
          <w:rPr>
            <w:noProof/>
            <w:webHidden/>
          </w:rPr>
          <w:instrText xml:space="preserve"> PAGEREF _Toc150896498 \h </w:instrText>
        </w:r>
        <w:r w:rsidR="00AB34E9">
          <w:rPr>
            <w:noProof/>
            <w:webHidden/>
          </w:rPr>
        </w:r>
        <w:r w:rsidR="00AB34E9">
          <w:rPr>
            <w:noProof/>
            <w:webHidden/>
          </w:rPr>
          <w:fldChar w:fldCharType="separate"/>
        </w:r>
        <w:r w:rsidR="00AB34E9">
          <w:rPr>
            <w:noProof/>
            <w:webHidden/>
          </w:rPr>
          <w:t>40</w:t>
        </w:r>
        <w:r w:rsidR="00AB34E9">
          <w:rPr>
            <w:noProof/>
            <w:webHidden/>
          </w:rPr>
          <w:fldChar w:fldCharType="end"/>
        </w:r>
      </w:hyperlink>
    </w:p>
    <w:p w14:paraId="7D3091C1" w14:textId="77777777" w:rsidR="00AB34E9" w:rsidRDefault="003E5D5A">
      <w:pPr>
        <w:pStyle w:val="TOC3"/>
        <w:tabs>
          <w:tab w:val="right" w:leader="dot" w:pos="9620"/>
        </w:tabs>
        <w:rPr>
          <w:rFonts w:eastAsiaTheme="minorEastAsia" w:cstheme="minorBidi"/>
          <w:i w:val="0"/>
          <w:iCs w:val="0"/>
          <w:noProof/>
          <w:sz w:val="22"/>
          <w:szCs w:val="22"/>
        </w:rPr>
      </w:pPr>
      <w:hyperlink w:anchor="_Toc150896499" w:history="1">
        <w:r w:rsidR="00AB34E9" w:rsidRPr="00D5508D">
          <w:rPr>
            <w:rStyle w:val="Hyperlink"/>
            <w:rFonts w:ascii="Times New Roman" w:hAnsi="Times New Roman" w:cs="Times New Roman"/>
            <w:b/>
            <w:noProof/>
            <w:lang w:val="sq-AL"/>
          </w:rPr>
          <w:t>Qëllimi i politikës B: Zgjerimi i shërbimeve sociale të integruara, të aksesueshme e cilësore dhe të përgjegjshme gjinore si dhe avancimi i deinstitucionalizimit, në partneritet me pushtetin vendor dhe aktorët e tjerë.</w:t>
        </w:r>
        <w:r w:rsidR="00AB34E9">
          <w:rPr>
            <w:noProof/>
            <w:webHidden/>
          </w:rPr>
          <w:tab/>
        </w:r>
        <w:r w:rsidR="00AB34E9">
          <w:rPr>
            <w:noProof/>
            <w:webHidden/>
          </w:rPr>
          <w:fldChar w:fldCharType="begin"/>
        </w:r>
        <w:r w:rsidR="00AB34E9">
          <w:rPr>
            <w:noProof/>
            <w:webHidden/>
          </w:rPr>
          <w:instrText xml:space="preserve"> PAGEREF _Toc150896499 \h </w:instrText>
        </w:r>
        <w:r w:rsidR="00AB34E9">
          <w:rPr>
            <w:noProof/>
            <w:webHidden/>
          </w:rPr>
        </w:r>
        <w:r w:rsidR="00AB34E9">
          <w:rPr>
            <w:noProof/>
            <w:webHidden/>
          </w:rPr>
          <w:fldChar w:fldCharType="separate"/>
        </w:r>
        <w:r w:rsidR="00AB34E9">
          <w:rPr>
            <w:noProof/>
            <w:webHidden/>
          </w:rPr>
          <w:t>45</w:t>
        </w:r>
        <w:r w:rsidR="00AB34E9">
          <w:rPr>
            <w:noProof/>
            <w:webHidden/>
          </w:rPr>
          <w:fldChar w:fldCharType="end"/>
        </w:r>
      </w:hyperlink>
    </w:p>
    <w:p w14:paraId="4B548B4E" w14:textId="77777777" w:rsidR="00AB34E9" w:rsidRDefault="003E5D5A">
      <w:pPr>
        <w:pStyle w:val="TOC4"/>
        <w:tabs>
          <w:tab w:val="right" w:leader="dot" w:pos="9620"/>
        </w:tabs>
        <w:rPr>
          <w:rFonts w:eastAsiaTheme="minorEastAsia" w:cstheme="minorBidi"/>
          <w:noProof/>
          <w:sz w:val="22"/>
          <w:szCs w:val="22"/>
        </w:rPr>
      </w:pPr>
      <w:hyperlink w:anchor="_Toc150896500" w:history="1">
        <w:r w:rsidR="00AB34E9" w:rsidRPr="00D5508D">
          <w:rPr>
            <w:rStyle w:val="Hyperlink"/>
            <w:noProof/>
            <w:lang w:val="sq-AL"/>
          </w:rPr>
          <w:t>Objektivi specifik/strategjik B.1: Konsolidimi i proçesit të decentralizmit të shërbimeve të kujdesit social për financim të qëndrueshëm dhe të përgjegjshëm gjinor, mbulim gjeografik, aksesueshmëri dhe që i përgjigjen krizave dhe emergjencave.</w:t>
        </w:r>
        <w:r w:rsidR="00AB34E9">
          <w:rPr>
            <w:noProof/>
            <w:webHidden/>
          </w:rPr>
          <w:tab/>
        </w:r>
        <w:r w:rsidR="00AB34E9">
          <w:rPr>
            <w:noProof/>
            <w:webHidden/>
          </w:rPr>
          <w:fldChar w:fldCharType="begin"/>
        </w:r>
        <w:r w:rsidR="00AB34E9">
          <w:rPr>
            <w:noProof/>
            <w:webHidden/>
          </w:rPr>
          <w:instrText xml:space="preserve"> PAGEREF _Toc150896500 \h </w:instrText>
        </w:r>
        <w:r w:rsidR="00AB34E9">
          <w:rPr>
            <w:noProof/>
            <w:webHidden/>
          </w:rPr>
        </w:r>
        <w:r w:rsidR="00AB34E9">
          <w:rPr>
            <w:noProof/>
            <w:webHidden/>
          </w:rPr>
          <w:fldChar w:fldCharType="separate"/>
        </w:r>
        <w:r w:rsidR="00AB34E9">
          <w:rPr>
            <w:noProof/>
            <w:webHidden/>
          </w:rPr>
          <w:t>45</w:t>
        </w:r>
        <w:r w:rsidR="00AB34E9">
          <w:rPr>
            <w:noProof/>
            <w:webHidden/>
          </w:rPr>
          <w:fldChar w:fldCharType="end"/>
        </w:r>
      </w:hyperlink>
    </w:p>
    <w:p w14:paraId="05710249" w14:textId="77777777" w:rsidR="00AB34E9" w:rsidRDefault="003E5D5A">
      <w:pPr>
        <w:pStyle w:val="TOC4"/>
        <w:tabs>
          <w:tab w:val="right" w:leader="dot" w:pos="9620"/>
        </w:tabs>
        <w:rPr>
          <w:rFonts w:eastAsiaTheme="minorEastAsia" w:cstheme="minorBidi"/>
          <w:noProof/>
          <w:sz w:val="22"/>
          <w:szCs w:val="22"/>
        </w:rPr>
      </w:pPr>
      <w:hyperlink w:anchor="_Toc150896501" w:history="1">
        <w:r w:rsidR="00AB34E9" w:rsidRPr="00D5508D">
          <w:rPr>
            <w:rStyle w:val="Hyperlink"/>
            <w:noProof/>
            <w:lang w:val="sq-AL"/>
          </w:rPr>
          <w:t>Objektivi specifik/strategjik B.2: Zbatimi i standardeve dhe forcimi i kapaciteteve njerëzore të personelit të shërbimeve të kujdesit social për shërbime efektive dhe të përgjegjshme gjinore.</w:t>
        </w:r>
        <w:r w:rsidR="00AB34E9">
          <w:rPr>
            <w:noProof/>
            <w:webHidden/>
          </w:rPr>
          <w:tab/>
        </w:r>
        <w:r w:rsidR="00AB34E9">
          <w:rPr>
            <w:noProof/>
            <w:webHidden/>
          </w:rPr>
          <w:fldChar w:fldCharType="begin"/>
        </w:r>
        <w:r w:rsidR="00AB34E9">
          <w:rPr>
            <w:noProof/>
            <w:webHidden/>
          </w:rPr>
          <w:instrText xml:space="preserve"> PAGEREF _Toc150896501 \h </w:instrText>
        </w:r>
        <w:r w:rsidR="00AB34E9">
          <w:rPr>
            <w:noProof/>
            <w:webHidden/>
          </w:rPr>
        </w:r>
        <w:r w:rsidR="00AB34E9">
          <w:rPr>
            <w:noProof/>
            <w:webHidden/>
          </w:rPr>
          <w:fldChar w:fldCharType="separate"/>
        </w:r>
        <w:r w:rsidR="00AB34E9">
          <w:rPr>
            <w:noProof/>
            <w:webHidden/>
          </w:rPr>
          <w:t>45</w:t>
        </w:r>
        <w:r w:rsidR="00AB34E9">
          <w:rPr>
            <w:noProof/>
            <w:webHidden/>
          </w:rPr>
          <w:fldChar w:fldCharType="end"/>
        </w:r>
      </w:hyperlink>
    </w:p>
    <w:p w14:paraId="5B7160EB" w14:textId="77777777" w:rsidR="00AB34E9" w:rsidRDefault="003E5D5A">
      <w:pPr>
        <w:pStyle w:val="TOC4"/>
        <w:tabs>
          <w:tab w:val="right" w:leader="dot" w:pos="9620"/>
        </w:tabs>
        <w:rPr>
          <w:rFonts w:eastAsiaTheme="minorEastAsia" w:cstheme="minorBidi"/>
          <w:noProof/>
          <w:sz w:val="22"/>
          <w:szCs w:val="22"/>
        </w:rPr>
      </w:pPr>
      <w:hyperlink w:anchor="_Toc150896502" w:history="1">
        <w:r w:rsidR="00AB34E9" w:rsidRPr="00D5508D">
          <w:rPr>
            <w:rStyle w:val="Hyperlink"/>
            <w:noProof/>
            <w:lang w:val="sq-AL"/>
          </w:rPr>
          <w:t>Objektivi specifik/strategjik B.3: Deinstitucionalizmi i shërbimeve të kujdesit rezidencial dhe zhvillimi i shërbimeve në familje, komunitare dhe ditore duke respektuar parimin e të drejtave dhe lentet gjinore.</w:t>
        </w:r>
        <w:r w:rsidR="00AB34E9">
          <w:rPr>
            <w:noProof/>
            <w:webHidden/>
          </w:rPr>
          <w:tab/>
        </w:r>
        <w:r w:rsidR="00AB34E9">
          <w:rPr>
            <w:noProof/>
            <w:webHidden/>
          </w:rPr>
          <w:fldChar w:fldCharType="begin"/>
        </w:r>
        <w:r w:rsidR="00AB34E9">
          <w:rPr>
            <w:noProof/>
            <w:webHidden/>
          </w:rPr>
          <w:instrText xml:space="preserve"> PAGEREF _Toc150896502 \h </w:instrText>
        </w:r>
        <w:r w:rsidR="00AB34E9">
          <w:rPr>
            <w:noProof/>
            <w:webHidden/>
          </w:rPr>
        </w:r>
        <w:r w:rsidR="00AB34E9">
          <w:rPr>
            <w:noProof/>
            <w:webHidden/>
          </w:rPr>
          <w:fldChar w:fldCharType="separate"/>
        </w:r>
        <w:r w:rsidR="00AB34E9">
          <w:rPr>
            <w:noProof/>
            <w:webHidden/>
          </w:rPr>
          <w:t>45</w:t>
        </w:r>
        <w:r w:rsidR="00AB34E9">
          <w:rPr>
            <w:noProof/>
            <w:webHidden/>
          </w:rPr>
          <w:fldChar w:fldCharType="end"/>
        </w:r>
      </w:hyperlink>
    </w:p>
    <w:p w14:paraId="279FEC44" w14:textId="77777777" w:rsidR="00AB34E9" w:rsidRDefault="003E5D5A">
      <w:pPr>
        <w:pStyle w:val="TOC1"/>
        <w:tabs>
          <w:tab w:val="left" w:pos="660"/>
          <w:tab w:val="right" w:leader="dot" w:pos="9620"/>
        </w:tabs>
        <w:rPr>
          <w:rFonts w:eastAsiaTheme="minorEastAsia" w:cstheme="minorBidi"/>
          <w:b w:val="0"/>
          <w:bCs w:val="0"/>
          <w:caps w:val="0"/>
          <w:noProof/>
          <w:sz w:val="22"/>
          <w:szCs w:val="22"/>
        </w:rPr>
      </w:pPr>
      <w:hyperlink w:anchor="_Toc150896503" w:history="1">
        <w:r w:rsidR="00AB34E9" w:rsidRPr="00D5508D">
          <w:rPr>
            <w:rStyle w:val="Hyperlink"/>
            <w:noProof/>
            <w:lang w:val="sq-AL"/>
          </w:rPr>
          <w:t>IV.</w:t>
        </w:r>
        <w:r w:rsidR="00AB34E9">
          <w:rPr>
            <w:rFonts w:eastAsiaTheme="minorEastAsia" w:cstheme="minorBidi"/>
            <w:b w:val="0"/>
            <w:bCs w:val="0"/>
            <w:caps w:val="0"/>
            <w:noProof/>
            <w:sz w:val="22"/>
            <w:szCs w:val="22"/>
          </w:rPr>
          <w:tab/>
        </w:r>
        <w:r w:rsidR="00AB34E9" w:rsidRPr="00D5508D">
          <w:rPr>
            <w:rStyle w:val="Hyperlink"/>
            <w:noProof/>
            <w:lang w:val="sq-AL"/>
          </w:rPr>
          <w:t xml:space="preserve">Llogaridhënia, monitorimi </w:t>
        </w:r>
        <w:r w:rsidR="00AB34E9" w:rsidRPr="00D5508D">
          <w:rPr>
            <w:rStyle w:val="Hyperlink"/>
            <w:noProof/>
          </w:rPr>
          <w:t>dhe</w:t>
        </w:r>
        <w:r w:rsidR="00AB34E9" w:rsidRPr="00D5508D">
          <w:rPr>
            <w:rStyle w:val="Hyperlink"/>
            <w:noProof/>
            <w:lang w:val="sq-AL"/>
          </w:rPr>
          <w:t xml:space="preserve"> analizat vlerësuese</w:t>
        </w:r>
        <w:r w:rsidR="00AB34E9">
          <w:rPr>
            <w:noProof/>
            <w:webHidden/>
          </w:rPr>
          <w:tab/>
        </w:r>
        <w:r w:rsidR="00AB34E9">
          <w:rPr>
            <w:noProof/>
            <w:webHidden/>
          </w:rPr>
          <w:fldChar w:fldCharType="begin"/>
        </w:r>
        <w:r w:rsidR="00AB34E9">
          <w:rPr>
            <w:noProof/>
            <w:webHidden/>
          </w:rPr>
          <w:instrText xml:space="preserve"> PAGEREF _Toc150896503 \h </w:instrText>
        </w:r>
        <w:r w:rsidR="00AB34E9">
          <w:rPr>
            <w:noProof/>
            <w:webHidden/>
          </w:rPr>
        </w:r>
        <w:r w:rsidR="00AB34E9">
          <w:rPr>
            <w:noProof/>
            <w:webHidden/>
          </w:rPr>
          <w:fldChar w:fldCharType="separate"/>
        </w:r>
        <w:r w:rsidR="00AB34E9">
          <w:rPr>
            <w:noProof/>
            <w:webHidden/>
          </w:rPr>
          <w:t>50</w:t>
        </w:r>
        <w:r w:rsidR="00AB34E9">
          <w:rPr>
            <w:noProof/>
            <w:webHidden/>
          </w:rPr>
          <w:fldChar w:fldCharType="end"/>
        </w:r>
      </w:hyperlink>
    </w:p>
    <w:p w14:paraId="3D37BED3" w14:textId="77777777" w:rsidR="00AB34E9" w:rsidRDefault="003E5D5A">
      <w:pPr>
        <w:pStyle w:val="TOC1"/>
        <w:tabs>
          <w:tab w:val="left" w:pos="440"/>
          <w:tab w:val="right" w:leader="dot" w:pos="9620"/>
        </w:tabs>
        <w:rPr>
          <w:rFonts w:eastAsiaTheme="minorEastAsia" w:cstheme="minorBidi"/>
          <w:b w:val="0"/>
          <w:bCs w:val="0"/>
          <w:caps w:val="0"/>
          <w:noProof/>
          <w:sz w:val="22"/>
          <w:szCs w:val="22"/>
        </w:rPr>
      </w:pPr>
      <w:hyperlink w:anchor="_Toc150896504" w:history="1">
        <w:r w:rsidR="00AB34E9" w:rsidRPr="00D5508D">
          <w:rPr>
            <w:rStyle w:val="Hyperlink"/>
            <w:noProof/>
            <w:lang w:val="sq-AL"/>
          </w:rPr>
          <w:t>V.</w:t>
        </w:r>
        <w:r w:rsidR="00AB34E9">
          <w:rPr>
            <w:rFonts w:eastAsiaTheme="minorEastAsia" w:cstheme="minorBidi"/>
            <w:b w:val="0"/>
            <w:bCs w:val="0"/>
            <w:caps w:val="0"/>
            <w:noProof/>
            <w:sz w:val="22"/>
            <w:szCs w:val="22"/>
          </w:rPr>
          <w:tab/>
        </w:r>
        <w:r w:rsidR="00AB34E9" w:rsidRPr="00D5508D">
          <w:rPr>
            <w:rStyle w:val="Hyperlink"/>
            <w:noProof/>
            <w:lang w:val="sq-AL"/>
          </w:rPr>
          <w:t>Monitorimi dhe Vlerësimi</w:t>
        </w:r>
        <w:r w:rsidR="00AB34E9">
          <w:rPr>
            <w:noProof/>
            <w:webHidden/>
          </w:rPr>
          <w:tab/>
        </w:r>
        <w:r w:rsidR="00AB34E9">
          <w:rPr>
            <w:noProof/>
            <w:webHidden/>
          </w:rPr>
          <w:fldChar w:fldCharType="begin"/>
        </w:r>
        <w:r w:rsidR="00AB34E9">
          <w:rPr>
            <w:noProof/>
            <w:webHidden/>
          </w:rPr>
          <w:instrText xml:space="preserve"> PAGEREF _Toc150896504 \h </w:instrText>
        </w:r>
        <w:r w:rsidR="00AB34E9">
          <w:rPr>
            <w:noProof/>
            <w:webHidden/>
          </w:rPr>
        </w:r>
        <w:r w:rsidR="00AB34E9">
          <w:rPr>
            <w:noProof/>
            <w:webHidden/>
          </w:rPr>
          <w:fldChar w:fldCharType="separate"/>
        </w:r>
        <w:r w:rsidR="00AB34E9">
          <w:rPr>
            <w:noProof/>
            <w:webHidden/>
          </w:rPr>
          <w:t>51</w:t>
        </w:r>
        <w:r w:rsidR="00AB34E9">
          <w:rPr>
            <w:noProof/>
            <w:webHidden/>
          </w:rPr>
          <w:fldChar w:fldCharType="end"/>
        </w:r>
      </w:hyperlink>
    </w:p>
    <w:p w14:paraId="1EA0817E" w14:textId="77777777" w:rsidR="00AB34E9" w:rsidRDefault="003E5D5A">
      <w:pPr>
        <w:pStyle w:val="TOC1"/>
        <w:tabs>
          <w:tab w:val="left" w:pos="660"/>
          <w:tab w:val="right" w:leader="dot" w:pos="9620"/>
        </w:tabs>
        <w:rPr>
          <w:rFonts w:eastAsiaTheme="minorEastAsia" w:cstheme="minorBidi"/>
          <w:b w:val="0"/>
          <w:bCs w:val="0"/>
          <w:caps w:val="0"/>
          <w:noProof/>
          <w:sz w:val="22"/>
          <w:szCs w:val="22"/>
        </w:rPr>
      </w:pPr>
      <w:hyperlink w:anchor="_Toc150896505" w:history="1">
        <w:r w:rsidR="00AB34E9" w:rsidRPr="00D5508D">
          <w:rPr>
            <w:rStyle w:val="Hyperlink"/>
            <w:noProof/>
            <w:lang w:val="sq-AL"/>
          </w:rPr>
          <w:t>VI.</w:t>
        </w:r>
        <w:r w:rsidR="00AB34E9">
          <w:rPr>
            <w:rFonts w:eastAsiaTheme="minorEastAsia" w:cstheme="minorBidi"/>
            <w:b w:val="0"/>
            <w:bCs w:val="0"/>
            <w:caps w:val="0"/>
            <w:noProof/>
            <w:sz w:val="22"/>
            <w:szCs w:val="22"/>
          </w:rPr>
          <w:tab/>
        </w:r>
        <w:r w:rsidR="00AB34E9" w:rsidRPr="00D5508D">
          <w:rPr>
            <w:rStyle w:val="Hyperlink"/>
            <w:noProof/>
            <w:lang w:val="sq-AL"/>
          </w:rPr>
          <w:t xml:space="preserve">Burimet financiare për zbatimin e </w:t>
        </w:r>
        <w:r w:rsidR="00AB34E9" w:rsidRPr="00D5508D">
          <w:rPr>
            <w:rStyle w:val="Hyperlink"/>
            <w:noProof/>
          </w:rPr>
          <w:t>Strategjisë</w:t>
        </w:r>
        <w:r w:rsidR="00AB34E9">
          <w:rPr>
            <w:noProof/>
            <w:webHidden/>
          </w:rPr>
          <w:tab/>
        </w:r>
        <w:r w:rsidR="00AB34E9">
          <w:rPr>
            <w:noProof/>
            <w:webHidden/>
          </w:rPr>
          <w:fldChar w:fldCharType="begin"/>
        </w:r>
        <w:r w:rsidR="00AB34E9">
          <w:rPr>
            <w:noProof/>
            <w:webHidden/>
          </w:rPr>
          <w:instrText xml:space="preserve"> PAGEREF _Toc150896505 \h </w:instrText>
        </w:r>
        <w:r w:rsidR="00AB34E9">
          <w:rPr>
            <w:noProof/>
            <w:webHidden/>
          </w:rPr>
        </w:r>
        <w:r w:rsidR="00AB34E9">
          <w:rPr>
            <w:noProof/>
            <w:webHidden/>
          </w:rPr>
          <w:fldChar w:fldCharType="separate"/>
        </w:r>
        <w:r w:rsidR="00AB34E9">
          <w:rPr>
            <w:noProof/>
            <w:webHidden/>
          </w:rPr>
          <w:t>53</w:t>
        </w:r>
        <w:r w:rsidR="00AB34E9">
          <w:rPr>
            <w:noProof/>
            <w:webHidden/>
          </w:rPr>
          <w:fldChar w:fldCharType="end"/>
        </w:r>
      </w:hyperlink>
    </w:p>
    <w:p w14:paraId="0E947447" w14:textId="77777777" w:rsidR="00AB34E9" w:rsidRDefault="003E5D5A">
      <w:pPr>
        <w:pStyle w:val="TOC1"/>
        <w:tabs>
          <w:tab w:val="left" w:pos="660"/>
          <w:tab w:val="right" w:leader="dot" w:pos="9620"/>
        </w:tabs>
        <w:rPr>
          <w:rFonts w:eastAsiaTheme="minorEastAsia" w:cstheme="minorBidi"/>
          <w:b w:val="0"/>
          <w:bCs w:val="0"/>
          <w:caps w:val="0"/>
          <w:noProof/>
          <w:sz w:val="22"/>
          <w:szCs w:val="22"/>
        </w:rPr>
      </w:pPr>
      <w:hyperlink w:anchor="_Toc150896506" w:history="1">
        <w:r w:rsidR="00AB34E9" w:rsidRPr="00D5508D">
          <w:rPr>
            <w:rStyle w:val="Hyperlink"/>
            <w:noProof/>
            <w:lang w:val="sq-AL"/>
          </w:rPr>
          <w:t>VII.</w:t>
        </w:r>
        <w:r w:rsidR="00AB34E9">
          <w:rPr>
            <w:rFonts w:eastAsiaTheme="minorEastAsia" w:cstheme="minorBidi"/>
            <w:b w:val="0"/>
            <w:bCs w:val="0"/>
            <w:caps w:val="0"/>
            <w:noProof/>
            <w:sz w:val="22"/>
            <w:szCs w:val="22"/>
          </w:rPr>
          <w:tab/>
        </w:r>
        <w:r w:rsidR="00AB34E9" w:rsidRPr="00D5508D">
          <w:rPr>
            <w:rStyle w:val="Hyperlink"/>
            <w:noProof/>
          </w:rPr>
          <w:t>Shtojcat</w:t>
        </w:r>
        <w:r w:rsidR="00AB34E9">
          <w:rPr>
            <w:noProof/>
            <w:webHidden/>
          </w:rPr>
          <w:tab/>
        </w:r>
        <w:r w:rsidR="00AB34E9">
          <w:rPr>
            <w:noProof/>
            <w:webHidden/>
          </w:rPr>
          <w:fldChar w:fldCharType="begin"/>
        </w:r>
        <w:r w:rsidR="00AB34E9">
          <w:rPr>
            <w:noProof/>
            <w:webHidden/>
          </w:rPr>
          <w:instrText xml:space="preserve"> PAGEREF _Toc150896506 \h </w:instrText>
        </w:r>
        <w:r w:rsidR="00AB34E9">
          <w:rPr>
            <w:noProof/>
            <w:webHidden/>
          </w:rPr>
        </w:r>
        <w:r w:rsidR="00AB34E9">
          <w:rPr>
            <w:noProof/>
            <w:webHidden/>
          </w:rPr>
          <w:fldChar w:fldCharType="separate"/>
        </w:r>
        <w:r w:rsidR="00AB34E9">
          <w:rPr>
            <w:noProof/>
            <w:webHidden/>
          </w:rPr>
          <w:t>54</w:t>
        </w:r>
        <w:r w:rsidR="00AB34E9">
          <w:rPr>
            <w:noProof/>
            <w:webHidden/>
          </w:rPr>
          <w:fldChar w:fldCharType="end"/>
        </w:r>
      </w:hyperlink>
    </w:p>
    <w:p w14:paraId="1A82322D" w14:textId="46B6C851" w:rsidR="00011153" w:rsidRPr="00C41665" w:rsidRDefault="00B5007E" w:rsidP="00C41665">
      <w:pPr>
        <w:rPr>
          <w:rFonts w:ascii="Times New Roman" w:hAnsi="Times New Roman"/>
          <w:b/>
          <w:bCs/>
          <w:color w:val="1F3763"/>
          <w:sz w:val="26"/>
          <w:szCs w:val="26"/>
          <w:lang w:eastAsia="sq-AL"/>
        </w:rPr>
      </w:pPr>
      <w:r>
        <w:rPr>
          <w:lang w:val="sq-AL"/>
        </w:rPr>
        <w:fldChar w:fldCharType="end"/>
      </w:r>
      <w:bookmarkStart w:id="0" w:name="_Toc139016978"/>
      <w:bookmarkStart w:id="1" w:name="_Toc150809609"/>
      <w:r w:rsidR="00011153" w:rsidRPr="00C41665">
        <w:rPr>
          <w:rFonts w:ascii="Times New Roman" w:hAnsi="Times New Roman"/>
          <w:b/>
          <w:bCs/>
          <w:color w:val="1F3763"/>
          <w:sz w:val="26"/>
          <w:szCs w:val="26"/>
          <w:lang w:eastAsia="sq-AL"/>
        </w:rPr>
        <w:t>SHKURTIMET</w:t>
      </w:r>
      <w:bookmarkEnd w:id="0"/>
      <w:bookmarkEnd w:id="1"/>
    </w:p>
    <w:p w14:paraId="482EE785" w14:textId="77777777" w:rsidR="00B5007E" w:rsidRPr="00862DC6" w:rsidRDefault="00B5007E" w:rsidP="00B5007E">
      <w:pPr>
        <w:keepNext/>
        <w:keepLines/>
        <w:spacing w:after="0" w:line="480" w:lineRule="auto"/>
        <w:outlineLvl w:val="2"/>
        <w:rPr>
          <w:rFonts w:ascii="Times New Roman" w:hAnsi="Times New Roman"/>
          <w:b/>
          <w:bCs/>
          <w:color w:val="1F3763"/>
          <w:sz w:val="24"/>
          <w:lang w:eastAsia="sq-AL"/>
        </w:rPr>
      </w:pPr>
    </w:p>
    <w:p w14:paraId="0FCB9B3A" w14:textId="474B8FC1" w:rsidR="00011153" w:rsidRPr="00817921" w:rsidRDefault="00011153" w:rsidP="00B5007E">
      <w:pPr>
        <w:autoSpaceDE w:val="0"/>
        <w:autoSpaceDN w:val="0"/>
        <w:adjustRightInd w:val="0"/>
        <w:spacing w:after="0" w:line="480" w:lineRule="auto"/>
        <w:rPr>
          <w:rFonts w:ascii="Times New Roman" w:hAnsi="Times New Roman"/>
          <w:color w:val="000000"/>
          <w:sz w:val="24"/>
          <w:lang w:eastAsia="sq-AL"/>
        </w:rPr>
      </w:pPr>
      <w:r w:rsidRPr="00817921">
        <w:rPr>
          <w:rFonts w:ascii="Times New Roman" w:hAnsi="Times New Roman"/>
          <w:color w:val="000000"/>
          <w:sz w:val="24"/>
          <w:lang w:eastAsia="sq-AL"/>
        </w:rPr>
        <w:t>BE</w:t>
      </w:r>
      <w:r w:rsidRPr="00817921">
        <w:rPr>
          <w:rFonts w:ascii="Times New Roman" w:hAnsi="Times New Roman"/>
          <w:color w:val="000000"/>
          <w:sz w:val="24"/>
          <w:lang w:eastAsia="sq-AL"/>
        </w:rPr>
        <w:tab/>
      </w:r>
      <w:r w:rsidRPr="00817921">
        <w:rPr>
          <w:rFonts w:ascii="Times New Roman" w:hAnsi="Times New Roman"/>
          <w:color w:val="000000"/>
          <w:sz w:val="24"/>
          <w:lang w:eastAsia="sq-AL"/>
        </w:rPr>
        <w:tab/>
      </w:r>
      <w:r w:rsidRPr="00817921">
        <w:rPr>
          <w:rFonts w:ascii="Times New Roman" w:hAnsi="Times New Roman"/>
          <w:color w:val="000000"/>
          <w:sz w:val="24"/>
          <w:lang w:eastAsia="sq-AL"/>
        </w:rPr>
        <w:tab/>
        <w:t xml:space="preserve">Bashkimi </w:t>
      </w:r>
      <w:proofErr w:type="spellStart"/>
      <w:r w:rsidRPr="00817921">
        <w:rPr>
          <w:rFonts w:ascii="Times New Roman" w:hAnsi="Times New Roman"/>
          <w:color w:val="000000"/>
          <w:sz w:val="24"/>
          <w:lang w:eastAsia="sq-AL"/>
        </w:rPr>
        <w:t>Evropian</w:t>
      </w:r>
      <w:proofErr w:type="spellEnd"/>
    </w:p>
    <w:p w14:paraId="110EC05D" w14:textId="77777777" w:rsidR="00011153" w:rsidRPr="00862DC6" w:rsidRDefault="00011153" w:rsidP="00B5007E">
      <w:pPr>
        <w:autoSpaceDE w:val="0"/>
        <w:autoSpaceDN w:val="0"/>
        <w:adjustRightInd w:val="0"/>
        <w:spacing w:after="0" w:line="480" w:lineRule="auto"/>
        <w:rPr>
          <w:rFonts w:ascii="Times New Roman" w:hAnsi="Times New Roman"/>
          <w:bCs/>
          <w:color w:val="000000"/>
          <w:sz w:val="24"/>
          <w:lang w:eastAsia="sq-AL"/>
        </w:rPr>
      </w:pPr>
      <w:r w:rsidRPr="00862DC6">
        <w:rPr>
          <w:rFonts w:ascii="Times New Roman" w:hAnsi="Times New Roman"/>
          <w:bCs/>
          <w:color w:val="000000"/>
          <w:sz w:val="24"/>
          <w:lang w:eastAsia="sq-AL"/>
        </w:rPr>
        <w:t>MSHMS</w:t>
      </w:r>
      <w:r w:rsidRPr="00862DC6">
        <w:rPr>
          <w:rFonts w:ascii="Times New Roman" w:hAnsi="Times New Roman"/>
          <w:bCs/>
          <w:color w:val="000000"/>
          <w:sz w:val="24"/>
          <w:lang w:eastAsia="sq-AL"/>
        </w:rPr>
        <w:tab/>
      </w:r>
      <w:r w:rsidRPr="00862DC6">
        <w:rPr>
          <w:rFonts w:ascii="Times New Roman" w:hAnsi="Times New Roman"/>
          <w:bCs/>
          <w:color w:val="000000"/>
          <w:sz w:val="24"/>
          <w:lang w:eastAsia="sq-AL"/>
        </w:rPr>
        <w:tab/>
        <w:t xml:space="preserve">Ministria e </w:t>
      </w:r>
      <w:proofErr w:type="spellStart"/>
      <w:r w:rsidRPr="00862DC6">
        <w:rPr>
          <w:rFonts w:ascii="Times New Roman" w:hAnsi="Times New Roman"/>
          <w:bCs/>
          <w:color w:val="000000"/>
          <w:sz w:val="24"/>
          <w:lang w:eastAsia="sq-AL"/>
        </w:rPr>
        <w:t>Sh</w:t>
      </w:r>
      <w:r>
        <w:rPr>
          <w:rFonts w:ascii="Times New Roman" w:hAnsi="Times New Roman"/>
          <w:bCs/>
          <w:color w:val="000000"/>
          <w:sz w:val="24"/>
          <w:lang w:eastAsia="sq-AL"/>
        </w:rPr>
        <w:t>ë</w:t>
      </w:r>
      <w:r w:rsidRPr="00862DC6">
        <w:rPr>
          <w:rFonts w:ascii="Times New Roman" w:hAnsi="Times New Roman"/>
          <w:bCs/>
          <w:color w:val="000000"/>
          <w:sz w:val="24"/>
          <w:lang w:eastAsia="sq-AL"/>
        </w:rPr>
        <w:t>ndet</w:t>
      </w:r>
      <w:r>
        <w:rPr>
          <w:rFonts w:ascii="Times New Roman" w:hAnsi="Times New Roman"/>
          <w:bCs/>
          <w:color w:val="000000"/>
          <w:sz w:val="24"/>
          <w:lang w:eastAsia="sq-AL"/>
        </w:rPr>
        <w:t>ë</w:t>
      </w:r>
      <w:r w:rsidRPr="00862DC6">
        <w:rPr>
          <w:rFonts w:ascii="Times New Roman" w:hAnsi="Times New Roman"/>
          <w:bCs/>
          <w:color w:val="000000"/>
          <w:sz w:val="24"/>
          <w:lang w:eastAsia="sq-AL"/>
        </w:rPr>
        <w:t>sisë</w:t>
      </w:r>
      <w:proofErr w:type="spellEnd"/>
      <w:r w:rsidRPr="00862DC6">
        <w:rPr>
          <w:rFonts w:ascii="Times New Roman" w:hAnsi="Times New Roman"/>
          <w:bCs/>
          <w:color w:val="000000"/>
          <w:sz w:val="24"/>
          <w:lang w:eastAsia="sq-AL"/>
        </w:rPr>
        <w:t xml:space="preserve"> dhe </w:t>
      </w:r>
      <w:proofErr w:type="spellStart"/>
      <w:r w:rsidRPr="00862DC6">
        <w:rPr>
          <w:rFonts w:ascii="Times New Roman" w:hAnsi="Times New Roman"/>
          <w:bCs/>
          <w:color w:val="000000"/>
          <w:sz w:val="24"/>
          <w:lang w:eastAsia="sq-AL"/>
        </w:rPr>
        <w:t>Mbrojtjes</w:t>
      </w:r>
      <w:proofErr w:type="spellEnd"/>
      <w:r w:rsidRPr="00862DC6">
        <w:rPr>
          <w:rFonts w:ascii="Times New Roman" w:hAnsi="Times New Roman"/>
          <w:bCs/>
          <w:color w:val="000000"/>
          <w:sz w:val="24"/>
          <w:lang w:eastAsia="sq-AL"/>
        </w:rPr>
        <w:t xml:space="preserve"> Sociale</w:t>
      </w:r>
    </w:p>
    <w:p w14:paraId="7DF65D6A" w14:textId="77777777" w:rsidR="00011153" w:rsidRPr="00862DC6" w:rsidRDefault="00011153" w:rsidP="00B5007E">
      <w:pPr>
        <w:autoSpaceDE w:val="0"/>
        <w:autoSpaceDN w:val="0"/>
        <w:adjustRightInd w:val="0"/>
        <w:spacing w:after="0" w:line="480" w:lineRule="auto"/>
        <w:rPr>
          <w:rFonts w:ascii="Times New Roman" w:hAnsi="Times New Roman"/>
          <w:bCs/>
          <w:color w:val="000000"/>
          <w:sz w:val="24"/>
          <w:lang w:eastAsia="sq-AL"/>
        </w:rPr>
      </w:pPr>
      <w:r w:rsidRPr="00862DC6">
        <w:rPr>
          <w:rFonts w:ascii="Times New Roman" w:hAnsi="Times New Roman"/>
          <w:bCs/>
          <w:color w:val="000000"/>
          <w:sz w:val="24"/>
          <w:lang w:eastAsia="sq-AL"/>
        </w:rPr>
        <w:t>MFE</w:t>
      </w:r>
      <w:r w:rsidRPr="00862DC6">
        <w:rPr>
          <w:rFonts w:ascii="Times New Roman" w:hAnsi="Times New Roman"/>
          <w:bCs/>
          <w:color w:val="000000"/>
          <w:sz w:val="24"/>
          <w:lang w:eastAsia="sq-AL"/>
        </w:rPr>
        <w:tab/>
      </w:r>
      <w:r w:rsidRPr="00862DC6">
        <w:rPr>
          <w:rFonts w:ascii="Times New Roman" w:hAnsi="Times New Roman"/>
          <w:bCs/>
          <w:color w:val="000000"/>
          <w:sz w:val="24"/>
          <w:lang w:eastAsia="sq-AL"/>
        </w:rPr>
        <w:tab/>
      </w:r>
      <w:r w:rsidRPr="00862DC6">
        <w:rPr>
          <w:rFonts w:ascii="Times New Roman" w:hAnsi="Times New Roman"/>
          <w:bCs/>
          <w:color w:val="000000"/>
          <w:sz w:val="24"/>
          <w:lang w:eastAsia="sq-AL"/>
        </w:rPr>
        <w:tab/>
        <w:t xml:space="preserve">Ministria e </w:t>
      </w:r>
      <w:proofErr w:type="spellStart"/>
      <w:r w:rsidRPr="00862DC6">
        <w:rPr>
          <w:rFonts w:ascii="Times New Roman" w:hAnsi="Times New Roman"/>
          <w:bCs/>
          <w:color w:val="000000"/>
          <w:sz w:val="24"/>
          <w:lang w:eastAsia="sq-AL"/>
        </w:rPr>
        <w:t>Financave</w:t>
      </w:r>
      <w:proofErr w:type="spellEnd"/>
      <w:r w:rsidRPr="00862DC6">
        <w:rPr>
          <w:rFonts w:ascii="Times New Roman" w:hAnsi="Times New Roman"/>
          <w:bCs/>
          <w:color w:val="000000"/>
          <w:sz w:val="24"/>
          <w:lang w:eastAsia="sq-AL"/>
        </w:rPr>
        <w:t xml:space="preserve"> dhe </w:t>
      </w:r>
      <w:proofErr w:type="spellStart"/>
      <w:r w:rsidRPr="00862DC6">
        <w:rPr>
          <w:rFonts w:ascii="Times New Roman" w:hAnsi="Times New Roman"/>
          <w:bCs/>
          <w:color w:val="000000"/>
          <w:sz w:val="24"/>
          <w:lang w:eastAsia="sq-AL"/>
        </w:rPr>
        <w:t>Ekonomis</w:t>
      </w:r>
      <w:r>
        <w:rPr>
          <w:rFonts w:ascii="Times New Roman" w:hAnsi="Times New Roman"/>
          <w:bCs/>
          <w:color w:val="000000"/>
          <w:sz w:val="24"/>
          <w:lang w:eastAsia="sq-AL"/>
        </w:rPr>
        <w:t>ë</w:t>
      </w:r>
      <w:proofErr w:type="spellEnd"/>
    </w:p>
    <w:p w14:paraId="6F6A9D19" w14:textId="77777777" w:rsidR="00011153" w:rsidRPr="00862DC6" w:rsidRDefault="00011153" w:rsidP="00B5007E">
      <w:pPr>
        <w:autoSpaceDE w:val="0"/>
        <w:autoSpaceDN w:val="0"/>
        <w:adjustRightInd w:val="0"/>
        <w:spacing w:after="0" w:line="480" w:lineRule="auto"/>
        <w:rPr>
          <w:rFonts w:ascii="Times New Roman" w:hAnsi="Times New Roman"/>
          <w:bCs/>
          <w:color w:val="000000"/>
          <w:sz w:val="24"/>
          <w:lang w:eastAsia="sq-AL"/>
        </w:rPr>
      </w:pPr>
      <w:r w:rsidRPr="00862DC6">
        <w:rPr>
          <w:rFonts w:ascii="Times New Roman" w:hAnsi="Times New Roman"/>
          <w:bCs/>
          <w:color w:val="000000"/>
          <w:sz w:val="24"/>
          <w:lang w:eastAsia="sq-AL"/>
        </w:rPr>
        <w:t>SHSSH</w:t>
      </w:r>
      <w:r w:rsidRPr="00862DC6">
        <w:rPr>
          <w:rFonts w:ascii="Times New Roman" w:hAnsi="Times New Roman"/>
          <w:bCs/>
          <w:color w:val="000000"/>
          <w:sz w:val="24"/>
          <w:lang w:eastAsia="sq-AL"/>
        </w:rPr>
        <w:tab/>
      </w:r>
      <w:r w:rsidRPr="00862DC6">
        <w:rPr>
          <w:rFonts w:ascii="Times New Roman" w:hAnsi="Times New Roman"/>
          <w:bCs/>
          <w:color w:val="000000"/>
          <w:sz w:val="24"/>
          <w:lang w:eastAsia="sq-AL"/>
        </w:rPr>
        <w:tab/>
      </w:r>
      <w:proofErr w:type="spellStart"/>
      <w:r w:rsidRPr="00862DC6">
        <w:rPr>
          <w:rFonts w:ascii="Times New Roman" w:hAnsi="Times New Roman"/>
          <w:bCs/>
          <w:color w:val="000000"/>
          <w:sz w:val="24"/>
          <w:lang w:eastAsia="sq-AL"/>
        </w:rPr>
        <w:t>Sh</w:t>
      </w:r>
      <w:r>
        <w:rPr>
          <w:rFonts w:ascii="Times New Roman" w:hAnsi="Times New Roman"/>
          <w:bCs/>
          <w:color w:val="000000"/>
          <w:sz w:val="24"/>
          <w:lang w:eastAsia="sq-AL"/>
        </w:rPr>
        <w:t>ë</w:t>
      </w:r>
      <w:r w:rsidRPr="00862DC6">
        <w:rPr>
          <w:rFonts w:ascii="Times New Roman" w:hAnsi="Times New Roman"/>
          <w:bCs/>
          <w:color w:val="000000"/>
          <w:sz w:val="24"/>
          <w:lang w:eastAsia="sq-AL"/>
        </w:rPr>
        <w:t>rbimi</w:t>
      </w:r>
      <w:proofErr w:type="spellEnd"/>
      <w:r w:rsidRPr="00862DC6">
        <w:rPr>
          <w:rFonts w:ascii="Times New Roman" w:hAnsi="Times New Roman"/>
          <w:bCs/>
          <w:color w:val="000000"/>
          <w:sz w:val="24"/>
          <w:lang w:eastAsia="sq-AL"/>
        </w:rPr>
        <w:t xml:space="preserve"> Social </w:t>
      </w:r>
      <w:proofErr w:type="spellStart"/>
      <w:r w:rsidRPr="00862DC6">
        <w:rPr>
          <w:rFonts w:ascii="Times New Roman" w:hAnsi="Times New Roman"/>
          <w:bCs/>
          <w:color w:val="000000"/>
          <w:sz w:val="24"/>
          <w:lang w:eastAsia="sq-AL"/>
        </w:rPr>
        <w:t>Shtet</w:t>
      </w:r>
      <w:r>
        <w:rPr>
          <w:rFonts w:ascii="Times New Roman" w:hAnsi="Times New Roman"/>
          <w:bCs/>
          <w:color w:val="000000"/>
          <w:sz w:val="24"/>
          <w:lang w:eastAsia="sq-AL"/>
        </w:rPr>
        <w:t>ë</w:t>
      </w:r>
      <w:r w:rsidRPr="00862DC6">
        <w:rPr>
          <w:rFonts w:ascii="Times New Roman" w:hAnsi="Times New Roman"/>
          <w:bCs/>
          <w:color w:val="000000"/>
          <w:sz w:val="24"/>
          <w:lang w:eastAsia="sq-AL"/>
        </w:rPr>
        <w:t>ror</w:t>
      </w:r>
      <w:proofErr w:type="spellEnd"/>
    </w:p>
    <w:p w14:paraId="6819B001" w14:textId="77777777" w:rsidR="00011153" w:rsidRDefault="00011153" w:rsidP="00B5007E">
      <w:pPr>
        <w:autoSpaceDE w:val="0"/>
        <w:autoSpaceDN w:val="0"/>
        <w:adjustRightInd w:val="0"/>
        <w:spacing w:after="0" w:line="480" w:lineRule="auto"/>
        <w:rPr>
          <w:rFonts w:ascii="Times New Roman" w:hAnsi="Times New Roman"/>
          <w:bCs/>
          <w:color w:val="000000"/>
          <w:sz w:val="24"/>
          <w:lang w:eastAsia="sq-AL"/>
        </w:rPr>
      </w:pPr>
      <w:r w:rsidRPr="00862DC6">
        <w:rPr>
          <w:rFonts w:ascii="Times New Roman" w:hAnsi="Times New Roman"/>
          <w:bCs/>
          <w:color w:val="000000"/>
          <w:sz w:val="24"/>
          <w:lang w:eastAsia="sq-AL"/>
        </w:rPr>
        <w:t>NJQV</w:t>
      </w:r>
      <w:r w:rsidRPr="00862DC6">
        <w:rPr>
          <w:rFonts w:ascii="Times New Roman" w:hAnsi="Times New Roman"/>
          <w:bCs/>
          <w:color w:val="000000"/>
          <w:sz w:val="24"/>
          <w:lang w:eastAsia="sq-AL"/>
        </w:rPr>
        <w:tab/>
      </w:r>
      <w:r w:rsidRPr="00862DC6">
        <w:rPr>
          <w:rFonts w:ascii="Times New Roman" w:hAnsi="Times New Roman"/>
          <w:bCs/>
          <w:color w:val="000000"/>
          <w:sz w:val="24"/>
          <w:lang w:eastAsia="sq-AL"/>
        </w:rPr>
        <w:tab/>
      </w:r>
      <w:r w:rsidRPr="00862DC6">
        <w:rPr>
          <w:rFonts w:ascii="Times New Roman" w:hAnsi="Times New Roman"/>
          <w:bCs/>
          <w:color w:val="000000"/>
          <w:sz w:val="24"/>
          <w:lang w:eastAsia="sq-AL"/>
        </w:rPr>
        <w:tab/>
      </w:r>
      <w:proofErr w:type="spellStart"/>
      <w:r w:rsidRPr="00862DC6">
        <w:rPr>
          <w:rFonts w:ascii="Times New Roman" w:hAnsi="Times New Roman"/>
          <w:bCs/>
          <w:color w:val="000000"/>
          <w:sz w:val="24"/>
          <w:lang w:eastAsia="sq-AL"/>
        </w:rPr>
        <w:t>Nj</w:t>
      </w:r>
      <w:r>
        <w:rPr>
          <w:rFonts w:ascii="Times New Roman" w:hAnsi="Times New Roman"/>
          <w:bCs/>
          <w:color w:val="000000"/>
          <w:sz w:val="24"/>
          <w:lang w:eastAsia="sq-AL"/>
        </w:rPr>
        <w:t>ë</w:t>
      </w:r>
      <w:r w:rsidRPr="00862DC6">
        <w:rPr>
          <w:rFonts w:ascii="Times New Roman" w:hAnsi="Times New Roman"/>
          <w:bCs/>
          <w:color w:val="000000"/>
          <w:sz w:val="24"/>
          <w:lang w:eastAsia="sq-AL"/>
        </w:rPr>
        <w:t>sit</w:t>
      </w:r>
      <w:r>
        <w:rPr>
          <w:rFonts w:ascii="Times New Roman" w:hAnsi="Times New Roman"/>
          <w:bCs/>
          <w:color w:val="000000"/>
          <w:sz w:val="24"/>
          <w:lang w:eastAsia="sq-AL"/>
        </w:rPr>
        <w:t>ë</w:t>
      </w:r>
      <w:proofErr w:type="spellEnd"/>
      <w:r w:rsidRPr="00862DC6">
        <w:rPr>
          <w:rFonts w:ascii="Times New Roman" w:hAnsi="Times New Roman"/>
          <w:bCs/>
          <w:color w:val="000000"/>
          <w:sz w:val="24"/>
          <w:lang w:eastAsia="sq-AL"/>
        </w:rPr>
        <w:t xml:space="preserve"> e Qeverisjes Vendore</w:t>
      </w:r>
    </w:p>
    <w:p w14:paraId="3C82142B" w14:textId="33DCB5B6" w:rsidR="00011153" w:rsidRDefault="00011153" w:rsidP="00B5007E">
      <w:pPr>
        <w:autoSpaceDE w:val="0"/>
        <w:autoSpaceDN w:val="0"/>
        <w:adjustRightInd w:val="0"/>
        <w:spacing w:after="0" w:line="480" w:lineRule="auto"/>
        <w:rPr>
          <w:rFonts w:ascii="Times New Roman" w:hAnsi="Times New Roman"/>
          <w:bCs/>
          <w:color w:val="000000"/>
          <w:sz w:val="24"/>
          <w:lang w:eastAsia="sq-AL"/>
        </w:rPr>
      </w:pPr>
      <w:r>
        <w:rPr>
          <w:rFonts w:ascii="Times New Roman" w:hAnsi="Times New Roman"/>
          <w:bCs/>
          <w:color w:val="000000"/>
          <w:sz w:val="24"/>
          <w:lang w:eastAsia="sq-AL"/>
        </w:rPr>
        <w:t xml:space="preserve">NJVNR                       Njësia e </w:t>
      </w:r>
      <w:proofErr w:type="spellStart"/>
      <w:r>
        <w:rPr>
          <w:rFonts w:ascii="Times New Roman" w:hAnsi="Times New Roman"/>
          <w:bCs/>
          <w:color w:val="000000"/>
          <w:sz w:val="24"/>
          <w:lang w:eastAsia="sq-AL"/>
        </w:rPr>
        <w:t>Vlerësimit</w:t>
      </w:r>
      <w:proofErr w:type="spellEnd"/>
      <w:r>
        <w:rPr>
          <w:rFonts w:ascii="Times New Roman" w:hAnsi="Times New Roman"/>
          <w:bCs/>
          <w:color w:val="000000"/>
          <w:sz w:val="24"/>
          <w:lang w:eastAsia="sq-AL"/>
        </w:rPr>
        <w:t xml:space="preserve"> të </w:t>
      </w:r>
      <w:proofErr w:type="spellStart"/>
      <w:r>
        <w:rPr>
          <w:rFonts w:ascii="Times New Roman" w:hAnsi="Times New Roman"/>
          <w:bCs/>
          <w:color w:val="000000"/>
          <w:sz w:val="24"/>
          <w:lang w:eastAsia="sq-AL"/>
        </w:rPr>
        <w:t>Nevojave</w:t>
      </w:r>
      <w:proofErr w:type="spellEnd"/>
      <w:r>
        <w:rPr>
          <w:rFonts w:ascii="Times New Roman" w:hAnsi="Times New Roman"/>
          <w:bCs/>
          <w:color w:val="000000"/>
          <w:sz w:val="24"/>
          <w:lang w:eastAsia="sq-AL"/>
        </w:rPr>
        <w:t xml:space="preserve"> </w:t>
      </w:r>
      <w:proofErr w:type="spellStart"/>
      <w:r>
        <w:rPr>
          <w:rFonts w:ascii="Times New Roman" w:hAnsi="Times New Roman"/>
          <w:bCs/>
          <w:color w:val="000000"/>
          <w:sz w:val="24"/>
          <w:lang w:eastAsia="sq-AL"/>
        </w:rPr>
        <w:t>Rajonale</w:t>
      </w:r>
      <w:proofErr w:type="spellEnd"/>
    </w:p>
    <w:p w14:paraId="3533D844" w14:textId="0228693E" w:rsidR="00C41665" w:rsidRPr="00862DC6" w:rsidRDefault="00C41665" w:rsidP="00B5007E">
      <w:pPr>
        <w:autoSpaceDE w:val="0"/>
        <w:autoSpaceDN w:val="0"/>
        <w:adjustRightInd w:val="0"/>
        <w:spacing w:after="0" w:line="480" w:lineRule="auto"/>
        <w:rPr>
          <w:rFonts w:ascii="Times New Roman" w:hAnsi="Times New Roman"/>
          <w:bCs/>
          <w:color w:val="000000"/>
          <w:sz w:val="24"/>
          <w:lang w:eastAsia="sq-AL"/>
        </w:rPr>
      </w:pPr>
      <w:r>
        <w:rPr>
          <w:rFonts w:ascii="Times New Roman" w:hAnsi="Times New Roman"/>
          <w:bCs/>
          <w:color w:val="000000"/>
          <w:sz w:val="24"/>
          <w:lang w:eastAsia="sq-AL"/>
        </w:rPr>
        <w:t xml:space="preserve">SKZHI </w:t>
      </w:r>
      <w:r>
        <w:rPr>
          <w:rFonts w:ascii="Times New Roman" w:hAnsi="Times New Roman"/>
          <w:bCs/>
          <w:color w:val="000000"/>
          <w:sz w:val="24"/>
          <w:lang w:eastAsia="sq-AL"/>
        </w:rPr>
        <w:tab/>
      </w:r>
      <w:r>
        <w:rPr>
          <w:rFonts w:ascii="Times New Roman" w:hAnsi="Times New Roman"/>
          <w:bCs/>
          <w:color w:val="000000"/>
          <w:sz w:val="24"/>
          <w:lang w:eastAsia="sq-AL"/>
        </w:rPr>
        <w:tab/>
      </w:r>
      <w:r w:rsidRPr="00817921">
        <w:rPr>
          <w:rFonts w:ascii="Times New Roman" w:hAnsi="Times New Roman" w:cs="Times New Roman"/>
          <w:szCs w:val="22"/>
          <w:lang w:val="sq-AL"/>
        </w:rPr>
        <w:t>Strategji</w:t>
      </w:r>
      <w:r>
        <w:rPr>
          <w:rFonts w:ascii="Times New Roman" w:hAnsi="Times New Roman" w:cs="Times New Roman"/>
          <w:szCs w:val="22"/>
          <w:lang w:val="sq-AL"/>
        </w:rPr>
        <w:t>a</w:t>
      </w:r>
      <w:r w:rsidRPr="00817921">
        <w:rPr>
          <w:rFonts w:ascii="Times New Roman" w:hAnsi="Times New Roman" w:cs="Times New Roman"/>
          <w:szCs w:val="22"/>
          <w:lang w:val="sq-AL"/>
        </w:rPr>
        <w:t xml:space="preserve"> Kombëtare për Zhvillim dhe Integrim</w:t>
      </w:r>
      <w:r>
        <w:rPr>
          <w:rFonts w:ascii="Times New Roman" w:hAnsi="Times New Roman" w:cs="Times New Roman"/>
          <w:szCs w:val="22"/>
          <w:lang w:val="sq-AL"/>
        </w:rPr>
        <w:t xml:space="preserve"> </w:t>
      </w:r>
    </w:p>
    <w:p w14:paraId="654C8E7C" w14:textId="77777777" w:rsidR="00011153" w:rsidRDefault="00011153" w:rsidP="00B5007E">
      <w:pPr>
        <w:autoSpaceDE w:val="0"/>
        <w:autoSpaceDN w:val="0"/>
        <w:adjustRightInd w:val="0"/>
        <w:spacing w:after="0" w:line="480" w:lineRule="auto"/>
        <w:rPr>
          <w:rFonts w:ascii="Times New Roman" w:hAnsi="Times New Roman"/>
          <w:bCs/>
          <w:color w:val="000000"/>
          <w:sz w:val="24"/>
          <w:lang w:eastAsia="sq-AL"/>
        </w:rPr>
      </w:pPr>
      <w:r w:rsidRPr="00862DC6">
        <w:rPr>
          <w:rFonts w:ascii="Times New Roman" w:hAnsi="Times New Roman"/>
          <w:bCs/>
          <w:color w:val="000000"/>
          <w:sz w:val="24"/>
          <w:lang w:eastAsia="sq-AL"/>
        </w:rPr>
        <w:t>SPSHS</w:t>
      </w:r>
      <w:r w:rsidRPr="00862DC6">
        <w:rPr>
          <w:rFonts w:ascii="Times New Roman" w:hAnsi="Times New Roman"/>
          <w:bCs/>
          <w:color w:val="000000"/>
          <w:sz w:val="24"/>
          <w:lang w:eastAsia="sq-AL"/>
        </w:rPr>
        <w:tab/>
      </w:r>
      <w:r w:rsidRPr="00862DC6">
        <w:rPr>
          <w:rFonts w:ascii="Times New Roman" w:hAnsi="Times New Roman"/>
          <w:bCs/>
          <w:color w:val="000000"/>
          <w:sz w:val="24"/>
          <w:lang w:eastAsia="sq-AL"/>
        </w:rPr>
        <w:tab/>
      </w:r>
      <w:r w:rsidRPr="00862DC6">
        <w:rPr>
          <w:rFonts w:ascii="Times New Roman" w:hAnsi="Times New Roman"/>
          <w:bCs/>
          <w:color w:val="000000"/>
          <w:sz w:val="24"/>
          <w:lang w:eastAsia="sq-AL"/>
        </w:rPr>
        <w:tab/>
      </w:r>
      <w:proofErr w:type="spellStart"/>
      <w:r w:rsidRPr="00862DC6">
        <w:rPr>
          <w:rFonts w:ascii="Times New Roman" w:hAnsi="Times New Roman"/>
          <w:bCs/>
          <w:color w:val="000000"/>
          <w:sz w:val="24"/>
          <w:lang w:eastAsia="sq-AL"/>
        </w:rPr>
        <w:t>Strukturat</w:t>
      </w:r>
      <w:proofErr w:type="spellEnd"/>
      <w:r w:rsidRPr="00862DC6">
        <w:rPr>
          <w:rFonts w:ascii="Times New Roman" w:hAnsi="Times New Roman"/>
          <w:bCs/>
          <w:color w:val="000000"/>
          <w:sz w:val="24"/>
          <w:lang w:eastAsia="sq-AL"/>
        </w:rPr>
        <w:t xml:space="preserve"> e </w:t>
      </w:r>
      <w:proofErr w:type="spellStart"/>
      <w:r w:rsidRPr="00862DC6">
        <w:rPr>
          <w:rFonts w:ascii="Times New Roman" w:hAnsi="Times New Roman"/>
          <w:bCs/>
          <w:color w:val="000000"/>
          <w:sz w:val="24"/>
          <w:lang w:eastAsia="sq-AL"/>
        </w:rPr>
        <w:t>posaçme</w:t>
      </w:r>
      <w:proofErr w:type="spellEnd"/>
      <w:r w:rsidRPr="00862DC6">
        <w:rPr>
          <w:rFonts w:ascii="Times New Roman" w:hAnsi="Times New Roman"/>
          <w:bCs/>
          <w:color w:val="000000"/>
          <w:sz w:val="24"/>
          <w:lang w:eastAsia="sq-AL"/>
        </w:rPr>
        <w:t xml:space="preserve"> t</w:t>
      </w:r>
      <w:r>
        <w:rPr>
          <w:rFonts w:ascii="Times New Roman" w:hAnsi="Times New Roman"/>
          <w:bCs/>
          <w:color w:val="000000"/>
          <w:sz w:val="24"/>
          <w:lang w:eastAsia="sq-AL"/>
        </w:rPr>
        <w:t>ë</w:t>
      </w:r>
      <w:r w:rsidRPr="00862DC6">
        <w:rPr>
          <w:rFonts w:ascii="Times New Roman" w:hAnsi="Times New Roman"/>
          <w:bCs/>
          <w:color w:val="000000"/>
          <w:sz w:val="24"/>
          <w:lang w:eastAsia="sq-AL"/>
        </w:rPr>
        <w:t xml:space="preserve"> </w:t>
      </w:r>
      <w:proofErr w:type="spellStart"/>
      <w:r w:rsidRPr="00862DC6">
        <w:rPr>
          <w:rFonts w:ascii="Times New Roman" w:hAnsi="Times New Roman"/>
          <w:bCs/>
          <w:color w:val="000000"/>
          <w:sz w:val="24"/>
          <w:lang w:eastAsia="sq-AL"/>
        </w:rPr>
        <w:t>sh</w:t>
      </w:r>
      <w:r>
        <w:rPr>
          <w:rFonts w:ascii="Times New Roman" w:hAnsi="Times New Roman"/>
          <w:bCs/>
          <w:color w:val="000000"/>
          <w:sz w:val="24"/>
          <w:lang w:eastAsia="sq-AL"/>
        </w:rPr>
        <w:t>ë</w:t>
      </w:r>
      <w:r w:rsidRPr="00862DC6">
        <w:rPr>
          <w:rFonts w:ascii="Times New Roman" w:hAnsi="Times New Roman"/>
          <w:bCs/>
          <w:color w:val="000000"/>
          <w:sz w:val="24"/>
          <w:lang w:eastAsia="sq-AL"/>
        </w:rPr>
        <w:t>rbimeve</w:t>
      </w:r>
      <w:proofErr w:type="spellEnd"/>
      <w:r w:rsidRPr="00862DC6">
        <w:rPr>
          <w:rFonts w:ascii="Times New Roman" w:hAnsi="Times New Roman"/>
          <w:bCs/>
          <w:color w:val="000000"/>
          <w:sz w:val="24"/>
          <w:lang w:eastAsia="sq-AL"/>
        </w:rPr>
        <w:t xml:space="preserve"> sociale</w:t>
      </w:r>
    </w:p>
    <w:p w14:paraId="45031538" w14:textId="77777777" w:rsidR="00011153" w:rsidRPr="00862DC6" w:rsidRDefault="00011153" w:rsidP="00B5007E">
      <w:pPr>
        <w:autoSpaceDE w:val="0"/>
        <w:autoSpaceDN w:val="0"/>
        <w:adjustRightInd w:val="0"/>
        <w:spacing w:after="0" w:line="480" w:lineRule="auto"/>
        <w:rPr>
          <w:rFonts w:ascii="Times New Roman" w:hAnsi="Times New Roman"/>
          <w:bCs/>
          <w:color w:val="000000"/>
          <w:sz w:val="24"/>
          <w:lang w:eastAsia="sq-AL"/>
        </w:rPr>
      </w:pPr>
      <w:r>
        <w:rPr>
          <w:rFonts w:ascii="Times New Roman" w:hAnsi="Times New Roman"/>
          <w:bCs/>
          <w:color w:val="000000"/>
          <w:sz w:val="24"/>
          <w:lang w:eastAsia="sq-AL"/>
        </w:rPr>
        <w:t xml:space="preserve">AKPA                         </w:t>
      </w:r>
      <w:proofErr w:type="spellStart"/>
      <w:r>
        <w:rPr>
          <w:rFonts w:ascii="Times New Roman" w:hAnsi="Times New Roman"/>
          <w:bCs/>
          <w:color w:val="000000"/>
          <w:sz w:val="24"/>
          <w:lang w:eastAsia="sq-AL"/>
        </w:rPr>
        <w:t>Agjensia</w:t>
      </w:r>
      <w:proofErr w:type="spellEnd"/>
      <w:r>
        <w:rPr>
          <w:rFonts w:ascii="Times New Roman" w:hAnsi="Times New Roman"/>
          <w:bCs/>
          <w:color w:val="000000"/>
          <w:sz w:val="24"/>
          <w:lang w:eastAsia="sq-AL"/>
        </w:rPr>
        <w:t xml:space="preserve"> </w:t>
      </w:r>
      <w:proofErr w:type="spellStart"/>
      <w:r>
        <w:rPr>
          <w:rFonts w:ascii="Times New Roman" w:hAnsi="Times New Roman"/>
          <w:bCs/>
          <w:color w:val="000000"/>
          <w:sz w:val="24"/>
          <w:lang w:eastAsia="sq-AL"/>
        </w:rPr>
        <w:t>Kombëtare</w:t>
      </w:r>
      <w:proofErr w:type="spellEnd"/>
      <w:r>
        <w:rPr>
          <w:rFonts w:ascii="Times New Roman" w:hAnsi="Times New Roman"/>
          <w:bCs/>
          <w:color w:val="000000"/>
          <w:sz w:val="24"/>
          <w:lang w:eastAsia="sq-AL"/>
        </w:rPr>
        <w:t xml:space="preserve"> e </w:t>
      </w:r>
      <w:proofErr w:type="spellStart"/>
      <w:r>
        <w:rPr>
          <w:rFonts w:ascii="Times New Roman" w:hAnsi="Times New Roman"/>
          <w:bCs/>
          <w:color w:val="000000"/>
          <w:sz w:val="24"/>
          <w:lang w:eastAsia="sq-AL"/>
        </w:rPr>
        <w:t>Punësimit</w:t>
      </w:r>
      <w:proofErr w:type="spellEnd"/>
      <w:r>
        <w:rPr>
          <w:rFonts w:ascii="Times New Roman" w:hAnsi="Times New Roman"/>
          <w:bCs/>
          <w:color w:val="000000"/>
          <w:sz w:val="24"/>
          <w:lang w:eastAsia="sq-AL"/>
        </w:rPr>
        <w:t xml:space="preserve"> dhe </w:t>
      </w:r>
      <w:proofErr w:type="spellStart"/>
      <w:r>
        <w:rPr>
          <w:rFonts w:ascii="Times New Roman" w:hAnsi="Times New Roman"/>
          <w:bCs/>
          <w:color w:val="000000"/>
          <w:sz w:val="24"/>
          <w:lang w:eastAsia="sq-AL"/>
        </w:rPr>
        <w:t>Aftësimit</w:t>
      </w:r>
      <w:proofErr w:type="spellEnd"/>
      <w:r>
        <w:rPr>
          <w:rFonts w:ascii="Times New Roman" w:hAnsi="Times New Roman"/>
          <w:bCs/>
          <w:color w:val="000000"/>
          <w:sz w:val="24"/>
          <w:lang w:eastAsia="sq-AL"/>
        </w:rPr>
        <w:t xml:space="preserve"> </w:t>
      </w:r>
      <w:proofErr w:type="spellStart"/>
      <w:r>
        <w:rPr>
          <w:rFonts w:ascii="Times New Roman" w:hAnsi="Times New Roman"/>
          <w:bCs/>
          <w:color w:val="000000"/>
          <w:sz w:val="24"/>
          <w:lang w:eastAsia="sq-AL"/>
        </w:rPr>
        <w:t>Profesional</w:t>
      </w:r>
      <w:proofErr w:type="spellEnd"/>
    </w:p>
    <w:p w14:paraId="2251EDF2" w14:textId="77777777" w:rsidR="00011153" w:rsidRPr="00862DC6" w:rsidRDefault="00011153" w:rsidP="00B5007E">
      <w:pPr>
        <w:autoSpaceDE w:val="0"/>
        <w:autoSpaceDN w:val="0"/>
        <w:adjustRightInd w:val="0"/>
        <w:spacing w:after="0" w:line="480" w:lineRule="auto"/>
        <w:rPr>
          <w:rFonts w:ascii="Times New Roman" w:hAnsi="Times New Roman"/>
          <w:bCs/>
          <w:color w:val="000000"/>
          <w:sz w:val="24"/>
          <w:lang w:eastAsia="sq-AL"/>
        </w:rPr>
      </w:pPr>
      <w:r w:rsidRPr="00862DC6">
        <w:rPr>
          <w:rFonts w:ascii="Times New Roman" w:hAnsi="Times New Roman"/>
          <w:bCs/>
          <w:color w:val="000000"/>
          <w:sz w:val="24"/>
          <w:lang w:eastAsia="sq-AL"/>
        </w:rPr>
        <w:t>PBA</w:t>
      </w:r>
      <w:r w:rsidRPr="00862DC6">
        <w:rPr>
          <w:rFonts w:ascii="Times New Roman" w:hAnsi="Times New Roman"/>
          <w:bCs/>
          <w:color w:val="000000"/>
          <w:sz w:val="24"/>
          <w:lang w:eastAsia="sq-AL"/>
        </w:rPr>
        <w:tab/>
      </w:r>
      <w:r w:rsidRPr="00862DC6">
        <w:rPr>
          <w:rFonts w:ascii="Times New Roman" w:hAnsi="Times New Roman"/>
          <w:bCs/>
          <w:color w:val="000000"/>
          <w:sz w:val="24"/>
          <w:lang w:eastAsia="sq-AL"/>
        </w:rPr>
        <w:tab/>
      </w:r>
      <w:r w:rsidRPr="00862DC6">
        <w:rPr>
          <w:rFonts w:ascii="Times New Roman" w:hAnsi="Times New Roman"/>
          <w:bCs/>
          <w:color w:val="000000"/>
          <w:sz w:val="24"/>
          <w:lang w:eastAsia="sq-AL"/>
        </w:rPr>
        <w:tab/>
        <w:t xml:space="preserve">Plani </w:t>
      </w:r>
      <w:proofErr w:type="spellStart"/>
      <w:r w:rsidRPr="00862DC6">
        <w:rPr>
          <w:rFonts w:ascii="Times New Roman" w:hAnsi="Times New Roman"/>
          <w:bCs/>
          <w:color w:val="000000"/>
          <w:sz w:val="24"/>
          <w:lang w:eastAsia="sq-AL"/>
        </w:rPr>
        <w:t>Buxhetor</w:t>
      </w:r>
      <w:proofErr w:type="spellEnd"/>
      <w:r w:rsidRPr="00862DC6">
        <w:rPr>
          <w:rFonts w:ascii="Times New Roman" w:hAnsi="Times New Roman"/>
          <w:bCs/>
          <w:color w:val="000000"/>
          <w:sz w:val="24"/>
          <w:lang w:eastAsia="sq-AL"/>
        </w:rPr>
        <w:t xml:space="preserve"> </w:t>
      </w:r>
      <w:proofErr w:type="spellStart"/>
      <w:r w:rsidRPr="00862DC6">
        <w:rPr>
          <w:rFonts w:ascii="Times New Roman" w:hAnsi="Times New Roman"/>
          <w:bCs/>
          <w:color w:val="000000"/>
          <w:sz w:val="24"/>
          <w:lang w:eastAsia="sq-AL"/>
        </w:rPr>
        <w:t>Afatmes</w:t>
      </w:r>
      <w:r>
        <w:rPr>
          <w:rFonts w:ascii="Times New Roman" w:hAnsi="Times New Roman"/>
          <w:bCs/>
          <w:color w:val="000000"/>
          <w:sz w:val="24"/>
          <w:lang w:eastAsia="sq-AL"/>
        </w:rPr>
        <w:t>ë</w:t>
      </w:r>
      <w:r w:rsidRPr="00862DC6">
        <w:rPr>
          <w:rFonts w:ascii="Times New Roman" w:hAnsi="Times New Roman"/>
          <w:bCs/>
          <w:color w:val="000000"/>
          <w:sz w:val="24"/>
          <w:lang w:eastAsia="sq-AL"/>
        </w:rPr>
        <w:t>m</w:t>
      </w:r>
      <w:proofErr w:type="spellEnd"/>
    </w:p>
    <w:p w14:paraId="3C222645" w14:textId="77777777" w:rsidR="00011153" w:rsidRPr="003C4869" w:rsidRDefault="00011153" w:rsidP="00B5007E">
      <w:pPr>
        <w:autoSpaceDE w:val="0"/>
        <w:autoSpaceDN w:val="0"/>
        <w:adjustRightInd w:val="0"/>
        <w:spacing w:after="0" w:line="480" w:lineRule="auto"/>
        <w:rPr>
          <w:rFonts w:ascii="Times New Roman" w:hAnsi="Times New Roman"/>
          <w:bCs/>
          <w:color w:val="000000"/>
          <w:sz w:val="24"/>
          <w:lang w:val="fr-FR" w:eastAsia="sq-AL"/>
        </w:rPr>
      </w:pPr>
      <w:r w:rsidRPr="003C4869">
        <w:rPr>
          <w:rFonts w:ascii="Times New Roman" w:hAnsi="Times New Roman"/>
          <w:bCs/>
          <w:color w:val="000000"/>
          <w:sz w:val="24"/>
          <w:lang w:val="fr-FR" w:eastAsia="sq-AL"/>
        </w:rPr>
        <w:t>PAK</w:t>
      </w:r>
      <w:r w:rsidRPr="003C4869">
        <w:rPr>
          <w:rFonts w:ascii="Times New Roman" w:hAnsi="Times New Roman"/>
          <w:bCs/>
          <w:color w:val="000000"/>
          <w:sz w:val="24"/>
          <w:lang w:val="fr-FR" w:eastAsia="sq-AL"/>
        </w:rPr>
        <w:tab/>
      </w:r>
      <w:r w:rsidRPr="003C4869">
        <w:rPr>
          <w:rFonts w:ascii="Times New Roman" w:hAnsi="Times New Roman"/>
          <w:bCs/>
          <w:color w:val="000000"/>
          <w:sz w:val="24"/>
          <w:lang w:val="fr-FR" w:eastAsia="sq-AL"/>
        </w:rPr>
        <w:tab/>
      </w:r>
      <w:r w:rsidRPr="003C4869">
        <w:rPr>
          <w:rFonts w:ascii="Times New Roman" w:hAnsi="Times New Roman"/>
          <w:bCs/>
          <w:color w:val="000000"/>
          <w:sz w:val="24"/>
          <w:lang w:val="fr-FR" w:eastAsia="sq-AL"/>
        </w:rPr>
        <w:tab/>
        <w:t xml:space="preserve">Persona me </w:t>
      </w:r>
      <w:proofErr w:type="spellStart"/>
      <w:r w:rsidRPr="003C4869">
        <w:rPr>
          <w:rFonts w:ascii="Times New Roman" w:hAnsi="Times New Roman"/>
          <w:bCs/>
          <w:color w:val="000000"/>
          <w:sz w:val="24"/>
          <w:lang w:val="fr-FR" w:eastAsia="sq-AL"/>
        </w:rPr>
        <w:t>Aftësi</w:t>
      </w:r>
      <w:proofErr w:type="spellEnd"/>
      <w:r w:rsidRPr="003C4869">
        <w:rPr>
          <w:rFonts w:ascii="Times New Roman" w:hAnsi="Times New Roman"/>
          <w:bCs/>
          <w:color w:val="000000"/>
          <w:sz w:val="24"/>
          <w:lang w:val="fr-FR" w:eastAsia="sq-AL"/>
        </w:rPr>
        <w:t xml:space="preserve"> të </w:t>
      </w:r>
      <w:proofErr w:type="spellStart"/>
      <w:r w:rsidRPr="003C4869">
        <w:rPr>
          <w:rFonts w:ascii="Times New Roman" w:hAnsi="Times New Roman"/>
          <w:bCs/>
          <w:color w:val="000000"/>
          <w:sz w:val="24"/>
          <w:lang w:val="fr-FR" w:eastAsia="sq-AL"/>
        </w:rPr>
        <w:t>Kufizuar</w:t>
      </w:r>
      <w:proofErr w:type="spellEnd"/>
    </w:p>
    <w:p w14:paraId="0522F83E" w14:textId="77777777" w:rsidR="00011153" w:rsidRPr="00E03BF1" w:rsidRDefault="00011153" w:rsidP="00B5007E">
      <w:pPr>
        <w:autoSpaceDE w:val="0"/>
        <w:autoSpaceDN w:val="0"/>
        <w:adjustRightInd w:val="0"/>
        <w:spacing w:after="0" w:line="480" w:lineRule="auto"/>
        <w:rPr>
          <w:rFonts w:ascii="Times New Roman" w:hAnsi="Times New Roman"/>
          <w:bCs/>
          <w:color w:val="000000"/>
          <w:sz w:val="24"/>
          <w:lang w:val="fr-FR" w:eastAsia="sq-AL"/>
        </w:rPr>
      </w:pPr>
      <w:r w:rsidRPr="00E03BF1">
        <w:rPr>
          <w:rFonts w:ascii="Times New Roman" w:hAnsi="Times New Roman"/>
          <w:bCs/>
          <w:color w:val="000000"/>
          <w:sz w:val="24"/>
          <w:lang w:val="fr-FR" w:eastAsia="sq-AL"/>
        </w:rPr>
        <w:t>NE</w:t>
      </w:r>
      <w:r w:rsidRPr="00E03BF1">
        <w:rPr>
          <w:rFonts w:ascii="Times New Roman" w:hAnsi="Times New Roman"/>
          <w:bCs/>
          <w:color w:val="000000"/>
          <w:sz w:val="24"/>
          <w:lang w:val="fr-FR" w:eastAsia="sq-AL"/>
        </w:rPr>
        <w:tab/>
      </w:r>
      <w:r w:rsidRPr="00E03BF1">
        <w:rPr>
          <w:rFonts w:ascii="Times New Roman" w:hAnsi="Times New Roman"/>
          <w:bCs/>
          <w:color w:val="000000"/>
          <w:sz w:val="24"/>
          <w:lang w:val="fr-FR" w:eastAsia="sq-AL"/>
        </w:rPr>
        <w:tab/>
      </w:r>
      <w:r w:rsidRPr="00E03BF1">
        <w:rPr>
          <w:rFonts w:ascii="Times New Roman" w:hAnsi="Times New Roman"/>
          <w:bCs/>
          <w:color w:val="000000"/>
          <w:sz w:val="24"/>
          <w:lang w:val="fr-FR" w:eastAsia="sq-AL"/>
        </w:rPr>
        <w:tab/>
      </w:r>
      <w:proofErr w:type="spellStart"/>
      <w:r w:rsidRPr="00E03BF1">
        <w:rPr>
          <w:rFonts w:ascii="Times New Roman" w:hAnsi="Times New Roman"/>
          <w:bCs/>
          <w:color w:val="000000"/>
          <w:sz w:val="24"/>
          <w:lang w:val="fr-FR" w:eastAsia="sq-AL"/>
        </w:rPr>
        <w:t>Ndihma</w:t>
      </w:r>
      <w:proofErr w:type="spellEnd"/>
      <w:r w:rsidRPr="00E03BF1">
        <w:rPr>
          <w:rFonts w:ascii="Times New Roman" w:hAnsi="Times New Roman"/>
          <w:bCs/>
          <w:color w:val="000000"/>
          <w:sz w:val="24"/>
          <w:lang w:val="fr-FR" w:eastAsia="sq-AL"/>
        </w:rPr>
        <w:t xml:space="preserve"> Ekonomike</w:t>
      </w:r>
    </w:p>
    <w:p w14:paraId="299A0777" w14:textId="77777777" w:rsidR="00011153" w:rsidRPr="003C4869" w:rsidRDefault="00011153" w:rsidP="00B5007E">
      <w:pPr>
        <w:autoSpaceDE w:val="0"/>
        <w:autoSpaceDN w:val="0"/>
        <w:adjustRightInd w:val="0"/>
        <w:spacing w:after="0" w:line="480" w:lineRule="auto"/>
        <w:rPr>
          <w:rFonts w:ascii="Times New Roman" w:hAnsi="Times New Roman"/>
          <w:bCs/>
          <w:color w:val="000000"/>
          <w:sz w:val="24"/>
          <w:lang w:val="fr-FR" w:eastAsia="sq-AL"/>
        </w:rPr>
      </w:pPr>
      <w:r w:rsidRPr="003C4869">
        <w:rPr>
          <w:rFonts w:ascii="Times New Roman" w:hAnsi="Times New Roman"/>
          <w:bCs/>
          <w:color w:val="000000"/>
          <w:sz w:val="24"/>
          <w:lang w:val="fr-FR" w:eastAsia="sq-AL"/>
        </w:rPr>
        <w:t>SHIS</w:t>
      </w:r>
      <w:r w:rsidRPr="003C4869">
        <w:rPr>
          <w:rFonts w:ascii="Times New Roman" w:hAnsi="Times New Roman"/>
          <w:bCs/>
          <w:color w:val="000000"/>
          <w:sz w:val="24"/>
          <w:lang w:val="fr-FR" w:eastAsia="sq-AL"/>
        </w:rPr>
        <w:tab/>
      </w:r>
      <w:r w:rsidRPr="003C4869">
        <w:rPr>
          <w:rFonts w:ascii="Times New Roman" w:hAnsi="Times New Roman"/>
          <w:bCs/>
          <w:color w:val="000000"/>
          <w:sz w:val="24"/>
          <w:lang w:val="fr-FR" w:eastAsia="sq-AL"/>
        </w:rPr>
        <w:tab/>
      </w:r>
      <w:r w:rsidRPr="003C4869">
        <w:rPr>
          <w:rFonts w:ascii="Times New Roman" w:hAnsi="Times New Roman"/>
          <w:bCs/>
          <w:color w:val="000000"/>
          <w:sz w:val="24"/>
          <w:lang w:val="fr-FR" w:eastAsia="sq-AL"/>
        </w:rPr>
        <w:tab/>
      </w:r>
      <w:proofErr w:type="spellStart"/>
      <w:r w:rsidRPr="003C4869">
        <w:rPr>
          <w:rFonts w:ascii="Times New Roman" w:hAnsi="Times New Roman"/>
          <w:bCs/>
          <w:color w:val="000000"/>
          <w:sz w:val="24"/>
          <w:lang w:val="fr-FR" w:eastAsia="sq-AL"/>
        </w:rPr>
        <w:t>Shërbime</w:t>
      </w:r>
      <w:proofErr w:type="spellEnd"/>
      <w:r w:rsidRPr="003C4869">
        <w:rPr>
          <w:rFonts w:ascii="Times New Roman" w:hAnsi="Times New Roman"/>
          <w:bCs/>
          <w:color w:val="000000"/>
          <w:sz w:val="24"/>
          <w:lang w:val="fr-FR" w:eastAsia="sq-AL"/>
        </w:rPr>
        <w:t xml:space="preserve"> të </w:t>
      </w:r>
      <w:proofErr w:type="spellStart"/>
      <w:r w:rsidRPr="003C4869">
        <w:rPr>
          <w:rFonts w:ascii="Times New Roman" w:hAnsi="Times New Roman"/>
          <w:bCs/>
          <w:color w:val="000000"/>
          <w:sz w:val="24"/>
          <w:lang w:val="fr-FR" w:eastAsia="sq-AL"/>
        </w:rPr>
        <w:t>Integruara</w:t>
      </w:r>
      <w:proofErr w:type="spellEnd"/>
      <w:r w:rsidRPr="003C4869">
        <w:rPr>
          <w:rFonts w:ascii="Times New Roman" w:hAnsi="Times New Roman"/>
          <w:bCs/>
          <w:color w:val="000000"/>
          <w:sz w:val="24"/>
          <w:lang w:val="fr-FR" w:eastAsia="sq-AL"/>
        </w:rPr>
        <w:t xml:space="preserve"> Sociale</w:t>
      </w:r>
    </w:p>
    <w:p w14:paraId="151D28C4" w14:textId="0E2EFB1E" w:rsidR="00011153" w:rsidRDefault="00011153" w:rsidP="00B5007E">
      <w:pPr>
        <w:autoSpaceDE w:val="0"/>
        <w:autoSpaceDN w:val="0"/>
        <w:adjustRightInd w:val="0"/>
        <w:spacing w:after="0" w:line="480" w:lineRule="auto"/>
        <w:rPr>
          <w:rFonts w:ascii="Times New Roman" w:hAnsi="Times New Roman"/>
          <w:bCs/>
          <w:color w:val="000000"/>
          <w:sz w:val="24"/>
          <w:lang w:val="fr-FR" w:eastAsia="sq-AL"/>
        </w:rPr>
      </w:pPr>
      <w:r w:rsidRPr="003C4869">
        <w:rPr>
          <w:rFonts w:ascii="Times New Roman" w:hAnsi="Times New Roman"/>
          <w:sz w:val="24"/>
          <w:lang w:val="fr-FR"/>
        </w:rPr>
        <w:t>SIL</w:t>
      </w:r>
      <w:r>
        <w:rPr>
          <w:rFonts w:ascii="Times New Roman" w:hAnsi="Times New Roman"/>
          <w:sz w:val="24"/>
          <w:lang w:val="fr-FR"/>
        </w:rPr>
        <w:t>K</w:t>
      </w:r>
      <w:r w:rsidRPr="003C4869">
        <w:rPr>
          <w:rFonts w:ascii="Times New Roman" w:hAnsi="Times New Roman"/>
          <w:bCs/>
          <w:color w:val="000000"/>
          <w:sz w:val="24"/>
          <w:lang w:val="fr-FR" w:eastAsia="sq-AL"/>
        </w:rPr>
        <w:t xml:space="preserve"> </w:t>
      </w:r>
      <w:r w:rsidRPr="003C4869">
        <w:rPr>
          <w:rFonts w:ascii="Times New Roman" w:hAnsi="Times New Roman"/>
          <w:bCs/>
          <w:color w:val="000000"/>
          <w:sz w:val="24"/>
          <w:lang w:val="fr-FR" w:eastAsia="sq-AL"/>
        </w:rPr>
        <w:tab/>
      </w:r>
      <w:r w:rsidRPr="003C4869">
        <w:rPr>
          <w:rFonts w:ascii="Times New Roman" w:hAnsi="Times New Roman"/>
          <w:bCs/>
          <w:color w:val="000000"/>
          <w:sz w:val="24"/>
          <w:lang w:val="fr-FR" w:eastAsia="sq-AL"/>
        </w:rPr>
        <w:tab/>
      </w:r>
      <w:r w:rsidRPr="003C4869">
        <w:rPr>
          <w:rFonts w:ascii="Times New Roman" w:hAnsi="Times New Roman"/>
          <w:bCs/>
          <w:color w:val="000000"/>
          <w:sz w:val="24"/>
          <w:lang w:val="fr-FR" w:eastAsia="sq-AL"/>
        </w:rPr>
        <w:tab/>
      </w:r>
      <w:proofErr w:type="spellStart"/>
      <w:r w:rsidRPr="003C4869">
        <w:rPr>
          <w:rFonts w:ascii="Times New Roman" w:hAnsi="Times New Roman"/>
          <w:bCs/>
          <w:color w:val="000000"/>
          <w:sz w:val="24"/>
          <w:lang w:val="fr-FR" w:eastAsia="sq-AL"/>
        </w:rPr>
        <w:t>Niveli</w:t>
      </w:r>
      <w:proofErr w:type="spellEnd"/>
      <w:r w:rsidRPr="003C4869">
        <w:rPr>
          <w:rFonts w:ascii="Times New Roman" w:hAnsi="Times New Roman"/>
          <w:bCs/>
          <w:color w:val="000000"/>
          <w:sz w:val="24"/>
          <w:lang w:val="fr-FR" w:eastAsia="sq-AL"/>
        </w:rPr>
        <w:t xml:space="preserve"> i </w:t>
      </w:r>
      <w:proofErr w:type="spellStart"/>
      <w:r w:rsidRPr="003C4869">
        <w:rPr>
          <w:rFonts w:ascii="Times New Roman" w:hAnsi="Times New Roman"/>
          <w:bCs/>
          <w:color w:val="000000"/>
          <w:sz w:val="24"/>
          <w:lang w:val="fr-FR" w:eastAsia="sq-AL"/>
        </w:rPr>
        <w:t>matjes</w:t>
      </w:r>
      <w:proofErr w:type="spellEnd"/>
      <w:r w:rsidRPr="003C4869">
        <w:rPr>
          <w:rFonts w:ascii="Times New Roman" w:hAnsi="Times New Roman"/>
          <w:bCs/>
          <w:color w:val="000000"/>
          <w:sz w:val="24"/>
          <w:lang w:val="fr-FR" w:eastAsia="sq-AL"/>
        </w:rPr>
        <w:t xml:space="preserve"> </w:t>
      </w:r>
      <w:proofErr w:type="spellStart"/>
      <w:r w:rsidRPr="003C4869">
        <w:rPr>
          <w:rFonts w:ascii="Times New Roman" w:hAnsi="Times New Roman"/>
          <w:bCs/>
          <w:color w:val="000000"/>
          <w:sz w:val="24"/>
          <w:lang w:val="fr-FR" w:eastAsia="sq-AL"/>
        </w:rPr>
        <w:t>së</w:t>
      </w:r>
      <w:proofErr w:type="spellEnd"/>
      <w:r w:rsidRPr="003C4869">
        <w:rPr>
          <w:rFonts w:ascii="Times New Roman" w:hAnsi="Times New Roman"/>
          <w:bCs/>
          <w:color w:val="000000"/>
          <w:sz w:val="24"/>
          <w:lang w:val="fr-FR" w:eastAsia="sq-AL"/>
        </w:rPr>
        <w:t xml:space="preserve"> </w:t>
      </w:r>
      <w:r w:rsidR="00C41665">
        <w:rPr>
          <w:rFonts w:ascii="Times New Roman" w:hAnsi="Times New Roman"/>
          <w:bCs/>
          <w:color w:val="000000"/>
          <w:sz w:val="24"/>
          <w:lang w:val="fr-FR" w:eastAsia="sq-AL"/>
        </w:rPr>
        <w:t xml:space="preserve">të </w:t>
      </w:r>
      <w:proofErr w:type="spellStart"/>
      <w:r w:rsidR="00C41665">
        <w:rPr>
          <w:rFonts w:ascii="Times New Roman" w:hAnsi="Times New Roman"/>
          <w:bCs/>
          <w:color w:val="000000"/>
          <w:sz w:val="24"/>
          <w:lang w:val="fr-FR" w:eastAsia="sq-AL"/>
        </w:rPr>
        <w:t>ardhurave</w:t>
      </w:r>
      <w:proofErr w:type="spellEnd"/>
      <w:r w:rsidR="00C41665">
        <w:rPr>
          <w:rFonts w:ascii="Times New Roman" w:hAnsi="Times New Roman"/>
          <w:bCs/>
          <w:color w:val="000000"/>
          <w:sz w:val="24"/>
          <w:lang w:val="fr-FR" w:eastAsia="sq-AL"/>
        </w:rPr>
        <w:t xml:space="preserve"> dhe </w:t>
      </w:r>
      <w:proofErr w:type="spellStart"/>
      <w:r w:rsidR="00C41665">
        <w:rPr>
          <w:rFonts w:ascii="Times New Roman" w:hAnsi="Times New Roman"/>
          <w:bCs/>
          <w:color w:val="000000"/>
          <w:sz w:val="24"/>
          <w:lang w:val="fr-FR" w:eastAsia="sq-AL"/>
        </w:rPr>
        <w:t>kushteve</w:t>
      </w:r>
      <w:proofErr w:type="spellEnd"/>
      <w:r w:rsidR="00C41665">
        <w:rPr>
          <w:rFonts w:ascii="Times New Roman" w:hAnsi="Times New Roman"/>
          <w:bCs/>
          <w:color w:val="000000"/>
          <w:sz w:val="24"/>
          <w:lang w:val="fr-FR" w:eastAsia="sq-AL"/>
        </w:rPr>
        <w:t xml:space="preserve"> të </w:t>
      </w:r>
      <w:proofErr w:type="spellStart"/>
      <w:r w:rsidR="00C41665">
        <w:rPr>
          <w:rFonts w:ascii="Times New Roman" w:hAnsi="Times New Roman"/>
          <w:bCs/>
          <w:color w:val="000000"/>
          <w:sz w:val="24"/>
          <w:lang w:val="fr-FR" w:eastAsia="sq-AL"/>
        </w:rPr>
        <w:t>jetesës</w:t>
      </w:r>
      <w:proofErr w:type="spellEnd"/>
      <w:r w:rsidR="00C41665">
        <w:rPr>
          <w:rFonts w:ascii="Times New Roman" w:hAnsi="Times New Roman"/>
          <w:bCs/>
          <w:color w:val="000000"/>
          <w:sz w:val="24"/>
          <w:lang w:val="fr-FR" w:eastAsia="sq-AL"/>
        </w:rPr>
        <w:t xml:space="preserve"> </w:t>
      </w:r>
      <w:proofErr w:type="spellStart"/>
      <w:r w:rsidR="00C41665">
        <w:rPr>
          <w:rFonts w:ascii="Times New Roman" w:hAnsi="Times New Roman"/>
          <w:bCs/>
          <w:color w:val="000000"/>
          <w:sz w:val="24"/>
          <w:lang w:val="fr-FR" w:eastAsia="sq-AL"/>
        </w:rPr>
        <w:t>sipas</w:t>
      </w:r>
      <w:proofErr w:type="spellEnd"/>
      <w:r w:rsidR="00C41665">
        <w:rPr>
          <w:rFonts w:ascii="Times New Roman" w:hAnsi="Times New Roman"/>
          <w:bCs/>
          <w:color w:val="000000"/>
          <w:sz w:val="24"/>
          <w:lang w:val="fr-FR" w:eastAsia="sq-AL"/>
        </w:rPr>
        <w:t xml:space="preserve"> </w:t>
      </w:r>
      <w:proofErr w:type="spellStart"/>
      <w:r w:rsidR="00C41665">
        <w:rPr>
          <w:rFonts w:ascii="Times New Roman" w:hAnsi="Times New Roman"/>
          <w:bCs/>
          <w:color w:val="000000"/>
          <w:sz w:val="24"/>
          <w:lang w:val="fr-FR" w:eastAsia="sq-AL"/>
        </w:rPr>
        <w:t>BE-së</w:t>
      </w:r>
      <w:proofErr w:type="spellEnd"/>
    </w:p>
    <w:p w14:paraId="298AE244" w14:textId="77777777" w:rsidR="00011153" w:rsidRPr="003C4869" w:rsidRDefault="00011153" w:rsidP="00B5007E">
      <w:pPr>
        <w:autoSpaceDE w:val="0"/>
        <w:autoSpaceDN w:val="0"/>
        <w:adjustRightInd w:val="0"/>
        <w:spacing w:after="0" w:line="480" w:lineRule="auto"/>
        <w:rPr>
          <w:rFonts w:ascii="Times New Roman" w:hAnsi="Times New Roman"/>
          <w:b/>
          <w:bCs/>
          <w:color w:val="000000"/>
          <w:sz w:val="24"/>
          <w:lang w:val="fr-FR" w:eastAsia="sq-AL"/>
        </w:rPr>
      </w:pPr>
      <w:r w:rsidRPr="003C4869">
        <w:rPr>
          <w:rFonts w:ascii="Times New Roman" w:hAnsi="Times New Roman"/>
          <w:sz w:val="24"/>
          <w:lang w:val="fr-FR"/>
        </w:rPr>
        <w:t>PPA</w:t>
      </w:r>
      <w:r w:rsidRPr="003C4869">
        <w:rPr>
          <w:rFonts w:ascii="Times New Roman" w:hAnsi="Times New Roman"/>
          <w:sz w:val="24"/>
          <w:lang w:val="fr-FR"/>
        </w:rPr>
        <w:tab/>
      </w:r>
      <w:r w:rsidRPr="003C4869">
        <w:rPr>
          <w:rFonts w:ascii="Times New Roman" w:hAnsi="Times New Roman"/>
          <w:sz w:val="24"/>
          <w:lang w:val="fr-FR"/>
        </w:rPr>
        <w:tab/>
      </w:r>
      <w:r w:rsidRPr="003C4869">
        <w:rPr>
          <w:rFonts w:ascii="Times New Roman" w:hAnsi="Times New Roman"/>
          <w:sz w:val="24"/>
          <w:lang w:val="fr-FR"/>
        </w:rPr>
        <w:tab/>
      </w:r>
      <w:proofErr w:type="spellStart"/>
      <w:r w:rsidRPr="003C4869">
        <w:rPr>
          <w:rFonts w:ascii="Times New Roman" w:hAnsi="Times New Roman"/>
          <w:sz w:val="24"/>
          <w:lang w:val="fr-FR"/>
        </w:rPr>
        <w:t>Përfitimi</w:t>
      </w:r>
      <w:proofErr w:type="spellEnd"/>
      <w:r w:rsidRPr="003C4869">
        <w:rPr>
          <w:rFonts w:ascii="Times New Roman" w:hAnsi="Times New Roman"/>
          <w:sz w:val="24"/>
          <w:lang w:val="fr-FR"/>
        </w:rPr>
        <w:t xml:space="preserve"> i </w:t>
      </w:r>
      <w:proofErr w:type="spellStart"/>
      <w:r w:rsidRPr="003C4869">
        <w:rPr>
          <w:rFonts w:ascii="Times New Roman" w:hAnsi="Times New Roman"/>
          <w:sz w:val="24"/>
          <w:lang w:val="fr-FR"/>
        </w:rPr>
        <w:t>Pagesës</w:t>
      </w:r>
      <w:proofErr w:type="spellEnd"/>
      <w:r w:rsidRPr="003C4869">
        <w:rPr>
          <w:rFonts w:ascii="Times New Roman" w:hAnsi="Times New Roman"/>
          <w:sz w:val="24"/>
          <w:lang w:val="fr-FR"/>
        </w:rPr>
        <w:t xml:space="preserve"> </w:t>
      </w:r>
      <w:proofErr w:type="spellStart"/>
      <w:r w:rsidRPr="003C4869">
        <w:rPr>
          <w:rFonts w:ascii="Times New Roman" w:hAnsi="Times New Roman"/>
          <w:sz w:val="24"/>
          <w:lang w:val="fr-FR"/>
        </w:rPr>
        <w:t>së</w:t>
      </w:r>
      <w:proofErr w:type="spellEnd"/>
      <w:r w:rsidRPr="003C4869">
        <w:rPr>
          <w:rFonts w:ascii="Times New Roman" w:hAnsi="Times New Roman"/>
          <w:sz w:val="24"/>
          <w:lang w:val="fr-FR"/>
        </w:rPr>
        <w:t xml:space="preserve"> </w:t>
      </w:r>
      <w:proofErr w:type="spellStart"/>
      <w:r w:rsidRPr="003C4869">
        <w:rPr>
          <w:rFonts w:ascii="Times New Roman" w:hAnsi="Times New Roman"/>
          <w:sz w:val="24"/>
          <w:lang w:val="fr-FR"/>
        </w:rPr>
        <w:t>Aftësisë</w:t>
      </w:r>
      <w:proofErr w:type="spellEnd"/>
    </w:p>
    <w:p w14:paraId="50170F1D" w14:textId="77777777" w:rsidR="00011153" w:rsidRDefault="00011153" w:rsidP="00B5007E">
      <w:pPr>
        <w:autoSpaceDE w:val="0"/>
        <w:autoSpaceDN w:val="0"/>
        <w:adjustRightInd w:val="0"/>
        <w:spacing w:after="0" w:line="480" w:lineRule="auto"/>
        <w:rPr>
          <w:rFonts w:ascii="Times New Roman" w:hAnsi="Times New Roman"/>
          <w:sz w:val="24"/>
          <w:lang w:val="fr-FR"/>
        </w:rPr>
      </w:pPr>
      <w:r w:rsidRPr="007163C2">
        <w:rPr>
          <w:rFonts w:ascii="Times New Roman" w:hAnsi="Times New Roman"/>
          <w:sz w:val="24"/>
          <w:lang w:val="fr-FR"/>
        </w:rPr>
        <w:t>PBA</w:t>
      </w:r>
      <w:r w:rsidRPr="007163C2">
        <w:rPr>
          <w:rFonts w:ascii="Times New Roman" w:hAnsi="Times New Roman"/>
          <w:sz w:val="24"/>
          <w:lang w:val="fr-FR"/>
        </w:rPr>
        <w:tab/>
      </w:r>
      <w:r w:rsidRPr="007163C2">
        <w:rPr>
          <w:rFonts w:ascii="Times New Roman" w:hAnsi="Times New Roman"/>
          <w:sz w:val="24"/>
          <w:lang w:val="fr-FR"/>
        </w:rPr>
        <w:tab/>
      </w:r>
      <w:r w:rsidRPr="007163C2">
        <w:rPr>
          <w:rFonts w:ascii="Times New Roman" w:hAnsi="Times New Roman"/>
          <w:sz w:val="24"/>
          <w:lang w:val="fr-FR"/>
        </w:rPr>
        <w:tab/>
      </w:r>
      <w:proofErr w:type="spellStart"/>
      <w:r w:rsidRPr="007163C2">
        <w:rPr>
          <w:rFonts w:ascii="Times New Roman" w:hAnsi="Times New Roman"/>
          <w:sz w:val="24"/>
          <w:lang w:val="fr-FR"/>
        </w:rPr>
        <w:t>Projekt</w:t>
      </w:r>
      <w:proofErr w:type="spellEnd"/>
      <w:r w:rsidRPr="007163C2">
        <w:rPr>
          <w:rFonts w:ascii="Times New Roman" w:hAnsi="Times New Roman"/>
          <w:sz w:val="24"/>
          <w:lang w:val="fr-FR"/>
        </w:rPr>
        <w:t xml:space="preserve"> </w:t>
      </w:r>
      <w:proofErr w:type="spellStart"/>
      <w:r w:rsidRPr="007163C2">
        <w:rPr>
          <w:rFonts w:ascii="Times New Roman" w:hAnsi="Times New Roman"/>
          <w:sz w:val="24"/>
          <w:lang w:val="fr-FR"/>
        </w:rPr>
        <w:t>Buxheti</w:t>
      </w:r>
      <w:proofErr w:type="spellEnd"/>
      <w:r w:rsidRPr="007163C2">
        <w:rPr>
          <w:rFonts w:ascii="Times New Roman" w:hAnsi="Times New Roman"/>
          <w:sz w:val="24"/>
          <w:lang w:val="fr-FR"/>
        </w:rPr>
        <w:t xml:space="preserve"> </w:t>
      </w:r>
      <w:proofErr w:type="spellStart"/>
      <w:r w:rsidRPr="007163C2">
        <w:rPr>
          <w:rFonts w:ascii="Times New Roman" w:hAnsi="Times New Roman"/>
          <w:sz w:val="24"/>
          <w:lang w:val="fr-FR"/>
        </w:rPr>
        <w:t>Afatmesëm</w:t>
      </w:r>
      <w:proofErr w:type="spellEnd"/>
    </w:p>
    <w:p w14:paraId="1B83E81D" w14:textId="77777777" w:rsidR="00011153" w:rsidRDefault="00011153" w:rsidP="00E14B65">
      <w:pPr>
        <w:rPr>
          <w:rFonts w:ascii="Times New Roman" w:hAnsi="Times New Roman" w:cs="Times New Roman"/>
          <w:szCs w:val="22"/>
          <w:lang w:val="sq-AL"/>
        </w:rPr>
      </w:pPr>
    </w:p>
    <w:p w14:paraId="3BF682B4" w14:textId="77777777" w:rsidR="00011153" w:rsidRDefault="00011153" w:rsidP="00E14B65">
      <w:pPr>
        <w:rPr>
          <w:rFonts w:ascii="Times New Roman" w:hAnsi="Times New Roman" w:cs="Times New Roman"/>
          <w:szCs w:val="22"/>
          <w:lang w:val="sq-AL"/>
        </w:rPr>
      </w:pPr>
    </w:p>
    <w:p w14:paraId="080F02BB" w14:textId="10F256BE" w:rsidR="005240C4" w:rsidRPr="00817921" w:rsidRDefault="005240C4" w:rsidP="00E14B65">
      <w:pPr>
        <w:rPr>
          <w:rFonts w:ascii="Times New Roman" w:eastAsiaTheme="majorEastAsia" w:hAnsi="Times New Roman" w:cs="Times New Roman"/>
          <w:color w:val="2F5496" w:themeColor="accent1" w:themeShade="BF"/>
          <w:szCs w:val="22"/>
          <w:lang w:val="sq-AL"/>
        </w:rPr>
      </w:pPr>
      <w:r w:rsidRPr="00817921">
        <w:rPr>
          <w:rFonts w:ascii="Times New Roman" w:hAnsi="Times New Roman" w:cs="Times New Roman"/>
          <w:szCs w:val="22"/>
          <w:lang w:val="sq-AL"/>
        </w:rPr>
        <w:br w:type="page"/>
      </w:r>
    </w:p>
    <w:p w14:paraId="677704CB" w14:textId="4A8ACEA4" w:rsidR="00746F32" w:rsidRPr="00817921" w:rsidRDefault="00F05E64" w:rsidP="00E14B65">
      <w:pPr>
        <w:pStyle w:val="Heading1"/>
        <w:rPr>
          <w:rFonts w:ascii="Times New Roman" w:hAnsi="Times New Roman" w:cs="Times New Roman"/>
          <w:sz w:val="24"/>
          <w:szCs w:val="24"/>
          <w:lang w:val="sq-AL"/>
        </w:rPr>
      </w:pPr>
      <w:bookmarkStart w:id="2" w:name="_Toc150809610"/>
      <w:bookmarkStart w:id="3" w:name="_Toc150896478"/>
      <w:r w:rsidRPr="00817921">
        <w:rPr>
          <w:rFonts w:ascii="Times New Roman" w:hAnsi="Times New Roman" w:cs="Times New Roman"/>
          <w:sz w:val="24"/>
          <w:szCs w:val="24"/>
          <w:lang w:val="sq-AL"/>
        </w:rPr>
        <w:t xml:space="preserve">Kuadri </w:t>
      </w:r>
      <w:r w:rsidR="00A6787D" w:rsidRPr="00817921">
        <w:rPr>
          <w:rFonts w:ascii="Times New Roman" w:hAnsi="Times New Roman" w:cs="Times New Roman"/>
          <w:sz w:val="24"/>
          <w:szCs w:val="24"/>
          <w:lang w:val="sq-AL"/>
        </w:rPr>
        <w:t>i p</w:t>
      </w:r>
      <w:r w:rsidR="009A5A0E" w:rsidRPr="00817921">
        <w:rPr>
          <w:rFonts w:ascii="Times New Roman" w:hAnsi="Times New Roman" w:cs="Times New Roman"/>
          <w:sz w:val="24"/>
          <w:szCs w:val="24"/>
          <w:lang w:val="sq-AL"/>
        </w:rPr>
        <w:t>ë</w:t>
      </w:r>
      <w:r w:rsidR="00A6787D" w:rsidRPr="00817921">
        <w:rPr>
          <w:rFonts w:ascii="Times New Roman" w:hAnsi="Times New Roman" w:cs="Times New Roman"/>
          <w:sz w:val="24"/>
          <w:szCs w:val="24"/>
          <w:lang w:val="sq-AL"/>
        </w:rPr>
        <w:t>rgjithsh</w:t>
      </w:r>
      <w:r w:rsidR="009A5A0E" w:rsidRPr="00817921">
        <w:rPr>
          <w:rFonts w:ascii="Times New Roman" w:hAnsi="Times New Roman" w:cs="Times New Roman"/>
          <w:sz w:val="24"/>
          <w:szCs w:val="24"/>
          <w:lang w:val="sq-AL"/>
        </w:rPr>
        <w:t>ë</w:t>
      </w:r>
      <w:r w:rsidR="00A6787D" w:rsidRPr="00817921">
        <w:rPr>
          <w:rFonts w:ascii="Times New Roman" w:hAnsi="Times New Roman" w:cs="Times New Roman"/>
          <w:sz w:val="24"/>
          <w:szCs w:val="24"/>
          <w:lang w:val="sq-AL"/>
        </w:rPr>
        <w:t>m</w:t>
      </w:r>
      <w:bookmarkEnd w:id="2"/>
      <w:bookmarkEnd w:id="3"/>
    </w:p>
    <w:p w14:paraId="339BAA8E" w14:textId="6A50C9D4" w:rsidR="00FE008B" w:rsidRPr="00817921" w:rsidRDefault="00FE008B" w:rsidP="008D0175">
      <w:pPr>
        <w:pStyle w:val="Heading2"/>
        <w:numPr>
          <w:ilvl w:val="1"/>
          <w:numId w:val="4"/>
        </w:numPr>
        <w:rPr>
          <w:rFonts w:ascii="Times New Roman" w:hAnsi="Times New Roman" w:cs="Times New Roman"/>
          <w:sz w:val="24"/>
          <w:szCs w:val="24"/>
          <w:lang w:val="sq-AL"/>
        </w:rPr>
      </w:pPr>
      <w:bookmarkStart w:id="4" w:name="_Toc150809611"/>
      <w:bookmarkStart w:id="5" w:name="_Toc150896479"/>
      <w:r w:rsidRPr="00817921">
        <w:rPr>
          <w:rFonts w:ascii="Times New Roman" w:hAnsi="Times New Roman" w:cs="Times New Roman"/>
          <w:sz w:val="24"/>
          <w:szCs w:val="24"/>
          <w:lang w:val="sq-AL"/>
        </w:rPr>
        <w:t>Konteksti ekonomik</w:t>
      </w:r>
      <w:bookmarkEnd w:id="4"/>
      <w:bookmarkEnd w:id="5"/>
      <w:r w:rsidRPr="00817921">
        <w:rPr>
          <w:rFonts w:ascii="Times New Roman" w:hAnsi="Times New Roman" w:cs="Times New Roman"/>
          <w:sz w:val="24"/>
          <w:szCs w:val="24"/>
          <w:lang w:val="sq-AL"/>
        </w:rPr>
        <w:t xml:space="preserve"> </w:t>
      </w:r>
    </w:p>
    <w:p w14:paraId="18F23A57" w14:textId="77777777" w:rsidR="00722143" w:rsidRPr="00817921" w:rsidRDefault="00722143" w:rsidP="00722143">
      <w:pPr>
        <w:rPr>
          <w:rFonts w:ascii="Times New Roman" w:hAnsi="Times New Roman" w:cs="Times New Roman"/>
          <w:szCs w:val="22"/>
          <w:lang w:val="sq-AL"/>
        </w:rPr>
      </w:pPr>
    </w:p>
    <w:p w14:paraId="7AC8F8A3" w14:textId="255827CE" w:rsidR="00722143" w:rsidRPr="00817921" w:rsidRDefault="007A7C87" w:rsidP="00722143">
      <w:pPr>
        <w:rPr>
          <w:rFonts w:ascii="Times New Roman" w:hAnsi="Times New Roman" w:cs="Times New Roman"/>
          <w:szCs w:val="22"/>
          <w:lang w:val="sq-AL"/>
        </w:rPr>
      </w:pPr>
      <w:r w:rsidRPr="00817921">
        <w:rPr>
          <w:rFonts w:ascii="Times New Roman" w:hAnsi="Times New Roman" w:cs="Times New Roman"/>
          <w:b/>
          <w:bCs/>
          <w:szCs w:val="22"/>
          <w:lang w:val="sq-AL"/>
        </w:rPr>
        <w:t>Rritja ekonomike.</w:t>
      </w:r>
      <w:r w:rsidRPr="00817921">
        <w:rPr>
          <w:rFonts w:ascii="Times New Roman" w:hAnsi="Times New Roman" w:cs="Times New Roman"/>
          <w:szCs w:val="22"/>
          <w:lang w:val="sq-AL"/>
        </w:rPr>
        <w:t xml:space="preserve"> </w:t>
      </w:r>
      <w:r w:rsidR="00866CEF" w:rsidRPr="00817921">
        <w:rPr>
          <w:rFonts w:ascii="Times New Roman" w:hAnsi="Times New Roman" w:cs="Times New Roman"/>
          <w:szCs w:val="22"/>
          <w:lang w:val="sq-AL"/>
        </w:rPr>
        <w:t>P</w:t>
      </w:r>
      <w:r w:rsidR="00722143" w:rsidRPr="00817921">
        <w:rPr>
          <w:rFonts w:ascii="Times New Roman" w:hAnsi="Times New Roman" w:cs="Times New Roman"/>
          <w:szCs w:val="22"/>
          <w:lang w:val="sq-AL"/>
        </w:rPr>
        <w:t>rej vitit 2019</w:t>
      </w:r>
      <w:r w:rsidR="00866CEF" w:rsidRPr="00817921">
        <w:rPr>
          <w:rFonts w:ascii="Times New Roman" w:hAnsi="Times New Roman" w:cs="Times New Roman"/>
          <w:szCs w:val="22"/>
          <w:lang w:val="sq-AL"/>
        </w:rPr>
        <w:t>,</w:t>
      </w:r>
      <w:r w:rsidR="00722143" w:rsidRPr="00817921">
        <w:rPr>
          <w:rFonts w:ascii="Times New Roman" w:hAnsi="Times New Roman" w:cs="Times New Roman"/>
          <w:szCs w:val="22"/>
          <w:lang w:val="sq-AL"/>
        </w:rPr>
        <w:t xml:space="preserve"> </w:t>
      </w:r>
      <w:r w:rsidR="00866CEF" w:rsidRPr="00817921">
        <w:rPr>
          <w:rFonts w:ascii="Times New Roman" w:hAnsi="Times New Roman" w:cs="Times New Roman"/>
          <w:szCs w:val="22"/>
          <w:lang w:val="sq-AL"/>
        </w:rPr>
        <w:t xml:space="preserve">ekonomia shqiptare </w:t>
      </w:r>
      <w:r w:rsidR="00722143" w:rsidRPr="00817921">
        <w:rPr>
          <w:rFonts w:ascii="Times New Roman" w:hAnsi="Times New Roman" w:cs="Times New Roman"/>
          <w:szCs w:val="22"/>
          <w:lang w:val="sq-AL"/>
        </w:rPr>
        <w:t>ka mundur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rballoj</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disa kriza dhe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siguroj</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nj</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rritje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naqshme. Termeti i vitit 2019 dhe situata </w:t>
      </w:r>
      <w:r w:rsidR="002B58F1" w:rsidRPr="00817921">
        <w:rPr>
          <w:rFonts w:ascii="Times New Roman" w:hAnsi="Times New Roman" w:cs="Times New Roman"/>
          <w:szCs w:val="22"/>
          <w:lang w:val="sq-AL"/>
        </w:rPr>
        <w:t xml:space="preserve">pandemike </w:t>
      </w:r>
      <w:r w:rsidR="00722143" w:rsidRPr="00817921">
        <w:rPr>
          <w:rFonts w:ascii="Times New Roman" w:hAnsi="Times New Roman" w:cs="Times New Roman"/>
          <w:szCs w:val="22"/>
          <w:lang w:val="sq-AL"/>
        </w:rPr>
        <w:t>e krijuar nga Covid 19 shkaktuan renien ekonomike prej 3.5%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vitin 2020. Produkti i </w:t>
      </w:r>
      <w:r w:rsidR="008831E9" w:rsidRPr="00817921">
        <w:rPr>
          <w:rFonts w:ascii="Times New Roman" w:hAnsi="Times New Roman" w:cs="Times New Roman"/>
          <w:szCs w:val="22"/>
          <w:lang w:val="sq-AL"/>
        </w:rPr>
        <w:t>B</w:t>
      </w:r>
      <w:r w:rsidR="00722143" w:rsidRPr="00817921">
        <w:rPr>
          <w:rFonts w:ascii="Times New Roman" w:hAnsi="Times New Roman" w:cs="Times New Roman"/>
          <w:szCs w:val="22"/>
          <w:lang w:val="sq-AL"/>
        </w:rPr>
        <w:t>rendsh</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m </w:t>
      </w:r>
      <w:r w:rsidR="008831E9" w:rsidRPr="00817921">
        <w:rPr>
          <w:rFonts w:ascii="Times New Roman" w:hAnsi="Times New Roman" w:cs="Times New Roman"/>
          <w:szCs w:val="22"/>
          <w:lang w:val="sq-AL"/>
        </w:rPr>
        <w:t>B</w:t>
      </w:r>
      <w:r w:rsidR="00722143" w:rsidRPr="00817921">
        <w:rPr>
          <w:rFonts w:ascii="Times New Roman" w:hAnsi="Times New Roman" w:cs="Times New Roman"/>
          <w:szCs w:val="22"/>
          <w:lang w:val="sq-AL"/>
        </w:rPr>
        <w:t xml:space="preserve">ruto </w:t>
      </w:r>
      <w:r w:rsidR="008831E9" w:rsidRPr="00817921">
        <w:rPr>
          <w:rFonts w:ascii="Times New Roman" w:hAnsi="Times New Roman" w:cs="Times New Roman"/>
          <w:szCs w:val="22"/>
          <w:lang w:val="sq-AL"/>
        </w:rPr>
        <w:t xml:space="preserve">(PBB) </w:t>
      </w:r>
      <w:r w:rsidR="00722143" w:rsidRPr="00817921">
        <w:rPr>
          <w:rFonts w:ascii="Times New Roman" w:hAnsi="Times New Roman" w:cs="Times New Roman"/>
          <w:szCs w:val="22"/>
          <w:lang w:val="sq-AL"/>
        </w:rPr>
        <w:t>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soi rritje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ndjeshme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vitin 2021 (8.5%) dhe ndon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se lufta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Ukrain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krijoi kushte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pafavorshme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ekonomin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shkak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kriz</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tregun e mallrave dhe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sh</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rbimeve dhe rritjes s</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inflacionit (mesatarisht 7.4% ne vitin 2022), ekonomia shqiptare ishte e aft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rritej </w:t>
      </w:r>
      <w:r w:rsidR="008831E9" w:rsidRPr="00817921">
        <w:rPr>
          <w:rFonts w:ascii="Times New Roman" w:hAnsi="Times New Roman" w:cs="Times New Roman"/>
          <w:szCs w:val="22"/>
          <w:lang w:val="sq-AL"/>
        </w:rPr>
        <w:t>me</w:t>
      </w:r>
      <w:r w:rsidR="00722143" w:rsidRPr="00817921">
        <w:rPr>
          <w:rFonts w:ascii="Times New Roman" w:hAnsi="Times New Roman" w:cs="Times New Roman"/>
          <w:szCs w:val="22"/>
          <w:lang w:val="sq-AL"/>
        </w:rPr>
        <w:t xml:space="preserve"> 3.7%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vitin 2022</w:t>
      </w:r>
      <w:r w:rsidR="00722143" w:rsidRPr="00817921">
        <w:rPr>
          <w:rFonts w:ascii="Times New Roman" w:hAnsi="Times New Roman" w:cs="Times New Roman"/>
          <w:szCs w:val="22"/>
          <w:vertAlign w:val="superscript"/>
          <w:lang w:val="sq-AL"/>
        </w:rPr>
        <w:footnoteReference w:id="1"/>
      </w:r>
      <w:r w:rsidR="00722143" w:rsidRPr="00817921">
        <w:rPr>
          <w:rFonts w:ascii="Times New Roman" w:hAnsi="Times New Roman" w:cs="Times New Roman"/>
          <w:szCs w:val="22"/>
          <w:lang w:val="sq-AL"/>
        </w:rPr>
        <w:t>. Ekonomia pritet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rritet edhe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vitet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vijim,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rkat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sisht 3.8, 3.9 dhe 4.0 për qind, respektivisht për vitet 2024, 2025 dhe 2026</w:t>
      </w:r>
      <w:r w:rsidR="00722143" w:rsidRPr="00817921">
        <w:rPr>
          <w:rFonts w:ascii="Times New Roman" w:hAnsi="Times New Roman" w:cs="Times New Roman"/>
          <w:szCs w:val="22"/>
          <w:vertAlign w:val="superscript"/>
          <w:lang w:val="sq-AL"/>
        </w:rPr>
        <w:footnoteReference w:id="2"/>
      </w:r>
      <w:r w:rsidR="00722143" w:rsidRPr="00817921">
        <w:rPr>
          <w:rFonts w:ascii="Times New Roman" w:hAnsi="Times New Roman" w:cs="Times New Roman"/>
          <w:szCs w:val="22"/>
          <w:lang w:val="sq-AL"/>
        </w:rPr>
        <w:t>. Inflacioni parashikohet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rikthehet gradualisht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nivelin 3%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fund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vitit 2023 dhe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qendroj</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nivel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periudh</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n afatmesme 2024–2026. Rritja ekonomike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periudh</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afatmesme parashikohet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jet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kryesisht rezultat i rritjes s</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rkes</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 s</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brendshme, pra konsumit privat dhe investimeve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brendshme. K</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rkesa e jashtme neto pritet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ket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kontributin e saj </w:t>
      </w:r>
      <w:r w:rsidR="00866CEF" w:rsidRPr="00817921">
        <w:rPr>
          <w:rFonts w:ascii="Times New Roman" w:hAnsi="Times New Roman" w:cs="Times New Roman"/>
          <w:szCs w:val="22"/>
          <w:lang w:val="sq-AL"/>
        </w:rPr>
        <w:t xml:space="preserve">kryesisht </w:t>
      </w:r>
      <w:r w:rsidR="00722143" w:rsidRPr="00817921">
        <w:rPr>
          <w:rFonts w:ascii="Times New Roman" w:hAnsi="Times New Roman" w:cs="Times New Roman"/>
          <w:szCs w:val="22"/>
          <w:lang w:val="sq-AL"/>
        </w:rPr>
        <w:t>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shkak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rritjes s</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eksporteve, ve</w:t>
      </w:r>
      <w:r w:rsidR="00866CEF" w:rsidRPr="00817921">
        <w:rPr>
          <w:rFonts w:ascii="Times New Roman" w:hAnsi="Times New Roman" w:cs="Times New Roman"/>
          <w:szCs w:val="22"/>
          <w:lang w:val="sq-AL"/>
        </w:rPr>
        <w:t>ç</w:t>
      </w:r>
      <w:r w:rsidR="00722143" w:rsidRPr="00817921">
        <w:rPr>
          <w:rFonts w:ascii="Times New Roman" w:hAnsi="Times New Roman" w:cs="Times New Roman"/>
          <w:szCs w:val="22"/>
          <w:lang w:val="sq-AL"/>
        </w:rPr>
        <w:t>an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risht nga turizmi, por rritja e parashikuar importeve </w:t>
      </w:r>
      <w:r w:rsidR="00866CEF" w:rsidRPr="00817921">
        <w:rPr>
          <w:rFonts w:ascii="Times New Roman" w:hAnsi="Times New Roman" w:cs="Times New Roman"/>
          <w:szCs w:val="22"/>
          <w:lang w:val="sq-AL"/>
        </w:rPr>
        <w:t xml:space="preserve">pritet ta </w:t>
      </w:r>
      <w:r w:rsidR="00722143" w:rsidRPr="00817921">
        <w:rPr>
          <w:rFonts w:ascii="Times New Roman" w:hAnsi="Times New Roman" w:cs="Times New Roman"/>
          <w:szCs w:val="22"/>
          <w:lang w:val="sq-AL"/>
        </w:rPr>
        <w:t>zbeh</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efekt. </w:t>
      </w:r>
      <w:r w:rsidR="00866CEF" w:rsidRPr="00817921">
        <w:rPr>
          <w:rFonts w:ascii="Times New Roman" w:hAnsi="Times New Roman" w:cs="Times New Roman"/>
          <w:szCs w:val="22"/>
          <w:lang w:val="sq-AL"/>
        </w:rPr>
        <w:t xml:space="preserve">PBB </w:t>
      </w:r>
      <w:r w:rsidR="00722143" w:rsidRPr="00817921">
        <w:rPr>
          <w:rFonts w:ascii="Times New Roman" w:hAnsi="Times New Roman" w:cs="Times New Roman"/>
          <w:szCs w:val="22"/>
          <w:lang w:val="sq-AL"/>
        </w:rPr>
        <w:t>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vitin 2022 ishte 6</w:t>
      </w:r>
      <w:r w:rsidR="00866CEF" w:rsidRPr="00817921">
        <w:rPr>
          <w:rFonts w:ascii="Times New Roman" w:hAnsi="Times New Roman" w:cs="Times New Roman"/>
          <w:szCs w:val="22"/>
          <w:lang w:val="sq-AL"/>
        </w:rPr>
        <w:t>,</w:t>
      </w:r>
      <w:r w:rsidR="00722143" w:rsidRPr="00817921">
        <w:rPr>
          <w:rFonts w:ascii="Times New Roman" w:hAnsi="Times New Roman" w:cs="Times New Roman"/>
          <w:szCs w:val="22"/>
          <w:lang w:val="sq-AL"/>
        </w:rPr>
        <w:t>757 USD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frym</w:t>
      </w:r>
      <w:r w:rsidR="009A5A0E" w:rsidRPr="00817921">
        <w:rPr>
          <w:rFonts w:ascii="Times New Roman" w:hAnsi="Times New Roman" w:cs="Times New Roman"/>
          <w:szCs w:val="22"/>
          <w:lang w:val="sq-AL"/>
        </w:rPr>
        <w:t>ë</w:t>
      </w:r>
      <w:r w:rsidR="00F64783" w:rsidRPr="00817921">
        <w:rPr>
          <w:rFonts w:ascii="Times New Roman" w:hAnsi="Times New Roman" w:cs="Times New Roman"/>
          <w:szCs w:val="22"/>
          <w:lang w:val="sq-AL"/>
        </w:rPr>
        <w:t xml:space="preserve"> krahasuar me 4,579 USD n</w:t>
      </w:r>
      <w:r w:rsidR="009A5A0E" w:rsidRPr="00817921">
        <w:rPr>
          <w:rFonts w:ascii="Times New Roman" w:hAnsi="Times New Roman" w:cs="Times New Roman"/>
          <w:szCs w:val="22"/>
          <w:lang w:val="sq-AL"/>
        </w:rPr>
        <w:t>ë</w:t>
      </w:r>
      <w:r w:rsidR="00F64783" w:rsidRPr="00817921">
        <w:rPr>
          <w:rFonts w:ascii="Times New Roman" w:hAnsi="Times New Roman" w:cs="Times New Roman"/>
          <w:szCs w:val="22"/>
          <w:lang w:val="sq-AL"/>
        </w:rPr>
        <w:t xml:space="preserve"> vitin 2014</w:t>
      </w:r>
      <w:r w:rsidR="00722143" w:rsidRPr="00817921">
        <w:rPr>
          <w:rFonts w:ascii="Times New Roman" w:hAnsi="Times New Roman" w:cs="Times New Roman"/>
          <w:szCs w:val="22"/>
          <w:lang w:val="sq-AL"/>
        </w:rPr>
        <w:t xml:space="preserve">. </w:t>
      </w:r>
    </w:p>
    <w:p w14:paraId="3B59275D" w14:textId="2EB9A346" w:rsidR="00812430" w:rsidRPr="00817921" w:rsidRDefault="00812430" w:rsidP="00722143">
      <w:pPr>
        <w:rPr>
          <w:rFonts w:ascii="Times New Roman" w:hAnsi="Times New Roman" w:cs="Times New Roman"/>
          <w:szCs w:val="22"/>
          <w:lang w:val="sq-AL"/>
        </w:rPr>
      </w:pPr>
      <w:r w:rsidRPr="00817921">
        <w:rPr>
          <w:rFonts w:ascii="Times New Roman" w:hAnsi="Times New Roman" w:cs="Times New Roman"/>
          <w:szCs w:val="22"/>
          <w:lang w:val="sq-AL"/>
        </w:rPr>
        <w:t>Kontributi kryesor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rritjen e PBB i atribuohet zgjerimit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aktivitetit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sektorin e sh</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rbimeve dhe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rtimit,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rkoh</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q</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sektor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t e industris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dhe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bujq</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kan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patur nj</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ecuri m</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ngadalt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dhe m</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luhatshme. Rritja e k</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rkes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 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brendshme ka buruar nga konsumi privat,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rsa ecuria e investimeve ka qen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e luhatur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var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ecuris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sektorit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rtimit (rritja e konsumit privat </w:t>
      </w:r>
      <w:r w:rsidR="007A7C87" w:rsidRPr="00817921">
        <w:rPr>
          <w:rFonts w:ascii="Times New Roman" w:hAnsi="Times New Roman" w:cs="Times New Roman"/>
          <w:szCs w:val="22"/>
          <w:lang w:val="sq-AL"/>
        </w:rPr>
        <w:t>n</w:t>
      </w:r>
      <w:r w:rsidR="009A5A0E" w:rsidRPr="00817921">
        <w:rPr>
          <w:rFonts w:ascii="Times New Roman" w:hAnsi="Times New Roman" w:cs="Times New Roman"/>
          <w:szCs w:val="22"/>
          <w:lang w:val="sq-AL"/>
        </w:rPr>
        <w:t>ë</w:t>
      </w:r>
      <w:r w:rsidR="007A7C87" w:rsidRPr="00817921">
        <w:rPr>
          <w:rFonts w:ascii="Times New Roman" w:hAnsi="Times New Roman" w:cs="Times New Roman"/>
          <w:szCs w:val="22"/>
          <w:lang w:val="sq-AL"/>
        </w:rPr>
        <w:t xml:space="preserve"> vitin 2022 ishte </w:t>
      </w:r>
      <w:r w:rsidRPr="00817921">
        <w:rPr>
          <w:rFonts w:ascii="Times New Roman" w:hAnsi="Times New Roman" w:cs="Times New Roman"/>
          <w:szCs w:val="22"/>
          <w:lang w:val="sq-AL"/>
        </w:rPr>
        <w:t>8.4%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rsa norma mesatare e investimeve u rrit me 4.6%). </w:t>
      </w:r>
    </w:p>
    <w:p w14:paraId="1CCE8270" w14:textId="6A291955" w:rsidR="00812430" w:rsidRPr="00817921" w:rsidRDefault="00EA1F24" w:rsidP="00812430">
      <w:pPr>
        <w:rPr>
          <w:rFonts w:ascii="Times New Roman" w:hAnsi="Times New Roman" w:cs="Times New Roman"/>
          <w:szCs w:val="22"/>
          <w:lang w:val="sq-AL"/>
        </w:rPr>
      </w:pPr>
      <w:r w:rsidRPr="00817921">
        <w:rPr>
          <w:rFonts w:ascii="Times New Roman" w:hAnsi="Times New Roman" w:cs="Times New Roman"/>
          <w:b/>
          <w:bCs/>
          <w:szCs w:val="22"/>
          <w:lang w:val="sq-AL"/>
        </w:rPr>
        <w:t>Investimet e Huaja Direkte.</w:t>
      </w:r>
      <w:r w:rsidRPr="00817921">
        <w:rPr>
          <w:rFonts w:ascii="Times New Roman" w:hAnsi="Times New Roman" w:cs="Times New Roman"/>
          <w:szCs w:val="22"/>
          <w:lang w:val="sq-AL"/>
        </w:rPr>
        <w:t xml:space="preserve"> </w:t>
      </w:r>
      <w:r w:rsidR="00812430" w:rsidRPr="00817921">
        <w:rPr>
          <w:rFonts w:ascii="Times New Roman" w:hAnsi="Times New Roman" w:cs="Times New Roman"/>
          <w:szCs w:val="22"/>
          <w:lang w:val="sq-AL"/>
        </w:rPr>
        <w:t>Fluksi i IHD-të është rritur ndjeshëm në dhjetë vitet e fundit - i nxitur, ndër të tjera, nga reformat</w:t>
      </w:r>
      <w:r w:rsidR="00DD3C05" w:rsidRPr="00817921">
        <w:rPr>
          <w:rFonts w:ascii="Times New Roman" w:hAnsi="Times New Roman" w:cs="Times New Roman"/>
          <w:szCs w:val="22"/>
          <w:lang w:val="sq-AL"/>
        </w:rPr>
        <w:t xml:space="preserve"> </w:t>
      </w:r>
      <w:r w:rsidR="00812430" w:rsidRPr="00817921">
        <w:rPr>
          <w:rFonts w:ascii="Times New Roman" w:hAnsi="Times New Roman" w:cs="Times New Roman"/>
          <w:szCs w:val="22"/>
          <w:lang w:val="sq-AL"/>
        </w:rPr>
        <w:t>p</w:t>
      </w:r>
      <w:r w:rsidR="009A5A0E" w:rsidRPr="00817921">
        <w:rPr>
          <w:rFonts w:ascii="Times New Roman" w:hAnsi="Times New Roman" w:cs="Times New Roman"/>
          <w:szCs w:val="22"/>
          <w:lang w:val="sq-AL"/>
        </w:rPr>
        <w:t>ë</w:t>
      </w:r>
      <w:r w:rsidR="00812430" w:rsidRPr="00817921">
        <w:rPr>
          <w:rFonts w:ascii="Times New Roman" w:hAnsi="Times New Roman" w:cs="Times New Roman"/>
          <w:szCs w:val="22"/>
          <w:lang w:val="sq-AL"/>
        </w:rPr>
        <w:t>r p</w:t>
      </w:r>
      <w:r w:rsidR="009A5A0E" w:rsidRPr="00817921">
        <w:rPr>
          <w:rFonts w:ascii="Times New Roman" w:hAnsi="Times New Roman" w:cs="Times New Roman"/>
          <w:szCs w:val="22"/>
          <w:lang w:val="sq-AL"/>
        </w:rPr>
        <w:t>ë</w:t>
      </w:r>
      <w:r w:rsidR="00812430" w:rsidRPr="00817921">
        <w:rPr>
          <w:rFonts w:ascii="Times New Roman" w:hAnsi="Times New Roman" w:cs="Times New Roman"/>
          <w:szCs w:val="22"/>
          <w:lang w:val="sq-AL"/>
        </w:rPr>
        <w:t>rmir</w:t>
      </w:r>
      <w:r w:rsidR="009A5A0E" w:rsidRPr="00817921">
        <w:rPr>
          <w:rFonts w:ascii="Times New Roman" w:hAnsi="Times New Roman" w:cs="Times New Roman"/>
          <w:szCs w:val="22"/>
          <w:lang w:val="sq-AL"/>
        </w:rPr>
        <w:t>ë</w:t>
      </w:r>
      <w:r w:rsidR="00812430" w:rsidRPr="00817921">
        <w:rPr>
          <w:rFonts w:ascii="Times New Roman" w:hAnsi="Times New Roman" w:cs="Times New Roman"/>
          <w:szCs w:val="22"/>
          <w:lang w:val="sq-AL"/>
        </w:rPr>
        <w:t xml:space="preserve">simin e klimës së investimeve. Në vitin </w:t>
      </w:r>
      <w:r w:rsidR="00DD3C05" w:rsidRPr="00817921">
        <w:rPr>
          <w:rFonts w:ascii="Times New Roman" w:hAnsi="Times New Roman" w:cs="Times New Roman"/>
          <w:szCs w:val="22"/>
          <w:lang w:val="sq-AL"/>
        </w:rPr>
        <w:t>2022</w:t>
      </w:r>
      <w:r w:rsidR="00812430" w:rsidRPr="00817921">
        <w:rPr>
          <w:rFonts w:ascii="Times New Roman" w:hAnsi="Times New Roman" w:cs="Times New Roman"/>
          <w:szCs w:val="22"/>
          <w:lang w:val="sq-AL"/>
        </w:rPr>
        <w:t xml:space="preserve">, fluksi i IHD-ve arriti në </w:t>
      </w:r>
      <w:r w:rsidR="00DD3C05" w:rsidRPr="00817921">
        <w:rPr>
          <w:rFonts w:ascii="Times New Roman" w:hAnsi="Times New Roman" w:cs="Times New Roman"/>
          <w:szCs w:val="22"/>
          <w:lang w:val="sq-AL"/>
        </w:rPr>
        <w:t>rreth</w:t>
      </w:r>
      <w:r w:rsidR="00812430" w:rsidRPr="00817921">
        <w:rPr>
          <w:rFonts w:ascii="Times New Roman" w:hAnsi="Times New Roman" w:cs="Times New Roman"/>
          <w:szCs w:val="22"/>
          <w:lang w:val="sq-AL"/>
        </w:rPr>
        <w:t xml:space="preserve"> 1</w:t>
      </w:r>
      <w:r w:rsidR="00DD3C05" w:rsidRPr="00817921">
        <w:rPr>
          <w:rFonts w:ascii="Times New Roman" w:hAnsi="Times New Roman" w:cs="Times New Roman"/>
          <w:szCs w:val="22"/>
          <w:lang w:val="sq-AL"/>
        </w:rPr>
        <w:t>.</w:t>
      </w:r>
      <w:r w:rsidR="00C062D8" w:rsidRPr="00817921">
        <w:rPr>
          <w:rFonts w:ascii="Times New Roman" w:hAnsi="Times New Roman" w:cs="Times New Roman"/>
          <w:szCs w:val="22"/>
          <w:lang w:val="sq-AL"/>
        </w:rPr>
        <w:t>44</w:t>
      </w:r>
      <w:r w:rsidR="00812430" w:rsidRPr="00817921">
        <w:rPr>
          <w:rFonts w:ascii="Times New Roman" w:hAnsi="Times New Roman" w:cs="Times New Roman"/>
          <w:szCs w:val="22"/>
          <w:lang w:val="sq-AL"/>
        </w:rPr>
        <w:t xml:space="preserve"> miliard</w:t>
      </w:r>
      <w:r w:rsidR="00C062D8" w:rsidRPr="00817921">
        <w:rPr>
          <w:rFonts w:ascii="Times New Roman" w:hAnsi="Times New Roman" w:cs="Times New Roman"/>
          <w:szCs w:val="22"/>
          <w:lang w:val="sq-AL"/>
        </w:rPr>
        <w:t xml:space="preserve"> USD</w:t>
      </w:r>
      <w:r w:rsidR="00C062D8" w:rsidRPr="00817921">
        <w:rPr>
          <w:rStyle w:val="FootnoteReference"/>
          <w:rFonts w:ascii="Times New Roman" w:hAnsi="Times New Roman" w:cs="Times New Roman"/>
          <w:szCs w:val="22"/>
          <w:lang w:val="sq-AL"/>
        </w:rPr>
        <w:footnoteReference w:id="3"/>
      </w:r>
      <w:r w:rsidR="00812430" w:rsidRPr="00817921">
        <w:rPr>
          <w:rFonts w:ascii="Times New Roman" w:hAnsi="Times New Roman" w:cs="Times New Roman"/>
          <w:szCs w:val="22"/>
          <w:lang w:val="sq-AL"/>
        </w:rPr>
        <w:t xml:space="preserve">. FDI-të neto </w:t>
      </w:r>
      <w:r w:rsidR="000D24B6" w:rsidRPr="00817921">
        <w:rPr>
          <w:rFonts w:ascii="Times New Roman" w:hAnsi="Times New Roman" w:cs="Times New Roman"/>
          <w:szCs w:val="22"/>
          <w:lang w:val="sq-AL"/>
        </w:rPr>
        <w:t>p</w:t>
      </w:r>
      <w:r w:rsidR="009A5A0E" w:rsidRPr="00817921">
        <w:rPr>
          <w:rFonts w:ascii="Times New Roman" w:hAnsi="Times New Roman" w:cs="Times New Roman"/>
          <w:szCs w:val="22"/>
          <w:lang w:val="sq-AL"/>
        </w:rPr>
        <w:t>ë</w:t>
      </w:r>
      <w:r w:rsidR="000D24B6" w:rsidRPr="00817921">
        <w:rPr>
          <w:rFonts w:ascii="Times New Roman" w:hAnsi="Times New Roman" w:cs="Times New Roman"/>
          <w:szCs w:val="22"/>
          <w:lang w:val="sq-AL"/>
        </w:rPr>
        <w:t>rb</w:t>
      </w:r>
      <w:r w:rsidR="009A5A0E" w:rsidRPr="00817921">
        <w:rPr>
          <w:rFonts w:ascii="Times New Roman" w:hAnsi="Times New Roman" w:cs="Times New Roman"/>
          <w:szCs w:val="22"/>
          <w:lang w:val="sq-AL"/>
        </w:rPr>
        <w:t>ë</w:t>
      </w:r>
      <w:r w:rsidR="000D24B6" w:rsidRPr="00817921">
        <w:rPr>
          <w:rFonts w:ascii="Times New Roman" w:hAnsi="Times New Roman" w:cs="Times New Roman"/>
          <w:szCs w:val="22"/>
          <w:lang w:val="sq-AL"/>
        </w:rPr>
        <w:t>jn</w:t>
      </w:r>
      <w:r w:rsidR="009A5A0E" w:rsidRPr="00817921">
        <w:rPr>
          <w:rFonts w:ascii="Times New Roman" w:hAnsi="Times New Roman" w:cs="Times New Roman"/>
          <w:szCs w:val="22"/>
          <w:lang w:val="sq-AL"/>
        </w:rPr>
        <w:t>ë</w:t>
      </w:r>
      <w:r w:rsidR="00812430" w:rsidRPr="00817921">
        <w:rPr>
          <w:rFonts w:ascii="Times New Roman" w:hAnsi="Times New Roman" w:cs="Times New Roman"/>
          <w:szCs w:val="22"/>
          <w:lang w:val="sq-AL"/>
        </w:rPr>
        <w:t xml:space="preserve"> 7.</w:t>
      </w:r>
      <w:r w:rsidR="000D24B6" w:rsidRPr="00817921">
        <w:rPr>
          <w:rFonts w:ascii="Times New Roman" w:hAnsi="Times New Roman" w:cs="Times New Roman"/>
          <w:szCs w:val="22"/>
          <w:lang w:val="sq-AL"/>
        </w:rPr>
        <w:t>3</w:t>
      </w:r>
      <w:r w:rsidR="00812430" w:rsidRPr="00817921">
        <w:rPr>
          <w:rFonts w:ascii="Times New Roman" w:hAnsi="Times New Roman" w:cs="Times New Roman"/>
          <w:szCs w:val="22"/>
          <w:lang w:val="sq-AL"/>
        </w:rPr>
        <w:t>% të PBB-së – një nga vlerat më të larta në vendet e Ballkanit Perëndimor</w:t>
      </w:r>
      <w:r w:rsidR="00812430" w:rsidRPr="00817921">
        <w:rPr>
          <w:rFonts w:ascii="Times New Roman" w:hAnsi="Times New Roman" w:cs="Times New Roman"/>
          <w:szCs w:val="22"/>
          <w:vertAlign w:val="superscript"/>
          <w:lang w:val="sq-AL"/>
        </w:rPr>
        <w:footnoteReference w:id="4"/>
      </w:r>
      <w:r w:rsidR="00812430" w:rsidRPr="00817921">
        <w:rPr>
          <w:rFonts w:ascii="Times New Roman" w:hAnsi="Times New Roman" w:cs="Times New Roman"/>
          <w:szCs w:val="22"/>
          <w:lang w:val="sq-AL"/>
        </w:rPr>
        <w:t>.</w:t>
      </w:r>
      <w:r w:rsidR="00590D80" w:rsidRPr="00817921">
        <w:rPr>
          <w:rFonts w:ascii="Times New Roman" w:hAnsi="Times New Roman" w:cs="Times New Roman"/>
          <w:szCs w:val="22"/>
          <w:lang w:val="sq-AL"/>
        </w:rPr>
        <w:t xml:space="preserve"> </w:t>
      </w:r>
      <w:r w:rsidR="000D24B6" w:rsidRPr="00817921">
        <w:rPr>
          <w:rFonts w:ascii="Times New Roman" w:hAnsi="Times New Roman" w:cs="Times New Roman"/>
          <w:szCs w:val="22"/>
          <w:lang w:val="sq-AL"/>
        </w:rPr>
        <w:t>Kontribues n</w:t>
      </w:r>
      <w:r w:rsidR="009A5A0E" w:rsidRPr="00817921">
        <w:rPr>
          <w:rFonts w:ascii="Times New Roman" w:hAnsi="Times New Roman" w:cs="Times New Roman"/>
          <w:szCs w:val="22"/>
          <w:lang w:val="sq-AL"/>
        </w:rPr>
        <w:t>ë</w:t>
      </w:r>
      <w:r w:rsidR="000D24B6" w:rsidRPr="00817921">
        <w:rPr>
          <w:rFonts w:ascii="Times New Roman" w:hAnsi="Times New Roman" w:cs="Times New Roman"/>
          <w:szCs w:val="22"/>
          <w:lang w:val="sq-AL"/>
        </w:rPr>
        <w:t xml:space="preserve"> rritje kan</w:t>
      </w:r>
      <w:r w:rsidR="009A5A0E" w:rsidRPr="00817921">
        <w:rPr>
          <w:rFonts w:ascii="Times New Roman" w:hAnsi="Times New Roman" w:cs="Times New Roman"/>
          <w:szCs w:val="22"/>
          <w:lang w:val="sq-AL"/>
        </w:rPr>
        <w:t>ë</w:t>
      </w:r>
      <w:r w:rsidR="000D24B6" w:rsidRPr="00817921">
        <w:rPr>
          <w:rFonts w:ascii="Times New Roman" w:hAnsi="Times New Roman" w:cs="Times New Roman"/>
          <w:szCs w:val="22"/>
          <w:lang w:val="sq-AL"/>
        </w:rPr>
        <w:t xml:space="preserve"> qen</w:t>
      </w:r>
      <w:r w:rsidR="009A5A0E" w:rsidRPr="00817921">
        <w:rPr>
          <w:rFonts w:ascii="Times New Roman" w:hAnsi="Times New Roman" w:cs="Times New Roman"/>
          <w:szCs w:val="22"/>
          <w:lang w:val="sq-AL"/>
        </w:rPr>
        <w:t>ë</w:t>
      </w:r>
      <w:r w:rsidR="000D24B6" w:rsidRPr="00817921">
        <w:rPr>
          <w:rFonts w:ascii="Times New Roman" w:hAnsi="Times New Roman" w:cs="Times New Roman"/>
          <w:szCs w:val="22"/>
          <w:lang w:val="sq-AL"/>
        </w:rPr>
        <w:t xml:space="preserve"> kryesisht </w:t>
      </w:r>
      <w:r w:rsidR="00DD3C05" w:rsidRPr="00817921">
        <w:rPr>
          <w:rFonts w:ascii="Times New Roman" w:hAnsi="Times New Roman" w:cs="Times New Roman"/>
          <w:szCs w:val="22"/>
          <w:lang w:val="sq-AL"/>
        </w:rPr>
        <w:t>sektorët e “Pasurive të paluajtshme”, “Energjisë”,  “Industrisë nxjerrëse”  dhe  “Industrisë përpunuese”, me ndikime pozitive me bazë të gjerë edhe nga degët e tjera. Burimi kryesor i IHD-ve në këtë periudhë, ka ardhur nga ri</w:t>
      </w:r>
      <w:r w:rsidR="000D24B6" w:rsidRPr="00817921">
        <w:rPr>
          <w:rFonts w:ascii="Times New Roman" w:hAnsi="Times New Roman" w:cs="Times New Roman"/>
          <w:szCs w:val="22"/>
          <w:lang w:val="sq-AL"/>
        </w:rPr>
        <w:t xml:space="preserve"> </w:t>
      </w:r>
      <w:r w:rsidR="00DD3C05" w:rsidRPr="00817921">
        <w:rPr>
          <w:rFonts w:ascii="Times New Roman" w:hAnsi="Times New Roman" w:cs="Times New Roman"/>
          <w:szCs w:val="22"/>
          <w:lang w:val="sq-AL"/>
        </w:rPr>
        <w:t xml:space="preserve">investimi i fitimeve të kompanive, duke reflektuar rentabilitetin e investimit në ekonomi. </w:t>
      </w:r>
      <w:r w:rsidR="00812430" w:rsidRPr="00817921">
        <w:rPr>
          <w:rFonts w:ascii="Times New Roman" w:hAnsi="Times New Roman" w:cs="Times New Roman"/>
          <w:szCs w:val="22"/>
          <w:lang w:val="sq-AL"/>
        </w:rPr>
        <w:t>Vendet e BE-</w:t>
      </w:r>
      <w:r w:rsidR="000D24B6" w:rsidRPr="00817921">
        <w:rPr>
          <w:rFonts w:ascii="Times New Roman" w:hAnsi="Times New Roman" w:cs="Times New Roman"/>
          <w:szCs w:val="22"/>
          <w:lang w:val="sq-AL"/>
        </w:rPr>
        <w:t>s</w:t>
      </w:r>
      <w:r w:rsidR="009A5A0E" w:rsidRPr="00817921">
        <w:rPr>
          <w:rFonts w:ascii="Times New Roman" w:hAnsi="Times New Roman" w:cs="Times New Roman"/>
          <w:szCs w:val="22"/>
          <w:lang w:val="sq-AL"/>
        </w:rPr>
        <w:t>ë</w:t>
      </w:r>
      <w:r w:rsidR="00812430" w:rsidRPr="00817921">
        <w:rPr>
          <w:rFonts w:ascii="Times New Roman" w:hAnsi="Times New Roman" w:cs="Times New Roman"/>
          <w:szCs w:val="22"/>
          <w:lang w:val="sq-AL"/>
        </w:rPr>
        <w:t xml:space="preserve"> </w:t>
      </w:r>
      <w:r w:rsidR="000D24B6" w:rsidRPr="00817921">
        <w:rPr>
          <w:rFonts w:ascii="Times New Roman" w:hAnsi="Times New Roman" w:cs="Times New Roman"/>
          <w:szCs w:val="22"/>
          <w:lang w:val="sq-AL"/>
        </w:rPr>
        <w:t>(Zvicra - 18.9% të stokut, Holanda - 16.2%, Italia- 9.6 % dhe Turqia -7.2 %) zënë 54.2% të stokut total të IHD-ve. Burim i rend</w:t>
      </w:r>
      <w:r w:rsidR="009A5A0E" w:rsidRPr="00817921">
        <w:rPr>
          <w:rFonts w:ascii="Times New Roman" w:hAnsi="Times New Roman" w:cs="Times New Roman"/>
          <w:szCs w:val="22"/>
          <w:lang w:val="sq-AL"/>
        </w:rPr>
        <w:t>ë</w:t>
      </w:r>
      <w:r w:rsidR="000D24B6" w:rsidRPr="00817921">
        <w:rPr>
          <w:rFonts w:ascii="Times New Roman" w:hAnsi="Times New Roman" w:cs="Times New Roman"/>
          <w:szCs w:val="22"/>
          <w:lang w:val="sq-AL"/>
        </w:rPr>
        <w:t>sish</w:t>
      </w:r>
      <w:r w:rsidR="009A5A0E" w:rsidRPr="00817921">
        <w:rPr>
          <w:rFonts w:ascii="Times New Roman" w:hAnsi="Times New Roman" w:cs="Times New Roman"/>
          <w:szCs w:val="22"/>
          <w:lang w:val="sq-AL"/>
        </w:rPr>
        <w:t>ë</w:t>
      </w:r>
      <w:r w:rsidR="000D24B6" w:rsidRPr="00817921">
        <w:rPr>
          <w:rFonts w:ascii="Times New Roman" w:hAnsi="Times New Roman" w:cs="Times New Roman"/>
          <w:szCs w:val="22"/>
          <w:lang w:val="sq-AL"/>
        </w:rPr>
        <w:t>m mbetet gjithashtu Kanadaja - 12.8 %</w:t>
      </w:r>
      <w:r w:rsidR="00812430" w:rsidRPr="00817921">
        <w:rPr>
          <w:rFonts w:ascii="Times New Roman" w:hAnsi="Times New Roman" w:cs="Times New Roman"/>
          <w:szCs w:val="22"/>
          <w:vertAlign w:val="superscript"/>
          <w:lang w:val="sq-AL"/>
        </w:rPr>
        <w:footnoteReference w:id="5"/>
      </w:r>
      <w:r w:rsidR="00812430" w:rsidRPr="00817921">
        <w:rPr>
          <w:rFonts w:ascii="Times New Roman" w:hAnsi="Times New Roman" w:cs="Times New Roman"/>
          <w:szCs w:val="22"/>
          <w:vertAlign w:val="superscript"/>
          <w:lang w:val="sq-AL"/>
        </w:rPr>
        <w:t>.</w:t>
      </w:r>
      <w:r w:rsidR="00590D80" w:rsidRPr="00817921">
        <w:rPr>
          <w:rFonts w:ascii="Times New Roman" w:hAnsi="Times New Roman" w:cs="Times New Roman"/>
          <w:szCs w:val="22"/>
          <w:lang w:val="sq-AL"/>
        </w:rPr>
        <w:t xml:space="preserve">. </w:t>
      </w:r>
    </w:p>
    <w:p w14:paraId="396EC719" w14:textId="69064D6A" w:rsidR="00812430" w:rsidRPr="00817921" w:rsidRDefault="00812430" w:rsidP="00812430">
      <w:pPr>
        <w:rPr>
          <w:rFonts w:ascii="Times New Roman" w:hAnsi="Times New Roman" w:cs="Times New Roman"/>
          <w:szCs w:val="22"/>
          <w:lang w:val="sq-AL"/>
        </w:rPr>
      </w:pPr>
      <w:r w:rsidRPr="00817921">
        <w:rPr>
          <w:rFonts w:ascii="Times New Roman" w:hAnsi="Times New Roman" w:cs="Times New Roman"/>
          <w:szCs w:val="22"/>
          <w:lang w:val="sq-AL"/>
        </w:rPr>
        <w:t>Klima e investimeve në Shqipëri është përmirësuar gjatë viteve të fundit. Sipas Indeksit 2019 të OECD-së për Kufizimet Rregullatore të IHD-ve, regjimi i IHD-ve në Shqipëri është më pak kufizues se sa mesatarja e OECD-së apo ekonomisë së BE-së, por më pak i hapur ndaj IHD-ve se sa vendet e tjera të Ballkanit Perëndimor</w:t>
      </w:r>
      <w:r w:rsidR="00950D6B" w:rsidRPr="00817921">
        <w:rPr>
          <w:rStyle w:val="FootnoteReference"/>
          <w:rFonts w:ascii="Times New Roman" w:hAnsi="Times New Roman" w:cs="Times New Roman"/>
          <w:szCs w:val="22"/>
          <w:lang w:val="sq-AL"/>
        </w:rPr>
        <w:footnoteReference w:id="6"/>
      </w:r>
      <w:r w:rsidR="00950D6B" w:rsidRPr="00817921">
        <w:rPr>
          <w:rFonts w:ascii="Times New Roman" w:hAnsi="Times New Roman" w:cs="Times New Roman"/>
          <w:szCs w:val="22"/>
          <w:vertAlign w:val="subscript"/>
          <w:lang w:val="sq-AL"/>
        </w:rPr>
        <w:t>.</w:t>
      </w:r>
      <w:r w:rsidR="001D6094" w:rsidRPr="00817921">
        <w:rPr>
          <w:rFonts w:ascii="Times New Roman" w:hAnsi="Times New Roman" w:cs="Times New Roman"/>
          <w:szCs w:val="22"/>
          <w:vertAlign w:val="subscript"/>
          <w:lang w:val="sq-AL"/>
        </w:rPr>
        <w:t xml:space="preserve"> </w:t>
      </w:r>
      <w:r w:rsidR="001D6094" w:rsidRPr="00817921">
        <w:rPr>
          <w:rFonts w:ascii="Times New Roman" w:hAnsi="Times New Roman" w:cs="Times New Roman"/>
          <w:szCs w:val="22"/>
          <w:lang w:val="sq-AL"/>
        </w:rPr>
        <w:t>Niveli i kreditimit p</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r ekonomin</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 xml:space="preserve"> mbetet i ul</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t. N</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 xml:space="preserve"> vitin 2022 ai ishte 34% e PBB, cka </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 xml:space="preserve"> dhe nj</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 xml:space="preserve"> nga shifrat m</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 xml:space="preserve"> ulta t</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 xml:space="preserve"> kreditimit n</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 xml:space="preserve"> ekonomi n</w:t>
      </w:r>
      <w:r w:rsidR="009A5A0E" w:rsidRPr="00817921">
        <w:rPr>
          <w:rFonts w:ascii="Times New Roman" w:hAnsi="Times New Roman" w:cs="Times New Roman"/>
          <w:szCs w:val="22"/>
          <w:lang w:val="sq-AL"/>
        </w:rPr>
        <w:t>ë</w:t>
      </w:r>
      <w:r w:rsidR="001D6094" w:rsidRPr="00817921">
        <w:rPr>
          <w:rFonts w:ascii="Times New Roman" w:hAnsi="Times New Roman" w:cs="Times New Roman"/>
          <w:szCs w:val="22"/>
          <w:lang w:val="sq-AL"/>
        </w:rPr>
        <w:t xml:space="preserve"> vendet e Ballkanit Perendimor</w:t>
      </w:r>
      <w:r w:rsidR="00840174" w:rsidRPr="00817921">
        <w:rPr>
          <w:rFonts w:ascii="Times New Roman" w:hAnsi="Times New Roman" w:cs="Times New Roman"/>
          <w:szCs w:val="22"/>
          <w:lang w:val="sq-AL"/>
        </w:rPr>
        <w:t>, por nj</w:t>
      </w:r>
      <w:r w:rsidR="009A5A0E" w:rsidRPr="00817921">
        <w:rPr>
          <w:rFonts w:ascii="Times New Roman" w:hAnsi="Times New Roman" w:cs="Times New Roman"/>
          <w:szCs w:val="22"/>
          <w:lang w:val="sq-AL"/>
        </w:rPr>
        <w:t>ë</w:t>
      </w:r>
      <w:r w:rsidR="00840174" w:rsidRPr="00817921">
        <w:rPr>
          <w:rFonts w:ascii="Times New Roman" w:hAnsi="Times New Roman" w:cs="Times New Roman"/>
          <w:szCs w:val="22"/>
          <w:lang w:val="sq-AL"/>
        </w:rPr>
        <w:t>koh</w:t>
      </w:r>
      <w:r w:rsidR="009A5A0E" w:rsidRPr="00817921">
        <w:rPr>
          <w:rFonts w:ascii="Times New Roman" w:hAnsi="Times New Roman" w:cs="Times New Roman"/>
          <w:szCs w:val="22"/>
          <w:lang w:val="sq-AL"/>
        </w:rPr>
        <w:t>ë</w:t>
      </w:r>
      <w:r w:rsidR="00840174" w:rsidRPr="00817921">
        <w:rPr>
          <w:rFonts w:ascii="Times New Roman" w:hAnsi="Times New Roman" w:cs="Times New Roman"/>
          <w:szCs w:val="22"/>
          <w:lang w:val="sq-AL"/>
        </w:rPr>
        <w:t>sisht dhe nj</w:t>
      </w:r>
      <w:r w:rsidR="009A5A0E" w:rsidRPr="00817921">
        <w:rPr>
          <w:rFonts w:ascii="Times New Roman" w:hAnsi="Times New Roman" w:cs="Times New Roman"/>
          <w:szCs w:val="22"/>
          <w:lang w:val="sq-AL"/>
        </w:rPr>
        <w:t>ë</w:t>
      </w:r>
      <w:r w:rsidR="00840174" w:rsidRPr="00817921">
        <w:rPr>
          <w:rFonts w:ascii="Times New Roman" w:hAnsi="Times New Roman" w:cs="Times New Roman"/>
          <w:szCs w:val="22"/>
          <w:lang w:val="sq-AL"/>
        </w:rPr>
        <w:t xml:space="preserve"> potencial i rend</w:t>
      </w:r>
      <w:r w:rsidR="009A5A0E" w:rsidRPr="00817921">
        <w:rPr>
          <w:rFonts w:ascii="Times New Roman" w:hAnsi="Times New Roman" w:cs="Times New Roman"/>
          <w:szCs w:val="22"/>
          <w:lang w:val="sq-AL"/>
        </w:rPr>
        <w:t>ë</w:t>
      </w:r>
      <w:r w:rsidR="00840174" w:rsidRPr="00817921">
        <w:rPr>
          <w:rFonts w:ascii="Times New Roman" w:hAnsi="Times New Roman" w:cs="Times New Roman"/>
          <w:szCs w:val="22"/>
          <w:lang w:val="sq-AL"/>
        </w:rPr>
        <w:t>sish</w:t>
      </w:r>
      <w:r w:rsidR="009A5A0E" w:rsidRPr="00817921">
        <w:rPr>
          <w:rFonts w:ascii="Times New Roman" w:hAnsi="Times New Roman" w:cs="Times New Roman"/>
          <w:szCs w:val="22"/>
          <w:lang w:val="sq-AL"/>
        </w:rPr>
        <w:t>ë</w:t>
      </w:r>
      <w:r w:rsidR="00840174" w:rsidRPr="00817921">
        <w:rPr>
          <w:rFonts w:ascii="Times New Roman" w:hAnsi="Times New Roman" w:cs="Times New Roman"/>
          <w:szCs w:val="22"/>
          <w:lang w:val="sq-AL"/>
        </w:rPr>
        <w:t>m financiar n</w:t>
      </w:r>
      <w:r w:rsidR="009A5A0E" w:rsidRPr="00817921">
        <w:rPr>
          <w:rFonts w:ascii="Times New Roman" w:hAnsi="Times New Roman" w:cs="Times New Roman"/>
          <w:szCs w:val="22"/>
          <w:lang w:val="sq-AL"/>
        </w:rPr>
        <w:t>ë</w:t>
      </w:r>
      <w:r w:rsidR="00840174" w:rsidRPr="00817921">
        <w:rPr>
          <w:rFonts w:ascii="Times New Roman" w:hAnsi="Times New Roman" w:cs="Times New Roman"/>
          <w:szCs w:val="22"/>
          <w:lang w:val="sq-AL"/>
        </w:rPr>
        <w:t xml:space="preserve"> dispozicion t</w:t>
      </w:r>
      <w:r w:rsidR="009A5A0E" w:rsidRPr="00817921">
        <w:rPr>
          <w:rFonts w:ascii="Times New Roman" w:hAnsi="Times New Roman" w:cs="Times New Roman"/>
          <w:szCs w:val="22"/>
          <w:lang w:val="sq-AL"/>
        </w:rPr>
        <w:t>ë</w:t>
      </w:r>
      <w:r w:rsidR="00840174" w:rsidRPr="00817921">
        <w:rPr>
          <w:rFonts w:ascii="Times New Roman" w:hAnsi="Times New Roman" w:cs="Times New Roman"/>
          <w:szCs w:val="22"/>
          <w:lang w:val="sq-AL"/>
        </w:rPr>
        <w:t xml:space="preserve"> rritjes ekonomike n</w:t>
      </w:r>
      <w:r w:rsidR="009A5A0E" w:rsidRPr="00817921">
        <w:rPr>
          <w:rFonts w:ascii="Times New Roman" w:hAnsi="Times New Roman" w:cs="Times New Roman"/>
          <w:szCs w:val="22"/>
          <w:lang w:val="sq-AL"/>
        </w:rPr>
        <w:t>ë</w:t>
      </w:r>
      <w:r w:rsidR="00840174" w:rsidRPr="00817921">
        <w:rPr>
          <w:rFonts w:ascii="Times New Roman" w:hAnsi="Times New Roman" w:cs="Times New Roman"/>
          <w:szCs w:val="22"/>
          <w:lang w:val="sq-AL"/>
        </w:rPr>
        <w:t xml:space="preserve"> vitet q</w:t>
      </w:r>
      <w:r w:rsidR="009A5A0E" w:rsidRPr="00817921">
        <w:rPr>
          <w:rFonts w:ascii="Times New Roman" w:hAnsi="Times New Roman" w:cs="Times New Roman"/>
          <w:szCs w:val="22"/>
          <w:lang w:val="sq-AL"/>
        </w:rPr>
        <w:t>ë</w:t>
      </w:r>
      <w:r w:rsidR="00840174" w:rsidRPr="00817921">
        <w:rPr>
          <w:rFonts w:ascii="Times New Roman" w:hAnsi="Times New Roman" w:cs="Times New Roman"/>
          <w:szCs w:val="22"/>
          <w:lang w:val="sq-AL"/>
        </w:rPr>
        <w:t xml:space="preserve"> vijn</w:t>
      </w:r>
      <w:r w:rsidR="009A5A0E" w:rsidRPr="00817921">
        <w:rPr>
          <w:rFonts w:ascii="Times New Roman" w:hAnsi="Times New Roman" w:cs="Times New Roman"/>
          <w:szCs w:val="22"/>
          <w:lang w:val="sq-AL"/>
        </w:rPr>
        <w:t>ë</w:t>
      </w:r>
      <w:r w:rsidR="00840174" w:rsidRPr="00817921">
        <w:rPr>
          <w:rFonts w:ascii="Times New Roman" w:hAnsi="Times New Roman" w:cs="Times New Roman"/>
          <w:szCs w:val="22"/>
          <w:lang w:val="sq-AL"/>
        </w:rPr>
        <w:t>.</w:t>
      </w:r>
    </w:p>
    <w:p w14:paraId="69D8DDB3" w14:textId="4A6B8FEA" w:rsidR="00812430" w:rsidRPr="00817921" w:rsidRDefault="00B21B3A" w:rsidP="00812430">
      <w:pPr>
        <w:rPr>
          <w:rFonts w:ascii="Times New Roman" w:hAnsi="Times New Roman" w:cs="Times New Roman"/>
          <w:szCs w:val="22"/>
          <w:lang w:val="sq-AL"/>
        </w:rPr>
      </w:pPr>
      <w:r w:rsidRPr="00817921">
        <w:rPr>
          <w:rFonts w:ascii="Times New Roman" w:hAnsi="Times New Roman" w:cs="Times New Roman"/>
          <w:b/>
          <w:bCs/>
          <w:szCs w:val="22"/>
          <w:lang w:val="sq-AL"/>
        </w:rPr>
        <w:t>T</w:t>
      </w:r>
      <w:r w:rsidR="009A5A0E" w:rsidRPr="00817921">
        <w:rPr>
          <w:rFonts w:ascii="Times New Roman" w:hAnsi="Times New Roman" w:cs="Times New Roman"/>
          <w:b/>
          <w:bCs/>
          <w:szCs w:val="22"/>
          <w:lang w:val="sq-AL"/>
        </w:rPr>
        <w:t>ë</w:t>
      </w:r>
      <w:r w:rsidRPr="00817921">
        <w:rPr>
          <w:rFonts w:ascii="Times New Roman" w:hAnsi="Times New Roman" w:cs="Times New Roman"/>
          <w:b/>
          <w:bCs/>
          <w:szCs w:val="22"/>
          <w:lang w:val="sq-AL"/>
        </w:rPr>
        <w:t xml:space="preserve"> ardhurat buxhetore.</w:t>
      </w:r>
      <w:r w:rsidRPr="00817921">
        <w:rPr>
          <w:rFonts w:ascii="Times New Roman" w:hAnsi="Times New Roman" w:cs="Times New Roman"/>
          <w:szCs w:val="22"/>
          <w:lang w:val="sq-AL"/>
        </w:rPr>
        <w:t xml:space="preserve"> </w:t>
      </w:r>
      <w:r w:rsidR="00717572" w:rsidRPr="00817921">
        <w:rPr>
          <w:rFonts w:ascii="Times New Roman" w:hAnsi="Times New Roman" w:cs="Times New Roman"/>
          <w:szCs w:val="22"/>
          <w:lang w:val="sq-AL"/>
        </w:rPr>
        <w:t>Të ardhurat totale të buxhetit për tre vjetët në vijim (2024–2026) parashikohet të rriten mesatarisht me rreth 3.7</w:t>
      </w:r>
      <w:r w:rsidR="00560E41" w:rsidRPr="00817921">
        <w:rPr>
          <w:rFonts w:ascii="Times New Roman" w:hAnsi="Times New Roman" w:cs="Times New Roman"/>
          <w:szCs w:val="22"/>
          <w:lang w:val="sq-AL"/>
        </w:rPr>
        <w:t>%</w:t>
      </w:r>
      <w:r w:rsidR="00264E77" w:rsidRPr="00817921">
        <w:rPr>
          <w:rFonts w:ascii="Times New Roman" w:hAnsi="Times New Roman" w:cs="Times New Roman"/>
          <w:szCs w:val="22"/>
          <w:lang w:val="sq-AL"/>
        </w:rPr>
        <w:t xml:space="preserve"> </w:t>
      </w:r>
      <w:r w:rsidR="00717572" w:rsidRPr="00817921">
        <w:rPr>
          <w:rFonts w:ascii="Times New Roman" w:hAnsi="Times New Roman" w:cs="Times New Roman"/>
          <w:szCs w:val="22"/>
          <w:lang w:val="sq-AL"/>
        </w:rPr>
        <w:t>në çdo vit. Më specifikisht 0.7</w:t>
      </w:r>
      <w:r w:rsidR="00560E41" w:rsidRPr="00817921">
        <w:rPr>
          <w:rFonts w:ascii="Times New Roman" w:hAnsi="Times New Roman" w:cs="Times New Roman"/>
          <w:szCs w:val="22"/>
          <w:lang w:val="sq-AL"/>
        </w:rPr>
        <w:t>%</w:t>
      </w:r>
      <w:r w:rsidR="00717572" w:rsidRPr="00817921">
        <w:rPr>
          <w:rFonts w:ascii="Times New Roman" w:hAnsi="Times New Roman" w:cs="Times New Roman"/>
          <w:szCs w:val="22"/>
          <w:lang w:val="sq-AL"/>
        </w:rPr>
        <w:t xml:space="preserve"> për vitin 2024; 4.9</w:t>
      </w:r>
      <w:r w:rsidR="00560E41" w:rsidRPr="00817921">
        <w:rPr>
          <w:rFonts w:ascii="Times New Roman" w:hAnsi="Times New Roman" w:cs="Times New Roman"/>
          <w:szCs w:val="22"/>
          <w:lang w:val="sq-AL"/>
        </w:rPr>
        <w:t xml:space="preserve">% </w:t>
      </w:r>
      <w:r w:rsidR="00717572" w:rsidRPr="00817921">
        <w:rPr>
          <w:rFonts w:ascii="Times New Roman" w:hAnsi="Times New Roman" w:cs="Times New Roman"/>
          <w:szCs w:val="22"/>
          <w:lang w:val="sq-AL"/>
        </w:rPr>
        <w:t xml:space="preserve">për </w:t>
      </w:r>
      <w:r w:rsidR="00560E41" w:rsidRPr="00817921">
        <w:rPr>
          <w:rFonts w:ascii="Times New Roman" w:hAnsi="Times New Roman" w:cs="Times New Roman"/>
          <w:szCs w:val="22"/>
          <w:lang w:val="sq-AL"/>
        </w:rPr>
        <w:t xml:space="preserve">vitin </w:t>
      </w:r>
      <w:r w:rsidR="00717572" w:rsidRPr="00817921">
        <w:rPr>
          <w:rFonts w:ascii="Times New Roman" w:hAnsi="Times New Roman" w:cs="Times New Roman"/>
          <w:szCs w:val="22"/>
          <w:lang w:val="sq-AL"/>
        </w:rPr>
        <w:t xml:space="preserve">2025; dhe 5.5 </w:t>
      </w:r>
      <w:r w:rsidR="00560E41" w:rsidRPr="00817921">
        <w:rPr>
          <w:rFonts w:ascii="Times New Roman" w:hAnsi="Times New Roman" w:cs="Times New Roman"/>
          <w:szCs w:val="22"/>
          <w:lang w:val="sq-AL"/>
        </w:rPr>
        <w:t>%</w:t>
      </w:r>
      <w:r w:rsidR="00717572" w:rsidRPr="00817921">
        <w:rPr>
          <w:rFonts w:ascii="Times New Roman" w:hAnsi="Times New Roman" w:cs="Times New Roman"/>
          <w:szCs w:val="22"/>
          <w:lang w:val="sq-AL"/>
        </w:rPr>
        <w:t xml:space="preserve"> për </w:t>
      </w:r>
      <w:r w:rsidR="00560E41" w:rsidRPr="00817921">
        <w:rPr>
          <w:rFonts w:ascii="Times New Roman" w:hAnsi="Times New Roman" w:cs="Times New Roman"/>
          <w:szCs w:val="22"/>
          <w:lang w:val="sq-AL"/>
        </w:rPr>
        <w:t xml:space="preserve">vitin </w:t>
      </w:r>
      <w:r w:rsidR="00717572" w:rsidRPr="00817921">
        <w:rPr>
          <w:rFonts w:ascii="Times New Roman" w:hAnsi="Times New Roman" w:cs="Times New Roman"/>
          <w:szCs w:val="22"/>
          <w:lang w:val="sq-AL"/>
        </w:rPr>
        <w:t xml:space="preserve">2026. Të ardhurat tatimore për këtë periudhë parashikohen me një rritje mesatare vjetore prej rreth 4.9%. Burimet totale të qeverisë për t’u shpenzuar gjatë viteve 2024–2026 pritet të jenë mesatarisht 729.2 miliardë lekë në çdo vit ose mesatarisht rreth 30.3 për qind e PBB-së. Investimet publike janë programuar të mbahen në </w:t>
      </w:r>
      <w:r w:rsidR="00264E77" w:rsidRPr="00817921">
        <w:rPr>
          <w:rFonts w:ascii="Times New Roman" w:hAnsi="Times New Roman" w:cs="Times New Roman"/>
          <w:szCs w:val="22"/>
          <w:lang w:val="sq-AL"/>
        </w:rPr>
        <w:t>nivelin mesatar</w:t>
      </w:r>
      <w:r w:rsidR="00717572" w:rsidRPr="00817921">
        <w:rPr>
          <w:rFonts w:ascii="Times New Roman" w:hAnsi="Times New Roman" w:cs="Times New Roman"/>
          <w:szCs w:val="22"/>
          <w:lang w:val="sq-AL"/>
        </w:rPr>
        <w:t xml:space="preserve"> 5.1</w:t>
      </w:r>
      <w:r w:rsidR="00264E77" w:rsidRPr="00817921">
        <w:rPr>
          <w:rFonts w:ascii="Times New Roman" w:hAnsi="Times New Roman" w:cs="Times New Roman"/>
          <w:szCs w:val="22"/>
          <w:lang w:val="sq-AL"/>
        </w:rPr>
        <w:t xml:space="preserve">% </w:t>
      </w:r>
      <w:r w:rsidR="00717572" w:rsidRPr="00817921">
        <w:rPr>
          <w:rFonts w:ascii="Times New Roman" w:hAnsi="Times New Roman" w:cs="Times New Roman"/>
          <w:szCs w:val="22"/>
          <w:lang w:val="sq-AL"/>
        </w:rPr>
        <w:t>të PBB-së në çdo vit (</w:t>
      </w:r>
      <w:r w:rsidR="00264E77" w:rsidRPr="00817921">
        <w:rPr>
          <w:rFonts w:ascii="Times New Roman" w:hAnsi="Times New Roman" w:cs="Times New Roman"/>
          <w:szCs w:val="22"/>
          <w:lang w:val="sq-AL"/>
        </w:rPr>
        <w:t xml:space="preserve">ato </w:t>
      </w:r>
      <w:r w:rsidR="00717572" w:rsidRPr="00817921">
        <w:rPr>
          <w:rFonts w:ascii="Times New Roman" w:hAnsi="Times New Roman" w:cs="Times New Roman"/>
          <w:szCs w:val="22"/>
          <w:lang w:val="sq-AL"/>
        </w:rPr>
        <w:t>vetëm nga qeveria qendrore, pa përfshirë ato nga qeveria lokale), i cili konsiderohet një nivel i përshtatshëm për mbështetjen e një rritje ekonomike të lartë e të qëndrueshme.</w:t>
      </w:r>
    </w:p>
    <w:p w14:paraId="27A2888B" w14:textId="662F43F3" w:rsidR="00AC79B6" w:rsidRPr="00817921" w:rsidRDefault="00AC79B6" w:rsidP="00722143">
      <w:pPr>
        <w:rPr>
          <w:rFonts w:ascii="Times New Roman" w:hAnsi="Times New Roman" w:cs="Times New Roman"/>
          <w:szCs w:val="22"/>
          <w:lang w:val="sq-AL"/>
        </w:rPr>
      </w:pPr>
      <w:r w:rsidRPr="00817921">
        <w:rPr>
          <w:rFonts w:ascii="Times New Roman" w:hAnsi="Times New Roman" w:cs="Times New Roman"/>
          <w:szCs w:val="22"/>
          <w:lang w:val="sq-AL"/>
        </w:rPr>
        <w:t>Pavar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sisht parashikimeve pozitive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 rritjen ekonomike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Shqip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ris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vitet e ardhshme, vler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sohet q</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ekzistojn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faktor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rrezikues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 k</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rritje.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till</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jan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ato q</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lidhen me rritjen e m</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tejshme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çmimeve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ushqimeve dhe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energjis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çka do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ulte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ardhurat reale dhe do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dob</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sonte perspektiv</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n rrit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ekonomis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Gjithashtu, masat shtrenguese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kushtet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rkomb</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tare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financimit mund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v</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shtir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soj</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aksesin e Shqip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ris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tregun financiar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rkomb</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tar. Ekonomia shqiptare mbetet e brisht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edhe ndaj kushteve atmosferike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pafavorshme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rmbytje/that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apo tendenc</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 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kund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rt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rritjes 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çmimeve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pasuris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patund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shme q</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do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ulte kontributin e sektor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ve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ekonomi si dhe do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rriste ekspozimin e bankave ndaj nj</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risku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shtuar.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matric</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n vler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suese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risqeve, Shqip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ria paraqitet me rrezik</w:t>
      </w:r>
      <w:r w:rsidR="007F68C7" w:rsidRPr="00817921">
        <w:rPr>
          <w:rFonts w:ascii="Times New Roman" w:hAnsi="Times New Roman" w:cs="Times New Roman"/>
          <w:szCs w:val="22"/>
          <w:lang w:val="sq-AL"/>
        </w:rPr>
        <w:t>/ekspozim</w:t>
      </w:r>
      <w:r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lart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lidhur me faktor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jasht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m si luhatjet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çmimet e mallrave, 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nia ekonomike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vendet e Europ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 efektet e</w:t>
      </w:r>
      <w:r w:rsidR="00DF1D34">
        <w:rPr>
          <w:rFonts w:ascii="Times New Roman" w:hAnsi="Times New Roman" w:cs="Times New Roman"/>
          <w:szCs w:val="22"/>
          <w:lang w:val="sq-AL"/>
        </w:rPr>
        <w:t xml:space="preserve"> tërmetit, pandemisë Covid 19, e më tej të</w:t>
      </w:r>
      <w:r w:rsidRPr="00817921">
        <w:rPr>
          <w:rFonts w:ascii="Times New Roman" w:hAnsi="Times New Roman" w:cs="Times New Roman"/>
          <w:szCs w:val="22"/>
          <w:lang w:val="sq-AL"/>
        </w:rPr>
        <w:t xml:space="preserve"> luft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Ukrain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apo lidhur me faktor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brendsh</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m si borxhi publik, cil</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sia e ul</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t e PIM dhe PPP. </w:t>
      </w:r>
      <w:r w:rsidR="00902FB3" w:rsidRPr="00817921">
        <w:rPr>
          <w:rFonts w:ascii="Times New Roman" w:hAnsi="Times New Roman" w:cs="Times New Roman"/>
          <w:szCs w:val="22"/>
          <w:lang w:val="sq-AL"/>
        </w:rPr>
        <w:t>Ajo kategorizohet me rrezik t</w:t>
      </w:r>
      <w:r w:rsidR="009A5A0E" w:rsidRPr="00817921">
        <w:rPr>
          <w:rFonts w:ascii="Times New Roman" w:hAnsi="Times New Roman" w:cs="Times New Roman"/>
          <w:szCs w:val="22"/>
          <w:lang w:val="sq-AL"/>
        </w:rPr>
        <w:t>ë</w:t>
      </w:r>
      <w:r w:rsidR="00902FB3" w:rsidRPr="00817921">
        <w:rPr>
          <w:rFonts w:ascii="Times New Roman" w:hAnsi="Times New Roman" w:cs="Times New Roman"/>
          <w:szCs w:val="22"/>
          <w:lang w:val="sq-AL"/>
        </w:rPr>
        <w:t xml:space="preserve"> mes</w:t>
      </w:r>
      <w:r w:rsidR="009A5A0E" w:rsidRPr="00817921">
        <w:rPr>
          <w:rFonts w:ascii="Times New Roman" w:hAnsi="Times New Roman" w:cs="Times New Roman"/>
          <w:szCs w:val="22"/>
          <w:lang w:val="sq-AL"/>
        </w:rPr>
        <w:t>ë</w:t>
      </w:r>
      <w:r w:rsidR="00902FB3" w:rsidRPr="00817921">
        <w:rPr>
          <w:rFonts w:ascii="Times New Roman" w:hAnsi="Times New Roman" w:cs="Times New Roman"/>
          <w:szCs w:val="22"/>
          <w:lang w:val="sq-AL"/>
        </w:rPr>
        <w:t xml:space="preserve">m </w:t>
      </w:r>
      <w:r w:rsidRPr="00817921">
        <w:rPr>
          <w:rFonts w:ascii="Times New Roman" w:hAnsi="Times New Roman" w:cs="Times New Roman"/>
          <w:szCs w:val="22"/>
          <w:lang w:val="sq-AL"/>
        </w:rPr>
        <w:t>lidhur me inflacionin, situata</w:t>
      </w:r>
      <w:r w:rsidR="00902FB3" w:rsidRPr="00817921">
        <w:rPr>
          <w:rFonts w:ascii="Times New Roman" w:hAnsi="Times New Roman" w:cs="Times New Roman"/>
          <w:szCs w:val="22"/>
          <w:lang w:val="sq-AL"/>
        </w:rPr>
        <w:t>t e mundshme</w:t>
      </w:r>
      <w:r w:rsidRPr="00817921">
        <w:rPr>
          <w:rFonts w:ascii="Times New Roman" w:hAnsi="Times New Roman" w:cs="Times New Roman"/>
          <w:szCs w:val="22"/>
          <w:lang w:val="sq-AL"/>
        </w:rPr>
        <w:t xml:space="preserve"> pandemike, katastrofat natyrore</w:t>
      </w:r>
      <w:r w:rsidR="00902FB3" w:rsidRPr="00817921">
        <w:rPr>
          <w:rFonts w:ascii="Times New Roman" w:hAnsi="Times New Roman" w:cs="Times New Roman"/>
          <w:szCs w:val="22"/>
          <w:lang w:val="sq-AL"/>
        </w:rPr>
        <w:t xml:space="preserve"> dhe kushtet klimaterike, </w:t>
      </w:r>
      <w:r w:rsidRPr="00817921">
        <w:rPr>
          <w:rFonts w:ascii="Times New Roman" w:hAnsi="Times New Roman" w:cs="Times New Roman"/>
          <w:szCs w:val="22"/>
          <w:lang w:val="sq-AL"/>
        </w:rPr>
        <w:t>brisht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financiare</w:t>
      </w:r>
      <w:r w:rsidR="00902FB3"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902FB3" w:rsidRPr="00817921">
        <w:rPr>
          <w:rFonts w:ascii="Times New Roman" w:hAnsi="Times New Roman" w:cs="Times New Roman"/>
          <w:szCs w:val="22"/>
          <w:lang w:val="sq-AL"/>
        </w:rPr>
        <w:t xml:space="preserve"> popullat</w:t>
      </w:r>
      <w:r w:rsidR="009A5A0E" w:rsidRPr="00817921">
        <w:rPr>
          <w:rFonts w:ascii="Times New Roman" w:hAnsi="Times New Roman" w:cs="Times New Roman"/>
          <w:szCs w:val="22"/>
          <w:lang w:val="sq-AL"/>
        </w:rPr>
        <w:t>ë</w:t>
      </w:r>
      <w:r w:rsidR="00902FB3" w:rsidRPr="00817921">
        <w:rPr>
          <w:rFonts w:ascii="Times New Roman" w:hAnsi="Times New Roman" w:cs="Times New Roman"/>
          <w:szCs w:val="22"/>
          <w:lang w:val="sq-AL"/>
        </w:rPr>
        <w:t>s</w:t>
      </w:r>
      <w:r w:rsidRPr="00817921">
        <w:rPr>
          <w:rFonts w:ascii="Times New Roman" w:hAnsi="Times New Roman" w:cs="Times New Roman"/>
          <w:szCs w:val="22"/>
          <w:lang w:val="sq-AL"/>
        </w:rPr>
        <w:t>, rritjen e pak</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naq</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sociale</w:t>
      </w:r>
      <w:r w:rsidRPr="00817921">
        <w:rPr>
          <w:rStyle w:val="FootnoteReference"/>
          <w:rFonts w:ascii="Times New Roman" w:hAnsi="Times New Roman" w:cs="Times New Roman"/>
          <w:szCs w:val="22"/>
          <w:lang w:val="sq-AL"/>
        </w:rPr>
        <w:footnoteReference w:id="7"/>
      </w:r>
      <w:r w:rsidRPr="00817921">
        <w:rPr>
          <w:rFonts w:ascii="Times New Roman" w:hAnsi="Times New Roman" w:cs="Times New Roman"/>
          <w:szCs w:val="22"/>
          <w:lang w:val="sq-AL"/>
        </w:rPr>
        <w:t xml:space="preserve">. </w:t>
      </w:r>
    </w:p>
    <w:p w14:paraId="18A8BF69" w14:textId="135E4499" w:rsidR="00722143" w:rsidRPr="00817921" w:rsidRDefault="007F68C7" w:rsidP="00722143">
      <w:pPr>
        <w:rPr>
          <w:rFonts w:ascii="Times New Roman" w:hAnsi="Times New Roman" w:cs="Times New Roman"/>
          <w:szCs w:val="22"/>
          <w:lang w:val="sq-AL"/>
        </w:rPr>
      </w:pPr>
      <w:r w:rsidRPr="00817921">
        <w:rPr>
          <w:rFonts w:ascii="Times New Roman" w:hAnsi="Times New Roman" w:cs="Times New Roman"/>
          <w:b/>
          <w:bCs/>
          <w:szCs w:val="22"/>
          <w:lang w:val="sq-AL"/>
        </w:rPr>
        <w:t>Tregu i pun</w:t>
      </w:r>
      <w:r w:rsidR="009A5A0E" w:rsidRPr="00817921">
        <w:rPr>
          <w:rFonts w:ascii="Times New Roman" w:hAnsi="Times New Roman" w:cs="Times New Roman"/>
          <w:b/>
          <w:bCs/>
          <w:szCs w:val="22"/>
          <w:lang w:val="sq-AL"/>
        </w:rPr>
        <w:t>ë</w:t>
      </w:r>
      <w:r w:rsidRPr="00817921">
        <w:rPr>
          <w:rFonts w:ascii="Times New Roman" w:hAnsi="Times New Roman" w:cs="Times New Roman"/>
          <w:b/>
          <w:bCs/>
          <w:szCs w:val="22"/>
          <w:lang w:val="sq-AL"/>
        </w:rPr>
        <w:t>s</w:t>
      </w:r>
      <w:r w:rsidR="00524267" w:rsidRPr="00817921">
        <w:rPr>
          <w:rFonts w:ascii="Times New Roman" w:hAnsi="Times New Roman" w:cs="Times New Roman"/>
          <w:b/>
          <w:bCs/>
          <w:szCs w:val="22"/>
          <w:lang w:val="sq-AL"/>
        </w:rPr>
        <w:t xml:space="preserve"> dhe pagat</w:t>
      </w:r>
      <w:r w:rsidRPr="00817921">
        <w:rPr>
          <w:rFonts w:ascii="Times New Roman" w:hAnsi="Times New Roman" w:cs="Times New Roman"/>
          <w:b/>
          <w:bCs/>
          <w:szCs w:val="22"/>
          <w:lang w:val="sq-AL"/>
        </w:rPr>
        <w:t>.</w:t>
      </w:r>
      <w:r w:rsidRPr="00817921">
        <w:rPr>
          <w:rFonts w:ascii="Times New Roman" w:hAnsi="Times New Roman" w:cs="Times New Roman"/>
          <w:szCs w:val="22"/>
          <w:lang w:val="sq-AL"/>
        </w:rPr>
        <w:t xml:space="preserve"> </w:t>
      </w:r>
      <w:r w:rsidR="00722143" w:rsidRPr="00817921">
        <w:rPr>
          <w:rFonts w:ascii="Times New Roman" w:hAnsi="Times New Roman" w:cs="Times New Roman"/>
          <w:szCs w:val="22"/>
          <w:lang w:val="sq-AL"/>
        </w:rPr>
        <w:t>Treguesit e tregut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pun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 jan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rmir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suar vitet e fundit. </w:t>
      </w:r>
      <w:r w:rsidR="00D63129" w:rsidRPr="00817921">
        <w:rPr>
          <w:rFonts w:ascii="Times New Roman" w:hAnsi="Times New Roman" w:cs="Times New Roman"/>
          <w:szCs w:val="22"/>
          <w:lang w:val="sq-AL"/>
        </w:rPr>
        <w:t>Megjithat</w:t>
      </w:r>
      <w:r w:rsidR="009A5A0E" w:rsidRPr="00817921">
        <w:rPr>
          <w:rFonts w:ascii="Times New Roman" w:hAnsi="Times New Roman" w:cs="Times New Roman"/>
          <w:szCs w:val="22"/>
          <w:lang w:val="sq-AL"/>
        </w:rPr>
        <w:t>ë</w:t>
      </w:r>
      <w:r w:rsidR="00D63129" w:rsidRPr="00817921">
        <w:rPr>
          <w:rFonts w:ascii="Times New Roman" w:hAnsi="Times New Roman" w:cs="Times New Roman"/>
          <w:szCs w:val="22"/>
          <w:lang w:val="sq-AL"/>
        </w:rPr>
        <w:t>, s</w:t>
      </w:r>
      <w:r w:rsidR="00722143" w:rsidRPr="00817921">
        <w:rPr>
          <w:rFonts w:ascii="Times New Roman" w:hAnsi="Times New Roman" w:cs="Times New Roman"/>
          <w:szCs w:val="22"/>
          <w:lang w:val="sq-AL"/>
        </w:rPr>
        <w:t xml:space="preserve">hkalla e ulët e pjesëmarrjes në fuqinë punëtore dhe nivelet e larta të papunësisë vazhdojnë të karakterizojnë tregun kombëtar të punës. Shkalla e pjesëmarrjes në fuqinë punëtore </w:t>
      </w:r>
      <w:r w:rsidR="001717DE" w:rsidRPr="00817921">
        <w:rPr>
          <w:rFonts w:ascii="Times New Roman" w:hAnsi="Times New Roman" w:cs="Times New Roman"/>
          <w:szCs w:val="22"/>
          <w:lang w:val="sq-AL"/>
        </w:rPr>
        <w:t>p</w:t>
      </w:r>
      <w:r w:rsidR="009A5A0E" w:rsidRPr="00817921">
        <w:rPr>
          <w:rFonts w:ascii="Times New Roman" w:hAnsi="Times New Roman" w:cs="Times New Roman"/>
          <w:szCs w:val="22"/>
          <w:lang w:val="sq-AL"/>
        </w:rPr>
        <w:t>ë</w:t>
      </w:r>
      <w:r w:rsidR="001717DE" w:rsidRPr="00817921">
        <w:rPr>
          <w:rFonts w:ascii="Times New Roman" w:hAnsi="Times New Roman" w:cs="Times New Roman"/>
          <w:szCs w:val="22"/>
          <w:lang w:val="sq-AL"/>
        </w:rPr>
        <w:t>r popullsin</w:t>
      </w:r>
      <w:r w:rsidR="009A5A0E" w:rsidRPr="00817921">
        <w:rPr>
          <w:rFonts w:ascii="Times New Roman" w:hAnsi="Times New Roman" w:cs="Times New Roman"/>
          <w:szCs w:val="22"/>
          <w:lang w:val="sq-AL"/>
        </w:rPr>
        <w:t>ë</w:t>
      </w:r>
      <w:r w:rsidR="001717DE" w:rsidRPr="00817921">
        <w:rPr>
          <w:rFonts w:ascii="Times New Roman" w:hAnsi="Times New Roman" w:cs="Times New Roman"/>
          <w:szCs w:val="22"/>
          <w:lang w:val="sq-AL"/>
        </w:rPr>
        <w:t xml:space="preserve"> 15-64 vje</w:t>
      </w:r>
      <w:r w:rsidR="00FE3076" w:rsidRPr="00817921">
        <w:rPr>
          <w:rFonts w:ascii="Times New Roman" w:hAnsi="Times New Roman" w:cs="Times New Roman"/>
          <w:szCs w:val="22"/>
          <w:lang w:val="sq-AL"/>
        </w:rPr>
        <w:t>ç</w:t>
      </w:r>
      <w:r w:rsidR="001717DE" w:rsidRPr="00817921">
        <w:rPr>
          <w:rFonts w:ascii="Times New Roman" w:hAnsi="Times New Roman" w:cs="Times New Roman"/>
          <w:szCs w:val="22"/>
          <w:lang w:val="sq-AL"/>
        </w:rPr>
        <w:t xml:space="preserve"> </w:t>
      </w:r>
      <w:r w:rsidR="00722143" w:rsidRPr="00817921">
        <w:rPr>
          <w:rFonts w:ascii="Times New Roman" w:hAnsi="Times New Roman" w:cs="Times New Roman"/>
          <w:szCs w:val="22"/>
          <w:lang w:val="sq-AL"/>
        </w:rPr>
        <w:t>në dekadën e fundit është luhatur midis 50-</w:t>
      </w:r>
      <w:r w:rsidR="001717DE" w:rsidRPr="00817921">
        <w:rPr>
          <w:rFonts w:ascii="Times New Roman" w:hAnsi="Times New Roman" w:cs="Times New Roman"/>
          <w:szCs w:val="22"/>
          <w:lang w:val="sq-AL"/>
        </w:rPr>
        <w:t>7</w:t>
      </w:r>
      <w:r w:rsidR="00722143" w:rsidRPr="00817921">
        <w:rPr>
          <w:rFonts w:ascii="Times New Roman" w:hAnsi="Times New Roman" w:cs="Times New Roman"/>
          <w:szCs w:val="22"/>
          <w:lang w:val="sq-AL"/>
        </w:rPr>
        <w:t xml:space="preserve">0% (52.4% në vitin 2013 dhe </w:t>
      </w:r>
      <w:r w:rsidR="001717DE" w:rsidRPr="00817921">
        <w:rPr>
          <w:rFonts w:ascii="Times New Roman" w:hAnsi="Times New Roman" w:cs="Times New Roman"/>
          <w:szCs w:val="22"/>
          <w:lang w:val="sq-AL"/>
        </w:rPr>
        <w:t>69.3</w:t>
      </w:r>
      <w:r w:rsidR="00722143" w:rsidRPr="00817921">
        <w:rPr>
          <w:rFonts w:ascii="Times New Roman" w:hAnsi="Times New Roman" w:cs="Times New Roman"/>
          <w:szCs w:val="22"/>
          <w:lang w:val="sq-AL"/>
        </w:rPr>
        <w:t>% në vitin 20</w:t>
      </w:r>
      <w:r w:rsidR="001717DE" w:rsidRPr="00817921">
        <w:rPr>
          <w:rFonts w:ascii="Times New Roman" w:hAnsi="Times New Roman" w:cs="Times New Roman"/>
          <w:szCs w:val="22"/>
          <w:lang w:val="sq-AL"/>
        </w:rPr>
        <w:t>21</w:t>
      </w:r>
      <w:r w:rsidR="00722143" w:rsidRPr="00817921">
        <w:rPr>
          <w:rFonts w:ascii="Times New Roman" w:hAnsi="Times New Roman" w:cs="Times New Roman"/>
          <w:szCs w:val="22"/>
          <w:lang w:val="sq-AL"/>
        </w:rPr>
        <w:t>)</w:t>
      </w:r>
      <w:r w:rsidR="001717DE" w:rsidRPr="00817921">
        <w:rPr>
          <w:rFonts w:ascii="Times New Roman" w:hAnsi="Times New Roman" w:cs="Times New Roman"/>
          <w:szCs w:val="22"/>
          <w:lang w:val="sq-AL"/>
        </w:rPr>
        <w:t xml:space="preserve"> dhe p</w:t>
      </w:r>
      <w:r w:rsidR="009A5A0E" w:rsidRPr="00817921">
        <w:rPr>
          <w:rFonts w:ascii="Times New Roman" w:hAnsi="Times New Roman" w:cs="Times New Roman"/>
          <w:szCs w:val="22"/>
          <w:lang w:val="sq-AL"/>
        </w:rPr>
        <w:t>ë</w:t>
      </w:r>
      <w:r w:rsidR="001717DE" w:rsidRPr="00817921">
        <w:rPr>
          <w:rFonts w:ascii="Times New Roman" w:hAnsi="Times New Roman" w:cs="Times New Roman"/>
          <w:szCs w:val="22"/>
          <w:lang w:val="sq-AL"/>
        </w:rPr>
        <w:t>r meshkujt shkalla e pjesmarrjes ishte 5,9 pikë përqindje më e lartë sesa për femrat</w:t>
      </w:r>
      <w:r w:rsidR="00493DC0" w:rsidRPr="00817921">
        <w:rPr>
          <w:rStyle w:val="FootnoteReference"/>
          <w:rFonts w:ascii="Times New Roman" w:hAnsi="Times New Roman" w:cs="Times New Roman"/>
          <w:szCs w:val="22"/>
          <w:lang w:val="sq-AL"/>
        </w:rPr>
        <w:footnoteReference w:id="8"/>
      </w:r>
      <w:r w:rsidR="001717DE" w:rsidRPr="00817921">
        <w:rPr>
          <w:rFonts w:ascii="Times New Roman" w:hAnsi="Times New Roman" w:cs="Times New Roman"/>
          <w:szCs w:val="22"/>
          <w:lang w:val="sq-AL"/>
        </w:rPr>
        <w:t xml:space="preserve">. </w:t>
      </w:r>
      <w:r w:rsidR="00722143" w:rsidRPr="00817921">
        <w:rPr>
          <w:rFonts w:ascii="Times New Roman" w:hAnsi="Times New Roman" w:cs="Times New Roman"/>
          <w:szCs w:val="22"/>
          <w:lang w:val="sq-AL"/>
        </w:rPr>
        <w:t>Shkalla e pjesëmarrjes së të rinjve qëndron në një nivel shumë më të ulët se norma totale e pjesëmarrjes</w:t>
      </w:r>
      <w:r w:rsidR="00493DC0" w:rsidRPr="00817921">
        <w:rPr>
          <w:rFonts w:ascii="Times New Roman" w:hAnsi="Times New Roman" w:cs="Times New Roman"/>
          <w:szCs w:val="22"/>
          <w:lang w:val="sq-AL"/>
        </w:rPr>
        <w:t xml:space="preserve"> (56.7% tremujori i dyt</w:t>
      </w:r>
      <w:r w:rsidR="009A5A0E" w:rsidRPr="00817921">
        <w:rPr>
          <w:rFonts w:ascii="Times New Roman" w:hAnsi="Times New Roman" w:cs="Times New Roman"/>
          <w:szCs w:val="22"/>
          <w:lang w:val="sq-AL"/>
        </w:rPr>
        <w:t>ë</w:t>
      </w:r>
      <w:r w:rsidR="00493DC0" w:rsidRPr="00817921">
        <w:rPr>
          <w:rFonts w:ascii="Times New Roman" w:hAnsi="Times New Roman" w:cs="Times New Roman"/>
          <w:szCs w:val="22"/>
          <w:lang w:val="sq-AL"/>
        </w:rPr>
        <w:t xml:space="preserve"> 2023)</w:t>
      </w:r>
      <w:r w:rsidR="00493DC0" w:rsidRPr="00817921">
        <w:rPr>
          <w:rStyle w:val="FootnoteReference"/>
          <w:rFonts w:ascii="Times New Roman" w:hAnsi="Times New Roman" w:cs="Times New Roman"/>
          <w:szCs w:val="22"/>
          <w:lang w:val="sq-AL"/>
        </w:rPr>
        <w:footnoteReference w:id="9"/>
      </w:r>
      <w:r w:rsidR="00722143" w:rsidRPr="00817921">
        <w:rPr>
          <w:rFonts w:ascii="Times New Roman" w:hAnsi="Times New Roman" w:cs="Times New Roman"/>
          <w:szCs w:val="22"/>
          <w:lang w:val="sq-AL"/>
        </w:rPr>
        <w:t xml:space="preserve">. </w:t>
      </w:r>
    </w:p>
    <w:p w14:paraId="1CC3DD6A" w14:textId="367C8F54" w:rsidR="00722143" w:rsidRPr="00817921" w:rsidRDefault="00722143" w:rsidP="00722143">
      <w:pPr>
        <w:rPr>
          <w:rFonts w:ascii="Times New Roman" w:hAnsi="Times New Roman" w:cs="Times New Roman"/>
          <w:szCs w:val="22"/>
          <w:lang w:val="sq-AL"/>
        </w:rPr>
      </w:pPr>
      <w:r w:rsidRPr="00817921">
        <w:rPr>
          <w:rFonts w:ascii="Times New Roman" w:hAnsi="Times New Roman" w:cs="Times New Roman"/>
          <w:szCs w:val="22"/>
          <w:lang w:val="sq-AL"/>
        </w:rPr>
        <w:t>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gjith</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sektor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t kan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patur norm</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pun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simi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rritur (kryesisht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indu</w:t>
      </w:r>
      <w:r w:rsidR="00FE3076" w:rsidRPr="00817921">
        <w:rPr>
          <w:rFonts w:ascii="Times New Roman" w:hAnsi="Times New Roman" w:cs="Times New Roman"/>
          <w:szCs w:val="22"/>
          <w:lang w:val="sq-AL"/>
        </w:rPr>
        <w:t>s</w:t>
      </w:r>
      <w:r w:rsidRPr="00817921">
        <w:rPr>
          <w:rFonts w:ascii="Times New Roman" w:hAnsi="Times New Roman" w:cs="Times New Roman"/>
          <w:szCs w:val="22"/>
          <w:lang w:val="sq-AL"/>
        </w:rPr>
        <w:t>tri,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rtim dhe sh</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rbime),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rsa parashikohet q</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k</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rkesa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 pun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sim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periudh</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afatmesme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jet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m</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shumti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sektorin e sh</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rb</w:t>
      </w:r>
      <w:r w:rsidR="00FE3076" w:rsidRPr="00817921">
        <w:rPr>
          <w:rFonts w:ascii="Times New Roman" w:hAnsi="Times New Roman" w:cs="Times New Roman"/>
          <w:szCs w:val="22"/>
          <w:lang w:val="sq-AL"/>
        </w:rPr>
        <w:t>i</w:t>
      </w:r>
      <w:r w:rsidRPr="00817921">
        <w:rPr>
          <w:rFonts w:ascii="Times New Roman" w:hAnsi="Times New Roman" w:cs="Times New Roman"/>
          <w:szCs w:val="22"/>
          <w:lang w:val="sq-AL"/>
        </w:rPr>
        <w:t>meve</w:t>
      </w:r>
      <w:r w:rsidRPr="00817921">
        <w:rPr>
          <w:rFonts w:ascii="Times New Roman" w:hAnsi="Times New Roman" w:cs="Times New Roman"/>
          <w:szCs w:val="22"/>
          <w:vertAlign w:val="superscript"/>
          <w:lang w:val="sq-AL"/>
        </w:rPr>
        <w:footnoteReference w:id="10"/>
      </w:r>
      <w:r w:rsidRPr="00817921">
        <w:rPr>
          <w:rFonts w:ascii="Times New Roman" w:hAnsi="Times New Roman" w:cs="Times New Roman"/>
          <w:szCs w:val="22"/>
          <w:lang w:val="sq-AL"/>
        </w:rPr>
        <w:t>. Gjithashtu, produktiviteti pritet q</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ket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nj</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rritje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leht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Norma e papun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pritet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soj</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ulje nga </w:t>
      </w:r>
      <w:r w:rsidR="008F2A50" w:rsidRPr="00817921">
        <w:rPr>
          <w:rFonts w:ascii="Times New Roman" w:hAnsi="Times New Roman" w:cs="Times New Roman"/>
          <w:szCs w:val="22"/>
          <w:lang w:val="sq-AL"/>
        </w:rPr>
        <w:t>11.5</w:t>
      </w:r>
      <w:r w:rsidRPr="00817921">
        <w:rPr>
          <w:rFonts w:ascii="Times New Roman" w:hAnsi="Times New Roman" w:cs="Times New Roman"/>
          <w:szCs w:val="22"/>
          <w:lang w:val="sq-AL"/>
        </w:rPr>
        <w:t>%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vitin </w:t>
      </w:r>
      <w:r w:rsidR="008F2A50" w:rsidRPr="00817921">
        <w:rPr>
          <w:rFonts w:ascii="Times New Roman" w:hAnsi="Times New Roman" w:cs="Times New Roman"/>
          <w:szCs w:val="22"/>
          <w:lang w:val="sq-AL"/>
        </w:rPr>
        <w:t>2021</w:t>
      </w:r>
      <w:r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10.7%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vitin 2023</w:t>
      </w:r>
      <w:r w:rsidR="008F2A50" w:rsidRPr="00817921">
        <w:rPr>
          <w:rFonts w:ascii="Times New Roman" w:hAnsi="Times New Roman" w:cs="Times New Roman"/>
          <w:szCs w:val="22"/>
          <w:lang w:val="sq-AL"/>
        </w:rPr>
        <w:t xml:space="preserve"> p</w:t>
      </w:r>
      <w:r w:rsidR="009A5A0E" w:rsidRPr="00817921">
        <w:rPr>
          <w:rFonts w:ascii="Times New Roman" w:hAnsi="Times New Roman" w:cs="Times New Roman"/>
          <w:szCs w:val="22"/>
          <w:lang w:val="sq-AL"/>
        </w:rPr>
        <w:t>ë</w:t>
      </w:r>
      <w:r w:rsidR="008F2A50" w:rsidRPr="00817921">
        <w:rPr>
          <w:rFonts w:ascii="Times New Roman" w:hAnsi="Times New Roman" w:cs="Times New Roman"/>
          <w:szCs w:val="22"/>
          <w:lang w:val="sq-AL"/>
        </w:rPr>
        <w:t>r t</w:t>
      </w:r>
      <w:r w:rsidR="009A5A0E" w:rsidRPr="00817921">
        <w:rPr>
          <w:rFonts w:ascii="Times New Roman" w:hAnsi="Times New Roman" w:cs="Times New Roman"/>
          <w:szCs w:val="22"/>
          <w:lang w:val="sq-AL"/>
        </w:rPr>
        <w:t>ë</w:t>
      </w:r>
      <w:r w:rsidR="008F2A50" w:rsidRPr="00817921">
        <w:rPr>
          <w:rFonts w:ascii="Times New Roman" w:hAnsi="Times New Roman" w:cs="Times New Roman"/>
          <w:szCs w:val="22"/>
          <w:lang w:val="sq-AL"/>
        </w:rPr>
        <w:t xml:space="preserve"> arritur n</w:t>
      </w:r>
      <w:r w:rsidR="009A5A0E" w:rsidRPr="00817921">
        <w:rPr>
          <w:rFonts w:ascii="Times New Roman" w:hAnsi="Times New Roman" w:cs="Times New Roman"/>
          <w:szCs w:val="22"/>
          <w:lang w:val="sq-AL"/>
        </w:rPr>
        <w:t>ë</w:t>
      </w:r>
      <w:r w:rsidR="008F2A50" w:rsidRPr="00817921">
        <w:rPr>
          <w:rFonts w:ascii="Times New Roman" w:hAnsi="Times New Roman" w:cs="Times New Roman"/>
          <w:szCs w:val="22"/>
          <w:lang w:val="sq-AL"/>
        </w:rPr>
        <w:t xml:space="preserve"> nivelin </w:t>
      </w:r>
      <w:r w:rsidR="008A2086" w:rsidRPr="00817921">
        <w:rPr>
          <w:rFonts w:ascii="Times New Roman" w:hAnsi="Times New Roman" w:cs="Times New Roman"/>
          <w:szCs w:val="22"/>
          <w:lang w:val="sq-AL"/>
        </w:rPr>
        <w:t xml:space="preserve">9.8% </w:t>
      </w:r>
      <w:r w:rsidRPr="00817921">
        <w:rPr>
          <w:rFonts w:ascii="Times New Roman" w:hAnsi="Times New Roman" w:cs="Times New Roman"/>
          <w:szCs w:val="22"/>
          <w:lang w:val="sq-AL"/>
        </w:rPr>
        <w:t>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vitin 2025. Mbetet shqet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suese norma e papun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tek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rinjt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Sipas INSTAT, shkalla zyrtare e papunësisë për të rinjtë 15-29 vjeç ishte rreth 20.7% për vitin 2022</w:t>
      </w:r>
      <w:r w:rsidR="00750FD6" w:rsidRPr="00817921">
        <w:rPr>
          <w:rFonts w:ascii="Times New Roman" w:hAnsi="Times New Roman" w:cs="Times New Roman"/>
          <w:szCs w:val="22"/>
          <w:lang w:val="sq-AL"/>
        </w:rPr>
        <w:t>,</w:t>
      </w:r>
      <w:r w:rsidRPr="00817921">
        <w:rPr>
          <w:rFonts w:ascii="Times New Roman" w:hAnsi="Times New Roman" w:cs="Times New Roman"/>
          <w:szCs w:val="22"/>
          <w:lang w:val="sq-AL"/>
        </w:rPr>
        <w:t xml:space="preserve"> </w:t>
      </w:r>
      <w:r w:rsidR="00750FD6" w:rsidRPr="00817921">
        <w:rPr>
          <w:rFonts w:ascii="Times New Roman" w:hAnsi="Times New Roman" w:cs="Times New Roman"/>
          <w:szCs w:val="22"/>
          <w:lang w:val="sq-AL"/>
        </w:rPr>
        <w:t>shif</w:t>
      </w:r>
      <w:r w:rsidR="00E9006B">
        <w:rPr>
          <w:rFonts w:ascii="Times New Roman" w:hAnsi="Times New Roman" w:cs="Times New Roman"/>
          <w:szCs w:val="22"/>
          <w:lang w:val="sq-AL"/>
        </w:rPr>
        <w:t>ë</w:t>
      </w:r>
      <w:r w:rsidR="00750FD6" w:rsidRPr="00817921">
        <w:rPr>
          <w:rFonts w:ascii="Times New Roman" w:hAnsi="Times New Roman" w:cs="Times New Roman"/>
          <w:szCs w:val="22"/>
          <w:lang w:val="sq-AL"/>
        </w:rPr>
        <w:t xml:space="preserve">r e </w:t>
      </w:r>
      <w:r w:rsidRPr="00817921">
        <w:rPr>
          <w:rFonts w:ascii="Times New Roman" w:hAnsi="Times New Roman" w:cs="Times New Roman"/>
          <w:szCs w:val="22"/>
          <w:lang w:val="sq-AL"/>
        </w:rPr>
        <w:t>lart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edhe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 vendet e rajonit</w:t>
      </w:r>
      <w:r w:rsidR="008F2A50"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8F2A50" w:rsidRPr="00817921">
        <w:rPr>
          <w:rFonts w:ascii="Times New Roman" w:hAnsi="Times New Roman" w:cs="Times New Roman"/>
          <w:szCs w:val="22"/>
          <w:lang w:val="sq-AL"/>
        </w:rPr>
        <w:t xml:space="preserve"> Ballkanit Perendimor</w:t>
      </w:r>
      <w:r w:rsidRPr="00817921">
        <w:rPr>
          <w:rFonts w:ascii="Times New Roman" w:hAnsi="Times New Roman" w:cs="Times New Roman"/>
          <w:szCs w:val="22"/>
          <w:lang w:val="sq-AL"/>
        </w:rPr>
        <w:t xml:space="preserve">. </w:t>
      </w:r>
    </w:p>
    <w:p w14:paraId="3F444176" w14:textId="7351295F" w:rsidR="0058022B" w:rsidRPr="00817921" w:rsidRDefault="008A2086" w:rsidP="003E5914">
      <w:pPr>
        <w:rPr>
          <w:rFonts w:ascii="Times New Roman" w:hAnsi="Times New Roman" w:cs="Times New Roman"/>
          <w:szCs w:val="22"/>
          <w:lang w:val="sq-AL"/>
        </w:rPr>
      </w:pPr>
      <w:r w:rsidRPr="00817921">
        <w:rPr>
          <w:rFonts w:ascii="Times New Roman" w:hAnsi="Times New Roman" w:cs="Times New Roman"/>
          <w:szCs w:val="22"/>
          <w:lang w:val="sq-AL"/>
        </w:rPr>
        <w:t>Megjithëse, përfshirja e grave në tregun e punës është rritur në mënyrë të qëndrueshme gjatë viteve të fundit, g</w:t>
      </w:r>
      <w:r w:rsidR="0058022B" w:rsidRPr="00817921">
        <w:rPr>
          <w:rFonts w:ascii="Times New Roman" w:hAnsi="Times New Roman" w:cs="Times New Roman"/>
          <w:szCs w:val="22"/>
          <w:lang w:val="sq-AL"/>
        </w:rPr>
        <w:t>ratë në moshë pune ende përballen me pabarazi dhe diskriminim të vazhdueshëm në punësimin me pagesë, norma më të ulëta të punësimit, të ardhura më të ulëta dhe norma më të larta informaliteti</w:t>
      </w:r>
      <w:r w:rsidR="0058022B" w:rsidRPr="00817921">
        <w:rPr>
          <w:rFonts w:ascii="Times New Roman" w:hAnsi="Times New Roman" w:cs="Times New Roman"/>
          <w:szCs w:val="22"/>
          <w:vertAlign w:val="superscript"/>
          <w:lang w:val="sq-AL"/>
        </w:rPr>
        <w:footnoteReference w:id="11"/>
      </w:r>
      <w:r w:rsidR="0058022B" w:rsidRPr="00817921">
        <w:rPr>
          <w:rFonts w:ascii="Times New Roman" w:hAnsi="Times New Roman" w:cs="Times New Roman"/>
          <w:szCs w:val="22"/>
          <w:lang w:val="sq-AL"/>
        </w:rPr>
        <w:t>. Struktura e të punësuarve në Shqipëri sipas statusit të aktivitetit tregon se 45,8% e grave janë të punësuara me pagë, ndërsa 21,9% e tyre janë punëtore pa pagesë në biznesin e familjes. Për burrat e punësuar këto shifra janë përkatësisht 43,2% dhe 11,4%. Një pjesë e konsiderueshme e burrave janë të vetëpunësuar 33,6%, ndërsa gratë e vetëpunësuara përbëjnë 19,9%</w:t>
      </w:r>
      <w:r w:rsidR="0058022B" w:rsidRPr="00817921">
        <w:rPr>
          <w:rFonts w:ascii="Times New Roman" w:hAnsi="Times New Roman" w:cs="Times New Roman"/>
          <w:szCs w:val="22"/>
          <w:vertAlign w:val="superscript"/>
          <w:lang w:val="sq-AL"/>
        </w:rPr>
        <w:footnoteReference w:id="12"/>
      </w:r>
      <w:r w:rsidR="0058022B" w:rsidRPr="00817921">
        <w:rPr>
          <w:rFonts w:ascii="Times New Roman" w:hAnsi="Times New Roman" w:cs="Times New Roman"/>
          <w:szCs w:val="22"/>
          <w:lang w:val="sq-AL"/>
        </w:rPr>
        <w:t>.Sipas informacionit të MFE, gjatë vitit 2021, në programet e Nxitjes së Punësimit janë punësuar gjithsej 2</w:t>
      </w:r>
      <w:r w:rsidR="00524267" w:rsidRPr="00817921">
        <w:rPr>
          <w:rFonts w:ascii="Times New Roman" w:hAnsi="Times New Roman" w:cs="Times New Roman"/>
          <w:szCs w:val="22"/>
          <w:lang w:val="sq-AL"/>
        </w:rPr>
        <w:t>,</w:t>
      </w:r>
      <w:r w:rsidR="0058022B" w:rsidRPr="00817921">
        <w:rPr>
          <w:rFonts w:ascii="Times New Roman" w:hAnsi="Times New Roman" w:cs="Times New Roman"/>
          <w:szCs w:val="22"/>
          <w:lang w:val="sq-AL"/>
        </w:rPr>
        <w:t>240 punëkërkues të papunë nga të cilët 1</w:t>
      </w:r>
      <w:r w:rsidR="00524267" w:rsidRPr="00817921">
        <w:rPr>
          <w:rFonts w:ascii="Times New Roman" w:hAnsi="Times New Roman" w:cs="Times New Roman"/>
          <w:szCs w:val="22"/>
          <w:lang w:val="sq-AL"/>
        </w:rPr>
        <w:t>,</w:t>
      </w:r>
      <w:r w:rsidR="0058022B" w:rsidRPr="00817921">
        <w:rPr>
          <w:rFonts w:ascii="Times New Roman" w:hAnsi="Times New Roman" w:cs="Times New Roman"/>
          <w:szCs w:val="22"/>
          <w:lang w:val="sq-AL"/>
        </w:rPr>
        <w:t>185 ishin nga kategoria femra</w:t>
      </w:r>
      <w:r w:rsidR="0058022B" w:rsidRPr="00817921">
        <w:rPr>
          <w:rFonts w:ascii="Times New Roman" w:hAnsi="Times New Roman" w:cs="Times New Roman"/>
          <w:szCs w:val="22"/>
          <w:vertAlign w:val="superscript"/>
          <w:lang w:val="sq-AL"/>
        </w:rPr>
        <w:footnoteReference w:id="13"/>
      </w:r>
      <w:r w:rsidR="0058022B" w:rsidRPr="00817921">
        <w:rPr>
          <w:rFonts w:ascii="Times New Roman" w:hAnsi="Times New Roman" w:cs="Times New Roman"/>
          <w:szCs w:val="22"/>
          <w:lang w:val="sq-AL"/>
        </w:rPr>
        <w:t xml:space="preserve">. </w:t>
      </w:r>
    </w:p>
    <w:p w14:paraId="31985035" w14:textId="4DBBC359" w:rsidR="0058022B" w:rsidRPr="00817921" w:rsidRDefault="0058022B" w:rsidP="0058022B">
      <w:pPr>
        <w:rPr>
          <w:rFonts w:ascii="Times New Roman" w:hAnsi="Times New Roman" w:cs="Times New Roman"/>
          <w:szCs w:val="22"/>
          <w:lang w:val="sq-AL"/>
        </w:rPr>
      </w:pPr>
      <w:r w:rsidRPr="00817921">
        <w:rPr>
          <w:rFonts w:ascii="Times New Roman" w:hAnsi="Times New Roman" w:cs="Times New Roman"/>
          <w:szCs w:val="22"/>
          <w:lang w:val="sq-AL"/>
        </w:rPr>
        <w:t>Në vitin 2021, gratë punëkërkuese të papuna morën pjesë më shumë se burrat në programet e nxitjes së punësimit, ndërsa burrat punëkërkues të papunë morën pjesë më shumë në kurset e formimit profesional. Numri i grave punëkërkuese të papuna, në përgjithësi, rritet me rritjen e moshës, ndërsa e kundërta ndodh për burrat. Të dhënat tregojnë se rreth gjysma e grave dhe burrave punëkërkues të papunë kanë arsim 8/9 vjeçar. Punëkërkues të papunë të regjistruar që përfitojnë ndihmë ekonomike për vitin 2021 janë 49,2% burra dhe 50,8</w:t>
      </w:r>
      <w:r w:rsidR="00524267" w:rsidRPr="00817921">
        <w:rPr>
          <w:rFonts w:ascii="Times New Roman" w:hAnsi="Times New Roman" w:cs="Times New Roman"/>
          <w:szCs w:val="22"/>
          <w:lang w:val="sq-AL"/>
        </w:rPr>
        <w:t xml:space="preserve"> </w:t>
      </w:r>
      <w:r w:rsidRPr="00817921">
        <w:rPr>
          <w:rFonts w:ascii="Times New Roman" w:hAnsi="Times New Roman" w:cs="Times New Roman"/>
          <w:szCs w:val="22"/>
          <w:lang w:val="sq-AL"/>
        </w:rPr>
        <w:t>% gra, ndërsa përfitues të pagesës së papunësisë janë më shumë gra me 60,0%</w:t>
      </w:r>
      <w:r w:rsidRPr="00817921">
        <w:rPr>
          <w:rFonts w:ascii="Times New Roman" w:hAnsi="Times New Roman" w:cs="Times New Roman"/>
          <w:szCs w:val="22"/>
          <w:vertAlign w:val="superscript"/>
          <w:lang w:val="sq-AL"/>
        </w:rPr>
        <w:footnoteReference w:id="14"/>
      </w:r>
      <w:r w:rsidRPr="00817921">
        <w:rPr>
          <w:rFonts w:ascii="Times New Roman" w:hAnsi="Times New Roman" w:cs="Times New Roman"/>
          <w:szCs w:val="22"/>
          <w:vertAlign w:val="superscript"/>
          <w:lang w:val="sq-AL"/>
        </w:rPr>
        <w:t>.</w:t>
      </w:r>
      <w:r w:rsidRPr="00817921">
        <w:rPr>
          <w:rFonts w:ascii="Times New Roman" w:hAnsi="Times New Roman" w:cs="Times New Roman"/>
          <w:szCs w:val="22"/>
          <w:lang w:val="sq-AL"/>
        </w:rPr>
        <w:t xml:space="preserve"> Sipas raportit të indeksit të hendekut gjinor të Forumit Ekonomik Botëror 2022, Shqipëria renditet në 18 nga 146 vende (krahasuar me 25 nga 153 vende për vitin 2021), duke reflektuar pasojat e vazhdueshme të krijuara nga tërmeti dhe pandemia COVID-19. Ndryshimet në Kodin e Punës përfshinë më shumë masa për të mbështetur barazinë gjinore në tregun e punës</w:t>
      </w:r>
      <w:r w:rsidR="00EA00D9" w:rsidRPr="00817921">
        <w:rPr>
          <w:rFonts w:ascii="Times New Roman" w:hAnsi="Times New Roman" w:cs="Times New Roman"/>
          <w:szCs w:val="22"/>
          <w:lang w:val="sq-AL"/>
        </w:rPr>
        <w:t>,</w:t>
      </w:r>
      <w:r w:rsidRPr="00817921">
        <w:rPr>
          <w:rFonts w:ascii="Times New Roman" w:hAnsi="Times New Roman" w:cs="Times New Roman"/>
          <w:szCs w:val="22"/>
          <w:lang w:val="sq-AL"/>
        </w:rPr>
        <w:t xml:space="preserve"> megjithatë, nuk ka monitorim të vazhdueshëm të zbatimit të këtyre ndryshimeve në praktikë. Për më tepër, ekziston ende nevoja për të harmonizuar legjislacionin me direktivën e BE-së për balancën punë-jetë</w:t>
      </w:r>
      <w:r w:rsidRPr="00817921">
        <w:rPr>
          <w:rFonts w:ascii="Times New Roman" w:hAnsi="Times New Roman" w:cs="Times New Roman"/>
          <w:szCs w:val="22"/>
          <w:vertAlign w:val="superscript"/>
          <w:lang w:val="sq-AL"/>
        </w:rPr>
        <w:footnoteReference w:id="15"/>
      </w:r>
      <w:r w:rsidRPr="00817921">
        <w:rPr>
          <w:rFonts w:ascii="Times New Roman" w:hAnsi="Times New Roman" w:cs="Times New Roman"/>
          <w:szCs w:val="22"/>
          <w:lang w:val="sq-AL"/>
        </w:rPr>
        <w:t>.</w:t>
      </w:r>
    </w:p>
    <w:p w14:paraId="04F52319" w14:textId="669F02C4" w:rsidR="00CF0359" w:rsidRPr="00817921" w:rsidRDefault="00F6446D" w:rsidP="00722143">
      <w:pPr>
        <w:rPr>
          <w:rFonts w:ascii="Times New Roman" w:hAnsi="Times New Roman" w:cs="Times New Roman"/>
          <w:szCs w:val="22"/>
          <w:lang w:val="sq-AL"/>
        </w:rPr>
      </w:pPr>
      <w:r w:rsidRPr="00817921">
        <w:rPr>
          <w:rFonts w:ascii="Times New Roman" w:hAnsi="Times New Roman" w:cs="Times New Roman"/>
          <w:szCs w:val="22"/>
          <w:lang w:val="sq-AL"/>
        </w:rPr>
        <w:t>Paga mesatare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Shqip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ri </w:t>
      </w:r>
      <w:r w:rsidR="00722143" w:rsidRPr="00817921">
        <w:rPr>
          <w:rFonts w:ascii="Times New Roman" w:hAnsi="Times New Roman" w:cs="Times New Roman"/>
          <w:szCs w:val="22"/>
          <w:lang w:val="sq-AL"/>
        </w:rPr>
        <w:t>ka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suar </w:t>
      </w:r>
      <w:r w:rsidRPr="00817921">
        <w:rPr>
          <w:rFonts w:ascii="Times New Roman" w:hAnsi="Times New Roman" w:cs="Times New Roman"/>
          <w:szCs w:val="22"/>
          <w:lang w:val="sq-AL"/>
        </w:rPr>
        <w:t xml:space="preserve">rritje </w:t>
      </w:r>
      <w:r w:rsidR="00722143" w:rsidRPr="00817921">
        <w:rPr>
          <w:rFonts w:ascii="Times New Roman" w:hAnsi="Times New Roman" w:cs="Times New Roman"/>
          <w:szCs w:val="22"/>
          <w:lang w:val="sq-AL"/>
        </w:rPr>
        <w:t>(23%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tremujorin e IV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vitit 2022 krahasuar me tremuj</w:t>
      </w:r>
      <w:r w:rsidR="008F2A50" w:rsidRPr="00817921">
        <w:rPr>
          <w:rFonts w:ascii="Times New Roman" w:hAnsi="Times New Roman" w:cs="Times New Roman"/>
          <w:szCs w:val="22"/>
          <w:lang w:val="sq-AL"/>
        </w:rPr>
        <w:t>o</w:t>
      </w:r>
      <w:r w:rsidR="00722143" w:rsidRPr="00817921">
        <w:rPr>
          <w:rFonts w:ascii="Times New Roman" w:hAnsi="Times New Roman" w:cs="Times New Roman"/>
          <w:szCs w:val="22"/>
          <w:lang w:val="sq-AL"/>
        </w:rPr>
        <w:t>rin e IV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vitit 2019) si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sektorin shtet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ror (16%) dhe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sektorin privat (28%).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terma absolut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paga mesatare </w:t>
      </w:r>
      <w:r w:rsidR="00AE369D" w:rsidRPr="00817921">
        <w:rPr>
          <w:rFonts w:ascii="Times New Roman" w:hAnsi="Times New Roman" w:cs="Times New Roman"/>
          <w:szCs w:val="22"/>
          <w:lang w:val="sq-AL"/>
        </w:rPr>
        <w:t>mujore n</w:t>
      </w:r>
      <w:r w:rsidR="009A5A0E" w:rsidRPr="00817921">
        <w:rPr>
          <w:rFonts w:ascii="Times New Roman" w:hAnsi="Times New Roman" w:cs="Times New Roman"/>
          <w:szCs w:val="22"/>
          <w:lang w:val="sq-AL"/>
        </w:rPr>
        <w:t>ë</w:t>
      </w:r>
      <w:r w:rsidR="00AE369D" w:rsidRPr="00817921">
        <w:rPr>
          <w:rFonts w:ascii="Times New Roman" w:hAnsi="Times New Roman" w:cs="Times New Roman"/>
          <w:szCs w:val="22"/>
          <w:lang w:val="sq-AL"/>
        </w:rPr>
        <w:t xml:space="preserve"> tremujorin e dyt</w:t>
      </w:r>
      <w:r w:rsidR="009A5A0E" w:rsidRPr="00817921">
        <w:rPr>
          <w:rFonts w:ascii="Times New Roman" w:hAnsi="Times New Roman" w:cs="Times New Roman"/>
          <w:szCs w:val="22"/>
          <w:lang w:val="sq-AL"/>
        </w:rPr>
        <w:t>ë</w:t>
      </w:r>
      <w:r w:rsidR="00AE369D"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AE369D" w:rsidRPr="00817921">
        <w:rPr>
          <w:rFonts w:ascii="Times New Roman" w:hAnsi="Times New Roman" w:cs="Times New Roman"/>
          <w:szCs w:val="22"/>
          <w:lang w:val="sq-AL"/>
        </w:rPr>
        <w:t xml:space="preserve"> vitit 2023 ishte 70</w:t>
      </w:r>
      <w:r w:rsidR="00552057" w:rsidRPr="00817921">
        <w:rPr>
          <w:rFonts w:ascii="Times New Roman" w:hAnsi="Times New Roman" w:cs="Times New Roman"/>
          <w:szCs w:val="22"/>
          <w:lang w:val="sq-AL"/>
        </w:rPr>
        <w:t>,</w:t>
      </w:r>
      <w:r w:rsidR="00AE369D" w:rsidRPr="00817921">
        <w:rPr>
          <w:rFonts w:ascii="Times New Roman" w:hAnsi="Times New Roman" w:cs="Times New Roman"/>
          <w:szCs w:val="22"/>
          <w:lang w:val="sq-AL"/>
        </w:rPr>
        <w:t xml:space="preserve">905 lek. Paga mesatare mujore </w:t>
      </w:r>
      <w:r w:rsidR="00722143" w:rsidRPr="00817921">
        <w:rPr>
          <w:rFonts w:ascii="Times New Roman" w:hAnsi="Times New Roman" w:cs="Times New Roman"/>
          <w:szCs w:val="22"/>
          <w:lang w:val="sq-AL"/>
        </w:rPr>
        <w:t>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sektorin shtet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ror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fund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vitit 2022 ishte 20% m</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e lart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se paga mesatare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sektorin privat. </w:t>
      </w:r>
      <w:r w:rsidR="008D7BAA" w:rsidRPr="00817921">
        <w:rPr>
          <w:rFonts w:ascii="Times New Roman" w:hAnsi="Times New Roman" w:cs="Times New Roman"/>
          <w:szCs w:val="22"/>
          <w:lang w:val="sq-AL"/>
        </w:rPr>
        <w:t>Megjithat</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pagat n</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xml:space="preserve"> sektorin privat vijojn</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xml:space="preserve"> ken</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xml:space="preserve"> nj</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xml:space="preserve"> rritje relativisht t</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xml:space="preserve"> shpejt</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mesatarisht 9.5% gjat</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xml:space="preserve"> tremujorit t</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xml:space="preserve"> par</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8D7BAA" w:rsidRPr="00817921">
        <w:rPr>
          <w:rFonts w:ascii="Times New Roman" w:hAnsi="Times New Roman" w:cs="Times New Roman"/>
          <w:szCs w:val="22"/>
          <w:lang w:val="sq-AL"/>
        </w:rPr>
        <w:t xml:space="preserve"> vitit 2023</w:t>
      </w:r>
      <w:r w:rsidR="008D7BAA" w:rsidRPr="00817921">
        <w:rPr>
          <w:rStyle w:val="FootnoteReference"/>
          <w:rFonts w:ascii="Times New Roman" w:hAnsi="Times New Roman" w:cs="Times New Roman"/>
          <w:szCs w:val="22"/>
          <w:lang w:val="sq-AL"/>
        </w:rPr>
        <w:footnoteReference w:id="16"/>
      </w:r>
      <w:r w:rsidR="008D7BAA" w:rsidRPr="00817921">
        <w:rPr>
          <w:rFonts w:ascii="Times New Roman" w:hAnsi="Times New Roman" w:cs="Times New Roman"/>
          <w:szCs w:val="22"/>
          <w:lang w:val="sq-AL"/>
        </w:rPr>
        <w:t xml:space="preserve">. </w:t>
      </w:r>
      <w:r w:rsidR="00722143" w:rsidRPr="00817921">
        <w:rPr>
          <w:rFonts w:ascii="Times New Roman" w:hAnsi="Times New Roman" w:cs="Times New Roman"/>
          <w:szCs w:val="22"/>
          <w:lang w:val="sq-AL"/>
        </w:rPr>
        <w:t>Paga minimale ka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suar rritje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her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pasher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shme. Aktualisht ajo </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40,000 AL</w:t>
      </w:r>
      <w:r w:rsidR="008F2A50" w:rsidRPr="00817921">
        <w:rPr>
          <w:rFonts w:ascii="Times New Roman" w:hAnsi="Times New Roman" w:cs="Times New Roman"/>
          <w:szCs w:val="22"/>
          <w:lang w:val="sq-AL"/>
        </w:rPr>
        <w:t xml:space="preserve"> apo</w:t>
      </w:r>
      <w:r w:rsidR="00722143" w:rsidRPr="00817921">
        <w:rPr>
          <w:rFonts w:ascii="Times New Roman" w:hAnsi="Times New Roman" w:cs="Times New Roman"/>
          <w:szCs w:val="22"/>
          <w:lang w:val="sq-AL"/>
        </w:rPr>
        <w:t xml:space="preserve"> 40% m</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e lart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se paga minimale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fund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vitit 2019. Paga minimale e rritur dhe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rpjekje</w:t>
      </w:r>
      <w:r w:rsidR="000A64D3" w:rsidRPr="00817921">
        <w:rPr>
          <w:rFonts w:ascii="Times New Roman" w:hAnsi="Times New Roman" w:cs="Times New Roman"/>
          <w:szCs w:val="22"/>
          <w:lang w:val="sq-AL"/>
        </w:rPr>
        <w:t>t</w:t>
      </w:r>
      <w:r w:rsidR="00722143" w:rsidRPr="00817921">
        <w:rPr>
          <w:rFonts w:ascii="Times New Roman" w:hAnsi="Times New Roman" w:cs="Times New Roman"/>
          <w:szCs w:val="22"/>
          <w:lang w:val="sq-AL"/>
        </w:rPr>
        <w:t xml:space="preserve"> </w:t>
      </w:r>
      <w:r w:rsidR="000A64D3" w:rsidRPr="00817921">
        <w:rPr>
          <w:rFonts w:ascii="Times New Roman" w:hAnsi="Times New Roman" w:cs="Times New Roman"/>
          <w:szCs w:val="22"/>
          <w:lang w:val="sq-AL"/>
        </w:rPr>
        <w:t>e</w:t>
      </w:r>
      <w:r w:rsidR="00722143" w:rsidRPr="00817921">
        <w:rPr>
          <w:rFonts w:ascii="Times New Roman" w:hAnsi="Times New Roman" w:cs="Times New Roman"/>
          <w:szCs w:val="22"/>
          <w:lang w:val="sq-AL"/>
        </w:rPr>
        <w:t xml:space="preserve"> shtuara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dy viteve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fundit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formalizuar deklarimin e pagave kan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patur efektin e t</w:t>
      </w:r>
      <w:r w:rsidR="000A64D3" w:rsidRPr="00817921">
        <w:rPr>
          <w:rFonts w:ascii="Times New Roman" w:hAnsi="Times New Roman" w:cs="Times New Roman"/>
          <w:szCs w:val="22"/>
          <w:lang w:val="sq-AL"/>
        </w:rPr>
        <w:t>y</w:t>
      </w:r>
      <w:r w:rsidR="00722143" w:rsidRPr="00817921">
        <w:rPr>
          <w:rFonts w:ascii="Times New Roman" w:hAnsi="Times New Roman" w:cs="Times New Roman"/>
          <w:szCs w:val="22"/>
          <w:lang w:val="sq-AL"/>
        </w:rPr>
        <w:t>re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rritjen e pagave. Por k</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to nuk kan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qen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faktor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t e vet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m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rritjes s</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pagave, por dhe zhvillimet pozitive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tregun e pun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 Normat e larta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inflacionit kan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ber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q</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rritja reale mesatare e pagave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jet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1.0%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gjith</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ekonomin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dhe rreth 5.2%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r sektorin privat. </w:t>
      </w:r>
      <w:r w:rsidR="00552057" w:rsidRPr="00817921">
        <w:rPr>
          <w:rFonts w:ascii="Times New Roman" w:hAnsi="Times New Roman" w:cs="Times New Roman"/>
          <w:szCs w:val="22"/>
          <w:lang w:val="sq-AL"/>
        </w:rPr>
        <w:t>INSTAT raporton se p</w:t>
      </w:r>
      <w:r w:rsidR="009A5A0E" w:rsidRPr="00817921">
        <w:rPr>
          <w:rFonts w:ascii="Times New Roman" w:hAnsi="Times New Roman" w:cs="Times New Roman"/>
          <w:szCs w:val="22"/>
          <w:lang w:val="sq-AL"/>
        </w:rPr>
        <w:t>ë</w:t>
      </w:r>
      <w:r w:rsidR="00552057" w:rsidRPr="00817921">
        <w:rPr>
          <w:rFonts w:ascii="Times New Roman" w:hAnsi="Times New Roman" w:cs="Times New Roman"/>
          <w:szCs w:val="22"/>
          <w:lang w:val="sq-AL"/>
        </w:rPr>
        <w:t>r vitin 2022 shpenzimet mesatare mujore p</w:t>
      </w:r>
      <w:r w:rsidR="009A5A0E" w:rsidRPr="00817921">
        <w:rPr>
          <w:rFonts w:ascii="Times New Roman" w:hAnsi="Times New Roman" w:cs="Times New Roman"/>
          <w:szCs w:val="22"/>
          <w:lang w:val="sq-AL"/>
        </w:rPr>
        <w:t>ë</w:t>
      </w:r>
      <w:r w:rsidR="00552057" w:rsidRPr="00817921">
        <w:rPr>
          <w:rFonts w:ascii="Times New Roman" w:hAnsi="Times New Roman" w:cs="Times New Roman"/>
          <w:szCs w:val="22"/>
          <w:lang w:val="sq-AL"/>
        </w:rPr>
        <w:t>r konsum t</w:t>
      </w:r>
      <w:r w:rsidR="009A5A0E" w:rsidRPr="00817921">
        <w:rPr>
          <w:rFonts w:ascii="Times New Roman" w:hAnsi="Times New Roman" w:cs="Times New Roman"/>
          <w:szCs w:val="22"/>
          <w:lang w:val="sq-AL"/>
        </w:rPr>
        <w:t>ë</w:t>
      </w:r>
      <w:r w:rsidR="00552057" w:rsidRPr="00817921">
        <w:rPr>
          <w:rFonts w:ascii="Times New Roman" w:hAnsi="Times New Roman" w:cs="Times New Roman"/>
          <w:szCs w:val="22"/>
          <w:lang w:val="sq-AL"/>
        </w:rPr>
        <w:t xml:space="preserve"> familjeve shqip</w:t>
      </w:r>
      <w:r w:rsidR="00F74D23" w:rsidRPr="00817921">
        <w:rPr>
          <w:rFonts w:ascii="Times New Roman" w:hAnsi="Times New Roman" w:cs="Times New Roman"/>
          <w:szCs w:val="22"/>
          <w:lang w:val="sq-AL"/>
        </w:rPr>
        <w:t>ta</w:t>
      </w:r>
      <w:r w:rsidR="00552057" w:rsidRPr="00817921">
        <w:rPr>
          <w:rFonts w:ascii="Times New Roman" w:hAnsi="Times New Roman" w:cs="Times New Roman"/>
          <w:szCs w:val="22"/>
          <w:lang w:val="sq-AL"/>
        </w:rPr>
        <w:t>re ishin 88,367 lek nd</w:t>
      </w:r>
      <w:r w:rsidR="009A5A0E" w:rsidRPr="00817921">
        <w:rPr>
          <w:rFonts w:ascii="Times New Roman" w:hAnsi="Times New Roman" w:cs="Times New Roman"/>
          <w:szCs w:val="22"/>
          <w:lang w:val="sq-AL"/>
        </w:rPr>
        <w:t>ë</w:t>
      </w:r>
      <w:r w:rsidR="00552057" w:rsidRPr="00817921">
        <w:rPr>
          <w:rFonts w:ascii="Times New Roman" w:hAnsi="Times New Roman" w:cs="Times New Roman"/>
          <w:szCs w:val="22"/>
          <w:lang w:val="sq-AL"/>
        </w:rPr>
        <w:t>rsa t</w:t>
      </w:r>
      <w:r w:rsidR="009A5A0E" w:rsidRPr="00817921">
        <w:rPr>
          <w:rFonts w:ascii="Times New Roman" w:hAnsi="Times New Roman" w:cs="Times New Roman"/>
          <w:szCs w:val="22"/>
          <w:lang w:val="sq-AL"/>
        </w:rPr>
        <w:t>ë</w:t>
      </w:r>
      <w:r w:rsidR="00552057" w:rsidRPr="00817921">
        <w:rPr>
          <w:rFonts w:ascii="Times New Roman" w:hAnsi="Times New Roman" w:cs="Times New Roman"/>
          <w:szCs w:val="22"/>
          <w:lang w:val="sq-AL"/>
        </w:rPr>
        <w:t xml:space="preserve"> ardhurat mesatare mujore p</w:t>
      </w:r>
      <w:r w:rsidR="009A5A0E" w:rsidRPr="00817921">
        <w:rPr>
          <w:rFonts w:ascii="Times New Roman" w:hAnsi="Times New Roman" w:cs="Times New Roman"/>
          <w:szCs w:val="22"/>
          <w:lang w:val="sq-AL"/>
        </w:rPr>
        <w:t>ë</w:t>
      </w:r>
      <w:r w:rsidR="00552057" w:rsidRPr="00817921">
        <w:rPr>
          <w:rFonts w:ascii="Times New Roman" w:hAnsi="Times New Roman" w:cs="Times New Roman"/>
          <w:szCs w:val="22"/>
          <w:lang w:val="sq-AL"/>
        </w:rPr>
        <w:t>r frym</w:t>
      </w:r>
      <w:r w:rsidR="009A5A0E" w:rsidRPr="00817921">
        <w:rPr>
          <w:rFonts w:ascii="Times New Roman" w:hAnsi="Times New Roman" w:cs="Times New Roman"/>
          <w:szCs w:val="22"/>
          <w:lang w:val="sq-AL"/>
        </w:rPr>
        <w:t>ë</w:t>
      </w:r>
      <w:r w:rsidR="00552057" w:rsidRPr="00817921">
        <w:rPr>
          <w:rFonts w:ascii="Times New Roman" w:hAnsi="Times New Roman" w:cs="Times New Roman"/>
          <w:szCs w:val="22"/>
          <w:lang w:val="sq-AL"/>
        </w:rPr>
        <w:t>/t</w:t>
      </w:r>
      <w:r w:rsidR="009A5A0E" w:rsidRPr="00817921">
        <w:rPr>
          <w:rFonts w:ascii="Times New Roman" w:hAnsi="Times New Roman" w:cs="Times New Roman"/>
          <w:szCs w:val="22"/>
          <w:lang w:val="sq-AL"/>
        </w:rPr>
        <w:t>ë</w:t>
      </w:r>
      <w:r w:rsidR="00552057" w:rsidRPr="00817921">
        <w:rPr>
          <w:rFonts w:ascii="Times New Roman" w:hAnsi="Times New Roman" w:cs="Times New Roman"/>
          <w:szCs w:val="22"/>
          <w:lang w:val="sq-AL"/>
        </w:rPr>
        <w:t xml:space="preserve"> ekuivalentuara n</w:t>
      </w:r>
      <w:r w:rsidR="009A5A0E" w:rsidRPr="00817921">
        <w:rPr>
          <w:rFonts w:ascii="Times New Roman" w:hAnsi="Times New Roman" w:cs="Times New Roman"/>
          <w:szCs w:val="22"/>
          <w:lang w:val="sq-AL"/>
        </w:rPr>
        <w:t>ë</w:t>
      </w:r>
      <w:r w:rsidR="00552057" w:rsidRPr="00817921">
        <w:rPr>
          <w:rFonts w:ascii="Times New Roman" w:hAnsi="Times New Roman" w:cs="Times New Roman"/>
          <w:szCs w:val="22"/>
          <w:lang w:val="sq-AL"/>
        </w:rPr>
        <w:t xml:space="preserve"> vitin 2021 ishin 30,962 lek.</w:t>
      </w:r>
    </w:p>
    <w:p w14:paraId="6BB5F5DF" w14:textId="44BE2A50" w:rsidR="00064D0A" w:rsidRPr="00817921" w:rsidRDefault="00524267" w:rsidP="00722143">
      <w:pPr>
        <w:rPr>
          <w:rFonts w:ascii="Times New Roman" w:hAnsi="Times New Roman" w:cs="Times New Roman"/>
          <w:szCs w:val="22"/>
          <w:lang w:val="sq-AL"/>
        </w:rPr>
      </w:pPr>
      <w:r w:rsidRPr="00817921">
        <w:rPr>
          <w:rFonts w:ascii="Times New Roman" w:hAnsi="Times New Roman" w:cs="Times New Roman"/>
          <w:b/>
          <w:bCs/>
          <w:szCs w:val="22"/>
          <w:lang w:val="sq-AL"/>
        </w:rPr>
        <w:t>Remitancat</w:t>
      </w:r>
      <w:r w:rsidRPr="00817921">
        <w:rPr>
          <w:rFonts w:ascii="Times New Roman" w:hAnsi="Times New Roman" w:cs="Times New Roman"/>
          <w:szCs w:val="22"/>
          <w:lang w:val="sq-AL"/>
        </w:rPr>
        <w:t xml:space="preserve">. </w:t>
      </w:r>
      <w:r w:rsidR="00064D0A" w:rsidRPr="00817921">
        <w:rPr>
          <w:rFonts w:ascii="Times New Roman" w:hAnsi="Times New Roman" w:cs="Times New Roman"/>
          <w:szCs w:val="22"/>
          <w:lang w:val="sq-AL"/>
        </w:rPr>
        <w:t xml:space="preserve">Që nga viti 1992, kur nisën flukset e para të prurjeve të emigrantëve janë futur në ekonominë shqiptare mbi 30 miliardë dollarë në formën e prurjeve të emigrantëve. Niveli i remitancave </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shtuar ndjesh</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m dy vitet e fundit </w:t>
      </w:r>
      <w:r w:rsidR="00EA00D9" w:rsidRPr="00817921">
        <w:rPr>
          <w:rFonts w:ascii="Times New Roman" w:hAnsi="Times New Roman" w:cs="Times New Roman"/>
          <w:szCs w:val="22"/>
          <w:lang w:val="sq-AL"/>
        </w:rPr>
        <w:t>ç</w:t>
      </w:r>
      <w:r w:rsidR="00064D0A" w:rsidRPr="00817921">
        <w:rPr>
          <w:rFonts w:ascii="Times New Roman" w:hAnsi="Times New Roman" w:cs="Times New Roman"/>
          <w:szCs w:val="22"/>
          <w:lang w:val="sq-AL"/>
        </w:rPr>
        <w:t>ka korespondon me ciklin e ri t</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emigracionit t</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viteve t</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fundit. Ato kanë furnizuar me të ardhura 13% të buxhetit të familjeve. Gjysma e prurjeve kanë financuar konsumin e ushqimeve dhe pjesa e tjetër, është përdorur për t’u arsimuar dhe për shërbime të tjera</w:t>
      </w:r>
      <w:r w:rsidR="00064D0A" w:rsidRPr="00817921">
        <w:rPr>
          <w:rFonts w:ascii="Times New Roman" w:hAnsi="Times New Roman" w:cs="Times New Roman"/>
          <w:szCs w:val="22"/>
          <w:vertAlign w:val="superscript"/>
          <w:lang w:val="sq-AL"/>
        </w:rPr>
        <w:footnoteReference w:id="17"/>
      </w:r>
      <w:r w:rsidR="00064D0A" w:rsidRPr="00817921">
        <w:rPr>
          <w:rFonts w:ascii="Times New Roman" w:hAnsi="Times New Roman" w:cs="Times New Roman"/>
          <w:szCs w:val="22"/>
          <w:lang w:val="sq-AL"/>
        </w:rPr>
        <w:t>. Kontributi kryesor i remitancave lidhet me reduktimin e varf</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ris</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shum</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familjeve. Nj</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pjes</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e vog</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l e tyre </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investuar n</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ekonomi, kryesisht n</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biznese t</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vogla dhe ka qen</w:t>
      </w:r>
      <w:r w:rsidR="009A5A0E" w:rsidRPr="00817921">
        <w:rPr>
          <w:rFonts w:ascii="Times New Roman" w:hAnsi="Times New Roman" w:cs="Times New Roman"/>
          <w:szCs w:val="22"/>
          <w:lang w:val="sq-AL"/>
        </w:rPr>
        <w:t>ë</w:t>
      </w:r>
      <w:r w:rsidR="00064D0A" w:rsidRPr="00817921">
        <w:rPr>
          <w:rFonts w:ascii="Times New Roman" w:hAnsi="Times New Roman" w:cs="Times New Roman"/>
          <w:szCs w:val="22"/>
          <w:lang w:val="sq-AL"/>
        </w:rPr>
        <w:t xml:space="preserve"> e pamjaftueshme për të rritur prodhimin vendas</w:t>
      </w:r>
      <w:r w:rsidR="00064D0A" w:rsidRPr="00817921">
        <w:rPr>
          <w:rFonts w:ascii="Times New Roman" w:hAnsi="Times New Roman" w:cs="Times New Roman"/>
          <w:szCs w:val="22"/>
          <w:vertAlign w:val="superscript"/>
        </w:rPr>
        <w:footnoteReference w:id="18"/>
      </w:r>
      <w:r w:rsidR="00064D0A" w:rsidRPr="00817921">
        <w:rPr>
          <w:rFonts w:ascii="Times New Roman" w:hAnsi="Times New Roman" w:cs="Times New Roman"/>
          <w:szCs w:val="22"/>
          <w:lang w:val="sq-AL"/>
        </w:rPr>
        <w:t>.</w:t>
      </w:r>
    </w:p>
    <w:p w14:paraId="35B90F14" w14:textId="7AD6C382" w:rsidR="000F115D" w:rsidRDefault="00F74D23" w:rsidP="00722143">
      <w:pPr>
        <w:rPr>
          <w:rFonts w:ascii="Times New Roman" w:hAnsi="Times New Roman" w:cs="Times New Roman"/>
          <w:szCs w:val="22"/>
          <w:lang w:val="sq-AL"/>
        </w:rPr>
      </w:pPr>
      <w:r w:rsidRPr="00817921">
        <w:rPr>
          <w:rFonts w:ascii="Times New Roman" w:hAnsi="Times New Roman" w:cs="Times New Roman"/>
          <w:b/>
          <w:bCs/>
          <w:szCs w:val="22"/>
          <w:lang w:val="sq-AL"/>
        </w:rPr>
        <w:t>Zhvillimi rajonal.</w:t>
      </w:r>
      <w:r w:rsidRPr="00817921">
        <w:rPr>
          <w:rFonts w:ascii="Times New Roman" w:hAnsi="Times New Roman" w:cs="Times New Roman"/>
          <w:szCs w:val="22"/>
          <w:lang w:val="sq-AL"/>
        </w:rPr>
        <w:t xml:space="preserve"> </w:t>
      </w:r>
      <w:r w:rsidR="00722143" w:rsidRPr="00817921">
        <w:rPr>
          <w:rFonts w:ascii="Times New Roman" w:hAnsi="Times New Roman" w:cs="Times New Roman"/>
          <w:szCs w:val="22"/>
          <w:lang w:val="sq-AL"/>
        </w:rPr>
        <w:t xml:space="preserve">Zhvillimi ekonomik rajonal dhe lokal </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i nj</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rend</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sie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posa</w:t>
      </w:r>
      <w:r w:rsidRPr="00817921">
        <w:rPr>
          <w:rFonts w:ascii="Times New Roman" w:hAnsi="Times New Roman" w:cs="Times New Roman"/>
          <w:szCs w:val="22"/>
          <w:lang w:val="sq-AL"/>
        </w:rPr>
        <w:t>ç</w:t>
      </w:r>
      <w:r w:rsidR="00722143" w:rsidRPr="00817921">
        <w:rPr>
          <w:rFonts w:ascii="Times New Roman" w:hAnsi="Times New Roman" w:cs="Times New Roman"/>
          <w:szCs w:val="22"/>
          <w:lang w:val="sq-AL"/>
        </w:rPr>
        <w:t>me kur b</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het fjal</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mbrojtjen sociale. Masa dhe cil</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sia e k</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tij zhvillimi kusht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zon </w:t>
      </w:r>
      <w:r w:rsidR="000F115D" w:rsidRPr="00817921">
        <w:rPr>
          <w:rFonts w:ascii="Times New Roman" w:hAnsi="Times New Roman" w:cs="Times New Roman"/>
          <w:szCs w:val="22"/>
          <w:lang w:val="sq-AL"/>
        </w:rPr>
        <w:t>pun</w:t>
      </w:r>
      <w:r w:rsidR="009A5A0E" w:rsidRPr="00817921">
        <w:rPr>
          <w:rFonts w:ascii="Times New Roman" w:hAnsi="Times New Roman" w:cs="Times New Roman"/>
          <w:szCs w:val="22"/>
          <w:lang w:val="sq-AL"/>
        </w:rPr>
        <w:t>ë</w:t>
      </w:r>
      <w:r w:rsidR="000F115D" w:rsidRPr="00817921">
        <w:rPr>
          <w:rFonts w:ascii="Times New Roman" w:hAnsi="Times New Roman" w:cs="Times New Roman"/>
          <w:szCs w:val="22"/>
          <w:lang w:val="sq-AL"/>
        </w:rPr>
        <w:t>simin e t</w:t>
      </w:r>
      <w:r w:rsidR="009A5A0E" w:rsidRPr="00817921">
        <w:rPr>
          <w:rFonts w:ascii="Times New Roman" w:hAnsi="Times New Roman" w:cs="Times New Roman"/>
          <w:szCs w:val="22"/>
          <w:lang w:val="sq-AL"/>
        </w:rPr>
        <w:t>ë</w:t>
      </w:r>
      <w:r w:rsidR="000F115D" w:rsidRPr="00817921">
        <w:rPr>
          <w:rFonts w:ascii="Times New Roman" w:hAnsi="Times New Roman" w:cs="Times New Roman"/>
          <w:szCs w:val="22"/>
          <w:lang w:val="sq-AL"/>
        </w:rPr>
        <w:t xml:space="preserve"> papun</w:t>
      </w:r>
      <w:r w:rsidR="009A5A0E" w:rsidRPr="00817921">
        <w:rPr>
          <w:rFonts w:ascii="Times New Roman" w:hAnsi="Times New Roman" w:cs="Times New Roman"/>
          <w:szCs w:val="22"/>
          <w:lang w:val="sq-AL"/>
        </w:rPr>
        <w:t>ë</w:t>
      </w:r>
      <w:r w:rsidR="000F115D" w:rsidRPr="00817921">
        <w:rPr>
          <w:rFonts w:ascii="Times New Roman" w:hAnsi="Times New Roman" w:cs="Times New Roman"/>
          <w:szCs w:val="22"/>
          <w:lang w:val="sq-AL"/>
        </w:rPr>
        <w:t>ve ve</w:t>
      </w:r>
      <w:r w:rsidR="00477F39" w:rsidRPr="00817921">
        <w:rPr>
          <w:rFonts w:ascii="Times New Roman" w:hAnsi="Times New Roman" w:cs="Times New Roman"/>
          <w:szCs w:val="22"/>
          <w:lang w:val="sq-AL"/>
        </w:rPr>
        <w:t>ç</w:t>
      </w:r>
      <w:r w:rsidR="000F115D" w:rsidRPr="00817921">
        <w:rPr>
          <w:rFonts w:ascii="Times New Roman" w:hAnsi="Times New Roman" w:cs="Times New Roman"/>
          <w:szCs w:val="22"/>
          <w:lang w:val="sq-AL"/>
        </w:rPr>
        <w:t>an</w:t>
      </w:r>
      <w:r w:rsidR="009A5A0E" w:rsidRPr="00817921">
        <w:rPr>
          <w:rFonts w:ascii="Times New Roman" w:hAnsi="Times New Roman" w:cs="Times New Roman"/>
          <w:szCs w:val="22"/>
          <w:lang w:val="sq-AL"/>
        </w:rPr>
        <w:t>ë</w:t>
      </w:r>
      <w:r w:rsidR="000F115D" w:rsidRPr="00817921">
        <w:rPr>
          <w:rFonts w:ascii="Times New Roman" w:hAnsi="Times New Roman" w:cs="Times New Roman"/>
          <w:szCs w:val="22"/>
          <w:lang w:val="sq-AL"/>
        </w:rPr>
        <w:t>risht nga kategoria e familjeve n</w:t>
      </w:r>
      <w:r w:rsidR="009A5A0E" w:rsidRPr="00817921">
        <w:rPr>
          <w:rFonts w:ascii="Times New Roman" w:hAnsi="Times New Roman" w:cs="Times New Roman"/>
          <w:szCs w:val="22"/>
          <w:lang w:val="sq-AL"/>
        </w:rPr>
        <w:t>ë</w:t>
      </w:r>
      <w:r w:rsidR="000F115D" w:rsidRPr="00817921">
        <w:rPr>
          <w:rFonts w:ascii="Times New Roman" w:hAnsi="Times New Roman" w:cs="Times New Roman"/>
          <w:szCs w:val="22"/>
          <w:lang w:val="sq-AL"/>
        </w:rPr>
        <w:t xml:space="preserve"> ndihm</w:t>
      </w:r>
      <w:r w:rsidR="009A5A0E" w:rsidRPr="00817921">
        <w:rPr>
          <w:rFonts w:ascii="Times New Roman" w:hAnsi="Times New Roman" w:cs="Times New Roman"/>
          <w:szCs w:val="22"/>
          <w:lang w:val="sq-AL"/>
        </w:rPr>
        <w:t>ë</w:t>
      </w:r>
      <w:r w:rsidR="000F115D" w:rsidRPr="00817921">
        <w:rPr>
          <w:rFonts w:ascii="Times New Roman" w:hAnsi="Times New Roman" w:cs="Times New Roman"/>
          <w:szCs w:val="22"/>
          <w:lang w:val="sq-AL"/>
        </w:rPr>
        <w:t xml:space="preserve"> ekonomike, pun</w:t>
      </w:r>
      <w:r w:rsidR="009A5A0E" w:rsidRPr="00817921">
        <w:rPr>
          <w:rFonts w:ascii="Times New Roman" w:hAnsi="Times New Roman" w:cs="Times New Roman"/>
          <w:szCs w:val="22"/>
          <w:lang w:val="sq-AL"/>
        </w:rPr>
        <w:t>ë</w:t>
      </w:r>
      <w:r w:rsidR="000F115D" w:rsidRPr="00817921">
        <w:rPr>
          <w:rFonts w:ascii="Times New Roman" w:hAnsi="Times New Roman" w:cs="Times New Roman"/>
          <w:szCs w:val="22"/>
          <w:lang w:val="sq-AL"/>
        </w:rPr>
        <w:t>simin e personave me aft</w:t>
      </w:r>
      <w:r w:rsidR="009A5A0E" w:rsidRPr="00817921">
        <w:rPr>
          <w:rFonts w:ascii="Times New Roman" w:hAnsi="Times New Roman" w:cs="Times New Roman"/>
          <w:szCs w:val="22"/>
          <w:lang w:val="sq-AL"/>
        </w:rPr>
        <w:t>ë</w:t>
      </w:r>
      <w:r w:rsidR="000F115D" w:rsidRPr="00817921">
        <w:rPr>
          <w:rFonts w:ascii="Times New Roman" w:hAnsi="Times New Roman" w:cs="Times New Roman"/>
          <w:szCs w:val="22"/>
          <w:lang w:val="sq-AL"/>
        </w:rPr>
        <w:t>si t</w:t>
      </w:r>
      <w:r w:rsidR="009A5A0E" w:rsidRPr="00817921">
        <w:rPr>
          <w:rFonts w:ascii="Times New Roman" w:hAnsi="Times New Roman" w:cs="Times New Roman"/>
          <w:szCs w:val="22"/>
          <w:lang w:val="sq-AL"/>
        </w:rPr>
        <w:t>ë</w:t>
      </w:r>
      <w:r w:rsidR="000F115D" w:rsidRPr="00817921">
        <w:rPr>
          <w:rFonts w:ascii="Times New Roman" w:hAnsi="Times New Roman" w:cs="Times New Roman"/>
          <w:szCs w:val="22"/>
          <w:lang w:val="sq-AL"/>
        </w:rPr>
        <w:t xml:space="preserve"> kufizuara si dhe </w:t>
      </w:r>
      <w:r w:rsidR="00722143" w:rsidRPr="00817921">
        <w:rPr>
          <w:rFonts w:ascii="Times New Roman" w:hAnsi="Times New Roman" w:cs="Times New Roman"/>
          <w:szCs w:val="22"/>
          <w:lang w:val="sq-AL"/>
        </w:rPr>
        <w:t>aft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sin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e pushtetit vendor dhe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aktor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ve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tjer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lokal</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w:t>
      </w:r>
      <w:r w:rsidR="00EA00D9" w:rsidRPr="00817921">
        <w:rPr>
          <w:rFonts w:ascii="Times New Roman" w:hAnsi="Times New Roman" w:cs="Times New Roman"/>
          <w:szCs w:val="22"/>
          <w:lang w:val="sq-AL"/>
        </w:rPr>
        <w:t>ven</w:t>
      </w:r>
      <w:r w:rsidR="00E9006B">
        <w:rPr>
          <w:rFonts w:ascii="Times New Roman" w:hAnsi="Times New Roman" w:cs="Times New Roman"/>
          <w:szCs w:val="22"/>
          <w:lang w:val="sq-AL"/>
        </w:rPr>
        <w:t>ë</w:t>
      </w:r>
      <w:r w:rsidR="00EA00D9" w:rsidRPr="00817921">
        <w:rPr>
          <w:rFonts w:ascii="Times New Roman" w:hAnsi="Times New Roman" w:cs="Times New Roman"/>
          <w:szCs w:val="22"/>
          <w:lang w:val="sq-AL"/>
        </w:rPr>
        <w:t xml:space="preserve"> n</w:t>
      </w:r>
      <w:r w:rsidR="00E9006B">
        <w:rPr>
          <w:rFonts w:ascii="Times New Roman" w:hAnsi="Times New Roman" w:cs="Times New Roman"/>
          <w:szCs w:val="22"/>
          <w:lang w:val="sq-AL"/>
        </w:rPr>
        <w:t>ë</w:t>
      </w:r>
      <w:r w:rsidR="00EA00D9" w:rsidRPr="00817921">
        <w:rPr>
          <w:rFonts w:ascii="Times New Roman" w:hAnsi="Times New Roman" w:cs="Times New Roman"/>
          <w:szCs w:val="22"/>
          <w:lang w:val="sq-AL"/>
        </w:rPr>
        <w:t xml:space="preserve"> dispozicion</w:t>
      </w:r>
      <w:r w:rsidR="00722143" w:rsidRPr="00817921">
        <w:rPr>
          <w:rFonts w:ascii="Times New Roman" w:hAnsi="Times New Roman" w:cs="Times New Roman"/>
          <w:szCs w:val="22"/>
          <w:lang w:val="sq-AL"/>
        </w:rPr>
        <w:t xml:space="preserve"> burime njer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zore dhe financiare </w:t>
      </w:r>
      <w:r w:rsidR="00EA00D9" w:rsidRPr="00817921">
        <w:rPr>
          <w:rFonts w:ascii="Times New Roman" w:hAnsi="Times New Roman" w:cs="Times New Roman"/>
          <w:szCs w:val="22"/>
          <w:lang w:val="sq-AL"/>
        </w:rPr>
        <w:t>n</w:t>
      </w:r>
      <w:r w:rsidR="00E9006B">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mb</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shtetje </w:t>
      </w:r>
      <w:r w:rsidR="00EA00D9" w:rsidRPr="00817921">
        <w:rPr>
          <w:rFonts w:ascii="Times New Roman" w:hAnsi="Times New Roman" w:cs="Times New Roman"/>
          <w:szCs w:val="22"/>
          <w:lang w:val="sq-AL"/>
        </w:rPr>
        <w:t>t</w:t>
      </w:r>
      <w:r w:rsidR="00E9006B">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grupe</w:t>
      </w:r>
      <w:r w:rsidR="00EA00D9" w:rsidRPr="00817921">
        <w:rPr>
          <w:rFonts w:ascii="Times New Roman" w:hAnsi="Times New Roman" w:cs="Times New Roman"/>
          <w:szCs w:val="22"/>
          <w:lang w:val="sq-AL"/>
        </w:rPr>
        <w:t>ve</w:t>
      </w:r>
      <w:r w:rsidR="00722143" w:rsidRPr="00817921">
        <w:rPr>
          <w:rFonts w:ascii="Times New Roman" w:hAnsi="Times New Roman" w:cs="Times New Roman"/>
          <w:szCs w:val="22"/>
          <w:lang w:val="sq-AL"/>
        </w:rPr>
        <w:t xml:space="preserve"> vulnerab</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l. </w:t>
      </w:r>
    </w:p>
    <w:p w14:paraId="4E2BAC16" w14:textId="33F35B82" w:rsidR="00722143" w:rsidRPr="00817921" w:rsidRDefault="000F115D" w:rsidP="00722143">
      <w:pPr>
        <w:rPr>
          <w:rFonts w:ascii="Times New Roman" w:hAnsi="Times New Roman" w:cs="Times New Roman"/>
          <w:szCs w:val="22"/>
          <w:lang w:val="sq-AL"/>
        </w:rPr>
      </w:pPr>
      <w:r w:rsidRPr="00817921">
        <w:rPr>
          <w:rFonts w:ascii="Times New Roman" w:hAnsi="Times New Roman" w:cs="Times New Roman"/>
          <w:szCs w:val="22"/>
          <w:lang w:val="sq-AL"/>
        </w:rPr>
        <w:t>Rezulton q</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w:t>
      </w:r>
      <w:r w:rsidR="00722143" w:rsidRPr="00817921">
        <w:rPr>
          <w:rFonts w:ascii="Times New Roman" w:hAnsi="Times New Roman" w:cs="Times New Roman"/>
          <w:szCs w:val="22"/>
          <w:lang w:val="sq-AL"/>
        </w:rPr>
        <w:t>ransformimet e shumanshme që ka pësuar vendi gjatë këtyre 30 viteve të fundit kanë theksuar pabarazitë dhe diferencat e mëdha demografike, ekonomike dhe zhvillimore. Zhvillimet demografike kan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krijuar shproporcione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rend</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sishme. K</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shtu,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vitin 2021, vetëm në aksin Tiranë – Durrës – Fier janë të vendosur 1,490</w:t>
      </w:r>
      <w:r w:rsidRPr="00817921">
        <w:rPr>
          <w:rFonts w:ascii="Times New Roman" w:hAnsi="Times New Roman" w:cs="Times New Roman"/>
          <w:szCs w:val="22"/>
          <w:lang w:val="sq-AL"/>
        </w:rPr>
        <w:t>,</w:t>
      </w:r>
      <w:r w:rsidR="00722143" w:rsidRPr="00817921">
        <w:rPr>
          <w:rFonts w:ascii="Times New Roman" w:hAnsi="Times New Roman" w:cs="Times New Roman"/>
          <w:szCs w:val="22"/>
          <w:lang w:val="sq-AL"/>
        </w:rPr>
        <w:t>221 banorë, pra pak m</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shum</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50% e popullsisë së vendit dhe vet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m qarku i Tiran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 nd</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12 qarqet, ka mbizot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rim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popullsis</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urbane (88.5% e popullsisë). Qarku </w:t>
      </w:r>
      <w:r w:rsidR="00477F39" w:rsidRPr="00817921">
        <w:rPr>
          <w:rFonts w:ascii="Times New Roman" w:hAnsi="Times New Roman" w:cs="Times New Roman"/>
          <w:szCs w:val="22"/>
          <w:lang w:val="sq-AL"/>
        </w:rPr>
        <w:t>i</w:t>
      </w:r>
      <w:r w:rsidR="00722143" w:rsidRPr="00817921">
        <w:rPr>
          <w:rFonts w:ascii="Times New Roman" w:hAnsi="Times New Roman" w:cs="Times New Roman"/>
          <w:szCs w:val="22"/>
          <w:lang w:val="sq-AL"/>
        </w:rPr>
        <w:t xml:space="preserve"> Durr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sit dhe </w:t>
      </w:r>
      <w:r w:rsidR="00477F39" w:rsidRPr="00817921">
        <w:rPr>
          <w:rFonts w:ascii="Times New Roman" w:hAnsi="Times New Roman" w:cs="Times New Roman"/>
          <w:szCs w:val="22"/>
          <w:lang w:val="sq-AL"/>
        </w:rPr>
        <w:t>i</w:t>
      </w:r>
      <w:r w:rsidR="00722143" w:rsidRPr="00817921">
        <w:rPr>
          <w:rFonts w:ascii="Times New Roman" w:hAnsi="Times New Roman" w:cs="Times New Roman"/>
          <w:szCs w:val="22"/>
          <w:lang w:val="sq-AL"/>
        </w:rPr>
        <w:t xml:space="preserve"> Vlor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 kategorizohen me popullsi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natyr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 s</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nd</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rmjetme (respektivisht 24.7% dhe 43.9% popullsi rurale) nd</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rsa 9 qarqet e tjera mbizot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rohen nga popullsi rurale</w:t>
      </w:r>
      <w:r w:rsidR="00722143" w:rsidRPr="00817921">
        <w:rPr>
          <w:rFonts w:ascii="Times New Roman" w:hAnsi="Times New Roman" w:cs="Times New Roman"/>
          <w:szCs w:val="22"/>
          <w:vertAlign w:val="superscript"/>
          <w:lang w:val="sq-AL"/>
        </w:rPr>
        <w:footnoteReference w:id="19"/>
      </w:r>
      <w:r w:rsidR="00722143" w:rsidRPr="00817921">
        <w:rPr>
          <w:rFonts w:ascii="Times New Roman" w:hAnsi="Times New Roman" w:cs="Times New Roman"/>
          <w:szCs w:val="22"/>
          <w:lang w:val="sq-AL"/>
        </w:rPr>
        <w:t>. Fondi për zhvillimin rajonal mbetet burimi më i madh i financimit për investimet kapitale dhe ndërhyrjet në infrastrukturën lokale dhe rajonale.</w:t>
      </w:r>
    </w:p>
    <w:p w14:paraId="6BACC191" w14:textId="536F9C0E" w:rsidR="00780539" w:rsidRPr="00817921" w:rsidRDefault="00722143" w:rsidP="00722143">
      <w:pPr>
        <w:rPr>
          <w:rFonts w:ascii="Times New Roman" w:hAnsi="Times New Roman" w:cs="Times New Roman"/>
          <w:szCs w:val="22"/>
          <w:lang w:val="sq-AL"/>
        </w:rPr>
      </w:pPr>
      <w:r w:rsidRPr="00817921">
        <w:rPr>
          <w:rFonts w:ascii="Times New Roman" w:hAnsi="Times New Roman" w:cs="Times New Roman"/>
          <w:szCs w:val="22"/>
          <w:lang w:val="sq-AL"/>
        </w:rPr>
        <w:t>Rritja e PBB-s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nivel rajonal paraqet rezultate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rziera dhe munges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n e nj</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tendence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qart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zhvillimi, gj</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q</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flet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 nj</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ekonomi vendore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brisht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Pesha e kontributit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Tiran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PBB </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rritje (44% e PBB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2021 krahasuar me 40%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2016),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rsa kontributi i qarqeve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tjera </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renie. Rajoni i veriut kontribon 22.3%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PBB vjetore nd</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rsa ai i jugut 27%. Bashkit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e veriut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rgjith</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 dhe bashkia e Kuk</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sit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ve</w:t>
      </w:r>
      <w:r w:rsidR="00477F39" w:rsidRPr="00817921">
        <w:rPr>
          <w:rFonts w:ascii="Times New Roman" w:hAnsi="Times New Roman" w:cs="Times New Roman"/>
          <w:szCs w:val="22"/>
          <w:lang w:val="sq-AL"/>
        </w:rPr>
        <w:t>ç</w:t>
      </w:r>
      <w:r w:rsidRPr="00817921">
        <w:rPr>
          <w:rFonts w:ascii="Times New Roman" w:hAnsi="Times New Roman" w:cs="Times New Roman"/>
          <w:szCs w:val="22"/>
          <w:lang w:val="sq-AL"/>
        </w:rPr>
        <w:t>anti mbeten m</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varf</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rat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Shqip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ri. PBB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 frym</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qarkun e Kuk</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sit </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59% e mesatares komb</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tare</w:t>
      </w:r>
      <w:r w:rsidRPr="00817921">
        <w:rPr>
          <w:rFonts w:ascii="Times New Roman" w:hAnsi="Times New Roman" w:cs="Times New Roman"/>
          <w:szCs w:val="22"/>
          <w:vertAlign w:val="superscript"/>
          <w:lang w:val="sq-AL"/>
        </w:rPr>
        <w:footnoteReference w:id="20"/>
      </w:r>
      <w:r w:rsidRPr="00817921">
        <w:rPr>
          <w:rFonts w:ascii="Times New Roman" w:hAnsi="Times New Roman" w:cs="Times New Roman"/>
          <w:szCs w:val="22"/>
          <w:lang w:val="sq-AL"/>
        </w:rPr>
        <w:t xml:space="preserve">. </w:t>
      </w:r>
      <w:r w:rsidR="00CE5E1F" w:rsidRPr="00817921">
        <w:rPr>
          <w:rFonts w:ascii="Times New Roman" w:hAnsi="Times New Roman" w:cs="Times New Roman"/>
          <w:szCs w:val="22"/>
          <w:lang w:val="sq-AL"/>
        </w:rPr>
        <w:t>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7 nd</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r 12 qarqe, mbi 50% e pun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simit </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bujq</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si (varion nga 51% 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Gjirokast</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r 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70% 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Kuk</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s). Qarku me pun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simin m</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madh 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sektorin e industris</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w:t>
      </w:r>
      <w:r w:rsidR="00477F39" w:rsidRPr="00817921">
        <w:rPr>
          <w:rFonts w:ascii="Times New Roman" w:hAnsi="Times New Roman" w:cs="Times New Roman"/>
          <w:szCs w:val="22"/>
          <w:lang w:val="sq-AL"/>
        </w:rPr>
        <w:t>D</w:t>
      </w:r>
      <w:r w:rsidR="00CE5E1F" w:rsidRPr="00817921">
        <w:rPr>
          <w:rFonts w:ascii="Times New Roman" w:hAnsi="Times New Roman" w:cs="Times New Roman"/>
          <w:szCs w:val="22"/>
          <w:lang w:val="sq-AL"/>
        </w:rPr>
        <w:t>urr</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si, nd</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rsa 70% e pun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simit 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qarkun e Tiran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s </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 xml:space="preserve"> sektorin e sh</w:t>
      </w:r>
      <w:r w:rsidR="009A5A0E" w:rsidRPr="00817921">
        <w:rPr>
          <w:rFonts w:ascii="Times New Roman" w:hAnsi="Times New Roman" w:cs="Times New Roman"/>
          <w:szCs w:val="22"/>
          <w:lang w:val="sq-AL"/>
        </w:rPr>
        <w:t>ë</w:t>
      </w:r>
      <w:r w:rsidR="00CE5E1F" w:rsidRPr="00817921">
        <w:rPr>
          <w:rFonts w:ascii="Times New Roman" w:hAnsi="Times New Roman" w:cs="Times New Roman"/>
          <w:szCs w:val="22"/>
          <w:lang w:val="sq-AL"/>
        </w:rPr>
        <w:t>rbimeve.</w:t>
      </w:r>
    </w:p>
    <w:p w14:paraId="735B29DF" w14:textId="77777777" w:rsidR="00692586" w:rsidRDefault="00692586" w:rsidP="00722143">
      <w:pPr>
        <w:rPr>
          <w:rFonts w:ascii="Times New Roman" w:hAnsi="Times New Roman" w:cs="Times New Roman"/>
          <w:szCs w:val="22"/>
          <w:lang w:val="sq-AL"/>
        </w:rPr>
      </w:pPr>
    </w:p>
    <w:p w14:paraId="0240D452" w14:textId="5B177818" w:rsidR="00722143" w:rsidRDefault="00477F39" w:rsidP="00722143">
      <w:pPr>
        <w:rPr>
          <w:rFonts w:ascii="Times New Roman" w:hAnsi="Times New Roman" w:cs="Times New Roman"/>
          <w:szCs w:val="22"/>
          <w:lang w:val="sq-AL"/>
        </w:rPr>
      </w:pPr>
      <w:r w:rsidRPr="00817921">
        <w:rPr>
          <w:rFonts w:ascii="Times New Roman" w:hAnsi="Times New Roman" w:cs="Times New Roman"/>
          <w:szCs w:val="22"/>
          <w:lang w:val="sq-AL"/>
        </w:rPr>
        <w:t>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Strategjin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Komb</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tare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 Zhvillim dhe Integrim</w:t>
      </w:r>
      <w:r w:rsidR="00C41665">
        <w:rPr>
          <w:rFonts w:ascii="Times New Roman" w:hAnsi="Times New Roman" w:cs="Times New Roman"/>
          <w:szCs w:val="22"/>
          <w:lang w:val="sq-AL"/>
        </w:rPr>
        <w:t xml:space="preserve"> (SKZHI)</w:t>
      </w:r>
      <w:r w:rsidRPr="00817921">
        <w:rPr>
          <w:rFonts w:ascii="Times New Roman" w:hAnsi="Times New Roman" w:cs="Times New Roman"/>
          <w:szCs w:val="22"/>
          <w:lang w:val="sq-AL"/>
        </w:rPr>
        <w:t xml:space="preserve"> 2023-2030, </w:t>
      </w:r>
      <w:r w:rsidR="00722143" w:rsidRPr="00817921">
        <w:rPr>
          <w:rFonts w:ascii="Times New Roman" w:hAnsi="Times New Roman" w:cs="Times New Roman"/>
          <w:szCs w:val="22"/>
          <w:lang w:val="sq-AL"/>
        </w:rPr>
        <w:t>Shqip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ria vler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sohet si nj</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vend i polarizuar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rgjith</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si dhe sidomos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aspektin e po</w:t>
      </w:r>
      <w:r w:rsidRPr="00817921">
        <w:rPr>
          <w:rFonts w:ascii="Times New Roman" w:hAnsi="Times New Roman" w:cs="Times New Roman"/>
          <w:szCs w:val="22"/>
          <w:lang w:val="sq-AL"/>
        </w:rPr>
        <w:t>t</w:t>
      </w:r>
      <w:r w:rsidR="00722143" w:rsidRPr="00817921">
        <w:rPr>
          <w:rFonts w:ascii="Times New Roman" w:hAnsi="Times New Roman" w:cs="Times New Roman"/>
          <w:szCs w:val="22"/>
          <w:lang w:val="sq-AL"/>
        </w:rPr>
        <w:t xml:space="preserve">encialit ekonomik </w:t>
      </w:r>
      <w:r w:rsidR="00EA00D9" w:rsidRPr="00817921">
        <w:rPr>
          <w:rFonts w:ascii="Times New Roman" w:hAnsi="Times New Roman" w:cs="Times New Roman"/>
          <w:szCs w:val="22"/>
          <w:lang w:val="sq-AL"/>
        </w:rPr>
        <w:t xml:space="preserve">i cili </w:t>
      </w:r>
      <w:r w:rsidR="00E9006B">
        <w:rPr>
          <w:rFonts w:ascii="Times New Roman" w:hAnsi="Times New Roman" w:cs="Times New Roman"/>
          <w:szCs w:val="22"/>
          <w:lang w:val="sq-AL"/>
        </w:rPr>
        <w:t>ë</w:t>
      </w:r>
      <w:r w:rsidR="00EA00D9" w:rsidRPr="00817921">
        <w:rPr>
          <w:rFonts w:ascii="Times New Roman" w:hAnsi="Times New Roman" w:cs="Times New Roman"/>
          <w:szCs w:val="22"/>
          <w:lang w:val="sq-AL"/>
        </w:rPr>
        <w:t>sht</w:t>
      </w:r>
      <w:r w:rsidR="00E9006B">
        <w:rPr>
          <w:rFonts w:ascii="Times New Roman" w:hAnsi="Times New Roman" w:cs="Times New Roman"/>
          <w:szCs w:val="22"/>
          <w:lang w:val="sq-AL"/>
        </w:rPr>
        <w:t>ë</w:t>
      </w:r>
      <w:r w:rsidR="00EA00D9" w:rsidRPr="00817921">
        <w:rPr>
          <w:rFonts w:ascii="Times New Roman" w:hAnsi="Times New Roman" w:cs="Times New Roman"/>
          <w:szCs w:val="22"/>
          <w:lang w:val="sq-AL"/>
        </w:rPr>
        <w:t xml:space="preserve"> i</w:t>
      </w:r>
      <w:r w:rsidR="00722143" w:rsidRPr="00817921">
        <w:rPr>
          <w:rFonts w:ascii="Times New Roman" w:hAnsi="Times New Roman" w:cs="Times New Roman"/>
          <w:szCs w:val="22"/>
          <w:lang w:val="sq-AL"/>
        </w:rPr>
        <w:t xml:space="preserve"> mbyllur kryesisht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trek</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nd</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shin Durr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s-Tirana-Laç. Strategjia vler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son q</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“ekzistojn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pabarazi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konsiderueshme midis qarqeve m</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zhvilluara </w:t>
      </w:r>
      <w:r w:rsidRPr="00817921">
        <w:rPr>
          <w:rFonts w:ascii="Times New Roman" w:hAnsi="Times New Roman" w:cs="Times New Roman"/>
          <w:szCs w:val="22"/>
          <w:lang w:val="sq-AL"/>
        </w:rPr>
        <w:t>(</w:t>
      </w:r>
      <w:r w:rsidR="00722143" w:rsidRPr="00817921">
        <w:rPr>
          <w:rFonts w:ascii="Times New Roman" w:hAnsi="Times New Roman" w:cs="Times New Roman"/>
          <w:szCs w:val="22"/>
          <w:lang w:val="sq-AL"/>
        </w:rPr>
        <w:t>Tiran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 dhe Durr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sit</w:t>
      </w:r>
      <w:r w:rsidRPr="00817921">
        <w:rPr>
          <w:rFonts w:ascii="Times New Roman" w:hAnsi="Times New Roman" w:cs="Times New Roman"/>
          <w:szCs w:val="22"/>
          <w:lang w:val="sq-AL"/>
        </w:rPr>
        <w:t>)</w:t>
      </w:r>
      <w:r w:rsidR="00722143" w:rsidRPr="00817921">
        <w:rPr>
          <w:rFonts w:ascii="Times New Roman" w:hAnsi="Times New Roman" w:cs="Times New Roman"/>
          <w:szCs w:val="22"/>
          <w:lang w:val="sq-AL"/>
        </w:rPr>
        <w:t xml:space="preserve"> dhe </w:t>
      </w:r>
      <w:r w:rsidRPr="00817921">
        <w:rPr>
          <w:rFonts w:ascii="Times New Roman" w:hAnsi="Times New Roman" w:cs="Times New Roman"/>
          <w:szCs w:val="22"/>
          <w:lang w:val="sq-AL"/>
        </w:rPr>
        <w:t xml:space="preserve">atyre </w:t>
      </w:r>
      <w:r w:rsidR="00722143" w:rsidRPr="00817921">
        <w:rPr>
          <w:rFonts w:ascii="Times New Roman" w:hAnsi="Times New Roman" w:cs="Times New Roman"/>
          <w:szCs w:val="22"/>
          <w:lang w:val="sq-AL"/>
        </w:rPr>
        <w:t>m</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pak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zhvilluara </w:t>
      </w:r>
      <w:r w:rsidRPr="00817921">
        <w:rPr>
          <w:rFonts w:ascii="Times New Roman" w:hAnsi="Times New Roman" w:cs="Times New Roman"/>
          <w:szCs w:val="22"/>
          <w:lang w:val="sq-AL"/>
        </w:rPr>
        <w:t>(</w:t>
      </w:r>
      <w:r w:rsidR="00722143" w:rsidRPr="00817921">
        <w:rPr>
          <w:rFonts w:ascii="Times New Roman" w:hAnsi="Times New Roman" w:cs="Times New Roman"/>
          <w:szCs w:val="22"/>
          <w:lang w:val="sq-AL"/>
        </w:rPr>
        <w:t>Kuk</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sit dhe Dibr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w:t>
      </w:r>
      <w:r w:rsidRPr="00817921">
        <w:rPr>
          <w:rFonts w:ascii="Times New Roman" w:hAnsi="Times New Roman" w:cs="Times New Roman"/>
          <w:szCs w:val="22"/>
          <w:lang w:val="sq-AL"/>
        </w:rPr>
        <w:t>)</w:t>
      </w:r>
      <w:r w:rsidR="00722143" w:rsidRPr="00817921">
        <w:rPr>
          <w:rFonts w:ascii="Times New Roman" w:hAnsi="Times New Roman" w:cs="Times New Roman"/>
          <w:szCs w:val="22"/>
          <w:lang w:val="sq-AL"/>
        </w:rPr>
        <w:t xml:space="preserve">, </w:t>
      </w:r>
      <w:r w:rsidRPr="00817921">
        <w:rPr>
          <w:rFonts w:ascii="Times New Roman" w:hAnsi="Times New Roman" w:cs="Times New Roman"/>
          <w:szCs w:val="22"/>
          <w:lang w:val="sq-AL"/>
        </w:rPr>
        <w:t xml:space="preserve">si dhe </w:t>
      </w:r>
      <w:r w:rsidR="00722143" w:rsidRPr="00817921">
        <w:rPr>
          <w:rFonts w:ascii="Times New Roman" w:hAnsi="Times New Roman" w:cs="Times New Roman"/>
          <w:szCs w:val="22"/>
          <w:lang w:val="sq-AL"/>
        </w:rPr>
        <w:t>midis zonave rurale dhe urbane. Ulja e papun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sis</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w:t>
      </w:r>
      <w:r w:rsidR="00926B82" w:rsidRPr="00817921">
        <w:rPr>
          <w:rFonts w:ascii="Times New Roman" w:hAnsi="Times New Roman" w:cs="Times New Roman"/>
          <w:szCs w:val="22"/>
          <w:lang w:val="sq-AL"/>
        </w:rPr>
        <w:t>mbetet</w:t>
      </w:r>
      <w:r w:rsidR="00722143" w:rsidRPr="00817921">
        <w:rPr>
          <w:rFonts w:ascii="Times New Roman" w:hAnsi="Times New Roman" w:cs="Times New Roman"/>
          <w:szCs w:val="22"/>
          <w:lang w:val="sq-AL"/>
        </w:rPr>
        <w:t xml:space="preserve"> objektiv </w:t>
      </w:r>
      <w:r w:rsidRPr="00817921">
        <w:rPr>
          <w:rFonts w:ascii="Times New Roman" w:hAnsi="Times New Roman" w:cs="Times New Roman"/>
          <w:szCs w:val="22"/>
          <w:lang w:val="sq-AL"/>
        </w:rPr>
        <w:t xml:space="preserve">strategjik </w:t>
      </w:r>
      <w:r w:rsidR="00722143" w:rsidRPr="00817921">
        <w:rPr>
          <w:rFonts w:ascii="Times New Roman" w:hAnsi="Times New Roman" w:cs="Times New Roman"/>
          <w:szCs w:val="22"/>
          <w:lang w:val="sq-AL"/>
        </w:rPr>
        <w:t>par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sor. Tre nga kat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r rajonet statistikore </w:t>
      </w:r>
      <w:r w:rsidR="008253DB" w:rsidRPr="00817921">
        <w:rPr>
          <w:rFonts w:ascii="Times New Roman" w:hAnsi="Times New Roman" w:cs="Times New Roman"/>
          <w:szCs w:val="22"/>
          <w:lang w:val="sq-AL"/>
        </w:rPr>
        <w:t>kan</w:t>
      </w:r>
      <w:r w:rsidR="00075C17" w:rsidRPr="002C0D3E">
        <w:rPr>
          <w:rFonts w:ascii="Times New Roman" w:hAnsi="Times New Roman" w:cs="Times New Roman"/>
          <w:szCs w:val="22"/>
          <w:lang w:val="sq-AL"/>
        </w:rPr>
        <w:t>ë</w:t>
      </w:r>
      <w:r w:rsidR="008253DB" w:rsidRPr="00817921">
        <w:rPr>
          <w:rFonts w:ascii="Times New Roman" w:hAnsi="Times New Roman" w:cs="Times New Roman"/>
          <w:szCs w:val="22"/>
          <w:lang w:val="sq-AL"/>
        </w:rPr>
        <w:t xml:space="preserve"> </w:t>
      </w:r>
      <w:r w:rsidR="00722143" w:rsidRPr="00817921">
        <w:rPr>
          <w:rFonts w:ascii="Times New Roman" w:hAnsi="Times New Roman" w:cs="Times New Roman"/>
          <w:szCs w:val="22"/>
          <w:lang w:val="sq-AL"/>
        </w:rPr>
        <w:t xml:space="preserve">zona rurale dhe </w:t>
      </w:r>
      <w:r w:rsidR="00924A24" w:rsidRPr="00817921">
        <w:rPr>
          <w:rFonts w:ascii="Times New Roman" w:hAnsi="Times New Roman" w:cs="Times New Roman"/>
          <w:szCs w:val="22"/>
          <w:lang w:val="sq-AL"/>
        </w:rPr>
        <w:t xml:space="preserve">zona </w:t>
      </w:r>
      <w:r w:rsidR="00722143" w:rsidRPr="00817921">
        <w:rPr>
          <w:rFonts w:ascii="Times New Roman" w:hAnsi="Times New Roman" w:cs="Times New Roman"/>
          <w:szCs w:val="22"/>
          <w:lang w:val="sq-AL"/>
        </w:rPr>
        <w:t>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larg</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ta ku ofrimi dhe mund</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sia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r shkollim </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sht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e pamjaftueshme. </w:t>
      </w:r>
      <w:r w:rsidR="008253DB" w:rsidRPr="00817921">
        <w:rPr>
          <w:rFonts w:ascii="Times New Roman" w:hAnsi="Times New Roman" w:cs="Times New Roman"/>
          <w:szCs w:val="22"/>
          <w:lang w:val="sq-AL"/>
        </w:rPr>
        <w:t>Pritet q</w:t>
      </w:r>
      <w:r w:rsidR="00075C17" w:rsidRPr="002C0D3E">
        <w:rPr>
          <w:rFonts w:ascii="Times New Roman" w:hAnsi="Times New Roman" w:cs="Times New Roman"/>
          <w:szCs w:val="22"/>
          <w:lang w:val="sq-AL"/>
        </w:rPr>
        <w:t>ë</w:t>
      </w:r>
      <w:r w:rsidR="008253DB" w:rsidRPr="00817921">
        <w:rPr>
          <w:rFonts w:ascii="Times New Roman" w:hAnsi="Times New Roman" w:cs="Times New Roman"/>
          <w:szCs w:val="22"/>
          <w:lang w:val="sq-AL"/>
        </w:rPr>
        <w:t xml:space="preserve"> z</w:t>
      </w:r>
      <w:r w:rsidR="00722143" w:rsidRPr="00817921">
        <w:rPr>
          <w:rFonts w:ascii="Times New Roman" w:hAnsi="Times New Roman" w:cs="Times New Roman"/>
          <w:szCs w:val="22"/>
          <w:lang w:val="sq-AL"/>
        </w:rPr>
        <w:t xml:space="preserve">hvillimi </w:t>
      </w:r>
      <w:r w:rsidRPr="00817921">
        <w:rPr>
          <w:rFonts w:ascii="Times New Roman" w:hAnsi="Times New Roman" w:cs="Times New Roman"/>
          <w:szCs w:val="22"/>
          <w:lang w:val="sq-AL"/>
        </w:rPr>
        <w:t>i</w:t>
      </w:r>
      <w:r w:rsidR="00722143" w:rsidRPr="00817921">
        <w:rPr>
          <w:rFonts w:ascii="Times New Roman" w:hAnsi="Times New Roman" w:cs="Times New Roman"/>
          <w:szCs w:val="22"/>
          <w:lang w:val="sq-AL"/>
        </w:rPr>
        <w:t xml:space="preserve"> korridoreve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m</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dha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transportit do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eleminoj</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pengesat infrastrukturore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r rritjen socio-ekonomike, zhvillimi </w:t>
      </w:r>
      <w:r w:rsidRPr="00817921">
        <w:rPr>
          <w:rFonts w:ascii="Times New Roman" w:hAnsi="Times New Roman" w:cs="Times New Roman"/>
          <w:szCs w:val="22"/>
          <w:lang w:val="sq-AL"/>
        </w:rPr>
        <w:t>i</w:t>
      </w:r>
      <w:r w:rsidR="00722143" w:rsidRPr="00817921">
        <w:rPr>
          <w:rFonts w:ascii="Times New Roman" w:hAnsi="Times New Roman" w:cs="Times New Roman"/>
          <w:szCs w:val="22"/>
          <w:lang w:val="sq-AL"/>
        </w:rPr>
        <w:t xml:space="preserve"> sh</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rbimeve publike do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ul</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prirjet migratore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rinjve dhe nxitjen e investitor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ve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investuar nd</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rsa zhvillimi </w:t>
      </w:r>
      <w:r w:rsidRPr="00817921">
        <w:rPr>
          <w:rFonts w:ascii="Times New Roman" w:hAnsi="Times New Roman" w:cs="Times New Roman"/>
          <w:szCs w:val="22"/>
          <w:lang w:val="sq-AL"/>
        </w:rPr>
        <w:t>i</w:t>
      </w:r>
      <w:r w:rsidR="00722143" w:rsidRPr="00817921">
        <w:rPr>
          <w:rFonts w:ascii="Times New Roman" w:hAnsi="Times New Roman" w:cs="Times New Roman"/>
          <w:szCs w:val="22"/>
          <w:lang w:val="sq-AL"/>
        </w:rPr>
        <w:t xml:space="preserve"> zgjidhjeve novatore dhe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q</w:t>
      </w:r>
      <w:r w:rsidR="00F6125B" w:rsidRPr="002C0D3E">
        <w:rPr>
          <w:rFonts w:ascii="Times New Roman" w:hAnsi="Times New Roman" w:cs="Times New Roman"/>
          <w:szCs w:val="22"/>
          <w:lang w:val="sq-AL"/>
        </w:rPr>
        <w:t>ë</w:t>
      </w:r>
      <w:r w:rsidR="00722143" w:rsidRPr="00817921">
        <w:rPr>
          <w:rFonts w:ascii="Times New Roman" w:hAnsi="Times New Roman" w:cs="Times New Roman"/>
          <w:szCs w:val="22"/>
          <w:lang w:val="sq-AL"/>
        </w:rPr>
        <w:t>ndrueshme nga autoritetet lo</w:t>
      </w:r>
      <w:r w:rsidRPr="00817921">
        <w:rPr>
          <w:rFonts w:ascii="Times New Roman" w:hAnsi="Times New Roman" w:cs="Times New Roman"/>
          <w:szCs w:val="22"/>
          <w:lang w:val="sq-AL"/>
        </w:rPr>
        <w:t>k</w:t>
      </w:r>
      <w:r w:rsidR="00722143" w:rsidRPr="00817921">
        <w:rPr>
          <w:rFonts w:ascii="Times New Roman" w:hAnsi="Times New Roman" w:cs="Times New Roman"/>
          <w:szCs w:val="22"/>
          <w:lang w:val="sq-AL"/>
        </w:rPr>
        <w:t>ale do t</w:t>
      </w:r>
      <w:r w:rsidRPr="00817921">
        <w:rPr>
          <w:rFonts w:ascii="Times New Roman" w:hAnsi="Times New Roman" w:cs="Times New Roman"/>
          <w:szCs w:val="22"/>
          <w:lang w:val="sq-AL"/>
        </w:rPr>
        <w:t>’</w:t>
      </w:r>
      <w:r w:rsidR="00722143" w:rsidRPr="00817921">
        <w:rPr>
          <w:rFonts w:ascii="Times New Roman" w:hAnsi="Times New Roman" w:cs="Times New Roman"/>
          <w:szCs w:val="22"/>
          <w:lang w:val="sq-AL"/>
        </w:rPr>
        <w:t>i b</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nte vendbanimet e larg</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ta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rheq</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punuar dhe jetuar”</w:t>
      </w:r>
      <w:r w:rsidR="00F74D23" w:rsidRPr="00817921">
        <w:rPr>
          <w:rFonts w:ascii="Times New Roman" w:hAnsi="Times New Roman" w:cs="Times New Roman"/>
          <w:szCs w:val="22"/>
          <w:vertAlign w:val="superscript"/>
          <w:lang w:val="sq-AL"/>
        </w:rPr>
        <w:t xml:space="preserve"> </w:t>
      </w:r>
      <w:r w:rsidR="00F74D23" w:rsidRPr="00817921">
        <w:rPr>
          <w:rFonts w:ascii="Times New Roman" w:hAnsi="Times New Roman" w:cs="Times New Roman"/>
          <w:szCs w:val="22"/>
          <w:vertAlign w:val="superscript"/>
          <w:lang w:val="sq-AL"/>
        </w:rPr>
        <w:footnoteReference w:id="21"/>
      </w:r>
      <w:r w:rsidR="00722143" w:rsidRPr="00817921">
        <w:rPr>
          <w:rFonts w:ascii="Times New Roman" w:hAnsi="Times New Roman" w:cs="Times New Roman"/>
          <w:szCs w:val="22"/>
          <w:lang w:val="sq-AL"/>
        </w:rPr>
        <w:t xml:space="preserve">. </w:t>
      </w:r>
    </w:p>
    <w:p w14:paraId="11B849C4" w14:textId="77777777" w:rsidR="00692586" w:rsidRPr="00817921" w:rsidRDefault="00692586" w:rsidP="00722143">
      <w:pPr>
        <w:rPr>
          <w:rFonts w:ascii="Times New Roman" w:hAnsi="Times New Roman" w:cs="Times New Roman"/>
          <w:szCs w:val="22"/>
          <w:lang w:val="sq-AL"/>
        </w:rPr>
      </w:pPr>
    </w:p>
    <w:p w14:paraId="0C1E0C5C" w14:textId="63F61BED" w:rsidR="00722143" w:rsidRPr="00817921" w:rsidRDefault="00780539" w:rsidP="00722143">
      <w:pPr>
        <w:rPr>
          <w:rFonts w:ascii="Times New Roman" w:hAnsi="Times New Roman" w:cs="Times New Roman"/>
          <w:szCs w:val="22"/>
          <w:lang w:val="sq-AL"/>
        </w:rPr>
      </w:pPr>
      <w:r w:rsidRPr="00817921">
        <w:rPr>
          <w:rFonts w:ascii="Times New Roman" w:hAnsi="Times New Roman" w:cs="Times New Roman"/>
          <w:szCs w:val="22"/>
          <w:lang w:val="sq-AL"/>
        </w:rPr>
        <w:t>Nga pikpamja ligjore, Shqip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ria ka miratuar ligjin “Për Zhvillimin Rajonal dhe Kohezionin”, i cili angazhon shtetin shqiptar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kontribuar m</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shum</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arritjen e objektivave të përcaktuara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“Politik</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n Rajonale”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Bashkimit Europian e materializuar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pes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rpar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si</w:t>
      </w:r>
      <w:r w:rsidR="00FF5515" w:rsidRPr="00817921">
        <w:rPr>
          <w:rFonts w:ascii="Times New Roman" w:hAnsi="Times New Roman" w:cs="Times New Roman"/>
          <w:szCs w:val="22"/>
          <w:lang w:val="sq-AL"/>
        </w:rPr>
        <w:t xml:space="preserve"> </w:t>
      </w:r>
      <w:r w:rsidRPr="00817921">
        <w:rPr>
          <w:rFonts w:ascii="Times New Roman" w:hAnsi="Times New Roman" w:cs="Times New Roman"/>
          <w:szCs w:val="22"/>
          <w:lang w:val="sq-AL"/>
        </w:rPr>
        <w:t>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 periudh</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n 2021-2027</w:t>
      </w:r>
      <w:r w:rsidRPr="00817921">
        <w:rPr>
          <w:rFonts w:ascii="Times New Roman" w:hAnsi="Times New Roman" w:cs="Times New Roman"/>
          <w:szCs w:val="22"/>
          <w:vertAlign w:val="superscript"/>
          <w:lang w:val="sq-AL"/>
        </w:rPr>
        <w:footnoteReference w:id="22"/>
      </w:r>
      <w:r w:rsidRPr="00817921">
        <w:rPr>
          <w:rFonts w:ascii="Times New Roman" w:hAnsi="Times New Roman" w:cs="Times New Roman"/>
          <w:szCs w:val="22"/>
          <w:vertAlign w:val="superscript"/>
          <w:lang w:val="sq-AL"/>
        </w:rPr>
        <w:t xml:space="preserve"> </w:t>
      </w:r>
      <w:r w:rsidRPr="00817921">
        <w:rPr>
          <w:rFonts w:ascii="Times New Roman" w:hAnsi="Times New Roman" w:cs="Times New Roman"/>
          <w:szCs w:val="22"/>
          <w:lang w:val="sq-AL"/>
        </w:rPr>
        <w:t xml:space="preserve"> me mb</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shtetjen e instrumentit financiar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Fondeve Strukturore. Gjithashtu, Shqip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ria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vitin 2018, ka shkrir</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nj</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gjitha funksionet e agjencive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lidhura me zhvillimin rajonal duke i p</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rqendruar tek Fondi Shqiptar i Zhvillimit</w:t>
      </w:r>
      <w:r w:rsidRPr="00817921">
        <w:rPr>
          <w:rFonts w:ascii="Times New Roman" w:hAnsi="Times New Roman" w:cs="Times New Roman"/>
          <w:szCs w:val="22"/>
          <w:vertAlign w:val="superscript"/>
          <w:lang w:val="sq-AL"/>
        </w:rPr>
        <w:footnoteReference w:id="23"/>
      </w:r>
      <w:r w:rsidRPr="00817921">
        <w:rPr>
          <w:rFonts w:ascii="Times New Roman" w:hAnsi="Times New Roman" w:cs="Times New Roman"/>
          <w:szCs w:val="22"/>
          <w:lang w:val="sq-AL"/>
        </w:rPr>
        <w:t xml:space="preserve">. </w:t>
      </w:r>
      <w:r w:rsidR="00722143" w:rsidRPr="00817921">
        <w:rPr>
          <w:rFonts w:ascii="Times New Roman" w:hAnsi="Times New Roman" w:cs="Times New Roman"/>
          <w:szCs w:val="22"/>
          <w:lang w:val="sq-AL"/>
        </w:rPr>
        <w:t>Shqip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ria</w:t>
      </w:r>
      <w:r w:rsidR="001E6424" w:rsidRPr="00817921">
        <w:rPr>
          <w:rFonts w:ascii="Times New Roman" w:hAnsi="Times New Roman" w:cs="Times New Roman"/>
          <w:szCs w:val="22"/>
          <w:lang w:val="sq-AL"/>
        </w:rPr>
        <w:t>, n</w:t>
      </w:r>
      <w:r w:rsidR="009A5A0E" w:rsidRPr="00817921">
        <w:rPr>
          <w:rFonts w:ascii="Times New Roman" w:hAnsi="Times New Roman" w:cs="Times New Roman"/>
          <w:szCs w:val="22"/>
          <w:lang w:val="sq-AL"/>
        </w:rPr>
        <w:t>ë</w:t>
      </w:r>
      <w:r w:rsidR="001E6424" w:rsidRPr="00817921">
        <w:rPr>
          <w:rFonts w:ascii="Times New Roman" w:hAnsi="Times New Roman" w:cs="Times New Roman"/>
          <w:szCs w:val="22"/>
          <w:lang w:val="sq-AL"/>
        </w:rPr>
        <w:t xml:space="preserve"> raportin e progresit t</w:t>
      </w:r>
      <w:r w:rsidR="009A5A0E" w:rsidRPr="00817921">
        <w:rPr>
          <w:rFonts w:ascii="Times New Roman" w:hAnsi="Times New Roman" w:cs="Times New Roman"/>
          <w:szCs w:val="22"/>
          <w:lang w:val="sq-AL"/>
        </w:rPr>
        <w:t>ë</w:t>
      </w:r>
      <w:r w:rsidR="001E6424" w:rsidRPr="00817921">
        <w:rPr>
          <w:rFonts w:ascii="Times New Roman" w:hAnsi="Times New Roman" w:cs="Times New Roman"/>
          <w:szCs w:val="22"/>
          <w:lang w:val="sq-AL"/>
        </w:rPr>
        <w:t xml:space="preserve"> Komisionit Europian t</w:t>
      </w:r>
      <w:r w:rsidR="009A5A0E" w:rsidRPr="00817921">
        <w:rPr>
          <w:rFonts w:ascii="Times New Roman" w:hAnsi="Times New Roman" w:cs="Times New Roman"/>
          <w:szCs w:val="22"/>
          <w:lang w:val="sq-AL"/>
        </w:rPr>
        <w:t>ë</w:t>
      </w:r>
      <w:r w:rsidR="001E6424" w:rsidRPr="00817921">
        <w:rPr>
          <w:rFonts w:ascii="Times New Roman" w:hAnsi="Times New Roman" w:cs="Times New Roman"/>
          <w:szCs w:val="22"/>
          <w:lang w:val="sq-AL"/>
        </w:rPr>
        <w:t xml:space="preserve"> vitit 202</w:t>
      </w:r>
      <w:r w:rsidR="00FF5515" w:rsidRPr="00817921">
        <w:rPr>
          <w:rFonts w:ascii="Times New Roman" w:hAnsi="Times New Roman" w:cs="Times New Roman"/>
          <w:szCs w:val="22"/>
          <w:lang w:val="sq-AL"/>
        </w:rPr>
        <w:t>2</w:t>
      </w:r>
      <w:r w:rsidR="001E6424" w:rsidRPr="00817921">
        <w:rPr>
          <w:rFonts w:ascii="Times New Roman" w:hAnsi="Times New Roman" w:cs="Times New Roman"/>
          <w:szCs w:val="22"/>
          <w:lang w:val="sq-AL"/>
        </w:rPr>
        <w:t>,</w:t>
      </w:r>
      <w:r w:rsidR="00722143" w:rsidRPr="00817921">
        <w:rPr>
          <w:rFonts w:ascii="Times New Roman" w:hAnsi="Times New Roman" w:cs="Times New Roman"/>
          <w:szCs w:val="22"/>
          <w:lang w:val="sq-AL"/>
        </w:rPr>
        <w:t xml:space="preserve"> vler</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sohet me progress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kufizuar lidhur me miratimin e legjislacionit q</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b</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n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zbatuesh</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m Ligjin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Zhvillimin dhe Kohezionin Rajonal. Raporti rekomandon vijimin e zbatimit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masave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rafruese me Acquis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BE, kapitulli 22 dhe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rgatitjen institucionale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nevojshme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plo</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suar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gjitha k</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rkesat dhe standardet europiane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 mobilizimin e fondeve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kohezionit social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ardhmen. Qart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simi </w:t>
      </w:r>
      <w:r w:rsidR="001E6424" w:rsidRPr="00817921">
        <w:rPr>
          <w:rFonts w:ascii="Times New Roman" w:hAnsi="Times New Roman" w:cs="Times New Roman"/>
          <w:szCs w:val="22"/>
          <w:lang w:val="sq-AL"/>
        </w:rPr>
        <w:t>i</w:t>
      </w:r>
      <w:r w:rsidR="00722143" w:rsidRPr="00817921">
        <w:rPr>
          <w:rFonts w:ascii="Times New Roman" w:hAnsi="Times New Roman" w:cs="Times New Roman"/>
          <w:szCs w:val="22"/>
          <w:lang w:val="sq-AL"/>
        </w:rPr>
        <w:t xml:space="preserve"> p</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rgjegj</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sive midis pushtetit q</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ndror dhe local dhe fuqizimi </w:t>
      </w:r>
      <w:r w:rsidR="00C6755C" w:rsidRPr="00817921">
        <w:rPr>
          <w:rFonts w:ascii="Times New Roman" w:hAnsi="Times New Roman" w:cs="Times New Roman"/>
          <w:szCs w:val="22"/>
          <w:lang w:val="sq-AL"/>
        </w:rPr>
        <w:t>i</w:t>
      </w:r>
      <w:r w:rsidR="00722143" w:rsidRPr="00817921">
        <w:rPr>
          <w:rFonts w:ascii="Times New Roman" w:hAnsi="Times New Roman" w:cs="Times New Roman"/>
          <w:szCs w:val="22"/>
          <w:lang w:val="sq-AL"/>
        </w:rPr>
        <w:t xml:space="preserve"> m</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tejsh</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m </w:t>
      </w:r>
      <w:r w:rsidR="001E6424" w:rsidRPr="00817921">
        <w:rPr>
          <w:rFonts w:ascii="Times New Roman" w:hAnsi="Times New Roman" w:cs="Times New Roman"/>
          <w:szCs w:val="22"/>
          <w:lang w:val="sq-AL"/>
        </w:rPr>
        <w:t>i</w:t>
      </w:r>
      <w:r w:rsidR="00722143" w:rsidRPr="00817921">
        <w:rPr>
          <w:rFonts w:ascii="Times New Roman" w:hAnsi="Times New Roman" w:cs="Times New Roman"/>
          <w:szCs w:val="22"/>
          <w:lang w:val="sq-AL"/>
        </w:rPr>
        <w:t xml:space="preserve"> kapaciteteve administrative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nivelin qendror, rajonal dhe lo</w:t>
      </w:r>
      <w:r w:rsidR="001E6424" w:rsidRPr="00817921">
        <w:rPr>
          <w:rFonts w:ascii="Times New Roman" w:hAnsi="Times New Roman" w:cs="Times New Roman"/>
          <w:szCs w:val="22"/>
          <w:lang w:val="sq-AL"/>
        </w:rPr>
        <w:t>k</w:t>
      </w:r>
      <w:r w:rsidR="00722143" w:rsidRPr="00817921">
        <w:rPr>
          <w:rFonts w:ascii="Times New Roman" w:hAnsi="Times New Roman" w:cs="Times New Roman"/>
          <w:szCs w:val="22"/>
          <w:lang w:val="sq-AL"/>
        </w:rPr>
        <w:t>al vecan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risht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sigurimin e stafit t</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mjaftuesh</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m dhe rishikimin e pagave tek pushteti lo</w:t>
      </w:r>
      <w:r w:rsidR="001E6424" w:rsidRPr="00817921">
        <w:rPr>
          <w:rFonts w:ascii="Times New Roman" w:hAnsi="Times New Roman" w:cs="Times New Roman"/>
          <w:szCs w:val="22"/>
          <w:lang w:val="sq-AL"/>
        </w:rPr>
        <w:t>k</w:t>
      </w:r>
      <w:r w:rsidR="00722143" w:rsidRPr="00817921">
        <w:rPr>
          <w:rFonts w:ascii="Times New Roman" w:hAnsi="Times New Roman" w:cs="Times New Roman"/>
          <w:szCs w:val="22"/>
          <w:lang w:val="sq-AL"/>
        </w:rPr>
        <w:t>al dhe mbajtja e decentralizimit fiscal si nj</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prioritet kryesor n</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 axhend</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n qeveris</w:t>
      </w:r>
      <w:r w:rsidR="009A5A0E" w:rsidRPr="00817921">
        <w:rPr>
          <w:rFonts w:ascii="Times New Roman" w:hAnsi="Times New Roman" w:cs="Times New Roman"/>
          <w:szCs w:val="22"/>
          <w:lang w:val="sq-AL"/>
        </w:rPr>
        <w:t>ë</w:t>
      </w:r>
      <w:r w:rsidR="00722143" w:rsidRPr="00817921">
        <w:rPr>
          <w:rFonts w:ascii="Times New Roman" w:hAnsi="Times New Roman" w:cs="Times New Roman"/>
          <w:szCs w:val="22"/>
          <w:lang w:val="sq-AL"/>
        </w:rPr>
        <w:t xml:space="preserve">se. </w:t>
      </w:r>
    </w:p>
    <w:p w14:paraId="11AFEA40" w14:textId="77777777" w:rsidR="001E6424" w:rsidRPr="00817921" w:rsidRDefault="001E6424" w:rsidP="00722143">
      <w:pPr>
        <w:rPr>
          <w:rFonts w:ascii="Times New Roman" w:hAnsi="Times New Roman" w:cs="Times New Roman"/>
          <w:szCs w:val="22"/>
          <w:lang w:val="sq-AL"/>
        </w:rPr>
      </w:pPr>
    </w:p>
    <w:p w14:paraId="16C6289D" w14:textId="67E126F3" w:rsidR="00836A93" w:rsidRPr="00817921" w:rsidRDefault="00AF6068" w:rsidP="00E14B65">
      <w:pPr>
        <w:pStyle w:val="Heading2"/>
        <w:numPr>
          <w:ilvl w:val="1"/>
          <w:numId w:val="1"/>
        </w:numPr>
        <w:rPr>
          <w:rFonts w:ascii="Times New Roman" w:hAnsi="Times New Roman" w:cs="Times New Roman"/>
          <w:sz w:val="24"/>
          <w:szCs w:val="24"/>
          <w:lang w:val="sq-AL"/>
        </w:rPr>
      </w:pPr>
      <w:bookmarkStart w:id="6" w:name="_Toc150809612"/>
      <w:bookmarkStart w:id="7" w:name="_Toc150896480"/>
      <w:r w:rsidRPr="00817921">
        <w:rPr>
          <w:rFonts w:ascii="Times New Roman" w:hAnsi="Times New Roman" w:cs="Times New Roman"/>
          <w:sz w:val="24"/>
          <w:szCs w:val="24"/>
          <w:lang w:val="sq-AL"/>
        </w:rPr>
        <w:t xml:space="preserve">Konteksti </w:t>
      </w:r>
      <w:r w:rsidR="00A6787D" w:rsidRPr="00817921">
        <w:rPr>
          <w:rFonts w:ascii="Times New Roman" w:hAnsi="Times New Roman" w:cs="Times New Roman"/>
          <w:sz w:val="24"/>
          <w:szCs w:val="24"/>
          <w:lang w:val="sq-AL"/>
        </w:rPr>
        <w:t>social</w:t>
      </w:r>
      <w:bookmarkEnd w:id="6"/>
      <w:bookmarkEnd w:id="7"/>
    </w:p>
    <w:p w14:paraId="70904AB9" w14:textId="56CC79DE" w:rsidR="002373C8" w:rsidRPr="00817921" w:rsidRDefault="002373C8" w:rsidP="00855E6A">
      <w:pPr>
        <w:pStyle w:val="NormalWeb"/>
        <w:rPr>
          <w:iCs/>
          <w:lang w:val="sq-AL"/>
        </w:rPr>
      </w:pPr>
      <w:r w:rsidRPr="00817921">
        <w:rPr>
          <w:lang w:val="sq-AL"/>
        </w:rPr>
        <w:t>N</w:t>
      </w:r>
      <w:r w:rsidR="009A5A0E" w:rsidRPr="00817921">
        <w:rPr>
          <w:lang w:val="sq-AL"/>
        </w:rPr>
        <w:t>ë</w:t>
      </w:r>
      <w:r w:rsidRPr="00817921">
        <w:rPr>
          <w:lang w:val="sq-AL"/>
        </w:rPr>
        <w:t xml:space="preserve"> periudhën 2015-2019, zhvillimi dhe kohezioni social (shëndetësia, arsimi dhe mbrojtja sociale) kan</w:t>
      </w:r>
      <w:r w:rsidR="009A5A0E" w:rsidRPr="00817921">
        <w:rPr>
          <w:lang w:val="sq-AL"/>
        </w:rPr>
        <w:t>ë</w:t>
      </w:r>
      <w:r w:rsidRPr="00817921">
        <w:rPr>
          <w:lang w:val="sq-AL"/>
        </w:rPr>
        <w:t xml:space="preserve"> p</w:t>
      </w:r>
      <w:r w:rsidR="009A5A0E" w:rsidRPr="00817921">
        <w:rPr>
          <w:lang w:val="sq-AL"/>
        </w:rPr>
        <w:t>ë</w:t>
      </w:r>
      <w:r w:rsidRPr="00817921">
        <w:rPr>
          <w:lang w:val="sq-AL"/>
        </w:rPr>
        <w:t>rthithur përafërsisht gjysmën e buxhetit të shtetit</w:t>
      </w:r>
      <w:r w:rsidRPr="00817921">
        <w:rPr>
          <w:vertAlign w:val="superscript"/>
          <w:lang w:val="sq-AL"/>
        </w:rPr>
        <w:footnoteReference w:id="24"/>
      </w:r>
      <w:r w:rsidRPr="00817921">
        <w:rPr>
          <w:lang w:val="sq-AL"/>
        </w:rPr>
        <w:t>. Shpenzimet publike për mbrojtjen sociale janë rritur vitet e fundit dhe aktualisht jan</w:t>
      </w:r>
      <w:r w:rsidR="009A5A0E" w:rsidRPr="00817921">
        <w:rPr>
          <w:lang w:val="sq-AL"/>
        </w:rPr>
        <w:t>ë</w:t>
      </w:r>
      <w:r w:rsidRPr="00817921">
        <w:rPr>
          <w:lang w:val="sq-AL"/>
        </w:rPr>
        <w:t xml:space="preserve"> rreth 9% të PBB-së, ose sa gjysma e nivelit të mesatares Europiane të shpenzimeve në sektor (rreth 19% e PBB</w:t>
      </w:r>
      <w:r w:rsidRPr="00817921">
        <w:rPr>
          <w:vertAlign w:val="superscript"/>
          <w:lang w:val="sq-AL"/>
        </w:rPr>
        <w:footnoteReference w:id="25"/>
      </w:r>
      <w:r w:rsidRPr="00817921">
        <w:rPr>
          <w:lang w:val="sq-AL"/>
        </w:rPr>
        <w:t>), edhe pse me një rritje prej 36% ndaj nivelit 7.3% të PBB në fillimvitet 2000. Shpenzimet për asistencën sociale/skemat e mbështetjes financiare kanë mbetur përgjithësisht konstante (rreth 1.6% e PBB), ndërsa shpenzimet për shërbime sociale dhe politika të tregut të punës (respektivisht, me 0.05% e PBB) kanë mbetur përgjithësisht të ulëta ndër vite</w:t>
      </w:r>
      <w:r w:rsidRPr="00817921">
        <w:rPr>
          <w:bCs/>
          <w:vertAlign w:val="superscript"/>
          <w:lang w:val="sq-AL"/>
        </w:rPr>
        <w:footnoteReference w:id="26"/>
      </w:r>
      <w:r w:rsidRPr="00817921">
        <w:rPr>
          <w:lang w:val="sq-AL"/>
        </w:rPr>
        <w:t>. Shpenzimet e mbrojtjes sociale për vitin 2020, ishin pak më shumë se 40% të buxhetit, pjesa m</w:t>
      </w:r>
      <w:r w:rsidR="009A5A0E" w:rsidRPr="00817921">
        <w:rPr>
          <w:lang w:val="sq-AL"/>
        </w:rPr>
        <w:t>ë</w:t>
      </w:r>
      <w:r w:rsidRPr="00817921">
        <w:rPr>
          <w:lang w:val="sq-AL"/>
        </w:rPr>
        <w:t xml:space="preserve"> e madhe e t</w:t>
      </w:r>
      <w:r w:rsidR="009A5A0E" w:rsidRPr="00817921">
        <w:rPr>
          <w:lang w:val="sq-AL"/>
        </w:rPr>
        <w:t>ë</w:t>
      </w:r>
      <w:r w:rsidRPr="00817921">
        <w:rPr>
          <w:lang w:val="sq-AL"/>
        </w:rPr>
        <w:t xml:space="preserve"> cilave (26.3%) p</w:t>
      </w:r>
      <w:r w:rsidR="009A5A0E" w:rsidRPr="00817921">
        <w:rPr>
          <w:lang w:val="sq-AL"/>
        </w:rPr>
        <w:t>ë</w:t>
      </w:r>
      <w:r w:rsidRPr="00817921">
        <w:rPr>
          <w:lang w:val="sq-AL"/>
        </w:rPr>
        <w:t xml:space="preserve">rdoren për sigurimet shoqërore dhe vetëm 14.9% për kujdesin dhe përfshirjen sociale. </w:t>
      </w:r>
      <w:r w:rsidRPr="00817921">
        <w:rPr>
          <w:iCs/>
          <w:lang w:val="sq-AL"/>
        </w:rPr>
        <w:t xml:space="preserve">Aktualisht nuk ka parashikime për investime infrastrukturore për ofrimin e shërbimeve të kujdesit shoqëror. </w:t>
      </w:r>
    </w:p>
    <w:p w14:paraId="7F71382F" w14:textId="56CC1915" w:rsidR="002F6067" w:rsidRPr="00817921" w:rsidRDefault="004F08F7" w:rsidP="00855E6A">
      <w:pPr>
        <w:pStyle w:val="NormalWeb"/>
        <w:rPr>
          <w:szCs w:val="22"/>
          <w:lang w:val="sq-AL"/>
        </w:rPr>
      </w:pPr>
      <w:r w:rsidRPr="00817921">
        <w:rPr>
          <w:b/>
          <w:bCs/>
          <w:szCs w:val="22"/>
          <w:lang w:val="sq-AL"/>
        </w:rPr>
        <w:t>Varf</w:t>
      </w:r>
      <w:r w:rsidR="009A5A0E" w:rsidRPr="00817921">
        <w:rPr>
          <w:b/>
          <w:bCs/>
          <w:szCs w:val="22"/>
          <w:lang w:val="sq-AL"/>
        </w:rPr>
        <w:t>ë</w:t>
      </w:r>
      <w:r w:rsidRPr="00817921">
        <w:rPr>
          <w:b/>
          <w:bCs/>
          <w:szCs w:val="22"/>
          <w:lang w:val="sq-AL"/>
        </w:rPr>
        <w:t>ria.</w:t>
      </w:r>
      <w:r w:rsidRPr="00817921">
        <w:rPr>
          <w:szCs w:val="22"/>
          <w:lang w:val="sq-AL"/>
        </w:rPr>
        <w:t xml:space="preserve"> </w:t>
      </w:r>
      <w:r w:rsidR="00855E6A" w:rsidRPr="00817921">
        <w:rPr>
          <w:szCs w:val="22"/>
          <w:lang w:val="sq-AL"/>
        </w:rPr>
        <w:t>Në Shqipëri në vitin 2021, treguesi i rrezikut për të qenë i varfër ishte 22%, rreziku për të qenë i varfër ose i përjashtuar social ishte 43.9%, rreth 622</w:t>
      </w:r>
      <w:r w:rsidR="00B13C0A" w:rsidRPr="00817921">
        <w:rPr>
          <w:szCs w:val="22"/>
          <w:lang w:val="sq-AL"/>
        </w:rPr>
        <w:t>,</w:t>
      </w:r>
      <w:r w:rsidR="00855E6A" w:rsidRPr="00817921">
        <w:rPr>
          <w:szCs w:val="22"/>
          <w:lang w:val="sq-AL"/>
        </w:rPr>
        <w:t>70</w:t>
      </w:r>
      <w:r w:rsidR="00B13C0A" w:rsidRPr="00817921">
        <w:rPr>
          <w:szCs w:val="22"/>
          <w:lang w:val="sq-AL"/>
        </w:rPr>
        <w:t>0</w:t>
      </w:r>
      <w:r w:rsidR="00855E6A" w:rsidRPr="00817921">
        <w:rPr>
          <w:szCs w:val="22"/>
          <w:lang w:val="sq-AL"/>
        </w:rPr>
        <w:t xml:space="preserve"> individë jetonin nën kufirin e rrezikut për të qënë të varfër</w:t>
      </w:r>
      <w:r w:rsidR="00855E6A" w:rsidRPr="00817921">
        <w:rPr>
          <w:rStyle w:val="FootnoteReference"/>
          <w:szCs w:val="22"/>
          <w:lang w:val="sq-AL"/>
        </w:rPr>
        <w:footnoteReference w:id="27"/>
      </w:r>
      <w:r w:rsidR="00855E6A" w:rsidRPr="00817921">
        <w:rPr>
          <w:szCs w:val="22"/>
          <w:lang w:val="sq-AL"/>
        </w:rPr>
        <w:t xml:space="preserve">. Është provuar që përfitimet sociale si pensionet e pleqërisë dhe ato familjare, të përfshira në të ardhurat familjare të disponueshme, ndikojnë në uljen e rrezikut për të qenë i varfër. Kështu, nëse në nivelin e të ardhurave nuk do të përfshiheshin të gjitha llojet e përfitimeve sociale, rreziku për të qenë i varfër në vitin 2021 është vlerësuar 39,0 % kundrejt 25,2 % </w:t>
      </w:r>
      <w:r w:rsidR="00C6755C" w:rsidRPr="00817921">
        <w:rPr>
          <w:szCs w:val="22"/>
          <w:lang w:val="sq-AL"/>
        </w:rPr>
        <w:t>n</w:t>
      </w:r>
      <w:r w:rsidR="009A5A0E" w:rsidRPr="00817921">
        <w:rPr>
          <w:szCs w:val="22"/>
          <w:lang w:val="sq-AL"/>
        </w:rPr>
        <w:t>ë</w:t>
      </w:r>
      <w:r w:rsidR="00C6755C" w:rsidRPr="00817921">
        <w:rPr>
          <w:szCs w:val="22"/>
          <w:lang w:val="sq-AL"/>
        </w:rPr>
        <w:t xml:space="preserve"> rastin kur p</w:t>
      </w:r>
      <w:r w:rsidR="009A5A0E" w:rsidRPr="00817921">
        <w:rPr>
          <w:szCs w:val="22"/>
          <w:lang w:val="sq-AL"/>
        </w:rPr>
        <w:t>ë</w:t>
      </w:r>
      <w:r w:rsidR="00C6755C" w:rsidRPr="00817921">
        <w:rPr>
          <w:szCs w:val="22"/>
          <w:lang w:val="sq-AL"/>
        </w:rPr>
        <w:t xml:space="preserve">rfshihen </w:t>
      </w:r>
      <w:r w:rsidR="00855E6A" w:rsidRPr="00817921">
        <w:rPr>
          <w:szCs w:val="22"/>
          <w:lang w:val="sq-AL"/>
        </w:rPr>
        <w:t xml:space="preserve">përfitimet sociale nga pensionet e pleqërisë dhe ato familjare. Kufiri financiar i rrezikut për të qenë i varfër </w:t>
      </w:r>
      <w:r w:rsidR="00C6755C" w:rsidRPr="00817921">
        <w:rPr>
          <w:szCs w:val="22"/>
          <w:lang w:val="sq-AL"/>
        </w:rPr>
        <w:t xml:space="preserve">në vitin 2021 </w:t>
      </w:r>
      <w:r w:rsidR="00855E6A" w:rsidRPr="00817921">
        <w:rPr>
          <w:szCs w:val="22"/>
          <w:lang w:val="sq-AL"/>
        </w:rPr>
        <w:t>është llogaritur 191</w:t>
      </w:r>
      <w:r w:rsidR="00C6755C" w:rsidRPr="00817921">
        <w:rPr>
          <w:szCs w:val="22"/>
          <w:lang w:val="sq-AL"/>
        </w:rPr>
        <w:t>,</w:t>
      </w:r>
      <w:r w:rsidR="00855E6A" w:rsidRPr="00817921">
        <w:rPr>
          <w:szCs w:val="22"/>
          <w:lang w:val="sq-AL"/>
        </w:rPr>
        <w:t xml:space="preserve">791 ALL për një familje me një person, ndërsa ai rritet me shtimin e numrit të anëtarëve si </w:t>
      </w:r>
      <w:r w:rsidR="002F6067" w:rsidRPr="00817921">
        <w:rPr>
          <w:szCs w:val="22"/>
          <w:lang w:val="sq-AL"/>
        </w:rPr>
        <w:t xml:space="preserve">dhe </w:t>
      </w:r>
      <w:r w:rsidR="00855E6A" w:rsidRPr="00817921">
        <w:rPr>
          <w:szCs w:val="22"/>
          <w:lang w:val="sq-AL"/>
        </w:rPr>
        <w:t xml:space="preserve">në rastin kur personi është i papunë. </w:t>
      </w:r>
    </w:p>
    <w:p w14:paraId="3ED74A5D" w14:textId="51E1FD84" w:rsidR="00855E6A" w:rsidRPr="00817921" w:rsidRDefault="00855E6A" w:rsidP="00855E6A">
      <w:pPr>
        <w:pStyle w:val="NormalWeb"/>
        <w:rPr>
          <w:szCs w:val="22"/>
          <w:lang w:val="sq-AL"/>
        </w:rPr>
      </w:pPr>
      <w:r w:rsidRPr="00817921">
        <w:rPr>
          <w:szCs w:val="22"/>
          <w:lang w:val="sq-AL"/>
        </w:rPr>
        <w:t>Vlerësimet tregojnë që në vitin 2020, pagesa e ndihmës ekonomike për një familje me dy të rritur dhe dy fëmijë në ngarkim përfaqësonte 32.8 përqind të pragut të rrezikut të rënies në varfëri të një familjeje me të njëjtën përbërje pa konsideruar përfitimet shtesë që familja në ndihmë ekonomike merr, por që nuk figurojnë ende të monetarizuara. Buxheti total që shkon për ndihmën ekonomike është 0.3% e PBB, ndërsa rezulton që ndihma ekonomike të ketë një ndikim të kufizuar në uljen e varfërisë. Është rreth 9% e popullsisë përfituese e programit të ndihmës ekonmike (64,000 familje në vitin 2022 me 226.530 individë anëtarë) ndërsa janë edhe 4,348 familje që kanë përfituar nga fondi 6% në dispozicion të pushtetit vendor</w:t>
      </w:r>
      <w:r w:rsidRPr="00817921">
        <w:rPr>
          <w:rStyle w:val="FootnoteReference"/>
          <w:szCs w:val="22"/>
          <w:lang w:val="sq-AL"/>
        </w:rPr>
        <w:footnoteReference w:id="28"/>
      </w:r>
      <w:r w:rsidRPr="00817921">
        <w:rPr>
          <w:szCs w:val="22"/>
          <w:lang w:val="sq-AL"/>
        </w:rPr>
        <w:t>. Vetëm 3% e popullsisë u nxorr nga rreziku i varfërisë nëpërmjet transfertave sociale (njëra prej të cilave është ndihma ekonomike)</w:t>
      </w:r>
      <w:r w:rsidR="00651593" w:rsidRPr="00817921">
        <w:rPr>
          <w:szCs w:val="22"/>
          <w:lang w:val="sq-AL"/>
        </w:rPr>
        <w:t>.</w:t>
      </w:r>
      <w:r w:rsidRPr="00817921">
        <w:rPr>
          <w:szCs w:val="22"/>
          <w:lang w:val="sq-AL"/>
        </w:rPr>
        <w:t xml:space="preserve"> 95% e transfertave të programit të mbrojtjes sociale janë në cash, </w:t>
      </w:r>
      <w:r w:rsidR="00651593" w:rsidRPr="00817921">
        <w:rPr>
          <w:szCs w:val="22"/>
          <w:lang w:val="sq-AL"/>
        </w:rPr>
        <w:t>ç</w:t>
      </w:r>
      <w:r w:rsidRPr="00817921">
        <w:rPr>
          <w:szCs w:val="22"/>
          <w:lang w:val="sq-AL"/>
        </w:rPr>
        <w:t xml:space="preserve">ka pohon që shërbimet sociale në nivel vendor aktualisht janë një ofertë e varfër. </w:t>
      </w:r>
    </w:p>
    <w:p w14:paraId="5D92A6CB" w14:textId="3D39FCE1" w:rsidR="00836A93" w:rsidRPr="00817921" w:rsidRDefault="00855E6A" w:rsidP="000760A9">
      <w:pPr>
        <w:pStyle w:val="NormalWeb"/>
        <w:rPr>
          <w:szCs w:val="22"/>
          <w:lang w:val="sq-AL"/>
        </w:rPr>
      </w:pPr>
      <w:r w:rsidRPr="00817921">
        <w:rPr>
          <w:szCs w:val="22"/>
          <w:lang w:val="sq-AL"/>
        </w:rPr>
        <w:t>Sipas INSTAT</w:t>
      </w:r>
      <w:r w:rsidRPr="00817921">
        <w:rPr>
          <w:rStyle w:val="FootnoteReference"/>
          <w:szCs w:val="22"/>
          <w:lang w:val="sq-AL"/>
        </w:rPr>
        <w:footnoteReference w:id="29"/>
      </w:r>
      <w:r w:rsidRPr="00817921">
        <w:rPr>
          <w:szCs w:val="22"/>
          <w:lang w:val="sq-AL"/>
        </w:rPr>
        <w:t>, programi i Ndihmës Ekonomike mbulon 37.0 përqind të familjeve të decilit më të ulët të të ardhurave dhe 25.8 përqind të familjeve me kuintilin më të ulët të të ardhurave. 45.2 përqind e shpenzimeve për pagesën e Ndihmës Ekonomike shkojnë për decilin më të ulët dhe 61.5 përqind për kuintilin më të ulët. Ende një përqindje e konsiderueshme e familjeve me të ardhura të ulëta (vlerësuar në 63 përqind të decilit më të ulët dhe në 74 përqind të kuintilit më të ulët) rezulton</w:t>
      </w:r>
      <w:r w:rsidR="000760A9" w:rsidRPr="00817921">
        <w:rPr>
          <w:szCs w:val="22"/>
          <w:lang w:val="sq-AL"/>
        </w:rPr>
        <w:t>in</w:t>
      </w:r>
      <w:r w:rsidRPr="00817921">
        <w:rPr>
          <w:szCs w:val="22"/>
          <w:lang w:val="sq-AL"/>
        </w:rPr>
        <w:t xml:space="preserve"> jashtë mbulimit të programit të Ndihmës Ekonomike</w:t>
      </w:r>
      <w:r w:rsidR="000760A9" w:rsidRPr="00817921">
        <w:rPr>
          <w:szCs w:val="22"/>
          <w:lang w:val="sq-AL"/>
        </w:rPr>
        <w:t xml:space="preserve"> n</w:t>
      </w:r>
      <w:r w:rsidR="009A5A0E" w:rsidRPr="00817921">
        <w:rPr>
          <w:szCs w:val="22"/>
          <w:lang w:val="sq-AL"/>
        </w:rPr>
        <w:t>ë</w:t>
      </w:r>
      <w:r w:rsidR="000760A9" w:rsidRPr="00817921">
        <w:rPr>
          <w:szCs w:val="22"/>
          <w:lang w:val="sq-AL"/>
        </w:rPr>
        <w:t xml:space="preserve"> vitin 2021</w:t>
      </w:r>
      <w:r w:rsidRPr="00817921">
        <w:rPr>
          <w:szCs w:val="22"/>
          <w:lang w:val="sq-AL"/>
        </w:rPr>
        <w:t xml:space="preserve">. Këto shifra provojnë që programi i Ndihmës Ekonomike ka një ndikim të kufizuar në reduktimin e rrezikut nga varfëria. </w:t>
      </w:r>
      <w:r w:rsidR="00DC7FD7" w:rsidRPr="00817921">
        <w:rPr>
          <w:szCs w:val="22"/>
          <w:lang w:val="sq-AL"/>
        </w:rPr>
        <w:t xml:space="preserve">Gjithashtu </w:t>
      </w:r>
      <w:r w:rsidR="009A5A0E" w:rsidRPr="00817921">
        <w:rPr>
          <w:szCs w:val="22"/>
          <w:lang w:val="sq-AL"/>
        </w:rPr>
        <w:t>ë</w:t>
      </w:r>
      <w:r w:rsidR="00DC7FD7" w:rsidRPr="00817921">
        <w:rPr>
          <w:szCs w:val="22"/>
          <w:lang w:val="sq-AL"/>
        </w:rPr>
        <w:t>sht</w:t>
      </w:r>
      <w:r w:rsidR="009A5A0E" w:rsidRPr="00817921">
        <w:rPr>
          <w:szCs w:val="22"/>
          <w:lang w:val="sq-AL"/>
        </w:rPr>
        <w:t>ë</w:t>
      </w:r>
      <w:r w:rsidR="00DC7FD7" w:rsidRPr="00817921">
        <w:rPr>
          <w:szCs w:val="22"/>
          <w:lang w:val="sq-AL"/>
        </w:rPr>
        <w:t xml:space="preserve"> provuar q</w:t>
      </w:r>
      <w:r w:rsidR="009A5A0E" w:rsidRPr="00817921">
        <w:rPr>
          <w:szCs w:val="22"/>
          <w:lang w:val="sq-AL"/>
        </w:rPr>
        <w:t>ë</w:t>
      </w:r>
      <w:r w:rsidRPr="00817921">
        <w:rPr>
          <w:szCs w:val="22"/>
          <w:lang w:val="sq-AL"/>
        </w:rPr>
        <w:t xml:space="preserve">: (i) </w:t>
      </w:r>
      <w:r w:rsidR="00DC7FD7" w:rsidRPr="00817921">
        <w:rPr>
          <w:szCs w:val="22"/>
          <w:lang w:val="sq-AL"/>
        </w:rPr>
        <w:t>r</w:t>
      </w:r>
      <w:r w:rsidRPr="00817921">
        <w:rPr>
          <w:szCs w:val="22"/>
          <w:lang w:val="sq-AL"/>
        </w:rPr>
        <w:t xml:space="preserve">reziku i rënies në nivelin e varfërisë për individët ndryshon nga statusi i aktivitetit të tyre ekonomik. Në vitin 2020, shkalla e rrezikut të rënies në varfëri ishte 37.8 përqind për të papunët dhe 28.9 përqind për personat ekonomikisht joaktivë krahasuar me 12.7 përqind për të punësuarit. Nga ana tjetër, 11.6 përqind e popullsisë i përket familjeve me intensitet të ulët pune (një familje quhet me intensitet të ulët pune nëse numri i muajve të punës së të gjithë anëtarëve të familjes gjatë vitit paraardhës ishte më pak se 20 përqind); (ii) </w:t>
      </w:r>
      <w:r w:rsidR="00DC7FD7" w:rsidRPr="00817921">
        <w:rPr>
          <w:szCs w:val="22"/>
          <w:lang w:val="sq-AL"/>
        </w:rPr>
        <w:t>r</w:t>
      </w:r>
      <w:r w:rsidRPr="00817921">
        <w:rPr>
          <w:szCs w:val="22"/>
          <w:lang w:val="sq-AL"/>
        </w:rPr>
        <w:t xml:space="preserve">reziku i rënies në varfëri rritet edhe në varësi të numrit të fëmijëve në ngarkim. Në vitin 2020, shkalla e rrezikut të rënies në varfëri për familjet me fëmijë në ngarkim ishte 26.0 përqind, ndërsa për familjet pa fëmijë në ngarkim ishte 13.0 përqind; (iii) </w:t>
      </w:r>
      <w:r w:rsidR="00DC7FD7" w:rsidRPr="00817921">
        <w:rPr>
          <w:szCs w:val="22"/>
          <w:lang w:val="sq-AL"/>
        </w:rPr>
        <w:t>n</w:t>
      </w:r>
      <w:r w:rsidRPr="00817921">
        <w:rPr>
          <w:szCs w:val="22"/>
          <w:lang w:val="sq-AL"/>
        </w:rPr>
        <w:t>orma e rrezikut të rënies në varfëri për popullsinë e moshës 65 vjeç e lart ose për pensionistët është dukshëm më e ulët se mesatarja, si rezultat i transferimit të të ardhurave nga pensionet.</w:t>
      </w:r>
      <w:r w:rsidR="008B0A2C" w:rsidRPr="00817921">
        <w:rPr>
          <w:szCs w:val="22"/>
          <w:lang w:val="sq-AL"/>
        </w:rPr>
        <w:t xml:space="preserve"> </w:t>
      </w:r>
      <w:r w:rsidRPr="00817921">
        <w:rPr>
          <w:szCs w:val="22"/>
          <w:lang w:val="sq-AL"/>
        </w:rPr>
        <w:t>Sipas një ankete tjetër</w:t>
      </w:r>
      <w:r w:rsidRPr="00817921">
        <w:rPr>
          <w:rStyle w:val="FootnoteReference"/>
          <w:szCs w:val="22"/>
          <w:lang w:val="sq-AL"/>
        </w:rPr>
        <w:footnoteReference w:id="30"/>
      </w:r>
      <w:r w:rsidRPr="00817921">
        <w:rPr>
          <w:szCs w:val="22"/>
          <w:lang w:val="sq-AL"/>
        </w:rPr>
        <w:t xml:space="preserve">, niveli i lartë i rrezikut të rënies në varfëri vërehet tek familjet me në krye gra ekonomikisht joaktive, veçanërisht për shkak të angazhimit të tyre në punë të papaguar në familje. Kjo nënkupton që shpërndarja e pabarabartë e punës përkujdesëse të papaguar pengon pjesëmarrjen e grave në tregun e punës dhe çon në ekspozimin </w:t>
      </w:r>
      <w:r w:rsidR="000760A9" w:rsidRPr="00817921">
        <w:rPr>
          <w:szCs w:val="22"/>
          <w:lang w:val="sq-AL"/>
        </w:rPr>
        <w:t>më të lartë t</w:t>
      </w:r>
      <w:r w:rsidR="009A5A0E" w:rsidRPr="00817921">
        <w:rPr>
          <w:szCs w:val="22"/>
          <w:lang w:val="sq-AL"/>
        </w:rPr>
        <w:t>ë</w:t>
      </w:r>
      <w:r w:rsidRPr="00817921">
        <w:rPr>
          <w:szCs w:val="22"/>
          <w:lang w:val="sq-AL"/>
        </w:rPr>
        <w:t xml:space="preserve"> tyre ndaj rrezikut të rënies në varfëri. </w:t>
      </w:r>
    </w:p>
    <w:p w14:paraId="00580A4D" w14:textId="65F652BA" w:rsidR="00836A93" w:rsidRPr="00817921" w:rsidRDefault="00F55F10" w:rsidP="00E14B65">
      <w:pPr>
        <w:rPr>
          <w:rFonts w:ascii="Times New Roman" w:eastAsia="Times New Roman" w:hAnsi="Times New Roman" w:cs="Times New Roman"/>
          <w:szCs w:val="22"/>
          <w:lang w:val="sq-AL" w:eastAsia="en-GB"/>
        </w:rPr>
      </w:pPr>
      <w:r w:rsidRPr="00817921">
        <w:rPr>
          <w:rFonts w:ascii="Times New Roman" w:eastAsia="Times New Roman" w:hAnsi="Times New Roman" w:cs="Times New Roman"/>
          <w:b/>
          <w:bCs/>
          <w:szCs w:val="22"/>
          <w:lang w:val="sq-AL" w:eastAsia="en-GB"/>
        </w:rPr>
        <w:t>Aft</w:t>
      </w:r>
      <w:r w:rsidR="009A5A0E" w:rsidRPr="00817921">
        <w:rPr>
          <w:rFonts w:ascii="Times New Roman" w:eastAsia="Times New Roman" w:hAnsi="Times New Roman" w:cs="Times New Roman"/>
          <w:b/>
          <w:bCs/>
          <w:szCs w:val="22"/>
          <w:lang w:val="sq-AL" w:eastAsia="en-GB"/>
        </w:rPr>
        <w:t>ë</w:t>
      </w:r>
      <w:r w:rsidRPr="00817921">
        <w:rPr>
          <w:rFonts w:ascii="Times New Roman" w:eastAsia="Times New Roman" w:hAnsi="Times New Roman" w:cs="Times New Roman"/>
          <w:b/>
          <w:bCs/>
          <w:szCs w:val="22"/>
          <w:lang w:val="sq-AL" w:eastAsia="en-GB"/>
        </w:rPr>
        <w:t>sia e kufizuar</w:t>
      </w:r>
      <w:r w:rsidR="004F08F7" w:rsidRPr="00817921">
        <w:rPr>
          <w:rFonts w:ascii="Times New Roman" w:eastAsia="Times New Roman" w:hAnsi="Times New Roman" w:cs="Times New Roman"/>
          <w:szCs w:val="22"/>
          <w:lang w:val="sq-AL" w:eastAsia="en-GB"/>
        </w:rPr>
        <w:t xml:space="preserve">. </w:t>
      </w:r>
      <w:r w:rsidR="00855E6A" w:rsidRPr="00817921">
        <w:rPr>
          <w:rFonts w:ascii="Times New Roman" w:eastAsia="Times New Roman" w:hAnsi="Times New Roman" w:cs="Times New Roman"/>
          <w:szCs w:val="22"/>
          <w:lang w:val="sq-AL" w:eastAsia="en-GB"/>
        </w:rPr>
        <w:t>Shqip</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ria </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sht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nd</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 vendet me p</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rqindjen m</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lart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personave me aft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si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kufizuar 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rrezik p</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qen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varf</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 apo p</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provuar p</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rjashtim social. 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vitin 2020, rreth 55% e popullsis</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mbi 16 vjec me aft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si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kufizuar 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Shqip</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ri, jetojn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familje</w:t>
      </w:r>
      <w:r w:rsidR="000E36E2" w:rsidRPr="00817921">
        <w:rPr>
          <w:rFonts w:ascii="Times New Roman" w:eastAsia="Times New Roman" w:hAnsi="Times New Roman" w:cs="Times New Roman"/>
          <w:szCs w:val="22"/>
          <w:lang w:val="sq-AL" w:eastAsia="en-GB"/>
        </w:rPr>
        <w:t>,</w:t>
      </w:r>
      <w:r w:rsidR="00855E6A" w:rsidRPr="00817921">
        <w:rPr>
          <w:rFonts w:ascii="Times New Roman" w:eastAsia="Times New Roman" w:hAnsi="Times New Roman" w:cs="Times New Roman"/>
          <w:szCs w:val="22"/>
          <w:lang w:val="sq-AL" w:eastAsia="en-GB"/>
        </w:rPr>
        <w:t xml:space="preserve">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cilat provojn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pakt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n nj</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nd</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 tre rreziqet e varf</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ris</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dhe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p</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rjashtimit social (rrezik p</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qen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i varf</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r, individ</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thell</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sisht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privuar mateialisht si dhe individ</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q</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jetojn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familje me intensitet shum</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t</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ul</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t 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 xml:space="preserve"> pun</w:t>
      </w:r>
      <w:r w:rsidR="009A5A0E" w:rsidRPr="00817921">
        <w:rPr>
          <w:rFonts w:ascii="Times New Roman" w:eastAsia="Times New Roman" w:hAnsi="Times New Roman" w:cs="Times New Roman"/>
          <w:szCs w:val="22"/>
          <w:lang w:val="sq-AL" w:eastAsia="en-GB"/>
        </w:rPr>
        <w:t>ë</w:t>
      </w:r>
      <w:r w:rsidR="00855E6A" w:rsidRPr="00817921">
        <w:rPr>
          <w:rFonts w:ascii="Times New Roman" w:eastAsia="Times New Roman" w:hAnsi="Times New Roman" w:cs="Times New Roman"/>
          <w:szCs w:val="22"/>
          <w:lang w:val="sq-AL" w:eastAsia="en-GB"/>
        </w:rPr>
        <w:t>sim</w:t>
      </w:r>
      <w:r w:rsidR="000E36E2" w:rsidRPr="00817921">
        <w:rPr>
          <w:rFonts w:ascii="Times New Roman" w:eastAsia="Times New Roman" w:hAnsi="Times New Roman" w:cs="Times New Roman"/>
          <w:szCs w:val="22"/>
          <w:lang w:val="sq-AL" w:eastAsia="en-GB"/>
        </w:rPr>
        <w:t>).</w:t>
      </w:r>
      <w:r w:rsidR="00855E6A" w:rsidRPr="00817921">
        <w:rPr>
          <w:rFonts w:ascii="Times New Roman" w:eastAsia="Times New Roman" w:hAnsi="Times New Roman" w:cs="Times New Roman"/>
          <w:szCs w:val="22"/>
          <w:lang w:val="sq-AL" w:eastAsia="en-GB"/>
        </w:rPr>
        <w:t xml:space="preserve"> </w:t>
      </w:r>
      <w:r w:rsidR="000E36E2" w:rsidRPr="00817921">
        <w:rPr>
          <w:rFonts w:ascii="Times New Roman" w:eastAsia="Times New Roman" w:hAnsi="Times New Roman" w:cs="Times New Roman"/>
          <w:szCs w:val="22"/>
          <w:lang w:val="sq-AL" w:eastAsia="en-GB"/>
        </w:rPr>
        <w:t>Kjo shif</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 xml:space="preserve">r </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sht</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 xml:space="preserve"> e lart</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 xml:space="preserve"> n</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 xml:space="preserve"> t</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 xml:space="preserve"> gjith</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 xml:space="preserve"> vendet e Ballkanit dhe </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sht</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 xml:space="preserve"> shum</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 xml:space="preserve"> m</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 xml:space="preserve"> e lart</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 xml:space="preserve"> se n</w:t>
      </w:r>
      <w:r w:rsidR="009A5A0E" w:rsidRPr="00817921">
        <w:rPr>
          <w:rFonts w:ascii="Times New Roman" w:eastAsia="Times New Roman" w:hAnsi="Times New Roman" w:cs="Times New Roman"/>
          <w:szCs w:val="22"/>
          <w:lang w:val="sq-AL" w:eastAsia="en-GB"/>
        </w:rPr>
        <w:t>ë</w:t>
      </w:r>
      <w:r w:rsidR="000E36E2" w:rsidRPr="00817921">
        <w:rPr>
          <w:rFonts w:ascii="Times New Roman" w:eastAsia="Times New Roman" w:hAnsi="Times New Roman" w:cs="Times New Roman"/>
          <w:szCs w:val="22"/>
          <w:lang w:val="sq-AL" w:eastAsia="en-GB"/>
        </w:rPr>
        <w:t xml:space="preserve"> vendet e Bashkimit Europian (BE) (29.6%). </w:t>
      </w:r>
    </w:p>
    <w:p w14:paraId="3D7F525B" w14:textId="40F59F86" w:rsidR="003C27D5" w:rsidRDefault="00597953" w:rsidP="00186F15">
      <w:pPr>
        <w:autoSpaceDE w:val="0"/>
        <w:autoSpaceDN w:val="0"/>
        <w:adjustRightInd w:val="0"/>
        <w:rPr>
          <w:rFonts w:ascii="Times New Roman" w:eastAsia="Times New Roman" w:hAnsi="Times New Roman" w:cs="Times New Roman"/>
          <w:szCs w:val="22"/>
          <w:lang w:val="sq-AL" w:eastAsia="en-GB"/>
        </w:rPr>
      </w:pPr>
      <w:r w:rsidRPr="00817921">
        <w:rPr>
          <w:rFonts w:ascii="Times New Roman" w:eastAsia="Times New Roman" w:hAnsi="Times New Roman" w:cs="Times New Roman"/>
          <w:szCs w:val="22"/>
          <w:lang w:val="sq-AL" w:eastAsia="en-GB"/>
        </w:rPr>
        <w:t>Skemat e mbështetjes financiare për personat me aftësi të kufizuara, përbëjnë një nga shtyllat kryesore të sistemit të mbrojtjes sociale në Shqipëri</w:t>
      </w:r>
      <w:r w:rsidRPr="00817921">
        <w:rPr>
          <w:rFonts w:ascii="Times New Roman" w:eastAsia="Times New Roman" w:hAnsi="Times New Roman" w:cs="Times New Roman"/>
          <w:szCs w:val="22"/>
          <w:vertAlign w:val="superscript"/>
          <w:lang w:val="sq-AL" w:eastAsia="en-GB"/>
        </w:rPr>
        <w:footnoteReference w:id="31"/>
      </w:r>
      <w:r w:rsidRPr="00817921">
        <w:rPr>
          <w:rFonts w:ascii="Times New Roman" w:eastAsia="Times New Roman" w:hAnsi="Times New Roman" w:cs="Times New Roman"/>
          <w:szCs w:val="22"/>
          <w:vertAlign w:val="subscript"/>
          <w:lang w:val="sq-AL" w:eastAsia="en-GB"/>
        </w:rPr>
        <w:t>.</w:t>
      </w:r>
      <w:r w:rsidRPr="00817921">
        <w:rPr>
          <w:rFonts w:ascii="Times New Roman" w:eastAsia="Times New Roman" w:hAnsi="Times New Roman" w:cs="Times New Roman"/>
          <w:szCs w:val="22"/>
          <w:lang w:val="sq-AL" w:eastAsia="en-GB"/>
        </w:rPr>
        <w:t xml:space="preserve"> Shqipëria, në vitin 2022, shpenzoi rreth 10% t</w:t>
      </w:r>
      <w:r w:rsidR="009A5A0E" w:rsidRPr="00817921">
        <w:rPr>
          <w:rFonts w:ascii="Times New Roman" w:eastAsia="Times New Roman" w:hAnsi="Times New Roman" w:cs="Times New Roman"/>
          <w:szCs w:val="22"/>
          <w:lang w:val="sq-AL" w:eastAsia="en-GB"/>
        </w:rPr>
        <w:t>ë</w:t>
      </w:r>
      <w:r w:rsidRPr="00817921">
        <w:rPr>
          <w:rFonts w:ascii="Times New Roman" w:eastAsia="Times New Roman" w:hAnsi="Times New Roman" w:cs="Times New Roman"/>
          <w:szCs w:val="22"/>
          <w:lang w:val="sq-AL" w:eastAsia="en-GB"/>
        </w:rPr>
        <w:t xml:space="preserve"> PBB-së për programet e mbrojtjes sociale, dhe programi i pagesave të aftësisë së kufizuar, ishte programi më i madh i zbatuar në këtë drejtim (63% totalit të shpenzimeve për ndihmën sociale në vitin 2022)</w:t>
      </w:r>
      <w:r w:rsidRPr="00817921">
        <w:rPr>
          <w:rFonts w:ascii="Times New Roman" w:eastAsia="Times New Roman" w:hAnsi="Times New Roman" w:cs="Times New Roman"/>
          <w:szCs w:val="22"/>
          <w:vertAlign w:val="superscript"/>
          <w:lang w:val="sq-AL" w:eastAsia="en-GB"/>
        </w:rPr>
        <w:footnoteReference w:id="32"/>
      </w:r>
      <w:r w:rsidRPr="00817921">
        <w:rPr>
          <w:rFonts w:ascii="Times New Roman" w:eastAsia="Times New Roman" w:hAnsi="Times New Roman" w:cs="Times New Roman"/>
          <w:szCs w:val="22"/>
          <w:lang w:val="sq-AL" w:eastAsia="en-GB"/>
        </w:rPr>
        <w:t xml:space="preserve">. </w:t>
      </w:r>
      <w:r w:rsidR="00BC40ED" w:rsidRPr="00817921">
        <w:rPr>
          <w:rFonts w:ascii="Times New Roman" w:eastAsia="Times New Roman" w:hAnsi="Times New Roman" w:cs="Times New Roman"/>
          <w:szCs w:val="22"/>
          <w:lang w:val="sq-AL" w:eastAsia="en-GB"/>
        </w:rPr>
        <w:t>K</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to skema p</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rfshijn</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 xml:space="preserve"> t</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 xml:space="preserve"> gjitha llojet e p</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rfitimeve p</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r paaft</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sin</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 xml:space="preserve"> si pages</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n p</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r aft</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sin</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 xml:space="preserve"> e kufizuar, pensionin e invaliditetit dhe p</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rfitime t</w:t>
      </w:r>
      <w:r w:rsidR="009A5A0E" w:rsidRPr="00817921">
        <w:rPr>
          <w:rFonts w:ascii="Times New Roman" w:eastAsia="Times New Roman" w:hAnsi="Times New Roman" w:cs="Times New Roman"/>
          <w:szCs w:val="22"/>
          <w:lang w:val="sq-AL" w:eastAsia="en-GB"/>
        </w:rPr>
        <w:t>ë</w:t>
      </w:r>
      <w:r w:rsidR="00BC40ED" w:rsidRPr="00817921">
        <w:rPr>
          <w:rFonts w:ascii="Times New Roman" w:eastAsia="Times New Roman" w:hAnsi="Times New Roman" w:cs="Times New Roman"/>
          <w:szCs w:val="22"/>
          <w:lang w:val="sq-AL" w:eastAsia="en-GB"/>
        </w:rPr>
        <w:t xml:space="preserve"> tjera.</w:t>
      </w:r>
      <w:r w:rsidR="0048762E" w:rsidRPr="00817921">
        <w:rPr>
          <w:rFonts w:ascii="Times New Roman" w:eastAsia="Times New Roman" w:hAnsi="Times New Roman" w:cs="Times New Roman"/>
          <w:szCs w:val="22"/>
          <w:lang w:val="sq-AL" w:eastAsia="en-GB"/>
        </w:rPr>
        <w:t xml:space="preserve"> Aktualisht niveli i p</w:t>
      </w:r>
      <w:r w:rsidR="009A5A0E" w:rsidRPr="00817921">
        <w:rPr>
          <w:rFonts w:ascii="Times New Roman" w:eastAsia="Times New Roman" w:hAnsi="Times New Roman" w:cs="Times New Roman"/>
          <w:szCs w:val="22"/>
          <w:lang w:val="sq-AL" w:eastAsia="en-GB"/>
        </w:rPr>
        <w:t>ë</w:t>
      </w:r>
      <w:r w:rsidR="0048762E" w:rsidRPr="00817921">
        <w:rPr>
          <w:rFonts w:ascii="Times New Roman" w:eastAsia="Times New Roman" w:hAnsi="Times New Roman" w:cs="Times New Roman"/>
          <w:szCs w:val="22"/>
          <w:lang w:val="sq-AL" w:eastAsia="en-GB"/>
        </w:rPr>
        <w:t>rfitimeve p</w:t>
      </w:r>
      <w:r w:rsidR="009A5A0E" w:rsidRPr="00817921">
        <w:rPr>
          <w:rFonts w:ascii="Times New Roman" w:eastAsia="Times New Roman" w:hAnsi="Times New Roman" w:cs="Times New Roman"/>
          <w:szCs w:val="22"/>
          <w:lang w:val="sq-AL" w:eastAsia="en-GB"/>
        </w:rPr>
        <w:t>ë</w:t>
      </w:r>
      <w:r w:rsidR="0048762E" w:rsidRPr="00817921">
        <w:rPr>
          <w:rFonts w:ascii="Times New Roman" w:eastAsia="Times New Roman" w:hAnsi="Times New Roman" w:cs="Times New Roman"/>
          <w:szCs w:val="22"/>
          <w:lang w:val="sq-AL" w:eastAsia="en-GB"/>
        </w:rPr>
        <w:t xml:space="preserve">r </w:t>
      </w:r>
      <w:r w:rsidR="00C41665">
        <w:rPr>
          <w:rFonts w:ascii="Times New Roman" w:eastAsia="Times New Roman" w:hAnsi="Times New Roman" w:cs="Times New Roman"/>
          <w:szCs w:val="22"/>
          <w:lang w:val="sq-AL" w:eastAsia="en-GB"/>
        </w:rPr>
        <w:t>aft</w:t>
      </w:r>
      <w:r w:rsidR="00C41665" w:rsidRPr="00817921">
        <w:rPr>
          <w:rFonts w:ascii="Times New Roman" w:eastAsia="Times New Roman" w:hAnsi="Times New Roman" w:cs="Times New Roman"/>
          <w:szCs w:val="22"/>
          <w:lang w:val="sq-AL" w:eastAsia="en-GB"/>
        </w:rPr>
        <w:t>ë</w:t>
      </w:r>
      <w:r w:rsidR="00C41665">
        <w:rPr>
          <w:rFonts w:ascii="Times New Roman" w:eastAsia="Times New Roman" w:hAnsi="Times New Roman" w:cs="Times New Roman"/>
          <w:szCs w:val="22"/>
          <w:lang w:val="sq-AL" w:eastAsia="en-GB"/>
        </w:rPr>
        <w:t>sin</w:t>
      </w:r>
      <w:r w:rsidR="00C41665" w:rsidRPr="00817921">
        <w:rPr>
          <w:rFonts w:ascii="Times New Roman" w:eastAsia="Times New Roman" w:hAnsi="Times New Roman" w:cs="Times New Roman"/>
          <w:szCs w:val="22"/>
          <w:lang w:val="sq-AL" w:eastAsia="en-GB"/>
        </w:rPr>
        <w:t>ë</w:t>
      </w:r>
      <w:r w:rsidR="00C41665">
        <w:rPr>
          <w:rFonts w:ascii="Times New Roman" w:eastAsia="Times New Roman" w:hAnsi="Times New Roman" w:cs="Times New Roman"/>
          <w:szCs w:val="22"/>
          <w:lang w:val="sq-AL" w:eastAsia="en-GB"/>
        </w:rPr>
        <w:t xml:space="preserve"> e kufizuar </w:t>
      </w:r>
      <w:r w:rsidR="009A5A0E" w:rsidRPr="00817921">
        <w:rPr>
          <w:rFonts w:ascii="Times New Roman" w:eastAsia="Times New Roman" w:hAnsi="Times New Roman" w:cs="Times New Roman"/>
          <w:szCs w:val="22"/>
          <w:lang w:val="sq-AL" w:eastAsia="en-GB"/>
        </w:rPr>
        <w:t>ë</w:t>
      </w:r>
      <w:r w:rsidR="0048762E" w:rsidRPr="00817921">
        <w:rPr>
          <w:rFonts w:ascii="Times New Roman" w:eastAsia="Times New Roman" w:hAnsi="Times New Roman" w:cs="Times New Roman"/>
          <w:szCs w:val="22"/>
          <w:lang w:val="sq-AL" w:eastAsia="en-GB"/>
        </w:rPr>
        <w:t>sht</w:t>
      </w:r>
      <w:r w:rsidR="009A5A0E" w:rsidRPr="00817921">
        <w:rPr>
          <w:rFonts w:ascii="Times New Roman" w:eastAsia="Times New Roman" w:hAnsi="Times New Roman" w:cs="Times New Roman"/>
          <w:szCs w:val="22"/>
          <w:lang w:val="sq-AL" w:eastAsia="en-GB"/>
        </w:rPr>
        <w:t>ë</w:t>
      </w:r>
      <w:r w:rsidR="0048762E" w:rsidRPr="00817921">
        <w:rPr>
          <w:rFonts w:ascii="Times New Roman" w:eastAsia="Times New Roman" w:hAnsi="Times New Roman" w:cs="Times New Roman"/>
          <w:szCs w:val="22"/>
          <w:lang w:val="sq-AL" w:eastAsia="en-GB"/>
        </w:rPr>
        <w:t xml:space="preserve"> m</w:t>
      </w:r>
      <w:r w:rsidR="009A5A0E" w:rsidRPr="00817921">
        <w:rPr>
          <w:rFonts w:ascii="Times New Roman" w:eastAsia="Times New Roman" w:hAnsi="Times New Roman" w:cs="Times New Roman"/>
          <w:szCs w:val="22"/>
          <w:lang w:val="sq-AL" w:eastAsia="en-GB"/>
        </w:rPr>
        <w:t>ë</w:t>
      </w:r>
      <w:r w:rsidR="0048762E" w:rsidRPr="00817921">
        <w:rPr>
          <w:rFonts w:ascii="Times New Roman" w:eastAsia="Times New Roman" w:hAnsi="Times New Roman" w:cs="Times New Roman"/>
          <w:szCs w:val="22"/>
          <w:lang w:val="sq-AL" w:eastAsia="en-GB"/>
        </w:rPr>
        <w:t xml:space="preserve"> i ul</w:t>
      </w:r>
      <w:r w:rsidR="009A5A0E" w:rsidRPr="00817921">
        <w:rPr>
          <w:rFonts w:ascii="Times New Roman" w:eastAsia="Times New Roman" w:hAnsi="Times New Roman" w:cs="Times New Roman"/>
          <w:szCs w:val="22"/>
          <w:lang w:val="sq-AL" w:eastAsia="en-GB"/>
        </w:rPr>
        <w:t>ë</w:t>
      </w:r>
      <w:r w:rsidR="0048762E" w:rsidRPr="00817921">
        <w:rPr>
          <w:rFonts w:ascii="Times New Roman" w:eastAsia="Times New Roman" w:hAnsi="Times New Roman" w:cs="Times New Roman"/>
          <w:szCs w:val="22"/>
          <w:lang w:val="sq-AL" w:eastAsia="en-GB"/>
        </w:rPr>
        <w:t>t se niveli AROPE i p</w:t>
      </w:r>
      <w:r w:rsidR="009A5A0E" w:rsidRPr="00817921">
        <w:rPr>
          <w:rFonts w:ascii="Times New Roman" w:eastAsia="Times New Roman" w:hAnsi="Times New Roman" w:cs="Times New Roman"/>
          <w:szCs w:val="22"/>
          <w:lang w:val="sq-AL" w:eastAsia="en-GB"/>
        </w:rPr>
        <w:t>ë</w:t>
      </w:r>
      <w:r w:rsidR="0048762E" w:rsidRPr="00817921">
        <w:rPr>
          <w:rFonts w:ascii="Times New Roman" w:eastAsia="Times New Roman" w:hAnsi="Times New Roman" w:cs="Times New Roman"/>
          <w:szCs w:val="22"/>
          <w:lang w:val="sq-AL" w:eastAsia="en-GB"/>
        </w:rPr>
        <w:t>tcaktuar nga EU-SILC</w:t>
      </w:r>
      <w:r w:rsidR="006D3E58" w:rsidRPr="00817921">
        <w:rPr>
          <w:rStyle w:val="FootnoteReference"/>
          <w:rFonts w:ascii="Times New Roman" w:eastAsia="Times New Roman" w:hAnsi="Times New Roman" w:cs="Times New Roman"/>
          <w:szCs w:val="22"/>
          <w:lang w:val="sq-AL" w:eastAsia="en-GB"/>
        </w:rPr>
        <w:footnoteReference w:id="33"/>
      </w:r>
      <w:r w:rsidR="0048762E" w:rsidRPr="00817921">
        <w:rPr>
          <w:rFonts w:ascii="Times New Roman" w:eastAsia="Times New Roman" w:hAnsi="Times New Roman" w:cs="Times New Roman"/>
          <w:szCs w:val="22"/>
          <w:lang w:val="sq-AL" w:eastAsia="en-GB"/>
        </w:rPr>
        <w:t>.</w:t>
      </w:r>
      <w:r w:rsidR="00186F15">
        <w:rPr>
          <w:rFonts w:ascii="Times New Roman" w:eastAsia="Times New Roman" w:hAnsi="Times New Roman" w:cs="Times New Roman"/>
          <w:szCs w:val="22"/>
          <w:lang w:val="sq-AL" w:eastAsia="en-GB"/>
        </w:rPr>
        <w:t xml:space="preserve"> </w:t>
      </w:r>
      <w:r w:rsidR="007545D8" w:rsidRPr="00817921">
        <w:rPr>
          <w:rFonts w:ascii="Times New Roman" w:eastAsia="Times New Roman" w:hAnsi="Times New Roman" w:cs="Times New Roman"/>
          <w:szCs w:val="22"/>
          <w:lang w:val="sq-AL" w:eastAsia="en-GB"/>
        </w:rPr>
        <w:t>Studimet provojn</w:t>
      </w:r>
      <w:r w:rsidR="009A5A0E" w:rsidRPr="00817921">
        <w:rPr>
          <w:rFonts w:ascii="Times New Roman" w:eastAsia="Times New Roman" w:hAnsi="Times New Roman" w:cs="Times New Roman"/>
          <w:szCs w:val="22"/>
          <w:lang w:val="sq-AL" w:eastAsia="en-GB"/>
        </w:rPr>
        <w:t>ë</w:t>
      </w:r>
      <w:r w:rsidR="007545D8" w:rsidRPr="00817921">
        <w:rPr>
          <w:rFonts w:ascii="Times New Roman" w:eastAsia="Times New Roman" w:hAnsi="Times New Roman" w:cs="Times New Roman"/>
          <w:szCs w:val="22"/>
          <w:lang w:val="sq-AL" w:eastAsia="en-GB"/>
        </w:rPr>
        <w:t xml:space="preserve"> se PAK jan</w:t>
      </w:r>
      <w:r w:rsidR="009A5A0E" w:rsidRPr="00817921">
        <w:rPr>
          <w:rFonts w:ascii="Times New Roman" w:eastAsia="Times New Roman" w:hAnsi="Times New Roman" w:cs="Times New Roman"/>
          <w:szCs w:val="22"/>
          <w:lang w:val="sq-AL" w:eastAsia="en-GB"/>
        </w:rPr>
        <w:t>ë</w:t>
      </w:r>
      <w:r w:rsidR="007545D8" w:rsidRPr="00817921">
        <w:rPr>
          <w:rFonts w:ascii="Times New Roman" w:eastAsia="Times New Roman" w:hAnsi="Times New Roman" w:cs="Times New Roman"/>
          <w:szCs w:val="22"/>
          <w:lang w:val="sq-AL" w:eastAsia="en-GB"/>
        </w:rPr>
        <w:t xml:space="preserve"> </w:t>
      </w:r>
      <w:r w:rsidR="00C41665">
        <w:rPr>
          <w:rFonts w:ascii="Times New Roman" w:eastAsia="Times New Roman" w:hAnsi="Times New Roman" w:cs="Times New Roman"/>
          <w:szCs w:val="22"/>
          <w:lang w:val="sq-AL" w:eastAsia="en-GB"/>
        </w:rPr>
        <w:t>nj</w:t>
      </w:r>
      <w:r w:rsidR="00C41665" w:rsidRPr="003C4869">
        <w:rPr>
          <w:rFonts w:ascii="Times New Roman" w:hAnsi="Times New Roman"/>
          <w:bCs/>
          <w:color w:val="000000"/>
          <w:sz w:val="24"/>
          <w:lang w:val="fr-FR" w:eastAsia="sq-AL"/>
        </w:rPr>
        <w:t>ë</w:t>
      </w:r>
      <w:r w:rsidR="00C41665">
        <w:rPr>
          <w:rFonts w:ascii="Times New Roman" w:hAnsi="Times New Roman"/>
          <w:bCs/>
          <w:color w:val="000000"/>
          <w:sz w:val="24"/>
          <w:lang w:val="fr-FR" w:eastAsia="sq-AL"/>
        </w:rPr>
        <w:t xml:space="preserve"> prej </w:t>
      </w:r>
      <w:r w:rsidR="007545D8" w:rsidRPr="00817921">
        <w:rPr>
          <w:rFonts w:ascii="Times New Roman" w:eastAsia="Times New Roman" w:hAnsi="Times New Roman" w:cs="Times New Roman"/>
          <w:szCs w:val="22"/>
          <w:lang w:val="sq-AL" w:eastAsia="en-GB"/>
        </w:rPr>
        <w:t>kategori</w:t>
      </w:r>
      <w:r w:rsidR="00C41665">
        <w:rPr>
          <w:rFonts w:ascii="Times New Roman" w:eastAsia="Times New Roman" w:hAnsi="Times New Roman" w:cs="Times New Roman"/>
          <w:szCs w:val="22"/>
          <w:lang w:val="sq-AL" w:eastAsia="en-GB"/>
        </w:rPr>
        <w:t>ve</w:t>
      </w:r>
      <w:r w:rsidR="007545D8" w:rsidRPr="00817921">
        <w:rPr>
          <w:rFonts w:ascii="Times New Roman" w:eastAsia="Times New Roman" w:hAnsi="Times New Roman" w:cs="Times New Roman"/>
          <w:szCs w:val="22"/>
          <w:lang w:val="sq-AL" w:eastAsia="en-GB"/>
        </w:rPr>
        <w:t xml:space="preserve"> m</w:t>
      </w:r>
      <w:r w:rsidR="009A5A0E" w:rsidRPr="00817921">
        <w:rPr>
          <w:rFonts w:ascii="Times New Roman" w:eastAsia="Times New Roman" w:hAnsi="Times New Roman" w:cs="Times New Roman"/>
          <w:szCs w:val="22"/>
          <w:lang w:val="sq-AL" w:eastAsia="en-GB"/>
        </w:rPr>
        <w:t>ë</w:t>
      </w:r>
      <w:r w:rsidR="007545D8" w:rsidRPr="00817921">
        <w:rPr>
          <w:rFonts w:ascii="Times New Roman" w:eastAsia="Times New Roman" w:hAnsi="Times New Roman" w:cs="Times New Roman"/>
          <w:szCs w:val="22"/>
          <w:lang w:val="sq-AL" w:eastAsia="en-GB"/>
        </w:rPr>
        <w:t xml:space="preserve"> </w:t>
      </w:r>
      <w:r w:rsidR="00C41665">
        <w:rPr>
          <w:rFonts w:ascii="Times New Roman" w:eastAsia="Times New Roman" w:hAnsi="Times New Roman" w:cs="Times New Roman"/>
          <w:szCs w:val="22"/>
          <w:lang w:val="sq-AL" w:eastAsia="en-GB"/>
        </w:rPr>
        <w:t>t</w:t>
      </w:r>
      <w:r w:rsidR="00C41665" w:rsidRPr="003C4869">
        <w:rPr>
          <w:rFonts w:ascii="Times New Roman" w:hAnsi="Times New Roman"/>
          <w:bCs/>
          <w:color w:val="000000"/>
          <w:sz w:val="24"/>
          <w:lang w:val="fr-FR" w:eastAsia="sq-AL"/>
        </w:rPr>
        <w:t>ë</w:t>
      </w:r>
      <w:r w:rsidR="007545D8" w:rsidRPr="00817921">
        <w:rPr>
          <w:rFonts w:ascii="Times New Roman" w:eastAsia="Times New Roman" w:hAnsi="Times New Roman" w:cs="Times New Roman"/>
          <w:szCs w:val="22"/>
          <w:lang w:val="sq-AL" w:eastAsia="en-GB"/>
        </w:rPr>
        <w:t xml:space="preserve"> brisht</w:t>
      </w:r>
      <w:r w:rsidR="009A5A0E" w:rsidRPr="00817921">
        <w:rPr>
          <w:rFonts w:ascii="Times New Roman" w:eastAsia="Times New Roman" w:hAnsi="Times New Roman" w:cs="Times New Roman"/>
          <w:szCs w:val="22"/>
          <w:lang w:val="sq-AL" w:eastAsia="en-GB"/>
        </w:rPr>
        <w:t>ë</w:t>
      </w:r>
      <w:r w:rsidR="007545D8" w:rsidRPr="00817921">
        <w:rPr>
          <w:rFonts w:ascii="Times New Roman" w:eastAsia="Times New Roman" w:hAnsi="Times New Roman" w:cs="Times New Roman"/>
          <w:szCs w:val="22"/>
          <w:lang w:val="sq-AL" w:eastAsia="en-GB"/>
        </w:rPr>
        <w:t xml:space="preserve"> ndaj </w:t>
      </w:r>
      <w:r w:rsidR="00994EA0" w:rsidRPr="00817921">
        <w:rPr>
          <w:rFonts w:ascii="Times New Roman" w:eastAsia="Times New Roman" w:hAnsi="Times New Roman" w:cs="Times New Roman"/>
          <w:szCs w:val="22"/>
          <w:lang w:val="sq-AL" w:eastAsia="en-GB"/>
        </w:rPr>
        <w:t>situatave t</w:t>
      </w:r>
      <w:r w:rsidR="009A5A0E" w:rsidRPr="00817921">
        <w:rPr>
          <w:rFonts w:ascii="Times New Roman" w:eastAsia="Times New Roman" w:hAnsi="Times New Roman" w:cs="Times New Roman"/>
          <w:szCs w:val="22"/>
          <w:lang w:val="sq-AL" w:eastAsia="en-GB"/>
        </w:rPr>
        <w:t>ë</w:t>
      </w:r>
      <w:r w:rsidR="00994EA0" w:rsidRPr="00817921">
        <w:rPr>
          <w:rFonts w:ascii="Times New Roman" w:eastAsia="Times New Roman" w:hAnsi="Times New Roman" w:cs="Times New Roman"/>
          <w:szCs w:val="22"/>
          <w:lang w:val="sq-AL" w:eastAsia="en-GB"/>
        </w:rPr>
        <w:t xml:space="preserve"> </w:t>
      </w:r>
      <w:r w:rsidR="007545D8" w:rsidRPr="00817921">
        <w:rPr>
          <w:rFonts w:ascii="Times New Roman" w:eastAsia="Times New Roman" w:hAnsi="Times New Roman" w:cs="Times New Roman"/>
          <w:szCs w:val="22"/>
          <w:lang w:val="sq-AL" w:eastAsia="en-GB"/>
        </w:rPr>
        <w:t>krizave dhe emergjen</w:t>
      </w:r>
      <w:r w:rsidR="00994EA0" w:rsidRPr="00817921">
        <w:rPr>
          <w:rFonts w:ascii="Times New Roman" w:eastAsia="Times New Roman" w:hAnsi="Times New Roman" w:cs="Times New Roman"/>
          <w:szCs w:val="22"/>
          <w:lang w:val="sq-AL" w:eastAsia="en-GB"/>
        </w:rPr>
        <w:t>cave q</w:t>
      </w:r>
      <w:r w:rsidR="009A5A0E" w:rsidRPr="00817921">
        <w:rPr>
          <w:rFonts w:ascii="Times New Roman" w:eastAsia="Times New Roman" w:hAnsi="Times New Roman" w:cs="Times New Roman"/>
          <w:szCs w:val="22"/>
          <w:lang w:val="sq-AL" w:eastAsia="en-GB"/>
        </w:rPr>
        <w:t>ë</w:t>
      </w:r>
      <w:r w:rsidR="00994EA0" w:rsidRPr="00817921">
        <w:rPr>
          <w:rFonts w:ascii="Times New Roman" w:eastAsia="Times New Roman" w:hAnsi="Times New Roman" w:cs="Times New Roman"/>
          <w:szCs w:val="22"/>
          <w:lang w:val="sq-AL" w:eastAsia="en-GB"/>
        </w:rPr>
        <w:t xml:space="preserve"> shoq</w:t>
      </w:r>
      <w:r w:rsidR="009A5A0E" w:rsidRPr="00817921">
        <w:rPr>
          <w:rFonts w:ascii="Times New Roman" w:eastAsia="Times New Roman" w:hAnsi="Times New Roman" w:cs="Times New Roman"/>
          <w:szCs w:val="22"/>
          <w:lang w:val="sq-AL" w:eastAsia="en-GB"/>
        </w:rPr>
        <w:t>ë</w:t>
      </w:r>
      <w:r w:rsidR="00994EA0" w:rsidRPr="00817921">
        <w:rPr>
          <w:rFonts w:ascii="Times New Roman" w:eastAsia="Times New Roman" w:hAnsi="Times New Roman" w:cs="Times New Roman"/>
          <w:szCs w:val="22"/>
          <w:lang w:val="sq-AL" w:eastAsia="en-GB"/>
        </w:rPr>
        <w:t>rohet me humbje pun</w:t>
      </w:r>
      <w:r w:rsidR="009A5A0E" w:rsidRPr="00817921">
        <w:rPr>
          <w:rFonts w:ascii="Times New Roman" w:eastAsia="Times New Roman" w:hAnsi="Times New Roman" w:cs="Times New Roman"/>
          <w:szCs w:val="22"/>
          <w:lang w:val="sq-AL" w:eastAsia="en-GB"/>
        </w:rPr>
        <w:t>ë</w:t>
      </w:r>
      <w:r w:rsidR="00994EA0" w:rsidRPr="00817921">
        <w:rPr>
          <w:rFonts w:ascii="Times New Roman" w:eastAsia="Times New Roman" w:hAnsi="Times New Roman" w:cs="Times New Roman"/>
          <w:szCs w:val="22"/>
          <w:lang w:val="sq-AL" w:eastAsia="en-GB"/>
        </w:rPr>
        <w:t>simi, ulje t</w:t>
      </w:r>
      <w:r w:rsidR="009A5A0E" w:rsidRPr="00817921">
        <w:rPr>
          <w:rFonts w:ascii="Times New Roman" w:eastAsia="Times New Roman" w:hAnsi="Times New Roman" w:cs="Times New Roman"/>
          <w:szCs w:val="22"/>
          <w:lang w:val="sq-AL" w:eastAsia="en-GB"/>
        </w:rPr>
        <w:t>ë</w:t>
      </w:r>
      <w:r w:rsidR="00994EA0" w:rsidRPr="00817921">
        <w:rPr>
          <w:rFonts w:ascii="Times New Roman" w:eastAsia="Times New Roman" w:hAnsi="Times New Roman" w:cs="Times New Roman"/>
          <w:szCs w:val="22"/>
          <w:lang w:val="sq-AL" w:eastAsia="en-GB"/>
        </w:rPr>
        <w:t xml:space="preserve"> nivelit t</w:t>
      </w:r>
      <w:r w:rsidR="009A5A0E" w:rsidRPr="00817921">
        <w:rPr>
          <w:rFonts w:ascii="Times New Roman" w:eastAsia="Times New Roman" w:hAnsi="Times New Roman" w:cs="Times New Roman"/>
          <w:szCs w:val="22"/>
          <w:lang w:val="sq-AL" w:eastAsia="en-GB"/>
        </w:rPr>
        <w:t>ë</w:t>
      </w:r>
      <w:r w:rsidR="00994EA0" w:rsidRPr="00817921">
        <w:rPr>
          <w:rFonts w:ascii="Times New Roman" w:eastAsia="Times New Roman" w:hAnsi="Times New Roman" w:cs="Times New Roman"/>
          <w:szCs w:val="22"/>
          <w:lang w:val="sq-AL" w:eastAsia="en-GB"/>
        </w:rPr>
        <w:t xml:space="preserve"> t</w:t>
      </w:r>
      <w:r w:rsidR="009A5A0E" w:rsidRPr="00817921">
        <w:rPr>
          <w:rFonts w:ascii="Times New Roman" w:eastAsia="Times New Roman" w:hAnsi="Times New Roman" w:cs="Times New Roman"/>
          <w:szCs w:val="22"/>
          <w:lang w:val="sq-AL" w:eastAsia="en-GB"/>
        </w:rPr>
        <w:t>ë</w:t>
      </w:r>
      <w:r w:rsidR="00994EA0" w:rsidRPr="00817921">
        <w:rPr>
          <w:rFonts w:ascii="Times New Roman" w:eastAsia="Times New Roman" w:hAnsi="Times New Roman" w:cs="Times New Roman"/>
          <w:szCs w:val="22"/>
          <w:lang w:val="sq-AL" w:eastAsia="en-GB"/>
        </w:rPr>
        <w:t xml:space="preserve"> ardhurave dhe ekspozim ndaj problemeve financiare t</w:t>
      </w:r>
      <w:r w:rsidR="009A5A0E" w:rsidRPr="00817921">
        <w:rPr>
          <w:rFonts w:ascii="Times New Roman" w:eastAsia="Times New Roman" w:hAnsi="Times New Roman" w:cs="Times New Roman"/>
          <w:szCs w:val="22"/>
          <w:lang w:val="sq-AL" w:eastAsia="en-GB"/>
        </w:rPr>
        <w:t>ë</w:t>
      </w:r>
      <w:r w:rsidR="00994EA0" w:rsidRPr="00817921">
        <w:rPr>
          <w:rFonts w:ascii="Times New Roman" w:eastAsia="Times New Roman" w:hAnsi="Times New Roman" w:cs="Times New Roman"/>
          <w:szCs w:val="22"/>
          <w:lang w:val="sq-AL" w:eastAsia="en-GB"/>
        </w:rPr>
        <w:t xml:space="preserve"> lidhura kryesisht me mjekimin dhe sh</w:t>
      </w:r>
      <w:r w:rsidR="009A5A0E" w:rsidRPr="00817921">
        <w:rPr>
          <w:rFonts w:ascii="Times New Roman" w:eastAsia="Times New Roman" w:hAnsi="Times New Roman" w:cs="Times New Roman"/>
          <w:szCs w:val="22"/>
          <w:lang w:val="sq-AL" w:eastAsia="en-GB"/>
        </w:rPr>
        <w:t>ë</w:t>
      </w:r>
      <w:r w:rsidR="00994EA0" w:rsidRPr="00817921">
        <w:rPr>
          <w:rFonts w:ascii="Times New Roman" w:eastAsia="Times New Roman" w:hAnsi="Times New Roman" w:cs="Times New Roman"/>
          <w:szCs w:val="22"/>
          <w:lang w:val="sq-AL" w:eastAsia="en-GB"/>
        </w:rPr>
        <w:t>rbimet</w:t>
      </w:r>
      <w:r w:rsidR="00994EA0" w:rsidRPr="00817921">
        <w:rPr>
          <w:rStyle w:val="FootnoteReference"/>
          <w:rFonts w:ascii="Times New Roman" w:eastAsia="Times New Roman" w:hAnsi="Times New Roman" w:cs="Times New Roman"/>
          <w:szCs w:val="22"/>
          <w:lang w:val="sq-AL" w:eastAsia="en-GB"/>
        </w:rPr>
        <w:footnoteReference w:id="34"/>
      </w:r>
      <w:r w:rsidR="00994EA0" w:rsidRPr="00817921">
        <w:rPr>
          <w:rFonts w:ascii="Times New Roman" w:eastAsia="Times New Roman" w:hAnsi="Times New Roman" w:cs="Times New Roman"/>
          <w:szCs w:val="22"/>
          <w:lang w:val="sq-AL" w:eastAsia="en-GB"/>
        </w:rPr>
        <w:t xml:space="preserve">. </w:t>
      </w:r>
    </w:p>
    <w:p w14:paraId="50614840" w14:textId="77777777" w:rsidR="00C41665" w:rsidRPr="00817921" w:rsidRDefault="00C41665" w:rsidP="00E14B65">
      <w:pPr>
        <w:rPr>
          <w:rFonts w:ascii="Times New Roman" w:eastAsia="Times New Roman" w:hAnsi="Times New Roman" w:cs="Times New Roman"/>
          <w:b/>
          <w:bCs/>
          <w:szCs w:val="22"/>
          <w:lang w:val="sq-AL" w:eastAsia="en-GB"/>
        </w:rPr>
      </w:pPr>
    </w:p>
    <w:p w14:paraId="3987D7E9" w14:textId="77777777" w:rsidR="00670E2F" w:rsidRPr="00817921" w:rsidRDefault="00670E2F" w:rsidP="00855E6A">
      <w:pPr>
        <w:autoSpaceDE w:val="0"/>
        <w:autoSpaceDN w:val="0"/>
        <w:adjustRightInd w:val="0"/>
        <w:rPr>
          <w:rFonts w:ascii="Times New Roman" w:eastAsia="Times New Roman" w:hAnsi="Times New Roman" w:cs="Times New Roman"/>
          <w:szCs w:val="22"/>
          <w:lang w:val="sq-AL" w:eastAsia="en-GB"/>
        </w:rPr>
      </w:pPr>
    </w:p>
    <w:p w14:paraId="55F049E8" w14:textId="0A423F11" w:rsidR="00C8143B" w:rsidRPr="00C41665" w:rsidRDefault="00093ABF" w:rsidP="00093ABF">
      <w:pPr>
        <w:pStyle w:val="Heading2"/>
        <w:numPr>
          <w:ilvl w:val="1"/>
          <w:numId w:val="1"/>
        </w:numPr>
        <w:rPr>
          <w:rFonts w:ascii="Times New Roman" w:hAnsi="Times New Roman" w:cs="Times New Roman"/>
          <w:sz w:val="24"/>
          <w:szCs w:val="24"/>
          <w:lang w:val="sq-AL"/>
        </w:rPr>
      </w:pPr>
      <w:bookmarkStart w:id="8" w:name="_Toc150809613"/>
      <w:bookmarkStart w:id="9" w:name="_Toc150896481"/>
      <w:r w:rsidRPr="00C41665">
        <w:rPr>
          <w:rFonts w:ascii="Times New Roman" w:hAnsi="Times New Roman" w:cs="Times New Roman"/>
          <w:sz w:val="24"/>
          <w:szCs w:val="24"/>
          <w:lang w:val="sq-AL"/>
        </w:rPr>
        <w:t>Konteksti reformues</w:t>
      </w:r>
      <w:bookmarkEnd w:id="8"/>
      <w:bookmarkEnd w:id="9"/>
    </w:p>
    <w:p w14:paraId="2A7A1AD2" w14:textId="77777777" w:rsidR="00A71248" w:rsidRPr="00A71248" w:rsidRDefault="00A71248" w:rsidP="00817921">
      <w:pPr>
        <w:rPr>
          <w:lang w:val="sq-AL"/>
        </w:rPr>
      </w:pPr>
    </w:p>
    <w:p w14:paraId="629CB6BA" w14:textId="4280DE64" w:rsidR="00C8143B" w:rsidRPr="00817921" w:rsidRDefault="003B78BC" w:rsidP="00855E6A">
      <w:pPr>
        <w:rPr>
          <w:rFonts w:ascii="Times New Roman" w:hAnsi="Times New Roman" w:cs="Times New Roman"/>
          <w:b/>
          <w:bCs/>
          <w:color w:val="242424"/>
          <w:szCs w:val="22"/>
          <w:bdr w:val="none" w:sz="0" w:space="0" w:color="auto" w:frame="1"/>
          <w:lang w:val="fr-FR"/>
        </w:rPr>
      </w:pPr>
      <w:r w:rsidRPr="00817921">
        <w:rPr>
          <w:rFonts w:ascii="Times New Roman" w:hAnsi="Times New Roman" w:cs="Times New Roman"/>
          <w:b/>
          <w:bCs/>
          <w:color w:val="242424"/>
          <w:szCs w:val="22"/>
          <w:bdr w:val="none" w:sz="0" w:space="0" w:color="auto" w:frame="1"/>
          <w:lang w:val="fr-FR"/>
        </w:rPr>
        <w:t>1.3.1</w:t>
      </w:r>
      <w:r w:rsidRPr="00817921">
        <w:rPr>
          <w:rFonts w:ascii="Times New Roman" w:hAnsi="Times New Roman" w:cs="Times New Roman"/>
          <w:b/>
          <w:bCs/>
          <w:color w:val="242424"/>
          <w:szCs w:val="22"/>
          <w:bdr w:val="none" w:sz="0" w:space="0" w:color="auto" w:frame="1"/>
          <w:lang w:val="fr-FR"/>
        </w:rPr>
        <w:tab/>
      </w:r>
      <w:proofErr w:type="spellStart"/>
      <w:r w:rsidRPr="00817921">
        <w:rPr>
          <w:rFonts w:ascii="Times New Roman" w:hAnsi="Times New Roman" w:cs="Times New Roman"/>
          <w:b/>
          <w:bCs/>
          <w:color w:val="242424"/>
          <w:szCs w:val="22"/>
          <w:bdr w:val="none" w:sz="0" w:space="0" w:color="auto" w:frame="1"/>
          <w:lang w:val="fr-FR"/>
        </w:rPr>
        <w:t>Reformat</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n</w:t>
      </w:r>
      <w:r w:rsidR="009A5A0E" w:rsidRPr="00817921">
        <w:rPr>
          <w:rFonts w:ascii="Times New Roman" w:hAnsi="Times New Roman" w:cs="Times New Roman"/>
          <w:b/>
          <w:bCs/>
          <w:color w:val="242424"/>
          <w:szCs w:val="22"/>
          <w:bdr w:val="none" w:sz="0" w:space="0" w:color="auto" w:frame="1"/>
          <w:lang w:val="fr-FR"/>
        </w:rPr>
        <w:t>ë</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fush</w:t>
      </w:r>
      <w:r w:rsidR="009A5A0E" w:rsidRPr="00817921">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n</w:t>
      </w:r>
      <w:proofErr w:type="spellEnd"/>
      <w:r w:rsidRPr="00817921">
        <w:rPr>
          <w:rFonts w:ascii="Times New Roman" w:hAnsi="Times New Roman" w:cs="Times New Roman"/>
          <w:b/>
          <w:bCs/>
          <w:color w:val="242424"/>
          <w:szCs w:val="22"/>
          <w:bdr w:val="none" w:sz="0" w:space="0" w:color="auto" w:frame="1"/>
          <w:lang w:val="fr-FR"/>
        </w:rPr>
        <w:t xml:space="preserve"> e </w:t>
      </w:r>
      <w:proofErr w:type="spellStart"/>
      <w:r w:rsidR="00A71248">
        <w:rPr>
          <w:rFonts w:ascii="Times New Roman" w:hAnsi="Times New Roman" w:cs="Times New Roman"/>
          <w:b/>
          <w:bCs/>
          <w:color w:val="242424"/>
          <w:szCs w:val="22"/>
          <w:bdr w:val="none" w:sz="0" w:space="0" w:color="auto" w:frame="1"/>
          <w:lang w:val="fr-FR"/>
        </w:rPr>
        <w:t>M</w:t>
      </w:r>
      <w:r w:rsidRPr="00817921">
        <w:rPr>
          <w:rFonts w:ascii="Times New Roman" w:hAnsi="Times New Roman" w:cs="Times New Roman"/>
          <w:b/>
          <w:bCs/>
          <w:color w:val="242424"/>
          <w:szCs w:val="22"/>
          <w:bdr w:val="none" w:sz="0" w:space="0" w:color="auto" w:frame="1"/>
          <w:lang w:val="fr-FR"/>
        </w:rPr>
        <w:t>brojtjes</w:t>
      </w:r>
      <w:proofErr w:type="spellEnd"/>
      <w:r w:rsidRPr="00817921">
        <w:rPr>
          <w:rFonts w:ascii="Times New Roman" w:hAnsi="Times New Roman" w:cs="Times New Roman"/>
          <w:b/>
          <w:bCs/>
          <w:color w:val="242424"/>
          <w:szCs w:val="22"/>
          <w:bdr w:val="none" w:sz="0" w:space="0" w:color="auto" w:frame="1"/>
          <w:lang w:val="fr-FR"/>
        </w:rPr>
        <w:t xml:space="preserve"> </w:t>
      </w:r>
      <w:r w:rsidR="00A71248">
        <w:rPr>
          <w:rFonts w:ascii="Times New Roman" w:hAnsi="Times New Roman" w:cs="Times New Roman"/>
          <w:b/>
          <w:bCs/>
          <w:color w:val="242424"/>
          <w:szCs w:val="22"/>
          <w:bdr w:val="none" w:sz="0" w:space="0" w:color="auto" w:frame="1"/>
          <w:lang w:val="fr-FR"/>
        </w:rPr>
        <w:t>S</w:t>
      </w:r>
      <w:r w:rsidRPr="00817921">
        <w:rPr>
          <w:rFonts w:ascii="Times New Roman" w:hAnsi="Times New Roman" w:cs="Times New Roman"/>
          <w:b/>
          <w:bCs/>
          <w:color w:val="242424"/>
          <w:szCs w:val="22"/>
          <w:bdr w:val="none" w:sz="0" w:space="0" w:color="auto" w:frame="1"/>
          <w:lang w:val="fr-FR"/>
        </w:rPr>
        <w:t>ociale</w:t>
      </w:r>
    </w:p>
    <w:p w14:paraId="0E207869" w14:textId="77777777" w:rsidR="00A71248" w:rsidRDefault="00A71248" w:rsidP="000D3E1A">
      <w:pPr>
        <w:rPr>
          <w:rFonts w:ascii="Times New Roman" w:eastAsia="Times New Roman" w:hAnsi="Times New Roman" w:cs="Times New Roman"/>
          <w:b/>
          <w:bCs/>
          <w:szCs w:val="22"/>
          <w:lang w:val="sq-AL" w:eastAsia="en-GB"/>
        </w:rPr>
      </w:pPr>
    </w:p>
    <w:p w14:paraId="72D4E2AB" w14:textId="6A1DBF27" w:rsidR="000D3E1A" w:rsidRDefault="003B78BC" w:rsidP="000D3E1A">
      <w:pPr>
        <w:rPr>
          <w:rFonts w:ascii="Times New Roman" w:eastAsia="Times New Roman" w:hAnsi="Times New Roman" w:cs="Times New Roman"/>
          <w:szCs w:val="22"/>
          <w:lang w:val="sq-AL" w:eastAsia="en-GB"/>
        </w:rPr>
      </w:pPr>
      <w:r w:rsidRPr="00817921">
        <w:rPr>
          <w:rFonts w:ascii="Times New Roman" w:eastAsia="Times New Roman" w:hAnsi="Times New Roman" w:cs="Times New Roman"/>
          <w:b/>
          <w:bCs/>
          <w:szCs w:val="22"/>
          <w:lang w:val="sq-AL" w:eastAsia="en-GB"/>
        </w:rPr>
        <w:t>Ndihma ekonomike</w:t>
      </w:r>
      <w:r w:rsidR="00A71248">
        <w:rPr>
          <w:rFonts w:ascii="Times New Roman" w:eastAsia="Times New Roman" w:hAnsi="Times New Roman" w:cs="Times New Roman"/>
          <w:b/>
          <w:bCs/>
          <w:szCs w:val="22"/>
          <w:lang w:val="sq-AL" w:eastAsia="en-GB"/>
        </w:rPr>
        <w:t xml:space="preserve"> dhe p</w:t>
      </w:r>
      <w:r w:rsidR="00A71248" w:rsidRPr="00817921">
        <w:rPr>
          <w:rFonts w:ascii="Times New Roman" w:eastAsia="Times New Roman" w:hAnsi="Times New Roman" w:cs="Times New Roman"/>
          <w:b/>
          <w:bCs/>
          <w:szCs w:val="22"/>
          <w:lang w:val="sq-AL" w:eastAsia="en-GB"/>
        </w:rPr>
        <w:t>ë</w:t>
      </w:r>
      <w:r w:rsidR="00A71248">
        <w:rPr>
          <w:rFonts w:ascii="Times New Roman" w:eastAsia="Times New Roman" w:hAnsi="Times New Roman" w:cs="Times New Roman"/>
          <w:b/>
          <w:bCs/>
          <w:szCs w:val="22"/>
          <w:lang w:val="sq-AL" w:eastAsia="en-GB"/>
        </w:rPr>
        <w:t>rfitimet e tjera</w:t>
      </w:r>
      <w:r w:rsidRPr="00817921">
        <w:rPr>
          <w:rFonts w:ascii="Times New Roman" w:eastAsia="Times New Roman" w:hAnsi="Times New Roman" w:cs="Times New Roman"/>
          <w:b/>
          <w:bCs/>
          <w:szCs w:val="22"/>
          <w:lang w:val="sq-AL" w:eastAsia="en-GB"/>
        </w:rPr>
        <w:t>.</w:t>
      </w:r>
      <w:r w:rsidRPr="00817921">
        <w:rPr>
          <w:rFonts w:ascii="Times New Roman" w:eastAsia="Times New Roman" w:hAnsi="Times New Roman" w:cs="Times New Roman"/>
          <w:szCs w:val="22"/>
          <w:lang w:val="sq-AL" w:eastAsia="en-GB"/>
        </w:rPr>
        <w:t xml:space="preserve"> </w:t>
      </w:r>
      <w:r w:rsidR="000D3E1A" w:rsidRPr="00817921">
        <w:rPr>
          <w:rFonts w:ascii="Times New Roman" w:eastAsia="Times New Roman" w:hAnsi="Times New Roman" w:cs="Times New Roman"/>
          <w:szCs w:val="22"/>
          <w:lang w:val="sq-AL" w:eastAsia="en-GB"/>
        </w:rPr>
        <w:t xml:space="preserve">Përgjatë dekadës së fundit, Shqipëria ka avancuar në reformimin e programit të asistencës sociale, që është skema kryesore e mbështetjes sociale me vlerë monetare për familjet e varfëra në Shqipëri, ndërsa ka demonstruar një angazhim serioz në përmirësimin e efektivitetit, eficiencës dhe transparencës të programeve të asistencës sociale. </w:t>
      </w:r>
      <w:r w:rsidR="00AB4D37">
        <w:rPr>
          <w:rFonts w:ascii="Times New Roman" w:eastAsia="Times New Roman" w:hAnsi="Times New Roman" w:cs="Times New Roman"/>
          <w:szCs w:val="22"/>
          <w:lang w:val="sq-AL" w:eastAsia="en-GB"/>
        </w:rPr>
        <w:t>Proçes</w:t>
      </w:r>
      <w:r w:rsidR="00E22EC4" w:rsidRPr="00817921">
        <w:rPr>
          <w:rFonts w:ascii="Times New Roman" w:eastAsia="Times New Roman" w:hAnsi="Times New Roman" w:cs="Times New Roman"/>
          <w:szCs w:val="22"/>
          <w:lang w:val="sq-AL" w:eastAsia="en-GB"/>
        </w:rPr>
        <w:t>i reformues nisi p</w:t>
      </w:r>
      <w:r w:rsidR="009A5A0E" w:rsidRPr="00817921">
        <w:rPr>
          <w:rFonts w:ascii="Times New Roman" w:eastAsia="Times New Roman" w:hAnsi="Times New Roman" w:cs="Times New Roman"/>
          <w:szCs w:val="22"/>
          <w:lang w:val="sq-AL" w:eastAsia="en-GB"/>
        </w:rPr>
        <w:t>ë</w:t>
      </w:r>
      <w:r w:rsidR="00E22EC4" w:rsidRPr="00817921">
        <w:rPr>
          <w:rFonts w:ascii="Times New Roman" w:eastAsia="Times New Roman" w:hAnsi="Times New Roman" w:cs="Times New Roman"/>
          <w:szCs w:val="22"/>
          <w:lang w:val="sq-AL" w:eastAsia="en-GB"/>
        </w:rPr>
        <w:t>r t</w:t>
      </w:r>
      <w:r w:rsidR="009A5A0E" w:rsidRPr="00817921">
        <w:rPr>
          <w:rFonts w:ascii="Times New Roman" w:eastAsia="Times New Roman" w:hAnsi="Times New Roman" w:cs="Times New Roman"/>
          <w:szCs w:val="22"/>
          <w:lang w:val="sq-AL" w:eastAsia="en-GB"/>
        </w:rPr>
        <w:t>ë</w:t>
      </w:r>
      <w:r w:rsidR="00E22EC4" w:rsidRPr="00817921">
        <w:rPr>
          <w:rFonts w:ascii="Times New Roman" w:eastAsia="Times New Roman" w:hAnsi="Times New Roman" w:cs="Times New Roman"/>
          <w:szCs w:val="22"/>
          <w:lang w:val="sq-AL" w:eastAsia="en-GB"/>
        </w:rPr>
        <w:t xml:space="preserve"> adresuar problematikat e v</w:t>
      </w:r>
      <w:r w:rsidR="009A5A0E" w:rsidRPr="00817921">
        <w:rPr>
          <w:rFonts w:ascii="Times New Roman" w:eastAsia="Times New Roman" w:hAnsi="Times New Roman" w:cs="Times New Roman"/>
          <w:szCs w:val="22"/>
          <w:lang w:val="sq-AL" w:eastAsia="en-GB"/>
        </w:rPr>
        <w:t>ë</w:t>
      </w:r>
      <w:r w:rsidR="00E22EC4" w:rsidRPr="00817921">
        <w:rPr>
          <w:rFonts w:ascii="Times New Roman" w:eastAsia="Times New Roman" w:hAnsi="Times New Roman" w:cs="Times New Roman"/>
          <w:szCs w:val="22"/>
          <w:lang w:val="sq-AL" w:eastAsia="en-GB"/>
        </w:rPr>
        <w:t>rejtura t</w:t>
      </w:r>
      <w:r w:rsidR="009A5A0E" w:rsidRPr="00817921">
        <w:rPr>
          <w:rFonts w:ascii="Times New Roman" w:eastAsia="Times New Roman" w:hAnsi="Times New Roman" w:cs="Times New Roman"/>
          <w:szCs w:val="22"/>
          <w:lang w:val="sq-AL" w:eastAsia="en-GB"/>
        </w:rPr>
        <w:t>ë</w:t>
      </w:r>
      <w:r w:rsidR="00E22EC4" w:rsidRPr="00817921">
        <w:rPr>
          <w:rFonts w:ascii="Times New Roman" w:eastAsia="Times New Roman" w:hAnsi="Times New Roman" w:cs="Times New Roman"/>
          <w:szCs w:val="22"/>
          <w:lang w:val="sq-AL" w:eastAsia="en-GB"/>
        </w:rPr>
        <w:t xml:space="preserve"> programit </w:t>
      </w:r>
      <w:r w:rsidR="000D3E1A" w:rsidRPr="00817921">
        <w:rPr>
          <w:rFonts w:ascii="Times New Roman" w:eastAsia="Times New Roman" w:hAnsi="Times New Roman" w:cs="Times New Roman"/>
          <w:szCs w:val="22"/>
          <w:lang w:val="sq-AL" w:eastAsia="en-GB"/>
        </w:rPr>
        <w:t xml:space="preserve">si përjashtimi nga skema të aplikantëve, </w:t>
      </w:r>
      <w:r w:rsidR="00AB4D37">
        <w:rPr>
          <w:rFonts w:ascii="Times New Roman" w:eastAsia="Times New Roman" w:hAnsi="Times New Roman" w:cs="Times New Roman"/>
          <w:szCs w:val="22"/>
          <w:lang w:val="sq-AL" w:eastAsia="en-GB"/>
        </w:rPr>
        <w:t>proçes</w:t>
      </w:r>
      <w:r w:rsidR="000D3E1A" w:rsidRPr="00817921">
        <w:rPr>
          <w:rFonts w:ascii="Times New Roman" w:eastAsia="Times New Roman" w:hAnsi="Times New Roman" w:cs="Times New Roman"/>
          <w:szCs w:val="22"/>
          <w:lang w:val="sq-AL" w:eastAsia="en-GB"/>
        </w:rPr>
        <w:t xml:space="preserve">e të ndërlikuara të aplikimit, sisteme dhe kapacitete të dobta të mbikëqyrjes, kontrollit dhe informacionit. </w:t>
      </w:r>
      <w:r w:rsidR="001434FC" w:rsidRPr="00817921">
        <w:rPr>
          <w:rFonts w:ascii="Times New Roman" w:eastAsia="Times New Roman" w:hAnsi="Times New Roman" w:cs="Times New Roman"/>
          <w:szCs w:val="22"/>
          <w:lang w:val="sq-AL" w:eastAsia="en-GB"/>
        </w:rPr>
        <w:t>N</w:t>
      </w:r>
      <w:r w:rsidR="000D3E1A" w:rsidRPr="00817921">
        <w:rPr>
          <w:rFonts w:ascii="Times New Roman" w:eastAsia="Times New Roman" w:hAnsi="Times New Roman" w:cs="Times New Roman"/>
          <w:szCs w:val="22"/>
          <w:lang w:val="sq-AL" w:eastAsia="en-GB"/>
        </w:rPr>
        <w:t xml:space="preserve">ë vitin 2012 nisi </w:t>
      </w:r>
      <w:r w:rsidR="00AB4D37">
        <w:rPr>
          <w:rFonts w:ascii="Times New Roman" w:eastAsia="Times New Roman" w:hAnsi="Times New Roman" w:cs="Times New Roman"/>
          <w:szCs w:val="22"/>
          <w:lang w:val="sq-AL" w:eastAsia="en-GB"/>
        </w:rPr>
        <w:t>proçes</w:t>
      </w:r>
      <w:r w:rsidR="000D3E1A" w:rsidRPr="00817921">
        <w:rPr>
          <w:rFonts w:ascii="Times New Roman" w:eastAsia="Times New Roman" w:hAnsi="Times New Roman" w:cs="Times New Roman"/>
          <w:szCs w:val="22"/>
          <w:lang w:val="sq-AL" w:eastAsia="en-GB"/>
        </w:rPr>
        <w:t>i reformues i programit të ndihmës ekonomike</w:t>
      </w:r>
      <w:r w:rsidR="000D3E1A" w:rsidRPr="00817921">
        <w:rPr>
          <w:rFonts w:ascii="Times New Roman" w:eastAsia="Times New Roman" w:hAnsi="Times New Roman" w:cs="Times New Roman"/>
          <w:szCs w:val="22"/>
          <w:vertAlign w:val="superscript"/>
          <w:lang w:val="sq-AL" w:eastAsia="en-GB"/>
        </w:rPr>
        <w:footnoteReference w:id="35"/>
      </w:r>
      <w:r w:rsidR="000D3E1A" w:rsidRPr="00817921">
        <w:rPr>
          <w:rFonts w:ascii="Times New Roman" w:eastAsia="Times New Roman" w:hAnsi="Times New Roman" w:cs="Times New Roman"/>
          <w:szCs w:val="22"/>
          <w:lang w:val="sq-AL" w:eastAsia="en-GB"/>
        </w:rPr>
        <w:t>, fillimisht me krijimin e dispozitave ligjore</w:t>
      </w:r>
      <w:r w:rsidR="000D3E1A" w:rsidRPr="00817921">
        <w:rPr>
          <w:rFonts w:ascii="Times New Roman" w:eastAsia="Times New Roman" w:hAnsi="Times New Roman" w:cs="Times New Roman"/>
          <w:szCs w:val="22"/>
          <w:vertAlign w:val="superscript"/>
          <w:lang w:val="sq-AL" w:eastAsia="en-GB"/>
        </w:rPr>
        <w:footnoteReference w:id="36"/>
      </w:r>
      <w:r w:rsidR="000D3E1A" w:rsidRPr="00817921">
        <w:rPr>
          <w:rFonts w:ascii="Times New Roman" w:eastAsia="Times New Roman" w:hAnsi="Times New Roman" w:cs="Times New Roman"/>
          <w:szCs w:val="22"/>
          <w:lang w:val="sq-AL" w:eastAsia="en-GB"/>
        </w:rPr>
        <w:t>, më pas me pilotimin 3 vjeçar të skemës në tre rajone dhe për të vijuar më tej, në vitin 2018, me shtrirjen e skemës në të gjithë vendin.</w:t>
      </w:r>
    </w:p>
    <w:p w14:paraId="6F187B27" w14:textId="77777777" w:rsidR="00A71248" w:rsidRPr="00817921" w:rsidRDefault="00A71248" w:rsidP="000D3E1A">
      <w:pPr>
        <w:rPr>
          <w:rFonts w:ascii="Times New Roman" w:eastAsia="Times New Roman" w:hAnsi="Times New Roman" w:cs="Times New Roman"/>
          <w:szCs w:val="22"/>
          <w:lang w:val="sq-AL" w:eastAsia="en-GB"/>
        </w:rPr>
      </w:pPr>
    </w:p>
    <w:p w14:paraId="3DDF24DC" w14:textId="57D7FB06" w:rsidR="00062FBD" w:rsidRPr="00817921" w:rsidRDefault="00062FBD" w:rsidP="000D3E1A">
      <w:pPr>
        <w:rPr>
          <w:rFonts w:ascii="Times New Roman" w:eastAsia="Times New Roman" w:hAnsi="Times New Roman" w:cs="Times New Roman"/>
          <w:szCs w:val="22"/>
          <w:lang w:val="sq-AL" w:eastAsia="en-GB"/>
        </w:rPr>
      </w:pPr>
      <w:r w:rsidRPr="00817921">
        <w:rPr>
          <w:rFonts w:ascii="Times New Roman" w:hAnsi="Times New Roman" w:cs="Times New Roman"/>
          <w:szCs w:val="22"/>
          <w:lang w:val="sq-AL"/>
        </w:rPr>
        <w:t>Numri i familjeve përfituese të Ndihmës Ekonomike në vitin 2021 u ul me 37.2 përqind krahasuar me vitin 2012. Numri i përgjithshëm i familjeve përfituese u zvog</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lua me 25.3 përqind në vitin 2014 </w:t>
      </w:r>
      <w:r w:rsidR="005A4552" w:rsidRPr="00817921">
        <w:rPr>
          <w:rFonts w:ascii="Times New Roman" w:hAnsi="Times New Roman" w:cs="Times New Roman"/>
          <w:szCs w:val="22"/>
          <w:lang w:val="sq-AL"/>
        </w:rPr>
        <w:t xml:space="preserve">si </w:t>
      </w:r>
      <w:r w:rsidRPr="00817921">
        <w:rPr>
          <w:rFonts w:ascii="Times New Roman" w:hAnsi="Times New Roman" w:cs="Times New Roman"/>
          <w:szCs w:val="22"/>
          <w:lang w:val="sq-AL"/>
        </w:rPr>
        <w:t>rezultat i pilotimit t</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skem</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s s</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reformuar n</w:t>
      </w:r>
      <w:r w:rsidR="009A5A0E" w:rsidRPr="00817921">
        <w:rPr>
          <w:rFonts w:ascii="Times New Roman" w:hAnsi="Times New Roman" w:cs="Times New Roman"/>
          <w:szCs w:val="22"/>
          <w:lang w:val="sq-AL"/>
        </w:rPr>
        <w:t>ë</w:t>
      </w:r>
      <w:r w:rsidRPr="00817921">
        <w:rPr>
          <w:rFonts w:ascii="Times New Roman" w:hAnsi="Times New Roman" w:cs="Times New Roman"/>
          <w:szCs w:val="22"/>
          <w:lang w:val="sq-AL"/>
        </w:rPr>
        <w:t xml:space="preserve"> </w:t>
      </w:r>
      <w:r w:rsidRPr="00817921">
        <w:rPr>
          <w:rFonts w:ascii="Times New Roman" w:eastAsia="Times New Roman" w:hAnsi="Times New Roman" w:cs="Times New Roman"/>
          <w:szCs w:val="22"/>
          <w:lang w:val="sq-AL" w:eastAsia="en-GB"/>
        </w:rPr>
        <w:t>Tiranë, Elbasan dhe Durrës)</w:t>
      </w:r>
      <w:r w:rsidRPr="00817921">
        <w:rPr>
          <w:rFonts w:ascii="Times New Roman" w:hAnsi="Times New Roman" w:cs="Times New Roman"/>
          <w:szCs w:val="22"/>
          <w:lang w:val="sq-AL"/>
        </w:rPr>
        <w:t>, dhe me 33.3 përqind në vitin 2018, kur reforma u shtri në të gjithë vendin. Rënia e përqindjes ishte veçanërisht e konsiderueshme për familjet me një ose dy anëtarë. Sipas administratorëve shoqërorë, si rezultat i përdorimit të mekanizmit të ri për marrjen e vendimit në lidhje me kualifikueshmërinë e kandidatëve për përfitimin e NE-së, gabimet në aspektin e përfshirjes janë ulur ndjeshëm në zonat urbane, por ende ekzistojnë përjashtime në zonat rurale për shkak të mungesës së informacionit të saktë për asetet/ pasuritë si toka dhe blegtoria</w:t>
      </w:r>
      <w:r w:rsidRPr="00817921">
        <w:rPr>
          <w:rStyle w:val="FootnoteReference"/>
          <w:rFonts w:ascii="Times New Roman" w:hAnsi="Times New Roman" w:cs="Times New Roman"/>
          <w:szCs w:val="22"/>
          <w:lang w:val="sq-AL"/>
        </w:rPr>
        <w:footnoteReference w:id="37"/>
      </w:r>
      <w:r w:rsidRPr="00817921">
        <w:rPr>
          <w:rFonts w:ascii="Times New Roman" w:hAnsi="Times New Roman" w:cs="Times New Roman"/>
          <w:szCs w:val="22"/>
          <w:lang w:val="sq-AL"/>
        </w:rPr>
        <w:t>.</w:t>
      </w:r>
    </w:p>
    <w:p w14:paraId="6F7B9528" w14:textId="64AE6227" w:rsidR="00C8143B" w:rsidRDefault="000D3E1A" w:rsidP="000D3E1A">
      <w:pPr>
        <w:rPr>
          <w:rFonts w:ascii="Times New Roman" w:eastAsia="Times New Roman" w:hAnsi="Times New Roman" w:cs="Times New Roman"/>
          <w:szCs w:val="22"/>
          <w:lang w:val="sq-AL" w:eastAsia="en-GB"/>
        </w:rPr>
      </w:pPr>
      <w:r w:rsidRPr="00817921">
        <w:rPr>
          <w:rFonts w:ascii="Times New Roman" w:eastAsia="Times New Roman" w:hAnsi="Times New Roman" w:cs="Times New Roman"/>
          <w:szCs w:val="22"/>
          <w:lang w:val="sq-AL" w:eastAsia="en-GB"/>
        </w:rPr>
        <w:t xml:space="preserve">Zbatimi i programit të reformuar ka racionalizuar </w:t>
      </w:r>
      <w:r w:rsidR="00AB4D37">
        <w:rPr>
          <w:rFonts w:ascii="Times New Roman" w:eastAsia="Times New Roman" w:hAnsi="Times New Roman" w:cs="Times New Roman"/>
          <w:szCs w:val="22"/>
          <w:lang w:val="sq-AL" w:eastAsia="en-GB"/>
        </w:rPr>
        <w:t>proçes</w:t>
      </w:r>
      <w:r w:rsidRPr="00817921">
        <w:rPr>
          <w:rFonts w:ascii="Times New Roman" w:eastAsia="Times New Roman" w:hAnsi="Times New Roman" w:cs="Times New Roman"/>
          <w:szCs w:val="22"/>
          <w:lang w:val="sq-AL" w:eastAsia="en-GB"/>
        </w:rPr>
        <w:t xml:space="preserve">in e aplikimit dhe të përzgjedhjes së përfituesve të Ndihmës Ekonomike, ka përmirësuar dukshëm </w:t>
      </w:r>
      <w:r w:rsidR="00AB4D37">
        <w:rPr>
          <w:rFonts w:ascii="Times New Roman" w:eastAsia="Times New Roman" w:hAnsi="Times New Roman" w:cs="Times New Roman"/>
          <w:szCs w:val="22"/>
          <w:lang w:val="sq-AL" w:eastAsia="en-GB"/>
        </w:rPr>
        <w:t>proçes</w:t>
      </w:r>
      <w:r w:rsidRPr="00817921">
        <w:rPr>
          <w:rFonts w:ascii="Times New Roman" w:eastAsia="Times New Roman" w:hAnsi="Times New Roman" w:cs="Times New Roman"/>
          <w:szCs w:val="22"/>
          <w:lang w:val="sq-AL" w:eastAsia="en-GB"/>
        </w:rPr>
        <w:t xml:space="preserve">in e shënjestrimit dhe të përzgjedhjes së familjeve që janë nevojë duke përdorur një formulë pikëzimi (proxy means test) të inkorporuar në një Sistem Informativ të Menaxhimit administruar nga Shërbimi Social Shtetëror (ShSSh), ka rritur rolin e pushtetit vendor në administrimin e programit të ndihmës si dhe në vendimmarrjen e drejtpërdrejtë për familjet që padrejtësisht mund të rezultojnë të përjashtuara për shkak të formulës së pikëzimit, por që janë në nevojë për mbështetje duke i vendosur në dispozicion fondin prej 6% të buxhetit të Ndihmës Ekonomike për ofrimin e kësaj pagese. Ai ka rritur pagesat për familjet përfituese më të shenjestruara, ka eleminuar pagesat e pjesshme </w:t>
      </w:r>
      <w:r w:rsidR="001434FC" w:rsidRPr="00817921">
        <w:rPr>
          <w:rFonts w:ascii="Times New Roman" w:eastAsia="Times New Roman" w:hAnsi="Times New Roman" w:cs="Times New Roman"/>
          <w:szCs w:val="22"/>
          <w:lang w:val="sq-AL" w:eastAsia="en-GB"/>
        </w:rPr>
        <w:t>dhe</w:t>
      </w:r>
      <w:r w:rsidRPr="00817921">
        <w:rPr>
          <w:rFonts w:ascii="Times New Roman" w:eastAsia="Times New Roman" w:hAnsi="Times New Roman" w:cs="Times New Roman"/>
          <w:szCs w:val="22"/>
          <w:lang w:val="sq-AL" w:eastAsia="en-GB"/>
        </w:rPr>
        <w:t xml:space="preserve"> është fokusuar në Programin Kombëtar për Daljen nga skema e </w:t>
      </w:r>
      <w:r w:rsidR="00AB4D37">
        <w:rPr>
          <w:rFonts w:ascii="Times New Roman" w:eastAsia="Times New Roman" w:hAnsi="Times New Roman" w:cs="Times New Roman"/>
          <w:szCs w:val="22"/>
          <w:lang w:val="sq-AL" w:eastAsia="en-GB"/>
        </w:rPr>
        <w:t>ndihm</w:t>
      </w:r>
      <w:r w:rsidR="00AB4D37" w:rsidRPr="002C0D3E">
        <w:rPr>
          <w:rFonts w:ascii="Times New Roman" w:eastAsia="Times New Roman" w:hAnsi="Times New Roman" w:cs="Times New Roman"/>
          <w:szCs w:val="22"/>
          <w:lang w:val="sq-AL" w:eastAsia="en-GB"/>
        </w:rPr>
        <w:t>ë</w:t>
      </w:r>
      <w:r w:rsidR="00AB4D37">
        <w:rPr>
          <w:rFonts w:ascii="Times New Roman" w:eastAsia="Times New Roman" w:hAnsi="Times New Roman" w:cs="Times New Roman"/>
          <w:szCs w:val="22"/>
          <w:lang w:val="sq-AL" w:eastAsia="en-GB"/>
        </w:rPr>
        <w:t>s ekonomike</w:t>
      </w:r>
      <w:r w:rsidRPr="00817921">
        <w:rPr>
          <w:rFonts w:ascii="Times New Roman" w:eastAsia="Times New Roman" w:hAnsi="Times New Roman" w:cs="Times New Roman"/>
          <w:szCs w:val="22"/>
          <w:lang w:val="sq-AL" w:eastAsia="en-GB"/>
        </w:rPr>
        <w:t>, ve</w:t>
      </w:r>
      <w:r w:rsidR="001434FC" w:rsidRPr="00817921">
        <w:rPr>
          <w:rFonts w:ascii="Times New Roman" w:eastAsia="Times New Roman" w:hAnsi="Times New Roman" w:cs="Times New Roman"/>
          <w:szCs w:val="22"/>
          <w:lang w:val="sq-AL" w:eastAsia="en-GB"/>
        </w:rPr>
        <w:t>ç</w:t>
      </w:r>
      <w:r w:rsidRPr="00817921">
        <w:rPr>
          <w:rFonts w:ascii="Times New Roman" w:eastAsia="Times New Roman" w:hAnsi="Times New Roman" w:cs="Times New Roman"/>
          <w:szCs w:val="22"/>
          <w:lang w:val="sq-AL" w:eastAsia="en-GB"/>
        </w:rPr>
        <w:t xml:space="preserve">anërisht sa i takon riintegrimit ekonomik </w:t>
      </w:r>
      <w:r w:rsidR="001434FC" w:rsidRPr="00817921">
        <w:rPr>
          <w:rFonts w:ascii="Times New Roman" w:eastAsia="Times New Roman" w:hAnsi="Times New Roman" w:cs="Times New Roman"/>
          <w:szCs w:val="22"/>
          <w:lang w:val="sq-AL" w:eastAsia="en-GB"/>
        </w:rPr>
        <w:t xml:space="preserve">në tregun e punës </w:t>
      </w:r>
      <w:r w:rsidRPr="00817921">
        <w:rPr>
          <w:rFonts w:ascii="Times New Roman" w:eastAsia="Times New Roman" w:hAnsi="Times New Roman" w:cs="Times New Roman"/>
          <w:szCs w:val="22"/>
          <w:lang w:val="sq-AL" w:eastAsia="en-GB"/>
        </w:rPr>
        <w:t>të përfituesve të Ndihmës Ekonomike në moshë pune. Pas vitit 2015, pati një avancim të dukshëm lidhur me decentralizimin fiskal dhe administrativ dhe në këtë kuadër administratorëve shoqërorë, iu besua një rol kyc në identifikimin e familjeve në nevojë, në menaxhimin e rasteve të tyre duke i referuar për mbështetje me shërbime sociale apo duke i orientuar drejt fuqizimit të tyre ekonomik.</w:t>
      </w:r>
      <w:r w:rsidR="001434FC" w:rsidRPr="00817921">
        <w:rPr>
          <w:rFonts w:ascii="Times New Roman" w:eastAsia="Times New Roman" w:hAnsi="Times New Roman" w:cs="Times New Roman"/>
          <w:szCs w:val="22"/>
          <w:lang w:val="sq-AL" w:eastAsia="en-GB"/>
        </w:rPr>
        <w:t xml:space="preserve"> </w:t>
      </w:r>
      <w:r w:rsidR="006C6D43" w:rsidRPr="00817921">
        <w:rPr>
          <w:rFonts w:ascii="Times New Roman" w:eastAsia="Times New Roman" w:hAnsi="Times New Roman" w:cs="Times New Roman"/>
          <w:szCs w:val="22"/>
          <w:lang w:val="sq-AL" w:eastAsia="en-GB"/>
        </w:rPr>
        <w:t>P</w:t>
      </w:r>
      <w:r w:rsidR="001434FC" w:rsidRPr="00817921">
        <w:rPr>
          <w:rFonts w:ascii="Times New Roman" w:eastAsia="Times New Roman" w:hAnsi="Times New Roman" w:cs="Times New Roman"/>
          <w:szCs w:val="22"/>
          <w:lang w:val="sq-AL" w:eastAsia="en-GB"/>
        </w:rPr>
        <w:t>rogrami i mbështetjes me ndihmë ekonomike</w:t>
      </w:r>
      <w:r w:rsidR="006C6D43" w:rsidRPr="00817921">
        <w:rPr>
          <w:rFonts w:ascii="Times New Roman" w:eastAsia="Times New Roman" w:hAnsi="Times New Roman" w:cs="Times New Roman"/>
          <w:szCs w:val="22"/>
          <w:lang w:val="sq-AL" w:eastAsia="en-GB"/>
        </w:rPr>
        <w:t>, n</w:t>
      </w:r>
      <w:r w:rsidR="009A5A0E" w:rsidRPr="00817921">
        <w:rPr>
          <w:rFonts w:ascii="Times New Roman" w:eastAsia="Times New Roman" w:hAnsi="Times New Roman" w:cs="Times New Roman"/>
          <w:szCs w:val="22"/>
          <w:lang w:val="sq-AL" w:eastAsia="en-GB"/>
        </w:rPr>
        <w:t>ë</w:t>
      </w:r>
      <w:r w:rsidR="006C6D43" w:rsidRPr="00817921">
        <w:rPr>
          <w:rFonts w:ascii="Times New Roman" w:eastAsia="Times New Roman" w:hAnsi="Times New Roman" w:cs="Times New Roman"/>
          <w:szCs w:val="22"/>
          <w:lang w:val="sq-AL" w:eastAsia="en-GB"/>
        </w:rPr>
        <w:t xml:space="preserve"> situ</w:t>
      </w:r>
      <w:r w:rsidR="00895CB4" w:rsidRPr="00817921">
        <w:rPr>
          <w:rFonts w:ascii="Times New Roman" w:eastAsia="Times New Roman" w:hAnsi="Times New Roman" w:cs="Times New Roman"/>
          <w:szCs w:val="22"/>
          <w:lang w:val="sq-AL" w:eastAsia="en-GB"/>
        </w:rPr>
        <w:t>a</w:t>
      </w:r>
      <w:r w:rsidR="006C6D43" w:rsidRPr="00817921">
        <w:rPr>
          <w:rFonts w:ascii="Times New Roman" w:eastAsia="Times New Roman" w:hAnsi="Times New Roman" w:cs="Times New Roman"/>
          <w:szCs w:val="22"/>
          <w:lang w:val="sq-AL" w:eastAsia="en-GB"/>
        </w:rPr>
        <w:t>t</w:t>
      </w:r>
      <w:r w:rsidR="009A5A0E" w:rsidRPr="00817921">
        <w:rPr>
          <w:rFonts w:ascii="Times New Roman" w:eastAsia="Times New Roman" w:hAnsi="Times New Roman" w:cs="Times New Roman"/>
          <w:szCs w:val="22"/>
          <w:lang w:val="sq-AL" w:eastAsia="en-GB"/>
        </w:rPr>
        <w:t>ë</w:t>
      </w:r>
      <w:r w:rsidR="006C6D43" w:rsidRPr="00817921">
        <w:rPr>
          <w:rFonts w:ascii="Times New Roman" w:eastAsia="Times New Roman" w:hAnsi="Times New Roman" w:cs="Times New Roman"/>
          <w:szCs w:val="22"/>
          <w:lang w:val="sq-AL" w:eastAsia="en-GB"/>
        </w:rPr>
        <w:t>n aktuale</w:t>
      </w:r>
      <w:r w:rsidR="001434FC" w:rsidRPr="00817921">
        <w:rPr>
          <w:rFonts w:ascii="Times New Roman" w:eastAsia="Times New Roman" w:hAnsi="Times New Roman" w:cs="Times New Roman"/>
          <w:szCs w:val="22"/>
          <w:lang w:val="sq-AL" w:eastAsia="en-GB"/>
        </w:rPr>
        <w:t xml:space="preserve"> ka nevojë që të kalojë në një fazë të re reformimi që do të adresonte disa </w:t>
      </w:r>
      <w:r w:rsidR="00A71248">
        <w:rPr>
          <w:rFonts w:ascii="Times New Roman" w:eastAsia="Times New Roman" w:hAnsi="Times New Roman" w:cs="Times New Roman"/>
          <w:szCs w:val="22"/>
          <w:lang w:val="sq-AL" w:eastAsia="en-GB"/>
        </w:rPr>
        <w:t>aspekte kritike të tilla si: përshtatshmëria dhe mjaftueshmëria, indeksimi, harmonizimi i përfitimeve me skemat e tjera si dhe ndërlidhja me shërbimet e tjera sociale</w:t>
      </w:r>
    </w:p>
    <w:p w14:paraId="78201E93" w14:textId="77777777" w:rsidR="00075C17" w:rsidRPr="00817921" w:rsidRDefault="00075C17" w:rsidP="000D3E1A">
      <w:pPr>
        <w:rPr>
          <w:rFonts w:ascii="Times New Roman" w:hAnsi="Times New Roman" w:cs="Times New Roman"/>
          <w:color w:val="242424"/>
          <w:szCs w:val="22"/>
          <w:bdr w:val="none" w:sz="0" w:space="0" w:color="auto" w:frame="1"/>
          <w:lang w:val="fr-FR"/>
        </w:rPr>
      </w:pPr>
    </w:p>
    <w:p w14:paraId="7FAA049C" w14:textId="10F84E68" w:rsidR="004F1FF6" w:rsidRDefault="006C6D43" w:rsidP="004F1FF6">
      <w:pPr>
        <w:rPr>
          <w:rFonts w:ascii="Times New Roman" w:eastAsia="Arial Unicode MS" w:hAnsi="Times New Roman" w:cs="Times New Roman"/>
        </w:rPr>
      </w:pPr>
      <w:proofErr w:type="spellStart"/>
      <w:r w:rsidRPr="00817921">
        <w:rPr>
          <w:rFonts w:ascii="Times New Roman" w:hAnsi="Times New Roman" w:cs="Times New Roman"/>
          <w:b/>
          <w:bCs/>
          <w:color w:val="242424"/>
          <w:szCs w:val="22"/>
          <w:bdr w:val="none" w:sz="0" w:space="0" w:color="auto" w:frame="1"/>
          <w:lang w:val="fr-FR"/>
        </w:rPr>
        <w:t>Aft</w:t>
      </w:r>
      <w:r w:rsidR="009A5A0E" w:rsidRPr="00817921">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sia</w:t>
      </w:r>
      <w:proofErr w:type="spellEnd"/>
      <w:r w:rsidRPr="00817921">
        <w:rPr>
          <w:rFonts w:ascii="Times New Roman" w:hAnsi="Times New Roman" w:cs="Times New Roman"/>
          <w:b/>
          <w:bCs/>
          <w:color w:val="242424"/>
          <w:szCs w:val="22"/>
          <w:bdr w:val="none" w:sz="0" w:space="0" w:color="auto" w:frame="1"/>
          <w:lang w:val="fr-FR"/>
        </w:rPr>
        <w:t xml:space="preserve"> e </w:t>
      </w:r>
      <w:proofErr w:type="spellStart"/>
      <w:r w:rsidRPr="00817921">
        <w:rPr>
          <w:rFonts w:ascii="Times New Roman" w:hAnsi="Times New Roman" w:cs="Times New Roman"/>
          <w:b/>
          <w:bCs/>
          <w:color w:val="242424"/>
          <w:szCs w:val="22"/>
          <w:bdr w:val="none" w:sz="0" w:space="0" w:color="auto" w:frame="1"/>
          <w:lang w:val="fr-FR"/>
        </w:rPr>
        <w:t>kufizuar</w:t>
      </w:r>
      <w:proofErr w:type="spellEnd"/>
      <w:r w:rsidR="003B78BC" w:rsidRPr="00817921">
        <w:rPr>
          <w:rFonts w:ascii="Times New Roman" w:hAnsi="Times New Roman" w:cs="Times New Roman"/>
          <w:b/>
          <w:bCs/>
          <w:color w:val="242424"/>
          <w:szCs w:val="22"/>
          <w:bdr w:val="none" w:sz="0" w:space="0" w:color="auto" w:frame="1"/>
          <w:lang w:val="fr-FR"/>
        </w:rPr>
        <w:t xml:space="preserve">. </w:t>
      </w:r>
      <w:r w:rsidR="00A34238" w:rsidRPr="00817921">
        <w:rPr>
          <w:rFonts w:ascii="Times New Roman" w:hAnsi="Times New Roman" w:cs="Times New Roman"/>
          <w:lang w:val="sq-AL"/>
        </w:rPr>
        <w:t>Programi i mb</w:t>
      </w:r>
      <w:r w:rsidR="009A5A0E" w:rsidRPr="00817921">
        <w:rPr>
          <w:rFonts w:ascii="Times New Roman" w:hAnsi="Times New Roman" w:cs="Times New Roman"/>
          <w:lang w:val="sq-AL"/>
        </w:rPr>
        <w:t>ë</w:t>
      </w:r>
      <w:r w:rsidR="00A34238" w:rsidRPr="00817921">
        <w:rPr>
          <w:rFonts w:ascii="Times New Roman" w:hAnsi="Times New Roman" w:cs="Times New Roman"/>
          <w:lang w:val="sq-AL"/>
        </w:rPr>
        <w:t>shtetjes s</w:t>
      </w:r>
      <w:r w:rsidR="009A5A0E" w:rsidRPr="00817921">
        <w:rPr>
          <w:rFonts w:ascii="Times New Roman" w:hAnsi="Times New Roman" w:cs="Times New Roman"/>
          <w:lang w:val="sq-AL"/>
        </w:rPr>
        <w:t>ë</w:t>
      </w:r>
      <w:r w:rsidR="00A34238" w:rsidRPr="00817921">
        <w:rPr>
          <w:rFonts w:ascii="Times New Roman" w:hAnsi="Times New Roman" w:cs="Times New Roman"/>
          <w:lang w:val="sq-AL"/>
        </w:rPr>
        <w:t xml:space="preserve"> aft</w:t>
      </w:r>
      <w:r w:rsidR="009A5A0E" w:rsidRPr="00817921">
        <w:rPr>
          <w:rFonts w:ascii="Times New Roman" w:hAnsi="Times New Roman" w:cs="Times New Roman"/>
          <w:lang w:val="sq-AL"/>
        </w:rPr>
        <w:t>ë</w:t>
      </w:r>
      <w:r w:rsidR="00A34238" w:rsidRPr="00817921">
        <w:rPr>
          <w:rFonts w:ascii="Times New Roman" w:hAnsi="Times New Roman" w:cs="Times New Roman"/>
          <w:lang w:val="sq-AL"/>
        </w:rPr>
        <w:t>sis</w:t>
      </w:r>
      <w:r w:rsidR="009A5A0E" w:rsidRPr="00817921">
        <w:rPr>
          <w:rFonts w:ascii="Times New Roman" w:hAnsi="Times New Roman" w:cs="Times New Roman"/>
          <w:lang w:val="sq-AL"/>
        </w:rPr>
        <w:t>ë</w:t>
      </w:r>
      <w:r w:rsidR="00A34238" w:rsidRPr="00817921">
        <w:rPr>
          <w:rFonts w:ascii="Times New Roman" w:hAnsi="Times New Roman" w:cs="Times New Roman"/>
          <w:lang w:val="sq-AL"/>
        </w:rPr>
        <w:t xml:space="preserve"> s</w:t>
      </w:r>
      <w:r w:rsidR="009A5A0E" w:rsidRPr="00817921">
        <w:rPr>
          <w:rFonts w:ascii="Times New Roman" w:hAnsi="Times New Roman" w:cs="Times New Roman"/>
          <w:lang w:val="sq-AL"/>
        </w:rPr>
        <w:t>ë</w:t>
      </w:r>
      <w:r w:rsidR="00A34238" w:rsidRPr="00817921">
        <w:rPr>
          <w:rFonts w:ascii="Times New Roman" w:hAnsi="Times New Roman" w:cs="Times New Roman"/>
          <w:lang w:val="sq-AL"/>
        </w:rPr>
        <w:t xml:space="preserve"> kufizuar, gjat</w:t>
      </w:r>
      <w:r w:rsidR="009A5A0E" w:rsidRPr="00817921">
        <w:rPr>
          <w:rFonts w:ascii="Times New Roman" w:hAnsi="Times New Roman" w:cs="Times New Roman"/>
          <w:lang w:val="sq-AL"/>
        </w:rPr>
        <w:t>ë</w:t>
      </w:r>
      <w:r w:rsidR="00A34238" w:rsidRPr="00817921">
        <w:rPr>
          <w:rFonts w:ascii="Times New Roman" w:hAnsi="Times New Roman" w:cs="Times New Roman"/>
          <w:lang w:val="sq-AL"/>
        </w:rPr>
        <w:t xml:space="preserve"> viteve t</w:t>
      </w:r>
      <w:r w:rsidR="009A5A0E" w:rsidRPr="00817921">
        <w:rPr>
          <w:rFonts w:ascii="Times New Roman" w:hAnsi="Times New Roman" w:cs="Times New Roman"/>
          <w:lang w:val="sq-AL"/>
        </w:rPr>
        <w:t>ë</w:t>
      </w:r>
      <w:r w:rsidR="00A34238" w:rsidRPr="00817921">
        <w:rPr>
          <w:rFonts w:ascii="Times New Roman" w:hAnsi="Times New Roman" w:cs="Times New Roman"/>
          <w:lang w:val="sq-AL"/>
        </w:rPr>
        <w:t xml:space="preserve"> fundit, ka kaluar n</w:t>
      </w:r>
      <w:r w:rsidR="009A5A0E" w:rsidRPr="00817921">
        <w:rPr>
          <w:rFonts w:ascii="Times New Roman" w:hAnsi="Times New Roman" w:cs="Times New Roman"/>
          <w:lang w:val="sq-AL"/>
        </w:rPr>
        <w:t>ë</w:t>
      </w:r>
      <w:r w:rsidR="00A34238" w:rsidRPr="00817921">
        <w:rPr>
          <w:rFonts w:ascii="Times New Roman" w:hAnsi="Times New Roman" w:cs="Times New Roman"/>
          <w:lang w:val="sq-AL"/>
        </w:rPr>
        <w:t xml:space="preserve"> nj</w:t>
      </w:r>
      <w:r w:rsidR="009A5A0E" w:rsidRPr="00817921">
        <w:rPr>
          <w:rFonts w:ascii="Times New Roman" w:hAnsi="Times New Roman" w:cs="Times New Roman"/>
          <w:lang w:val="sq-AL"/>
        </w:rPr>
        <w:t>ë</w:t>
      </w:r>
      <w:r w:rsidR="00A34238" w:rsidRPr="00817921">
        <w:rPr>
          <w:rFonts w:ascii="Times New Roman" w:hAnsi="Times New Roman" w:cs="Times New Roman"/>
          <w:lang w:val="sq-AL"/>
        </w:rPr>
        <w:t xml:space="preserve"> </w:t>
      </w:r>
      <w:r w:rsidR="00AB4D37">
        <w:rPr>
          <w:rFonts w:ascii="Times New Roman" w:hAnsi="Times New Roman" w:cs="Times New Roman"/>
          <w:lang w:val="sq-AL"/>
        </w:rPr>
        <w:t>proçes</w:t>
      </w:r>
      <w:r w:rsidR="00A34238" w:rsidRPr="00817921">
        <w:rPr>
          <w:rFonts w:ascii="Times New Roman" w:hAnsi="Times New Roman" w:cs="Times New Roman"/>
          <w:lang w:val="sq-AL"/>
        </w:rPr>
        <w:t xml:space="preserve"> reformimi. </w:t>
      </w:r>
      <w:r w:rsidR="004F1FF6" w:rsidRPr="00817921">
        <w:rPr>
          <w:rFonts w:ascii="Times New Roman" w:hAnsi="Times New Roman" w:cs="Times New Roman"/>
          <w:lang w:val="sq-AL"/>
        </w:rPr>
        <w:t>Reforma e sistemit t</w:t>
      </w:r>
      <w:r w:rsidR="009A5A0E" w:rsidRPr="00817921">
        <w:rPr>
          <w:rFonts w:ascii="Times New Roman" w:hAnsi="Times New Roman" w:cs="Times New Roman"/>
          <w:lang w:val="sq-AL"/>
        </w:rPr>
        <w:t>ë</w:t>
      </w:r>
      <w:r w:rsidR="004F1FF6" w:rsidRPr="00817921">
        <w:rPr>
          <w:rFonts w:ascii="Times New Roman" w:hAnsi="Times New Roman" w:cs="Times New Roman"/>
          <w:lang w:val="sq-AL"/>
        </w:rPr>
        <w:t xml:space="preserve"> vlerësimit të aftësisë së kufizuar u mbështet në përvojën ndërkombëtare të vlerësimit të aftësisë së kufizuar dhe ofrimin e përfitimeve të aftësisë së kufizuar në sistemin jokontribues</w:t>
      </w:r>
      <w:r w:rsidR="004F1FF6" w:rsidRPr="00817921">
        <w:rPr>
          <w:rStyle w:val="FootnoteReference"/>
          <w:rFonts w:ascii="Times New Roman" w:hAnsi="Times New Roman" w:cs="Times New Roman"/>
          <w:lang w:val="sq-AL"/>
        </w:rPr>
        <w:footnoteReference w:id="38"/>
      </w:r>
      <w:r w:rsidR="004F1FF6" w:rsidRPr="00817921">
        <w:rPr>
          <w:rFonts w:ascii="Times New Roman" w:hAnsi="Times New Roman" w:cs="Times New Roman"/>
          <w:lang w:val="sq-AL"/>
        </w:rPr>
        <w:t>, duke marrë në konsideratë kontekstin profesional, kulturor, socio-ekonomik, legjislativ dhe politiko-administrativ të Shqipërisë. Ajo u mb</w:t>
      </w:r>
      <w:r w:rsidR="009A5A0E" w:rsidRPr="00817921">
        <w:rPr>
          <w:rFonts w:ascii="Times New Roman" w:hAnsi="Times New Roman" w:cs="Times New Roman"/>
          <w:lang w:val="sq-AL"/>
        </w:rPr>
        <w:t>ë</w:t>
      </w:r>
      <w:r w:rsidR="004F1FF6" w:rsidRPr="00817921">
        <w:rPr>
          <w:rFonts w:ascii="Times New Roman" w:hAnsi="Times New Roman" w:cs="Times New Roman"/>
          <w:lang w:val="sq-AL"/>
        </w:rPr>
        <w:t>shtet n</w:t>
      </w:r>
      <w:r w:rsidR="009A5A0E" w:rsidRPr="00817921">
        <w:rPr>
          <w:rFonts w:ascii="Times New Roman" w:hAnsi="Times New Roman" w:cs="Times New Roman"/>
          <w:lang w:val="sq-AL"/>
        </w:rPr>
        <w:t>ë</w:t>
      </w:r>
      <w:r w:rsidR="004F1FF6" w:rsidRPr="00817921">
        <w:rPr>
          <w:rFonts w:ascii="Times New Roman" w:hAnsi="Times New Roman" w:cs="Times New Roman"/>
          <w:lang w:val="sq-AL"/>
        </w:rPr>
        <w:t xml:space="preserve"> </w:t>
      </w:r>
      <w:proofErr w:type="spellStart"/>
      <w:r w:rsidR="004F1FF6" w:rsidRPr="00817921">
        <w:rPr>
          <w:rFonts w:ascii="Times New Roman" w:eastAsia="Arial Unicode MS" w:hAnsi="Times New Roman" w:cs="Times New Roman"/>
          <w:bCs/>
          <w:i/>
        </w:rPr>
        <w:t>Dokumentin</w:t>
      </w:r>
      <w:proofErr w:type="spellEnd"/>
      <w:r w:rsidR="004F1FF6" w:rsidRPr="00817921">
        <w:rPr>
          <w:rFonts w:ascii="Times New Roman" w:eastAsia="Arial Unicode MS" w:hAnsi="Times New Roman" w:cs="Times New Roman"/>
          <w:bCs/>
          <w:i/>
        </w:rPr>
        <w:t xml:space="preserve"> </w:t>
      </w:r>
      <w:proofErr w:type="spellStart"/>
      <w:r w:rsidR="004F1FF6" w:rsidRPr="00817921">
        <w:rPr>
          <w:rFonts w:ascii="Times New Roman" w:eastAsia="Arial Unicode MS" w:hAnsi="Times New Roman" w:cs="Times New Roman"/>
          <w:bCs/>
          <w:i/>
        </w:rPr>
        <w:t>Politik</w:t>
      </w:r>
      <w:proofErr w:type="spellEnd"/>
      <w:r w:rsidR="004F1FF6" w:rsidRPr="00817921">
        <w:rPr>
          <w:rFonts w:ascii="Times New Roman" w:eastAsia="Arial Unicode MS" w:hAnsi="Times New Roman" w:cs="Times New Roman"/>
          <w:bCs/>
          <w:i/>
        </w:rPr>
        <w:t xml:space="preserve"> </w:t>
      </w:r>
      <w:proofErr w:type="spellStart"/>
      <w:r w:rsidR="004F1FF6" w:rsidRPr="00817921">
        <w:rPr>
          <w:rFonts w:ascii="Times New Roman" w:eastAsia="Arial Unicode MS" w:hAnsi="Times New Roman" w:cs="Times New Roman"/>
          <w:bCs/>
          <w:i/>
        </w:rPr>
        <w:t>mbi</w:t>
      </w:r>
      <w:proofErr w:type="spellEnd"/>
      <w:r w:rsidR="004F1FF6" w:rsidRPr="00817921">
        <w:rPr>
          <w:rFonts w:ascii="Times New Roman" w:eastAsia="Arial Unicode MS" w:hAnsi="Times New Roman" w:cs="Times New Roman"/>
          <w:bCs/>
          <w:i/>
        </w:rPr>
        <w:t xml:space="preserve"> </w:t>
      </w:r>
      <w:proofErr w:type="spellStart"/>
      <w:r w:rsidR="004F1FF6" w:rsidRPr="00817921">
        <w:rPr>
          <w:rFonts w:ascii="Times New Roman" w:eastAsia="Arial Unicode MS" w:hAnsi="Times New Roman" w:cs="Times New Roman"/>
          <w:bCs/>
          <w:i/>
        </w:rPr>
        <w:t>Reformën</w:t>
      </w:r>
      <w:proofErr w:type="spellEnd"/>
      <w:r w:rsidR="004F1FF6" w:rsidRPr="00817921">
        <w:rPr>
          <w:rFonts w:ascii="Times New Roman" w:eastAsia="Arial Unicode MS" w:hAnsi="Times New Roman" w:cs="Times New Roman"/>
          <w:bCs/>
          <w:i/>
        </w:rPr>
        <w:t xml:space="preserve"> e </w:t>
      </w:r>
      <w:proofErr w:type="spellStart"/>
      <w:r w:rsidR="004F1FF6" w:rsidRPr="00817921">
        <w:rPr>
          <w:rFonts w:ascii="Times New Roman" w:eastAsia="Arial Unicode MS" w:hAnsi="Times New Roman" w:cs="Times New Roman"/>
          <w:bCs/>
          <w:i/>
        </w:rPr>
        <w:t>Vlerësimit</w:t>
      </w:r>
      <w:proofErr w:type="spellEnd"/>
      <w:r w:rsidR="004F1FF6" w:rsidRPr="00817921">
        <w:rPr>
          <w:rFonts w:ascii="Times New Roman" w:eastAsia="Arial Unicode MS" w:hAnsi="Times New Roman" w:cs="Times New Roman"/>
          <w:bCs/>
          <w:i/>
        </w:rPr>
        <w:t xml:space="preserve"> të </w:t>
      </w:r>
      <w:proofErr w:type="spellStart"/>
      <w:r w:rsidR="004F1FF6" w:rsidRPr="00817921">
        <w:rPr>
          <w:rFonts w:ascii="Times New Roman" w:eastAsia="Arial Unicode MS" w:hAnsi="Times New Roman" w:cs="Times New Roman"/>
          <w:bCs/>
          <w:i/>
        </w:rPr>
        <w:t>Aftësisë</w:t>
      </w:r>
      <w:proofErr w:type="spellEnd"/>
      <w:r w:rsidR="004F1FF6" w:rsidRPr="00817921">
        <w:rPr>
          <w:rFonts w:ascii="Times New Roman" w:eastAsia="Arial Unicode MS" w:hAnsi="Times New Roman" w:cs="Times New Roman"/>
          <w:bCs/>
          <w:i/>
        </w:rPr>
        <w:t xml:space="preserve"> </w:t>
      </w:r>
      <w:proofErr w:type="spellStart"/>
      <w:r w:rsidR="004F1FF6" w:rsidRPr="00817921">
        <w:rPr>
          <w:rFonts w:ascii="Times New Roman" w:eastAsia="Arial Unicode MS" w:hAnsi="Times New Roman" w:cs="Times New Roman"/>
          <w:bCs/>
          <w:i/>
        </w:rPr>
        <w:t>së</w:t>
      </w:r>
      <w:proofErr w:type="spellEnd"/>
      <w:r w:rsidR="004F1FF6" w:rsidRPr="00817921">
        <w:rPr>
          <w:rFonts w:ascii="Times New Roman" w:eastAsia="Arial Unicode MS" w:hAnsi="Times New Roman" w:cs="Times New Roman"/>
          <w:bCs/>
          <w:i/>
        </w:rPr>
        <w:t xml:space="preserve"> </w:t>
      </w:r>
      <w:proofErr w:type="spellStart"/>
      <w:r w:rsidR="004F1FF6" w:rsidRPr="00817921">
        <w:rPr>
          <w:rFonts w:ascii="Times New Roman" w:eastAsia="Arial Unicode MS" w:hAnsi="Times New Roman" w:cs="Times New Roman"/>
          <w:bCs/>
          <w:i/>
        </w:rPr>
        <w:t>Kufizuar</w:t>
      </w:r>
      <w:proofErr w:type="spellEnd"/>
      <w:r w:rsidR="004F1FF6" w:rsidRPr="00817921">
        <w:rPr>
          <w:rFonts w:ascii="Times New Roman" w:eastAsia="Arial Unicode MS" w:hAnsi="Times New Roman" w:cs="Times New Roman"/>
          <w:bCs/>
        </w:rPr>
        <w:t xml:space="preserve"> </w:t>
      </w:r>
      <w:proofErr w:type="spellStart"/>
      <w:r w:rsidR="004F1FF6" w:rsidRPr="00817921">
        <w:rPr>
          <w:rFonts w:ascii="Times New Roman" w:eastAsia="Arial Unicode MS" w:hAnsi="Times New Roman" w:cs="Times New Roman"/>
          <w:bCs/>
        </w:rPr>
        <w:t>në</w:t>
      </w:r>
      <w:proofErr w:type="spellEnd"/>
      <w:r w:rsidR="004F1FF6" w:rsidRPr="00817921">
        <w:rPr>
          <w:rFonts w:ascii="Times New Roman" w:eastAsia="Arial Unicode MS" w:hAnsi="Times New Roman" w:cs="Times New Roman"/>
          <w:bCs/>
        </w:rPr>
        <w:t xml:space="preserve"> </w:t>
      </w:r>
      <w:proofErr w:type="spellStart"/>
      <w:r w:rsidR="004F1FF6" w:rsidRPr="00817921">
        <w:rPr>
          <w:rFonts w:ascii="Times New Roman" w:eastAsia="Arial Unicode MS" w:hAnsi="Times New Roman" w:cs="Times New Roman"/>
          <w:bCs/>
        </w:rPr>
        <w:t>Sistemin</w:t>
      </w:r>
      <w:proofErr w:type="spellEnd"/>
      <w:r w:rsidR="004F1FF6" w:rsidRPr="00817921">
        <w:rPr>
          <w:rFonts w:ascii="Times New Roman" w:eastAsia="Arial Unicode MS" w:hAnsi="Times New Roman" w:cs="Times New Roman"/>
          <w:bCs/>
        </w:rPr>
        <w:t xml:space="preserve"> e </w:t>
      </w:r>
      <w:proofErr w:type="spellStart"/>
      <w:r w:rsidR="004F1FF6" w:rsidRPr="00817921">
        <w:rPr>
          <w:rFonts w:ascii="Times New Roman" w:eastAsia="Arial Unicode MS" w:hAnsi="Times New Roman" w:cs="Times New Roman"/>
          <w:bCs/>
        </w:rPr>
        <w:t>Mbrojtjes</w:t>
      </w:r>
      <w:proofErr w:type="spellEnd"/>
      <w:r w:rsidR="004F1FF6" w:rsidRPr="00817921">
        <w:rPr>
          <w:rFonts w:ascii="Times New Roman" w:eastAsia="Arial Unicode MS" w:hAnsi="Times New Roman" w:cs="Times New Roman"/>
          <w:bCs/>
        </w:rPr>
        <w:t xml:space="preserve"> Sociale dhe </w:t>
      </w:r>
      <w:proofErr w:type="spellStart"/>
      <w:r w:rsidR="004F1FF6" w:rsidRPr="00817921">
        <w:rPr>
          <w:rFonts w:ascii="Times New Roman" w:eastAsia="Arial Unicode MS" w:hAnsi="Times New Roman" w:cs="Times New Roman"/>
          <w:bCs/>
        </w:rPr>
        <w:t>n</w:t>
      </w:r>
      <w:r w:rsidR="009A5A0E" w:rsidRPr="00817921">
        <w:rPr>
          <w:rFonts w:ascii="Times New Roman" w:eastAsia="Arial Unicode MS" w:hAnsi="Times New Roman" w:cs="Times New Roman"/>
          <w:bCs/>
        </w:rPr>
        <w:t>ë</w:t>
      </w:r>
      <w:proofErr w:type="spellEnd"/>
      <w:r w:rsidR="004F1FF6" w:rsidRPr="00817921">
        <w:rPr>
          <w:rFonts w:ascii="Times New Roman" w:eastAsia="Arial Unicode MS" w:hAnsi="Times New Roman" w:cs="Times New Roman"/>
          <w:bCs/>
        </w:rPr>
        <w:t xml:space="preserve"> </w:t>
      </w:r>
      <w:proofErr w:type="spellStart"/>
      <w:r w:rsidR="004F1FF6" w:rsidRPr="00817921">
        <w:rPr>
          <w:rFonts w:ascii="Times New Roman" w:eastAsia="Arial Unicode MS" w:hAnsi="Times New Roman" w:cs="Times New Roman"/>
          <w:bCs/>
        </w:rPr>
        <w:t>Planin</w:t>
      </w:r>
      <w:proofErr w:type="spellEnd"/>
      <w:r w:rsidR="004F1FF6" w:rsidRPr="00817921">
        <w:rPr>
          <w:rFonts w:ascii="Times New Roman" w:eastAsia="Arial Unicode MS" w:hAnsi="Times New Roman" w:cs="Times New Roman"/>
          <w:bCs/>
        </w:rPr>
        <w:t xml:space="preserve"> e </w:t>
      </w:r>
      <w:proofErr w:type="spellStart"/>
      <w:r w:rsidR="004F1FF6" w:rsidRPr="00817921">
        <w:rPr>
          <w:rFonts w:ascii="Times New Roman" w:eastAsia="Arial Unicode MS" w:hAnsi="Times New Roman" w:cs="Times New Roman"/>
          <w:bCs/>
        </w:rPr>
        <w:t>Veprimit</w:t>
      </w:r>
      <w:proofErr w:type="spellEnd"/>
      <w:r w:rsidR="004F1FF6" w:rsidRPr="00817921">
        <w:rPr>
          <w:rFonts w:ascii="Times New Roman" w:eastAsia="Arial Unicode MS" w:hAnsi="Times New Roman" w:cs="Times New Roman"/>
          <w:bCs/>
        </w:rPr>
        <w:t xml:space="preserve"> 2019-2024</w:t>
      </w:r>
      <w:r w:rsidR="004F1FF6" w:rsidRPr="00817921">
        <w:rPr>
          <w:rStyle w:val="FootnoteReference"/>
          <w:rFonts w:ascii="Times New Roman" w:eastAsia="Arial Unicode MS" w:hAnsi="Times New Roman" w:cs="Times New Roman"/>
          <w:bCs/>
        </w:rPr>
        <w:footnoteReference w:id="39"/>
      </w:r>
      <w:r w:rsidR="004F1FF6" w:rsidRPr="00817921">
        <w:rPr>
          <w:rFonts w:ascii="Times New Roman" w:eastAsia="Arial Unicode MS" w:hAnsi="Times New Roman" w:cs="Times New Roman"/>
          <w:bCs/>
        </w:rPr>
        <w:t xml:space="preserve">, is cili </w:t>
      </w:r>
      <w:proofErr w:type="spellStart"/>
      <w:r w:rsidR="004F1FF6" w:rsidRPr="00817921">
        <w:rPr>
          <w:rFonts w:ascii="Times New Roman" w:eastAsia="Arial Unicode MS" w:hAnsi="Times New Roman" w:cs="Times New Roman"/>
          <w:bCs/>
        </w:rPr>
        <w:t>shërbeu</w:t>
      </w:r>
      <w:proofErr w:type="spellEnd"/>
      <w:r w:rsidR="004F1FF6" w:rsidRPr="00817921">
        <w:rPr>
          <w:rFonts w:ascii="Times New Roman" w:eastAsia="Arial Unicode MS" w:hAnsi="Times New Roman" w:cs="Times New Roman"/>
          <w:bCs/>
        </w:rPr>
        <w:t xml:space="preserve"> </w:t>
      </w:r>
      <w:proofErr w:type="spellStart"/>
      <w:r w:rsidR="004F1FF6" w:rsidRPr="00817921">
        <w:rPr>
          <w:rFonts w:ascii="Times New Roman" w:eastAsia="Arial Unicode MS" w:hAnsi="Times New Roman" w:cs="Times New Roman"/>
          <w:bCs/>
        </w:rPr>
        <w:t>si</w:t>
      </w:r>
      <w:proofErr w:type="spellEnd"/>
      <w:r w:rsidR="004F1FF6" w:rsidRPr="00817921">
        <w:rPr>
          <w:rFonts w:ascii="Times New Roman" w:eastAsia="Arial Unicode MS" w:hAnsi="Times New Roman" w:cs="Times New Roman"/>
          <w:bCs/>
        </w:rPr>
        <w:t xml:space="preserve"> </w:t>
      </w:r>
      <w:proofErr w:type="spellStart"/>
      <w:r w:rsidR="004F1FF6" w:rsidRPr="00817921">
        <w:rPr>
          <w:rFonts w:ascii="Times New Roman" w:eastAsia="Arial Unicode MS" w:hAnsi="Times New Roman" w:cs="Times New Roman"/>
          <w:bCs/>
        </w:rPr>
        <w:t>udhërrëfyes</w:t>
      </w:r>
      <w:proofErr w:type="spellEnd"/>
      <w:r w:rsidR="004F1FF6" w:rsidRPr="00817921">
        <w:rPr>
          <w:rFonts w:ascii="Times New Roman" w:eastAsia="Arial Unicode MS" w:hAnsi="Times New Roman" w:cs="Times New Roman"/>
          <w:bCs/>
        </w:rPr>
        <w:t xml:space="preserve"> </w:t>
      </w:r>
      <w:proofErr w:type="spellStart"/>
      <w:r w:rsidR="004F1FF6" w:rsidRPr="00817921">
        <w:rPr>
          <w:rFonts w:ascii="Times New Roman" w:eastAsia="Arial Unicode MS" w:hAnsi="Times New Roman" w:cs="Times New Roman"/>
          <w:bCs/>
        </w:rPr>
        <w:t>për</w:t>
      </w:r>
      <w:proofErr w:type="spellEnd"/>
      <w:r w:rsidR="004F1FF6" w:rsidRPr="00817921">
        <w:rPr>
          <w:rFonts w:ascii="Times New Roman" w:eastAsia="Arial Unicode MS" w:hAnsi="Times New Roman" w:cs="Times New Roman"/>
          <w:bCs/>
        </w:rPr>
        <w:t xml:space="preserve"> </w:t>
      </w:r>
      <w:proofErr w:type="spellStart"/>
      <w:r w:rsidR="004F1FF6" w:rsidRPr="00817921">
        <w:rPr>
          <w:rFonts w:ascii="Times New Roman" w:eastAsia="Arial Unicode MS" w:hAnsi="Times New Roman" w:cs="Times New Roman"/>
          <w:bCs/>
        </w:rPr>
        <w:t>aplikimin</w:t>
      </w:r>
      <w:proofErr w:type="spellEnd"/>
      <w:r w:rsidR="004F1FF6" w:rsidRPr="00817921">
        <w:rPr>
          <w:rFonts w:ascii="Times New Roman" w:eastAsia="Arial Unicode MS" w:hAnsi="Times New Roman" w:cs="Times New Roman"/>
          <w:bCs/>
        </w:rPr>
        <w:t xml:space="preserve"> dhe </w:t>
      </w:r>
      <w:proofErr w:type="spellStart"/>
      <w:r w:rsidR="004F1FF6" w:rsidRPr="00817921">
        <w:rPr>
          <w:rFonts w:ascii="Times New Roman" w:eastAsia="Arial Unicode MS" w:hAnsi="Times New Roman" w:cs="Times New Roman"/>
          <w:bCs/>
        </w:rPr>
        <w:t>shtrirjen</w:t>
      </w:r>
      <w:proofErr w:type="spellEnd"/>
      <w:r w:rsidR="004F1FF6" w:rsidRPr="00817921">
        <w:rPr>
          <w:rFonts w:ascii="Times New Roman" w:eastAsia="Arial Unicode MS" w:hAnsi="Times New Roman" w:cs="Times New Roman"/>
          <w:bCs/>
        </w:rPr>
        <w:t xml:space="preserve"> e </w:t>
      </w:r>
      <w:proofErr w:type="spellStart"/>
      <w:r w:rsidR="004F1FF6" w:rsidRPr="00817921">
        <w:rPr>
          <w:rFonts w:ascii="Times New Roman" w:eastAsia="Arial Unicode MS" w:hAnsi="Times New Roman" w:cs="Times New Roman"/>
          <w:bCs/>
        </w:rPr>
        <w:t>reformës</w:t>
      </w:r>
      <w:proofErr w:type="spellEnd"/>
      <w:r w:rsidR="004F1FF6" w:rsidRPr="00817921">
        <w:rPr>
          <w:rFonts w:ascii="Times New Roman" w:eastAsia="Arial Unicode MS" w:hAnsi="Times New Roman" w:cs="Times New Roman"/>
          <w:bCs/>
        </w:rPr>
        <w:t xml:space="preserve"> </w:t>
      </w:r>
      <w:proofErr w:type="spellStart"/>
      <w:r w:rsidR="004F1FF6" w:rsidRPr="00817921">
        <w:rPr>
          <w:rFonts w:ascii="Times New Roman" w:eastAsia="Arial Unicode MS" w:hAnsi="Times New Roman" w:cs="Times New Roman"/>
          <w:bCs/>
        </w:rPr>
        <w:t>në</w:t>
      </w:r>
      <w:proofErr w:type="spellEnd"/>
      <w:r w:rsidR="004F1FF6" w:rsidRPr="00817921">
        <w:rPr>
          <w:rFonts w:ascii="Times New Roman" w:eastAsia="Arial Unicode MS" w:hAnsi="Times New Roman" w:cs="Times New Roman"/>
          <w:bCs/>
        </w:rPr>
        <w:t xml:space="preserve"> të </w:t>
      </w:r>
      <w:proofErr w:type="spellStart"/>
      <w:r w:rsidR="004F1FF6" w:rsidRPr="00817921">
        <w:rPr>
          <w:rFonts w:ascii="Times New Roman" w:eastAsia="Arial Unicode MS" w:hAnsi="Times New Roman" w:cs="Times New Roman"/>
          <w:bCs/>
        </w:rPr>
        <w:t>gjithë</w:t>
      </w:r>
      <w:proofErr w:type="spellEnd"/>
      <w:r w:rsidR="004F1FF6" w:rsidRPr="00817921">
        <w:rPr>
          <w:rFonts w:ascii="Times New Roman" w:eastAsia="Arial Unicode MS" w:hAnsi="Times New Roman" w:cs="Times New Roman"/>
          <w:bCs/>
        </w:rPr>
        <w:t xml:space="preserve"> </w:t>
      </w:r>
      <w:proofErr w:type="spellStart"/>
      <w:r w:rsidR="004F1FF6" w:rsidRPr="00817921">
        <w:rPr>
          <w:rFonts w:ascii="Times New Roman" w:eastAsia="Arial Unicode MS" w:hAnsi="Times New Roman" w:cs="Times New Roman"/>
          <w:bCs/>
        </w:rPr>
        <w:t>vendin</w:t>
      </w:r>
      <w:proofErr w:type="spellEnd"/>
      <w:r w:rsidR="004F1FF6" w:rsidRPr="00817921">
        <w:rPr>
          <w:rFonts w:ascii="Times New Roman" w:eastAsia="Arial Unicode MS" w:hAnsi="Times New Roman" w:cs="Times New Roman"/>
        </w:rPr>
        <w:t>.</w:t>
      </w:r>
    </w:p>
    <w:p w14:paraId="193B1E24" w14:textId="77777777" w:rsidR="00AB4D37" w:rsidRPr="00817921" w:rsidRDefault="00AB4D37" w:rsidP="004F1FF6">
      <w:pPr>
        <w:rPr>
          <w:rFonts w:ascii="Times New Roman" w:hAnsi="Times New Roman" w:cs="Times New Roman"/>
          <w:b/>
          <w:bCs/>
          <w:color w:val="242424"/>
          <w:szCs w:val="22"/>
          <w:bdr w:val="none" w:sz="0" w:space="0" w:color="auto" w:frame="1"/>
          <w:lang w:val="fr-FR"/>
        </w:rPr>
      </w:pPr>
    </w:p>
    <w:p w14:paraId="387FDED8" w14:textId="0130F0F3" w:rsidR="004F1FF6" w:rsidRPr="00817921" w:rsidRDefault="004F1FF6" w:rsidP="004F1FF6">
      <w:pPr>
        <w:rPr>
          <w:rFonts w:ascii="Times New Roman" w:hAnsi="Times New Roman" w:cs="Times New Roman"/>
        </w:rPr>
      </w:pPr>
      <w:r w:rsidRPr="00817921">
        <w:rPr>
          <w:rFonts w:ascii="Times New Roman" w:hAnsi="Times New Roman" w:cs="Times New Roman"/>
          <w:lang w:val="sq-AL"/>
        </w:rPr>
        <w:t>Qëllimi i reformes ishte të garantonte shpërndarjen e drejtë të fondeve për njerëzit me aftësi të kufizuara të kategorive të ndryshme p</w:t>
      </w:r>
      <w:r w:rsidR="009A5A0E" w:rsidRPr="00817921">
        <w:rPr>
          <w:rFonts w:ascii="Times New Roman" w:hAnsi="Times New Roman" w:cs="Times New Roman"/>
          <w:lang w:val="sq-AL"/>
        </w:rPr>
        <w:t>ë</w:t>
      </w:r>
      <w:r w:rsidRPr="00817921">
        <w:rPr>
          <w:rFonts w:ascii="Times New Roman" w:hAnsi="Times New Roman" w:cs="Times New Roman"/>
          <w:lang w:val="sq-AL"/>
        </w:rPr>
        <w:t>r plotësimin e nevojave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tyre të veçanta të shkaktuara nga aftësia e kufizuar, nxitjen e mbështetjes sociale dhe të ruajtjen në mënyrë progresive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nj</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cilësie jetese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krahasueshme me standardin e jetes</w:t>
      </w:r>
      <w:r w:rsidR="009A5A0E" w:rsidRPr="00817921">
        <w:rPr>
          <w:rFonts w:ascii="Times New Roman" w:hAnsi="Times New Roman" w:cs="Times New Roman"/>
          <w:lang w:val="sq-AL"/>
        </w:rPr>
        <w:t>ë</w:t>
      </w:r>
      <w:r w:rsidRPr="00817921">
        <w:rPr>
          <w:rFonts w:ascii="Times New Roman" w:hAnsi="Times New Roman" w:cs="Times New Roman"/>
          <w:lang w:val="sq-AL"/>
        </w:rPr>
        <w:t>s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pjesës tjetër të popullsisë së vendit. </w:t>
      </w:r>
      <w:r w:rsidRPr="00817921">
        <w:rPr>
          <w:rFonts w:ascii="Times New Roman" w:hAnsi="Times New Roman" w:cs="Times New Roman"/>
        </w:rPr>
        <w:t xml:space="preserve">Pas </w:t>
      </w:r>
      <w:proofErr w:type="spellStart"/>
      <w:r w:rsidRPr="00817921">
        <w:rPr>
          <w:rFonts w:ascii="Times New Roman" w:hAnsi="Times New Roman" w:cs="Times New Roman"/>
        </w:rPr>
        <w:t>një</w:t>
      </w:r>
      <w:proofErr w:type="spellEnd"/>
      <w:r w:rsidRPr="00817921">
        <w:rPr>
          <w:rFonts w:ascii="Times New Roman" w:hAnsi="Times New Roman" w:cs="Times New Roman"/>
        </w:rPr>
        <w:t xml:space="preserve"> pune intensive </w:t>
      </w:r>
      <w:proofErr w:type="spellStart"/>
      <w:r w:rsidRPr="00817921">
        <w:rPr>
          <w:rFonts w:ascii="Times New Roman" w:hAnsi="Times New Roman" w:cs="Times New Roman"/>
        </w:rPr>
        <w:t>përgatitore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dizenjimin</w:t>
      </w:r>
      <w:proofErr w:type="spellEnd"/>
      <w:r w:rsidRPr="00817921">
        <w:rPr>
          <w:rFonts w:ascii="Times New Roman" w:hAnsi="Times New Roman" w:cs="Times New Roman"/>
        </w:rPr>
        <w:t xml:space="preserve"> e pro</w:t>
      </w:r>
      <w:r w:rsidR="00075C17" w:rsidRPr="002C0D3E">
        <w:rPr>
          <w:rFonts w:ascii="Times New Roman" w:hAnsi="Times New Roman" w:cs="Times New Roman"/>
          <w:szCs w:val="22"/>
          <w:lang w:val="sq-AL"/>
        </w:rPr>
        <w:t>ç</w:t>
      </w:r>
      <w:proofErr w:type="spellStart"/>
      <w:r w:rsidRPr="00817921">
        <w:rPr>
          <w:rFonts w:ascii="Times New Roman" w:hAnsi="Times New Roman" w:cs="Times New Roman"/>
        </w:rPr>
        <w:t>eseve</w:t>
      </w:r>
      <w:proofErr w:type="spellEnd"/>
      <w:r w:rsidRPr="00817921">
        <w:rPr>
          <w:rFonts w:ascii="Times New Roman" w:hAnsi="Times New Roman" w:cs="Times New Roman"/>
        </w:rPr>
        <w:t>, pro</w:t>
      </w:r>
      <w:r w:rsidR="00075C17" w:rsidRPr="002C0D3E">
        <w:rPr>
          <w:rFonts w:ascii="Times New Roman" w:hAnsi="Times New Roman" w:cs="Times New Roman"/>
          <w:szCs w:val="22"/>
          <w:lang w:val="sq-AL"/>
        </w:rPr>
        <w:t>ç</w:t>
      </w:r>
      <w:proofErr w:type="spellStart"/>
      <w:r w:rsidRPr="00817921">
        <w:rPr>
          <w:rFonts w:ascii="Times New Roman" w:hAnsi="Times New Roman" w:cs="Times New Roman"/>
        </w:rPr>
        <w:t>edurave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sistemeve</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skemës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së</w:t>
      </w:r>
      <w:proofErr w:type="spellEnd"/>
      <w:r w:rsidRPr="00817921">
        <w:rPr>
          <w:rFonts w:ascii="Times New Roman" w:hAnsi="Times New Roman" w:cs="Times New Roman"/>
        </w:rPr>
        <w:t xml:space="preserve"> re të </w:t>
      </w:r>
      <w:proofErr w:type="spellStart"/>
      <w:r w:rsidRPr="00817921">
        <w:rPr>
          <w:rFonts w:ascii="Times New Roman" w:hAnsi="Times New Roman" w:cs="Times New Roman"/>
        </w:rPr>
        <w:t>vlerësimit</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aftësisë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kufizuar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reforma</w:t>
      </w:r>
      <w:proofErr w:type="spellEnd"/>
      <w:r w:rsidRPr="00817921">
        <w:rPr>
          <w:rFonts w:ascii="Times New Roman" w:hAnsi="Times New Roman" w:cs="Times New Roman"/>
        </w:rPr>
        <w:t xml:space="preserve"> u </w:t>
      </w:r>
      <w:proofErr w:type="spellStart"/>
      <w:r w:rsidRPr="00817921">
        <w:rPr>
          <w:rFonts w:ascii="Times New Roman" w:hAnsi="Times New Roman" w:cs="Times New Roman"/>
        </w:rPr>
        <w:t>pilotua</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vitin</w:t>
      </w:r>
      <w:proofErr w:type="spellEnd"/>
      <w:r w:rsidRPr="00817921">
        <w:rPr>
          <w:rFonts w:ascii="Times New Roman" w:hAnsi="Times New Roman" w:cs="Times New Roman"/>
        </w:rPr>
        <w:t xml:space="preserve"> 2020 </w:t>
      </w:r>
      <w:proofErr w:type="spellStart"/>
      <w:r w:rsidRPr="00817921">
        <w:rPr>
          <w:rFonts w:ascii="Times New Roman" w:hAnsi="Times New Roman" w:cs="Times New Roman"/>
        </w:rPr>
        <w:t>në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qarkun</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Tiranës</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në</w:t>
      </w:r>
      <w:proofErr w:type="spellEnd"/>
      <w:r w:rsidRPr="00817921">
        <w:rPr>
          <w:rFonts w:ascii="Times New Roman" w:hAnsi="Times New Roman" w:cs="Times New Roman"/>
        </w:rPr>
        <w:t xml:space="preserve"> fund të </w:t>
      </w:r>
      <w:proofErr w:type="spellStart"/>
      <w:r w:rsidRPr="00817921">
        <w:rPr>
          <w:rFonts w:ascii="Times New Roman" w:hAnsi="Times New Roman" w:cs="Times New Roman"/>
        </w:rPr>
        <w:t>vitit</w:t>
      </w:r>
      <w:proofErr w:type="spellEnd"/>
      <w:r w:rsidRPr="00817921">
        <w:rPr>
          <w:rFonts w:ascii="Times New Roman" w:hAnsi="Times New Roman" w:cs="Times New Roman"/>
        </w:rPr>
        <w:t xml:space="preserve"> 2022 </w:t>
      </w:r>
      <w:proofErr w:type="spellStart"/>
      <w:r w:rsidRPr="00817921">
        <w:rPr>
          <w:rFonts w:ascii="Times New Roman" w:hAnsi="Times New Roman" w:cs="Times New Roman"/>
        </w:rPr>
        <w:t>ajo</w:t>
      </w:r>
      <w:proofErr w:type="spellEnd"/>
      <w:r w:rsidRPr="00817921">
        <w:rPr>
          <w:rFonts w:ascii="Times New Roman" w:hAnsi="Times New Roman" w:cs="Times New Roman"/>
        </w:rPr>
        <w:t xml:space="preserve"> u </w:t>
      </w:r>
      <w:proofErr w:type="spellStart"/>
      <w:r w:rsidRPr="00817921">
        <w:rPr>
          <w:rFonts w:ascii="Times New Roman" w:hAnsi="Times New Roman" w:cs="Times New Roman"/>
        </w:rPr>
        <w:t>shtri</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në</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gjithë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Shqipërinë</w:t>
      </w:r>
      <w:proofErr w:type="spellEnd"/>
      <w:r w:rsidRPr="00817921">
        <w:rPr>
          <w:rFonts w:ascii="Times New Roman" w:hAnsi="Times New Roman" w:cs="Times New Roman"/>
        </w:rPr>
        <w:t xml:space="preserve"> duke </w:t>
      </w:r>
      <w:proofErr w:type="spellStart"/>
      <w:r w:rsidRPr="00817921">
        <w:rPr>
          <w:rFonts w:ascii="Times New Roman" w:hAnsi="Times New Roman" w:cs="Times New Roman"/>
        </w:rPr>
        <w:t>p</w:t>
      </w:r>
      <w:r w:rsidR="009A5A0E" w:rsidRPr="00817921">
        <w:rPr>
          <w:rFonts w:ascii="Times New Roman" w:hAnsi="Times New Roman" w:cs="Times New Roman"/>
        </w:rPr>
        <w:t>ë</w:t>
      </w:r>
      <w:r w:rsidRPr="00817921">
        <w:rPr>
          <w:rFonts w:ascii="Times New Roman" w:hAnsi="Times New Roman" w:cs="Times New Roman"/>
        </w:rPr>
        <w:t>rfshir</w:t>
      </w:r>
      <w:r w:rsidR="009A5A0E" w:rsidRPr="00817921">
        <w:rPr>
          <w:rFonts w:ascii="Times New Roman" w:hAnsi="Times New Roman" w:cs="Times New Roman"/>
        </w:rPr>
        <w:t>ë</w:t>
      </w:r>
      <w:proofErr w:type="spellEnd"/>
      <w:r w:rsidRPr="00817921">
        <w:rPr>
          <w:rFonts w:ascii="Times New Roman" w:hAnsi="Times New Roman" w:cs="Times New Roman"/>
        </w:rPr>
        <w:t xml:space="preserve"> 22,000 persona me </w:t>
      </w:r>
      <w:proofErr w:type="spellStart"/>
      <w:r w:rsidRPr="00817921">
        <w:rPr>
          <w:rFonts w:ascii="Times New Roman" w:hAnsi="Times New Roman" w:cs="Times New Roman"/>
        </w:rPr>
        <w:t>aftësi</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kufizuar</w:t>
      </w:r>
      <w:proofErr w:type="spellEnd"/>
      <w:r w:rsidRPr="00817921">
        <w:rPr>
          <w:rStyle w:val="FootnoteReference"/>
          <w:rFonts w:ascii="Times New Roman" w:hAnsi="Times New Roman" w:cs="Times New Roman"/>
        </w:rPr>
        <w:footnoteReference w:id="40"/>
      </w:r>
      <w:r w:rsidRPr="00817921">
        <w:rPr>
          <w:rFonts w:ascii="Times New Roman" w:hAnsi="Times New Roman" w:cs="Times New Roman"/>
        </w:rPr>
        <w:t xml:space="preserve"> </w:t>
      </w:r>
      <w:proofErr w:type="spellStart"/>
      <w:r w:rsidRPr="00817921">
        <w:rPr>
          <w:rFonts w:ascii="Times New Roman" w:hAnsi="Times New Roman" w:cs="Times New Roman"/>
        </w:rPr>
        <w:t>q</w:t>
      </w:r>
      <w:r w:rsidR="009A5A0E" w:rsidRPr="00817921">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iu</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nënshtruan</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vlerësimit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sipas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skemës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së</w:t>
      </w:r>
      <w:proofErr w:type="spellEnd"/>
      <w:r w:rsidRPr="00817921">
        <w:rPr>
          <w:rFonts w:ascii="Times New Roman" w:hAnsi="Times New Roman" w:cs="Times New Roman"/>
        </w:rPr>
        <w:t xml:space="preserve"> re </w:t>
      </w:r>
      <w:proofErr w:type="spellStart"/>
      <w:r w:rsidRPr="00817921">
        <w:rPr>
          <w:rFonts w:ascii="Times New Roman" w:hAnsi="Times New Roman" w:cs="Times New Roman"/>
        </w:rPr>
        <w:t>n</w:t>
      </w:r>
      <w:r w:rsidR="009A5A0E" w:rsidRPr="00817921">
        <w:rPr>
          <w:rFonts w:ascii="Times New Roman" w:hAnsi="Times New Roman" w:cs="Times New Roman"/>
        </w:rPr>
        <w:t>ë</w:t>
      </w:r>
      <w:proofErr w:type="spellEnd"/>
      <w:r w:rsidRPr="00817921">
        <w:rPr>
          <w:rFonts w:ascii="Times New Roman" w:hAnsi="Times New Roman" w:cs="Times New Roman"/>
        </w:rPr>
        <w:t xml:space="preserve"> t</w:t>
      </w:r>
      <w:r w:rsidR="009A5A0E" w:rsidRPr="00817921">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gjith</w:t>
      </w:r>
      <w:r w:rsidR="009A5A0E" w:rsidRPr="00817921">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vendin</w:t>
      </w:r>
      <w:proofErr w:type="spellEnd"/>
      <w:r w:rsidRPr="00817921">
        <w:rPr>
          <w:rFonts w:ascii="Times New Roman" w:hAnsi="Times New Roman" w:cs="Times New Roman"/>
        </w:rPr>
        <w:t>.</w:t>
      </w:r>
    </w:p>
    <w:p w14:paraId="1C94C3C9" w14:textId="4D984E21" w:rsidR="004F1FF6" w:rsidRDefault="004F1FF6" w:rsidP="004F1FF6">
      <w:pPr>
        <w:rPr>
          <w:rFonts w:ascii="Times New Roman" w:hAnsi="Times New Roman" w:cs="Times New Roman"/>
        </w:rPr>
      </w:pPr>
      <w:proofErr w:type="spellStart"/>
      <w:r w:rsidRPr="00817921">
        <w:rPr>
          <w:rFonts w:ascii="Times New Roman" w:hAnsi="Times New Roman" w:cs="Times New Roman"/>
        </w:rPr>
        <w:t>Pavarësisht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tendencës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për</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standardizuar</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për</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vendosur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barazi</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në</w:t>
      </w:r>
      <w:proofErr w:type="spellEnd"/>
      <w:r w:rsidRPr="00817921">
        <w:rPr>
          <w:rFonts w:ascii="Times New Roman" w:hAnsi="Times New Roman" w:cs="Times New Roman"/>
        </w:rPr>
        <w:t xml:space="preserve"> pro</w:t>
      </w:r>
      <w:r w:rsidR="00075C17" w:rsidRPr="002C0D3E">
        <w:rPr>
          <w:rFonts w:ascii="Times New Roman" w:hAnsi="Times New Roman" w:cs="Times New Roman"/>
          <w:szCs w:val="22"/>
          <w:lang w:val="sq-AL"/>
        </w:rPr>
        <w:t>ç</w:t>
      </w:r>
      <w:proofErr w:type="spellStart"/>
      <w:r w:rsidRPr="00817921">
        <w:rPr>
          <w:rFonts w:ascii="Times New Roman" w:hAnsi="Times New Roman" w:cs="Times New Roman"/>
        </w:rPr>
        <w:t>esin</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vlerësimit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mes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grupeve</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ndryshme</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aftësisë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kufizuar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disa</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kategori</w:t>
      </w:r>
      <w:proofErr w:type="spellEnd"/>
      <w:r w:rsidRPr="00817921">
        <w:rPr>
          <w:rFonts w:ascii="Times New Roman" w:hAnsi="Times New Roman" w:cs="Times New Roman"/>
        </w:rPr>
        <w:t xml:space="preserve"> t</w:t>
      </w:r>
      <w:r w:rsidR="009A5A0E" w:rsidRPr="00817921">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personave</w:t>
      </w:r>
      <w:proofErr w:type="spellEnd"/>
      <w:r w:rsidRPr="00817921">
        <w:rPr>
          <w:rFonts w:ascii="Times New Roman" w:hAnsi="Times New Roman" w:cs="Times New Roman"/>
        </w:rPr>
        <w:t xml:space="preserve"> me </w:t>
      </w:r>
      <w:proofErr w:type="spellStart"/>
      <w:r w:rsidRPr="00817921">
        <w:rPr>
          <w:rFonts w:ascii="Times New Roman" w:hAnsi="Times New Roman" w:cs="Times New Roman"/>
        </w:rPr>
        <w:t>aft</w:t>
      </w:r>
      <w:r w:rsidR="009A5A0E" w:rsidRPr="00817921">
        <w:rPr>
          <w:rFonts w:ascii="Times New Roman" w:hAnsi="Times New Roman" w:cs="Times New Roman"/>
        </w:rPr>
        <w:t>ë</w:t>
      </w:r>
      <w:r w:rsidRPr="00817921">
        <w:rPr>
          <w:rFonts w:ascii="Times New Roman" w:hAnsi="Times New Roman" w:cs="Times New Roman"/>
        </w:rPr>
        <w:t>si</w:t>
      </w:r>
      <w:proofErr w:type="spellEnd"/>
      <w:r w:rsidRPr="00817921">
        <w:rPr>
          <w:rFonts w:ascii="Times New Roman" w:hAnsi="Times New Roman" w:cs="Times New Roman"/>
        </w:rPr>
        <w:t xml:space="preserve"> t</w:t>
      </w:r>
      <w:r w:rsidR="009A5A0E" w:rsidRPr="00817921">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kufizuara</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nuk</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arrit</w:t>
      </w:r>
      <w:r w:rsidR="009A5A0E" w:rsidRPr="00817921">
        <w:rPr>
          <w:rFonts w:ascii="Times New Roman" w:hAnsi="Times New Roman" w:cs="Times New Roman"/>
        </w:rPr>
        <w:t>ë</w:t>
      </w:r>
      <w:r w:rsidRPr="00817921">
        <w:rPr>
          <w:rFonts w:ascii="Times New Roman" w:hAnsi="Times New Roman" w:cs="Times New Roman"/>
        </w:rPr>
        <w:t>n</w:t>
      </w:r>
      <w:proofErr w:type="spellEnd"/>
      <w:r w:rsidRPr="00817921">
        <w:rPr>
          <w:rFonts w:ascii="Times New Roman" w:hAnsi="Times New Roman" w:cs="Times New Roman"/>
        </w:rPr>
        <w:t xml:space="preserve"> t’i  </w:t>
      </w:r>
      <w:proofErr w:type="spellStart"/>
      <w:r w:rsidRPr="00817921">
        <w:rPr>
          <w:rFonts w:ascii="Times New Roman" w:hAnsi="Times New Roman" w:cs="Times New Roman"/>
        </w:rPr>
        <w:t>nënshtrohen</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procedurës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vlerësimit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biopsikosocial</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w:t>
      </w:r>
      <w:proofErr w:type="spellEnd"/>
      <w:r w:rsidRPr="00817921">
        <w:rPr>
          <w:rFonts w:ascii="Times New Roman" w:hAnsi="Times New Roman" w:cs="Times New Roman"/>
        </w:rPr>
        <w:t xml:space="preserve">: (i) </w:t>
      </w:r>
      <w:proofErr w:type="spellStart"/>
      <w:r w:rsidRPr="00817921">
        <w:rPr>
          <w:rFonts w:ascii="Times New Roman" w:hAnsi="Times New Roman" w:cs="Times New Roman"/>
        </w:rPr>
        <w:t>përfituesit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aktualë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por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edhe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aplikuesit</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rinj</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që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pretendojnë</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përfitojnë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sipas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legjislacionit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fuqi</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për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statusin</w:t>
      </w:r>
      <w:proofErr w:type="spellEnd"/>
      <w:r w:rsidRPr="00817921">
        <w:rPr>
          <w:rFonts w:ascii="Times New Roman" w:hAnsi="Times New Roman" w:cs="Times New Roman"/>
        </w:rPr>
        <w:t xml:space="preserve"> e të </w:t>
      </w:r>
      <w:proofErr w:type="spellStart"/>
      <w:r w:rsidRPr="00817921">
        <w:rPr>
          <w:rFonts w:ascii="Times New Roman" w:hAnsi="Times New Roman" w:cs="Times New Roman"/>
        </w:rPr>
        <w:t>verbërve</w:t>
      </w:r>
      <w:proofErr w:type="spellEnd"/>
      <w:r w:rsidRPr="00817921">
        <w:rPr>
          <w:rStyle w:val="FootnoteReference"/>
          <w:rFonts w:ascii="Times New Roman" w:hAnsi="Times New Roman" w:cs="Times New Roman"/>
        </w:rPr>
        <w:footnoteReference w:id="41"/>
      </w:r>
      <w:r w:rsidRPr="00817921">
        <w:rPr>
          <w:rFonts w:ascii="Times New Roman" w:hAnsi="Times New Roman" w:cs="Times New Roman"/>
        </w:rPr>
        <w:t xml:space="preserve">; (ii) </w:t>
      </w:r>
      <w:proofErr w:type="spellStart"/>
      <w:r w:rsidRPr="00817921">
        <w:rPr>
          <w:rFonts w:ascii="Times New Roman" w:hAnsi="Times New Roman" w:cs="Times New Roman"/>
        </w:rPr>
        <w:t>përfituesit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aktualë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por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edhe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aplikuesit</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rinj</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që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pretendojnë</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përfitojnë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sipas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legjislacionit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fuqi</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për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statusin</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invalidit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para-tetraplegjik</w:t>
      </w:r>
      <w:proofErr w:type="spellEnd"/>
      <w:r w:rsidRPr="00817921">
        <w:rPr>
          <w:rStyle w:val="FootnoteReference"/>
          <w:rFonts w:ascii="Times New Roman" w:hAnsi="Times New Roman" w:cs="Times New Roman"/>
        </w:rPr>
        <w:footnoteReference w:id="42"/>
      </w:r>
      <w:r w:rsidRPr="00817921">
        <w:rPr>
          <w:rFonts w:ascii="Times New Roman" w:hAnsi="Times New Roman" w:cs="Times New Roman"/>
        </w:rPr>
        <w:t xml:space="preserve">dhe (iii) </w:t>
      </w:r>
      <w:proofErr w:type="spellStart"/>
      <w:r w:rsidRPr="00817921">
        <w:rPr>
          <w:rFonts w:ascii="Times New Roman" w:hAnsi="Times New Roman" w:cs="Times New Roman"/>
        </w:rPr>
        <w:t>invalidët</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punës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që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kërkojnë</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përfitojnë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sipas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legjislacionit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fuqi</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për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statusin</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invalidëve</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punës</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që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përfitojnë</w:t>
      </w:r>
      <w:proofErr w:type="spellEnd"/>
      <w:r w:rsidRPr="00817921">
        <w:rPr>
          <w:rFonts w:ascii="Times New Roman" w:hAnsi="Times New Roman" w:cs="Times New Roman"/>
        </w:rPr>
        <w:t xml:space="preserve"> / </w:t>
      </w:r>
      <w:proofErr w:type="spellStart"/>
      <w:r w:rsidRPr="00817921">
        <w:rPr>
          <w:rFonts w:ascii="Times New Roman" w:hAnsi="Times New Roman" w:cs="Times New Roman"/>
        </w:rPr>
        <w:t>aplikojnë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për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vlerësim</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sistemin</w:t>
      </w:r>
      <w:proofErr w:type="spellEnd"/>
      <w:r w:rsidRPr="00817921">
        <w:rPr>
          <w:rFonts w:ascii="Times New Roman" w:hAnsi="Times New Roman" w:cs="Times New Roman"/>
        </w:rPr>
        <w:t xml:space="preserve"> e Sigurimeve </w:t>
      </w:r>
      <w:proofErr w:type="spellStart"/>
      <w:r w:rsidRPr="00817921">
        <w:rPr>
          <w:rFonts w:ascii="Times New Roman" w:hAnsi="Times New Roman" w:cs="Times New Roman"/>
        </w:rPr>
        <w:t>Shoqërore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Aftësia</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kufizuar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w:t>
      </w:r>
      <w:r w:rsidR="009A5A0E" w:rsidRPr="00817921">
        <w:rPr>
          <w:rFonts w:ascii="Times New Roman" w:hAnsi="Times New Roman" w:cs="Times New Roman"/>
        </w:rPr>
        <w:t>ë</w:t>
      </w:r>
      <w:r w:rsidRPr="00817921">
        <w:rPr>
          <w:rFonts w:ascii="Times New Roman" w:hAnsi="Times New Roman" w:cs="Times New Roman"/>
        </w:rPr>
        <w:t>r</w:t>
      </w:r>
      <w:proofErr w:type="spellEnd"/>
      <w:r w:rsidRPr="00817921">
        <w:rPr>
          <w:rFonts w:ascii="Times New Roman" w:hAnsi="Times New Roman" w:cs="Times New Roman"/>
        </w:rPr>
        <w:t xml:space="preserve"> tre </w:t>
      </w:r>
      <w:proofErr w:type="spellStart"/>
      <w:r w:rsidRPr="00817921">
        <w:rPr>
          <w:rFonts w:ascii="Times New Roman" w:hAnsi="Times New Roman" w:cs="Times New Roman"/>
        </w:rPr>
        <w:t>grupet</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sipërcituara</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përcaktohet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përmes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kritereve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procedurave</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strukturave</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veçanta</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administruara</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nga</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Shërbimi</w:t>
      </w:r>
      <w:proofErr w:type="spellEnd"/>
      <w:r w:rsidRPr="00817921">
        <w:rPr>
          <w:rFonts w:ascii="Times New Roman" w:hAnsi="Times New Roman" w:cs="Times New Roman"/>
        </w:rPr>
        <w:t xml:space="preserve"> Social </w:t>
      </w:r>
      <w:proofErr w:type="spellStart"/>
      <w:r w:rsidRPr="00817921">
        <w:rPr>
          <w:rFonts w:ascii="Times New Roman" w:hAnsi="Times New Roman" w:cs="Times New Roman"/>
        </w:rPr>
        <w:t>Shtetëror</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nga</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Instituti</w:t>
      </w:r>
      <w:proofErr w:type="spellEnd"/>
      <w:r w:rsidRPr="00817921">
        <w:rPr>
          <w:rFonts w:ascii="Times New Roman" w:hAnsi="Times New Roman" w:cs="Times New Roman"/>
        </w:rPr>
        <w:t xml:space="preserve"> i Sigurimeve </w:t>
      </w:r>
      <w:proofErr w:type="spellStart"/>
      <w:r w:rsidRPr="00817921">
        <w:rPr>
          <w:rFonts w:ascii="Times New Roman" w:hAnsi="Times New Roman" w:cs="Times New Roman"/>
        </w:rPr>
        <w:t>Shoqërore</w:t>
      </w:r>
      <w:proofErr w:type="spellEnd"/>
      <w:r w:rsidRPr="00817921">
        <w:rPr>
          <w:rFonts w:ascii="Times New Roman" w:hAnsi="Times New Roman" w:cs="Times New Roman"/>
        </w:rPr>
        <w:t>.</w:t>
      </w:r>
    </w:p>
    <w:p w14:paraId="0401230C" w14:textId="77777777" w:rsidR="00AB4D37" w:rsidRPr="00817921" w:rsidRDefault="00AB4D37" w:rsidP="004F1FF6">
      <w:pPr>
        <w:rPr>
          <w:rFonts w:ascii="Times New Roman" w:hAnsi="Times New Roman" w:cs="Times New Roman"/>
        </w:rPr>
      </w:pPr>
    </w:p>
    <w:p w14:paraId="1227BC28" w14:textId="7ACDEE61" w:rsidR="004F1FF6" w:rsidRDefault="004F1FF6" w:rsidP="004F1FF6">
      <w:pPr>
        <w:autoSpaceDE w:val="0"/>
        <w:autoSpaceDN w:val="0"/>
        <w:adjustRightInd w:val="0"/>
        <w:rPr>
          <w:rFonts w:ascii="Times New Roman" w:hAnsi="Times New Roman" w:cs="Times New Roman"/>
          <w:lang w:val="sq-AL"/>
        </w:rPr>
      </w:pPr>
      <w:r w:rsidRPr="00817921">
        <w:rPr>
          <w:rFonts w:ascii="Times New Roman" w:hAnsi="Times New Roman" w:cs="Times New Roman"/>
          <w:lang w:val="sq-AL"/>
        </w:rPr>
        <w:t>Në fundin e vitit 2022, sistemi i aplikuar i vlerësimit biopsikosocial të aftësisë së kufizuar në Shqipëri, përmbushi pritshmëritë e tij</w:t>
      </w:r>
      <w:r w:rsidRPr="00817921">
        <w:rPr>
          <w:rFonts w:ascii="Times New Roman" w:hAnsi="Times New Roman" w:cs="Times New Roman"/>
          <w:vertAlign w:val="superscript"/>
        </w:rPr>
        <w:footnoteReference w:id="43"/>
      </w:r>
      <w:r w:rsidRPr="00817921">
        <w:rPr>
          <w:rFonts w:ascii="Times New Roman" w:hAnsi="Times New Roman" w:cs="Times New Roman"/>
          <w:lang w:val="sq-AL"/>
        </w:rPr>
        <w:t>: (i) pro</w:t>
      </w:r>
      <w:r w:rsidR="00075C17" w:rsidRPr="002C0D3E">
        <w:rPr>
          <w:rFonts w:ascii="Times New Roman" w:hAnsi="Times New Roman" w:cs="Times New Roman"/>
          <w:szCs w:val="22"/>
          <w:lang w:val="sq-AL"/>
        </w:rPr>
        <w:t>ç</w:t>
      </w:r>
      <w:r w:rsidRPr="00817921">
        <w:rPr>
          <w:rFonts w:ascii="Times New Roman" w:hAnsi="Times New Roman" w:cs="Times New Roman"/>
          <w:lang w:val="sq-AL"/>
        </w:rPr>
        <w:t>edura e aplikuar për vlerësimin bio-psiko-social të aftësisë së kufizuar u konsiderua përgjithësisht efektive; (ii) dokumentat e hartuara (udhëzuesit dhe formularët) për vlerësimin bio-psiko-social të aftësisë së kufizuar, rezultuan funksionale; (iii) Sistemi i Menaxhimit të Informacionit, i krijuar për vlerësimin bio-psiko-social të aftësisë së kufizuar, siguroi nj</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w:t>
      </w:r>
      <w:r w:rsidR="00AB4D37">
        <w:rPr>
          <w:rFonts w:ascii="Times New Roman" w:hAnsi="Times New Roman" w:cs="Times New Roman"/>
          <w:lang w:val="sq-AL"/>
        </w:rPr>
        <w:t>proçes</w:t>
      </w:r>
      <w:r w:rsidRPr="00817921">
        <w:rPr>
          <w:rFonts w:ascii="Times New Roman" w:hAnsi="Times New Roman" w:cs="Times New Roman"/>
          <w:lang w:val="sq-AL"/>
        </w:rPr>
        <w:t xml:space="preserve"> më të lehtë si dhe më efikas; (iv) u krijuan kapacitete teknike për vlerësimin bio-psiko-social të aftësisë së kufizuar në nivele të ndryshme, nëp</w:t>
      </w:r>
      <w:r w:rsidR="009A5A0E" w:rsidRPr="00817921">
        <w:rPr>
          <w:rFonts w:ascii="Times New Roman" w:hAnsi="Times New Roman" w:cs="Times New Roman"/>
          <w:lang w:val="sq-AL"/>
        </w:rPr>
        <w:t>ë</w:t>
      </w:r>
      <w:r w:rsidRPr="00817921">
        <w:rPr>
          <w:rFonts w:ascii="Times New Roman" w:hAnsi="Times New Roman" w:cs="Times New Roman"/>
          <w:lang w:val="sq-AL"/>
        </w:rPr>
        <w:t>rmjet trajnimeve zyrtare dhe trajnimeve p</w:t>
      </w:r>
      <w:r w:rsidR="009A5A0E" w:rsidRPr="00817921">
        <w:rPr>
          <w:rFonts w:ascii="Times New Roman" w:hAnsi="Times New Roman" w:cs="Times New Roman"/>
          <w:lang w:val="sq-AL"/>
        </w:rPr>
        <w:t>ë</w:t>
      </w:r>
      <w:r w:rsidRPr="00817921">
        <w:rPr>
          <w:rFonts w:ascii="Times New Roman" w:hAnsi="Times New Roman" w:cs="Times New Roman"/>
          <w:lang w:val="sq-AL"/>
        </w:rPr>
        <w:t>rgjat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punës; (v) u krijuan 36 zyra të reja të aksesueshme në 12 rajonet e vendit, për administrimin e vlerësimit bio-psiko-social të aftësisë së kufizuar me staf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dedikuar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punësuar në çdo zyrë; (vi) u promovua dhe u iniciua  bashkëpunimi ndërmjet institucioneve, për të shkuar më tej drejt jetesës së pavarur përmes shërbimeve, arsimit, punësimit, formimit profesional dhe teknologjive ndihmëse; (vii) skema e re e përfitimeve rezultoi të jetë efikase nga pikpamja e kostove; (viii) është pranuar në përgjithësi </w:t>
      </w:r>
      <w:r w:rsidR="00AB4D37">
        <w:rPr>
          <w:rFonts w:ascii="Times New Roman" w:hAnsi="Times New Roman" w:cs="Times New Roman"/>
          <w:lang w:val="sq-AL"/>
        </w:rPr>
        <w:t>proçes</w:t>
      </w:r>
      <w:r w:rsidRPr="00817921">
        <w:rPr>
          <w:rFonts w:ascii="Times New Roman" w:hAnsi="Times New Roman" w:cs="Times New Roman"/>
          <w:lang w:val="sq-AL"/>
        </w:rPr>
        <w:t>i i ri i vlerësimit bio-psiko-social të aftësisë së kufizuar nga përdoruesit. Gjithashtu, testimi i qasjes së vlerësimit bio-psiko-social</w:t>
      </w:r>
      <w:r w:rsidRPr="00817921">
        <w:rPr>
          <w:rFonts w:ascii="Times New Roman" w:hAnsi="Times New Roman" w:cs="Times New Roman"/>
          <w:vertAlign w:val="superscript"/>
        </w:rPr>
        <w:footnoteReference w:id="44"/>
      </w:r>
      <w:r w:rsidRPr="00817921">
        <w:rPr>
          <w:rFonts w:ascii="Times New Roman" w:hAnsi="Times New Roman" w:cs="Times New Roman"/>
          <w:vertAlign w:val="superscript"/>
          <w:lang w:val="sq-AL"/>
        </w:rPr>
        <w:t xml:space="preserve"> </w:t>
      </w:r>
      <w:r w:rsidRPr="00817921">
        <w:rPr>
          <w:rFonts w:ascii="Times New Roman" w:hAnsi="Times New Roman" w:cs="Times New Roman"/>
          <w:lang w:val="sq-AL"/>
        </w:rPr>
        <w:t>tregoi se: (a) qasja integrohet mirë në një kuadër koherent të modelit të Klasifikimit Ndërkombëtar të Funksionimit, Paaftësisë dhe Shëndetit; (b) ka aftësinë për të vlerësuar si prezencën ashtu edhe nivelin e aftësisë së kufizuar të aplikant</w:t>
      </w:r>
      <w:r w:rsidR="009A5A0E" w:rsidRPr="00817921">
        <w:rPr>
          <w:rFonts w:ascii="Times New Roman" w:hAnsi="Times New Roman" w:cs="Times New Roman"/>
          <w:lang w:val="sq-AL"/>
        </w:rPr>
        <w:t>ë</w:t>
      </w:r>
      <w:r w:rsidRPr="00817921">
        <w:rPr>
          <w:rFonts w:ascii="Times New Roman" w:hAnsi="Times New Roman" w:cs="Times New Roman"/>
          <w:lang w:val="sq-AL"/>
        </w:rPr>
        <w:t>ve; (c) ka aftësinë për të vlerësuar nevojën për asistencë personale dhe përfitime të tjera dhe (d) është në gjendje të zbulojë abuzimet p</w:t>
      </w:r>
      <w:r w:rsidR="009A5A0E" w:rsidRPr="00817921">
        <w:rPr>
          <w:rFonts w:ascii="Times New Roman" w:hAnsi="Times New Roman" w:cs="Times New Roman"/>
          <w:lang w:val="sq-AL"/>
        </w:rPr>
        <w:t>ë</w:t>
      </w:r>
      <w:r w:rsidRPr="00817921">
        <w:rPr>
          <w:rFonts w:ascii="Times New Roman" w:hAnsi="Times New Roman" w:cs="Times New Roman"/>
          <w:lang w:val="sq-AL"/>
        </w:rPr>
        <w:t>rgjat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w:t>
      </w:r>
      <w:r w:rsidR="00AB4D37">
        <w:rPr>
          <w:rFonts w:ascii="Times New Roman" w:hAnsi="Times New Roman" w:cs="Times New Roman"/>
          <w:lang w:val="sq-AL"/>
        </w:rPr>
        <w:t>proçes</w:t>
      </w:r>
      <w:r w:rsidRPr="00817921">
        <w:rPr>
          <w:rFonts w:ascii="Times New Roman" w:hAnsi="Times New Roman" w:cs="Times New Roman"/>
          <w:lang w:val="sq-AL"/>
        </w:rPr>
        <w:t>it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vler</w:t>
      </w:r>
      <w:r w:rsidR="009A5A0E" w:rsidRPr="00817921">
        <w:rPr>
          <w:rFonts w:ascii="Times New Roman" w:hAnsi="Times New Roman" w:cs="Times New Roman"/>
          <w:lang w:val="sq-AL"/>
        </w:rPr>
        <w:t>ë</w:t>
      </w:r>
      <w:r w:rsidRPr="00817921">
        <w:rPr>
          <w:rFonts w:ascii="Times New Roman" w:hAnsi="Times New Roman" w:cs="Times New Roman"/>
          <w:lang w:val="sq-AL"/>
        </w:rPr>
        <w:t>simit; (e) skema e përfitimit të propozuar me katër nivele të aftësisë së kufizuar dhe dy nivele të shërbimeve të asistencës personale drejton fondet n</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dispozicion sipas nivelit të nevojave duke rritur përfitimet për njerëzit me nivele më të larta të nevojave, pa ngarkuar buxhetin e shtetit</w:t>
      </w:r>
      <w:r w:rsidRPr="00817921">
        <w:rPr>
          <w:rFonts w:ascii="Times New Roman" w:hAnsi="Times New Roman" w:cs="Times New Roman"/>
          <w:vertAlign w:val="superscript"/>
        </w:rPr>
        <w:footnoteReference w:id="45"/>
      </w:r>
      <w:r w:rsidRPr="00817921">
        <w:rPr>
          <w:rFonts w:ascii="Times New Roman" w:hAnsi="Times New Roman" w:cs="Times New Roman"/>
          <w:lang w:val="sq-AL"/>
        </w:rPr>
        <w:t xml:space="preserve">. </w:t>
      </w:r>
    </w:p>
    <w:p w14:paraId="0E7ECCA6" w14:textId="77777777" w:rsidR="00AB4D37" w:rsidRPr="00817921" w:rsidRDefault="00AB4D37" w:rsidP="004F1FF6">
      <w:pPr>
        <w:autoSpaceDE w:val="0"/>
        <w:autoSpaceDN w:val="0"/>
        <w:adjustRightInd w:val="0"/>
        <w:rPr>
          <w:rFonts w:ascii="Times New Roman" w:hAnsi="Times New Roman" w:cs="Times New Roman"/>
          <w:lang w:val="sq-AL"/>
        </w:rPr>
      </w:pPr>
    </w:p>
    <w:p w14:paraId="59A2192E" w14:textId="43878075" w:rsidR="00A34238" w:rsidRPr="00186F15" w:rsidRDefault="00A34238" w:rsidP="00186F15">
      <w:pPr>
        <w:autoSpaceDE w:val="0"/>
        <w:autoSpaceDN w:val="0"/>
        <w:adjustRightInd w:val="0"/>
        <w:rPr>
          <w:rFonts w:ascii="Times New Roman" w:hAnsi="Times New Roman" w:cs="Times New Roman"/>
          <w:lang w:val="sq-AL"/>
        </w:rPr>
      </w:pPr>
      <w:r w:rsidRPr="00817921">
        <w:rPr>
          <w:rFonts w:ascii="Times New Roman" w:hAnsi="Times New Roman" w:cs="Times New Roman"/>
          <w:lang w:val="sq-AL"/>
        </w:rPr>
        <w:t>Reforma e vlerësimit të aftësisë së kufizuar sipas modelit bio-psiko-social, ndikoi në përshkallëzim të pagesave të aftësisë së kufizuar në katër nivele</w:t>
      </w:r>
      <w:r w:rsidR="003D5405" w:rsidRPr="00817921">
        <w:rPr>
          <w:rStyle w:val="FootnoteReference"/>
          <w:rFonts w:ascii="Times New Roman" w:hAnsi="Times New Roman" w:cs="Times New Roman"/>
          <w:lang w:val="sq-AL"/>
        </w:rPr>
        <w:footnoteReference w:id="46"/>
      </w:r>
      <w:r w:rsidRPr="00817921">
        <w:rPr>
          <w:rFonts w:ascii="Times New Roman" w:hAnsi="Times New Roman" w:cs="Times New Roman"/>
          <w:lang w:val="sq-AL"/>
        </w:rPr>
        <w:t xml:space="preserve"> dhe ato të ndihmësit personal në dy nivele. Pagesa bazë e përfitimit mujor, sipas këtij modeli, është sa 150% të pensionit social</w:t>
      </w:r>
      <w:r w:rsidRPr="00817921">
        <w:rPr>
          <w:rFonts w:ascii="Times New Roman" w:hAnsi="Times New Roman" w:cs="Times New Roman"/>
          <w:vertAlign w:val="superscript"/>
        </w:rPr>
        <w:footnoteReference w:id="47"/>
      </w:r>
      <w:r w:rsidRPr="00817921">
        <w:rPr>
          <w:rFonts w:ascii="Times New Roman" w:hAnsi="Times New Roman" w:cs="Times New Roman"/>
          <w:lang w:val="sq-AL"/>
        </w:rPr>
        <w:t xml:space="preserve">. </w:t>
      </w:r>
      <w:proofErr w:type="spellStart"/>
      <w:r w:rsidRPr="00817921">
        <w:rPr>
          <w:rFonts w:ascii="Times New Roman" w:hAnsi="Times New Roman" w:cs="Times New Roman"/>
          <w:iCs/>
        </w:rPr>
        <w:t>Personat</w:t>
      </w:r>
      <w:proofErr w:type="spellEnd"/>
      <w:r w:rsidRPr="00817921">
        <w:rPr>
          <w:rFonts w:ascii="Times New Roman" w:hAnsi="Times New Roman" w:cs="Times New Roman"/>
          <w:iCs/>
        </w:rPr>
        <w:t xml:space="preserve"> me </w:t>
      </w:r>
      <w:proofErr w:type="spellStart"/>
      <w:r w:rsidRPr="00817921">
        <w:rPr>
          <w:rFonts w:ascii="Times New Roman" w:hAnsi="Times New Roman" w:cs="Times New Roman"/>
          <w:iCs/>
        </w:rPr>
        <w:t>aftësi</w:t>
      </w:r>
      <w:proofErr w:type="spellEnd"/>
      <w:r w:rsidRPr="00817921">
        <w:rPr>
          <w:rFonts w:ascii="Times New Roman" w:hAnsi="Times New Roman" w:cs="Times New Roman"/>
          <w:iCs/>
        </w:rPr>
        <w:t xml:space="preserve"> të </w:t>
      </w:r>
      <w:proofErr w:type="spellStart"/>
      <w:r w:rsidRPr="00817921">
        <w:rPr>
          <w:rFonts w:ascii="Times New Roman" w:hAnsi="Times New Roman" w:cs="Times New Roman"/>
          <w:iCs/>
        </w:rPr>
        <w:t>kufizuara</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në</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bazë</w:t>
      </w:r>
      <w:proofErr w:type="spellEnd"/>
      <w:r w:rsidRPr="00817921">
        <w:rPr>
          <w:rFonts w:ascii="Times New Roman" w:hAnsi="Times New Roman" w:cs="Times New Roman"/>
          <w:iCs/>
        </w:rPr>
        <w:t xml:space="preserve"> të </w:t>
      </w:r>
      <w:proofErr w:type="spellStart"/>
      <w:r w:rsidRPr="00817921">
        <w:rPr>
          <w:rFonts w:ascii="Times New Roman" w:hAnsi="Times New Roman" w:cs="Times New Roman"/>
          <w:iCs/>
        </w:rPr>
        <w:t>statusit</w:t>
      </w:r>
      <w:proofErr w:type="spellEnd"/>
      <w:r w:rsidRPr="00817921">
        <w:rPr>
          <w:rFonts w:ascii="Times New Roman" w:hAnsi="Times New Roman" w:cs="Times New Roman"/>
          <w:iCs/>
        </w:rPr>
        <w:t xml:space="preserve"> të </w:t>
      </w:r>
      <w:proofErr w:type="spellStart"/>
      <w:r w:rsidRPr="00817921">
        <w:rPr>
          <w:rFonts w:ascii="Times New Roman" w:hAnsi="Times New Roman" w:cs="Times New Roman"/>
          <w:iCs/>
        </w:rPr>
        <w:t>ve</w:t>
      </w:r>
      <w:proofErr w:type="spellEnd"/>
      <w:r w:rsidRPr="00817921">
        <w:rPr>
          <w:rFonts w:ascii="Times New Roman" w:hAnsi="Times New Roman" w:cs="Times New Roman"/>
          <w:bCs/>
          <w:iCs/>
          <w:lang w:val="sq-AL"/>
        </w:rPr>
        <w:t>ç</w:t>
      </w:r>
      <w:proofErr w:type="spellStart"/>
      <w:r w:rsidRPr="00817921">
        <w:rPr>
          <w:rFonts w:ascii="Times New Roman" w:hAnsi="Times New Roman" w:cs="Times New Roman"/>
          <w:iCs/>
        </w:rPr>
        <w:t>antë</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që</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ato</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kanë</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mbështeten</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edhe</w:t>
      </w:r>
      <w:proofErr w:type="spellEnd"/>
      <w:r w:rsidRPr="00817921">
        <w:rPr>
          <w:rFonts w:ascii="Times New Roman" w:hAnsi="Times New Roman" w:cs="Times New Roman"/>
          <w:iCs/>
        </w:rPr>
        <w:t xml:space="preserve"> me </w:t>
      </w:r>
      <w:proofErr w:type="spellStart"/>
      <w:r w:rsidRPr="00817921">
        <w:rPr>
          <w:rFonts w:ascii="Times New Roman" w:hAnsi="Times New Roman" w:cs="Times New Roman"/>
          <w:iCs/>
        </w:rPr>
        <w:t>bonuse</w:t>
      </w:r>
      <w:proofErr w:type="spellEnd"/>
      <w:r w:rsidRPr="00817921">
        <w:rPr>
          <w:rFonts w:ascii="Times New Roman" w:hAnsi="Times New Roman" w:cs="Times New Roman"/>
          <w:iCs/>
        </w:rPr>
        <w:t xml:space="preserve"> dhe </w:t>
      </w:r>
      <w:proofErr w:type="spellStart"/>
      <w:r w:rsidRPr="00817921">
        <w:rPr>
          <w:rFonts w:ascii="Times New Roman" w:hAnsi="Times New Roman" w:cs="Times New Roman"/>
          <w:iCs/>
        </w:rPr>
        <w:t>rimbursime</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rPr>
        <w:t>si</w:t>
      </w:r>
      <w:proofErr w:type="spellEnd"/>
      <w:r w:rsidRPr="00817921">
        <w:rPr>
          <w:rFonts w:ascii="Times New Roman" w:hAnsi="Times New Roman" w:cs="Times New Roman"/>
        </w:rPr>
        <w:t xml:space="preserve"> me </w:t>
      </w:r>
      <w:proofErr w:type="spellStart"/>
      <w:r w:rsidRPr="00817921">
        <w:rPr>
          <w:rFonts w:ascii="Times New Roman" w:hAnsi="Times New Roman" w:cs="Times New Roman"/>
        </w:rPr>
        <w:t>pagesën</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energjisë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elektrike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telefonisë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ndihmës</w:t>
      </w:r>
      <w:proofErr w:type="spellEnd"/>
      <w:r w:rsidRPr="00817921">
        <w:rPr>
          <w:rFonts w:ascii="Times New Roman" w:hAnsi="Times New Roman" w:cs="Times New Roman"/>
        </w:rPr>
        <w:t xml:space="preserve"> ekonomike </w:t>
      </w:r>
      <w:proofErr w:type="spellStart"/>
      <w:r w:rsidRPr="00817921">
        <w:rPr>
          <w:rFonts w:ascii="Times New Roman" w:hAnsi="Times New Roman" w:cs="Times New Roman"/>
        </w:rPr>
        <w:t>për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invalidët</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punës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që</w:t>
      </w:r>
      <w:proofErr w:type="spellEnd"/>
      <w:r w:rsidRPr="00817921">
        <w:rPr>
          <w:rFonts w:ascii="Times New Roman" w:hAnsi="Times New Roman" w:cs="Times New Roman"/>
        </w:rPr>
        <w:t xml:space="preserve"> i </w:t>
      </w:r>
      <w:proofErr w:type="spellStart"/>
      <w:r w:rsidRPr="00817921">
        <w:rPr>
          <w:rFonts w:ascii="Times New Roman" w:hAnsi="Times New Roman" w:cs="Times New Roman"/>
        </w:rPr>
        <w:t>përkasin</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skemës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së</w:t>
      </w:r>
      <w:proofErr w:type="spellEnd"/>
      <w:r w:rsidRPr="00817921">
        <w:rPr>
          <w:rFonts w:ascii="Times New Roman" w:hAnsi="Times New Roman" w:cs="Times New Roman"/>
        </w:rPr>
        <w:t xml:space="preserve"> ISSH, </w:t>
      </w:r>
      <w:proofErr w:type="spellStart"/>
      <w:r w:rsidRPr="00817921">
        <w:rPr>
          <w:rFonts w:ascii="Times New Roman" w:hAnsi="Times New Roman" w:cs="Times New Roman"/>
        </w:rPr>
        <w:t>rimbursimin</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karburantit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për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personat</w:t>
      </w:r>
      <w:proofErr w:type="spellEnd"/>
      <w:r w:rsidRPr="00817921">
        <w:rPr>
          <w:rFonts w:ascii="Times New Roman" w:hAnsi="Times New Roman" w:cs="Times New Roman"/>
        </w:rPr>
        <w:t xml:space="preserve"> para dhe </w:t>
      </w:r>
      <w:proofErr w:type="spellStart"/>
      <w:r w:rsidRPr="00817921">
        <w:rPr>
          <w:rFonts w:ascii="Times New Roman" w:hAnsi="Times New Roman" w:cs="Times New Roman"/>
        </w:rPr>
        <w:t>tetraplegjikë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që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kan</w:t>
      </w:r>
      <w:r w:rsidR="009A5A0E" w:rsidRPr="00817921">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edhe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statusin</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invalidit</w:t>
      </w:r>
      <w:proofErr w:type="spellEnd"/>
      <w:r w:rsidRPr="00817921">
        <w:rPr>
          <w:rFonts w:ascii="Times New Roman" w:hAnsi="Times New Roman" w:cs="Times New Roman"/>
        </w:rPr>
        <w:t xml:space="preserve"> të </w:t>
      </w:r>
      <w:proofErr w:type="spellStart"/>
      <w:r w:rsidRPr="00817921">
        <w:rPr>
          <w:rFonts w:ascii="Times New Roman" w:hAnsi="Times New Roman" w:cs="Times New Roman"/>
        </w:rPr>
        <w:t>punës</w:t>
      </w:r>
      <w:proofErr w:type="spellEnd"/>
      <w:r w:rsidRPr="00817921">
        <w:rPr>
          <w:rFonts w:ascii="Times New Roman" w:hAnsi="Times New Roman" w:cs="Times New Roman"/>
        </w:rPr>
        <w:t xml:space="preserve">. </w:t>
      </w:r>
      <w:r w:rsidR="00A67F3A" w:rsidRPr="00817921">
        <w:rPr>
          <w:rFonts w:ascii="Times New Roman" w:eastAsia="Calibri" w:hAnsi="Times New Roman" w:cs="Times New Roman"/>
          <w:iCs/>
          <w:lang w:val="sq-AL"/>
        </w:rPr>
        <w:t>Skema mbështetëse financiare ofrohen për n</w:t>
      </w:r>
      <w:r w:rsidR="00A67F3A" w:rsidRPr="00817921">
        <w:rPr>
          <w:rFonts w:ascii="Times New Roman" w:eastAsia="Times New Roman" w:hAnsi="Times New Roman" w:cs="Times New Roman"/>
          <w:iCs/>
          <w:lang w:val="sq-AL"/>
        </w:rPr>
        <w:t xml:space="preserve">xënësit me aftësi të kufizuara në sistemin arsimor, si </w:t>
      </w:r>
      <w:r w:rsidR="00A67F3A" w:rsidRPr="00817921">
        <w:rPr>
          <w:rFonts w:ascii="Times New Roman" w:hAnsi="Times New Roman" w:cs="Times New Roman"/>
          <w:iCs/>
        </w:rPr>
        <w:t>(i) t</w:t>
      </w:r>
      <w:r w:rsidR="00A67F3A" w:rsidRPr="00817921">
        <w:rPr>
          <w:rFonts w:ascii="Times New Roman" w:eastAsia="Times New Roman" w:hAnsi="Times New Roman" w:cs="Times New Roman"/>
          <w:iCs/>
          <w:lang w:val="sq-AL"/>
        </w:rPr>
        <w:t>ransport falas</w:t>
      </w:r>
      <w:r w:rsidR="00A67F3A" w:rsidRPr="00817921">
        <w:rPr>
          <w:rStyle w:val="FootnoteReference"/>
          <w:rFonts w:ascii="Times New Roman" w:eastAsia="Times New Roman" w:hAnsi="Times New Roman" w:cs="Times New Roman"/>
          <w:iCs/>
          <w:lang w:val="sq-AL"/>
        </w:rPr>
        <w:footnoteReference w:id="48"/>
      </w:r>
      <w:r w:rsidR="00A67F3A" w:rsidRPr="00817921">
        <w:rPr>
          <w:rFonts w:ascii="Times New Roman" w:eastAsia="Times New Roman" w:hAnsi="Times New Roman" w:cs="Times New Roman"/>
          <w:iCs/>
          <w:lang w:val="sq-AL"/>
        </w:rPr>
        <w:t>; (ii) trajtim falas në institucionet e arsimit special</w:t>
      </w:r>
      <w:r w:rsidR="00A67F3A" w:rsidRPr="00817921">
        <w:rPr>
          <w:rStyle w:val="FootnoteReference"/>
          <w:rFonts w:ascii="Times New Roman" w:eastAsia="Times New Roman" w:hAnsi="Times New Roman" w:cs="Times New Roman"/>
          <w:iCs/>
          <w:lang w:val="sq-AL"/>
        </w:rPr>
        <w:t xml:space="preserve"> </w:t>
      </w:r>
      <w:r w:rsidR="00A67F3A" w:rsidRPr="00817921">
        <w:rPr>
          <w:rStyle w:val="FootnoteReference"/>
          <w:rFonts w:ascii="Times New Roman" w:eastAsia="Times New Roman" w:hAnsi="Times New Roman" w:cs="Times New Roman"/>
          <w:iCs/>
          <w:lang w:val="sq-AL"/>
        </w:rPr>
        <w:footnoteReference w:id="49"/>
      </w:r>
      <w:r w:rsidR="00A67F3A" w:rsidRPr="00817921">
        <w:rPr>
          <w:rFonts w:ascii="Times New Roman" w:eastAsia="Times New Roman" w:hAnsi="Times New Roman" w:cs="Times New Roman"/>
          <w:iCs/>
          <w:lang w:val="sq-AL"/>
        </w:rPr>
        <w:t>; (iii) tekste falas</w:t>
      </w:r>
      <w:r w:rsidR="00A67F3A" w:rsidRPr="00817921">
        <w:rPr>
          <w:rStyle w:val="FootnoteReference"/>
          <w:rFonts w:ascii="Times New Roman" w:eastAsia="Times New Roman" w:hAnsi="Times New Roman" w:cs="Times New Roman"/>
          <w:iCs/>
          <w:lang w:val="sq-AL"/>
        </w:rPr>
        <w:footnoteReference w:id="50"/>
      </w:r>
      <w:r w:rsidR="00A67F3A" w:rsidRPr="00817921">
        <w:rPr>
          <w:rFonts w:ascii="Times New Roman" w:eastAsia="Times New Roman" w:hAnsi="Times New Roman" w:cs="Times New Roman"/>
          <w:iCs/>
          <w:lang w:val="sq-AL"/>
        </w:rPr>
        <w:t>; (iv) pagesa për mbështetje për nevojat që lidhen me arsimimin, për fëmijët me aftësi të kufizu</w:t>
      </w:r>
      <w:r w:rsidR="005A4552" w:rsidRPr="00817921">
        <w:rPr>
          <w:rFonts w:ascii="Times New Roman" w:eastAsia="Times New Roman" w:hAnsi="Times New Roman" w:cs="Times New Roman"/>
          <w:iCs/>
          <w:lang w:val="sq-AL"/>
        </w:rPr>
        <w:t>a</w:t>
      </w:r>
      <w:r w:rsidR="00A67F3A" w:rsidRPr="00817921">
        <w:rPr>
          <w:rFonts w:ascii="Times New Roman" w:eastAsia="Times New Roman" w:hAnsi="Times New Roman" w:cs="Times New Roman"/>
          <w:iCs/>
          <w:lang w:val="sq-AL"/>
        </w:rPr>
        <w:t>ra në moshë shkollore, që ndjekin arsimin në ciklin e ulët, ciklin e mesëm të ulët, ciklin e mesëm të lartë, arsimin universitar dhe në arsimin pasuniversitar, si shpjeguar në paragrafin më lart; (v)</w:t>
      </w:r>
      <w:r w:rsidR="00A67F3A" w:rsidRPr="00817921">
        <w:rPr>
          <w:rFonts w:ascii="Times New Roman" w:hAnsi="Times New Roman" w:cs="Times New Roman"/>
          <w:iCs/>
          <w:lang w:val="sq-AL"/>
        </w:rPr>
        <w:t xml:space="preserve"> përjashtim nga tarifa vjetore e studimit</w:t>
      </w:r>
      <w:r w:rsidR="00A67F3A" w:rsidRPr="00817921">
        <w:rPr>
          <w:rStyle w:val="FootnoteReference"/>
          <w:rFonts w:ascii="Times New Roman" w:hAnsi="Times New Roman" w:cs="Times New Roman"/>
          <w:iCs/>
          <w:lang w:val="sq-AL"/>
        </w:rPr>
        <w:footnoteReference w:id="51"/>
      </w:r>
      <w:r w:rsidR="00A67F3A" w:rsidRPr="00817921">
        <w:rPr>
          <w:rFonts w:ascii="Times New Roman" w:hAnsi="Times New Roman" w:cs="Times New Roman"/>
          <w:iCs/>
          <w:lang w:val="sq-AL"/>
        </w:rPr>
        <w:t xml:space="preserve"> për studentët, persona me aftësi të kufizuara, të vërtetuar nga ekipet e vlerësimit, si përfitues të pagesës së aftësisë së kufizuar dhe </w:t>
      </w:r>
      <w:r w:rsidR="00A67F3A" w:rsidRPr="00817921">
        <w:rPr>
          <w:rFonts w:ascii="Times New Roman" w:hAnsi="Times New Roman" w:cs="Times New Roman"/>
          <w:iCs/>
          <w:color w:val="000000"/>
          <w:lang w:val="sq-AL"/>
        </w:rPr>
        <w:t xml:space="preserve">studentët që kanë të paktën njërin nga të dy prindërit me aftësi të </w:t>
      </w:r>
      <w:r w:rsidR="00A67F3A" w:rsidRPr="00817921">
        <w:rPr>
          <w:rFonts w:ascii="Times New Roman" w:hAnsi="Times New Roman" w:cs="Times New Roman"/>
          <w:iCs/>
          <w:lang w:val="sq-AL"/>
        </w:rPr>
        <w:t>kufizuara.</w:t>
      </w:r>
      <w:r w:rsidR="00186F15">
        <w:rPr>
          <w:rFonts w:ascii="Times New Roman" w:hAnsi="Times New Roman" w:cs="Times New Roman"/>
          <w:lang w:val="sq-AL"/>
        </w:rPr>
        <w:t xml:space="preserve"> </w:t>
      </w:r>
      <w:proofErr w:type="spellStart"/>
      <w:r w:rsidR="00A67F3A" w:rsidRPr="00817921">
        <w:rPr>
          <w:rFonts w:ascii="Times New Roman" w:hAnsi="Times New Roman" w:cs="Times New Roman"/>
          <w:iCs/>
        </w:rPr>
        <w:t>N</w:t>
      </w:r>
      <w:r w:rsidRPr="00817921">
        <w:rPr>
          <w:rFonts w:ascii="Times New Roman" w:hAnsi="Times New Roman" w:cs="Times New Roman"/>
          <w:iCs/>
        </w:rPr>
        <w:t>j</w:t>
      </w:r>
      <w:r w:rsidR="009A5A0E" w:rsidRPr="00817921">
        <w:rPr>
          <w:rFonts w:ascii="Times New Roman" w:hAnsi="Times New Roman" w:cs="Times New Roman"/>
          <w:iCs/>
        </w:rPr>
        <w:t>ë</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mb</w:t>
      </w:r>
      <w:r w:rsidR="009A5A0E" w:rsidRPr="00817921">
        <w:rPr>
          <w:rFonts w:ascii="Times New Roman" w:hAnsi="Times New Roman" w:cs="Times New Roman"/>
          <w:iCs/>
        </w:rPr>
        <w:t>ë</w:t>
      </w:r>
      <w:r w:rsidRPr="00817921">
        <w:rPr>
          <w:rFonts w:ascii="Times New Roman" w:hAnsi="Times New Roman" w:cs="Times New Roman"/>
          <w:iCs/>
        </w:rPr>
        <w:t>shtetje</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shtes</w:t>
      </w:r>
      <w:r w:rsidR="009A5A0E" w:rsidRPr="00817921">
        <w:rPr>
          <w:rFonts w:ascii="Times New Roman" w:hAnsi="Times New Roman" w:cs="Times New Roman"/>
          <w:iCs/>
        </w:rPr>
        <w:t>ë</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financiare</w:t>
      </w:r>
      <w:proofErr w:type="spellEnd"/>
      <w:r w:rsidRPr="00817921">
        <w:rPr>
          <w:rFonts w:ascii="Times New Roman" w:hAnsi="Times New Roman" w:cs="Times New Roman"/>
          <w:iCs/>
        </w:rPr>
        <w:t xml:space="preserve"> u </w:t>
      </w:r>
      <w:proofErr w:type="spellStart"/>
      <w:r w:rsidRPr="00817921">
        <w:rPr>
          <w:rFonts w:ascii="Times New Roman" w:hAnsi="Times New Roman" w:cs="Times New Roman"/>
          <w:iCs/>
        </w:rPr>
        <w:t>ofrua</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gjatë</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periudhës</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së</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pandemisë</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p</w:t>
      </w:r>
      <w:r w:rsidR="009A5A0E" w:rsidRPr="00817921">
        <w:rPr>
          <w:rFonts w:ascii="Times New Roman" w:hAnsi="Times New Roman" w:cs="Times New Roman"/>
          <w:iCs/>
        </w:rPr>
        <w:t>ë</w:t>
      </w:r>
      <w:r w:rsidRPr="00817921">
        <w:rPr>
          <w:rFonts w:ascii="Times New Roman" w:hAnsi="Times New Roman" w:cs="Times New Roman"/>
          <w:iCs/>
        </w:rPr>
        <w:t>r</w:t>
      </w:r>
      <w:proofErr w:type="spellEnd"/>
      <w:r w:rsidRPr="00817921">
        <w:rPr>
          <w:rFonts w:ascii="Times New Roman" w:hAnsi="Times New Roman" w:cs="Times New Roman"/>
          <w:iCs/>
        </w:rPr>
        <w:t xml:space="preserve"> t</w:t>
      </w:r>
      <w:r w:rsidR="009A5A0E" w:rsidRPr="00817921">
        <w:rPr>
          <w:rFonts w:ascii="Times New Roman" w:hAnsi="Times New Roman" w:cs="Times New Roman"/>
          <w:iCs/>
        </w:rPr>
        <w:t>ë</w:t>
      </w:r>
      <w:r w:rsidRPr="00817921">
        <w:rPr>
          <w:rFonts w:ascii="Times New Roman" w:hAnsi="Times New Roman" w:cs="Times New Roman"/>
          <w:iCs/>
        </w:rPr>
        <w:t xml:space="preserve"> </w:t>
      </w:r>
      <w:proofErr w:type="spellStart"/>
      <w:r w:rsidRPr="00817921">
        <w:rPr>
          <w:rFonts w:ascii="Times New Roman" w:hAnsi="Times New Roman" w:cs="Times New Roman"/>
          <w:iCs/>
        </w:rPr>
        <w:t>p</w:t>
      </w:r>
      <w:r w:rsidR="009A5A0E" w:rsidRPr="00817921">
        <w:rPr>
          <w:rFonts w:ascii="Times New Roman" w:hAnsi="Times New Roman" w:cs="Times New Roman"/>
          <w:iCs/>
        </w:rPr>
        <w:t>ë</w:t>
      </w:r>
      <w:r w:rsidRPr="00817921">
        <w:rPr>
          <w:rFonts w:ascii="Times New Roman" w:hAnsi="Times New Roman" w:cs="Times New Roman"/>
          <w:iCs/>
        </w:rPr>
        <w:t>rballuar</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situat</w:t>
      </w:r>
      <w:r w:rsidR="009A5A0E" w:rsidRPr="00817921">
        <w:rPr>
          <w:rFonts w:ascii="Times New Roman" w:hAnsi="Times New Roman" w:cs="Times New Roman"/>
          <w:iCs/>
        </w:rPr>
        <w:t>ë</w:t>
      </w:r>
      <w:r w:rsidRPr="00817921">
        <w:rPr>
          <w:rFonts w:ascii="Times New Roman" w:hAnsi="Times New Roman" w:cs="Times New Roman"/>
          <w:iCs/>
        </w:rPr>
        <w:t>n</w:t>
      </w:r>
      <w:proofErr w:type="spellEnd"/>
      <w:r w:rsidRPr="00817921">
        <w:rPr>
          <w:rFonts w:ascii="Times New Roman" w:hAnsi="Times New Roman" w:cs="Times New Roman"/>
          <w:iCs/>
        </w:rPr>
        <w:t xml:space="preserve"> e </w:t>
      </w:r>
      <w:proofErr w:type="spellStart"/>
      <w:r w:rsidRPr="00817921">
        <w:rPr>
          <w:rFonts w:ascii="Times New Roman" w:hAnsi="Times New Roman" w:cs="Times New Roman"/>
          <w:iCs/>
        </w:rPr>
        <w:t>jasht</w:t>
      </w:r>
      <w:r w:rsidR="009A5A0E" w:rsidRPr="00817921">
        <w:rPr>
          <w:rFonts w:ascii="Times New Roman" w:hAnsi="Times New Roman" w:cs="Times New Roman"/>
          <w:iCs/>
        </w:rPr>
        <w:t>ë</w:t>
      </w:r>
      <w:r w:rsidRPr="00817921">
        <w:rPr>
          <w:rFonts w:ascii="Times New Roman" w:hAnsi="Times New Roman" w:cs="Times New Roman"/>
          <w:iCs/>
        </w:rPr>
        <w:t>zakonshme</w:t>
      </w:r>
      <w:proofErr w:type="spellEnd"/>
      <w:r w:rsidRPr="00817921">
        <w:rPr>
          <w:rFonts w:ascii="Times New Roman" w:hAnsi="Times New Roman" w:cs="Times New Roman"/>
          <w:iCs/>
        </w:rPr>
        <w:t xml:space="preserve"> dhe </w:t>
      </w:r>
      <w:proofErr w:type="spellStart"/>
      <w:r w:rsidRPr="00817921">
        <w:rPr>
          <w:rFonts w:ascii="Times New Roman" w:hAnsi="Times New Roman" w:cs="Times New Roman"/>
          <w:iCs/>
        </w:rPr>
        <w:t>m</w:t>
      </w:r>
      <w:r w:rsidR="009A5A0E" w:rsidRPr="00817921">
        <w:rPr>
          <w:rFonts w:ascii="Times New Roman" w:hAnsi="Times New Roman" w:cs="Times New Roman"/>
          <w:iCs/>
        </w:rPr>
        <w:t>ë</w:t>
      </w:r>
      <w:proofErr w:type="spellEnd"/>
      <w:r w:rsidRPr="00817921">
        <w:rPr>
          <w:rFonts w:ascii="Times New Roman" w:hAnsi="Times New Roman" w:cs="Times New Roman"/>
          <w:iCs/>
        </w:rPr>
        <w:t xml:space="preserve"> pas, </w:t>
      </w:r>
      <w:proofErr w:type="spellStart"/>
      <w:r w:rsidRPr="00817921">
        <w:rPr>
          <w:rFonts w:ascii="Times New Roman" w:hAnsi="Times New Roman" w:cs="Times New Roman"/>
          <w:iCs/>
        </w:rPr>
        <w:t>p</w:t>
      </w:r>
      <w:r w:rsidR="009A5A0E" w:rsidRPr="00817921">
        <w:rPr>
          <w:rFonts w:ascii="Times New Roman" w:hAnsi="Times New Roman" w:cs="Times New Roman"/>
          <w:iCs/>
        </w:rPr>
        <w:t>ë</w:t>
      </w:r>
      <w:r w:rsidRPr="00817921">
        <w:rPr>
          <w:rFonts w:ascii="Times New Roman" w:hAnsi="Times New Roman" w:cs="Times New Roman"/>
          <w:iCs/>
        </w:rPr>
        <w:t>r</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zvogëluar</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efektet</w:t>
      </w:r>
      <w:proofErr w:type="spellEnd"/>
      <w:r w:rsidRPr="00817921">
        <w:rPr>
          <w:rFonts w:ascii="Times New Roman" w:hAnsi="Times New Roman" w:cs="Times New Roman"/>
          <w:iCs/>
        </w:rPr>
        <w:t xml:space="preserve"> e </w:t>
      </w:r>
      <w:proofErr w:type="spellStart"/>
      <w:r w:rsidRPr="00817921">
        <w:rPr>
          <w:rFonts w:ascii="Times New Roman" w:hAnsi="Times New Roman" w:cs="Times New Roman"/>
          <w:iCs/>
        </w:rPr>
        <w:t>krizës</w:t>
      </w:r>
      <w:proofErr w:type="spellEnd"/>
      <w:r w:rsidRPr="00817921">
        <w:rPr>
          <w:rFonts w:ascii="Times New Roman" w:hAnsi="Times New Roman" w:cs="Times New Roman"/>
          <w:iCs/>
        </w:rPr>
        <w:t xml:space="preserve"> të </w:t>
      </w:r>
      <w:proofErr w:type="spellStart"/>
      <w:r w:rsidRPr="00817921">
        <w:rPr>
          <w:rFonts w:ascii="Times New Roman" w:hAnsi="Times New Roman" w:cs="Times New Roman"/>
          <w:iCs/>
        </w:rPr>
        <w:t>shkaktuar</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nga</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lufta</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në</w:t>
      </w:r>
      <w:proofErr w:type="spellEnd"/>
      <w:r w:rsidRPr="00817921">
        <w:rPr>
          <w:rFonts w:ascii="Times New Roman" w:hAnsi="Times New Roman" w:cs="Times New Roman"/>
          <w:iCs/>
        </w:rPr>
        <w:t xml:space="preserve"> </w:t>
      </w:r>
      <w:proofErr w:type="spellStart"/>
      <w:r w:rsidRPr="00817921">
        <w:rPr>
          <w:rFonts w:ascii="Times New Roman" w:hAnsi="Times New Roman" w:cs="Times New Roman"/>
          <w:iCs/>
        </w:rPr>
        <w:t>Ukrainë</w:t>
      </w:r>
      <w:proofErr w:type="spellEnd"/>
      <w:r w:rsidRPr="00817921">
        <w:rPr>
          <w:rFonts w:ascii="Times New Roman" w:hAnsi="Times New Roman" w:cs="Times New Roman"/>
          <w:iCs/>
        </w:rPr>
        <w:t>.</w:t>
      </w:r>
    </w:p>
    <w:p w14:paraId="4D570F73" w14:textId="77777777" w:rsidR="00AB4D37" w:rsidRPr="00817921" w:rsidRDefault="00AB4D37" w:rsidP="00A34238">
      <w:pPr>
        <w:rPr>
          <w:rFonts w:ascii="Times New Roman" w:hAnsi="Times New Roman" w:cs="Times New Roman"/>
          <w:iCs/>
        </w:rPr>
      </w:pPr>
    </w:p>
    <w:p w14:paraId="58DCADEB" w14:textId="236FC8D7" w:rsidR="00624BC4" w:rsidRDefault="001D7CE2" w:rsidP="003B78BC">
      <w:pPr>
        <w:rPr>
          <w:rFonts w:ascii="Times New Roman" w:hAnsi="Times New Roman" w:cs="Times New Roman"/>
          <w:iCs/>
          <w:lang w:val="sq-AL"/>
        </w:rPr>
      </w:pPr>
      <w:proofErr w:type="spellStart"/>
      <w:r w:rsidRPr="00817921">
        <w:rPr>
          <w:rFonts w:ascii="Times New Roman" w:hAnsi="Times New Roman" w:cs="Times New Roman"/>
          <w:b/>
          <w:bCs/>
          <w:color w:val="242424"/>
          <w:szCs w:val="22"/>
          <w:bdr w:val="none" w:sz="0" w:space="0" w:color="auto" w:frame="1"/>
          <w:lang w:val="fr-FR"/>
        </w:rPr>
        <w:t>Sh</w:t>
      </w:r>
      <w:r w:rsidR="009A5A0E" w:rsidRPr="00817921">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rbimet</w:t>
      </w:r>
      <w:proofErr w:type="spellEnd"/>
      <w:r w:rsidRPr="00817921">
        <w:rPr>
          <w:rFonts w:ascii="Times New Roman" w:hAnsi="Times New Roman" w:cs="Times New Roman"/>
          <w:b/>
          <w:bCs/>
          <w:color w:val="242424"/>
          <w:szCs w:val="22"/>
          <w:bdr w:val="none" w:sz="0" w:space="0" w:color="auto" w:frame="1"/>
          <w:lang w:val="fr-FR"/>
        </w:rPr>
        <w:t xml:space="preserve"> </w:t>
      </w:r>
      <w:r w:rsidR="00075C17">
        <w:rPr>
          <w:rFonts w:ascii="Times New Roman" w:hAnsi="Times New Roman" w:cs="Times New Roman"/>
          <w:b/>
          <w:bCs/>
          <w:color w:val="242424"/>
          <w:szCs w:val="22"/>
          <w:bdr w:val="none" w:sz="0" w:space="0" w:color="auto" w:frame="1"/>
          <w:lang w:val="fr-FR"/>
        </w:rPr>
        <w:t xml:space="preserve"> e </w:t>
      </w:r>
      <w:proofErr w:type="spellStart"/>
      <w:r w:rsidR="00075C17">
        <w:rPr>
          <w:rFonts w:ascii="Times New Roman" w:hAnsi="Times New Roman" w:cs="Times New Roman"/>
          <w:b/>
          <w:bCs/>
          <w:color w:val="242424"/>
          <w:szCs w:val="22"/>
          <w:bdr w:val="none" w:sz="0" w:space="0" w:color="auto" w:frame="1"/>
          <w:lang w:val="fr-FR"/>
        </w:rPr>
        <w:t>kujdesit</w:t>
      </w:r>
      <w:proofErr w:type="spellEnd"/>
      <w:r w:rsidR="00075C17">
        <w:rPr>
          <w:rFonts w:ascii="Times New Roman" w:hAnsi="Times New Roman" w:cs="Times New Roman"/>
          <w:b/>
          <w:bCs/>
          <w:color w:val="242424"/>
          <w:szCs w:val="22"/>
          <w:bdr w:val="none" w:sz="0" w:space="0" w:color="auto" w:frame="1"/>
          <w:lang w:val="fr-FR"/>
        </w:rPr>
        <w:t xml:space="preserve"> </w:t>
      </w:r>
      <w:r w:rsidRPr="00817921">
        <w:rPr>
          <w:rFonts w:ascii="Times New Roman" w:hAnsi="Times New Roman" w:cs="Times New Roman"/>
          <w:b/>
          <w:bCs/>
          <w:color w:val="242424"/>
          <w:szCs w:val="22"/>
          <w:bdr w:val="none" w:sz="0" w:space="0" w:color="auto" w:frame="1"/>
          <w:lang w:val="fr-FR"/>
        </w:rPr>
        <w:t>social</w:t>
      </w:r>
      <w:r w:rsidR="003B78BC" w:rsidRPr="00817921">
        <w:rPr>
          <w:rFonts w:ascii="Times New Roman" w:hAnsi="Times New Roman" w:cs="Times New Roman"/>
          <w:b/>
          <w:bCs/>
          <w:color w:val="242424"/>
          <w:szCs w:val="22"/>
          <w:bdr w:val="none" w:sz="0" w:space="0" w:color="auto" w:frame="1"/>
          <w:lang w:val="fr-FR"/>
        </w:rPr>
        <w:t xml:space="preserve">. </w:t>
      </w:r>
      <w:r w:rsidR="00624BC4" w:rsidRPr="00817921">
        <w:rPr>
          <w:rFonts w:ascii="Times New Roman" w:hAnsi="Times New Roman" w:cs="Times New Roman"/>
          <w:iCs/>
          <w:lang w:val="sq-AL"/>
        </w:rPr>
        <w:t xml:space="preserve">Me zbatimin e Strategjisë së Mbrojtjes Sociale 2015-2020-2023, Shqipëria ka avancuar me reformimin e sistemit të shërbimeve sociale, duke zhvilluar një qasje të integruar </w:t>
      </w:r>
      <w:r w:rsidR="00075C17">
        <w:rPr>
          <w:rFonts w:ascii="Times New Roman" w:hAnsi="Times New Roman" w:cs="Times New Roman"/>
          <w:iCs/>
          <w:lang w:val="sq-AL"/>
        </w:rPr>
        <w:t>dhe dec</w:t>
      </w:r>
      <w:r w:rsidR="00186F15">
        <w:rPr>
          <w:rFonts w:ascii="Times New Roman" w:hAnsi="Times New Roman" w:cs="Times New Roman"/>
          <w:iCs/>
          <w:lang w:val="sq-AL"/>
        </w:rPr>
        <w:t>e</w:t>
      </w:r>
      <w:r w:rsidR="00075C17">
        <w:rPr>
          <w:rFonts w:ascii="Times New Roman" w:hAnsi="Times New Roman" w:cs="Times New Roman"/>
          <w:iCs/>
          <w:lang w:val="sq-AL"/>
        </w:rPr>
        <w:t xml:space="preserve">tralizuar </w:t>
      </w:r>
      <w:r w:rsidR="00624BC4" w:rsidRPr="00817921">
        <w:rPr>
          <w:rFonts w:ascii="Times New Roman" w:hAnsi="Times New Roman" w:cs="Times New Roman"/>
          <w:iCs/>
          <w:lang w:val="sq-AL"/>
        </w:rPr>
        <w:t>në ofrimin e kujdesit social</w:t>
      </w:r>
      <w:r w:rsidR="00186F15">
        <w:rPr>
          <w:rFonts w:ascii="Times New Roman" w:hAnsi="Times New Roman" w:cs="Times New Roman"/>
          <w:iCs/>
          <w:lang w:val="sq-AL"/>
        </w:rPr>
        <w:t>,</w:t>
      </w:r>
      <w:r w:rsidR="00624BC4" w:rsidRPr="00817921">
        <w:rPr>
          <w:rFonts w:ascii="Times New Roman" w:hAnsi="Times New Roman" w:cs="Times New Roman"/>
          <w:iCs/>
          <w:lang w:val="sq-AL"/>
        </w:rPr>
        <w:t xml:space="preserve"> paralelisht dhe në mbështetje të skemave të reformuara të asistencës sociale (përkatësisht, NE dhe PAK), si dhe në funksion të fuqizimit të individit dhe familjes, për kapërcimin e situatave të përjashtimit social dhe ri-integrimin. Zhvillimi i shërbimeve të kujdesit shoqëror në vitet e fundit është udhëhequr nga tre parime thelbësore, përshkruar gjithashtu si Reforma 3D-dimesionale (deinstitucionalizim, diversifikim dhe decentralizim). </w:t>
      </w:r>
    </w:p>
    <w:p w14:paraId="2FAC10C7" w14:textId="77777777" w:rsidR="00AB4D37" w:rsidRPr="00817921" w:rsidRDefault="00AB4D37" w:rsidP="003B78BC">
      <w:pPr>
        <w:rPr>
          <w:rFonts w:ascii="Times New Roman" w:hAnsi="Times New Roman" w:cs="Times New Roman"/>
          <w:b/>
          <w:bCs/>
          <w:color w:val="242424"/>
          <w:szCs w:val="22"/>
          <w:bdr w:val="none" w:sz="0" w:space="0" w:color="auto" w:frame="1"/>
          <w:lang w:val="fr-FR"/>
        </w:rPr>
      </w:pPr>
    </w:p>
    <w:p w14:paraId="2EC4FF3C" w14:textId="77777777" w:rsidR="00186F15" w:rsidRDefault="00624BC4" w:rsidP="0059694F">
      <w:pPr>
        <w:autoSpaceDE w:val="0"/>
        <w:autoSpaceDN w:val="0"/>
        <w:adjustRightInd w:val="0"/>
        <w:rPr>
          <w:rFonts w:ascii="Times New Roman" w:hAnsi="Times New Roman" w:cs="Times New Roman"/>
          <w:iCs/>
          <w:lang w:val="sq-AL"/>
        </w:rPr>
      </w:pPr>
      <w:r w:rsidRPr="00817921">
        <w:rPr>
          <w:rFonts w:ascii="Times New Roman" w:hAnsi="Times New Roman" w:cs="Times New Roman"/>
          <w:iCs/>
          <w:lang w:val="sq-AL"/>
        </w:rPr>
        <w:t xml:space="preserve">Ligji 121/2016 hodhi themelet për formësimin e një sistemi të ri shërbimesh të integruara komunitare, çka përbën një hap thelbësor drejt një sistemi modern të mbrojtjes sociale. Shërbimet e Kujdesit Shoqëror kanë pësuar një zhvillim të ndjeshëm në vitet e fundit, sa u takon tipologjive dhe financimit të tyre, por edhe aksesit dhe shtrirjes në territor. Nisur edhe nga praktikat Europiane, shërbimet sociale janë nga natyra më komplekse krahasuar me skemat e mbështetjes financiare, pasi hartimi, financimi, zbatimi dhe ndjekja e tyre kërkon koordinim të shumë aktorëve, në të gjitha nivelet dhe sektorët. </w:t>
      </w:r>
      <w:r w:rsidR="0059694F" w:rsidRPr="00817921">
        <w:rPr>
          <w:rFonts w:ascii="Times New Roman" w:hAnsi="Times New Roman" w:cs="Times New Roman"/>
          <w:iCs/>
          <w:lang w:val="sq-AL"/>
        </w:rPr>
        <w:t xml:space="preserve">Reformimi i sistemit të shërbimeve sociale është </w:t>
      </w:r>
      <w:r w:rsidR="002E3B4D" w:rsidRPr="00817921">
        <w:rPr>
          <w:rFonts w:ascii="Times New Roman" w:hAnsi="Times New Roman" w:cs="Times New Roman"/>
          <w:iCs/>
          <w:lang w:val="sq-AL"/>
        </w:rPr>
        <w:t>shoq</w:t>
      </w:r>
      <w:r w:rsidR="009A5A0E" w:rsidRPr="00817921">
        <w:rPr>
          <w:rFonts w:ascii="Times New Roman" w:hAnsi="Times New Roman" w:cs="Times New Roman"/>
          <w:iCs/>
          <w:lang w:val="sq-AL"/>
        </w:rPr>
        <w:t>ë</w:t>
      </w:r>
      <w:r w:rsidR="002E3B4D" w:rsidRPr="00817921">
        <w:rPr>
          <w:rFonts w:ascii="Times New Roman" w:hAnsi="Times New Roman" w:cs="Times New Roman"/>
          <w:iCs/>
          <w:lang w:val="sq-AL"/>
        </w:rPr>
        <w:t xml:space="preserve">ruar me </w:t>
      </w:r>
      <w:r w:rsidR="0059694F" w:rsidRPr="00817921">
        <w:rPr>
          <w:rFonts w:ascii="Times New Roman" w:hAnsi="Times New Roman" w:cs="Times New Roman"/>
          <w:iCs/>
          <w:lang w:val="sq-AL"/>
        </w:rPr>
        <w:t>forcimi</w:t>
      </w:r>
      <w:r w:rsidR="002E3B4D" w:rsidRPr="00817921">
        <w:rPr>
          <w:rFonts w:ascii="Times New Roman" w:hAnsi="Times New Roman" w:cs="Times New Roman"/>
          <w:iCs/>
          <w:lang w:val="sq-AL"/>
        </w:rPr>
        <w:t>n</w:t>
      </w:r>
      <w:r w:rsidR="0059694F" w:rsidRPr="00817921">
        <w:rPr>
          <w:rFonts w:ascii="Times New Roman" w:hAnsi="Times New Roman" w:cs="Times New Roman"/>
          <w:iCs/>
          <w:lang w:val="sq-AL"/>
        </w:rPr>
        <w:t xml:space="preserve"> </w:t>
      </w:r>
      <w:r w:rsidR="002E3B4D" w:rsidRPr="00817921">
        <w:rPr>
          <w:rFonts w:ascii="Times New Roman" w:hAnsi="Times New Roman" w:cs="Times New Roman"/>
          <w:iCs/>
          <w:lang w:val="sq-AL"/>
        </w:rPr>
        <w:t>e</w:t>
      </w:r>
      <w:r w:rsidR="0059694F" w:rsidRPr="00817921">
        <w:rPr>
          <w:rFonts w:ascii="Times New Roman" w:hAnsi="Times New Roman" w:cs="Times New Roman"/>
          <w:iCs/>
          <w:lang w:val="sq-AL"/>
        </w:rPr>
        <w:t xml:space="preserve"> kapaciteteve dhe </w:t>
      </w:r>
      <w:r w:rsidR="00AB4D37">
        <w:rPr>
          <w:rFonts w:ascii="Times New Roman" w:hAnsi="Times New Roman" w:cs="Times New Roman"/>
          <w:iCs/>
          <w:lang w:val="sq-AL"/>
        </w:rPr>
        <w:t>proçes</w:t>
      </w:r>
      <w:r w:rsidR="0059694F" w:rsidRPr="00817921">
        <w:rPr>
          <w:rFonts w:ascii="Times New Roman" w:hAnsi="Times New Roman" w:cs="Times New Roman"/>
          <w:iCs/>
          <w:lang w:val="sq-AL"/>
        </w:rPr>
        <w:t xml:space="preserve">eve </w:t>
      </w:r>
      <w:r w:rsidR="002E3B4D" w:rsidRPr="00817921">
        <w:rPr>
          <w:rFonts w:ascii="Times New Roman" w:hAnsi="Times New Roman" w:cs="Times New Roman"/>
          <w:iCs/>
          <w:lang w:val="sq-AL"/>
        </w:rPr>
        <w:t>n</w:t>
      </w:r>
      <w:r w:rsidR="009A5A0E" w:rsidRPr="00817921">
        <w:rPr>
          <w:rFonts w:ascii="Times New Roman" w:hAnsi="Times New Roman" w:cs="Times New Roman"/>
          <w:iCs/>
          <w:lang w:val="sq-AL"/>
        </w:rPr>
        <w:t>ë</w:t>
      </w:r>
      <w:r w:rsidR="0059694F" w:rsidRPr="00817921">
        <w:rPr>
          <w:rFonts w:ascii="Times New Roman" w:hAnsi="Times New Roman" w:cs="Times New Roman"/>
          <w:iCs/>
          <w:lang w:val="sq-AL"/>
        </w:rPr>
        <w:t xml:space="preserve"> MSHMS dhe </w:t>
      </w:r>
      <w:r w:rsidR="008171AD" w:rsidRPr="00817921">
        <w:rPr>
          <w:rFonts w:ascii="Times New Roman" w:hAnsi="Times New Roman" w:cs="Times New Roman"/>
          <w:iCs/>
          <w:lang w:val="sq-AL"/>
        </w:rPr>
        <w:t>n</w:t>
      </w:r>
      <w:r w:rsidR="009A5A0E" w:rsidRPr="00817921">
        <w:rPr>
          <w:rFonts w:ascii="Times New Roman" w:hAnsi="Times New Roman" w:cs="Times New Roman"/>
          <w:iCs/>
          <w:lang w:val="sq-AL"/>
        </w:rPr>
        <w:t>ë</w:t>
      </w:r>
      <w:r w:rsidR="008171AD" w:rsidRPr="00817921">
        <w:rPr>
          <w:rFonts w:ascii="Times New Roman" w:hAnsi="Times New Roman" w:cs="Times New Roman"/>
          <w:iCs/>
          <w:lang w:val="sq-AL"/>
        </w:rPr>
        <w:t xml:space="preserve"> </w:t>
      </w:r>
      <w:r w:rsidR="0059694F" w:rsidRPr="00817921">
        <w:rPr>
          <w:rFonts w:ascii="Times New Roman" w:hAnsi="Times New Roman" w:cs="Times New Roman"/>
          <w:iCs/>
          <w:lang w:val="sq-AL"/>
        </w:rPr>
        <w:t>agjensi</w:t>
      </w:r>
      <w:r w:rsidR="008171AD" w:rsidRPr="00817921">
        <w:rPr>
          <w:rFonts w:ascii="Times New Roman" w:hAnsi="Times New Roman" w:cs="Times New Roman"/>
          <w:iCs/>
          <w:lang w:val="sq-AL"/>
        </w:rPr>
        <w:t>t</w:t>
      </w:r>
      <w:r w:rsidR="009A5A0E" w:rsidRPr="00817921">
        <w:rPr>
          <w:rFonts w:ascii="Times New Roman" w:hAnsi="Times New Roman" w:cs="Times New Roman"/>
          <w:iCs/>
          <w:lang w:val="sq-AL"/>
        </w:rPr>
        <w:t>ë</w:t>
      </w:r>
      <w:r w:rsidR="0059694F" w:rsidRPr="00817921">
        <w:rPr>
          <w:rFonts w:ascii="Times New Roman" w:hAnsi="Times New Roman" w:cs="Times New Roman"/>
          <w:iCs/>
          <w:lang w:val="sq-AL"/>
        </w:rPr>
        <w:t xml:space="preserve"> në varësi të saj</w:t>
      </w:r>
      <w:r w:rsidR="008171AD" w:rsidRPr="00817921">
        <w:rPr>
          <w:rFonts w:ascii="Times New Roman" w:hAnsi="Times New Roman" w:cs="Times New Roman"/>
          <w:iCs/>
          <w:lang w:val="sq-AL"/>
        </w:rPr>
        <w:t xml:space="preserve">, krijimin </w:t>
      </w:r>
      <w:r w:rsidR="002E3B4D" w:rsidRPr="00817921">
        <w:rPr>
          <w:rFonts w:ascii="Times New Roman" w:hAnsi="Times New Roman" w:cs="Times New Roman"/>
          <w:iCs/>
          <w:lang w:val="sq-AL"/>
        </w:rPr>
        <w:t>e strukturave</w:t>
      </w:r>
      <w:r w:rsidR="008171AD" w:rsidRPr="00817921">
        <w:rPr>
          <w:rFonts w:ascii="Times New Roman" w:hAnsi="Times New Roman" w:cs="Times New Roman"/>
          <w:iCs/>
          <w:lang w:val="sq-AL"/>
        </w:rPr>
        <w:t xml:space="preserve"> dhe t</w:t>
      </w:r>
      <w:r w:rsidR="009A5A0E" w:rsidRPr="00817921">
        <w:rPr>
          <w:rFonts w:ascii="Times New Roman" w:hAnsi="Times New Roman" w:cs="Times New Roman"/>
          <w:iCs/>
          <w:lang w:val="sq-AL"/>
        </w:rPr>
        <w:t>ë</w:t>
      </w:r>
      <w:r w:rsidR="008171AD" w:rsidRPr="00817921">
        <w:rPr>
          <w:rFonts w:ascii="Times New Roman" w:hAnsi="Times New Roman" w:cs="Times New Roman"/>
          <w:iCs/>
          <w:lang w:val="sq-AL"/>
        </w:rPr>
        <w:t xml:space="preserve"> kapaciteteve </w:t>
      </w:r>
      <w:r w:rsidR="002E3B4D" w:rsidRPr="00817921">
        <w:rPr>
          <w:rFonts w:ascii="Times New Roman" w:hAnsi="Times New Roman" w:cs="Times New Roman"/>
          <w:iCs/>
          <w:lang w:val="sq-AL"/>
        </w:rPr>
        <w:t>n</w:t>
      </w:r>
      <w:r w:rsidR="009A5A0E" w:rsidRPr="00817921">
        <w:rPr>
          <w:rFonts w:ascii="Times New Roman" w:hAnsi="Times New Roman" w:cs="Times New Roman"/>
          <w:iCs/>
          <w:lang w:val="sq-AL"/>
        </w:rPr>
        <w:t>ë</w:t>
      </w:r>
      <w:r w:rsidR="002E3B4D" w:rsidRPr="00817921">
        <w:rPr>
          <w:rFonts w:ascii="Times New Roman" w:hAnsi="Times New Roman" w:cs="Times New Roman"/>
          <w:iCs/>
          <w:lang w:val="sq-AL"/>
        </w:rPr>
        <w:t xml:space="preserve"> nj</w:t>
      </w:r>
      <w:r w:rsidR="009A5A0E" w:rsidRPr="00817921">
        <w:rPr>
          <w:rFonts w:ascii="Times New Roman" w:hAnsi="Times New Roman" w:cs="Times New Roman"/>
          <w:iCs/>
          <w:lang w:val="sq-AL"/>
        </w:rPr>
        <w:t>ë</w:t>
      </w:r>
      <w:r w:rsidR="002E3B4D" w:rsidRPr="00817921">
        <w:rPr>
          <w:rFonts w:ascii="Times New Roman" w:hAnsi="Times New Roman" w:cs="Times New Roman"/>
          <w:iCs/>
          <w:lang w:val="sq-AL"/>
        </w:rPr>
        <w:t>sit</w:t>
      </w:r>
      <w:r w:rsidR="009A5A0E" w:rsidRPr="00817921">
        <w:rPr>
          <w:rFonts w:ascii="Times New Roman" w:hAnsi="Times New Roman" w:cs="Times New Roman"/>
          <w:iCs/>
          <w:lang w:val="sq-AL"/>
        </w:rPr>
        <w:t>ë</w:t>
      </w:r>
      <w:r w:rsidR="002E3B4D" w:rsidRPr="00817921">
        <w:rPr>
          <w:rFonts w:ascii="Times New Roman" w:hAnsi="Times New Roman" w:cs="Times New Roman"/>
          <w:iCs/>
          <w:lang w:val="sq-AL"/>
        </w:rPr>
        <w:t xml:space="preserve"> e pushtetit vendor si dhe </w:t>
      </w:r>
      <w:r w:rsidR="008171AD" w:rsidRPr="00817921">
        <w:rPr>
          <w:rFonts w:ascii="Times New Roman" w:hAnsi="Times New Roman" w:cs="Times New Roman"/>
          <w:iCs/>
          <w:lang w:val="sq-AL"/>
        </w:rPr>
        <w:t>me p</w:t>
      </w:r>
      <w:r w:rsidR="009A5A0E" w:rsidRPr="00817921">
        <w:rPr>
          <w:rFonts w:ascii="Times New Roman" w:hAnsi="Times New Roman" w:cs="Times New Roman"/>
          <w:iCs/>
          <w:lang w:val="sq-AL"/>
        </w:rPr>
        <w:t>ë</w:t>
      </w:r>
      <w:r w:rsidR="008171AD" w:rsidRPr="00817921">
        <w:rPr>
          <w:rFonts w:ascii="Times New Roman" w:hAnsi="Times New Roman" w:cs="Times New Roman"/>
          <w:iCs/>
          <w:lang w:val="sq-AL"/>
        </w:rPr>
        <w:t>rpjekjet p</w:t>
      </w:r>
      <w:r w:rsidR="009A5A0E" w:rsidRPr="00817921">
        <w:rPr>
          <w:rFonts w:ascii="Times New Roman" w:hAnsi="Times New Roman" w:cs="Times New Roman"/>
          <w:iCs/>
          <w:lang w:val="sq-AL"/>
        </w:rPr>
        <w:t>ë</w:t>
      </w:r>
      <w:r w:rsidR="008171AD" w:rsidRPr="00817921">
        <w:rPr>
          <w:rFonts w:ascii="Times New Roman" w:hAnsi="Times New Roman" w:cs="Times New Roman"/>
          <w:iCs/>
          <w:lang w:val="sq-AL"/>
        </w:rPr>
        <w:t>r t</w:t>
      </w:r>
      <w:r w:rsidR="009A5A0E" w:rsidRPr="00817921">
        <w:rPr>
          <w:rFonts w:ascii="Times New Roman" w:hAnsi="Times New Roman" w:cs="Times New Roman"/>
          <w:iCs/>
          <w:lang w:val="sq-AL"/>
        </w:rPr>
        <w:t>ë</w:t>
      </w:r>
      <w:r w:rsidR="008171AD" w:rsidRPr="00817921">
        <w:rPr>
          <w:rFonts w:ascii="Times New Roman" w:hAnsi="Times New Roman" w:cs="Times New Roman"/>
          <w:iCs/>
          <w:lang w:val="sq-AL"/>
        </w:rPr>
        <w:t xml:space="preserve"> zhvilluar modelet e para</w:t>
      </w:r>
      <w:r w:rsidR="002E3B4D" w:rsidRPr="00817921">
        <w:rPr>
          <w:rFonts w:ascii="Times New Roman" w:hAnsi="Times New Roman" w:cs="Times New Roman"/>
          <w:iCs/>
          <w:lang w:val="sq-AL"/>
        </w:rPr>
        <w:t xml:space="preserve"> t</w:t>
      </w:r>
      <w:r w:rsidR="009A5A0E" w:rsidRPr="00817921">
        <w:rPr>
          <w:rFonts w:ascii="Times New Roman" w:hAnsi="Times New Roman" w:cs="Times New Roman"/>
          <w:iCs/>
          <w:lang w:val="sq-AL"/>
        </w:rPr>
        <w:t>ë</w:t>
      </w:r>
      <w:r w:rsidR="002E3B4D" w:rsidRPr="00817921">
        <w:rPr>
          <w:rFonts w:ascii="Times New Roman" w:hAnsi="Times New Roman" w:cs="Times New Roman"/>
          <w:iCs/>
          <w:lang w:val="sq-AL"/>
        </w:rPr>
        <w:t xml:space="preserve"> planeve sociale </w:t>
      </w:r>
      <w:r w:rsidR="008171AD" w:rsidRPr="00817921">
        <w:rPr>
          <w:rFonts w:ascii="Times New Roman" w:hAnsi="Times New Roman" w:cs="Times New Roman"/>
          <w:iCs/>
          <w:lang w:val="sq-AL"/>
        </w:rPr>
        <w:t>lokale dhe t</w:t>
      </w:r>
      <w:r w:rsidR="009A5A0E" w:rsidRPr="00817921">
        <w:rPr>
          <w:rFonts w:ascii="Times New Roman" w:hAnsi="Times New Roman" w:cs="Times New Roman"/>
          <w:iCs/>
          <w:lang w:val="sq-AL"/>
        </w:rPr>
        <w:t>ë</w:t>
      </w:r>
      <w:r w:rsidR="008171AD" w:rsidRPr="00817921">
        <w:rPr>
          <w:rFonts w:ascii="Times New Roman" w:hAnsi="Times New Roman" w:cs="Times New Roman"/>
          <w:iCs/>
          <w:lang w:val="sq-AL"/>
        </w:rPr>
        <w:t xml:space="preserve"> </w:t>
      </w:r>
      <w:r w:rsidR="00AB4D37">
        <w:rPr>
          <w:rFonts w:ascii="Times New Roman" w:hAnsi="Times New Roman" w:cs="Times New Roman"/>
          <w:iCs/>
          <w:lang w:val="sq-AL"/>
        </w:rPr>
        <w:t>proçes</w:t>
      </w:r>
      <w:r w:rsidR="008171AD" w:rsidRPr="00817921">
        <w:rPr>
          <w:rFonts w:ascii="Times New Roman" w:hAnsi="Times New Roman" w:cs="Times New Roman"/>
          <w:iCs/>
          <w:lang w:val="sq-AL"/>
        </w:rPr>
        <w:t xml:space="preserve">eve planifikuese, financuese, zbatuese, monitoruese, inspektuese dhe vlerësuese të tyre. </w:t>
      </w:r>
      <w:r w:rsidR="00657518" w:rsidRPr="00817921">
        <w:rPr>
          <w:rFonts w:ascii="Times New Roman" w:hAnsi="Times New Roman" w:cs="Times New Roman"/>
          <w:iCs/>
          <w:lang w:val="sq-AL"/>
        </w:rPr>
        <w:t xml:space="preserve">Aktualisht mbulimi i shërbimeve sociale mbetet i ulët dhe shërbimet sociale kanë qenë dhe mbeten aktualisht të nënfinancuara. </w:t>
      </w:r>
      <w:r w:rsidR="002415A1" w:rsidRPr="00817921">
        <w:rPr>
          <w:rFonts w:ascii="Times New Roman" w:hAnsi="Times New Roman" w:cs="Times New Roman"/>
          <w:iCs/>
          <w:lang w:val="sq-AL"/>
        </w:rPr>
        <w:t>P</w:t>
      </w:r>
      <w:r w:rsidR="009A5A0E" w:rsidRPr="00817921">
        <w:rPr>
          <w:rFonts w:ascii="Times New Roman" w:hAnsi="Times New Roman" w:cs="Times New Roman"/>
          <w:iCs/>
          <w:lang w:val="sq-AL"/>
        </w:rPr>
        <w:t>ë</w:t>
      </w:r>
      <w:r w:rsidR="002415A1" w:rsidRPr="00817921">
        <w:rPr>
          <w:rFonts w:ascii="Times New Roman" w:hAnsi="Times New Roman" w:cs="Times New Roman"/>
          <w:iCs/>
          <w:lang w:val="sq-AL"/>
        </w:rPr>
        <w:t>r t</w:t>
      </w:r>
      <w:r w:rsidR="009A5A0E" w:rsidRPr="00817921">
        <w:rPr>
          <w:rFonts w:ascii="Times New Roman" w:hAnsi="Times New Roman" w:cs="Times New Roman"/>
          <w:iCs/>
          <w:lang w:val="sq-AL"/>
        </w:rPr>
        <w:t>ë</w:t>
      </w:r>
      <w:r w:rsidR="002415A1" w:rsidRPr="00817921">
        <w:rPr>
          <w:rFonts w:ascii="Times New Roman" w:hAnsi="Times New Roman" w:cs="Times New Roman"/>
          <w:iCs/>
          <w:lang w:val="sq-AL"/>
        </w:rPr>
        <w:t xml:space="preserve"> mb</w:t>
      </w:r>
      <w:r w:rsidR="009A5A0E" w:rsidRPr="00817921">
        <w:rPr>
          <w:rFonts w:ascii="Times New Roman" w:hAnsi="Times New Roman" w:cs="Times New Roman"/>
          <w:iCs/>
          <w:lang w:val="sq-AL"/>
        </w:rPr>
        <w:t>ë</w:t>
      </w:r>
      <w:r w:rsidR="002415A1" w:rsidRPr="00817921">
        <w:rPr>
          <w:rFonts w:ascii="Times New Roman" w:hAnsi="Times New Roman" w:cs="Times New Roman"/>
          <w:iCs/>
          <w:lang w:val="sq-AL"/>
        </w:rPr>
        <w:t>shtetur shtrirjen e sh</w:t>
      </w:r>
      <w:r w:rsidR="009A5A0E" w:rsidRPr="00817921">
        <w:rPr>
          <w:rFonts w:ascii="Times New Roman" w:hAnsi="Times New Roman" w:cs="Times New Roman"/>
          <w:iCs/>
          <w:lang w:val="sq-AL"/>
        </w:rPr>
        <w:t>ë</w:t>
      </w:r>
      <w:r w:rsidR="002415A1" w:rsidRPr="00817921">
        <w:rPr>
          <w:rFonts w:ascii="Times New Roman" w:hAnsi="Times New Roman" w:cs="Times New Roman"/>
          <w:iCs/>
          <w:lang w:val="sq-AL"/>
        </w:rPr>
        <w:t>rbimeve dhe krijimin e modeleve t</w:t>
      </w:r>
      <w:r w:rsidR="009A5A0E" w:rsidRPr="00817921">
        <w:rPr>
          <w:rFonts w:ascii="Times New Roman" w:hAnsi="Times New Roman" w:cs="Times New Roman"/>
          <w:iCs/>
          <w:lang w:val="sq-AL"/>
        </w:rPr>
        <w:t>ë</w:t>
      </w:r>
      <w:r w:rsidR="002415A1" w:rsidRPr="00817921">
        <w:rPr>
          <w:rFonts w:ascii="Times New Roman" w:hAnsi="Times New Roman" w:cs="Times New Roman"/>
          <w:iCs/>
          <w:lang w:val="sq-AL"/>
        </w:rPr>
        <w:t xml:space="preserve"> avancuara t</w:t>
      </w:r>
      <w:r w:rsidR="009A5A0E" w:rsidRPr="00817921">
        <w:rPr>
          <w:rFonts w:ascii="Times New Roman" w:hAnsi="Times New Roman" w:cs="Times New Roman"/>
          <w:iCs/>
          <w:lang w:val="sq-AL"/>
        </w:rPr>
        <w:t>ë</w:t>
      </w:r>
      <w:r w:rsidR="002415A1" w:rsidRPr="00817921">
        <w:rPr>
          <w:rFonts w:ascii="Times New Roman" w:hAnsi="Times New Roman" w:cs="Times New Roman"/>
          <w:iCs/>
          <w:lang w:val="sq-AL"/>
        </w:rPr>
        <w:t xml:space="preserve"> sh</w:t>
      </w:r>
      <w:r w:rsidR="009A5A0E" w:rsidRPr="00817921">
        <w:rPr>
          <w:rFonts w:ascii="Times New Roman" w:hAnsi="Times New Roman" w:cs="Times New Roman"/>
          <w:iCs/>
          <w:lang w:val="sq-AL"/>
        </w:rPr>
        <w:t>ë</w:t>
      </w:r>
      <w:r w:rsidR="002415A1" w:rsidRPr="00817921">
        <w:rPr>
          <w:rFonts w:ascii="Times New Roman" w:hAnsi="Times New Roman" w:cs="Times New Roman"/>
          <w:iCs/>
          <w:lang w:val="sq-AL"/>
        </w:rPr>
        <w:t xml:space="preserve">rbimeve sociale </w:t>
      </w:r>
      <w:r w:rsidR="009A5A0E" w:rsidRPr="00817921">
        <w:rPr>
          <w:rFonts w:ascii="Times New Roman" w:hAnsi="Times New Roman" w:cs="Times New Roman"/>
          <w:iCs/>
          <w:lang w:val="sq-AL"/>
        </w:rPr>
        <w:t>ë</w:t>
      </w:r>
      <w:r w:rsidR="002415A1" w:rsidRPr="00817921">
        <w:rPr>
          <w:rFonts w:ascii="Times New Roman" w:hAnsi="Times New Roman" w:cs="Times New Roman"/>
          <w:iCs/>
          <w:lang w:val="sq-AL"/>
        </w:rPr>
        <w:t>sht</w:t>
      </w:r>
      <w:r w:rsidR="009A5A0E" w:rsidRPr="00817921">
        <w:rPr>
          <w:rFonts w:ascii="Times New Roman" w:hAnsi="Times New Roman" w:cs="Times New Roman"/>
          <w:iCs/>
          <w:lang w:val="sq-AL"/>
        </w:rPr>
        <w:t>ë</w:t>
      </w:r>
      <w:r w:rsidR="002415A1" w:rsidRPr="00817921">
        <w:rPr>
          <w:rFonts w:ascii="Times New Roman" w:hAnsi="Times New Roman" w:cs="Times New Roman"/>
          <w:iCs/>
          <w:lang w:val="sq-AL"/>
        </w:rPr>
        <w:t xml:space="preserve"> krijuar nj</w:t>
      </w:r>
      <w:r w:rsidR="009A5A0E" w:rsidRPr="00817921">
        <w:rPr>
          <w:rFonts w:ascii="Times New Roman" w:hAnsi="Times New Roman" w:cs="Times New Roman"/>
          <w:iCs/>
          <w:lang w:val="sq-AL"/>
        </w:rPr>
        <w:t>ë</w:t>
      </w:r>
      <w:r w:rsidR="002415A1" w:rsidRPr="00817921">
        <w:rPr>
          <w:rFonts w:ascii="Times New Roman" w:hAnsi="Times New Roman" w:cs="Times New Roman"/>
          <w:iCs/>
          <w:lang w:val="sq-AL"/>
        </w:rPr>
        <w:t xml:space="preserve"> instrument financiar i posaç</w:t>
      </w:r>
      <w:r w:rsidR="009A5A0E" w:rsidRPr="00817921">
        <w:rPr>
          <w:rFonts w:ascii="Times New Roman" w:hAnsi="Times New Roman" w:cs="Times New Roman"/>
          <w:iCs/>
          <w:lang w:val="sq-AL"/>
        </w:rPr>
        <w:t>ë</w:t>
      </w:r>
      <w:r w:rsidR="002415A1" w:rsidRPr="00817921">
        <w:rPr>
          <w:rFonts w:ascii="Times New Roman" w:hAnsi="Times New Roman" w:cs="Times New Roman"/>
          <w:iCs/>
          <w:lang w:val="sq-AL"/>
        </w:rPr>
        <w:t>m, Fondi Social</w:t>
      </w:r>
      <w:r w:rsidR="00075C17">
        <w:rPr>
          <w:rFonts w:ascii="Times New Roman" w:hAnsi="Times New Roman" w:cs="Times New Roman"/>
          <w:iCs/>
          <w:lang w:val="sq-AL"/>
        </w:rPr>
        <w:t xml:space="preserve"> p</w:t>
      </w:r>
      <w:r w:rsidR="00075C17" w:rsidRPr="002C0D3E">
        <w:rPr>
          <w:rFonts w:ascii="Times New Roman" w:hAnsi="Times New Roman" w:cs="Times New Roman"/>
          <w:iCs/>
          <w:lang w:val="sq-AL"/>
        </w:rPr>
        <w:t>ë</w:t>
      </w:r>
      <w:r w:rsidR="00075C17">
        <w:rPr>
          <w:rFonts w:ascii="Times New Roman" w:hAnsi="Times New Roman" w:cs="Times New Roman"/>
          <w:iCs/>
          <w:lang w:val="sq-AL"/>
        </w:rPr>
        <w:t>r financimin e sh</w:t>
      </w:r>
      <w:r w:rsidR="00075C17" w:rsidRPr="002C0D3E">
        <w:rPr>
          <w:rFonts w:ascii="Times New Roman" w:hAnsi="Times New Roman" w:cs="Times New Roman"/>
          <w:iCs/>
          <w:lang w:val="sq-AL"/>
        </w:rPr>
        <w:t>ë</w:t>
      </w:r>
      <w:r w:rsidR="00075C17">
        <w:rPr>
          <w:rFonts w:ascii="Times New Roman" w:hAnsi="Times New Roman" w:cs="Times New Roman"/>
          <w:iCs/>
          <w:lang w:val="sq-AL"/>
        </w:rPr>
        <w:t>rbimeve t</w:t>
      </w:r>
      <w:r w:rsidR="00075C17" w:rsidRPr="002C0D3E">
        <w:rPr>
          <w:rFonts w:ascii="Times New Roman" w:hAnsi="Times New Roman" w:cs="Times New Roman"/>
          <w:iCs/>
          <w:lang w:val="sq-AL"/>
        </w:rPr>
        <w:t>ë</w:t>
      </w:r>
      <w:r w:rsidR="00075C17">
        <w:rPr>
          <w:rFonts w:ascii="Times New Roman" w:hAnsi="Times New Roman" w:cs="Times New Roman"/>
          <w:iCs/>
          <w:lang w:val="sq-AL"/>
        </w:rPr>
        <w:t xml:space="preserve"> kujdesit social.</w:t>
      </w:r>
    </w:p>
    <w:p w14:paraId="2821F191" w14:textId="3A85817A" w:rsidR="0059694F" w:rsidRPr="00817921" w:rsidRDefault="002415A1" w:rsidP="0059694F">
      <w:pPr>
        <w:autoSpaceDE w:val="0"/>
        <w:autoSpaceDN w:val="0"/>
        <w:adjustRightInd w:val="0"/>
        <w:rPr>
          <w:rFonts w:ascii="Times New Roman" w:hAnsi="Times New Roman" w:cs="Times New Roman"/>
          <w:iCs/>
          <w:lang w:val="sq-AL"/>
        </w:rPr>
      </w:pPr>
      <w:r w:rsidRPr="00817921">
        <w:rPr>
          <w:rFonts w:ascii="Times New Roman" w:hAnsi="Times New Roman" w:cs="Times New Roman"/>
          <w:iCs/>
          <w:lang w:val="sq-AL"/>
        </w:rPr>
        <w:t xml:space="preserve"> </w:t>
      </w:r>
    </w:p>
    <w:p w14:paraId="37169ECC" w14:textId="706E8CF5" w:rsidR="00657518" w:rsidRDefault="00186F15" w:rsidP="00657518">
      <w:pPr>
        <w:autoSpaceDE w:val="0"/>
        <w:autoSpaceDN w:val="0"/>
        <w:adjustRightInd w:val="0"/>
        <w:rPr>
          <w:rFonts w:ascii="Times New Roman" w:hAnsi="Times New Roman" w:cs="Times New Roman"/>
          <w:iCs/>
          <w:vertAlign w:val="superscript"/>
          <w:lang w:val="sq-AL"/>
        </w:rPr>
      </w:pPr>
      <w:r>
        <w:rPr>
          <w:rFonts w:ascii="Times New Roman" w:hAnsi="Times New Roman" w:cs="Times New Roman"/>
          <w:iCs/>
          <w:lang w:val="sq-AL"/>
        </w:rPr>
        <w:t>Nisja e pun</w:t>
      </w:r>
      <w:r w:rsidRPr="002C0D3E">
        <w:rPr>
          <w:rFonts w:ascii="Times New Roman" w:hAnsi="Times New Roman" w:cs="Times New Roman"/>
          <w:iCs/>
          <w:lang w:val="sq-AL"/>
        </w:rPr>
        <w:t>ë</w:t>
      </w:r>
      <w:r>
        <w:rPr>
          <w:rFonts w:ascii="Times New Roman" w:hAnsi="Times New Roman" w:cs="Times New Roman"/>
          <w:iCs/>
          <w:lang w:val="sq-AL"/>
        </w:rPr>
        <w:t>s me pro</w:t>
      </w:r>
      <w:r w:rsidRPr="00817921">
        <w:rPr>
          <w:rFonts w:ascii="Times New Roman" w:hAnsi="Times New Roman" w:cs="Times New Roman"/>
          <w:iCs/>
          <w:lang w:val="sq-AL"/>
        </w:rPr>
        <w:t>ç</w:t>
      </w:r>
      <w:r>
        <w:rPr>
          <w:rFonts w:ascii="Times New Roman" w:hAnsi="Times New Roman" w:cs="Times New Roman"/>
          <w:iCs/>
          <w:lang w:val="sq-AL"/>
        </w:rPr>
        <w:t>esin e n</w:t>
      </w:r>
      <w:r w:rsidR="00657518" w:rsidRPr="00817921">
        <w:rPr>
          <w:rFonts w:ascii="Times New Roman" w:hAnsi="Times New Roman" w:cs="Times New Roman"/>
          <w:iCs/>
          <w:lang w:val="sq-AL"/>
        </w:rPr>
        <w:t>egocimi</w:t>
      </w:r>
      <w:r>
        <w:rPr>
          <w:rFonts w:ascii="Times New Roman" w:hAnsi="Times New Roman" w:cs="Times New Roman"/>
          <w:iCs/>
          <w:lang w:val="sq-AL"/>
        </w:rPr>
        <w:t>t</w:t>
      </w:r>
      <w:r w:rsidR="00657518" w:rsidRPr="00817921">
        <w:rPr>
          <w:rFonts w:ascii="Times New Roman" w:hAnsi="Times New Roman" w:cs="Times New Roman"/>
          <w:iCs/>
          <w:lang w:val="sq-AL"/>
        </w:rPr>
        <w:t xml:space="preserve"> dhe përafrimi për kapitujt 19 dhe 23 të integrimit në BE, e për më tepër, harmonizimi i vijuar me dokumentet politike të BE-së, me parimet e Shtyllës Europiane për të drejtat sociale</w:t>
      </w:r>
      <w:r w:rsidR="00657518" w:rsidRPr="00817921">
        <w:rPr>
          <w:rFonts w:ascii="Times New Roman" w:hAnsi="Times New Roman" w:cs="Times New Roman"/>
          <w:iCs/>
          <w:vertAlign w:val="superscript"/>
          <w:lang w:val="sq-AL"/>
        </w:rPr>
        <w:footnoteReference w:id="52"/>
      </w:r>
      <w:r w:rsidR="00657518" w:rsidRPr="00817921">
        <w:rPr>
          <w:rFonts w:ascii="Times New Roman" w:hAnsi="Times New Roman" w:cs="Times New Roman"/>
          <w:iCs/>
          <w:lang w:val="sq-AL"/>
        </w:rPr>
        <w:t xml:space="preserve"> dhe Strategjinë përkatëse</w:t>
      </w:r>
      <w:r w:rsidR="00657518" w:rsidRPr="00817921">
        <w:rPr>
          <w:rFonts w:ascii="Times New Roman" w:hAnsi="Times New Roman" w:cs="Times New Roman"/>
          <w:iCs/>
          <w:vertAlign w:val="superscript"/>
          <w:lang w:val="sq-AL"/>
        </w:rPr>
        <w:footnoteReference w:id="53"/>
      </w:r>
      <w:r w:rsidR="00657518" w:rsidRPr="00817921">
        <w:rPr>
          <w:rFonts w:ascii="Times New Roman" w:hAnsi="Times New Roman" w:cs="Times New Roman"/>
          <w:iCs/>
          <w:vertAlign w:val="superscript"/>
          <w:lang w:val="sq-AL"/>
        </w:rPr>
        <w:t>,</w:t>
      </w:r>
      <w:r w:rsidR="00657518" w:rsidRPr="00817921">
        <w:rPr>
          <w:rFonts w:ascii="Times New Roman" w:hAnsi="Times New Roman" w:cs="Times New Roman"/>
          <w:iCs/>
          <w:lang w:val="sq-AL"/>
        </w:rPr>
        <w:t xml:space="preserve"> si dhe me politikat dhe praktikat Europiane</w:t>
      </w:r>
      <w:r w:rsidR="00657518" w:rsidRPr="00817921">
        <w:rPr>
          <w:rFonts w:ascii="Times New Roman" w:hAnsi="Times New Roman" w:cs="Times New Roman"/>
          <w:iCs/>
          <w:vertAlign w:val="superscript"/>
          <w:lang w:val="sq-AL"/>
        </w:rPr>
        <w:footnoteReference w:id="54"/>
      </w:r>
      <w:r w:rsidR="00657518" w:rsidRPr="00817921">
        <w:rPr>
          <w:rFonts w:ascii="Times New Roman" w:hAnsi="Times New Roman" w:cs="Times New Roman"/>
          <w:iCs/>
          <w:vertAlign w:val="superscript"/>
          <w:lang w:val="sq-AL"/>
        </w:rPr>
        <w:t xml:space="preserve"> </w:t>
      </w:r>
      <w:r w:rsidR="00657518" w:rsidRPr="00817921">
        <w:rPr>
          <w:rFonts w:ascii="Times New Roman" w:hAnsi="Times New Roman" w:cs="Times New Roman"/>
          <w:iCs/>
          <w:lang w:val="sq-AL"/>
        </w:rPr>
        <w:t>për mbrojtjen sociale ka ndikuar pozitivisht që mbrojtja dhe përfshirja sociale e grupeve në nevojë në Shqipërinë e viteve të fundit, të marrin një tjetër dimension, orientuar kryesisht te veprimet konkrete dhe masat e integruara me në qendër individin dhe familjen, te rikonceptimi i burimeve dhe financimit, te futja e instrumenteve të reja të mbulimit, te transformimi i shërbimeve sociale përmes digjitalizimit duke rritur aksesin dhe qëndrueshmërinë, por edhe te mbështetja dhe tërheqja e punonjëvse socialë në sektor</w:t>
      </w:r>
      <w:r w:rsidR="00657518" w:rsidRPr="00817921">
        <w:rPr>
          <w:rFonts w:ascii="Times New Roman" w:hAnsi="Times New Roman" w:cs="Times New Roman"/>
          <w:iCs/>
          <w:vertAlign w:val="superscript"/>
          <w:lang w:val="sq-AL"/>
        </w:rPr>
        <w:footnoteReference w:id="55"/>
      </w:r>
      <w:r w:rsidR="00657518" w:rsidRPr="00817921">
        <w:rPr>
          <w:rFonts w:ascii="Times New Roman" w:hAnsi="Times New Roman" w:cs="Times New Roman"/>
          <w:iCs/>
          <w:lang w:val="sq-AL"/>
        </w:rPr>
        <w:t>. Në linjë me objektivat e PKIE 2023-2025 dhe IPA, rekomandimi përkatës në Programin Afatmesëm të Reformave Ekonomike i dedikohet ndërtimit të kapaciteteve të qeverisjes lokale për planifikimin dhe ofrimin e shërbimeve sociale, në mënyrë specifike edhe për mbështetjen përmes Fondit Social, me qëllim adresimin e sfidës kyçe të rritjes së mbulimit dhe përshtatshmërisë së mbrojtjes sociale</w:t>
      </w:r>
      <w:r w:rsidR="00657518" w:rsidRPr="00817921">
        <w:rPr>
          <w:rFonts w:ascii="Times New Roman" w:hAnsi="Times New Roman" w:cs="Times New Roman"/>
          <w:iCs/>
          <w:vertAlign w:val="superscript"/>
          <w:lang w:val="sq-AL"/>
        </w:rPr>
        <w:footnoteReference w:id="56"/>
      </w:r>
      <w:r w:rsidR="00657518" w:rsidRPr="00817921">
        <w:rPr>
          <w:rFonts w:ascii="Times New Roman" w:hAnsi="Times New Roman" w:cs="Times New Roman"/>
          <w:iCs/>
          <w:vertAlign w:val="superscript"/>
          <w:lang w:val="sq-AL"/>
        </w:rPr>
        <w:t>.</w:t>
      </w:r>
    </w:p>
    <w:p w14:paraId="0DC795DD" w14:textId="54F3A3CA" w:rsidR="00075C17" w:rsidRDefault="00075C17" w:rsidP="00657518">
      <w:pPr>
        <w:autoSpaceDE w:val="0"/>
        <w:autoSpaceDN w:val="0"/>
        <w:adjustRightInd w:val="0"/>
        <w:rPr>
          <w:rFonts w:ascii="Times New Roman" w:hAnsi="Times New Roman" w:cs="Times New Roman"/>
          <w:iCs/>
          <w:lang w:val="sq-AL"/>
        </w:rPr>
      </w:pPr>
    </w:p>
    <w:p w14:paraId="47D7A660" w14:textId="3999702C" w:rsidR="00657518" w:rsidRDefault="003B78BC" w:rsidP="0059694F">
      <w:pPr>
        <w:autoSpaceDE w:val="0"/>
        <w:autoSpaceDN w:val="0"/>
        <w:adjustRightInd w:val="0"/>
        <w:rPr>
          <w:rFonts w:ascii="Times New Roman" w:hAnsi="Times New Roman" w:cs="Times New Roman"/>
          <w:b/>
          <w:bCs/>
          <w:iCs/>
          <w:lang w:val="sq-AL"/>
        </w:rPr>
      </w:pPr>
      <w:r w:rsidRPr="00817921">
        <w:rPr>
          <w:rFonts w:ascii="Times New Roman" w:hAnsi="Times New Roman" w:cs="Times New Roman"/>
          <w:b/>
          <w:bCs/>
          <w:iCs/>
          <w:lang w:val="sq-AL"/>
        </w:rPr>
        <w:t>1.3.2</w:t>
      </w:r>
      <w:r w:rsidRPr="00817921">
        <w:rPr>
          <w:rFonts w:ascii="Times New Roman" w:hAnsi="Times New Roman" w:cs="Times New Roman"/>
          <w:b/>
          <w:bCs/>
          <w:iCs/>
          <w:lang w:val="sq-AL"/>
        </w:rPr>
        <w:tab/>
      </w:r>
      <w:r w:rsidR="00F56F28" w:rsidRPr="00817921">
        <w:rPr>
          <w:rFonts w:ascii="Times New Roman" w:hAnsi="Times New Roman" w:cs="Times New Roman"/>
          <w:b/>
          <w:bCs/>
          <w:iCs/>
          <w:lang w:val="sq-AL"/>
        </w:rPr>
        <w:t xml:space="preserve">Instrumentet </w:t>
      </w:r>
      <w:r w:rsidR="006F54E3" w:rsidRPr="00817921">
        <w:rPr>
          <w:rFonts w:ascii="Times New Roman" w:hAnsi="Times New Roman" w:cs="Times New Roman"/>
          <w:b/>
          <w:bCs/>
          <w:iCs/>
          <w:lang w:val="sq-AL"/>
        </w:rPr>
        <w:t>mb</w:t>
      </w:r>
      <w:r w:rsidR="009A5A0E" w:rsidRPr="00817921">
        <w:rPr>
          <w:rFonts w:ascii="Times New Roman" w:hAnsi="Times New Roman" w:cs="Times New Roman"/>
          <w:b/>
          <w:bCs/>
          <w:iCs/>
          <w:lang w:val="sq-AL"/>
        </w:rPr>
        <w:t>ë</w:t>
      </w:r>
      <w:r w:rsidR="006F54E3" w:rsidRPr="00817921">
        <w:rPr>
          <w:rFonts w:ascii="Times New Roman" w:hAnsi="Times New Roman" w:cs="Times New Roman"/>
          <w:b/>
          <w:bCs/>
          <w:iCs/>
          <w:lang w:val="sq-AL"/>
        </w:rPr>
        <w:t>shtet</w:t>
      </w:r>
      <w:r w:rsidR="009A5A0E" w:rsidRPr="00817921">
        <w:rPr>
          <w:rFonts w:ascii="Times New Roman" w:hAnsi="Times New Roman" w:cs="Times New Roman"/>
          <w:b/>
          <w:bCs/>
          <w:iCs/>
          <w:lang w:val="sq-AL"/>
        </w:rPr>
        <w:t>ë</w:t>
      </w:r>
      <w:r w:rsidR="006F54E3" w:rsidRPr="00817921">
        <w:rPr>
          <w:rFonts w:ascii="Times New Roman" w:hAnsi="Times New Roman" w:cs="Times New Roman"/>
          <w:b/>
          <w:bCs/>
          <w:iCs/>
          <w:lang w:val="sq-AL"/>
        </w:rPr>
        <w:t>se</w:t>
      </w:r>
      <w:r w:rsidR="00F56F28" w:rsidRPr="00817921">
        <w:rPr>
          <w:rFonts w:ascii="Times New Roman" w:hAnsi="Times New Roman" w:cs="Times New Roman"/>
          <w:b/>
          <w:bCs/>
          <w:iCs/>
          <w:lang w:val="sq-AL"/>
        </w:rPr>
        <w:t xml:space="preserve"> t</w:t>
      </w:r>
      <w:r w:rsidR="009A5A0E" w:rsidRPr="00817921">
        <w:rPr>
          <w:rFonts w:ascii="Times New Roman" w:hAnsi="Times New Roman" w:cs="Times New Roman"/>
          <w:b/>
          <w:bCs/>
          <w:iCs/>
          <w:lang w:val="sq-AL"/>
        </w:rPr>
        <w:t>ë</w:t>
      </w:r>
      <w:r w:rsidR="00F56F28" w:rsidRPr="00817921">
        <w:rPr>
          <w:rFonts w:ascii="Times New Roman" w:hAnsi="Times New Roman" w:cs="Times New Roman"/>
          <w:b/>
          <w:bCs/>
          <w:iCs/>
          <w:lang w:val="sq-AL"/>
        </w:rPr>
        <w:t xml:space="preserve"> </w:t>
      </w:r>
      <w:r w:rsidR="00BD5FFD" w:rsidRPr="00817921">
        <w:rPr>
          <w:rFonts w:ascii="Times New Roman" w:hAnsi="Times New Roman" w:cs="Times New Roman"/>
          <w:b/>
          <w:bCs/>
          <w:iCs/>
          <w:lang w:val="sq-AL"/>
        </w:rPr>
        <w:t>reformave</w:t>
      </w:r>
    </w:p>
    <w:p w14:paraId="4E71154F" w14:textId="77777777" w:rsidR="00A65287" w:rsidRPr="00817921" w:rsidRDefault="00A65287" w:rsidP="0059694F">
      <w:pPr>
        <w:autoSpaceDE w:val="0"/>
        <w:autoSpaceDN w:val="0"/>
        <w:adjustRightInd w:val="0"/>
        <w:rPr>
          <w:rFonts w:ascii="Times New Roman" w:hAnsi="Times New Roman" w:cs="Times New Roman"/>
          <w:b/>
          <w:bCs/>
          <w:iCs/>
          <w:lang w:val="sq-AL"/>
        </w:rPr>
      </w:pPr>
    </w:p>
    <w:p w14:paraId="4A7E1E30" w14:textId="34C3971D" w:rsidR="009A6292" w:rsidRDefault="006F54E3" w:rsidP="007A7501">
      <w:pPr>
        <w:rPr>
          <w:rFonts w:ascii="Times New Roman" w:hAnsi="Times New Roman" w:cs="Times New Roman"/>
          <w:lang w:val="it-IT"/>
        </w:rPr>
      </w:pPr>
      <w:proofErr w:type="spellStart"/>
      <w:r w:rsidRPr="00817921">
        <w:rPr>
          <w:rFonts w:ascii="Times New Roman" w:hAnsi="Times New Roman" w:cs="Times New Roman"/>
          <w:b/>
          <w:bCs/>
          <w:color w:val="242424"/>
          <w:szCs w:val="22"/>
          <w:bdr w:val="none" w:sz="0" w:space="0" w:color="auto" w:frame="1"/>
          <w:lang w:val="fr-FR"/>
        </w:rPr>
        <w:t>Programi</w:t>
      </w:r>
      <w:proofErr w:type="spellEnd"/>
      <w:r w:rsidRPr="00817921">
        <w:rPr>
          <w:rFonts w:ascii="Times New Roman" w:hAnsi="Times New Roman" w:cs="Times New Roman"/>
          <w:b/>
          <w:bCs/>
          <w:color w:val="242424"/>
          <w:szCs w:val="22"/>
          <w:bdr w:val="none" w:sz="0" w:space="0" w:color="auto" w:frame="1"/>
          <w:lang w:val="fr-FR"/>
        </w:rPr>
        <w:t xml:space="preserve"> i </w:t>
      </w:r>
      <w:proofErr w:type="spellStart"/>
      <w:r w:rsidRPr="00817921">
        <w:rPr>
          <w:rFonts w:ascii="Times New Roman" w:hAnsi="Times New Roman" w:cs="Times New Roman"/>
          <w:b/>
          <w:bCs/>
          <w:color w:val="242424"/>
          <w:szCs w:val="22"/>
          <w:bdr w:val="none" w:sz="0" w:space="0" w:color="auto" w:frame="1"/>
          <w:lang w:val="fr-FR"/>
        </w:rPr>
        <w:t>daljes</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nga</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skema</w:t>
      </w:r>
      <w:proofErr w:type="spellEnd"/>
      <w:r w:rsidRPr="00817921">
        <w:rPr>
          <w:rFonts w:ascii="Times New Roman" w:hAnsi="Times New Roman" w:cs="Times New Roman"/>
          <w:b/>
          <w:bCs/>
          <w:color w:val="242424"/>
          <w:szCs w:val="22"/>
          <w:bdr w:val="none" w:sz="0" w:space="0" w:color="auto" w:frame="1"/>
          <w:lang w:val="fr-FR"/>
        </w:rPr>
        <w:t xml:space="preserve"> e NE</w:t>
      </w:r>
      <w:r w:rsidR="007A7501" w:rsidRPr="00817921">
        <w:rPr>
          <w:rFonts w:ascii="Times New Roman" w:hAnsi="Times New Roman" w:cs="Times New Roman"/>
          <w:b/>
          <w:bCs/>
          <w:color w:val="242424"/>
          <w:szCs w:val="22"/>
          <w:bdr w:val="none" w:sz="0" w:space="0" w:color="auto" w:frame="1"/>
          <w:lang w:val="fr-FR"/>
        </w:rPr>
        <w:t xml:space="preserve">. </w:t>
      </w:r>
      <w:r w:rsidR="009A6292" w:rsidRPr="00817921">
        <w:rPr>
          <w:rFonts w:ascii="Times New Roman" w:hAnsi="Times New Roman" w:cs="Times New Roman"/>
          <w:lang w:val="it-IT"/>
        </w:rPr>
        <w:t xml:space="preserve">Punësimi i anëtarëve në moshë pune të familjeve përfituese të ndihmës ekonomike ka qenë vijimësisht në vemendje të qeverisë qendrore dhe asaj vendore. Mekanizmi më i përdorur </w:t>
      </w:r>
      <w:r w:rsidR="00506D16" w:rsidRPr="00817921">
        <w:rPr>
          <w:rFonts w:ascii="Times New Roman" w:hAnsi="Times New Roman" w:cs="Times New Roman"/>
          <w:lang w:val="it-IT"/>
        </w:rPr>
        <w:t>i pun</w:t>
      </w:r>
      <w:r w:rsidR="009A5A0E" w:rsidRPr="00817921">
        <w:rPr>
          <w:rFonts w:ascii="Times New Roman" w:hAnsi="Times New Roman" w:cs="Times New Roman"/>
          <w:lang w:val="it-IT"/>
        </w:rPr>
        <w:t>ë</w:t>
      </w:r>
      <w:r w:rsidR="00506D16" w:rsidRPr="00817921">
        <w:rPr>
          <w:rFonts w:ascii="Times New Roman" w:hAnsi="Times New Roman" w:cs="Times New Roman"/>
          <w:lang w:val="it-IT"/>
        </w:rPr>
        <w:t xml:space="preserve">simit </w:t>
      </w:r>
      <w:r w:rsidR="009A6292" w:rsidRPr="00817921">
        <w:rPr>
          <w:rFonts w:ascii="Times New Roman" w:hAnsi="Times New Roman" w:cs="Times New Roman"/>
          <w:lang w:val="it-IT"/>
        </w:rPr>
        <w:t xml:space="preserve">ka qenë angazhimi në punët publike, por </w:t>
      </w:r>
      <w:r w:rsidR="00B47D62" w:rsidRPr="00817921">
        <w:rPr>
          <w:rFonts w:ascii="Times New Roman" w:hAnsi="Times New Roman" w:cs="Times New Roman"/>
          <w:lang w:val="it-IT"/>
        </w:rPr>
        <w:t>ndon</w:t>
      </w:r>
      <w:r w:rsidR="009A5A0E" w:rsidRPr="00817921">
        <w:rPr>
          <w:rFonts w:ascii="Times New Roman" w:hAnsi="Times New Roman" w:cs="Times New Roman"/>
          <w:lang w:val="it-IT"/>
        </w:rPr>
        <w:t>ë</w:t>
      </w:r>
      <w:r w:rsidR="00B47D62" w:rsidRPr="00817921">
        <w:rPr>
          <w:rFonts w:ascii="Times New Roman" w:hAnsi="Times New Roman" w:cs="Times New Roman"/>
          <w:lang w:val="it-IT"/>
        </w:rPr>
        <w:t>se</w:t>
      </w:r>
      <w:r w:rsidR="009A6292" w:rsidRPr="00817921">
        <w:rPr>
          <w:rFonts w:ascii="Times New Roman" w:hAnsi="Times New Roman" w:cs="Times New Roman"/>
          <w:lang w:val="it-IT"/>
        </w:rPr>
        <w:t xml:space="preserve"> janë zbatuar disa iniciativa pilot, ato nuk kanë arritur të prodhojnë punësim të qendrueshëm për anëtarët në moshë pune dhe nxjerrje nga varfëria të familjeve të tyre</w:t>
      </w:r>
      <w:r w:rsidR="009A6292" w:rsidRPr="00817921">
        <w:rPr>
          <w:rStyle w:val="FootnoteReference"/>
          <w:rFonts w:ascii="Times New Roman" w:hAnsi="Times New Roman" w:cs="Times New Roman"/>
          <w:lang w:val="it-IT"/>
        </w:rPr>
        <w:footnoteReference w:id="57"/>
      </w:r>
      <w:r w:rsidR="009A6292" w:rsidRPr="00817921">
        <w:rPr>
          <w:rFonts w:ascii="Times New Roman" w:hAnsi="Times New Roman" w:cs="Times New Roman"/>
          <w:lang w:val="it-IT"/>
        </w:rPr>
        <w:t>. Ligji nr. 57/2019 “Për Asistencën Sociale”</w:t>
      </w:r>
      <w:r w:rsidR="009A6292" w:rsidRPr="00817921">
        <w:rPr>
          <w:rStyle w:val="FootnoteReference"/>
          <w:rFonts w:ascii="Times New Roman" w:hAnsi="Times New Roman" w:cs="Times New Roman"/>
          <w:lang w:val="it-IT"/>
        </w:rPr>
        <w:footnoteReference w:id="58"/>
      </w:r>
      <w:r w:rsidR="009A6292" w:rsidRPr="00817921">
        <w:rPr>
          <w:rFonts w:ascii="Times New Roman" w:hAnsi="Times New Roman" w:cs="Times New Roman"/>
          <w:lang w:val="it-IT"/>
        </w:rPr>
        <w:t xml:space="preserve"> </w:t>
      </w:r>
      <w:r w:rsidR="00506D16" w:rsidRPr="00817921">
        <w:rPr>
          <w:rFonts w:ascii="Times New Roman" w:hAnsi="Times New Roman" w:cs="Times New Roman"/>
          <w:lang w:val="it-IT"/>
        </w:rPr>
        <w:t>ka parashikuar</w:t>
      </w:r>
      <w:r w:rsidR="009A6292" w:rsidRPr="00817921">
        <w:rPr>
          <w:rFonts w:ascii="Times New Roman" w:hAnsi="Times New Roman" w:cs="Times New Roman"/>
          <w:lang w:val="it-IT"/>
        </w:rPr>
        <w:t xml:space="preserve"> që pagesa e Ndihmës Ekonomike kufizohet në kohë për një periudhë jo më shumë se 5 (pesë) vjet, me përjashtim të përfituesve mbi moshën e pensionit dhe nënave me fëmijë në ngarkim. Kjo nënkupton që përfituesit në moshë pune </w:t>
      </w:r>
      <w:r w:rsidR="00506D16" w:rsidRPr="00817921">
        <w:rPr>
          <w:rFonts w:ascii="Times New Roman" w:hAnsi="Times New Roman" w:cs="Times New Roman"/>
          <w:lang w:val="it-IT"/>
        </w:rPr>
        <w:t>duhet</w:t>
      </w:r>
      <w:r w:rsidR="009A6292" w:rsidRPr="00817921">
        <w:rPr>
          <w:rFonts w:ascii="Times New Roman" w:hAnsi="Times New Roman" w:cs="Times New Roman"/>
          <w:lang w:val="it-IT"/>
        </w:rPr>
        <w:t xml:space="preserve"> të dalin të pavarur dhe të ri integrohen në tregun e punës brenda kësaj periudhe pesëvjeçare. Në zbatim të ligjit, u përcaktua mekanizmi i bashkërendimit ndërinstitucional të punës për referimin për punësim të individëve dhe anëtarëve në moshë aktive pune të familjeve përfituese të ndihmës ekonomike</w:t>
      </w:r>
      <w:r w:rsidR="00506D16" w:rsidRPr="00817921">
        <w:rPr>
          <w:rStyle w:val="FootnoteReference"/>
          <w:rFonts w:ascii="Times New Roman" w:hAnsi="Times New Roman" w:cs="Times New Roman"/>
          <w:lang w:val="it-IT"/>
        </w:rPr>
        <w:footnoteReference w:id="59"/>
      </w:r>
      <w:r w:rsidR="009A6292" w:rsidRPr="00817921">
        <w:rPr>
          <w:rFonts w:ascii="Times New Roman" w:hAnsi="Times New Roman" w:cs="Times New Roman"/>
          <w:lang w:val="it-IT"/>
        </w:rPr>
        <w:t xml:space="preserve">, i cili parashikon Programin Kombëtar për Daljen nga skema e Ndihmës Ekonomike për përfituesit në moshë pune, që përfshin: (i) programet e punës publike; (ii) subvencionimin e punësimit për kompanitë që punësojnë anëtarë të familjeve përfituese të Ndihmës Ekonomike për pagën e tyre të plotë dhe kontributet e sigurimeve shoqërore e shëndetësore, si dhe pikë bonus për kompanitë në procedurat e prokurimit publik; dhe (iii) mbështetje me arsim dhe formim profesional për përfituesit e Ndihmës Ekonomike në moshë pune. Institucionet përgjegjëse për zbatimin e skemës së daljes nga ndihma ekonomike nëpërmjet punësimit </w:t>
      </w:r>
      <w:r w:rsidR="00506D16" w:rsidRPr="00817921">
        <w:rPr>
          <w:rFonts w:ascii="Times New Roman" w:hAnsi="Times New Roman" w:cs="Times New Roman"/>
          <w:lang w:val="it-IT"/>
        </w:rPr>
        <w:t>jan</w:t>
      </w:r>
      <w:r w:rsidR="009A5A0E" w:rsidRPr="00817921">
        <w:rPr>
          <w:rFonts w:ascii="Times New Roman" w:hAnsi="Times New Roman" w:cs="Times New Roman"/>
          <w:lang w:val="it-IT"/>
        </w:rPr>
        <w:t>ë</w:t>
      </w:r>
      <w:r w:rsidR="009A6292" w:rsidRPr="00817921">
        <w:rPr>
          <w:rFonts w:ascii="Times New Roman" w:hAnsi="Times New Roman" w:cs="Times New Roman"/>
          <w:lang w:val="it-IT"/>
        </w:rPr>
        <w:t xml:space="preserve"> MSHMS dhe AKPA. Programi i riintegrimit në punësim në periudhën 2020-2021 nuk pati ndonjë zhvillim për shkak të krizës së krijuar nga situata e pandemisë COVID 19 si dhe mungesës së kapaciteteve të dy institucioneve në nivel qendror dhe vendor për të zbatuar një sistem efektiv referimi të përfituesve në moshë pune në ndihmë ekonomike. Mekanizmi i referimit u rivitalizua në vitin 2022 kur Ministria e Shëndetësisë dhe Mbrojtjes Sociale dhe Ministria e Financave dhe Ekonomisë miratuan mekanizmin e referimit për punësimin dhe integrimin social të përfituesve të Ndihmës Ekonomike në moshë pune</w:t>
      </w:r>
      <w:r w:rsidR="009A6292" w:rsidRPr="00817921">
        <w:rPr>
          <w:rStyle w:val="FootnoteReference"/>
          <w:rFonts w:ascii="Times New Roman" w:hAnsi="Times New Roman" w:cs="Times New Roman"/>
          <w:lang w:val="it-IT"/>
        </w:rPr>
        <w:footnoteReference w:id="60"/>
      </w:r>
      <w:r w:rsidR="009A6292" w:rsidRPr="00817921">
        <w:rPr>
          <w:rFonts w:ascii="Times New Roman" w:hAnsi="Times New Roman" w:cs="Times New Roman"/>
          <w:lang w:val="it-IT"/>
        </w:rPr>
        <w:t>. Mekanizmi i referimit për vitin 2022 përfshin: (i) krijimin e mekanizmit të referimit të përfituesve të Ndihmës Ekonomike në moshë pune ndërmjet Shërbimit Social Shtetëror dhe Agjencisë Kombëtare për Punësim dhe Aftësi; (ii) përgatitjen e kuadrit të nevojshëm ligjor; (iii) ri- integrimin e përfituesve të Ndihmës Ekonomike në moshë pune nga grupet rajonale të punës të mbështetur nga Shërbimi Social Shtetëror, Agjencia Kombëtare për Punësim dhe Aftësi dhe pushteti vendor; dhe (iv) monitorimin dhe zbatimin e programit për daljen nga skema e Ndihmës Ekonomike. Mbi bazën e këtij mekanizmi referimi funksionojnë 12 komisione rajonale vlerësimi</w:t>
      </w:r>
      <w:r w:rsidR="009A6292" w:rsidRPr="00817921">
        <w:rPr>
          <w:rStyle w:val="FootnoteReference"/>
          <w:rFonts w:ascii="Times New Roman" w:hAnsi="Times New Roman" w:cs="Times New Roman"/>
          <w:lang w:val="it-IT"/>
        </w:rPr>
        <w:footnoteReference w:id="61"/>
      </w:r>
      <w:r w:rsidR="009A6292" w:rsidRPr="00817921">
        <w:rPr>
          <w:rFonts w:ascii="Times New Roman" w:hAnsi="Times New Roman" w:cs="Times New Roman"/>
          <w:lang w:val="it-IT"/>
        </w:rPr>
        <w:t>, është miratuar protokolli i punës për referimin për punësim të përfituesve në moshë pune si dhe AKPA ka hartuar formularin e gjurmimit të përfituesve të NE në moshë pune. Gjatë vitit 2022 komisiomet rajonale kanë përgatitur 17,000 profile të përfituesve dhe i kanë referuar pranë Zyrave të Punësimit, janë punësuar 2,501 individë nga skema e NE dhe janë regjistruar në formim profesional 1,077 individë</w:t>
      </w:r>
      <w:r w:rsidR="009A6292" w:rsidRPr="00817921">
        <w:rPr>
          <w:rStyle w:val="FootnoteReference"/>
          <w:rFonts w:ascii="Times New Roman" w:hAnsi="Times New Roman" w:cs="Times New Roman"/>
          <w:lang w:val="it-IT"/>
        </w:rPr>
        <w:footnoteReference w:id="62"/>
      </w:r>
      <w:r w:rsidR="009A6292" w:rsidRPr="00817921">
        <w:rPr>
          <w:rFonts w:ascii="Times New Roman" w:hAnsi="Times New Roman" w:cs="Times New Roman"/>
          <w:lang w:val="it-IT"/>
        </w:rPr>
        <w:t xml:space="preserve">. </w:t>
      </w:r>
    </w:p>
    <w:p w14:paraId="4E88FF49" w14:textId="77777777" w:rsidR="00AB4D37" w:rsidRPr="00817921" w:rsidRDefault="00AB4D37" w:rsidP="007A7501">
      <w:pPr>
        <w:rPr>
          <w:rFonts w:ascii="Times New Roman" w:hAnsi="Times New Roman" w:cs="Times New Roman"/>
          <w:b/>
          <w:bCs/>
          <w:color w:val="242424"/>
          <w:szCs w:val="22"/>
          <w:bdr w:val="none" w:sz="0" w:space="0" w:color="auto" w:frame="1"/>
          <w:lang w:val="fr-FR"/>
        </w:rPr>
      </w:pPr>
    </w:p>
    <w:p w14:paraId="64F954D5" w14:textId="58A1D886" w:rsidR="005C0406" w:rsidRPr="00817921" w:rsidRDefault="00133BA5" w:rsidP="00855E6A">
      <w:pPr>
        <w:rPr>
          <w:rFonts w:ascii="Times New Roman" w:hAnsi="Times New Roman" w:cs="Times New Roman"/>
          <w:b/>
          <w:bCs/>
          <w:color w:val="242424"/>
          <w:szCs w:val="22"/>
          <w:bdr w:val="none" w:sz="0" w:space="0" w:color="auto" w:frame="1"/>
          <w:lang w:val="fr-FR"/>
        </w:rPr>
      </w:pPr>
      <w:proofErr w:type="spellStart"/>
      <w:r w:rsidRPr="00817921">
        <w:rPr>
          <w:rFonts w:ascii="Times New Roman" w:hAnsi="Times New Roman" w:cs="Times New Roman"/>
          <w:b/>
          <w:bCs/>
          <w:color w:val="242424"/>
          <w:szCs w:val="22"/>
          <w:bdr w:val="none" w:sz="0" w:space="0" w:color="auto" w:frame="1"/>
          <w:lang w:val="fr-FR"/>
        </w:rPr>
        <w:t>Garancia</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rinore</w:t>
      </w:r>
      <w:proofErr w:type="spellEnd"/>
      <w:r w:rsidR="007A7501" w:rsidRPr="00817921">
        <w:rPr>
          <w:rFonts w:ascii="Times New Roman" w:hAnsi="Times New Roman" w:cs="Times New Roman"/>
          <w:b/>
          <w:bCs/>
          <w:color w:val="242424"/>
          <w:szCs w:val="22"/>
          <w:bdr w:val="none" w:sz="0" w:space="0" w:color="auto" w:frame="1"/>
          <w:lang w:val="fr-FR"/>
        </w:rPr>
        <w:t xml:space="preserve">. </w:t>
      </w:r>
      <w:r w:rsidR="005C0406" w:rsidRPr="00817921">
        <w:rPr>
          <w:rFonts w:ascii="Times New Roman" w:hAnsi="Times New Roman" w:cs="Times New Roman"/>
          <w:lang w:val="sq-AL"/>
        </w:rPr>
        <w:t xml:space="preserve">Parimi i katërt i </w:t>
      </w:r>
      <w:r w:rsidR="005C0406" w:rsidRPr="00817921">
        <w:rPr>
          <w:rFonts w:ascii="Times New Roman" w:hAnsi="Times New Roman" w:cs="Times New Roman"/>
          <w:color w:val="000000" w:themeColor="text1"/>
          <w:lang w:val="sq-AL"/>
        </w:rPr>
        <w:t xml:space="preserve">Shtyllës Europiane e të Drejtave Sociale </w:t>
      </w:r>
      <w:r w:rsidR="005C0406" w:rsidRPr="00817921">
        <w:rPr>
          <w:rFonts w:ascii="Times New Roman" w:hAnsi="Times New Roman" w:cs="Times New Roman"/>
          <w:lang w:val="sq-AL"/>
        </w:rPr>
        <w:t xml:space="preserve">thekson të drejtën e çdo qytetari të BE-së për mbështetje për punësim, të ofruar në kohën e duhur dhe të përshtatur për të përmirësuar perspektivat e punësimit apo të vetëpunësimit. </w:t>
      </w:r>
      <w:r w:rsidR="005F462D" w:rsidRPr="00817921">
        <w:rPr>
          <w:rFonts w:ascii="Times New Roman" w:hAnsi="Times New Roman" w:cs="Times New Roman"/>
          <w:lang w:val="sq-AL"/>
        </w:rPr>
        <w:t>Sipas k</w:t>
      </w:r>
      <w:r w:rsidR="009A5A0E" w:rsidRPr="00817921">
        <w:rPr>
          <w:rFonts w:ascii="Times New Roman" w:hAnsi="Times New Roman" w:cs="Times New Roman"/>
          <w:lang w:val="sq-AL"/>
        </w:rPr>
        <w:t>ë</w:t>
      </w:r>
      <w:r w:rsidR="005F462D" w:rsidRPr="00817921">
        <w:rPr>
          <w:rFonts w:ascii="Times New Roman" w:hAnsi="Times New Roman" w:cs="Times New Roman"/>
          <w:lang w:val="sq-AL"/>
        </w:rPr>
        <w:t>tij parimi,</w:t>
      </w:r>
      <w:r w:rsidR="005C0406" w:rsidRPr="00817921">
        <w:rPr>
          <w:rFonts w:ascii="Times New Roman" w:hAnsi="Times New Roman" w:cs="Times New Roman"/>
          <w:lang w:val="sq-AL"/>
        </w:rPr>
        <w:t xml:space="preserve"> të rinjve u garantohet e drejta </w:t>
      </w:r>
      <w:r w:rsidR="005F462D" w:rsidRPr="00817921">
        <w:rPr>
          <w:rFonts w:ascii="Times New Roman" w:hAnsi="Times New Roman" w:cs="Times New Roman"/>
          <w:lang w:val="sq-AL"/>
        </w:rPr>
        <w:t xml:space="preserve">ose </w:t>
      </w:r>
      <w:r w:rsidR="005C0406" w:rsidRPr="00817921">
        <w:rPr>
          <w:rFonts w:ascii="Times New Roman" w:hAnsi="Times New Roman" w:cs="Times New Roman"/>
          <w:lang w:val="sq-AL"/>
        </w:rPr>
        <w:t xml:space="preserve">per të vazhduar arsimimin, trajnimin ose iu ofrohet një punë,  brenda katër </w:t>
      </w:r>
      <w:r w:rsidR="00694F94" w:rsidRPr="00817921">
        <w:rPr>
          <w:rFonts w:ascii="Times New Roman" w:hAnsi="Times New Roman" w:cs="Times New Roman"/>
          <w:lang w:val="sq-AL"/>
        </w:rPr>
        <w:t>kat</w:t>
      </w:r>
      <w:r w:rsidR="009A5A0E" w:rsidRPr="00817921">
        <w:rPr>
          <w:rFonts w:ascii="Times New Roman" w:hAnsi="Times New Roman" w:cs="Times New Roman"/>
          <w:lang w:val="sq-AL"/>
        </w:rPr>
        <w:t>ë</w:t>
      </w:r>
      <w:r w:rsidR="00694F94" w:rsidRPr="00817921">
        <w:rPr>
          <w:rFonts w:ascii="Times New Roman" w:hAnsi="Times New Roman" w:cs="Times New Roman"/>
          <w:lang w:val="sq-AL"/>
        </w:rPr>
        <w:t>r</w:t>
      </w:r>
      <w:r w:rsidR="005C0406" w:rsidRPr="00817921">
        <w:rPr>
          <w:rFonts w:ascii="Times New Roman" w:hAnsi="Times New Roman" w:cs="Times New Roman"/>
          <w:lang w:val="sq-AL"/>
        </w:rPr>
        <w:t xml:space="preserve"> muajve nga momenti kur mbeten të papunë ose largohen nga arsimi </w:t>
      </w:r>
      <w:r w:rsidR="005F462D" w:rsidRPr="00817921">
        <w:rPr>
          <w:rFonts w:ascii="Times New Roman" w:hAnsi="Times New Roman" w:cs="Times New Roman"/>
          <w:lang w:val="sq-AL"/>
        </w:rPr>
        <w:t>n</w:t>
      </w:r>
      <w:r w:rsidR="009A5A0E" w:rsidRPr="00817921">
        <w:rPr>
          <w:rFonts w:ascii="Times New Roman" w:hAnsi="Times New Roman" w:cs="Times New Roman"/>
          <w:lang w:val="sq-AL"/>
        </w:rPr>
        <w:t>ë</w:t>
      </w:r>
      <w:r w:rsidR="005F462D" w:rsidRPr="00817921">
        <w:rPr>
          <w:rFonts w:ascii="Times New Roman" w:hAnsi="Times New Roman" w:cs="Times New Roman"/>
          <w:lang w:val="sq-AL"/>
        </w:rPr>
        <w:t>p</w:t>
      </w:r>
      <w:r w:rsidR="009A5A0E" w:rsidRPr="00817921">
        <w:rPr>
          <w:rFonts w:ascii="Times New Roman" w:hAnsi="Times New Roman" w:cs="Times New Roman"/>
          <w:lang w:val="sq-AL"/>
        </w:rPr>
        <w:t>ë</w:t>
      </w:r>
      <w:r w:rsidR="005F462D" w:rsidRPr="00817921">
        <w:rPr>
          <w:rFonts w:ascii="Times New Roman" w:hAnsi="Times New Roman" w:cs="Times New Roman"/>
          <w:lang w:val="sq-AL"/>
        </w:rPr>
        <w:t>rmjet nj</w:t>
      </w:r>
      <w:r w:rsidR="009A5A0E" w:rsidRPr="00817921">
        <w:rPr>
          <w:rFonts w:ascii="Times New Roman" w:hAnsi="Times New Roman" w:cs="Times New Roman"/>
          <w:lang w:val="sq-AL"/>
        </w:rPr>
        <w:t>ë</w:t>
      </w:r>
      <w:r w:rsidR="005F462D" w:rsidRPr="00817921">
        <w:rPr>
          <w:rFonts w:ascii="Times New Roman" w:hAnsi="Times New Roman" w:cs="Times New Roman"/>
          <w:lang w:val="sq-AL"/>
        </w:rPr>
        <w:t xml:space="preserve"> programi t</w:t>
      </w:r>
      <w:r w:rsidR="009A5A0E" w:rsidRPr="00817921">
        <w:rPr>
          <w:rFonts w:ascii="Times New Roman" w:hAnsi="Times New Roman" w:cs="Times New Roman"/>
          <w:lang w:val="sq-AL"/>
        </w:rPr>
        <w:t>ë</w:t>
      </w:r>
      <w:r w:rsidR="005F462D" w:rsidRPr="00817921">
        <w:rPr>
          <w:rFonts w:ascii="Times New Roman" w:hAnsi="Times New Roman" w:cs="Times New Roman"/>
          <w:lang w:val="sq-AL"/>
        </w:rPr>
        <w:t xml:space="preserve"> quajtur “</w:t>
      </w:r>
      <w:r w:rsidR="005C0406" w:rsidRPr="00817921">
        <w:rPr>
          <w:rFonts w:ascii="Times New Roman" w:hAnsi="Times New Roman" w:cs="Times New Roman"/>
          <w:lang w:val="sq-AL"/>
        </w:rPr>
        <w:t>Garancia Rinore</w:t>
      </w:r>
      <w:r w:rsidR="005F462D" w:rsidRPr="00817921">
        <w:rPr>
          <w:rFonts w:ascii="Times New Roman" w:hAnsi="Times New Roman" w:cs="Times New Roman"/>
          <w:lang w:val="sq-AL"/>
        </w:rPr>
        <w:t>”</w:t>
      </w:r>
      <w:r w:rsidR="005C0406" w:rsidRPr="00817921">
        <w:rPr>
          <w:rFonts w:ascii="Times New Roman" w:hAnsi="Times New Roman" w:cs="Times New Roman"/>
          <w:lang w:val="sq-AL"/>
        </w:rPr>
        <w:t>. Personat e papunë kanë të drejtë për mbështetje të personalizuar, të vazhdueshme dhe të qëndru</w:t>
      </w:r>
      <w:r w:rsidR="00690EE4" w:rsidRPr="00817921">
        <w:rPr>
          <w:rFonts w:ascii="Times New Roman" w:hAnsi="Times New Roman" w:cs="Times New Roman"/>
          <w:lang w:val="sq-AL"/>
        </w:rPr>
        <w:t>e</w:t>
      </w:r>
      <w:r w:rsidR="005C0406" w:rsidRPr="00817921">
        <w:rPr>
          <w:rFonts w:ascii="Times New Roman" w:hAnsi="Times New Roman" w:cs="Times New Roman"/>
          <w:lang w:val="sq-AL"/>
        </w:rPr>
        <w:t>shme, ndërsa të papunët afatgjatë kanë të drejtën e një vlerësimi individual të thelluar, jo më vonë se 18 muaj nga të qenit i papunë</w:t>
      </w:r>
      <w:r w:rsidR="005C0406" w:rsidRPr="00817921">
        <w:rPr>
          <w:rStyle w:val="FootnoteReference"/>
          <w:rFonts w:ascii="Times New Roman" w:hAnsi="Times New Roman" w:cs="Times New Roman"/>
          <w:lang w:val="sq-AL"/>
        </w:rPr>
        <w:footnoteReference w:id="63"/>
      </w:r>
      <w:r w:rsidR="005C0406" w:rsidRPr="00817921">
        <w:rPr>
          <w:rFonts w:ascii="Times New Roman" w:hAnsi="Times New Roman" w:cs="Times New Roman"/>
          <w:lang w:val="sq-AL"/>
        </w:rPr>
        <w:t>.</w:t>
      </w:r>
    </w:p>
    <w:p w14:paraId="22F292E6" w14:textId="03140715" w:rsidR="005C0406" w:rsidRDefault="005C0406" w:rsidP="005C0406">
      <w:pPr>
        <w:rPr>
          <w:rFonts w:ascii="Times New Roman" w:hAnsi="Times New Roman" w:cs="Times New Roman"/>
          <w:lang w:val="sq-AL"/>
        </w:rPr>
      </w:pPr>
      <w:r w:rsidRPr="00817921">
        <w:rPr>
          <w:rFonts w:ascii="Times New Roman" w:hAnsi="Times New Roman" w:cs="Times New Roman"/>
          <w:lang w:val="sq-AL"/>
        </w:rPr>
        <w:t>Qeveria shqiptare dhe institucionet e lidhura me punësimin, arsimin dhe aftësimin</w:t>
      </w:r>
      <w:r w:rsidR="002B0569" w:rsidRPr="00817921">
        <w:rPr>
          <w:rFonts w:ascii="Times New Roman" w:hAnsi="Times New Roman" w:cs="Times New Roman"/>
          <w:lang w:val="sq-AL"/>
        </w:rPr>
        <w:t>,</w:t>
      </w:r>
      <w:r w:rsidRPr="00817921">
        <w:rPr>
          <w:rFonts w:ascii="Times New Roman" w:hAnsi="Times New Roman" w:cs="Times New Roman"/>
          <w:lang w:val="sq-AL"/>
        </w:rPr>
        <w:t xml:space="preserve"> </w:t>
      </w:r>
      <w:r w:rsidR="002B0569" w:rsidRPr="00817921">
        <w:rPr>
          <w:rFonts w:ascii="Times New Roman" w:hAnsi="Times New Roman" w:cs="Times New Roman"/>
          <w:lang w:val="sq-AL"/>
        </w:rPr>
        <w:t>në linjë më rekomandimet e Komisionit Europian jan</w:t>
      </w:r>
      <w:r w:rsidR="009A5A0E" w:rsidRPr="00817921">
        <w:rPr>
          <w:rFonts w:ascii="Times New Roman" w:hAnsi="Times New Roman" w:cs="Times New Roman"/>
          <w:lang w:val="sq-AL"/>
        </w:rPr>
        <w:t>ë</w:t>
      </w:r>
      <w:r w:rsidR="002B0569" w:rsidRPr="00817921">
        <w:rPr>
          <w:rFonts w:ascii="Times New Roman" w:hAnsi="Times New Roman" w:cs="Times New Roman"/>
          <w:lang w:val="sq-AL"/>
        </w:rPr>
        <w:t xml:space="preserve"> angazhuar</w:t>
      </w:r>
      <w:r w:rsidRPr="00817921">
        <w:rPr>
          <w:rFonts w:ascii="Times New Roman" w:hAnsi="Times New Roman" w:cs="Times New Roman"/>
          <w:lang w:val="sq-AL"/>
        </w:rPr>
        <w:t xml:space="preserve"> që çdo i ri nën moshën 29 vjeç (NEET) të ketë një ofertë të denjë punësimi, trajnimi apo arsimi, brenda një periudhe të arsyeshme kohore prej disa muajsh nga momenti i identifikimit,. Për këtë, në bashkëpunim me ministritë e linjës është hartuar </w:t>
      </w:r>
      <w:r w:rsidRPr="00817921">
        <w:rPr>
          <w:rFonts w:ascii="Times New Roman" w:hAnsi="Times New Roman" w:cs="Times New Roman"/>
          <w:b/>
          <w:lang w:val="sq-AL"/>
        </w:rPr>
        <w:t>një plan kombëtar për Zbatimin e Garancisë Rinore,</w:t>
      </w:r>
      <w:r w:rsidRPr="00817921">
        <w:rPr>
          <w:rFonts w:ascii="Times New Roman" w:hAnsi="Times New Roman" w:cs="Times New Roman"/>
          <w:lang w:val="sq-AL"/>
        </w:rPr>
        <w:t xml:space="preserve"> i cili </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sht</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 pjes</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 p</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rb</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r</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se e Strategjis</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 Komb</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tare p</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r Aft</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sim dhe Pun</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sim 2023-2030. Plani </w:t>
      </w:r>
      <w:r w:rsidRPr="00817921">
        <w:rPr>
          <w:rFonts w:ascii="Times New Roman" w:hAnsi="Times New Roman" w:cs="Times New Roman"/>
          <w:lang w:val="sq-AL"/>
        </w:rPr>
        <w:t xml:space="preserve">parashikon disa reforma të ndara në katër faza: </w:t>
      </w:r>
      <w:r w:rsidRPr="00817921">
        <w:rPr>
          <w:rFonts w:ascii="Times New Roman" w:hAnsi="Times New Roman" w:cs="Times New Roman"/>
          <w:i/>
          <w:iCs/>
          <w:lang w:val="sq-AL"/>
        </w:rPr>
        <w:t>hartëzimi</w:t>
      </w:r>
      <w:r w:rsidR="00123574" w:rsidRPr="00817921">
        <w:rPr>
          <w:rFonts w:ascii="Times New Roman" w:hAnsi="Times New Roman" w:cs="Times New Roman"/>
          <w:lang w:val="sq-AL"/>
        </w:rPr>
        <w:t xml:space="preserve"> (parandalimi i rritjes s</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 numrit NEET, monitorimi i braktisjes s</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 shkoll</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s, ofrimi i k</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shillimit n</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 karier</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w:t>
      </w:r>
      <w:r w:rsidRPr="00817921">
        <w:rPr>
          <w:rFonts w:ascii="Times New Roman" w:hAnsi="Times New Roman" w:cs="Times New Roman"/>
          <w:lang w:val="sq-AL"/>
        </w:rPr>
        <w:t xml:space="preserve">, </w:t>
      </w:r>
      <w:r w:rsidRPr="00817921">
        <w:rPr>
          <w:rFonts w:ascii="Times New Roman" w:hAnsi="Times New Roman" w:cs="Times New Roman"/>
          <w:i/>
          <w:iCs/>
          <w:lang w:val="sq-AL"/>
        </w:rPr>
        <w:t>angazhimi</w:t>
      </w:r>
      <w:r w:rsidR="00123574" w:rsidRPr="00817921">
        <w:rPr>
          <w:rFonts w:ascii="Times New Roman" w:hAnsi="Times New Roman" w:cs="Times New Roman"/>
          <w:lang w:val="sq-AL"/>
        </w:rPr>
        <w:t xml:space="preserve"> (fushata informuese p</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rfshir</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 ato me metoda inovatore metoda inovatore n</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p</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rmjet faqeve online)</w:t>
      </w:r>
      <w:r w:rsidRPr="00817921">
        <w:rPr>
          <w:rFonts w:ascii="Times New Roman" w:hAnsi="Times New Roman" w:cs="Times New Roman"/>
          <w:lang w:val="sq-AL"/>
        </w:rPr>
        <w:t xml:space="preserve">, </w:t>
      </w:r>
      <w:r w:rsidRPr="00817921">
        <w:rPr>
          <w:rFonts w:ascii="Times New Roman" w:hAnsi="Times New Roman" w:cs="Times New Roman"/>
          <w:i/>
          <w:iCs/>
          <w:lang w:val="sq-AL"/>
        </w:rPr>
        <w:t>përgatitja</w:t>
      </w:r>
      <w:r w:rsidRPr="00817921">
        <w:rPr>
          <w:rFonts w:ascii="Times New Roman" w:hAnsi="Times New Roman" w:cs="Times New Roman"/>
          <w:lang w:val="sq-AL"/>
        </w:rPr>
        <w:t xml:space="preserve"> </w:t>
      </w:r>
      <w:r w:rsidR="00123574" w:rsidRPr="00817921">
        <w:rPr>
          <w:rFonts w:ascii="Times New Roman" w:hAnsi="Times New Roman" w:cs="Times New Roman"/>
          <w:lang w:val="sq-AL"/>
        </w:rPr>
        <w:t>(zhvillimi i instrumenteve të reja t</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 regjistrimit në portalin e AKPA-s, rritja e kapaciteteve t</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 zyrave t</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 pun</w:t>
      </w:r>
      <w:r w:rsidR="009A5A0E" w:rsidRPr="00817921">
        <w:rPr>
          <w:rFonts w:ascii="Times New Roman" w:hAnsi="Times New Roman" w:cs="Times New Roman"/>
          <w:lang w:val="sq-AL"/>
        </w:rPr>
        <w:t>ë</w:t>
      </w:r>
      <w:r w:rsidR="00123574" w:rsidRPr="00817921">
        <w:rPr>
          <w:rFonts w:ascii="Times New Roman" w:hAnsi="Times New Roman" w:cs="Times New Roman"/>
          <w:lang w:val="sq-AL"/>
        </w:rPr>
        <w:t xml:space="preserve">s, dhe zhvillimi i parneriteteve për realizimin e shërbimeve më të specializuara për NEET) </w:t>
      </w:r>
      <w:r w:rsidRPr="00817921">
        <w:rPr>
          <w:rFonts w:ascii="Times New Roman" w:hAnsi="Times New Roman" w:cs="Times New Roman"/>
          <w:lang w:val="sq-AL"/>
        </w:rPr>
        <w:t xml:space="preserve">dhe </w:t>
      </w:r>
      <w:r w:rsidRPr="00817921">
        <w:rPr>
          <w:rFonts w:ascii="Times New Roman" w:hAnsi="Times New Roman" w:cs="Times New Roman"/>
          <w:i/>
          <w:iCs/>
          <w:lang w:val="sq-AL"/>
        </w:rPr>
        <w:t>ofrimi</w:t>
      </w:r>
      <w:r w:rsidR="00123574" w:rsidRPr="00817921">
        <w:rPr>
          <w:rFonts w:ascii="Times New Roman" w:hAnsi="Times New Roman" w:cs="Times New Roman"/>
          <w:lang w:val="sq-AL"/>
        </w:rPr>
        <w:t xml:space="preserve"> (zhvillimi dhe përshtatja e programeve për nxitjen e punësimit</w:t>
      </w:r>
      <w:r w:rsidR="0093449F" w:rsidRPr="00817921">
        <w:rPr>
          <w:rFonts w:ascii="Times New Roman" w:hAnsi="Times New Roman" w:cs="Times New Roman"/>
          <w:lang w:val="sq-AL"/>
        </w:rPr>
        <w:t>)</w:t>
      </w:r>
      <w:r w:rsidRPr="00817921">
        <w:rPr>
          <w:rFonts w:ascii="Times New Roman" w:hAnsi="Times New Roman" w:cs="Times New Roman"/>
          <w:lang w:val="sq-AL"/>
        </w:rPr>
        <w:t xml:space="preserve">. Për të menaxhuar dhe monitoruar Garancinë Rinore do të zgjerohet sistemi i menaxhimit të informacionit të tregut të punës për të gjurmuar rrugëtimin e të rinjve NEET para, gjatë dhe pas përfshirjes në skemën e Garancisë Rinore. </w:t>
      </w:r>
    </w:p>
    <w:p w14:paraId="32607484" w14:textId="77777777" w:rsidR="00AB4D37" w:rsidRPr="00817921" w:rsidRDefault="00AB4D37" w:rsidP="005C0406">
      <w:pPr>
        <w:rPr>
          <w:rFonts w:ascii="Times New Roman" w:hAnsi="Times New Roman" w:cs="Times New Roman"/>
          <w:lang w:val="sq-AL"/>
        </w:rPr>
      </w:pPr>
    </w:p>
    <w:p w14:paraId="73ACDBC7" w14:textId="37077619" w:rsidR="00280F5D" w:rsidRDefault="005B2EC6" w:rsidP="00855E6A">
      <w:pPr>
        <w:rPr>
          <w:rFonts w:ascii="Times New Roman" w:hAnsi="Times New Roman" w:cs="Times New Roman"/>
          <w:lang w:val="sq-AL"/>
        </w:rPr>
      </w:pPr>
      <w:r w:rsidRPr="00817921">
        <w:rPr>
          <w:rFonts w:ascii="Times New Roman" w:hAnsi="Times New Roman" w:cs="Times New Roman"/>
          <w:lang w:val="sq-AL"/>
        </w:rPr>
        <w:t>N</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Janar 2023 ishin 17,381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rregjistruar NEET. </w:t>
      </w:r>
      <w:r w:rsidR="009A5A0E" w:rsidRPr="00817921">
        <w:rPr>
          <w:rFonts w:ascii="Times New Roman" w:hAnsi="Times New Roman" w:cs="Times New Roman"/>
          <w:lang w:val="sq-AL"/>
        </w:rPr>
        <w:t>Ë</w:t>
      </w:r>
      <w:r w:rsidRPr="00817921">
        <w:rPr>
          <w:rFonts w:ascii="Times New Roman" w:hAnsi="Times New Roman" w:cs="Times New Roman"/>
          <w:lang w:val="sq-AL"/>
        </w:rPr>
        <w:t>sht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zhvilluar modeli i zbatimit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Programit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Garancis</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Rinore dhe institucioni p</w:t>
      </w:r>
      <w:r w:rsidR="009A5A0E" w:rsidRPr="00817921">
        <w:rPr>
          <w:rFonts w:ascii="Times New Roman" w:hAnsi="Times New Roman" w:cs="Times New Roman"/>
          <w:lang w:val="sq-AL"/>
        </w:rPr>
        <w:t>ë</w:t>
      </w:r>
      <w:r w:rsidRPr="00817921">
        <w:rPr>
          <w:rFonts w:ascii="Times New Roman" w:hAnsi="Times New Roman" w:cs="Times New Roman"/>
          <w:lang w:val="sq-AL"/>
        </w:rPr>
        <w:t>rgjegj</w:t>
      </w:r>
      <w:r w:rsidR="009A5A0E" w:rsidRPr="00817921">
        <w:rPr>
          <w:rFonts w:ascii="Times New Roman" w:hAnsi="Times New Roman" w:cs="Times New Roman"/>
          <w:lang w:val="sq-AL"/>
        </w:rPr>
        <w:t>ë</w:t>
      </w:r>
      <w:r w:rsidRPr="00817921">
        <w:rPr>
          <w:rFonts w:ascii="Times New Roman" w:hAnsi="Times New Roman" w:cs="Times New Roman"/>
          <w:lang w:val="sq-AL"/>
        </w:rPr>
        <w:t>s q</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w:t>
      </w:r>
      <w:r w:rsidR="009A5A0E" w:rsidRPr="00817921">
        <w:rPr>
          <w:rFonts w:ascii="Times New Roman" w:hAnsi="Times New Roman" w:cs="Times New Roman"/>
          <w:lang w:val="sq-AL"/>
        </w:rPr>
        <w:t>ë</w:t>
      </w:r>
      <w:r w:rsidRPr="00817921">
        <w:rPr>
          <w:rFonts w:ascii="Times New Roman" w:hAnsi="Times New Roman" w:cs="Times New Roman"/>
          <w:lang w:val="sq-AL"/>
        </w:rPr>
        <w:t>sht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AKPA n</w:t>
      </w:r>
      <w:r w:rsidR="009A5A0E" w:rsidRPr="00817921">
        <w:rPr>
          <w:rFonts w:ascii="Times New Roman" w:hAnsi="Times New Roman" w:cs="Times New Roman"/>
          <w:lang w:val="sq-AL"/>
        </w:rPr>
        <w:t>ë</w:t>
      </w:r>
      <w:r w:rsidRPr="00817921">
        <w:rPr>
          <w:rFonts w:ascii="Times New Roman" w:hAnsi="Times New Roman" w:cs="Times New Roman"/>
          <w:lang w:val="sq-AL"/>
        </w:rPr>
        <w:t>n kordinimin e MEF. Dy task forca jan</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krijuar p</w:t>
      </w:r>
      <w:r w:rsidR="009A5A0E" w:rsidRPr="00817921">
        <w:rPr>
          <w:rFonts w:ascii="Times New Roman" w:hAnsi="Times New Roman" w:cs="Times New Roman"/>
          <w:lang w:val="sq-AL"/>
        </w:rPr>
        <w:t>ë</w:t>
      </w:r>
      <w:r w:rsidRPr="00817921">
        <w:rPr>
          <w:rFonts w:ascii="Times New Roman" w:hAnsi="Times New Roman" w:cs="Times New Roman"/>
          <w:lang w:val="sq-AL"/>
        </w:rPr>
        <w:t>r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punuar p</w:t>
      </w:r>
      <w:r w:rsidR="009A5A0E" w:rsidRPr="00817921">
        <w:rPr>
          <w:rFonts w:ascii="Times New Roman" w:hAnsi="Times New Roman" w:cs="Times New Roman"/>
          <w:lang w:val="sq-AL"/>
        </w:rPr>
        <w:t>ë</w:t>
      </w:r>
      <w:r w:rsidRPr="00817921">
        <w:rPr>
          <w:rFonts w:ascii="Times New Roman" w:hAnsi="Times New Roman" w:cs="Times New Roman"/>
          <w:lang w:val="sq-AL"/>
        </w:rPr>
        <w:t>r krijimin e partneriteteve midis institucioneve publike dhe ofruesve privat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sh</w:t>
      </w:r>
      <w:r w:rsidR="009A5A0E" w:rsidRPr="00817921">
        <w:rPr>
          <w:rFonts w:ascii="Times New Roman" w:hAnsi="Times New Roman" w:cs="Times New Roman"/>
          <w:lang w:val="sq-AL"/>
        </w:rPr>
        <w:t>ë</w:t>
      </w:r>
      <w:r w:rsidRPr="00817921">
        <w:rPr>
          <w:rFonts w:ascii="Times New Roman" w:hAnsi="Times New Roman" w:cs="Times New Roman"/>
          <w:lang w:val="sq-AL"/>
        </w:rPr>
        <w:t>rbimeve. Ky instrument pun</w:t>
      </w:r>
      <w:r w:rsidR="009A5A0E" w:rsidRPr="00817921">
        <w:rPr>
          <w:rFonts w:ascii="Times New Roman" w:hAnsi="Times New Roman" w:cs="Times New Roman"/>
          <w:lang w:val="sq-AL"/>
        </w:rPr>
        <w:t>ë</w:t>
      </w:r>
      <w:r w:rsidRPr="00817921">
        <w:rPr>
          <w:rFonts w:ascii="Times New Roman" w:hAnsi="Times New Roman" w:cs="Times New Roman"/>
          <w:lang w:val="sq-AL"/>
        </w:rPr>
        <w:t>simi merr nj</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rend</w:t>
      </w:r>
      <w:r w:rsidR="009A5A0E" w:rsidRPr="00817921">
        <w:rPr>
          <w:rFonts w:ascii="Times New Roman" w:hAnsi="Times New Roman" w:cs="Times New Roman"/>
          <w:lang w:val="sq-AL"/>
        </w:rPr>
        <w:t>ë</w:t>
      </w:r>
      <w:r w:rsidRPr="00817921">
        <w:rPr>
          <w:rFonts w:ascii="Times New Roman" w:hAnsi="Times New Roman" w:cs="Times New Roman"/>
          <w:lang w:val="sq-AL"/>
        </w:rPr>
        <w:t>si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posa</w:t>
      </w:r>
      <w:r w:rsidR="00DC65A5" w:rsidRPr="00817921">
        <w:rPr>
          <w:rFonts w:ascii="Times New Roman" w:hAnsi="Times New Roman" w:cs="Times New Roman"/>
          <w:lang w:val="sq-AL"/>
        </w:rPr>
        <w:t>ç</w:t>
      </w:r>
      <w:r w:rsidRPr="00817921">
        <w:rPr>
          <w:rFonts w:ascii="Times New Roman" w:hAnsi="Times New Roman" w:cs="Times New Roman"/>
          <w:lang w:val="sq-AL"/>
        </w:rPr>
        <w:t>me p</w:t>
      </w:r>
      <w:r w:rsidR="009A5A0E" w:rsidRPr="00817921">
        <w:rPr>
          <w:rFonts w:ascii="Times New Roman" w:hAnsi="Times New Roman" w:cs="Times New Roman"/>
          <w:lang w:val="sq-AL"/>
        </w:rPr>
        <w:t>ë</w:t>
      </w:r>
      <w:r w:rsidRPr="00817921">
        <w:rPr>
          <w:rFonts w:ascii="Times New Roman" w:hAnsi="Times New Roman" w:cs="Times New Roman"/>
          <w:lang w:val="sq-AL"/>
        </w:rPr>
        <w:t>r 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rinjt</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n</w:t>
      </w:r>
      <w:r w:rsidR="009A5A0E" w:rsidRPr="00817921">
        <w:rPr>
          <w:rFonts w:ascii="Times New Roman" w:hAnsi="Times New Roman" w:cs="Times New Roman"/>
          <w:lang w:val="sq-AL"/>
        </w:rPr>
        <w:t>ë</w:t>
      </w:r>
      <w:r w:rsidRPr="00817921">
        <w:rPr>
          <w:rFonts w:ascii="Times New Roman" w:hAnsi="Times New Roman" w:cs="Times New Roman"/>
          <w:lang w:val="sq-AL"/>
        </w:rPr>
        <w:t xml:space="preserve"> familjet p</w:t>
      </w:r>
      <w:r w:rsidR="009A5A0E" w:rsidRPr="00817921">
        <w:rPr>
          <w:rFonts w:ascii="Times New Roman" w:hAnsi="Times New Roman" w:cs="Times New Roman"/>
          <w:lang w:val="sq-AL"/>
        </w:rPr>
        <w:t>ë</w:t>
      </w:r>
      <w:r w:rsidRPr="00817921">
        <w:rPr>
          <w:rFonts w:ascii="Times New Roman" w:hAnsi="Times New Roman" w:cs="Times New Roman"/>
          <w:lang w:val="sq-AL"/>
        </w:rPr>
        <w:t>rfituese</w:t>
      </w:r>
      <w:r w:rsidR="008A020D" w:rsidRPr="00817921">
        <w:rPr>
          <w:rFonts w:ascii="Times New Roman" w:hAnsi="Times New Roman" w:cs="Times New Roman"/>
          <w:lang w:val="sq-AL"/>
        </w:rPr>
        <w:t xml:space="preserve"> t</w:t>
      </w:r>
      <w:r w:rsidR="00E9006B">
        <w:rPr>
          <w:rFonts w:ascii="Times New Roman" w:hAnsi="Times New Roman" w:cs="Times New Roman"/>
          <w:lang w:val="sq-AL"/>
        </w:rPr>
        <w:t>ë</w:t>
      </w:r>
      <w:r w:rsidR="008A020D" w:rsidRPr="00817921">
        <w:rPr>
          <w:rFonts w:ascii="Times New Roman" w:hAnsi="Times New Roman" w:cs="Times New Roman"/>
          <w:lang w:val="sq-AL"/>
        </w:rPr>
        <w:t xml:space="preserve"> ndihm</w:t>
      </w:r>
      <w:r w:rsidR="00E9006B">
        <w:rPr>
          <w:rFonts w:ascii="Times New Roman" w:hAnsi="Times New Roman" w:cs="Times New Roman"/>
          <w:lang w:val="sq-AL"/>
        </w:rPr>
        <w:t>ë</w:t>
      </w:r>
      <w:r w:rsidR="008A020D" w:rsidRPr="00817921">
        <w:rPr>
          <w:rFonts w:ascii="Times New Roman" w:hAnsi="Times New Roman" w:cs="Times New Roman"/>
          <w:lang w:val="sq-AL"/>
        </w:rPr>
        <w:t>s ekonomike</w:t>
      </w:r>
      <w:r w:rsidRPr="00817921">
        <w:rPr>
          <w:rFonts w:ascii="Times New Roman" w:hAnsi="Times New Roman" w:cs="Times New Roman"/>
          <w:lang w:val="sq-AL"/>
        </w:rPr>
        <w:t xml:space="preserve">. </w:t>
      </w:r>
    </w:p>
    <w:p w14:paraId="5F177CD1" w14:textId="77777777" w:rsidR="00075C17" w:rsidRPr="00817921" w:rsidRDefault="00075C17" w:rsidP="00855E6A">
      <w:pPr>
        <w:rPr>
          <w:rFonts w:ascii="Times New Roman" w:hAnsi="Times New Roman" w:cs="Times New Roman"/>
          <w:color w:val="242424"/>
          <w:szCs w:val="22"/>
          <w:bdr w:val="none" w:sz="0" w:space="0" w:color="auto" w:frame="1"/>
          <w:lang w:val="fr-FR"/>
        </w:rPr>
      </w:pPr>
    </w:p>
    <w:p w14:paraId="7F0DDDB4" w14:textId="45FC0483" w:rsidR="00133BA5" w:rsidRDefault="00133BA5" w:rsidP="00855E6A">
      <w:pPr>
        <w:rPr>
          <w:rFonts w:ascii="Times New Roman" w:hAnsi="Times New Roman" w:cs="Times New Roman"/>
          <w:lang w:val="sq-AL"/>
        </w:rPr>
      </w:pPr>
      <w:r w:rsidRPr="00817921">
        <w:rPr>
          <w:rFonts w:ascii="Times New Roman" w:hAnsi="Times New Roman" w:cs="Times New Roman"/>
          <w:b/>
          <w:bCs/>
          <w:color w:val="242424"/>
          <w:szCs w:val="22"/>
          <w:bdr w:val="none" w:sz="0" w:space="0" w:color="auto" w:frame="1"/>
          <w:lang w:val="fr-FR"/>
        </w:rPr>
        <w:t xml:space="preserve">Fondi Social i </w:t>
      </w:r>
      <w:proofErr w:type="spellStart"/>
      <w:r w:rsidRPr="00817921">
        <w:rPr>
          <w:rFonts w:ascii="Times New Roman" w:hAnsi="Times New Roman" w:cs="Times New Roman"/>
          <w:b/>
          <w:bCs/>
          <w:color w:val="242424"/>
          <w:szCs w:val="22"/>
          <w:bdr w:val="none" w:sz="0" w:space="0" w:color="auto" w:frame="1"/>
          <w:lang w:val="fr-FR"/>
        </w:rPr>
        <w:t>Pun</w:t>
      </w:r>
      <w:r w:rsidR="009A5A0E" w:rsidRPr="00817921">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simit</w:t>
      </w:r>
      <w:proofErr w:type="spellEnd"/>
      <w:r w:rsidR="007A7501" w:rsidRPr="00817921">
        <w:rPr>
          <w:rFonts w:ascii="Times New Roman" w:hAnsi="Times New Roman" w:cs="Times New Roman"/>
          <w:b/>
          <w:bCs/>
          <w:color w:val="242424"/>
          <w:szCs w:val="22"/>
          <w:bdr w:val="none" w:sz="0" w:space="0" w:color="auto" w:frame="1"/>
          <w:lang w:val="fr-FR"/>
        </w:rPr>
        <w:t xml:space="preserve">. </w:t>
      </w:r>
      <w:r w:rsidR="00655B64" w:rsidRPr="00817921">
        <w:rPr>
          <w:rFonts w:ascii="Times New Roman" w:hAnsi="Times New Roman" w:cs="Times New Roman"/>
          <w:lang w:val="sq-AL"/>
        </w:rPr>
        <w:t>N</w:t>
      </w:r>
      <w:r w:rsidR="009A5A0E" w:rsidRPr="00817921">
        <w:rPr>
          <w:rFonts w:ascii="Times New Roman" w:hAnsi="Times New Roman" w:cs="Times New Roman"/>
          <w:lang w:val="sq-AL"/>
        </w:rPr>
        <w:t>ë</w:t>
      </w:r>
      <w:r w:rsidR="00655B64" w:rsidRPr="00817921">
        <w:rPr>
          <w:rFonts w:ascii="Times New Roman" w:hAnsi="Times New Roman" w:cs="Times New Roman"/>
          <w:lang w:val="sq-AL"/>
        </w:rPr>
        <w:t xml:space="preserve"> vitin 2019</w:t>
      </w:r>
      <w:r w:rsidR="00ED5B31" w:rsidRPr="00817921">
        <w:rPr>
          <w:rFonts w:ascii="Times New Roman" w:hAnsi="Times New Roman" w:cs="Times New Roman"/>
          <w:lang w:val="sq-AL"/>
        </w:rPr>
        <w:t>, Ligji p</w:t>
      </w:r>
      <w:r w:rsidR="009A5A0E" w:rsidRPr="00817921">
        <w:rPr>
          <w:rFonts w:ascii="Times New Roman" w:hAnsi="Times New Roman" w:cs="Times New Roman"/>
          <w:lang w:val="sq-AL"/>
        </w:rPr>
        <w:t>ë</w:t>
      </w:r>
      <w:r w:rsidR="00ED5B31" w:rsidRPr="00817921">
        <w:rPr>
          <w:rFonts w:ascii="Times New Roman" w:hAnsi="Times New Roman" w:cs="Times New Roman"/>
          <w:lang w:val="sq-AL"/>
        </w:rPr>
        <w:t>r Nxitjen e Pun</w:t>
      </w:r>
      <w:r w:rsidR="009A5A0E" w:rsidRPr="00817921">
        <w:rPr>
          <w:rFonts w:ascii="Times New Roman" w:hAnsi="Times New Roman" w:cs="Times New Roman"/>
          <w:lang w:val="sq-AL"/>
        </w:rPr>
        <w:t>ë</w:t>
      </w:r>
      <w:r w:rsidR="00ED5B31" w:rsidRPr="00817921">
        <w:rPr>
          <w:rFonts w:ascii="Times New Roman" w:hAnsi="Times New Roman" w:cs="Times New Roman"/>
          <w:lang w:val="sq-AL"/>
        </w:rPr>
        <w:t>simit</w:t>
      </w:r>
      <w:r w:rsidR="00ED5B31" w:rsidRPr="00817921">
        <w:rPr>
          <w:rFonts w:ascii="Times New Roman" w:hAnsi="Times New Roman" w:cs="Times New Roman"/>
          <w:vertAlign w:val="superscript"/>
        </w:rPr>
        <w:footnoteReference w:id="64"/>
      </w:r>
      <w:r w:rsidR="00ED5B31" w:rsidRPr="00817921">
        <w:rPr>
          <w:rFonts w:ascii="Times New Roman" w:hAnsi="Times New Roman" w:cs="Times New Roman"/>
          <w:lang w:val="sq-AL"/>
        </w:rPr>
        <w:t xml:space="preserve">, parashikoi krijimin e </w:t>
      </w:r>
      <w:r w:rsidR="0087130F" w:rsidRPr="00817921">
        <w:rPr>
          <w:rFonts w:ascii="Times New Roman" w:hAnsi="Times New Roman" w:cs="Times New Roman"/>
          <w:lang w:val="sq-AL"/>
        </w:rPr>
        <w:t>Fondi</w:t>
      </w:r>
      <w:r w:rsidR="00ED5B31" w:rsidRPr="00817921">
        <w:rPr>
          <w:rFonts w:ascii="Times New Roman" w:hAnsi="Times New Roman" w:cs="Times New Roman"/>
          <w:lang w:val="sq-AL"/>
        </w:rPr>
        <w:t>t</w:t>
      </w:r>
      <w:r w:rsidR="0087130F" w:rsidRPr="00817921">
        <w:rPr>
          <w:rFonts w:ascii="Times New Roman" w:hAnsi="Times New Roman" w:cs="Times New Roman"/>
          <w:lang w:val="sq-AL"/>
        </w:rPr>
        <w:t xml:space="preserve"> Social </w:t>
      </w:r>
      <w:r w:rsidR="00ED5B31" w:rsidRPr="00817921">
        <w:rPr>
          <w:rFonts w:ascii="Times New Roman" w:hAnsi="Times New Roman" w:cs="Times New Roman"/>
          <w:lang w:val="sq-AL"/>
        </w:rPr>
        <w:t>t</w:t>
      </w:r>
      <w:r w:rsidR="009A5A0E" w:rsidRPr="00817921">
        <w:rPr>
          <w:rFonts w:ascii="Times New Roman" w:hAnsi="Times New Roman" w:cs="Times New Roman"/>
          <w:lang w:val="sq-AL"/>
        </w:rPr>
        <w:t>ë</w:t>
      </w:r>
      <w:r w:rsidR="0087130F" w:rsidRPr="00817921">
        <w:rPr>
          <w:rFonts w:ascii="Times New Roman" w:hAnsi="Times New Roman" w:cs="Times New Roman"/>
          <w:lang w:val="sq-AL"/>
        </w:rPr>
        <w:t xml:space="preserve"> Punësimit </w:t>
      </w:r>
      <w:r w:rsidR="00ED5B31" w:rsidRPr="00817921">
        <w:rPr>
          <w:rFonts w:ascii="Times New Roman" w:hAnsi="Times New Roman" w:cs="Times New Roman"/>
          <w:lang w:val="sq-AL"/>
        </w:rPr>
        <w:t>me q</w:t>
      </w:r>
      <w:r w:rsidR="009A5A0E" w:rsidRPr="00817921">
        <w:rPr>
          <w:rFonts w:ascii="Times New Roman" w:hAnsi="Times New Roman" w:cs="Times New Roman"/>
          <w:lang w:val="sq-AL"/>
        </w:rPr>
        <w:t>ë</w:t>
      </w:r>
      <w:r w:rsidR="00ED5B31" w:rsidRPr="00817921">
        <w:rPr>
          <w:rFonts w:ascii="Times New Roman" w:hAnsi="Times New Roman" w:cs="Times New Roman"/>
          <w:lang w:val="sq-AL"/>
        </w:rPr>
        <w:t xml:space="preserve">llim sigurimin dhe administrimin e mekanizmave financiare për nxitjen e punësimit, integrimin dhe përfshirjen sociale të personave me aftësi të kufizuara. </w:t>
      </w:r>
      <w:r w:rsidR="003D5405" w:rsidRPr="00817921">
        <w:rPr>
          <w:rFonts w:ascii="Times New Roman" w:hAnsi="Times New Roman" w:cs="Times New Roman"/>
          <w:lang w:val="sq-AL"/>
        </w:rPr>
        <w:t>Fondi Social i Pun</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simit, do t</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 xml:space="preserve"> financohet nga pun</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dh</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n</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sit</w:t>
      </w:r>
      <w:r w:rsidR="005323F6" w:rsidRPr="00817921">
        <w:rPr>
          <w:rStyle w:val="FootnoteReference"/>
          <w:rFonts w:ascii="Times New Roman" w:hAnsi="Times New Roman" w:cs="Times New Roman"/>
          <w:lang w:val="sq-AL"/>
        </w:rPr>
        <w:footnoteReference w:id="65"/>
      </w:r>
      <w:r w:rsidR="003D5405" w:rsidRPr="00817921">
        <w:rPr>
          <w:rFonts w:ascii="Times New Roman" w:hAnsi="Times New Roman" w:cs="Times New Roman"/>
          <w:lang w:val="sq-AL"/>
        </w:rPr>
        <w:t xml:space="preserve"> si dhe nga kontribute t</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 xml:space="preserve"> tjera p</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rfshir</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 xml:space="preserve"> dhe ato t</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 xml:space="preserve"> donat</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rove dhe do t</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 xml:space="preserve"> menaxhohet nga AKPA p</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r t</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 xml:space="preserve"> financuar pun</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simin, trajnimin, vet</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pun</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simin si dhe programet e modifikimit t</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 xml:space="preserve"> vendeve t</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 xml:space="preserve"> pun</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s p</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r personat me aft</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si t</w:t>
      </w:r>
      <w:r w:rsidR="009A5A0E" w:rsidRPr="00817921">
        <w:rPr>
          <w:rFonts w:ascii="Times New Roman" w:hAnsi="Times New Roman" w:cs="Times New Roman"/>
          <w:lang w:val="sq-AL"/>
        </w:rPr>
        <w:t>ë</w:t>
      </w:r>
      <w:r w:rsidR="003D5405" w:rsidRPr="00817921">
        <w:rPr>
          <w:rFonts w:ascii="Times New Roman" w:hAnsi="Times New Roman" w:cs="Times New Roman"/>
          <w:lang w:val="sq-AL"/>
        </w:rPr>
        <w:t xml:space="preserve"> kufizuara. </w:t>
      </w:r>
      <w:r w:rsidR="00ED5B31" w:rsidRPr="00817921">
        <w:rPr>
          <w:rFonts w:ascii="Times New Roman" w:hAnsi="Times New Roman" w:cs="Times New Roman"/>
          <w:lang w:val="sq-AL"/>
        </w:rPr>
        <w:t xml:space="preserve">Ky fond </w:t>
      </w:r>
      <w:r w:rsidR="00E40C26" w:rsidRPr="00817921">
        <w:rPr>
          <w:rFonts w:ascii="Times New Roman" w:hAnsi="Times New Roman" w:cs="Times New Roman"/>
          <w:lang w:val="sq-AL"/>
        </w:rPr>
        <w:t>synon</w:t>
      </w:r>
      <w:r w:rsidR="00ED5B31" w:rsidRPr="00817921">
        <w:rPr>
          <w:rFonts w:ascii="Times New Roman" w:hAnsi="Times New Roman" w:cs="Times New Roman"/>
          <w:lang w:val="sq-AL"/>
        </w:rPr>
        <w:t xml:space="preserve"> nxitjen punësimin </w:t>
      </w:r>
      <w:r w:rsidR="00E40C26" w:rsidRPr="00817921">
        <w:rPr>
          <w:rFonts w:ascii="Times New Roman" w:hAnsi="Times New Roman" w:cs="Times New Roman"/>
          <w:lang w:val="sq-AL"/>
        </w:rPr>
        <w:t>p</w:t>
      </w:r>
      <w:r w:rsidR="009A5A0E" w:rsidRPr="00817921">
        <w:rPr>
          <w:rFonts w:ascii="Times New Roman" w:hAnsi="Times New Roman" w:cs="Times New Roman"/>
          <w:lang w:val="sq-AL"/>
        </w:rPr>
        <w:t>ë</w:t>
      </w:r>
      <w:r w:rsidR="00E40C26" w:rsidRPr="00817921">
        <w:rPr>
          <w:rFonts w:ascii="Times New Roman" w:hAnsi="Times New Roman" w:cs="Times New Roman"/>
          <w:lang w:val="sq-AL"/>
        </w:rPr>
        <w:t>r</w:t>
      </w:r>
      <w:r w:rsidR="00ED5B31" w:rsidRPr="00817921">
        <w:rPr>
          <w:rFonts w:ascii="Times New Roman" w:hAnsi="Times New Roman" w:cs="Times New Roman"/>
          <w:lang w:val="sq-AL"/>
        </w:rPr>
        <w:t xml:space="preserve"> t</w:t>
      </w:r>
      <w:r w:rsidR="009A5A0E" w:rsidRPr="00817921">
        <w:rPr>
          <w:rFonts w:ascii="Times New Roman" w:hAnsi="Times New Roman" w:cs="Times New Roman"/>
          <w:lang w:val="sq-AL"/>
        </w:rPr>
        <w:t>ë</w:t>
      </w:r>
      <w:r w:rsidR="00ED5B31" w:rsidRPr="00817921">
        <w:rPr>
          <w:rFonts w:ascii="Times New Roman" w:hAnsi="Times New Roman" w:cs="Times New Roman"/>
          <w:lang w:val="sq-AL"/>
        </w:rPr>
        <w:t xml:space="preserve"> pakt</w:t>
      </w:r>
      <w:r w:rsidR="009A5A0E" w:rsidRPr="00817921">
        <w:rPr>
          <w:rFonts w:ascii="Times New Roman" w:hAnsi="Times New Roman" w:cs="Times New Roman"/>
          <w:lang w:val="sq-AL"/>
        </w:rPr>
        <w:t>ë</w:t>
      </w:r>
      <w:r w:rsidR="00ED5B31" w:rsidRPr="00817921">
        <w:rPr>
          <w:rFonts w:ascii="Times New Roman" w:hAnsi="Times New Roman" w:cs="Times New Roman"/>
          <w:lang w:val="sq-AL"/>
        </w:rPr>
        <w:t>n 9,030 persona me aftësi të kufizuara n</w:t>
      </w:r>
      <w:r w:rsidR="009A5A0E" w:rsidRPr="00817921">
        <w:rPr>
          <w:rFonts w:ascii="Times New Roman" w:hAnsi="Times New Roman" w:cs="Times New Roman"/>
          <w:lang w:val="sq-AL"/>
        </w:rPr>
        <w:t>ë</w:t>
      </w:r>
      <w:r w:rsidR="00ED5B31" w:rsidRPr="00817921">
        <w:rPr>
          <w:rFonts w:ascii="Times New Roman" w:hAnsi="Times New Roman" w:cs="Times New Roman"/>
          <w:lang w:val="sq-AL"/>
        </w:rPr>
        <w:t xml:space="preserve"> institucionet publike dhe n</w:t>
      </w:r>
      <w:r w:rsidR="009A5A0E" w:rsidRPr="00817921">
        <w:rPr>
          <w:rFonts w:ascii="Times New Roman" w:hAnsi="Times New Roman" w:cs="Times New Roman"/>
          <w:lang w:val="sq-AL"/>
        </w:rPr>
        <w:t>ë</w:t>
      </w:r>
      <w:r w:rsidR="00ED5B31" w:rsidRPr="00817921">
        <w:rPr>
          <w:rFonts w:ascii="Times New Roman" w:hAnsi="Times New Roman" w:cs="Times New Roman"/>
          <w:lang w:val="sq-AL"/>
        </w:rPr>
        <w:t xml:space="preserve"> sektorin privat.</w:t>
      </w:r>
      <w:r w:rsidR="00E145A4" w:rsidRPr="00817921">
        <w:rPr>
          <w:rFonts w:ascii="Times New Roman" w:hAnsi="Times New Roman" w:cs="Times New Roman"/>
          <w:lang w:val="sq-AL"/>
        </w:rPr>
        <w:t xml:space="preserve"> Operacionalizimi i aktivitetit 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Fondit 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Pun</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simit u vonua p</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r shkak 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problematik</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s s</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krijuar p</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r sektorin privat nga situata e Pandemis</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dhe kriza e çmimeve. Aktualisht </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sht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b</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r</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plot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simi i kuadrit n</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nligjor dhe rregullator p</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r funksionimin e fondit dhe duke filluar nga Janari i vitit 2024, subjektet ekonomike shtet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rore dhe private do 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fillojn</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pun</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sojn</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numrin e p</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rsonave me aft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si 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kufizuar 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parashikuar p</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r to, ose n</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t</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 kund</w:t>
      </w:r>
      <w:r w:rsidR="009A5A0E" w:rsidRPr="00817921">
        <w:rPr>
          <w:rFonts w:ascii="Times New Roman" w:hAnsi="Times New Roman" w:cs="Times New Roman"/>
          <w:lang w:val="sq-AL"/>
        </w:rPr>
        <w:t>ë</w:t>
      </w:r>
      <w:r w:rsidR="00E145A4" w:rsidRPr="00817921">
        <w:rPr>
          <w:rFonts w:ascii="Times New Roman" w:hAnsi="Times New Roman" w:cs="Times New Roman"/>
          <w:lang w:val="sq-AL"/>
        </w:rPr>
        <w:t xml:space="preserve">rt, </w:t>
      </w:r>
      <w:r w:rsidR="00954517" w:rsidRPr="00817921">
        <w:rPr>
          <w:rFonts w:ascii="Times New Roman" w:hAnsi="Times New Roman" w:cs="Times New Roman"/>
          <w:lang w:val="sq-AL"/>
        </w:rPr>
        <w:t>do t</w:t>
      </w:r>
      <w:r w:rsidR="009A5A0E" w:rsidRPr="00817921">
        <w:rPr>
          <w:rFonts w:ascii="Times New Roman" w:hAnsi="Times New Roman" w:cs="Times New Roman"/>
          <w:lang w:val="sq-AL"/>
        </w:rPr>
        <w:t>ë</w:t>
      </w:r>
      <w:r w:rsidR="00954517" w:rsidRPr="00817921">
        <w:rPr>
          <w:rFonts w:ascii="Times New Roman" w:hAnsi="Times New Roman" w:cs="Times New Roman"/>
          <w:lang w:val="sq-AL"/>
        </w:rPr>
        <w:t xml:space="preserve"> derdhin detyrimet n</w:t>
      </w:r>
      <w:r w:rsidR="009A5A0E" w:rsidRPr="00817921">
        <w:rPr>
          <w:rFonts w:ascii="Times New Roman" w:hAnsi="Times New Roman" w:cs="Times New Roman"/>
          <w:lang w:val="sq-AL"/>
        </w:rPr>
        <w:t>ë</w:t>
      </w:r>
      <w:r w:rsidR="00954517" w:rsidRPr="00817921">
        <w:rPr>
          <w:rFonts w:ascii="Times New Roman" w:hAnsi="Times New Roman" w:cs="Times New Roman"/>
          <w:lang w:val="sq-AL"/>
        </w:rPr>
        <w:t xml:space="preserve"> Fondin e pun</w:t>
      </w:r>
      <w:r w:rsidR="009A5A0E" w:rsidRPr="00817921">
        <w:rPr>
          <w:rFonts w:ascii="Times New Roman" w:hAnsi="Times New Roman" w:cs="Times New Roman"/>
          <w:lang w:val="sq-AL"/>
        </w:rPr>
        <w:t>ë</w:t>
      </w:r>
      <w:r w:rsidR="00954517" w:rsidRPr="00817921">
        <w:rPr>
          <w:rFonts w:ascii="Times New Roman" w:hAnsi="Times New Roman" w:cs="Times New Roman"/>
          <w:lang w:val="sq-AL"/>
        </w:rPr>
        <w:t>simit tek agjenti i deleguar për mbledhjen e kontributit (Drejtoria e Pergjithshme e Tatimeve). Fondet do t</w:t>
      </w:r>
      <w:r w:rsidR="009A5A0E" w:rsidRPr="00817921">
        <w:rPr>
          <w:rFonts w:ascii="Times New Roman" w:hAnsi="Times New Roman" w:cs="Times New Roman"/>
          <w:lang w:val="sq-AL"/>
        </w:rPr>
        <w:t>ë</w:t>
      </w:r>
      <w:r w:rsidR="00954517" w:rsidRPr="00817921">
        <w:rPr>
          <w:rFonts w:ascii="Times New Roman" w:hAnsi="Times New Roman" w:cs="Times New Roman"/>
          <w:lang w:val="sq-AL"/>
        </w:rPr>
        <w:t xml:space="preserve"> administrohen nga Bordi i Administrimit t</w:t>
      </w:r>
      <w:r w:rsidR="009A5A0E" w:rsidRPr="00817921">
        <w:rPr>
          <w:rFonts w:ascii="Times New Roman" w:hAnsi="Times New Roman" w:cs="Times New Roman"/>
          <w:lang w:val="sq-AL"/>
        </w:rPr>
        <w:t>ë</w:t>
      </w:r>
      <w:r w:rsidR="00954517" w:rsidRPr="00817921">
        <w:rPr>
          <w:rFonts w:ascii="Times New Roman" w:hAnsi="Times New Roman" w:cs="Times New Roman"/>
          <w:lang w:val="sq-AL"/>
        </w:rPr>
        <w:t xml:space="preserve"> Fondit Social i krijuar n</w:t>
      </w:r>
      <w:r w:rsidR="009A5A0E" w:rsidRPr="00817921">
        <w:rPr>
          <w:rFonts w:ascii="Times New Roman" w:hAnsi="Times New Roman" w:cs="Times New Roman"/>
          <w:lang w:val="sq-AL"/>
        </w:rPr>
        <w:t>ë</w:t>
      </w:r>
      <w:r w:rsidR="00954517" w:rsidRPr="00817921">
        <w:rPr>
          <w:rFonts w:ascii="Times New Roman" w:hAnsi="Times New Roman" w:cs="Times New Roman"/>
          <w:lang w:val="sq-AL"/>
        </w:rPr>
        <w:t xml:space="preserve"> shkurt t</w:t>
      </w:r>
      <w:r w:rsidR="009A5A0E" w:rsidRPr="00817921">
        <w:rPr>
          <w:rFonts w:ascii="Times New Roman" w:hAnsi="Times New Roman" w:cs="Times New Roman"/>
          <w:lang w:val="sq-AL"/>
        </w:rPr>
        <w:t>ë</w:t>
      </w:r>
      <w:r w:rsidR="00954517" w:rsidRPr="00817921">
        <w:rPr>
          <w:rFonts w:ascii="Times New Roman" w:hAnsi="Times New Roman" w:cs="Times New Roman"/>
          <w:lang w:val="sq-AL"/>
        </w:rPr>
        <w:t xml:space="preserve"> vitit 2020</w:t>
      </w:r>
      <w:r w:rsidR="00E40C26" w:rsidRPr="00817921">
        <w:rPr>
          <w:rStyle w:val="FootnoteReference"/>
          <w:rFonts w:ascii="Times New Roman" w:hAnsi="Times New Roman" w:cs="Times New Roman"/>
          <w:lang w:val="sq-AL"/>
        </w:rPr>
        <w:footnoteReference w:id="66"/>
      </w:r>
      <w:r w:rsidR="00954517" w:rsidRPr="00817921">
        <w:rPr>
          <w:rFonts w:ascii="Times New Roman" w:hAnsi="Times New Roman" w:cs="Times New Roman"/>
          <w:lang w:val="sq-AL"/>
        </w:rPr>
        <w:t xml:space="preserve">. Institucionet parashikohet të ndërmarrin fushata informuese dhe ndërgjegjësuese për punëdhënësit dhe sektorin privat me qëllim avancimin e kulturës gjithëpërfshirëse në vendet e punës dhe ato trajnuese ose arsimore. </w:t>
      </w:r>
    </w:p>
    <w:p w14:paraId="7045EED1" w14:textId="77777777" w:rsidR="00075C17" w:rsidRPr="00817921" w:rsidRDefault="00075C17" w:rsidP="00855E6A">
      <w:pPr>
        <w:rPr>
          <w:rFonts w:ascii="Times New Roman" w:hAnsi="Times New Roman" w:cs="Times New Roman"/>
          <w:b/>
          <w:bCs/>
          <w:color w:val="242424"/>
          <w:szCs w:val="22"/>
          <w:bdr w:val="none" w:sz="0" w:space="0" w:color="auto" w:frame="1"/>
          <w:lang w:val="fr-FR"/>
        </w:rPr>
      </w:pPr>
    </w:p>
    <w:p w14:paraId="75894E18" w14:textId="1352C43C" w:rsidR="00133BA5" w:rsidRDefault="00133BA5" w:rsidP="00855E6A">
      <w:pPr>
        <w:rPr>
          <w:rFonts w:ascii="Times New Roman" w:hAnsi="Times New Roman" w:cs="Times New Roman"/>
          <w:lang w:val="sq-AL"/>
        </w:rPr>
      </w:pPr>
      <w:r w:rsidRPr="00817921">
        <w:rPr>
          <w:rFonts w:ascii="Times New Roman" w:hAnsi="Times New Roman" w:cs="Times New Roman"/>
          <w:b/>
          <w:bCs/>
          <w:color w:val="242424"/>
          <w:szCs w:val="22"/>
          <w:bdr w:val="none" w:sz="0" w:space="0" w:color="auto" w:frame="1"/>
          <w:lang w:val="fr-FR"/>
        </w:rPr>
        <w:t xml:space="preserve">Fondi social i </w:t>
      </w:r>
      <w:proofErr w:type="spellStart"/>
      <w:r w:rsidRPr="00817921">
        <w:rPr>
          <w:rFonts w:ascii="Times New Roman" w:hAnsi="Times New Roman" w:cs="Times New Roman"/>
          <w:b/>
          <w:bCs/>
          <w:color w:val="242424"/>
          <w:szCs w:val="22"/>
          <w:bdr w:val="none" w:sz="0" w:space="0" w:color="auto" w:frame="1"/>
          <w:lang w:val="fr-FR"/>
        </w:rPr>
        <w:t>sh</w:t>
      </w:r>
      <w:r w:rsidR="009A5A0E" w:rsidRPr="00817921">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rbimeve</w:t>
      </w:r>
      <w:proofErr w:type="spellEnd"/>
      <w:r w:rsidR="00186F15">
        <w:rPr>
          <w:rFonts w:ascii="Times New Roman" w:hAnsi="Times New Roman" w:cs="Times New Roman"/>
          <w:b/>
          <w:bCs/>
          <w:color w:val="242424"/>
          <w:szCs w:val="22"/>
          <w:bdr w:val="none" w:sz="0" w:space="0" w:color="auto" w:frame="1"/>
          <w:lang w:val="fr-FR"/>
        </w:rPr>
        <w:t xml:space="preserve"> sociale</w:t>
      </w:r>
      <w:r w:rsidR="00496A9E" w:rsidRPr="00817921">
        <w:rPr>
          <w:rFonts w:ascii="Times New Roman" w:hAnsi="Times New Roman" w:cs="Times New Roman"/>
          <w:b/>
          <w:bCs/>
          <w:color w:val="242424"/>
          <w:szCs w:val="22"/>
          <w:bdr w:val="none" w:sz="0" w:space="0" w:color="auto" w:frame="1"/>
          <w:lang w:val="fr-FR"/>
        </w:rPr>
        <w:t xml:space="preserve">. </w:t>
      </w:r>
      <w:r w:rsidR="000D48BC" w:rsidRPr="00817921">
        <w:rPr>
          <w:rFonts w:ascii="Times New Roman" w:hAnsi="Times New Roman" w:cs="Times New Roman"/>
          <w:lang w:val="sq-AL"/>
        </w:rPr>
        <w:t>Fondi Social</w:t>
      </w:r>
      <w:r w:rsidR="00330E89" w:rsidRPr="00817921">
        <w:rPr>
          <w:rFonts w:ascii="Times New Roman" w:hAnsi="Times New Roman" w:cs="Times New Roman"/>
          <w:lang w:val="sq-AL"/>
        </w:rPr>
        <w:t xml:space="preserve"> për financimin e ngritjes së shërbimeve të reja sociale apo konsolidimin e atyre ekzistuese si pjesë e fondit social vendor </w:t>
      </w:r>
      <w:r w:rsidR="000D48BC" w:rsidRPr="00817921">
        <w:rPr>
          <w:rFonts w:ascii="Times New Roman" w:hAnsi="Times New Roman" w:cs="Times New Roman"/>
          <w:lang w:val="sq-AL"/>
        </w:rPr>
        <w:t>është sanksionuar me ligj në vitin 2016</w:t>
      </w:r>
      <w:r w:rsidR="00330E89" w:rsidRPr="00817921">
        <w:rPr>
          <w:rFonts w:ascii="Times New Roman" w:hAnsi="Times New Roman" w:cs="Times New Roman"/>
          <w:lang w:val="sq-AL"/>
        </w:rPr>
        <w:t xml:space="preserve">. </w:t>
      </w:r>
      <w:r w:rsidR="000D48BC" w:rsidRPr="00817921">
        <w:rPr>
          <w:rFonts w:ascii="Times New Roman" w:hAnsi="Times New Roman" w:cs="Times New Roman"/>
          <w:lang w:val="sq-AL"/>
        </w:rPr>
        <w:t xml:space="preserve">Fondi Social është një instrument i rëndësishëm financiar, efikasiteti i përdorimit të të cilit varet nga përgatitja e NjQV-ve për zbatimin e funksioneve të shërbimeve sociale, por edhe nga vendimet strategjike dhe modalitetet e përdorimit të këtij fondi që përcakton qeveria qendrore. </w:t>
      </w:r>
    </w:p>
    <w:p w14:paraId="4706F0EC" w14:textId="77777777" w:rsidR="00075C17" w:rsidRPr="00817921" w:rsidRDefault="00075C17" w:rsidP="00855E6A">
      <w:pPr>
        <w:rPr>
          <w:rFonts w:ascii="Times New Roman" w:hAnsi="Times New Roman" w:cs="Times New Roman"/>
          <w:b/>
          <w:bCs/>
          <w:color w:val="242424"/>
          <w:szCs w:val="22"/>
          <w:bdr w:val="none" w:sz="0" w:space="0" w:color="auto" w:frame="1"/>
          <w:lang w:val="fr-FR"/>
        </w:rPr>
      </w:pPr>
    </w:p>
    <w:p w14:paraId="6D1B76E7" w14:textId="09934460" w:rsidR="00651095" w:rsidRDefault="000D48BC" w:rsidP="00330E89">
      <w:pPr>
        <w:rPr>
          <w:rFonts w:ascii="Times New Roman" w:hAnsi="Times New Roman" w:cs="Times New Roman"/>
          <w:lang w:val="sq-AL"/>
        </w:rPr>
      </w:pPr>
      <w:r w:rsidRPr="00817921">
        <w:rPr>
          <w:rFonts w:ascii="Times New Roman" w:hAnsi="Times New Roman" w:cs="Times New Roman"/>
          <w:lang w:val="sq-AL"/>
        </w:rPr>
        <w:t>Fondi social për financimin e shërbimeve shoqërore u aktivizua për herë të parë në dhjetor 2019, me një buxhet dedikuar bashkive për financimin e ngritjes së shërbimeve, me synimin që, deri në vitin 2022, të financoheshin 35 bashki, duke pasur përparësi ato njësi vendore që nuk ofrojnë asnjë shërbim.</w:t>
      </w:r>
      <w:r w:rsidR="00651095" w:rsidRPr="00817921">
        <w:rPr>
          <w:rFonts w:ascii="Times New Roman" w:hAnsi="Times New Roman" w:cs="Times New Roman"/>
          <w:lang w:val="sq-AL"/>
        </w:rPr>
        <w:t xml:space="preserve"> Me një rritje të disbursimit të fondit për vitin 2022, fondi total i disbursuar për pushtetin vendor nga Fondi Social gjatë viteve 2019-2022 është 539 milionë lekë. Në partneritet me OJF vendase dhe ndërkombëtare, Fondi ka mbështetur ngritjen e 40 shërbimeve të kujdesit shoqëror, prej tyre 27 shërbime shoqërore në nivel bashkie dhe 13 shërbime të specializuara në 6 qarqe, të ofruara për 10,744 përfitues, duke përfshirë këtu fëmijë në situatë rreziku, persona me aftësi të kufizuara, të moshuar, viktima dhune dhe trafikimi, familje në nevojë Rome dhe Egjiptiane, si dhe individë LGBTI+</w:t>
      </w:r>
      <w:r w:rsidR="00651095" w:rsidRPr="00817921">
        <w:rPr>
          <w:rFonts w:ascii="Times New Roman" w:hAnsi="Times New Roman" w:cs="Times New Roman"/>
          <w:vertAlign w:val="superscript"/>
          <w:lang w:val="sq-AL"/>
        </w:rPr>
        <w:footnoteReference w:id="67"/>
      </w:r>
      <w:r w:rsidR="00651095" w:rsidRPr="00817921">
        <w:rPr>
          <w:rFonts w:ascii="Times New Roman" w:hAnsi="Times New Roman" w:cs="Times New Roman"/>
          <w:lang w:val="sq-AL"/>
        </w:rPr>
        <w:t xml:space="preserve">. </w:t>
      </w:r>
      <w:r w:rsidR="00B8682F" w:rsidRPr="00817921">
        <w:rPr>
          <w:rFonts w:ascii="Times New Roman" w:hAnsi="Times New Roman" w:cs="Times New Roman"/>
          <w:lang w:val="sq-AL"/>
        </w:rPr>
        <w:t>Janë nxjerrë disa mësime nga eksperienca e deritanishme me projektet dhe modelet e shërbimeve të ofruara si rezultat i financimit të tij, t</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 xml:space="preserve"> cilat po p</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rdoren p</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r t</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 xml:space="preserve"> b</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r</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 xml:space="preserve"> rishikimet e nevojshme p</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r t</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 xml:space="preserve"> rritur eficienc</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n, ndikimin dhe q</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ndrueshm</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rin</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 xml:space="preserve"> e sh</w:t>
      </w:r>
      <w:r w:rsidR="009A5A0E" w:rsidRPr="00817921">
        <w:rPr>
          <w:rFonts w:ascii="Times New Roman" w:hAnsi="Times New Roman" w:cs="Times New Roman"/>
          <w:lang w:val="sq-AL"/>
        </w:rPr>
        <w:t>ë</w:t>
      </w:r>
      <w:r w:rsidR="00B8682F" w:rsidRPr="00817921">
        <w:rPr>
          <w:rFonts w:ascii="Times New Roman" w:hAnsi="Times New Roman" w:cs="Times New Roman"/>
          <w:lang w:val="sq-AL"/>
        </w:rPr>
        <w:t>rbimeve.</w:t>
      </w:r>
    </w:p>
    <w:p w14:paraId="71B2C27B" w14:textId="77777777" w:rsidR="00075C17" w:rsidRPr="00817921" w:rsidRDefault="00075C17" w:rsidP="00330E89">
      <w:pPr>
        <w:rPr>
          <w:rFonts w:ascii="Times New Roman" w:hAnsi="Times New Roman" w:cs="Times New Roman"/>
          <w:lang w:val="sq-AL"/>
        </w:rPr>
      </w:pPr>
    </w:p>
    <w:p w14:paraId="0219F10A" w14:textId="516D0FB1" w:rsidR="009A6292" w:rsidRDefault="00133BA5" w:rsidP="00F3146F">
      <w:pPr>
        <w:rPr>
          <w:rFonts w:ascii="Times New Roman" w:hAnsi="Times New Roman" w:cs="Times New Roman"/>
          <w:lang w:val="sq-AL"/>
        </w:rPr>
      </w:pPr>
      <w:proofErr w:type="spellStart"/>
      <w:r w:rsidRPr="00817921">
        <w:rPr>
          <w:rFonts w:ascii="Times New Roman" w:hAnsi="Times New Roman" w:cs="Times New Roman"/>
          <w:b/>
          <w:bCs/>
          <w:color w:val="242424"/>
          <w:szCs w:val="22"/>
          <w:bdr w:val="none" w:sz="0" w:space="0" w:color="auto" w:frame="1"/>
          <w:lang w:val="fr-FR"/>
        </w:rPr>
        <w:t>Nd</w:t>
      </w:r>
      <w:r w:rsidR="009A5A0E" w:rsidRPr="00817921">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rmarrjet</w:t>
      </w:r>
      <w:proofErr w:type="spellEnd"/>
      <w:r w:rsidRPr="00817921">
        <w:rPr>
          <w:rFonts w:ascii="Times New Roman" w:hAnsi="Times New Roman" w:cs="Times New Roman"/>
          <w:b/>
          <w:bCs/>
          <w:color w:val="242424"/>
          <w:szCs w:val="22"/>
          <w:bdr w:val="none" w:sz="0" w:space="0" w:color="auto" w:frame="1"/>
          <w:lang w:val="fr-FR"/>
        </w:rPr>
        <w:t xml:space="preserve"> sociale</w:t>
      </w:r>
      <w:r w:rsidR="00496A9E" w:rsidRPr="00817921">
        <w:rPr>
          <w:rFonts w:ascii="Times New Roman" w:hAnsi="Times New Roman" w:cs="Times New Roman"/>
          <w:b/>
          <w:bCs/>
          <w:color w:val="242424"/>
          <w:szCs w:val="22"/>
          <w:bdr w:val="none" w:sz="0" w:space="0" w:color="auto" w:frame="1"/>
          <w:lang w:val="fr-FR"/>
        </w:rPr>
        <w:t xml:space="preserve">. </w:t>
      </w:r>
      <w:r w:rsidR="009A6292" w:rsidRPr="00817921">
        <w:rPr>
          <w:rFonts w:ascii="Times New Roman" w:hAnsi="Times New Roman" w:cs="Times New Roman"/>
          <w:lang w:val="sq-AL"/>
        </w:rPr>
        <w:t xml:space="preserve">Ndërmarrjet Sociale janë një mundësi për punësimin e individëve të pafavorizuar nëpërmjet përdorimit të subvencioneve nga </w:t>
      </w:r>
      <w:r w:rsidR="00F3146F" w:rsidRPr="00817921">
        <w:rPr>
          <w:rFonts w:ascii="Times New Roman" w:hAnsi="Times New Roman" w:cs="Times New Roman"/>
          <w:lang w:val="sq-AL"/>
        </w:rPr>
        <w:t>nj</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 xml:space="preserve"> fond i posaç</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m i dedikuar p</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r k</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t</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 xml:space="preserve"> q</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llim q</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 xml:space="preserve"> quhet </w:t>
      </w:r>
      <w:r w:rsidR="009A6292" w:rsidRPr="00817921">
        <w:rPr>
          <w:rFonts w:ascii="Times New Roman" w:hAnsi="Times New Roman" w:cs="Times New Roman"/>
          <w:lang w:val="sq-AL"/>
        </w:rPr>
        <w:t xml:space="preserve">Fondi i Ndërmarrjeve Sociale. </w:t>
      </w:r>
      <w:r w:rsidR="00F3146F" w:rsidRPr="00817921">
        <w:rPr>
          <w:rFonts w:ascii="Times New Roman" w:hAnsi="Times New Roman" w:cs="Times New Roman"/>
          <w:lang w:val="sq-AL"/>
        </w:rPr>
        <w:t>Ligji p</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r “Nd</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rmarrjet Sociale”</w:t>
      </w:r>
      <w:r w:rsidR="00BD2F50" w:rsidRPr="00817921">
        <w:rPr>
          <w:rStyle w:val="FootnoteReference"/>
          <w:rFonts w:ascii="Times New Roman" w:hAnsi="Times New Roman" w:cs="Times New Roman"/>
          <w:lang w:val="sq-AL"/>
        </w:rPr>
        <w:footnoteReference w:id="68"/>
      </w:r>
      <w:r w:rsidR="00F3146F" w:rsidRPr="00817921">
        <w:rPr>
          <w:rFonts w:ascii="Times New Roman" w:hAnsi="Times New Roman" w:cs="Times New Roman"/>
          <w:lang w:val="sq-AL"/>
        </w:rPr>
        <w:t xml:space="preserve"> </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sht</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 xml:space="preserve"> miratuar n</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 xml:space="preserve"> vitin 2016, por aktivizimi i tij </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sht</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 xml:space="preserve"> kryer p</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r her</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 xml:space="preserve"> t</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 xml:space="preserve"> par</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 xml:space="preserve"> n</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 xml:space="preserve"> vitin 2018 mbi baz</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n e nj</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 xml:space="preserve"> </w:t>
      </w:r>
      <w:r w:rsidR="007B5350" w:rsidRPr="00817921">
        <w:rPr>
          <w:rFonts w:ascii="Times New Roman" w:hAnsi="Times New Roman" w:cs="Times New Roman"/>
          <w:lang w:val="sq-AL"/>
        </w:rPr>
        <w:t>vendimi “p</w:t>
      </w:r>
      <w:r w:rsidR="009A5A0E" w:rsidRPr="00817921">
        <w:rPr>
          <w:rFonts w:ascii="Times New Roman" w:hAnsi="Times New Roman" w:cs="Times New Roman"/>
          <w:lang w:val="sq-AL"/>
        </w:rPr>
        <w:t>ë</w:t>
      </w:r>
      <w:r w:rsidR="007B5350" w:rsidRPr="00817921">
        <w:rPr>
          <w:rFonts w:ascii="Times New Roman" w:hAnsi="Times New Roman" w:cs="Times New Roman"/>
          <w:lang w:val="sq-AL"/>
        </w:rPr>
        <w:t>r krijimin e fondit n</w:t>
      </w:r>
      <w:r w:rsidR="009A5A0E" w:rsidRPr="00817921">
        <w:rPr>
          <w:rFonts w:ascii="Times New Roman" w:hAnsi="Times New Roman" w:cs="Times New Roman"/>
          <w:lang w:val="sq-AL"/>
        </w:rPr>
        <w:t>ë</w:t>
      </w:r>
      <w:r w:rsidR="007B5350" w:rsidRPr="00817921">
        <w:rPr>
          <w:rFonts w:ascii="Times New Roman" w:hAnsi="Times New Roman" w:cs="Times New Roman"/>
          <w:lang w:val="sq-AL"/>
        </w:rPr>
        <w:t xml:space="preserve"> mb</w:t>
      </w:r>
      <w:r w:rsidR="009A5A0E" w:rsidRPr="00817921">
        <w:rPr>
          <w:rFonts w:ascii="Times New Roman" w:hAnsi="Times New Roman" w:cs="Times New Roman"/>
          <w:lang w:val="sq-AL"/>
        </w:rPr>
        <w:t>ë</w:t>
      </w:r>
      <w:r w:rsidR="007B5350" w:rsidRPr="00817921">
        <w:rPr>
          <w:rFonts w:ascii="Times New Roman" w:hAnsi="Times New Roman" w:cs="Times New Roman"/>
          <w:lang w:val="sq-AL"/>
        </w:rPr>
        <w:t>shtetje t</w:t>
      </w:r>
      <w:r w:rsidR="009A5A0E" w:rsidRPr="00817921">
        <w:rPr>
          <w:rFonts w:ascii="Times New Roman" w:hAnsi="Times New Roman" w:cs="Times New Roman"/>
          <w:lang w:val="sq-AL"/>
        </w:rPr>
        <w:t>ë</w:t>
      </w:r>
      <w:r w:rsidR="007B5350" w:rsidRPr="00817921">
        <w:rPr>
          <w:rFonts w:ascii="Times New Roman" w:hAnsi="Times New Roman" w:cs="Times New Roman"/>
          <w:lang w:val="sq-AL"/>
        </w:rPr>
        <w:t xml:space="preserve"> nd</w:t>
      </w:r>
      <w:r w:rsidR="009A5A0E" w:rsidRPr="00817921">
        <w:rPr>
          <w:rFonts w:ascii="Times New Roman" w:hAnsi="Times New Roman" w:cs="Times New Roman"/>
          <w:lang w:val="sq-AL"/>
        </w:rPr>
        <w:t>ë</w:t>
      </w:r>
      <w:r w:rsidR="007B5350" w:rsidRPr="00817921">
        <w:rPr>
          <w:rFonts w:ascii="Times New Roman" w:hAnsi="Times New Roman" w:cs="Times New Roman"/>
          <w:lang w:val="sq-AL"/>
        </w:rPr>
        <w:t>rmarrjeve sociale dhe format e mb</w:t>
      </w:r>
      <w:r w:rsidR="009A5A0E" w:rsidRPr="00817921">
        <w:rPr>
          <w:rFonts w:ascii="Times New Roman" w:hAnsi="Times New Roman" w:cs="Times New Roman"/>
          <w:lang w:val="sq-AL"/>
        </w:rPr>
        <w:t>ë</w:t>
      </w:r>
      <w:r w:rsidR="007B5350" w:rsidRPr="00817921">
        <w:rPr>
          <w:rFonts w:ascii="Times New Roman" w:hAnsi="Times New Roman" w:cs="Times New Roman"/>
          <w:lang w:val="sq-AL"/>
        </w:rPr>
        <w:t>shtetjes n</w:t>
      </w:r>
      <w:r w:rsidR="009A5A0E" w:rsidRPr="00817921">
        <w:rPr>
          <w:rFonts w:ascii="Times New Roman" w:hAnsi="Times New Roman" w:cs="Times New Roman"/>
          <w:lang w:val="sq-AL"/>
        </w:rPr>
        <w:t>ë</w:t>
      </w:r>
      <w:r w:rsidR="007B5350" w:rsidRPr="00817921">
        <w:rPr>
          <w:rFonts w:ascii="Times New Roman" w:hAnsi="Times New Roman" w:cs="Times New Roman"/>
          <w:lang w:val="sq-AL"/>
        </w:rPr>
        <w:t>p</w:t>
      </w:r>
      <w:r w:rsidR="009A5A0E" w:rsidRPr="00817921">
        <w:rPr>
          <w:rFonts w:ascii="Times New Roman" w:hAnsi="Times New Roman" w:cs="Times New Roman"/>
          <w:lang w:val="sq-AL"/>
        </w:rPr>
        <w:t>ë</w:t>
      </w:r>
      <w:r w:rsidR="007B5350" w:rsidRPr="00817921">
        <w:rPr>
          <w:rFonts w:ascii="Times New Roman" w:hAnsi="Times New Roman" w:cs="Times New Roman"/>
          <w:lang w:val="sq-AL"/>
        </w:rPr>
        <w:t>rmjet subvencionit p</w:t>
      </w:r>
      <w:r w:rsidR="009A5A0E" w:rsidRPr="00817921">
        <w:rPr>
          <w:rFonts w:ascii="Times New Roman" w:hAnsi="Times New Roman" w:cs="Times New Roman"/>
          <w:lang w:val="sq-AL"/>
        </w:rPr>
        <w:t>ë</w:t>
      </w:r>
      <w:r w:rsidR="007B5350" w:rsidRPr="00817921">
        <w:rPr>
          <w:rFonts w:ascii="Times New Roman" w:hAnsi="Times New Roman" w:cs="Times New Roman"/>
          <w:lang w:val="sq-AL"/>
        </w:rPr>
        <w:t>r nd</w:t>
      </w:r>
      <w:r w:rsidR="009A5A0E" w:rsidRPr="00817921">
        <w:rPr>
          <w:rFonts w:ascii="Times New Roman" w:hAnsi="Times New Roman" w:cs="Times New Roman"/>
          <w:lang w:val="sq-AL"/>
        </w:rPr>
        <w:t>ë</w:t>
      </w:r>
      <w:r w:rsidR="007B5350" w:rsidRPr="00817921">
        <w:rPr>
          <w:rFonts w:ascii="Times New Roman" w:hAnsi="Times New Roman" w:cs="Times New Roman"/>
          <w:lang w:val="sq-AL"/>
        </w:rPr>
        <w:t>rmarrjet sociale” dhe nj</w:t>
      </w:r>
      <w:r w:rsidR="009A5A0E" w:rsidRPr="00817921">
        <w:rPr>
          <w:rFonts w:ascii="Times New Roman" w:hAnsi="Times New Roman" w:cs="Times New Roman"/>
          <w:lang w:val="sq-AL"/>
        </w:rPr>
        <w:t>ë</w:t>
      </w:r>
      <w:r w:rsidR="007B5350" w:rsidRPr="00817921">
        <w:rPr>
          <w:rFonts w:ascii="Times New Roman" w:hAnsi="Times New Roman" w:cs="Times New Roman"/>
          <w:lang w:val="sq-AL"/>
        </w:rPr>
        <w:t xml:space="preserve"> </w:t>
      </w:r>
      <w:r w:rsidR="00F3146F" w:rsidRPr="00817921">
        <w:rPr>
          <w:rFonts w:ascii="Times New Roman" w:hAnsi="Times New Roman" w:cs="Times New Roman"/>
          <w:lang w:val="sq-AL"/>
        </w:rPr>
        <w:t>udh</w:t>
      </w:r>
      <w:r w:rsidR="009A5A0E" w:rsidRPr="00817921">
        <w:rPr>
          <w:rFonts w:ascii="Times New Roman" w:hAnsi="Times New Roman" w:cs="Times New Roman"/>
          <w:lang w:val="sq-AL"/>
        </w:rPr>
        <w:t>ë</w:t>
      </w:r>
      <w:r w:rsidR="00F3146F" w:rsidRPr="00817921">
        <w:rPr>
          <w:rFonts w:ascii="Times New Roman" w:hAnsi="Times New Roman" w:cs="Times New Roman"/>
          <w:lang w:val="sq-AL"/>
        </w:rPr>
        <w:t>zi</w:t>
      </w:r>
      <w:r w:rsidR="00BD2F50" w:rsidRPr="00817921">
        <w:rPr>
          <w:rFonts w:ascii="Times New Roman" w:hAnsi="Times New Roman" w:cs="Times New Roman"/>
          <w:lang w:val="sq-AL"/>
        </w:rPr>
        <w:t>mi q</w:t>
      </w:r>
      <w:r w:rsidR="009A5A0E" w:rsidRPr="00817921">
        <w:rPr>
          <w:rFonts w:ascii="Times New Roman" w:hAnsi="Times New Roman" w:cs="Times New Roman"/>
          <w:lang w:val="sq-AL"/>
        </w:rPr>
        <w:t>ë</w:t>
      </w:r>
      <w:r w:rsidR="00BD2F50" w:rsidRPr="00817921">
        <w:rPr>
          <w:rFonts w:ascii="Times New Roman" w:hAnsi="Times New Roman" w:cs="Times New Roman"/>
          <w:lang w:val="sq-AL"/>
        </w:rPr>
        <w:t xml:space="preserve"> rregullonte modalitetet e p</w:t>
      </w:r>
      <w:r w:rsidR="009A5A0E" w:rsidRPr="00817921">
        <w:rPr>
          <w:rFonts w:ascii="Times New Roman" w:hAnsi="Times New Roman" w:cs="Times New Roman"/>
          <w:lang w:val="sq-AL"/>
        </w:rPr>
        <w:t>ë</w:t>
      </w:r>
      <w:r w:rsidR="00BD2F50" w:rsidRPr="00817921">
        <w:rPr>
          <w:rFonts w:ascii="Times New Roman" w:hAnsi="Times New Roman" w:cs="Times New Roman"/>
          <w:lang w:val="sq-AL"/>
        </w:rPr>
        <w:t>rdorimit t</w:t>
      </w:r>
      <w:r w:rsidR="009A5A0E" w:rsidRPr="00817921">
        <w:rPr>
          <w:rFonts w:ascii="Times New Roman" w:hAnsi="Times New Roman" w:cs="Times New Roman"/>
          <w:lang w:val="sq-AL"/>
        </w:rPr>
        <w:t>ë</w:t>
      </w:r>
      <w:r w:rsidR="00BD2F50" w:rsidRPr="00817921">
        <w:rPr>
          <w:rFonts w:ascii="Times New Roman" w:hAnsi="Times New Roman" w:cs="Times New Roman"/>
          <w:lang w:val="sq-AL"/>
        </w:rPr>
        <w:t xml:space="preserve"> tij</w:t>
      </w:r>
      <w:r w:rsidR="004B11D4" w:rsidRPr="00817921">
        <w:rPr>
          <w:rStyle w:val="FootnoteReference"/>
          <w:rFonts w:ascii="Times New Roman" w:hAnsi="Times New Roman" w:cs="Times New Roman"/>
          <w:lang w:val="sq-AL"/>
        </w:rPr>
        <w:footnoteReference w:id="69"/>
      </w:r>
      <w:r w:rsidR="00BD2F50" w:rsidRPr="00817921">
        <w:rPr>
          <w:rFonts w:ascii="Times New Roman" w:hAnsi="Times New Roman" w:cs="Times New Roman"/>
          <w:lang w:val="sq-AL"/>
        </w:rPr>
        <w:t xml:space="preserve">. </w:t>
      </w:r>
      <w:r w:rsidR="007B5350" w:rsidRPr="00817921">
        <w:rPr>
          <w:rFonts w:ascii="Times New Roman" w:hAnsi="Times New Roman" w:cs="Times New Roman"/>
          <w:lang w:val="sq-AL"/>
        </w:rPr>
        <w:t>Fondi i mi</w:t>
      </w:r>
      <w:r w:rsidR="00DA0C3E" w:rsidRPr="00817921">
        <w:rPr>
          <w:rFonts w:ascii="Times New Roman" w:hAnsi="Times New Roman" w:cs="Times New Roman"/>
          <w:lang w:val="sq-AL"/>
        </w:rPr>
        <w:t>ratuar për të subvencionuar ndërmarrjet sociale p</w:t>
      </w:r>
      <w:r w:rsidR="009A5A0E" w:rsidRPr="00817921">
        <w:rPr>
          <w:rFonts w:ascii="Times New Roman" w:hAnsi="Times New Roman" w:cs="Times New Roman"/>
          <w:lang w:val="sq-AL"/>
        </w:rPr>
        <w:t>ë</w:t>
      </w:r>
      <w:r w:rsidR="00DA0C3E" w:rsidRPr="00817921">
        <w:rPr>
          <w:rFonts w:ascii="Times New Roman" w:hAnsi="Times New Roman" w:cs="Times New Roman"/>
          <w:lang w:val="sq-AL"/>
        </w:rPr>
        <w:t>r periudh</w:t>
      </w:r>
      <w:r w:rsidR="009A5A0E" w:rsidRPr="00817921">
        <w:rPr>
          <w:rFonts w:ascii="Times New Roman" w:hAnsi="Times New Roman" w:cs="Times New Roman"/>
          <w:lang w:val="sq-AL"/>
        </w:rPr>
        <w:t>ë</w:t>
      </w:r>
      <w:r w:rsidR="00DA0C3E" w:rsidRPr="00817921">
        <w:rPr>
          <w:rFonts w:ascii="Times New Roman" w:hAnsi="Times New Roman" w:cs="Times New Roman"/>
          <w:lang w:val="sq-AL"/>
        </w:rPr>
        <w:t xml:space="preserve">n 2019-2021 ishte </w:t>
      </w:r>
      <w:r w:rsidR="009A6292" w:rsidRPr="00817921">
        <w:rPr>
          <w:rFonts w:ascii="Times New Roman" w:hAnsi="Times New Roman" w:cs="Times New Roman"/>
          <w:lang w:val="sq-AL"/>
        </w:rPr>
        <w:t>249,76 milionë lekë</w:t>
      </w:r>
      <w:r w:rsidR="009A6292" w:rsidRPr="00817921">
        <w:rPr>
          <w:rFonts w:ascii="Times New Roman" w:hAnsi="Times New Roman" w:cs="Times New Roman"/>
          <w:vertAlign w:val="superscript"/>
          <w:lang w:val="sq-AL"/>
        </w:rPr>
        <w:footnoteReference w:id="70"/>
      </w:r>
      <w:r w:rsidR="00F3146F" w:rsidRPr="00817921">
        <w:rPr>
          <w:rFonts w:ascii="Times New Roman" w:hAnsi="Times New Roman" w:cs="Times New Roman"/>
          <w:lang w:val="sq-AL"/>
        </w:rPr>
        <w:t>,</w:t>
      </w:r>
      <w:r w:rsidR="009A6292" w:rsidRPr="00817921">
        <w:rPr>
          <w:rFonts w:ascii="Times New Roman" w:hAnsi="Times New Roman" w:cs="Times New Roman"/>
          <w:lang w:val="sq-AL"/>
        </w:rPr>
        <w:t xml:space="preserve"> por ky fond nuk u përdor. Aktualisht janë 9 OJF kanë marrë statusin e Ndërmarjeve Sociale, por financimi i tyre ende nuk ka filluar. MSHMS ka rishikuar VKM që lidhet me subvencionin e ndërmarjeve sociale dhe pritet që në vitin 2023 nëpërmjet buxhetit të shtetit të mbështeten financiarisht aktiviteti i OJF-ve që kanë marrë apo do </w:t>
      </w:r>
      <w:r w:rsidR="00DA0C3E" w:rsidRPr="00817921">
        <w:rPr>
          <w:rFonts w:ascii="Times New Roman" w:hAnsi="Times New Roman" w:cs="Times New Roman"/>
          <w:lang w:val="sq-AL"/>
        </w:rPr>
        <w:t>t</w:t>
      </w:r>
      <w:r w:rsidR="009A5A0E" w:rsidRPr="00817921">
        <w:rPr>
          <w:rFonts w:ascii="Times New Roman" w:hAnsi="Times New Roman" w:cs="Times New Roman"/>
          <w:lang w:val="sq-AL"/>
        </w:rPr>
        <w:t>ë</w:t>
      </w:r>
      <w:r w:rsidR="00DA0C3E" w:rsidRPr="00817921">
        <w:rPr>
          <w:rFonts w:ascii="Times New Roman" w:hAnsi="Times New Roman" w:cs="Times New Roman"/>
          <w:lang w:val="sq-AL"/>
        </w:rPr>
        <w:t xml:space="preserve"> </w:t>
      </w:r>
      <w:r w:rsidR="009A6292" w:rsidRPr="00817921">
        <w:rPr>
          <w:rFonts w:ascii="Times New Roman" w:hAnsi="Times New Roman" w:cs="Times New Roman"/>
          <w:lang w:val="sq-AL"/>
        </w:rPr>
        <w:t>mar</w:t>
      </w:r>
      <w:r w:rsidR="00DA0C3E" w:rsidRPr="00817921">
        <w:rPr>
          <w:rFonts w:ascii="Times New Roman" w:hAnsi="Times New Roman" w:cs="Times New Roman"/>
          <w:lang w:val="sq-AL"/>
        </w:rPr>
        <w:t>r</w:t>
      </w:r>
      <w:r w:rsidR="009A6292" w:rsidRPr="00817921">
        <w:rPr>
          <w:rFonts w:ascii="Times New Roman" w:hAnsi="Times New Roman" w:cs="Times New Roman"/>
          <w:lang w:val="sq-AL"/>
        </w:rPr>
        <w:t xml:space="preserve">in statusin e ndërmarjeve sociale. </w:t>
      </w:r>
      <w:r w:rsidR="00733EF8" w:rsidRPr="00817921">
        <w:rPr>
          <w:rFonts w:ascii="Times New Roman" w:hAnsi="Times New Roman" w:cs="Times New Roman"/>
          <w:lang w:val="sq-AL"/>
        </w:rPr>
        <w:t>N</w:t>
      </w:r>
      <w:r w:rsidR="009A5A0E" w:rsidRPr="00817921">
        <w:rPr>
          <w:rFonts w:ascii="Times New Roman" w:hAnsi="Times New Roman" w:cs="Times New Roman"/>
          <w:lang w:val="sq-AL"/>
        </w:rPr>
        <w:t>ë</w:t>
      </w:r>
      <w:r w:rsidR="00733EF8" w:rsidRPr="00817921">
        <w:rPr>
          <w:rFonts w:ascii="Times New Roman" w:hAnsi="Times New Roman" w:cs="Times New Roman"/>
          <w:lang w:val="sq-AL"/>
        </w:rPr>
        <w:t xml:space="preserve"> mars t</w:t>
      </w:r>
      <w:r w:rsidR="009A5A0E" w:rsidRPr="00817921">
        <w:rPr>
          <w:rFonts w:ascii="Times New Roman" w:hAnsi="Times New Roman" w:cs="Times New Roman"/>
          <w:lang w:val="sq-AL"/>
        </w:rPr>
        <w:t>ë</w:t>
      </w:r>
      <w:r w:rsidR="00733EF8" w:rsidRPr="00817921">
        <w:rPr>
          <w:rFonts w:ascii="Times New Roman" w:hAnsi="Times New Roman" w:cs="Times New Roman"/>
          <w:lang w:val="sq-AL"/>
        </w:rPr>
        <w:t xml:space="preserve"> vitit 2023 Qeveria Shqiptare ka miratuar format e mb</w:t>
      </w:r>
      <w:r w:rsidR="009A5A0E" w:rsidRPr="00817921">
        <w:rPr>
          <w:rFonts w:ascii="Times New Roman" w:hAnsi="Times New Roman" w:cs="Times New Roman"/>
          <w:lang w:val="sq-AL"/>
        </w:rPr>
        <w:t>ë</w:t>
      </w:r>
      <w:r w:rsidR="00733EF8" w:rsidRPr="00817921">
        <w:rPr>
          <w:rFonts w:ascii="Times New Roman" w:hAnsi="Times New Roman" w:cs="Times New Roman"/>
          <w:lang w:val="sq-AL"/>
        </w:rPr>
        <w:t>shtetjes n</w:t>
      </w:r>
      <w:r w:rsidR="009A5A0E" w:rsidRPr="00817921">
        <w:rPr>
          <w:rFonts w:ascii="Times New Roman" w:hAnsi="Times New Roman" w:cs="Times New Roman"/>
          <w:lang w:val="sq-AL"/>
        </w:rPr>
        <w:t>ë</w:t>
      </w:r>
      <w:r w:rsidR="00733EF8" w:rsidRPr="00817921">
        <w:rPr>
          <w:rFonts w:ascii="Times New Roman" w:hAnsi="Times New Roman" w:cs="Times New Roman"/>
          <w:lang w:val="sq-AL"/>
        </w:rPr>
        <w:t>p</w:t>
      </w:r>
      <w:r w:rsidR="009A5A0E" w:rsidRPr="00817921">
        <w:rPr>
          <w:rFonts w:ascii="Times New Roman" w:hAnsi="Times New Roman" w:cs="Times New Roman"/>
          <w:lang w:val="sq-AL"/>
        </w:rPr>
        <w:t>ë</w:t>
      </w:r>
      <w:r w:rsidR="00733EF8" w:rsidRPr="00817921">
        <w:rPr>
          <w:rFonts w:ascii="Times New Roman" w:hAnsi="Times New Roman" w:cs="Times New Roman"/>
          <w:lang w:val="sq-AL"/>
        </w:rPr>
        <w:t>rmjet subvencionit p</w:t>
      </w:r>
      <w:r w:rsidR="009A5A0E" w:rsidRPr="00817921">
        <w:rPr>
          <w:rFonts w:ascii="Times New Roman" w:hAnsi="Times New Roman" w:cs="Times New Roman"/>
          <w:lang w:val="sq-AL"/>
        </w:rPr>
        <w:t>ë</w:t>
      </w:r>
      <w:r w:rsidR="00733EF8" w:rsidRPr="00817921">
        <w:rPr>
          <w:rFonts w:ascii="Times New Roman" w:hAnsi="Times New Roman" w:cs="Times New Roman"/>
          <w:lang w:val="sq-AL"/>
        </w:rPr>
        <w:t>r nd</w:t>
      </w:r>
      <w:r w:rsidR="009A5A0E" w:rsidRPr="00817921">
        <w:rPr>
          <w:rFonts w:ascii="Times New Roman" w:hAnsi="Times New Roman" w:cs="Times New Roman"/>
          <w:lang w:val="sq-AL"/>
        </w:rPr>
        <w:t>ë</w:t>
      </w:r>
      <w:r w:rsidR="00733EF8" w:rsidRPr="00817921">
        <w:rPr>
          <w:rFonts w:ascii="Times New Roman" w:hAnsi="Times New Roman" w:cs="Times New Roman"/>
          <w:lang w:val="sq-AL"/>
        </w:rPr>
        <w:t>rmarrjet sociale, p</w:t>
      </w:r>
      <w:r w:rsidR="009A5A0E" w:rsidRPr="00817921">
        <w:rPr>
          <w:rFonts w:ascii="Times New Roman" w:hAnsi="Times New Roman" w:cs="Times New Roman"/>
          <w:lang w:val="sq-AL"/>
        </w:rPr>
        <w:t>ë</w:t>
      </w:r>
      <w:r w:rsidR="00733EF8" w:rsidRPr="00817921">
        <w:rPr>
          <w:rFonts w:ascii="Times New Roman" w:hAnsi="Times New Roman" w:cs="Times New Roman"/>
          <w:lang w:val="sq-AL"/>
        </w:rPr>
        <w:t>r periudh</w:t>
      </w:r>
      <w:r w:rsidR="009A5A0E" w:rsidRPr="00817921">
        <w:rPr>
          <w:rFonts w:ascii="Times New Roman" w:hAnsi="Times New Roman" w:cs="Times New Roman"/>
          <w:lang w:val="sq-AL"/>
        </w:rPr>
        <w:t>ë</w:t>
      </w:r>
      <w:r w:rsidR="00733EF8" w:rsidRPr="00817921">
        <w:rPr>
          <w:rFonts w:ascii="Times New Roman" w:hAnsi="Times New Roman" w:cs="Times New Roman"/>
          <w:lang w:val="sq-AL"/>
        </w:rPr>
        <w:t>n 2023-2025</w:t>
      </w:r>
      <w:r w:rsidR="001647B9" w:rsidRPr="00817921">
        <w:rPr>
          <w:rFonts w:ascii="Times New Roman" w:hAnsi="Times New Roman" w:cs="Times New Roman"/>
          <w:vertAlign w:val="superscript"/>
        </w:rPr>
        <w:footnoteReference w:id="71"/>
      </w:r>
      <w:r w:rsidR="00733EF8" w:rsidRPr="00817921">
        <w:rPr>
          <w:rFonts w:ascii="Times New Roman" w:hAnsi="Times New Roman" w:cs="Times New Roman"/>
          <w:lang w:val="sq-AL"/>
        </w:rPr>
        <w:t xml:space="preserve">. </w:t>
      </w:r>
      <w:r w:rsidR="00BA2214" w:rsidRPr="00817921">
        <w:rPr>
          <w:rFonts w:ascii="Times New Roman" w:hAnsi="Times New Roman" w:cs="Times New Roman"/>
          <w:lang w:val="sq-AL"/>
        </w:rPr>
        <w:t>Fondi n</w:t>
      </w:r>
      <w:r w:rsidR="009A5A0E" w:rsidRPr="00817921">
        <w:rPr>
          <w:rFonts w:ascii="Times New Roman" w:hAnsi="Times New Roman" w:cs="Times New Roman"/>
          <w:lang w:val="sq-AL"/>
        </w:rPr>
        <w:t>ë</w:t>
      </w:r>
      <w:r w:rsidR="00BA2214" w:rsidRPr="00817921">
        <w:rPr>
          <w:rFonts w:ascii="Times New Roman" w:hAnsi="Times New Roman" w:cs="Times New Roman"/>
          <w:lang w:val="sq-AL"/>
        </w:rPr>
        <w:t xml:space="preserve"> mb</w:t>
      </w:r>
      <w:r w:rsidR="009A5A0E" w:rsidRPr="00817921">
        <w:rPr>
          <w:rFonts w:ascii="Times New Roman" w:hAnsi="Times New Roman" w:cs="Times New Roman"/>
          <w:lang w:val="sq-AL"/>
        </w:rPr>
        <w:t>ë</w:t>
      </w:r>
      <w:r w:rsidR="00BA2214" w:rsidRPr="00817921">
        <w:rPr>
          <w:rFonts w:ascii="Times New Roman" w:hAnsi="Times New Roman" w:cs="Times New Roman"/>
          <w:lang w:val="sq-AL"/>
        </w:rPr>
        <w:t>shtetje t</w:t>
      </w:r>
      <w:r w:rsidR="009A5A0E" w:rsidRPr="00817921">
        <w:rPr>
          <w:rFonts w:ascii="Times New Roman" w:hAnsi="Times New Roman" w:cs="Times New Roman"/>
          <w:lang w:val="sq-AL"/>
        </w:rPr>
        <w:t>ë</w:t>
      </w:r>
      <w:r w:rsidR="00BA2214" w:rsidRPr="00817921">
        <w:rPr>
          <w:rFonts w:ascii="Times New Roman" w:hAnsi="Times New Roman" w:cs="Times New Roman"/>
          <w:lang w:val="sq-AL"/>
        </w:rPr>
        <w:t xml:space="preserve"> nd</w:t>
      </w:r>
      <w:r w:rsidR="009A5A0E" w:rsidRPr="00817921">
        <w:rPr>
          <w:rFonts w:ascii="Times New Roman" w:hAnsi="Times New Roman" w:cs="Times New Roman"/>
          <w:lang w:val="sq-AL"/>
        </w:rPr>
        <w:t>ë</w:t>
      </w:r>
      <w:r w:rsidR="00BA2214" w:rsidRPr="00817921">
        <w:rPr>
          <w:rFonts w:ascii="Times New Roman" w:hAnsi="Times New Roman" w:cs="Times New Roman"/>
          <w:lang w:val="sq-AL"/>
        </w:rPr>
        <w:t>rmarrjeve sociale, sipas produktit përkatës të parashikuar në Programin Buxhetor Afatmesëm “Përkujdesja sociale” p</w:t>
      </w:r>
      <w:r w:rsidR="009A5A0E" w:rsidRPr="00817921">
        <w:rPr>
          <w:rFonts w:ascii="Times New Roman" w:hAnsi="Times New Roman" w:cs="Times New Roman"/>
          <w:lang w:val="sq-AL"/>
        </w:rPr>
        <w:t>ë</w:t>
      </w:r>
      <w:r w:rsidR="00BA2214" w:rsidRPr="00817921">
        <w:rPr>
          <w:rFonts w:ascii="Times New Roman" w:hAnsi="Times New Roman" w:cs="Times New Roman"/>
          <w:lang w:val="sq-AL"/>
        </w:rPr>
        <w:t>r periudh</w:t>
      </w:r>
      <w:r w:rsidR="009A5A0E" w:rsidRPr="00817921">
        <w:rPr>
          <w:rFonts w:ascii="Times New Roman" w:hAnsi="Times New Roman" w:cs="Times New Roman"/>
          <w:lang w:val="sq-AL"/>
        </w:rPr>
        <w:t>ë</w:t>
      </w:r>
      <w:r w:rsidR="00BA2214" w:rsidRPr="00817921">
        <w:rPr>
          <w:rFonts w:ascii="Times New Roman" w:hAnsi="Times New Roman" w:cs="Times New Roman"/>
          <w:lang w:val="sq-AL"/>
        </w:rPr>
        <w:t xml:space="preserve">n 2023–2025 </w:t>
      </w:r>
      <w:r w:rsidR="009A5A0E" w:rsidRPr="00817921">
        <w:rPr>
          <w:rFonts w:ascii="Times New Roman" w:hAnsi="Times New Roman" w:cs="Times New Roman"/>
          <w:lang w:val="sq-AL"/>
        </w:rPr>
        <w:t>ë</w:t>
      </w:r>
      <w:r w:rsidR="00BA2214" w:rsidRPr="00817921">
        <w:rPr>
          <w:rFonts w:ascii="Times New Roman" w:hAnsi="Times New Roman" w:cs="Times New Roman"/>
          <w:lang w:val="sq-AL"/>
        </w:rPr>
        <w:t>sht</w:t>
      </w:r>
      <w:r w:rsidR="009A5A0E" w:rsidRPr="00817921">
        <w:rPr>
          <w:rFonts w:ascii="Times New Roman" w:hAnsi="Times New Roman" w:cs="Times New Roman"/>
          <w:lang w:val="sq-AL"/>
        </w:rPr>
        <w:t>ë</w:t>
      </w:r>
      <w:r w:rsidR="00BA2214" w:rsidRPr="00817921">
        <w:rPr>
          <w:rFonts w:ascii="Times New Roman" w:hAnsi="Times New Roman" w:cs="Times New Roman"/>
          <w:lang w:val="sq-AL"/>
        </w:rPr>
        <w:t xml:space="preserve"> vendosur t</w:t>
      </w:r>
      <w:r w:rsidR="009A5A0E" w:rsidRPr="00817921">
        <w:rPr>
          <w:rFonts w:ascii="Times New Roman" w:hAnsi="Times New Roman" w:cs="Times New Roman"/>
          <w:lang w:val="sq-AL"/>
        </w:rPr>
        <w:t>ë</w:t>
      </w:r>
      <w:r w:rsidR="00BA2214" w:rsidRPr="00817921">
        <w:rPr>
          <w:rFonts w:ascii="Times New Roman" w:hAnsi="Times New Roman" w:cs="Times New Roman"/>
          <w:lang w:val="sq-AL"/>
        </w:rPr>
        <w:t xml:space="preserve"> jet</w:t>
      </w:r>
      <w:r w:rsidR="009A5A0E" w:rsidRPr="00817921">
        <w:rPr>
          <w:rFonts w:ascii="Times New Roman" w:hAnsi="Times New Roman" w:cs="Times New Roman"/>
          <w:lang w:val="sq-AL"/>
        </w:rPr>
        <w:t>ë</w:t>
      </w:r>
      <w:r w:rsidR="00BA2214" w:rsidRPr="00817921">
        <w:rPr>
          <w:rFonts w:ascii="Times New Roman" w:hAnsi="Times New Roman" w:cs="Times New Roman"/>
          <w:lang w:val="sq-AL"/>
        </w:rPr>
        <w:t xml:space="preserve"> 240 000 000 (dyqind e dyzet milionë) lekë. </w:t>
      </w:r>
    </w:p>
    <w:p w14:paraId="5FFFD9F5" w14:textId="77777777" w:rsidR="00075C17" w:rsidRPr="00817921" w:rsidRDefault="00075C17" w:rsidP="00F3146F">
      <w:pPr>
        <w:rPr>
          <w:rFonts w:ascii="Times New Roman" w:hAnsi="Times New Roman" w:cs="Times New Roman"/>
          <w:b/>
          <w:bCs/>
          <w:color w:val="242424"/>
          <w:szCs w:val="22"/>
          <w:bdr w:val="none" w:sz="0" w:space="0" w:color="auto" w:frame="1"/>
          <w:lang w:val="fr-FR"/>
        </w:rPr>
      </w:pPr>
    </w:p>
    <w:p w14:paraId="00548E0D" w14:textId="040037F0" w:rsidR="00CA2B51" w:rsidRPr="00817921" w:rsidRDefault="00A62B3D" w:rsidP="005A2EF3">
      <w:pPr>
        <w:pStyle w:val="Heading2"/>
        <w:numPr>
          <w:ilvl w:val="1"/>
          <w:numId w:val="1"/>
        </w:numPr>
        <w:rPr>
          <w:rFonts w:ascii="Times New Roman" w:hAnsi="Times New Roman" w:cs="Times New Roman"/>
          <w:sz w:val="24"/>
          <w:szCs w:val="24"/>
          <w:lang w:val="sq-AL"/>
        </w:rPr>
      </w:pPr>
      <w:bookmarkStart w:id="10" w:name="_Toc150809614"/>
      <w:bookmarkStart w:id="11" w:name="_Toc150896482"/>
      <w:r w:rsidRPr="00817921">
        <w:rPr>
          <w:rFonts w:ascii="Times New Roman" w:hAnsi="Times New Roman" w:cs="Times New Roman"/>
          <w:sz w:val="24"/>
          <w:szCs w:val="24"/>
          <w:lang w:val="sq-AL"/>
        </w:rPr>
        <w:t>K</w:t>
      </w:r>
      <w:r w:rsidR="005A2EF3" w:rsidRPr="00817921">
        <w:rPr>
          <w:rFonts w:ascii="Times New Roman" w:hAnsi="Times New Roman" w:cs="Times New Roman"/>
          <w:sz w:val="24"/>
          <w:szCs w:val="24"/>
          <w:lang w:val="sq-AL"/>
        </w:rPr>
        <w:t xml:space="preserve">onteksti </w:t>
      </w:r>
      <w:r w:rsidR="00C41665">
        <w:rPr>
          <w:rFonts w:ascii="Times New Roman" w:hAnsi="Times New Roman" w:cs="Times New Roman"/>
          <w:sz w:val="24"/>
          <w:szCs w:val="24"/>
          <w:lang w:val="sq-AL"/>
        </w:rPr>
        <w:t>G</w:t>
      </w:r>
      <w:r w:rsidR="005A2EF3" w:rsidRPr="00817921">
        <w:rPr>
          <w:rFonts w:ascii="Times New Roman" w:hAnsi="Times New Roman" w:cs="Times New Roman"/>
          <w:sz w:val="24"/>
          <w:szCs w:val="24"/>
          <w:lang w:val="sq-AL"/>
        </w:rPr>
        <w:t>jinor</w:t>
      </w:r>
      <w:bookmarkEnd w:id="10"/>
      <w:bookmarkEnd w:id="11"/>
      <w:r w:rsidR="005A2EF3" w:rsidRPr="00817921">
        <w:rPr>
          <w:rFonts w:ascii="Times New Roman" w:hAnsi="Times New Roman" w:cs="Times New Roman"/>
          <w:sz w:val="24"/>
          <w:szCs w:val="24"/>
          <w:lang w:val="sq-AL"/>
        </w:rPr>
        <w:t xml:space="preserve"> </w:t>
      </w:r>
    </w:p>
    <w:p w14:paraId="506DFA76" w14:textId="77777777" w:rsidR="00A65287" w:rsidRDefault="00A65287" w:rsidP="00496A9E">
      <w:pPr>
        <w:shd w:val="clear" w:color="auto" w:fill="FFFFFF"/>
        <w:spacing w:after="0" w:line="240" w:lineRule="auto"/>
        <w:rPr>
          <w:rFonts w:ascii="Times New Roman" w:eastAsia="Times New Roman" w:hAnsi="Times New Roman" w:cs="Times New Roman"/>
          <w:b/>
          <w:szCs w:val="22"/>
          <w:lang w:val="sq-AL"/>
        </w:rPr>
      </w:pPr>
    </w:p>
    <w:p w14:paraId="69EC8AA5" w14:textId="693EEE1D" w:rsidR="00A27DFA" w:rsidRDefault="00A27DFA" w:rsidP="00496A9E">
      <w:pPr>
        <w:shd w:val="clear" w:color="auto" w:fill="FFFFFF"/>
        <w:spacing w:after="0" w:line="240" w:lineRule="auto"/>
        <w:rPr>
          <w:rFonts w:ascii="Times New Roman" w:eastAsia="Times New Roman" w:hAnsi="Times New Roman" w:cs="Times New Roman"/>
          <w:iCs/>
          <w:szCs w:val="22"/>
          <w:lang w:val="sq-AL" w:eastAsia="en-GB"/>
        </w:rPr>
      </w:pPr>
      <w:r w:rsidRPr="00817921">
        <w:rPr>
          <w:rFonts w:ascii="Times New Roman" w:eastAsia="Times New Roman" w:hAnsi="Times New Roman" w:cs="Times New Roman"/>
          <w:b/>
          <w:szCs w:val="22"/>
          <w:lang w:val="sq-AL"/>
        </w:rPr>
        <w:t>Kujdesi dhe puna e papaguar</w:t>
      </w:r>
      <w:r w:rsidR="00496A9E" w:rsidRPr="00817921">
        <w:rPr>
          <w:rFonts w:ascii="Times New Roman" w:eastAsia="Times New Roman" w:hAnsi="Times New Roman" w:cs="Times New Roman"/>
          <w:b/>
          <w:szCs w:val="22"/>
          <w:lang w:val="sq-AL"/>
        </w:rPr>
        <w:t xml:space="preserve">. </w:t>
      </w:r>
      <w:r w:rsidRPr="00817921">
        <w:rPr>
          <w:rFonts w:ascii="Times New Roman" w:eastAsia="Times New Roman" w:hAnsi="Times New Roman" w:cs="Times New Roman"/>
          <w:iCs/>
          <w:szCs w:val="22"/>
          <w:lang w:val="sq-AL" w:eastAsia="en-GB"/>
        </w:rPr>
        <w:t>Normat sociale të rrënjosura thellë dhe stereotipet gjinore, formojnë perceptimet e njerëzve se kush është përgjegjës për plotësimin e nevojave të kujdesit, kush ka nevojë për kujdes dhe si duhet ofruar ai kujdes. Përgjegjësia e grave për kujdesin ndaj anëtarëve të familjes, konsiderohet  e mirëqenë në shumicën e shoqërive dhe pranohet si një pjesë e padiskutueshme e jetës së përditshme. Megjithatë, normat gjinore ndryshojnë dhe politikat mund të ofrojnë një shkas për ndryshime të tilla</w:t>
      </w:r>
      <w:r w:rsidRPr="00817921">
        <w:rPr>
          <w:rFonts w:ascii="Times New Roman" w:hAnsi="Times New Roman" w:cs="Times New Roman"/>
          <w:iCs/>
          <w:szCs w:val="22"/>
          <w:vertAlign w:val="superscript"/>
          <w:lang w:val="sq-AL" w:eastAsia="en-GB"/>
        </w:rPr>
        <w:footnoteReference w:id="72"/>
      </w:r>
      <w:r w:rsidRPr="00817921">
        <w:rPr>
          <w:rFonts w:ascii="Times New Roman" w:eastAsia="Times New Roman" w:hAnsi="Times New Roman" w:cs="Times New Roman"/>
          <w:iCs/>
          <w:szCs w:val="22"/>
          <w:lang w:val="sq-AL" w:eastAsia="en-GB"/>
        </w:rPr>
        <w:t>. Në zonat rurale, mbizotërojnë stereotipat dhe pritshmëritë e forta gjinore mbi rolet e grave dhe burrave në familje. Gratë zakonisht janë përgjegjëse për t'u kujdesur për familjen, fëmijët dhe personat në ngarkim. Burrat konsiderohen de-fakto kryefamiljarë, kanë kontroll mbi të ardhurat e familjes dhe zgjedhin se ku të jetojnë</w:t>
      </w:r>
      <w:r w:rsidRPr="00817921">
        <w:rPr>
          <w:rFonts w:ascii="Times New Roman" w:hAnsi="Times New Roman" w:cs="Times New Roman"/>
          <w:iCs/>
          <w:szCs w:val="22"/>
          <w:vertAlign w:val="superscript"/>
          <w:lang w:eastAsia="en-GB"/>
        </w:rPr>
        <w:footnoteReference w:id="73"/>
      </w:r>
      <w:r w:rsidRPr="00817921">
        <w:rPr>
          <w:rFonts w:ascii="Times New Roman" w:eastAsia="Times New Roman" w:hAnsi="Times New Roman" w:cs="Times New Roman"/>
          <w:iCs/>
          <w:szCs w:val="22"/>
          <w:lang w:val="sq-AL" w:eastAsia="en-GB"/>
        </w:rPr>
        <w:t>.</w:t>
      </w:r>
    </w:p>
    <w:p w14:paraId="63E76969" w14:textId="77777777" w:rsidR="00AB4D37" w:rsidRPr="00817921" w:rsidRDefault="00AB4D37" w:rsidP="00496A9E">
      <w:pPr>
        <w:shd w:val="clear" w:color="auto" w:fill="FFFFFF"/>
        <w:spacing w:after="0" w:line="240" w:lineRule="auto"/>
        <w:rPr>
          <w:rFonts w:ascii="Times New Roman" w:eastAsia="Times New Roman" w:hAnsi="Times New Roman" w:cs="Times New Roman"/>
          <w:b/>
          <w:szCs w:val="22"/>
          <w:lang w:val="sq-AL"/>
        </w:rPr>
      </w:pPr>
    </w:p>
    <w:p w14:paraId="4FF277AB" w14:textId="66BF9093" w:rsidR="00A27DFA" w:rsidRPr="00817921" w:rsidRDefault="00A27DFA" w:rsidP="005A2EF3">
      <w:pPr>
        <w:shd w:val="clear" w:color="auto" w:fill="FFFFFF"/>
        <w:spacing w:after="0" w:line="240" w:lineRule="auto"/>
        <w:rPr>
          <w:rFonts w:ascii="Times New Roman" w:eastAsia="Times New Roman" w:hAnsi="Times New Roman" w:cs="Times New Roman"/>
          <w:iCs/>
          <w:szCs w:val="22"/>
          <w:lang w:val="sq-AL" w:eastAsia="en-GB"/>
        </w:rPr>
      </w:pPr>
      <w:r w:rsidRPr="00817921">
        <w:rPr>
          <w:rFonts w:ascii="Times New Roman" w:eastAsia="Times New Roman" w:hAnsi="Times New Roman" w:cs="Times New Roman"/>
          <w:iCs/>
          <w:szCs w:val="22"/>
          <w:lang w:val="sq-AL" w:eastAsia="en-GB"/>
        </w:rPr>
        <w:t>Për të kompesuar punën e papaguar të grave, MSHMS</w:t>
      </w:r>
      <w:r w:rsidRPr="00817921">
        <w:rPr>
          <w:rFonts w:ascii="Times New Roman" w:hAnsi="Times New Roman" w:cs="Times New Roman"/>
          <w:iCs/>
          <w:szCs w:val="22"/>
          <w:vertAlign w:val="superscript"/>
          <w:lang w:val="sq-AL" w:eastAsia="en-GB"/>
        </w:rPr>
        <w:footnoteReference w:id="74"/>
      </w:r>
      <w:r w:rsidRPr="00817921">
        <w:rPr>
          <w:rFonts w:ascii="Times New Roman" w:eastAsia="Times New Roman" w:hAnsi="Times New Roman" w:cs="Times New Roman"/>
          <w:iCs/>
          <w:szCs w:val="22"/>
          <w:vertAlign w:val="superscript"/>
          <w:lang w:val="sq-AL" w:eastAsia="en-GB"/>
        </w:rPr>
        <w:t xml:space="preserve"> </w:t>
      </w:r>
      <w:r w:rsidRPr="00817921">
        <w:rPr>
          <w:rFonts w:ascii="Times New Roman" w:eastAsia="Times New Roman" w:hAnsi="Times New Roman" w:cs="Times New Roman"/>
          <w:iCs/>
          <w:szCs w:val="22"/>
          <w:lang w:val="sq-AL" w:eastAsia="en-GB"/>
        </w:rPr>
        <w:t>ka nxjerrë një udhëzim që parashikon se gratë e papuna, me tre apo më shumë fëmijë të moshës deri në 18 vjeç, ku njeri prej fëmijëve është nën moshën 5 vjeç dhe familja ka të ardhura nën 100 mijë lekë bruto në muaj, të cilat janë kategori ekonomikisht joaktive, mbulohen nga skema e sigurimit të detyrueshëm shoqëror dhe shëndetësor. Pagesa e kontributeve të tyre financohet nga buxheti i shtetit, për periudhën e kujdesit ndaj fëmijës deri në moshën 5-vjeçare.</w:t>
      </w:r>
    </w:p>
    <w:p w14:paraId="305E8ACD" w14:textId="2E41B0D8" w:rsidR="00A27DFA" w:rsidRPr="00186F15" w:rsidRDefault="00A27DFA" w:rsidP="000B4B6D">
      <w:pPr>
        <w:rPr>
          <w:rFonts w:ascii="Times New Roman" w:eastAsia="Times New Roman" w:hAnsi="Times New Roman" w:cs="Times New Roman"/>
          <w:iCs/>
          <w:szCs w:val="22"/>
          <w:lang w:val="sq-AL" w:eastAsia="en-GB"/>
        </w:rPr>
      </w:pPr>
      <w:r w:rsidRPr="00817921">
        <w:rPr>
          <w:rFonts w:ascii="Times New Roman" w:hAnsi="Times New Roman" w:cs="Times New Roman"/>
          <w:b/>
          <w:bCs/>
          <w:lang w:val="sq-AL"/>
        </w:rPr>
        <w:t>Martesat e hershme</w:t>
      </w:r>
      <w:r w:rsidR="00496A9E" w:rsidRPr="00817921">
        <w:rPr>
          <w:rFonts w:ascii="Times New Roman" w:hAnsi="Times New Roman" w:cs="Times New Roman"/>
          <w:b/>
          <w:bCs/>
          <w:lang w:val="sq-AL"/>
        </w:rPr>
        <w:t>.</w:t>
      </w:r>
      <w:r w:rsidR="00496A9E" w:rsidRPr="00817921">
        <w:rPr>
          <w:rFonts w:ascii="Times New Roman" w:hAnsi="Times New Roman" w:cs="Times New Roman"/>
          <w:lang w:val="sq-AL"/>
        </w:rPr>
        <w:t xml:space="preserve"> </w:t>
      </w:r>
      <w:r w:rsidRPr="00817921">
        <w:rPr>
          <w:rFonts w:ascii="Times New Roman" w:eastAsia="Times New Roman" w:hAnsi="Times New Roman" w:cs="Times New Roman"/>
          <w:iCs/>
          <w:szCs w:val="22"/>
          <w:lang w:val="sq-AL" w:eastAsia="en-GB"/>
        </w:rPr>
        <w:t xml:space="preserve">Rreziku i braktisjes të shkollës, për shkak të përgjegjësive në familje, punëve shtëpiake dhe të kujdesit, si dhe presionet për t'u martuar që fëmijë (në rastin e vajzave) dhe për të mbështetur jetesën e familjes (në rastin e djemve dhe në disa kontekste, vajzave), është një sfidë e madhe, me të cilën përballen shumë adoleshentë. </w:t>
      </w:r>
      <w:r w:rsidRPr="00817921">
        <w:rPr>
          <w:rFonts w:ascii="Times New Roman" w:hAnsi="Times New Roman" w:cs="Times New Roman"/>
          <w:lang w:val="sq-AL"/>
        </w:rPr>
        <w:t>Duhet theksuar se në Shqipëri, është bërë njëfarë progresi në ngritjen e kapaciteteve institucionale për zbatimin efektiv të kuadri ligjor  dhe të politikave që rregullon të drejtat e fëmijësve. Praktika e martesës së hershme ende ekziston, dhe nxitet kryesisht nga pabarazia gjinore, varfëria dhe përjashtimi social. Mungesa e të dhënave zyrtare, nuk lejon dhënien e një  pasqyre të saktë të prevalencës së martesave të fëmijëve. Sidoqoftë,  duhet theksuar se jo gjithmonë, ligjet për mbrojtjen e adoleshentëve nga martesat e hershme, janë efektive ose nuk zbatohen plotësisht. Megjithatë, gjatë gjithë vitit 2021, qeveria i dha prioritet adresimit të martesave të hershme, në kuadrin e saj të politikave kombëtare të buxhetuar për herë të parë. Po kështu, axhenda kombëtare për të drejtat e fëmijës 2021-2026, e miratuar në vitin 2021, përmban objektiva dhe masa për të luftuar këtë praktikë të dëmshme</w:t>
      </w:r>
      <w:r w:rsidRPr="00817921">
        <w:rPr>
          <w:rFonts w:ascii="Times New Roman" w:hAnsi="Times New Roman" w:cs="Times New Roman"/>
          <w:vertAlign w:val="superscript"/>
          <w:lang w:val="sq-AL"/>
        </w:rPr>
        <w:footnoteReference w:id="75"/>
      </w:r>
      <w:r w:rsidRPr="00817921">
        <w:rPr>
          <w:rFonts w:ascii="Times New Roman" w:hAnsi="Times New Roman" w:cs="Times New Roman"/>
          <w:vertAlign w:val="superscript"/>
          <w:lang w:val="sq-AL"/>
        </w:rPr>
        <w:t>.</w:t>
      </w:r>
    </w:p>
    <w:p w14:paraId="6C7E883A" w14:textId="77777777" w:rsidR="00075C17" w:rsidRPr="00817921" w:rsidRDefault="00075C17" w:rsidP="000B4B6D">
      <w:pPr>
        <w:rPr>
          <w:rFonts w:ascii="Times New Roman" w:hAnsi="Times New Roman" w:cs="Times New Roman"/>
          <w:lang w:val="sq-AL"/>
        </w:rPr>
      </w:pPr>
    </w:p>
    <w:p w14:paraId="2E7B89D0" w14:textId="701A8AEC" w:rsidR="00A27DFA" w:rsidRPr="00817921" w:rsidRDefault="00A27DFA" w:rsidP="000B4B6D">
      <w:pPr>
        <w:rPr>
          <w:rFonts w:ascii="Times New Roman" w:hAnsi="Times New Roman" w:cs="Times New Roman"/>
          <w:lang w:val="sq-AL"/>
        </w:rPr>
      </w:pPr>
      <w:r w:rsidRPr="00817921">
        <w:rPr>
          <w:rFonts w:ascii="Times New Roman" w:hAnsi="Times New Roman" w:cs="Times New Roman"/>
          <w:b/>
          <w:bCs/>
          <w:lang w:val="sq-AL"/>
        </w:rPr>
        <w:t>Dhuna me bazë gjinore</w:t>
      </w:r>
      <w:r w:rsidR="00496A9E" w:rsidRPr="00817921">
        <w:rPr>
          <w:rFonts w:ascii="Times New Roman" w:hAnsi="Times New Roman" w:cs="Times New Roman"/>
          <w:b/>
          <w:bCs/>
          <w:lang w:val="sq-AL"/>
        </w:rPr>
        <w:t>.</w:t>
      </w:r>
      <w:r w:rsidR="00496A9E" w:rsidRPr="00817921">
        <w:rPr>
          <w:rFonts w:ascii="Times New Roman" w:hAnsi="Times New Roman" w:cs="Times New Roman"/>
          <w:lang w:val="sq-AL"/>
        </w:rPr>
        <w:t xml:space="preserve"> </w:t>
      </w:r>
      <w:r w:rsidRPr="00817921">
        <w:rPr>
          <w:rFonts w:ascii="Times New Roman" w:hAnsi="Times New Roman" w:cs="Times New Roman"/>
          <w:lang w:val="sq-AL"/>
        </w:rPr>
        <w:t>Në fushën e barazisë gjinore dhe eleminimit të dhunës ndaj grave, Shqipëria është palë në dy nga instrumentet më të rëndësishme: Konventën e Stambollit dhe Konventën për Eliminimin e të Gjithë Formave të Diskriminimit ndaj Grave. Vitet e fundit, vendi ka ndërmarrë hapa të rëndësishëm drejt eliminimit të diskriminimit me bazë gjinore dhe arritjes së barazisë gjinore, sid</w:t>
      </w:r>
      <w:r w:rsidR="00F71E0D" w:rsidRPr="00817921">
        <w:rPr>
          <w:rFonts w:ascii="Times New Roman" w:hAnsi="Times New Roman" w:cs="Times New Roman"/>
          <w:lang w:val="sq-AL"/>
        </w:rPr>
        <w:t>o</w:t>
      </w:r>
      <w:r w:rsidRPr="00817921">
        <w:rPr>
          <w:rFonts w:ascii="Times New Roman" w:hAnsi="Times New Roman" w:cs="Times New Roman"/>
          <w:lang w:val="sq-AL"/>
        </w:rPr>
        <w:t>mos sa i përket kuadrit ligjor dhe të politikave. Megjithatë, sfidat  dhe problemet vazhdojnë, për shkaqe  historike, sociale, ekonomike e kulturore. Format e ndërthurura të diskriminimit, me të cilat përballen shumë gra, për shkak të gjinisë dhe arsyeve të tjera (etnisë, aftësisë së kufizuar, orientimit seksual, moshës, situatës socio-ekonomike) mbeten të patrajtuara</w:t>
      </w:r>
      <w:r w:rsidRPr="00817921">
        <w:rPr>
          <w:rFonts w:ascii="Times New Roman" w:hAnsi="Times New Roman" w:cs="Times New Roman"/>
          <w:vertAlign w:val="superscript"/>
          <w:lang w:val="sq-AL"/>
        </w:rPr>
        <w:footnoteReference w:id="76"/>
      </w:r>
      <w:r w:rsidRPr="00817921">
        <w:rPr>
          <w:rFonts w:ascii="Times New Roman" w:hAnsi="Times New Roman" w:cs="Times New Roman"/>
          <w:lang w:val="sq-AL"/>
        </w:rPr>
        <w:t>.</w:t>
      </w:r>
    </w:p>
    <w:p w14:paraId="5462BA24" w14:textId="5480764F" w:rsidR="00A27DFA" w:rsidRPr="00817921" w:rsidRDefault="00A27DFA" w:rsidP="000B4B6D">
      <w:pPr>
        <w:rPr>
          <w:rFonts w:ascii="Times New Roman" w:hAnsi="Times New Roman" w:cs="Times New Roman"/>
          <w:lang w:val="sq-AL"/>
        </w:rPr>
      </w:pPr>
      <w:r w:rsidRPr="00817921">
        <w:rPr>
          <w:rFonts w:ascii="Times New Roman" w:hAnsi="Times New Roman" w:cs="Times New Roman"/>
          <w:lang w:val="sq-AL"/>
        </w:rPr>
        <w:t>Për vitin 2021, nga Programi i Ndihmës Juridike, kanë përfituar gjithsej ndihmë juridike parësore 8</w:t>
      </w:r>
      <w:r w:rsidR="00F71E0D" w:rsidRPr="00817921">
        <w:rPr>
          <w:rFonts w:ascii="Times New Roman" w:hAnsi="Times New Roman" w:cs="Times New Roman"/>
          <w:lang w:val="sq-AL"/>
        </w:rPr>
        <w:t>,</w:t>
      </w:r>
      <w:r w:rsidRPr="00817921">
        <w:rPr>
          <w:rFonts w:ascii="Times New Roman" w:hAnsi="Times New Roman" w:cs="Times New Roman"/>
          <w:lang w:val="sq-AL"/>
        </w:rPr>
        <w:t>153 individë, subjekte të ligjit nr. 111/2017, nga të cilët 3263 përfitues janë gra dhe vajza në nevojë. E shprehur në përqindje, gratë dhe vajzat përbëjnë 40 % të përfituesve të programit të ndihmës juridike (shërbimi i ndihmës juridike parësore) për vitin 2021. Nga këto, 463 gra dhe vajza i përkisnin kategorisë së viktimave dhe dhunës në familje</w:t>
      </w:r>
      <w:r w:rsidR="00E32630" w:rsidRPr="00817921">
        <w:rPr>
          <w:rFonts w:ascii="Times New Roman" w:hAnsi="Times New Roman" w:cs="Times New Roman"/>
          <w:vertAlign w:val="superscript"/>
          <w:lang w:val="sq-AL"/>
        </w:rPr>
        <w:footnoteReference w:id="77"/>
      </w:r>
      <w:r w:rsidRPr="00817921">
        <w:rPr>
          <w:rFonts w:ascii="Times New Roman" w:hAnsi="Times New Roman" w:cs="Times New Roman"/>
          <w:lang w:val="sq-AL"/>
        </w:rPr>
        <w:t>.</w:t>
      </w:r>
    </w:p>
    <w:p w14:paraId="12FCC079" w14:textId="56E0B98E" w:rsidR="00A27DFA" w:rsidRPr="00817921" w:rsidRDefault="00A27DFA" w:rsidP="00A27DFA">
      <w:pPr>
        <w:tabs>
          <w:tab w:val="left" w:pos="2160"/>
        </w:tabs>
        <w:spacing w:after="0" w:line="240" w:lineRule="auto"/>
        <w:rPr>
          <w:rFonts w:ascii="Times New Roman" w:eastAsia="Times New Roman" w:hAnsi="Times New Roman" w:cs="Times New Roman"/>
          <w:iCs/>
          <w:szCs w:val="22"/>
          <w:lang w:val="sq-AL" w:eastAsia="en-GB"/>
        </w:rPr>
      </w:pPr>
      <w:r w:rsidRPr="00817921">
        <w:rPr>
          <w:rFonts w:ascii="Times New Roman" w:eastAsia="Times New Roman" w:hAnsi="Times New Roman" w:cs="Times New Roman"/>
          <w:iCs/>
          <w:szCs w:val="22"/>
          <w:lang w:val="sq-AL" w:eastAsia="en-GB"/>
        </w:rPr>
        <w:t>Nga të dhënat e MFE, për vitin 2021, rezulton se nga 2</w:t>
      </w:r>
      <w:r w:rsidR="00F71E0D" w:rsidRPr="00817921">
        <w:rPr>
          <w:rFonts w:ascii="Times New Roman" w:eastAsia="Times New Roman" w:hAnsi="Times New Roman" w:cs="Times New Roman"/>
          <w:iCs/>
          <w:szCs w:val="22"/>
          <w:lang w:val="sq-AL" w:eastAsia="en-GB"/>
        </w:rPr>
        <w:t>,</w:t>
      </w:r>
      <w:r w:rsidRPr="00817921">
        <w:rPr>
          <w:rFonts w:ascii="Times New Roman" w:eastAsia="Times New Roman" w:hAnsi="Times New Roman" w:cs="Times New Roman"/>
          <w:iCs/>
          <w:szCs w:val="22"/>
          <w:lang w:val="sq-AL" w:eastAsia="en-GB"/>
        </w:rPr>
        <w:t>700 përfitues nga programi i Strehimit, 302 ose 11.2% e përfituesve janë gra kryefamiljare dhe viktima të dhunës në familje</w:t>
      </w:r>
      <w:r w:rsidR="00F71E0D" w:rsidRPr="00817921">
        <w:rPr>
          <w:rFonts w:ascii="Times New Roman" w:eastAsia="Times New Roman" w:hAnsi="Times New Roman" w:cs="Times New Roman"/>
          <w:iCs/>
          <w:szCs w:val="22"/>
          <w:vertAlign w:val="superscript"/>
          <w:lang w:eastAsia="en-GB"/>
        </w:rPr>
        <w:footnoteReference w:id="78"/>
      </w:r>
      <w:r w:rsidRPr="00817921">
        <w:rPr>
          <w:rFonts w:ascii="Times New Roman" w:eastAsia="Times New Roman" w:hAnsi="Times New Roman" w:cs="Times New Roman"/>
          <w:iCs/>
          <w:szCs w:val="22"/>
          <w:lang w:val="sq-AL" w:eastAsia="en-GB"/>
        </w:rPr>
        <w:t xml:space="preserve">. Gjithsesi, </w:t>
      </w:r>
      <w:r w:rsidR="00E93434" w:rsidRPr="00817921">
        <w:rPr>
          <w:rFonts w:ascii="Times New Roman" w:eastAsia="Times New Roman" w:hAnsi="Times New Roman" w:cs="Times New Roman"/>
          <w:iCs/>
          <w:szCs w:val="22"/>
          <w:lang w:val="sq-AL" w:eastAsia="en-GB"/>
        </w:rPr>
        <w:t>b</w:t>
      </w:r>
      <w:r w:rsidRPr="00817921">
        <w:rPr>
          <w:rFonts w:ascii="Times New Roman" w:eastAsia="Times New Roman" w:hAnsi="Times New Roman" w:cs="Times New Roman"/>
          <w:iCs/>
          <w:szCs w:val="22"/>
          <w:lang w:val="sq-AL" w:eastAsia="en-GB"/>
        </w:rPr>
        <w:t>uxheti i planifikuar për realizimin e programeve të strehimit është i ndarë sipas zërave të programit dhe nuk ka një fond të dedikuar vetëm për përfitueset gra</w:t>
      </w:r>
      <w:r w:rsidRPr="00817921">
        <w:rPr>
          <w:rFonts w:ascii="Times New Roman" w:eastAsia="Times New Roman" w:hAnsi="Times New Roman" w:cs="Times New Roman"/>
          <w:iCs/>
          <w:szCs w:val="22"/>
          <w:vertAlign w:val="superscript"/>
          <w:lang w:eastAsia="en-GB"/>
        </w:rPr>
        <w:footnoteReference w:id="79"/>
      </w:r>
      <w:r w:rsidRPr="00817921">
        <w:rPr>
          <w:rFonts w:ascii="Times New Roman" w:eastAsia="Times New Roman" w:hAnsi="Times New Roman" w:cs="Times New Roman"/>
          <w:iCs/>
          <w:szCs w:val="22"/>
          <w:vertAlign w:val="superscript"/>
          <w:lang w:val="sq-AL" w:eastAsia="en-GB"/>
        </w:rPr>
        <w:t>.</w:t>
      </w:r>
    </w:p>
    <w:p w14:paraId="0570AB9E" w14:textId="77777777" w:rsidR="00A27DFA" w:rsidRPr="00817921" w:rsidRDefault="00A27DFA" w:rsidP="00A27DFA">
      <w:pPr>
        <w:rPr>
          <w:rFonts w:ascii="Times New Roman" w:eastAsia="Times New Roman" w:hAnsi="Times New Roman" w:cs="Times New Roman"/>
          <w:iCs/>
          <w:szCs w:val="22"/>
          <w:lang w:val="sq-AL" w:eastAsia="en-GB"/>
        </w:rPr>
      </w:pPr>
    </w:p>
    <w:p w14:paraId="63C843A9" w14:textId="09442FF4" w:rsidR="00A27DFA" w:rsidRPr="00817921" w:rsidRDefault="00A27DFA" w:rsidP="00A27DFA">
      <w:pPr>
        <w:spacing w:after="0" w:line="240" w:lineRule="auto"/>
        <w:rPr>
          <w:rFonts w:ascii="Times New Roman" w:hAnsi="Times New Roman" w:cs="Times New Roman"/>
          <w:b/>
          <w:szCs w:val="22"/>
          <w:lang w:val="sq-AL"/>
        </w:rPr>
      </w:pPr>
      <w:r w:rsidRPr="00817921">
        <w:rPr>
          <w:rFonts w:ascii="Times New Roman" w:hAnsi="Times New Roman" w:cs="Times New Roman"/>
          <w:b/>
          <w:szCs w:val="22"/>
          <w:lang w:val="sq-AL"/>
        </w:rPr>
        <w:t>Mbrojtja  e nënës dhe fëmijës</w:t>
      </w:r>
      <w:r w:rsidR="00496A9E" w:rsidRPr="00817921">
        <w:rPr>
          <w:rFonts w:ascii="Times New Roman" w:hAnsi="Times New Roman" w:cs="Times New Roman"/>
          <w:b/>
          <w:szCs w:val="22"/>
          <w:lang w:val="sq-AL"/>
        </w:rPr>
        <w:t xml:space="preserve">. </w:t>
      </w:r>
      <w:r w:rsidRPr="00817921">
        <w:rPr>
          <w:rFonts w:ascii="Times New Roman" w:eastAsia="Times New Roman" w:hAnsi="Times New Roman" w:cs="Times New Roman"/>
          <w:iCs/>
          <w:szCs w:val="22"/>
          <w:lang w:val="sq-AL" w:eastAsia="en-GB"/>
        </w:rPr>
        <w:t>Mbrojtja dhe kujdesi ndaj nënës e fëmijës  është thelbësore për ushqyerjen dhe shëndetin e mirë, mirëqenien e nënave dhe fëmijëve të tyre, parandalimin dhe reduktimin e varfërisë dhe vulnerabilitetit,  si dhe arritjen e barazisë gjinore në tregun e punës.</w:t>
      </w:r>
    </w:p>
    <w:p w14:paraId="14D89ACA" w14:textId="5EC726A0" w:rsidR="00A27DFA" w:rsidRPr="00817921" w:rsidRDefault="00A27DFA" w:rsidP="00A27DFA">
      <w:pPr>
        <w:spacing w:after="0" w:line="240" w:lineRule="auto"/>
        <w:rPr>
          <w:rFonts w:ascii="Times New Roman" w:eastAsia="Times New Roman" w:hAnsi="Times New Roman" w:cs="Times New Roman"/>
          <w:iCs/>
          <w:szCs w:val="22"/>
          <w:lang w:val="sq-AL" w:eastAsia="en-GB"/>
        </w:rPr>
      </w:pPr>
      <w:r w:rsidRPr="00817921">
        <w:rPr>
          <w:rFonts w:ascii="Times New Roman" w:eastAsia="Times New Roman" w:hAnsi="Times New Roman" w:cs="Times New Roman"/>
          <w:iCs/>
          <w:szCs w:val="22"/>
          <w:lang w:val="sq-AL" w:eastAsia="en-GB"/>
        </w:rPr>
        <w:t>Numri i lindjeve në vitin 2021 është 27.211 lindje. Raporti gjinor në lindje është 108, që tregon se për çdo 100 vajza të lindura, lindin 108 djem. Ky raport është më i lartë se raporti natyral, i cili është 105. Në vlera absolute, rënia e numrit të lindjeve krahasuar me vitin 2020 është 864. Për lindjet djem kemi një rënie prej 2,7%, ndërsa për lindjet vajza rënia është 3,5%. Lindshmëria në adoleshencë është zvogëluar në krahasim me një vit më parë. Në vitin 2021, ka 12,1 lindje për çdo 1.000 vajza të grup-moshës 15-19 vjeç nga 13,3 lindje që ishin në 2020</w:t>
      </w:r>
      <w:r w:rsidRPr="00817921">
        <w:rPr>
          <w:rFonts w:ascii="Times New Roman" w:eastAsia="Times New Roman" w:hAnsi="Times New Roman" w:cs="Times New Roman"/>
          <w:iCs/>
          <w:szCs w:val="22"/>
          <w:vertAlign w:val="superscript"/>
          <w:lang w:val="sq-AL" w:eastAsia="en-GB"/>
        </w:rPr>
        <w:footnoteReference w:id="80"/>
      </w:r>
      <w:r w:rsidRPr="00817921">
        <w:rPr>
          <w:rFonts w:ascii="Times New Roman" w:eastAsia="Times New Roman" w:hAnsi="Times New Roman" w:cs="Times New Roman"/>
          <w:iCs/>
          <w:szCs w:val="22"/>
          <w:vertAlign w:val="superscript"/>
          <w:lang w:val="sq-AL" w:eastAsia="en-GB"/>
        </w:rPr>
        <w:t>.</w:t>
      </w:r>
    </w:p>
    <w:p w14:paraId="09FBF3A1" w14:textId="77777777" w:rsidR="00075C17" w:rsidRDefault="00075C17" w:rsidP="00A27DFA">
      <w:pPr>
        <w:spacing w:after="0" w:line="240" w:lineRule="auto"/>
        <w:rPr>
          <w:rFonts w:ascii="Times New Roman" w:eastAsia="Times New Roman" w:hAnsi="Times New Roman" w:cs="Times New Roman"/>
          <w:iCs/>
          <w:szCs w:val="22"/>
          <w:lang w:val="sq-AL" w:eastAsia="en-GB"/>
        </w:rPr>
      </w:pPr>
    </w:p>
    <w:p w14:paraId="54B6FC8A" w14:textId="3CFE7C86" w:rsidR="00A27DFA" w:rsidRPr="00817921" w:rsidRDefault="00A27DFA" w:rsidP="00A27DFA">
      <w:pPr>
        <w:spacing w:after="0" w:line="240" w:lineRule="auto"/>
        <w:rPr>
          <w:rFonts w:ascii="Times New Roman" w:eastAsia="Times New Roman" w:hAnsi="Times New Roman" w:cs="Times New Roman"/>
          <w:iCs/>
          <w:szCs w:val="22"/>
          <w:lang w:val="sq-AL" w:eastAsia="en-GB"/>
        </w:rPr>
      </w:pPr>
      <w:r w:rsidRPr="00817921">
        <w:rPr>
          <w:rFonts w:ascii="Times New Roman" w:eastAsia="Times New Roman" w:hAnsi="Times New Roman" w:cs="Times New Roman"/>
          <w:iCs/>
          <w:szCs w:val="22"/>
          <w:lang w:val="sq-AL" w:eastAsia="en-GB"/>
        </w:rPr>
        <w:t>Në vijim të prioriteteve stratetegjike dhe politikave mbështetëse të Qeverisë Shqiptare, që nga Janari i vitit 2019 e në vazhdimësi, po aplikohet “bonusi i bebes” i cili është në stimul financiar për mbështetjen e familjeve të reja, rritjen e numrit të lindjeve dhe zhvillimin e shoqërisë. Bonusi i bebeve ka patur një rritje të përfituesve të saj nga vlera e planifikuar sipas fazës së tretë të PBA (2,820,290,000 leke) në rishikimin gjatë vitit 2021 në vlerën e rishikuar 3,303,110,000 Lek për 43</w:t>
      </w:r>
      <w:r w:rsidR="001E76FF" w:rsidRPr="00817921">
        <w:rPr>
          <w:rFonts w:ascii="Times New Roman" w:eastAsia="Times New Roman" w:hAnsi="Times New Roman" w:cs="Times New Roman"/>
          <w:iCs/>
          <w:szCs w:val="22"/>
          <w:lang w:val="sq-AL" w:eastAsia="en-GB"/>
        </w:rPr>
        <w:t>,</w:t>
      </w:r>
      <w:r w:rsidRPr="00817921">
        <w:rPr>
          <w:rFonts w:ascii="Times New Roman" w:eastAsia="Times New Roman" w:hAnsi="Times New Roman" w:cs="Times New Roman"/>
          <w:iCs/>
          <w:szCs w:val="22"/>
          <w:lang w:val="sq-AL" w:eastAsia="en-GB"/>
        </w:rPr>
        <w:t>441 bebe</w:t>
      </w:r>
      <w:r w:rsidRPr="00817921">
        <w:rPr>
          <w:rFonts w:ascii="Times New Roman" w:eastAsia="Times New Roman" w:hAnsi="Times New Roman" w:cs="Times New Roman"/>
          <w:iCs/>
          <w:szCs w:val="22"/>
          <w:vertAlign w:val="superscript"/>
          <w:lang w:val="sq-AL" w:eastAsia="en-GB"/>
        </w:rPr>
        <w:footnoteReference w:id="81"/>
      </w:r>
      <w:r w:rsidRPr="00817921">
        <w:rPr>
          <w:rFonts w:ascii="Times New Roman" w:eastAsia="Times New Roman" w:hAnsi="Times New Roman" w:cs="Times New Roman"/>
          <w:iCs/>
          <w:szCs w:val="22"/>
          <w:vertAlign w:val="superscript"/>
          <w:lang w:val="sq-AL" w:eastAsia="en-GB"/>
        </w:rPr>
        <w:t>.</w:t>
      </w:r>
      <w:r w:rsidRPr="00817921">
        <w:rPr>
          <w:rFonts w:ascii="Times New Roman" w:eastAsia="Times New Roman" w:hAnsi="Times New Roman" w:cs="Times New Roman"/>
          <w:iCs/>
          <w:szCs w:val="22"/>
          <w:lang w:val="sq-AL" w:eastAsia="en-GB"/>
        </w:rPr>
        <w:t xml:space="preserve"> Masa në lidhje me sigurimin e paketave të kujdesit për bebe dhe nëna u zbatua me shumë sukses edhe për nënat rome dhe egjiptiane që lindin në spital. Gjatë vitit 2016, u raportuan 1</w:t>
      </w:r>
      <w:r w:rsidR="001E76FF" w:rsidRPr="00817921">
        <w:rPr>
          <w:rFonts w:ascii="Times New Roman" w:eastAsia="Times New Roman" w:hAnsi="Times New Roman" w:cs="Times New Roman"/>
          <w:iCs/>
          <w:szCs w:val="22"/>
          <w:lang w:val="sq-AL" w:eastAsia="en-GB"/>
        </w:rPr>
        <w:t>,</w:t>
      </w:r>
      <w:r w:rsidRPr="00817921">
        <w:rPr>
          <w:rFonts w:ascii="Times New Roman" w:eastAsia="Times New Roman" w:hAnsi="Times New Roman" w:cs="Times New Roman"/>
          <w:iCs/>
          <w:szCs w:val="22"/>
          <w:lang w:val="sq-AL" w:eastAsia="en-GB"/>
        </w:rPr>
        <w:t>961 nëna rome dhe egjiptiane përfituese, gjatë 2017 kjo shifër është rritur në 2</w:t>
      </w:r>
      <w:r w:rsidR="001E76FF" w:rsidRPr="00817921">
        <w:rPr>
          <w:rFonts w:ascii="Times New Roman" w:eastAsia="Times New Roman" w:hAnsi="Times New Roman" w:cs="Times New Roman"/>
          <w:iCs/>
          <w:szCs w:val="22"/>
          <w:lang w:val="sq-AL" w:eastAsia="en-GB"/>
        </w:rPr>
        <w:t>,</w:t>
      </w:r>
      <w:r w:rsidRPr="00817921">
        <w:rPr>
          <w:rFonts w:ascii="Times New Roman" w:eastAsia="Times New Roman" w:hAnsi="Times New Roman" w:cs="Times New Roman"/>
          <w:iCs/>
          <w:szCs w:val="22"/>
          <w:lang w:val="sq-AL" w:eastAsia="en-GB"/>
        </w:rPr>
        <w:t>059, ndërkoh që viti 2018 numëron 7</w:t>
      </w:r>
      <w:r w:rsidR="001E76FF" w:rsidRPr="00817921">
        <w:rPr>
          <w:rFonts w:ascii="Times New Roman" w:eastAsia="Times New Roman" w:hAnsi="Times New Roman" w:cs="Times New Roman"/>
          <w:iCs/>
          <w:szCs w:val="22"/>
          <w:lang w:val="sq-AL" w:eastAsia="en-GB"/>
        </w:rPr>
        <w:t>,</w:t>
      </w:r>
      <w:r w:rsidRPr="00817921">
        <w:rPr>
          <w:rFonts w:ascii="Times New Roman" w:eastAsia="Times New Roman" w:hAnsi="Times New Roman" w:cs="Times New Roman"/>
          <w:iCs/>
          <w:szCs w:val="22"/>
          <w:lang w:val="sq-AL" w:eastAsia="en-GB"/>
        </w:rPr>
        <w:t>080 përfitues në këtë kategori</w:t>
      </w:r>
      <w:r w:rsidRPr="00817921">
        <w:rPr>
          <w:rFonts w:ascii="Times New Roman" w:eastAsia="Times New Roman" w:hAnsi="Times New Roman" w:cs="Times New Roman"/>
          <w:iCs/>
          <w:szCs w:val="22"/>
          <w:vertAlign w:val="superscript"/>
          <w:lang w:val="sq-AL" w:eastAsia="en-GB"/>
        </w:rPr>
        <w:footnoteReference w:id="82"/>
      </w:r>
      <w:r w:rsidRPr="00817921">
        <w:rPr>
          <w:rFonts w:ascii="Times New Roman" w:eastAsia="Times New Roman" w:hAnsi="Times New Roman" w:cs="Times New Roman"/>
          <w:iCs/>
          <w:szCs w:val="22"/>
          <w:lang w:val="sq-AL" w:eastAsia="en-GB"/>
        </w:rPr>
        <w:t>.</w:t>
      </w:r>
    </w:p>
    <w:p w14:paraId="1C5BCE2A" w14:textId="77777777" w:rsidR="006A3FFA" w:rsidRPr="00817921" w:rsidRDefault="006A3FFA" w:rsidP="00A27DFA">
      <w:pPr>
        <w:spacing w:after="0" w:line="240" w:lineRule="auto"/>
        <w:rPr>
          <w:rFonts w:ascii="Times New Roman" w:eastAsia="Times New Roman" w:hAnsi="Times New Roman" w:cs="Times New Roman"/>
          <w:iCs/>
          <w:szCs w:val="22"/>
          <w:lang w:val="sq-AL" w:eastAsia="en-GB"/>
        </w:rPr>
      </w:pPr>
    </w:p>
    <w:p w14:paraId="16257C78" w14:textId="2040CE03" w:rsidR="00A27DFA" w:rsidRPr="00817921" w:rsidRDefault="00AB4D37" w:rsidP="00673E2B">
      <w:pPr>
        <w:pStyle w:val="Heading2"/>
        <w:numPr>
          <w:ilvl w:val="1"/>
          <w:numId w:val="1"/>
        </w:numPr>
        <w:rPr>
          <w:rFonts w:ascii="Times New Roman" w:hAnsi="Times New Roman" w:cs="Times New Roman"/>
          <w:sz w:val="24"/>
          <w:szCs w:val="24"/>
          <w:lang w:val="sq-AL"/>
        </w:rPr>
      </w:pPr>
      <w:bookmarkStart w:id="12" w:name="_Toc150809615"/>
      <w:bookmarkStart w:id="13" w:name="_Toc150896483"/>
      <w:r>
        <w:rPr>
          <w:rFonts w:ascii="Times New Roman" w:hAnsi="Times New Roman" w:cs="Times New Roman"/>
          <w:sz w:val="24"/>
          <w:szCs w:val="24"/>
          <w:lang w:val="sq-AL"/>
        </w:rPr>
        <w:t>P</w:t>
      </w:r>
      <w:r w:rsidRPr="002C0D3E">
        <w:rPr>
          <w:rFonts w:ascii="Times New Roman" w:eastAsia="Times New Roman" w:hAnsi="Times New Roman" w:cs="Times New Roman"/>
          <w:iCs/>
          <w:szCs w:val="22"/>
          <w:lang w:val="sq-AL" w:eastAsia="en-GB"/>
        </w:rPr>
        <w:t>ë</w:t>
      </w:r>
      <w:r>
        <w:rPr>
          <w:rFonts w:ascii="Times New Roman" w:hAnsi="Times New Roman" w:cs="Times New Roman"/>
          <w:sz w:val="24"/>
          <w:szCs w:val="24"/>
          <w:lang w:val="sq-AL"/>
        </w:rPr>
        <w:t xml:space="preserve">rballja me </w:t>
      </w:r>
      <w:r w:rsidR="00C41665">
        <w:rPr>
          <w:rFonts w:ascii="Times New Roman" w:hAnsi="Times New Roman" w:cs="Times New Roman"/>
          <w:sz w:val="24"/>
          <w:szCs w:val="24"/>
          <w:lang w:val="sq-AL"/>
        </w:rPr>
        <w:t>e</w:t>
      </w:r>
      <w:r w:rsidR="00673E2B" w:rsidRPr="00817921">
        <w:rPr>
          <w:rFonts w:ascii="Times New Roman" w:hAnsi="Times New Roman" w:cs="Times New Roman"/>
          <w:sz w:val="24"/>
          <w:szCs w:val="24"/>
          <w:lang w:val="sq-AL"/>
        </w:rPr>
        <w:t>mergjenca</w:t>
      </w:r>
      <w:r w:rsidR="00165F89" w:rsidRPr="00817921">
        <w:rPr>
          <w:rFonts w:ascii="Times New Roman" w:hAnsi="Times New Roman" w:cs="Times New Roman"/>
          <w:sz w:val="24"/>
          <w:szCs w:val="24"/>
          <w:lang w:val="sq-AL"/>
        </w:rPr>
        <w:t>t</w:t>
      </w:r>
      <w:r w:rsidR="00673E2B" w:rsidRPr="00817921">
        <w:rPr>
          <w:rFonts w:ascii="Times New Roman" w:hAnsi="Times New Roman" w:cs="Times New Roman"/>
          <w:sz w:val="24"/>
          <w:szCs w:val="24"/>
          <w:lang w:val="sq-AL"/>
        </w:rPr>
        <w:t xml:space="preserve"> </w:t>
      </w:r>
      <w:r w:rsidR="00872443" w:rsidRPr="00817921">
        <w:rPr>
          <w:rFonts w:ascii="Times New Roman" w:hAnsi="Times New Roman" w:cs="Times New Roman"/>
          <w:sz w:val="24"/>
          <w:szCs w:val="24"/>
          <w:lang w:val="sq-AL"/>
        </w:rPr>
        <w:t>dhe</w:t>
      </w:r>
      <w:r w:rsidR="00C41665">
        <w:rPr>
          <w:rFonts w:ascii="Times New Roman" w:hAnsi="Times New Roman" w:cs="Times New Roman"/>
          <w:sz w:val="24"/>
          <w:szCs w:val="24"/>
          <w:lang w:val="sq-AL"/>
        </w:rPr>
        <w:t xml:space="preserve"> situatat e</w:t>
      </w:r>
      <w:r w:rsidR="00872443" w:rsidRPr="00817921">
        <w:rPr>
          <w:rFonts w:ascii="Times New Roman" w:hAnsi="Times New Roman" w:cs="Times New Roman"/>
          <w:sz w:val="24"/>
          <w:szCs w:val="24"/>
          <w:lang w:val="sq-AL"/>
        </w:rPr>
        <w:t xml:space="preserve"> kriza</w:t>
      </w:r>
      <w:bookmarkEnd w:id="12"/>
      <w:r w:rsidR="00C41665">
        <w:rPr>
          <w:rFonts w:ascii="Times New Roman" w:hAnsi="Times New Roman" w:cs="Times New Roman"/>
          <w:sz w:val="24"/>
          <w:szCs w:val="24"/>
          <w:lang w:val="sq-AL"/>
        </w:rPr>
        <w:t>ve</w:t>
      </w:r>
      <w:bookmarkEnd w:id="13"/>
    </w:p>
    <w:p w14:paraId="0D0CFAD3" w14:textId="77777777" w:rsidR="0058436C" w:rsidRDefault="0058436C" w:rsidP="00A27DFA">
      <w:pPr>
        <w:shd w:val="clear" w:color="auto" w:fill="FFFFFF"/>
        <w:spacing w:after="0" w:line="240" w:lineRule="auto"/>
        <w:rPr>
          <w:rFonts w:ascii="Times New Roman" w:eastAsia="Times New Roman" w:hAnsi="Times New Roman" w:cs="Times New Roman"/>
          <w:iCs/>
          <w:szCs w:val="22"/>
          <w:lang w:val="sq-AL" w:eastAsia="en-GB"/>
        </w:rPr>
      </w:pPr>
    </w:p>
    <w:p w14:paraId="3724D632" w14:textId="5D25C53F" w:rsidR="00A27DFA" w:rsidRPr="00817921" w:rsidRDefault="00A27DFA" w:rsidP="00A27DFA">
      <w:pPr>
        <w:shd w:val="clear" w:color="auto" w:fill="FFFFFF"/>
        <w:spacing w:after="0" w:line="240" w:lineRule="auto"/>
        <w:rPr>
          <w:rFonts w:ascii="Times New Roman" w:eastAsia="Times New Roman" w:hAnsi="Times New Roman" w:cs="Times New Roman"/>
          <w:iCs/>
          <w:szCs w:val="22"/>
          <w:lang w:val="sq-AL" w:eastAsia="en-GB"/>
        </w:rPr>
      </w:pPr>
      <w:r w:rsidRPr="00817921">
        <w:rPr>
          <w:rFonts w:ascii="Times New Roman" w:eastAsia="Times New Roman" w:hAnsi="Times New Roman" w:cs="Times New Roman"/>
          <w:iCs/>
          <w:szCs w:val="22"/>
          <w:lang w:val="sq-AL" w:eastAsia="en-GB"/>
        </w:rPr>
        <w:t xml:space="preserve">Ndikimet e pandemisë COVID-19, emergjenca klimatike dhe konfliktet gjeopolitike kërcënojnë </w:t>
      </w:r>
      <w:r w:rsidR="00663BE4" w:rsidRPr="00817921">
        <w:rPr>
          <w:rFonts w:ascii="Times New Roman" w:eastAsia="Times New Roman" w:hAnsi="Times New Roman" w:cs="Times New Roman"/>
          <w:iCs/>
          <w:szCs w:val="22"/>
          <w:lang w:val="sq-AL" w:eastAsia="en-GB"/>
        </w:rPr>
        <w:t>ekonomin</w:t>
      </w:r>
      <w:r w:rsidR="009A5A0E" w:rsidRPr="00817921">
        <w:rPr>
          <w:rFonts w:ascii="Times New Roman" w:eastAsia="Times New Roman" w:hAnsi="Times New Roman" w:cs="Times New Roman"/>
          <w:iCs/>
          <w:szCs w:val="22"/>
          <w:lang w:val="sq-AL" w:eastAsia="en-GB"/>
        </w:rPr>
        <w:t>ë</w:t>
      </w:r>
      <w:r w:rsidR="00663BE4" w:rsidRPr="00817921">
        <w:rPr>
          <w:rFonts w:ascii="Times New Roman" w:eastAsia="Times New Roman" w:hAnsi="Times New Roman" w:cs="Times New Roman"/>
          <w:iCs/>
          <w:szCs w:val="22"/>
          <w:lang w:val="sq-AL" w:eastAsia="en-GB"/>
        </w:rPr>
        <w:t xml:space="preserve">, zhvillimin dhe mbrojtjen sociale </w:t>
      </w:r>
      <w:r w:rsidRPr="00817921">
        <w:rPr>
          <w:rFonts w:ascii="Times New Roman" w:eastAsia="Times New Roman" w:hAnsi="Times New Roman" w:cs="Times New Roman"/>
          <w:iCs/>
          <w:szCs w:val="22"/>
          <w:lang w:val="sq-AL" w:eastAsia="en-GB"/>
        </w:rPr>
        <w:t xml:space="preserve">ndaj qeveritë </w:t>
      </w:r>
      <w:r w:rsidR="00663BE4" w:rsidRPr="00817921">
        <w:rPr>
          <w:rFonts w:ascii="Times New Roman" w:eastAsia="Times New Roman" w:hAnsi="Times New Roman" w:cs="Times New Roman"/>
          <w:iCs/>
          <w:szCs w:val="22"/>
          <w:lang w:val="sq-AL" w:eastAsia="en-GB"/>
        </w:rPr>
        <w:t xml:space="preserve">lipset </w:t>
      </w:r>
      <w:r w:rsidRPr="00817921">
        <w:rPr>
          <w:rFonts w:ascii="Times New Roman" w:eastAsia="Times New Roman" w:hAnsi="Times New Roman" w:cs="Times New Roman"/>
          <w:iCs/>
          <w:szCs w:val="22"/>
          <w:lang w:val="sq-AL" w:eastAsia="en-GB"/>
        </w:rPr>
        <w:t>të zhvillojnë strategji për parandalimin dhe trajtimin e emergjencave</w:t>
      </w:r>
      <w:r w:rsidR="00663BE4" w:rsidRPr="00817921">
        <w:rPr>
          <w:rFonts w:ascii="Times New Roman" w:eastAsia="Times New Roman" w:hAnsi="Times New Roman" w:cs="Times New Roman"/>
          <w:iCs/>
          <w:szCs w:val="22"/>
          <w:lang w:val="sq-AL" w:eastAsia="en-GB"/>
        </w:rPr>
        <w:t>. K</w:t>
      </w:r>
      <w:r w:rsidR="009A5A0E" w:rsidRPr="00817921">
        <w:rPr>
          <w:rFonts w:ascii="Times New Roman" w:eastAsia="Times New Roman" w:hAnsi="Times New Roman" w:cs="Times New Roman"/>
          <w:iCs/>
          <w:szCs w:val="22"/>
          <w:lang w:val="sq-AL" w:eastAsia="en-GB"/>
        </w:rPr>
        <w:t>ë</w:t>
      </w:r>
      <w:r w:rsidR="00663BE4" w:rsidRPr="00817921">
        <w:rPr>
          <w:rFonts w:ascii="Times New Roman" w:eastAsia="Times New Roman" w:hAnsi="Times New Roman" w:cs="Times New Roman"/>
          <w:iCs/>
          <w:szCs w:val="22"/>
          <w:lang w:val="sq-AL" w:eastAsia="en-GB"/>
        </w:rPr>
        <w:t>to strategji duhet t’i p</w:t>
      </w:r>
      <w:r w:rsidR="009A5A0E" w:rsidRPr="00817921">
        <w:rPr>
          <w:rFonts w:ascii="Times New Roman" w:eastAsia="Times New Roman" w:hAnsi="Times New Roman" w:cs="Times New Roman"/>
          <w:iCs/>
          <w:szCs w:val="22"/>
          <w:lang w:val="sq-AL" w:eastAsia="en-GB"/>
        </w:rPr>
        <w:t>ë</w:t>
      </w:r>
      <w:r w:rsidR="00663BE4" w:rsidRPr="00817921">
        <w:rPr>
          <w:rFonts w:ascii="Times New Roman" w:eastAsia="Times New Roman" w:hAnsi="Times New Roman" w:cs="Times New Roman"/>
          <w:iCs/>
          <w:szCs w:val="22"/>
          <w:lang w:val="sq-AL" w:eastAsia="en-GB"/>
        </w:rPr>
        <w:t xml:space="preserve">rgjigjen kontekstit gjinor, </w:t>
      </w:r>
      <w:r w:rsidRPr="00817921">
        <w:rPr>
          <w:rFonts w:ascii="Times New Roman" w:eastAsia="Times New Roman" w:hAnsi="Times New Roman" w:cs="Times New Roman"/>
          <w:iCs/>
          <w:szCs w:val="22"/>
          <w:lang w:val="sq-AL" w:eastAsia="en-GB"/>
        </w:rPr>
        <w:t>të integruara</w:t>
      </w:r>
      <w:r w:rsidR="00663BE4" w:rsidRPr="00817921">
        <w:rPr>
          <w:rFonts w:ascii="Times New Roman" w:eastAsia="Times New Roman" w:hAnsi="Times New Roman" w:cs="Times New Roman"/>
          <w:iCs/>
          <w:szCs w:val="22"/>
          <w:lang w:val="sq-AL" w:eastAsia="en-GB"/>
        </w:rPr>
        <w:t xml:space="preserve">, </w:t>
      </w:r>
      <w:r w:rsidRPr="00817921">
        <w:rPr>
          <w:rFonts w:ascii="Times New Roman" w:eastAsia="Times New Roman" w:hAnsi="Times New Roman" w:cs="Times New Roman"/>
          <w:iCs/>
          <w:szCs w:val="22"/>
          <w:lang w:val="sq-AL" w:eastAsia="en-GB"/>
        </w:rPr>
        <w:t>elastike</w:t>
      </w:r>
      <w:r w:rsidR="00663BE4" w:rsidRPr="00817921">
        <w:rPr>
          <w:rFonts w:ascii="Times New Roman" w:eastAsia="Times New Roman" w:hAnsi="Times New Roman" w:cs="Times New Roman"/>
          <w:iCs/>
          <w:szCs w:val="22"/>
          <w:lang w:val="sq-AL" w:eastAsia="en-GB"/>
        </w:rPr>
        <w:t xml:space="preserve"> dhe </w:t>
      </w:r>
      <w:r w:rsidRPr="00817921">
        <w:rPr>
          <w:rFonts w:ascii="Times New Roman" w:eastAsia="Times New Roman" w:hAnsi="Times New Roman" w:cs="Times New Roman"/>
          <w:iCs/>
          <w:szCs w:val="22"/>
          <w:lang w:val="sq-AL" w:eastAsia="en-GB"/>
        </w:rPr>
        <w:t>fleksibël.</w:t>
      </w:r>
    </w:p>
    <w:p w14:paraId="710101E1" w14:textId="77777777" w:rsidR="0058436C" w:rsidRDefault="0058436C" w:rsidP="00A27DFA">
      <w:pPr>
        <w:shd w:val="clear" w:color="auto" w:fill="FFFFFF"/>
        <w:spacing w:after="0" w:line="240" w:lineRule="auto"/>
        <w:rPr>
          <w:rFonts w:ascii="Times New Roman" w:eastAsia="Times New Roman" w:hAnsi="Times New Roman" w:cs="Times New Roman"/>
          <w:iCs/>
          <w:szCs w:val="22"/>
          <w:lang w:val="sq-AL" w:eastAsia="en-GB"/>
        </w:rPr>
      </w:pPr>
    </w:p>
    <w:p w14:paraId="1B3A0466" w14:textId="6507A2E4" w:rsidR="00A27DFA" w:rsidRPr="00817921" w:rsidRDefault="00A27DFA" w:rsidP="00A27DFA">
      <w:pPr>
        <w:shd w:val="clear" w:color="auto" w:fill="FFFFFF"/>
        <w:spacing w:after="0" w:line="240" w:lineRule="auto"/>
        <w:rPr>
          <w:rFonts w:ascii="Times New Roman" w:eastAsia="Times New Roman" w:hAnsi="Times New Roman" w:cs="Times New Roman"/>
          <w:iCs/>
          <w:szCs w:val="22"/>
          <w:lang w:val="sq-AL" w:eastAsia="en-GB"/>
        </w:rPr>
      </w:pPr>
      <w:r w:rsidRPr="00817921">
        <w:rPr>
          <w:rFonts w:ascii="Times New Roman" w:eastAsia="Times New Roman" w:hAnsi="Times New Roman" w:cs="Times New Roman"/>
          <w:iCs/>
          <w:szCs w:val="22"/>
          <w:lang w:val="sq-AL" w:eastAsia="en-GB"/>
        </w:rPr>
        <w:t>Axhenda 2030 për Zhvillim të Qëndrueshëm përfshin gjithsej 25 objektiva për reduktimin e rreziqeve klimatike dhe hartimin e masave fleksibël dhe elastike në komunitetet e cenueshme. Këto përfshijnë forcimin e kapaciteteve përshtatëse ndaj rreziqeve dhe fatkeqësive të lidhura me klimën në Objektivin 13 (Marrja e veprimeve urgjente për të luftuar ndryshimin e klimës dhe ndikimet e tij); ndërtimi i qëndrueshmërisë në të gjitha vendet për menaxhimin e rreziqeve shëndetësore kombëtare dhe globale në Objektivi 3 (Sigurimi i jetëve të shëndetshme dhe promovimi i mirëqenies për të gjithë në të gjitha moshat); dhe reduktimin e ekspozimit dhe cenueshmërisë ndaj fatkeqësive duke ndërtuar infrastrukturë elastike dhe të qëndrueshme në Objektivi 11 (Të bëjmë qytetet dhe vendbanimet njerëzore gjithëpërfshirëse, të sigurta, elastike dhe të qëndrueshme)</w:t>
      </w:r>
      <w:r w:rsidRPr="00817921">
        <w:rPr>
          <w:rFonts w:ascii="Times New Roman" w:hAnsi="Times New Roman" w:cs="Times New Roman"/>
          <w:iCs/>
          <w:szCs w:val="22"/>
          <w:vertAlign w:val="superscript"/>
          <w:lang w:val="sq-AL" w:eastAsia="en-GB"/>
        </w:rPr>
        <w:footnoteReference w:id="83"/>
      </w:r>
      <w:r w:rsidRPr="00817921">
        <w:rPr>
          <w:rFonts w:ascii="Times New Roman" w:eastAsia="Times New Roman" w:hAnsi="Times New Roman" w:cs="Times New Roman"/>
          <w:iCs/>
          <w:szCs w:val="22"/>
          <w:vertAlign w:val="superscript"/>
          <w:lang w:val="sq-AL" w:eastAsia="en-GB"/>
        </w:rPr>
        <w:t>.</w:t>
      </w:r>
    </w:p>
    <w:p w14:paraId="6745D1F8" w14:textId="2C97F02D" w:rsidR="00A27DFA" w:rsidRDefault="00E00193" w:rsidP="00017C83">
      <w:pPr>
        <w:shd w:val="clear" w:color="auto" w:fill="FFFFFF"/>
        <w:spacing w:after="0" w:line="240" w:lineRule="auto"/>
        <w:rPr>
          <w:rFonts w:ascii="Times New Roman" w:eastAsia="Times New Roman" w:hAnsi="Times New Roman" w:cs="Times New Roman"/>
          <w:iCs/>
          <w:szCs w:val="22"/>
          <w:lang w:val="sq-AL" w:eastAsia="en-GB"/>
        </w:rPr>
      </w:pPr>
      <w:r w:rsidRPr="00817921">
        <w:rPr>
          <w:rFonts w:ascii="Times New Roman" w:eastAsia="Times New Roman" w:hAnsi="Times New Roman" w:cs="Times New Roman"/>
          <w:iCs/>
          <w:szCs w:val="22"/>
          <w:lang w:val="sq-AL" w:eastAsia="en-GB"/>
        </w:rPr>
        <w:t>Pas</w:t>
      </w:r>
      <w:r w:rsidR="00A27DFA" w:rsidRPr="00817921">
        <w:rPr>
          <w:rFonts w:ascii="Times New Roman" w:eastAsia="Times New Roman" w:hAnsi="Times New Roman" w:cs="Times New Roman"/>
          <w:iCs/>
          <w:szCs w:val="22"/>
          <w:lang w:val="sq-AL" w:eastAsia="en-GB"/>
        </w:rPr>
        <w:t xml:space="preserve"> tërmetit </w:t>
      </w:r>
      <w:r w:rsidRPr="00817921">
        <w:rPr>
          <w:rFonts w:ascii="Times New Roman" w:eastAsia="Times New Roman" w:hAnsi="Times New Roman" w:cs="Times New Roman"/>
          <w:iCs/>
          <w:szCs w:val="22"/>
          <w:lang w:val="sq-AL" w:eastAsia="en-GB"/>
        </w:rPr>
        <w:t>n</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vitin 2019, q</w:t>
      </w:r>
      <w:r w:rsidR="00A27DFA" w:rsidRPr="00817921">
        <w:rPr>
          <w:rFonts w:ascii="Times New Roman" w:eastAsia="Times New Roman" w:hAnsi="Times New Roman" w:cs="Times New Roman"/>
          <w:iCs/>
          <w:szCs w:val="22"/>
          <w:lang w:val="sq-AL" w:eastAsia="en-GB"/>
        </w:rPr>
        <w:t xml:space="preserve">everia dhe autoritetet lokale u mbështetën </w:t>
      </w:r>
      <w:r w:rsidRPr="00817921">
        <w:rPr>
          <w:rFonts w:ascii="Times New Roman" w:eastAsia="Times New Roman" w:hAnsi="Times New Roman" w:cs="Times New Roman"/>
          <w:iCs/>
          <w:szCs w:val="22"/>
          <w:lang w:val="sq-AL" w:eastAsia="en-GB"/>
        </w:rPr>
        <w:t>nga partner</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t nd</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rkomb</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tar</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w:t>
      </w:r>
      <w:r w:rsidR="00A27DFA" w:rsidRPr="00817921">
        <w:rPr>
          <w:rFonts w:ascii="Times New Roman" w:eastAsia="Times New Roman" w:hAnsi="Times New Roman" w:cs="Times New Roman"/>
          <w:iCs/>
          <w:szCs w:val="22"/>
          <w:lang w:val="sq-AL" w:eastAsia="en-GB"/>
        </w:rPr>
        <w:t>për të zhvilluar strategji dhe plane veprimi për t'iu përgjigjur çështjeve sociale në raste emergjente, njerëzve dhe familjeve të prekura nga tërmeti dhe atyre që jetojnë në varfëri</w:t>
      </w:r>
      <w:r w:rsidR="00A27DFA" w:rsidRPr="00817921">
        <w:rPr>
          <w:rFonts w:ascii="Times New Roman" w:hAnsi="Times New Roman" w:cs="Times New Roman"/>
          <w:iCs/>
          <w:szCs w:val="22"/>
          <w:vertAlign w:val="superscript"/>
          <w:lang w:val="sq-AL" w:eastAsia="en-GB"/>
        </w:rPr>
        <w:footnoteReference w:id="84"/>
      </w:r>
      <w:r w:rsidR="00A27DFA" w:rsidRPr="00817921">
        <w:rPr>
          <w:rFonts w:ascii="Times New Roman" w:eastAsia="Times New Roman" w:hAnsi="Times New Roman" w:cs="Times New Roman"/>
          <w:iCs/>
          <w:szCs w:val="22"/>
          <w:vertAlign w:val="subscript"/>
          <w:lang w:val="sq-AL" w:eastAsia="en-GB"/>
        </w:rPr>
        <w:t>.</w:t>
      </w:r>
      <w:r w:rsidR="00017C83" w:rsidRPr="00817921">
        <w:rPr>
          <w:rFonts w:ascii="Times New Roman" w:eastAsia="Times New Roman" w:hAnsi="Times New Roman" w:cs="Times New Roman"/>
          <w:iCs/>
          <w:szCs w:val="22"/>
          <w:lang w:val="sq-AL" w:eastAsia="en-GB"/>
        </w:rPr>
        <w:t xml:space="preserve"> U hartuan </w:t>
      </w:r>
      <w:r w:rsidR="00A27DFA" w:rsidRPr="00817921">
        <w:rPr>
          <w:rFonts w:ascii="Times New Roman" w:eastAsia="Times New Roman" w:hAnsi="Times New Roman" w:cs="Times New Roman"/>
          <w:iCs/>
          <w:szCs w:val="22"/>
          <w:lang w:val="sq-AL" w:eastAsia="en-GB"/>
        </w:rPr>
        <w:t>“protokollet për ofruesit e shërbimeve sociale në nivel lokal” dhe “planet emergjente sociale”</w:t>
      </w:r>
      <w:r w:rsidR="00017C83" w:rsidRPr="00817921">
        <w:rPr>
          <w:rFonts w:ascii="Times New Roman" w:eastAsia="Times New Roman" w:hAnsi="Times New Roman" w:cs="Times New Roman"/>
          <w:iCs/>
          <w:szCs w:val="22"/>
          <w:lang w:val="sq-AL" w:eastAsia="en-GB"/>
        </w:rPr>
        <w:t xml:space="preserve"> t</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cilat</w:t>
      </w:r>
      <w:r w:rsidR="00A27DFA" w:rsidRPr="00817921">
        <w:rPr>
          <w:rFonts w:ascii="Times New Roman" w:eastAsia="Times New Roman" w:hAnsi="Times New Roman" w:cs="Times New Roman"/>
          <w:iCs/>
          <w:szCs w:val="22"/>
          <w:lang w:val="sq-AL" w:eastAsia="en-GB"/>
        </w:rPr>
        <w:t xml:space="preserve"> u përdoren si mekanizma mbështetës për personelin përkatës gjatë dhe pas emergjencave dhe fatkeqësive natyrore</w:t>
      </w:r>
      <w:r w:rsidR="00A27DFA" w:rsidRPr="00817921">
        <w:rPr>
          <w:rFonts w:ascii="Times New Roman" w:hAnsi="Times New Roman" w:cs="Times New Roman"/>
          <w:iCs/>
          <w:szCs w:val="22"/>
          <w:vertAlign w:val="superscript"/>
          <w:lang w:val="sq-AL" w:eastAsia="en-GB"/>
        </w:rPr>
        <w:footnoteReference w:id="85"/>
      </w:r>
      <w:r w:rsidR="00A27DFA" w:rsidRPr="00817921">
        <w:rPr>
          <w:rFonts w:ascii="Times New Roman" w:eastAsia="Times New Roman" w:hAnsi="Times New Roman" w:cs="Times New Roman"/>
          <w:iCs/>
          <w:szCs w:val="22"/>
          <w:vertAlign w:val="subscript"/>
          <w:lang w:val="sq-AL" w:eastAsia="en-GB"/>
        </w:rPr>
        <w:t>.</w:t>
      </w:r>
      <w:r w:rsidR="00017C83" w:rsidRPr="00817921">
        <w:rPr>
          <w:rFonts w:ascii="Times New Roman" w:eastAsia="Times New Roman" w:hAnsi="Times New Roman" w:cs="Times New Roman"/>
          <w:iCs/>
          <w:szCs w:val="22"/>
          <w:vertAlign w:val="subscript"/>
          <w:lang w:val="sq-AL" w:eastAsia="en-GB"/>
        </w:rPr>
        <w:t xml:space="preserve"> </w:t>
      </w:r>
      <w:r w:rsidR="00017C83" w:rsidRPr="00817921">
        <w:rPr>
          <w:rFonts w:ascii="Times New Roman" w:eastAsia="Times New Roman" w:hAnsi="Times New Roman" w:cs="Times New Roman"/>
          <w:iCs/>
          <w:szCs w:val="22"/>
          <w:lang w:val="sq-AL" w:eastAsia="en-GB"/>
        </w:rPr>
        <w:t xml:space="preserve">Individët dhe grupet me një vendbanim, gjini, status punësimi, status të aftësisë së kufizuar dhe identitete të tjera mund të përballen me ndikime më të mëdha dhe më të rënda të fatkeqësive, të cilat mund të rezultojnë në një propabilitet më të lartë për të rënë në varfëri. Gjithashtu, </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sht</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provuar q</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emergjencat ndikojnë në një akses të kufizuar të grave dhe vajzave në strehëza dhe të ardhura, si dhe rritjen e ngarkesës në familje dhe cenueshmërinë e tyre ndaj dhunës me bazë gjinore gjatë dhe pas fatkeqësive</w:t>
      </w:r>
      <w:r w:rsidR="00017C83" w:rsidRPr="00817921">
        <w:rPr>
          <w:rFonts w:ascii="Times New Roman" w:eastAsia="Times New Roman" w:hAnsi="Times New Roman" w:cs="Times New Roman"/>
          <w:iCs/>
          <w:szCs w:val="22"/>
          <w:vertAlign w:val="superscript"/>
          <w:lang w:val="sq-AL" w:eastAsia="en-GB"/>
        </w:rPr>
        <w:footnoteReference w:id="86"/>
      </w:r>
      <w:r w:rsidR="00017C83" w:rsidRPr="00817921">
        <w:rPr>
          <w:rFonts w:ascii="Times New Roman" w:eastAsia="Times New Roman" w:hAnsi="Times New Roman" w:cs="Times New Roman"/>
          <w:iCs/>
          <w:szCs w:val="22"/>
          <w:vertAlign w:val="subscript"/>
          <w:lang w:val="sq-AL" w:eastAsia="en-GB"/>
        </w:rPr>
        <w:t xml:space="preserve">. </w:t>
      </w:r>
      <w:r w:rsidR="00017C83" w:rsidRPr="00817921">
        <w:rPr>
          <w:rFonts w:ascii="Times New Roman" w:eastAsia="Times New Roman" w:hAnsi="Times New Roman" w:cs="Times New Roman"/>
          <w:iCs/>
          <w:szCs w:val="22"/>
          <w:lang w:val="sq-AL" w:eastAsia="en-GB"/>
        </w:rPr>
        <w:t xml:space="preserve">Ndaj, </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sht</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e pashmangshme q</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t</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konsiderohet e rend</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sishme nd</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rtimi i skenareve p</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r mbrojtjen sociale n</w:t>
      </w:r>
      <w:r w:rsidR="009A5A0E" w:rsidRPr="00817921">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raste krizash dhe emergjencash si dhe t</w:t>
      </w:r>
      <w:r w:rsidR="00AB4D37">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parashikohen buxhete t</w:t>
      </w:r>
      <w:r w:rsidR="00AB4D37">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dedikuara me q</w:t>
      </w:r>
      <w:r w:rsidR="00AB4D37">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llim q</w:t>
      </w:r>
      <w:r w:rsidR="00AB4D37">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m</w:t>
      </w:r>
      <w:r w:rsidR="00A27DFA" w:rsidRPr="00817921">
        <w:rPr>
          <w:rFonts w:ascii="Times New Roman" w:eastAsia="Times New Roman" w:hAnsi="Times New Roman" w:cs="Times New Roman"/>
          <w:iCs/>
          <w:szCs w:val="22"/>
          <w:lang w:val="sq-AL" w:eastAsia="en-GB"/>
        </w:rPr>
        <w:t xml:space="preserve">brojtja sociale </w:t>
      </w:r>
      <w:r w:rsidR="00017C83" w:rsidRPr="00817921">
        <w:rPr>
          <w:rFonts w:ascii="Times New Roman" w:eastAsia="Times New Roman" w:hAnsi="Times New Roman" w:cs="Times New Roman"/>
          <w:iCs/>
          <w:szCs w:val="22"/>
          <w:lang w:val="sq-AL" w:eastAsia="en-GB"/>
        </w:rPr>
        <w:t>t</w:t>
      </w:r>
      <w:r w:rsidR="00AB4D37">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jet</w:t>
      </w:r>
      <w:r w:rsidR="00AB4D37">
        <w:rPr>
          <w:rFonts w:ascii="Times New Roman" w:eastAsia="Times New Roman" w:hAnsi="Times New Roman" w:cs="Times New Roman"/>
          <w:iCs/>
          <w:szCs w:val="22"/>
          <w:lang w:val="sq-AL" w:eastAsia="en-GB"/>
        </w:rPr>
        <w:t>ë</w:t>
      </w:r>
      <w:r w:rsidR="00017C83" w:rsidRPr="00817921">
        <w:rPr>
          <w:rFonts w:ascii="Times New Roman" w:eastAsia="Times New Roman" w:hAnsi="Times New Roman" w:cs="Times New Roman"/>
          <w:iCs/>
          <w:szCs w:val="22"/>
          <w:lang w:val="sq-AL" w:eastAsia="en-GB"/>
        </w:rPr>
        <w:t xml:space="preserve"> </w:t>
      </w:r>
      <w:r w:rsidR="00A27DFA" w:rsidRPr="00817921">
        <w:rPr>
          <w:rFonts w:ascii="Times New Roman" w:eastAsia="Times New Roman" w:hAnsi="Times New Roman" w:cs="Times New Roman"/>
          <w:iCs/>
          <w:szCs w:val="22"/>
          <w:lang w:val="sq-AL" w:eastAsia="en-GB"/>
        </w:rPr>
        <w:t>e p</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rgjegjshme dhe adaptive, efektive dhe gjith</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p</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rfshir</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se p</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r t</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menaxhuar goditjet q</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prekin nj</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pjes</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t</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konsiderueshme t</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popullsis</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Nd</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rhyrj</w:t>
      </w:r>
      <w:r w:rsidR="00017C83" w:rsidRPr="00817921">
        <w:rPr>
          <w:rFonts w:ascii="Times New Roman" w:eastAsia="Times New Roman" w:hAnsi="Times New Roman" w:cs="Times New Roman"/>
          <w:iCs/>
          <w:szCs w:val="22"/>
          <w:lang w:val="sq-AL" w:eastAsia="en-GB"/>
        </w:rPr>
        <w:t>et</w:t>
      </w:r>
      <w:r w:rsidR="00A27DFA" w:rsidRPr="00817921">
        <w:rPr>
          <w:rFonts w:ascii="Times New Roman" w:eastAsia="Times New Roman" w:hAnsi="Times New Roman" w:cs="Times New Roman"/>
          <w:iCs/>
          <w:szCs w:val="22"/>
          <w:lang w:val="sq-AL" w:eastAsia="en-GB"/>
        </w:rPr>
        <w:t xml:space="preserve"> </w:t>
      </w:r>
      <w:r w:rsidR="00017C83" w:rsidRPr="00817921">
        <w:rPr>
          <w:rFonts w:ascii="Times New Roman" w:eastAsia="Times New Roman" w:hAnsi="Times New Roman" w:cs="Times New Roman"/>
          <w:iCs/>
          <w:szCs w:val="22"/>
          <w:lang w:val="sq-AL" w:eastAsia="en-GB"/>
        </w:rPr>
        <w:t xml:space="preserve">duhet </w:t>
      </w:r>
      <w:r w:rsidR="00A27DFA" w:rsidRPr="00817921">
        <w:rPr>
          <w:rFonts w:ascii="Times New Roman" w:eastAsia="Times New Roman" w:hAnsi="Times New Roman" w:cs="Times New Roman"/>
          <w:iCs/>
          <w:szCs w:val="22"/>
          <w:lang w:val="sq-AL" w:eastAsia="en-GB"/>
        </w:rPr>
        <w:t>t</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ndihmojn</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familjet dhe komunitetet q</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t</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ken</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akses n</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burime p</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r t</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nd</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rtuar resilienc</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n dhe p</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r t</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rikuperuar mjetet e tyre t</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 xml:space="preserve"> jetes</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s kund</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r fatkeq</w:t>
      </w:r>
      <w:r w:rsidR="00AB4D37">
        <w:rPr>
          <w:rFonts w:ascii="Times New Roman" w:eastAsia="Times New Roman" w:hAnsi="Times New Roman" w:cs="Times New Roman"/>
          <w:iCs/>
          <w:szCs w:val="22"/>
          <w:lang w:val="sq-AL" w:eastAsia="en-GB"/>
        </w:rPr>
        <w:t>ë</w:t>
      </w:r>
      <w:r w:rsidR="00A27DFA" w:rsidRPr="00817921">
        <w:rPr>
          <w:rFonts w:ascii="Times New Roman" w:eastAsia="Times New Roman" w:hAnsi="Times New Roman" w:cs="Times New Roman"/>
          <w:iCs/>
          <w:szCs w:val="22"/>
          <w:lang w:val="sq-AL" w:eastAsia="en-GB"/>
        </w:rPr>
        <w:t>sive natyrore dhe goditjeve</w:t>
      </w:r>
      <w:r w:rsidR="00A27DFA" w:rsidRPr="00817921">
        <w:rPr>
          <w:rFonts w:ascii="Times New Roman" w:eastAsia="Times New Roman" w:hAnsi="Times New Roman" w:cs="Times New Roman"/>
          <w:iCs/>
          <w:szCs w:val="22"/>
          <w:vertAlign w:val="superscript"/>
          <w:lang w:val="sq-AL" w:eastAsia="en-GB"/>
        </w:rPr>
        <w:footnoteReference w:id="87"/>
      </w:r>
      <w:r w:rsidR="00A27DFA" w:rsidRPr="00817921">
        <w:rPr>
          <w:rFonts w:ascii="Times New Roman" w:eastAsia="Times New Roman" w:hAnsi="Times New Roman" w:cs="Times New Roman"/>
          <w:iCs/>
          <w:szCs w:val="22"/>
          <w:lang w:val="sq-AL" w:eastAsia="en-GB"/>
        </w:rPr>
        <w:t xml:space="preserve">. </w:t>
      </w:r>
      <w:r w:rsidR="00AB4D37">
        <w:rPr>
          <w:rFonts w:ascii="Times New Roman" w:eastAsia="Times New Roman" w:hAnsi="Times New Roman" w:cs="Times New Roman"/>
          <w:iCs/>
          <w:szCs w:val="22"/>
          <w:lang w:val="sq-AL" w:eastAsia="en-GB"/>
        </w:rPr>
        <w:t>Nj</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koh</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 xml:space="preserve">sisht </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sht</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 xml:space="preserve"> e nevojshme q</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 xml:space="preserve"> sh</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rbimet e kujdesit social t</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 xml:space="preserve"> nd</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rtojn</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 xml:space="preserve"> standarte, plane t</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 xml:space="preserve"> trajnimit t</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 xml:space="preserve"> personelit si dhe standarte p</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r tu p</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rgjigjur n</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 xml:space="preserve"> situata krize dhe emergjecash duke garantuar mbrojtjen sociale p</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r cdo individ n</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 xml:space="preserve"> nevoj</w:t>
      </w:r>
      <w:r w:rsidR="00011153">
        <w:rPr>
          <w:rFonts w:ascii="Times New Roman" w:eastAsia="Times New Roman" w:hAnsi="Times New Roman" w:cs="Times New Roman"/>
          <w:iCs/>
          <w:szCs w:val="22"/>
          <w:lang w:val="sq-AL" w:eastAsia="en-GB"/>
        </w:rPr>
        <w:t>ë.</w:t>
      </w:r>
      <w:r w:rsidR="00AB4D37">
        <w:rPr>
          <w:rFonts w:ascii="Times New Roman" w:eastAsia="Times New Roman" w:hAnsi="Times New Roman" w:cs="Times New Roman"/>
          <w:iCs/>
          <w:szCs w:val="22"/>
          <w:lang w:val="sq-AL" w:eastAsia="en-GB"/>
        </w:rPr>
        <w:t xml:space="preserve"> </w:t>
      </w:r>
    </w:p>
    <w:p w14:paraId="44C62736" w14:textId="77777777" w:rsidR="00AB4D37" w:rsidRPr="00817921" w:rsidRDefault="00AB4D37" w:rsidP="00017C83">
      <w:pPr>
        <w:shd w:val="clear" w:color="auto" w:fill="FFFFFF"/>
        <w:spacing w:after="0" w:line="240" w:lineRule="auto"/>
        <w:rPr>
          <w:rFonts w:ascii="Times New Roman" w:eastAsia="Times New Roman" w:hAnsi="Times New Roman" w:cs="Times New Roman"/>
          <w:iCs/>
          <w:szCs w:val="22"/>
          <w:lang w:val="sq-AL" w:eastAsia="en-GB"/>
        </w:rPr>
      </w:pPr>
    </w:p>
    <w:p w14:paraId="153D9399" w14:textId="4EC46B3A" w:rsidR="00777911" w:rsidRPr="00817921" w:rsidRDefault="00A27DFA" w:rsidP="00777911">
      <w:pPr>
        <w:shd w:val="clear" w:color="auto" w:fill="FFFFFF"/>
        <w:spacing w:after="0" w:line="240" w:lineRule="auto"/>
        <w:rPr>
          <w:rFonts w:ascii="Times New Roman" w:eastAsia="Times New Roman" w:hAnsi="Times New Roman" w:cs="Times New Roman"/>
          <w:iCs/>
          <w:szCs w:val="22"/>
          <w:lang w:val="sq-AL" w:eastAsia="en-GB"/>
        </w:rPr>
      </w:pPr>
      <w:r w:rsidRPr="00817921">
        <w:rPr>
          <w:rFonts w:ascii="Times New Roman" w:eastAsia="Times New Roman" w:hAnsi="Times New Roman" w:cs="Times New Roman"/>
          <w:iCs/>
          <w:szCs w:val="22"/>
          <w:lang w:val="sq-AL" w:eastAsia="en-GB"/>
        </w:rPr>
        <w:t>Strategjia Komb</w:t>
      </w:r>
      <w:r w:rsidR="00AB4D37">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tare p</w:t>
      </w:r>
      <w:r w:rsidR="00AB4D37">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 Reduktimin e Rrezikut nga Fatkeq</w:t>
      </w:r>
      <w:r w:rsidR="00AB4D37">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sitë 2023–2030 </w:t>
      </w:r>
      <w:r w:rsidR="005E2FB9" w:rsidRPr="00817921">
        <w:rPr>
          <w:rFonts w:ascii="Times New Roman" w:eastAsia="Times New Roman" w:hAnsi="Times New Roman" w:cs="Times New Roman"/>
          <w:iCs/>
          <w:szCs w:val="22"/>
          <w:lang w:val="sq-AL" w:eastAsia="en-GB"/>
        </w:rPr>
        <w:t>ka evidentuar rend</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sin</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q</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aktivitetet e saj t'u p</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rmbahen nevojave dhe k</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rkesave t</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grupeve t</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c</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nueshme dhe t'i p</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rgjigjen n</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koh</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k</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tyre nevojave p</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rfshir</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personat me aft</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si t</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kufizuara, t</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moshuarit, f</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mij</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ve, </w:t>
      </w:r>
      <w:r w:rsidRPr="00817921">
        <w:rPr>
          <w:rFonts w:ascii="Times New Roman" w:eastAsia="Times New Roman" w:hAnsi="Times New Roman" w:cs="Times New Roman"/>
          <w:iCs/>
          <w:szCs w:val="22"/>
          <w:lang w:val="sq-AL" w:eastAsia="en-GB"/>
        </w:rPr>
        <w:t>grave dhe vajzave</w:t>
      </w:r>
      <w:r w:rsidRPr="00817921">
        <w:rPr>
          <w:rFonts w:ascii="Times New Roman" w:eastAsia="Times New Roman" w:hAnsi="Times New Roman" w:cs="Times New Roman"/>
          <w:iCs/>
          <w:szCs w:val="22"/>
          <w:vertAlign w:val="superscript"/>
          <w:lang w:val="sq-AL" w:eastAsia="en-GB"/>
        </w:rPr>
        <w:footnoteReference w:id="88"/>
      </w:r>
      <w:r w:rsidRPr="00817921">
        <w:rPr>
          <w:rFonts w:ascii="Times New Roman" w:eastAsia="Times New Roman" w:hAnsi="Times New Roman" w:cs="Times New Roman"/>
          <w:iCs/>
          <w:szCs w:val="22"/>
          <w:lang w:val="sq-AL" w:eastAsia="en-GB"/>
        </w:rPr>
        <w:t xml:space="preserve">. </w:t>
      </w:r>
      <w:r w:rsidR="005E2FB9" w:rsidRPr="00817921">
        <w:rPr>
          <w:rFonts w:ascii="Times New Roman" w:eastAsia="Times New Roman" w:hAnsi="Times New Roman" w:cs="Times New Roman"/>
          <w:iCs/>
          <w:szCs w:val="22"/>
          <w:lang w:val="sq-AL" w:eastAsia="en-GB"/>
        </w:rPr>
        <w:t xml:space="preserve">Strategjia adreson rritjen e </w:t>
      </w:r>
      <w:r w:rsidRPr="00817921">
        <w:rPr>
          <w:rFonts w:ascii="Times New Roman" w:eastAsia="Times New Roman" w:hAnsi="Times New Roman" w:cs="Times New Roman"/>
          <w:iCs/>
          <w:szCs w:val="22"/>
          <w:lang w:val="sq-AL" w:eastAsia="en-GB"/>
        </w:rPr>
        <w:t>aftësi</w:t>
      </w:r>
      <w:r w:rsidR="005E2FB9" w:rsidRPr="00817921">
        <w:rPr>
          <w:rFonts w:ascii="Times New Roman" w:eastAsia="Times New Roman" w:hAnsi="Times New Roman" w:cs="Times New Roman"/>
          <w:iCs/>
          <w:szCs w:val="22"/>
          <w:lang w:val="sq-AL" w:eastAsia="en-GB"/>
        </w:rPr>
        <w:t>ve</w:t>
      </w:r>
      <w:r w:rsidRPr="00817921">
        <w:rPr>
          <w:rFonts w:ascii="Times New Roman" w:eastAsia="Times New Roman" w:hAnsi="Times New Roman" w:cs="Times New Roman"/>
          <w:iCs/>
          <w:szCs w:val="22"/>
          <w:lang w:val="sq-AL" w:eastAsia="en-GB"/>
        </w:rPr>
        <w:t xml:space="preserve"> </w:t>
      </w:r>
      <w:r w:rsidR="005E2FB9" w:rsidRPr="00817921">
        <w:rPr>
          <w:rFonts w:ascii="Times New Roman" w:eastAsia="Times New Roman" w:hAnsi="Times New Roman" w:cs="Times New Roman"/>
          <w:iCs/>
          <w:szCs w:val="22"/>
          <w:lang w:val="sq-AL" w:eastAsia="en-GB"/>
        </w:rPr>
        <w:t>t</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grave dhe komuniteteve për t'u përgatitur dhe rikuperuar nga fatkeqësitë, </w:t>
      </w:r>
      <w:r w:rsidR="005E2FB9" w:rsidRPr="00817921">
        <w:rPr>
          <w:rFonts w:ascii="Times New Roman" w:eastAsia="Times New Roman" w:hAnsi="Times New Roman" w:cs="Times New Roman"/>
          <w:iCs/>
          <w:szCs w:val="22"/>
          <w:lang w:val="sq-AL" w:eastAsia="en-GB"/>
        </w:rPr>
        <w:t>dhe i kushton nj</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vemendje t</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vecant</w:t>
      </w:r>
      <w:r w:rsidR="009A5A0E" w:rsidRPr="00817921">
        <w:rPr>
          <w:rFonts w:ascii="Times New Roman" w:eastAsia="Times New Roman" w:hAnsi="Times New Roman" w:cs="Times New Roman"/>
          <w:iCs/>
          <w:szCs w:val="22"/>
          <w:lang w:val="sq-AL" w:eastAsia="en-GB"/>
        </w:rPr>
        <w:t>ë</w:t>
      </w:r>
      <w:r w:rsidR="005E2FB9" w:rsidRPr="00817921">
        <w:rPr>
          <w:rFonts w:ascii="Times New Roman" w:eastAsia="Times New Roman" w:hAnsi="Times New Roman" w:cs="Times New Roman"/>
          <w:iCs/>
          <w:szCs w:val="22"/>
          <w:lang w:val="sq-AL" w:eastAsia="en-GB"/>
        </w:rPr>
        <w:t xml:space="preserve"> adresimit t</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pabarazi</w:t>
      </w:r>
      <w:r w:rsidR="005E2FB9" w:rsidRPr="00817921">
        <w:rPr>
          <w:rFonts w:ascii="Times New Roman" w:eastAsia="Times New Roman" w:hAnsi="Times New Roman" w:cs="Times New Roman"/>
          <w:iCs/>
          <w:szCs w:val="22"/>
          <w:lang w:val="sq-AL" w:eastAsia="en-GB"/>
        </w:rPr>
        <w:t>ve</w:t>
      </w:r>
      <w:r w:rsidRPr="00817921">
        <w:rPr>
          <w:rFonts w:ascii="Times New Roman" w:eastAsia="Times New Roman" w:hAnsi="Times New Roman" w:cs="Times New Roman"/>
          <w:iCs/>
          <w:szCs w:val="22"/>
          <w:lang w:val="sq-AL" w:eastAsia="en-GB"/>
        </w:rPr>
        <w:t xml:space="preserve"> gjinore që shkaktojnë humbje dhe ekspozim më të madh të </w:t>
      </w:r>
      <w:r w:rsidR="00186F15">
        <w:rPr>
          <w:rFonts w:ascii="Times New Roman" w:eastAsia="Times New Roman" w:hAnsi="Times New Roman" w:cs="Times New Roman"/>
          <w:iCs/>
          <w:szCs w:val="22"/>
          <w:lang w:val="sq-AL" w:eastAsia="en-GB"/>
        </w:rPr>
        <w:t>f</w:t>
      </w:r>
      <w:r w:rsidR="00186F15" w:rsidRPr="00817921">
        <w:rPr>
          <w:rFonts w:ascii="Times New Roman" w:eastAsia="Times New Roman" w:hAnsi="Times New Roman" w:cs="Times New Roman"/>
          <w:iCs/>
          <w:szCs w:val="22"/>
          <w:lang w:val="sq-AL" w:eastAsia="en-GB"/>
        </w:rPr>
        <w:t>ë</w:t>
      </w:r>
      <w:r w:rsidR="00186F15">
        <w:rPr>
          <w:rFonts w:ascii="Times New Roman" w:eastAsia="Times New Roman" w:hAnsi="Times New Roman" w:cs="Times New Roman"/>
          <w:iCs/>
          <w:szCs w:val="22"/>
          <w:lang w:val="sq-AL" w:eastAsia="en-GB"/>
        </w:rPr>
        <w:t>mij</w:t>
      </w:r>
      <w:r w:rsidR="00186F15" w:rsidRPr="00817921">
        <w:rPr>
          <w:rFonts w:ascii="Times New Roman" w:eastAsia="Times New Roman" w:hAnsi="Times New Roman" w:cs="Times New Roman"/>
          <w:iCs/>
          <w:szCs w:val="22"/>
          <w:lang w:val="sq-AL" w:eastAsia="en-GB"/>
        </w:rPr>
        <w:t>ë</w:t>
      </w:r>
      <w:r w:rsidR="00186F15">
        <w:rPr>
          <w:rFonts w:ascii="Times New Roman" w:eastAsia="Times New Roman" w:hAnsi="Times New Roman" w:cs="Times New Roman"/>
          <w:iCs/>
          <w:szCs w:val="22"/>
          <w:lang w:val="sq-AL" w:eastAsia="en-GB"/>
        </w:rPr>
        <w:t xml:space="preserve">ve </w:t>
      </w:r>
      <w:r w:rsidRPr="00817921">
        <w:rPr>
          <w:rFonts w:ascii="Times New Roman" w:eastAsia="Times New Roman" w:hAnsi="Times New Roman" w:cs="Times New Roman"/>
          <w:iCs/>
          <w:szCs w:val="22"/>
          <w:lang w:val="sq-AL" w:eastAsia="en-GB"/>
        </w:rPr>
        <w:t xml:space="preserve">grave dhe vajzave ndaj rreziqeve. </w:t>
      </w:r>
    </w:p>
    <w:p w14:paraId="038E7833" w14:textId="42095C5E" w:rsidR="006A3FFA" w:rsidRPr="00817921" w:rsidRDefault="006A3FFA" w:rsidP="00777911">
      <w:pPr>
        <w:shd w:val="clear" w:color="auto" w:fill="FFFFFF"/>
        <w:spacing w:after="0" w:line="240" w:lineRule="auto"/>
        <w:rPr>
          <w:rFonts w:ascii="Times New Roman" w:eastAsia="Times New Roman" w:hAnsi="Times New Roman" w:cs="Times New Roman"/>
          <w:iCs/>
          <w:szCs w:val="22"/>
          <w:lang w:val="sq-AL" w:eastAsia="en-GB"/>
        </w:rPr>
      </w:pPr>
    </w:p>
    <w:p w14:paraId="67ED6C6E" w14:textId="4B7FC629" w:rsidR="00A6787D" w:rsidRDefault="00A6787D" w:rsidP="008D0175">
      <w:pPr>
        <w:pStyle w:val="Heading2"/>
        <w:numPr>
          <w:ilvl w:val="1"/>
          <w:numId w:val="1"/>
        </w:numPr>
        <w:rPr>
          <w:rFonts w:ascii="Times New Roman" w:hAnsi="Times New Roman" w:cs="Times New Roman"/>
          <w:sz w:val="24"/>
          <w:szCs w:val="24"/>
          <w:lang w:val="sq-AL"/>
        </w:rPr>
      </w:pPr>
      <w:bookmarkStart w:id="14" w:name="_Toc150809616"/>
      <w:bookmarkStart w:id="15" w:name="_Toc150896484"/>
      <w:r w:rsidRPr="00817921">
        <w:rPr>
          <w:rFonts w:ascii="Times New Roman" w:hAnsi="Times New Roman" w:cs="Times New Roman"/>
          <w:sz w:val="24"/>
          <w:szCs w:val="24"/>
          <w:lang w:val="sq-AL"/>
        </w:rPr>
        <w:t xml:space="preserve">Konteksti </w:t>
      </w:r>
      <w:r w:rsidR="00B35E28">
        <w:rPr>
          <w:rFonts w:ascii="Times New Roman" w:hAnsi="Times New Roman" w:cs="Times New Roman"/>
          <w:sz w:val="24"/>
          <w:szCs w:val="24"/>
          <w:lang w:val="sq-AL"/>
        </w:rPr>
        <w:t>S</w:t>
      </w:r>
      <w:r w:rsidRPr="00817921">
        <w:rPr>
          <w:rFonts w:ascii="Times New Roman" w:hAnsi="Times New Roman" w:cs="Times New Roman"/>
          <w:sz w:val="24"/>
          <w:szCs w:val="24"/>
          <w:lang w:val="sq-AL"/>
        </w:rPr>
        <w:t>trategjik</w:t>
      </w:r>
      <w:bookmarkEnd w:id="14"/>
      <w:bookmarkEnd w:id="15"/>
      <w:r w:rsidRPr="00817921">
        <w:rPr>
          <w:rFonts w:ascii="Times New Roman" w:hAnsi="Times New Roman" w:cs="Times New Roman"/>
          <w:sz w:val="24"/>
          <w:szCs w:val="24"/>
          <w:lang w:val="sq-AL"/>
        </w:rPr>
        <w:t xml:space="preserve"> </w:t>
      </w:r>
    </w:p>
    <w:p w14:paraId="7FE1E696" w14:textId="77777777" w:rsidR="00B35E28" w:rsidRPr="00B35E28" w:rsidRDefault="00B35E28" w:rsidP="00B35E28">
      <w:pPr>
        <w:rPr>
          <w:lang w:val="sq-AL"/>
        </w:rPr>
      </w:pPr>
    </w:p>
    <w:p w14:paraId="3248A1F0" w14:textId="2BEA1080" w:rsidR="004375F4" w:rsidRPr="00817921" w:rsidRDefault="004375F4" w:rsidP="007827BC">
      <w:pPr>
        <w:widowControl w:val="0"/>
        <w:autoSpaceDE w:val="0"/>
        <w:autoSpaceDN w:val="0"/>
        <w:spacing w:after="0"/>
        <w:rPr>
          <w:rFonts w:ascii="Times New Roman" w:eastAsia="Times New Roman" w:hAnsi="Times New Roman" w:cs="Times New Roman"/>
          <w:iCs/>
          <w:szCs w:val="22"/>
          <w:lang w:val="sq-AL" w:eastAsia="en-GB"/>
        </w:rPr>
      </w:pPr>
      <w:r w:rsidRPr="00817921">
        <w:rPr>
          <w:rFonts w:ascii="Times New Roman" w:eastAsia="Times New Roman" w:hAnsi="Times New Roman" w:cs="Times New Roman"/>
          <w:iCs/>
          <w:szCs w:val="22"/>
          <w:lang w:val="sq-AL" w:eastAsia="en-GB"/>
        </w:rPr>
        <w:t xml:space="preserve">Mbrojtja sociale </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sht</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shum</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komplekse pasi </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sht</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e nd</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rvarur dhe e lidhur me nj</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kuad</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 kompleks politik, strategjik dhe institucional t</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lidhur pazgjidhshm</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risht me detyrimet nd</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rkomb</w:t>
      </w:r>
      <w:r w:rsidR="009A5A0E"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tare</w:t>
      </w:r>
      <w:r w:rsidR="00CF1E7A" w:rsidRPr="00817921">
        <w:rPr>
          <w:rFonts w:ascii="Times New Roman" w:eastAsia="Times New Roman" w:hAnsi="Times New Roman" w:cs="Times New Roman"/>
          <w:iCs/>
          <w:szCs w:val="22"/>
          <w:lang w:val="sq-AL" w:eastAsia="en-GB"/>
        </w:rPr>
        <w:t>, nd</w:t>
      </w:r>
      <w:r w:rsidR="009A5A0E" w:rsidRPr="00817921">
        <w:rPr>
          <w:rFonts w:ascii="Times New Roman" w:eastAsia="Times New Roman" w:hAnsi="Times New Roman" w:cs="Times New Roman"/>
          <w:iCs/>
          <w:szCs w:val="22"/>
          <w:lang w:val="sq-AL" w:eastAsia="en-GB"/>
        </w:rPr>
        <w:t>ë</w:t>
      </w:r>
      <w:r w:rsidR="00CF1E7A" w:rsidRPr="00817921">
        <w:rPr>
          <w:rFonts w:ascii="Times New Roman" w:eastAsia="Times New Roman" w:hAnsi="Times New Roman" w:cs="Times New Roman"/>
          <w:iCs/>
          <w:szCs w:val="22"/>
          <w:lang w:val="sq-AL" w:eastAsia="en-GB"/>
        </w:rPr>
        <w:t>r t</w:t>
      </w:r>
      <w:r w:rsidR="009A5A0E" w:rsidRPr="00817921">
        <w:rPr>
          <w:rFonts w:ascii="Times New Roman" w:eastAsia="Times New Roman" w:hAnsi="Times New Roman" w:cs="Times New Roman"/>
          <w:iCs/>
          <w:szCs w:val="22"/>
          <w:lang w:val="sq-AL" w:eastAsia="en-GB"/>
        </w:rPr>
        <w:t>ë</w:t>
      </w:r>
      <w:r w:rsidR="00CF1E7A" w:rsidRPr="00817921">
        <w:rPr>
          <w:rFonts w:ascii="Times New Roman" w:eastAsia="Times New Roman" w:hAnsi="Times New Roman" w:cs="Times New Roman"/>
          <w:iCs/>
          <w:szCs w:val="22"/>
          <w:lang w:val="sq-AL" w:eastAsia="en-GB"/>
        </w:rPr>
        <w:t xml:space="preserve"> cilat dhe Axhenda 2030 e Kombeve t</w:t>
      </w:r>
      <w:r w:rsidR="009A5A0E" w:rsidRPr="00817921">
        <w:rPr>
          <w:rFonts w:ascii="Times New Roman" w:eastAsia="Times New Roman" w:hAnsi="Times New Roman" w:cs="Times New Roman"/>
          <w:iCs/>
          <w:szCs w:val="22"/>
          <w:lang w:val="sq-AL" w:eastAsia="en-GB"/>
        </w:rPr>
        <w:t>ë</w:t>
      </w:r>
      <w:r w:rsidR="00CF1E7A" w:rsidRPr="00817921">
        <w:rPr>
          <w:rFonts w:ascii="Times New Roman" w:eastAsia="Times New Roman" w:hAnsi="Times New Roman" w:cs="Times New Roman"/>
          <w:iCs/>
          <w:szCs w:val="22"/>
          <w:lang w:val="sq-AL" w:eastAsia="en-GB"/>
        </w:rPr>
        <w:t xml:space="preserve"> Bashkuara p</w:t>
      </w:r>
      <w:r w:rsidR="009A5A0E" w:rsidRPr="00817921">
        <w:rPr>
          <w:rFonts w:ascii="Times New Roman" w:eastAsia="Times New Roman" w:hAnsi="Times New Roman" w:cs="Times New Roman"/>
          <w:iCs/>
          <w:szCs w:val="22"/>
          <w:lang w:val="sq-AL" w:eastAsia="en-GB"/>
        </w:rPr>
        <w:t>ë</w:t>
      </w:r>
      <w:r w:rsidR="00CF1E7A" w:rsidRPr="00817921">
        <w:rPr>
          <w:rFonts w:ascii="Times New Roman" w:eastAsia="Times New Roman" w:hAnsi="Times New Roman" w:cs="Times New Roman"/>
          <w:iCs/>
          <w:szCs w:val="22"/>
          <w:lang w:val="sq-AL" w:eastAsia="en-GB"/>
        </w:rPr>
        <w:t>r zhvillimin e qendruesh</w:t>
      </w:r>
      <w:r w:rsidR="009A5A0E" w:rsidRPr="00817921">
        <w:rPr>
          <w:rFonts w:ascii="Times New Roman" w:eastAsia="Times New Roman" w:hAnsi="Times New Roman" w:cs="Times New Roman"/>
          <w:iCs/>
          <w:szCs w:val="22"/>
          <w:lang w:val="sq-AL" w:eastAsia="en-GB"/>
        </w:rPr>
        <w:t>ë</w:t>
      </w:r>
      <w:r w:rsidR="00CF1E7A" w:rsidRPr="00817921">
        <w:rPr>
          <w:rFonts w:ascii="Times New Roman" w:eastAsia="Times New Roman" w:hAnsi="Times New Roman" w:cs="Times New Roman"/>
          <w:iCs/>
          <w:szCs w:val="22"/>
          <w:lang w:val="sq-AL" w:eastAsia="en-GB"/>
        </w:rPr>
        <w:t>m dhe an</w:t>
      </w:r>
      <w:r w:rsidR="009A5A0E" w:rsidRPr="00817921">
        <w:rPr>
          <w:rFonts w:ascii="Times New Roman" w:eastAsia="Times New Roman" w:hAnsi="Times New Roman" w:cs="Times New Roman"/>
          <w:iCs/>
          <w:szCs w:val="22"/>
          <w:lang w:val="sq-AL" w:eastAsia="en-GB"/>
        </w:rPr>
        <w:t>ë</w:t>
      </w:r>
      <w:r w:rsidR="00CF1E7A" w:rsidRPr="00817921">
        <w:rPr>
          <w:rFonts w:ascii="Times New Roman" w:eastAsia="Times New Roman" w:hAnsi="Times New Roman" w:cs="Times New Roman"/>
          <w:iCs/>
          <w:szCs w:val="22"/>
          <w:lang w:val="sq-AL" w:eastAsia="en-GB"/>
        </w:rPr>
        <w:t>tar</w:t>
      </w:r>
      <w:r w:rsidR="009A5A0E" w:rsidRPr="00817921">
        <w:rPr>
          <w:rFonts w:ascii="Times New Roman" w:eastAsia="Times New Roman" w:hAnsi="Times New Roman" w:cs="Times New Roman"/>
          <w:iCs/>
          <w:szCs w:val="22"/>
          <w:lang w:val="sq-AL" w:eastAsia="en-GB"/>
        </w:rPr>
        <w:t>ë</w:t>
      </w:r>
      <w:r w:rsidR="00CF1E7A" w:rsidRPr="00817921">
        <w:rPr>
          <w:rFonts w:ascii="Times New Roman" w:eastAsia="Times New Roman" w:hAnsi="Times New Roman" w:cs="Times New Roman"/>
          <w:iCs/>
          <w:szCs w:val="22"/>
          <w:lang w:val="sq-AL" w:eastAsia="en-GB"/>
        </w:rPr>
        <w:t>simi i Shqip</w:t>
      </w:r>
      <w:r w:rsidR="009A5A0E" w:rsidRPr="00817921">
        <w:rPr>
          <w:rFonts w:ascii="Times New Roman" w:eastAsia="Times New Roman" w:hAnsi="Times New Roman" w:cs="Times New Roman"/>
          <w:iCs/>
          <w:szCs w:val="22"/>
          <w:lang w:val="sq-AL" w:eastAsia="en-GB"/>
        </w:rPr>
        <w:t>ë</w:t>
      </w:r>
      <w:r w:rsidR="00CF1E7A" w:rsidRPr="00817921">
        <w:rPr>
          <w:rFonts w:ascii="Times New Roman" w:eastAsia="Times New Roman" w:hAnsi="Times New Roman" w:cs="Times New Roman"/>
          <w:iCs/>
          <w:szCs w:val="22"/>
          <w:lang w:val="sq-AL" w:eastAsia="en-GB"/>
        </w:rPr>
        <w:t>ris</w:t>
      </w:r>
      <w:r w:rsidR="009A5A0E" w:rsidRPr="00817921">
        <w:rPr>
          <w:rFonts w:ascii="Times New Roman" w:eastAsia="Times New Roman" w:hAnsi="Times New Roman" w:cs="Times New Roman"/>
          <w:iCs/>
          <w:szCs w:val="22"/>
          <w:lang w:val="sq-AL" w:eastAsia="en-GB"/>
        </w:rPr>
        <w:t>ë</w:t>
      </w:r>
      <w:r w:rsidR="00CF1E7A" w:rsidRPr="00817921">
        <w:rPr>
          <w:rFonts w:ascii="Times New Roman" w:eastAsia="Times New Roman" w:hAnsi="Times New Roman" w:cs="Times New Roman"/>
          <w:iCs/>
          <w:szCs w:val="22"/>
          <w:lang w:val="sq-AL" w:eastAsia="en-GB"/>
        </w:rPr>
        <w:t xml:space="preserve"> n</w:t>
      </w:r>
      <w:r w:rsidR="009A5A0E" w:rsidRPr="00817921">
        <w:rPr>
          <w:rFonts w:ascii="Times New Roman" w:eastAsia="Times New Roman" w:hAnsi="Times New Roman" w:cs="Times New Roman"/>
          <w:iCs/>
          <w:szCs w:val="22"/>
          <w:lang w:val="sq-AL" w:eastAsia="en-GB"/>
        </w:rPr>
        <w:t>ë</w:t>
      </w:r>
      <w:r w:rsidR="00CF1E7A" w:rsidRPr="00817921">
        <w:rPr>
          <w:rFonts w:ascii="Times New Roman" w:eastAsia="Times New Roman" w:hAnsi="Times New Roman" w:cs="Times New Roman"/>
          <w:iCs/>
          <w:szCs w:val="22"/>
          <w:lang w:val="sq-AL" w:eastAsia="en-GB"/>
        </w:rPr>
        <w:t xml:space="preserve"> Bashkimin Europian.</w:t>
      </w:r>
    </w:p>
    <w:p w14:paraId="4D87D93D" w14:textId="77777777" w:rsidR="00256D16" w:rsidRPr="00817921" w:rsidRDefault="00256D16" w:rsidP="007827BC">
      <w:pPr>
        <w:widowControl w:val="0"/>
        <w:autoSpaceDE w:val="0"/>
        <w:autoSpaceDN w:val="0"/>
        <w:spacing w:after="0"/>
        <w:rPr>
          <w:rFonts w:ascii="Times New Roman" w:eastAsia="Times New Roman" w:hAnsi="Times New Roman" w:cs="Times New Roman"/>
          <w:iCs/>
          <w:szCs w:val="22"/>
          <w:lang w:val="sq-AL" w:eastAsia="en-GB"/>
        </w:rPr>
      </w:pPr>
    </w:p>
    <w:p w14:paraId="5CAAB205" w14:textId="6C532BE2" w:rsidR="00CF1E7A" w:rsidRDefault="007D3E1E" w:rsidP="007D3E1E">
      <w:pPr>
        <w:widowControl w:val="0"/>
        <w:autoSpaceDE w:val="0"/>
        <w:autoSpaceDN w:val="0"/>
        <w:spacing w:after="0"/>
        <w:rPr>
          <w:rFonts w:ascii="Times New Roman" w:eastAsia="Times New Roman" w:hAnsi="Times New Roman" w:cs="Times New Roman"/>
          <w:b/>
          <w:bCs/>
          <w:iCs/>
          <w:szCs w:val="22"/>
          <w:lang w:val="sq-AL" w:eastAsia="en-GB"/>
        </w:rPr>
      </w:pPr>
      <w:r w:rsidRPr="00817921">
        <w:rPr>
          <w:rFonts w:ascii="Times New Roman" w:eastAsia="Times New Roman" w:hAnsi="Times New Roman" w:cs="Times New Roman"/>
          <w:b/>
          <w:bCs/>
          <w:iCs/>
          <w:szCs w:val="22"/>
          <w:lang w:val="sq-AL" w:eastAsia="en-GB"/>
        </w:rPr>
        <w:t>Referencat strategjike nd</w:t>
      </w:r>
      <w:r w:rsidR="009A5A0E" w:rsidRPr="00817921">
        <w:rPr>
          <w:rFonts w:ascii="Times New Roman" w:eastAsia="Times New Roman" w:hAnsi="Times New Roman" w:cs="Times New Roman"/>
          <w:b/>
          <w:bCs/>
          <w:iCs/>
          <w:szCs w:val="22"/>
          <w:lang w:val="sq-AL" w:eastAsia="en-GB"/>
        </w:rPr>
        <w:t>ë</w:t>
      </w:r>
      <w:r w:rsidRPr="00817921">
        <w:rPr>
          <w:rFonts w:ascii="Times New Roman" w:eastAsia="Times New Roman" w:hAnsi="Times New Roman" w:cs="Times New Roman"/>
          <w:b/>
          <w:bCs/>
          <w:iCs/>
          <w:szCs w:val="22"/>
          <w:lang w:val="sq-AL" w:eastAsia="en-GB"/>
        </w:rPr>
        <w:t>rkomb</w:t>
      </w:r>
      <w:r w:rsidR="009A5A0E" w:rsidRPr="00817921">
        <w:rPr>
          <w:rFonts w:ascii="Times New Roman" w:eastAsia="Times New Roman" w:hAnsi="Times New Roman" w:cs="Times New Roman"/>
          <w:b/>
          <w:bCs/>
          <w:iCs/>
          <w:szCs w:val="22"/>
          <w:lang w:val="sq-AL" w:eastAsia="en-GB"/>
        </w:rPr>
        <w:t>ë</w:t>
      </w:r>
      <w:r w:rsidRPr="00817921">
        <w:rPr>
          <w:rFonts w:ascii="Times New Roman" w:eastAsia="Times New Roman" w:hAnsi="Times New Roman" w:cs="Times New Roman"/>
          <w:b/>
          <w:bCs/>
          <w:iCs/>
          <w:szCs w:val="22"/>
          <w:lang w:val="sq-AL" w:eastAsia="en-GB"/>
        </w:rPr>
        <w:t>tare</w:t>
      </w:r>
    </w:p>
    <w:p w14:paraId="4DC7768F" w14:textId="77777777" w:rsidR="0058436C" w:rsidRPr="00817921" w:rsidRDefault="0058436C" w:rsidP="007D3E1E">
      <w:pPr>
        <w:widowControl w:val="0"/>
        <w:autoSpaceDE w:val="0"/>
        <w:autoSpaceDN w:val="0"/>
        <w:spacing w:after="0"/>
        <w:rPr>
          <w:rFonts w:ascii="Times New Roman" w:eastAsia="Times New Roman" w:hAnsi="Times New Roman" w:cs="Times New Roman"/>
          <w:b/>
          <w:bCs/>
          <w:iCs/>
          <w:szCs w:val="22"/>
          <w:lang w:val="sq-AL" w:eastAsia="en-GB"/>
        </w:rPr>
      </w:pPr>
    </w:p>
    <w:p w14:paraId="219E9A41" w14:textId="5BE35789" w:rsidR="00435961" w:rsidRPr="00817921" w:rsidRDefault="00925099" w:rsidP="00435961">
      <w:pPr>
        <w:spacing w:after="0"/>
        <w:rPr>
          <w:rFonts w:ascii="Times New Roman" w:hAnsi="Times New Roman" w:cs="Times New Roman"/>
          <w:szCs w:val="22"/>
        </w:rPr>
      </w:pPr>
      <w:proofErr w:type="spellStart"/>
      <w:r w:rsidRPr="00817921">
        <w:rPr>
          <w:rFonts w:ascii="Times New Roman" w:hAnsi="Times New Roman" w:cs="Times New Roman"/>
          <w:szCs w:val="22"/>
        </w:rPr>
        <w:t>Startegjia</w:t>
      </w:r>
      <w:proofErr w:type="spellEnd"/>
      <w:r w:rsidRPr="00817921">
        <w:rPr>
          <w:rFonts w:ascii="Times New Roman" w:hAnsi="Times New Roman" w:cs="Times New Roman"/>
          <w:szCs w:val="22"/>
        </w:rPr>
        <w:t xml:space="preserve"> </w:t>
      </w:r>
      <w:proofErr w:type="spellStart"/>
      <w:r w:rsidR="00B555A9">
        <w:rPr>
          <w:rFonts w:ascii="Times New Roman" w:hAnsi="Times New Roman" w:cs="Times New Roman"/>
          <w:szCs w:val="22"/>
        </w:rPr>
        <w:t>komb</w:t>
      </w:r>
      <w:proofErr w:type="spellEnd"/>
      <w:r w:rsidR="00B555A9" w:rsidRPr="00817921">
        <w:rPr>
          <w:rFonts w:ascii="Times New Roman" w:eastAsia="Times New Roman" w:hAnsi="Times New Roman" w:cs="Times New Roman"/>
          <w:iCs/>
          <w:szCs w:val="22"/>
          <w:lang w:val="sq-AL" w:eastAsia="en-GB"/>
        </w:rPr>
        <w:t>ë</w:t>
      </w:r>
      <w:r w:rsidR="00B555A9">
        <w:rPr>
          <w:rFonts w:ascii="Times New Roman" w:eastAsia="Times New Roman" w:hAnsi="Times New Roman" w:cs="Times New Roman"/>
          <w:iCs/>
          <w:szCs w:val="22"/>
          <w:lang w:val="sq-AL" w:eastAsia="en-GB"/>
        </w:rPr>
        <w:t xml:space="preserve">tare </w:t>
      </w:r>
      <w:proofErr w:type="spellStart"/>
      <w:r w:rsidRPr="00817921">
        <w:rPr>
          <w:rFonts w:ascii="Times New Roman" w:hAnsi="Times New Roman" w:cs="Times New Roman"/>
          <w:szCs w:val="22"/>
        </w:rPr>
        <w:t>p</w:t>
      </w:r>
      <w:r w:rsidR="009A5A0E" w:rsidRPr="00817921">
        <w:rPr>
          <w:rFonts w:ascii="Times New Roman" w:hAnsi="Times New Roman" w:cs="Times New Roman"/>
          <w:szCs w:val="22"/>
        </w:rPr>
        <w:t>ë</w:t>
      </w:r>
      <w:r w:rsidRPr="00817921">
        <w:rPr>
          <w:rFonts w:ascii="Times New Roman" w:hAnsi="Times New Roman" w:cs="Times New Roman"/>
          <w:szCs w:val="22"/>
        </w:rPr>
        <w:t>r</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mbrojtjen</w:t>
      </w:r>
      <w:proofErr w:type="spellEnd"/>
      <w:r w:rsidRPr="00817921">
        <w:rPr>
          <w:rFonts w:ascii="Times New Roman" w:hAnsi="Times New Roman" w:cs="Times New Roman"/>
          <w:szCs w:val="22"/>
        </w:rPr>
        <w:t xml:space="preserve"> sociale</w:t>
      </w:r>
      <w:r w:rsidR="00B555A9">
        <w:rPr>
          <w:rFonts w:ascii="Times New Roman" w:hAnsi="Times New Roman" w:cs="Times New Roman"/>
          <w:szCs w:val="22"/>
        </w:rPr>
        <w:t xml:space="preserve"> 2024-2030</w:t>
      </w:r>
      <w:r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hartohet</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në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përputhje</w:t>
      </w:r>
      <w:proofErr w:type="spellEnd"/>
      <w:r w:rsidR="00CF1E7A" w:rsidRPr="00817921">
        <w:rPr>
          <w:rFonts w:ascii="Times New Roman" w:hAnsi="Times New Roman" w:cs="Times New Roman"/>
          <w:szCs w:val="22"/>
        </w:rPr>
        <w:t xml:space="preserve"> me </w:t>
      </w:r>
      <w:proofErr w:type="spellStart"/>
      <w:r w:rsidR="00CF1E7A" w:rsidRPr="00817921">
        <w:rPr>
          <w:rFonts w:ascii="Times New Roman" w:hAnsi="Times New Roman" w:cs="Times New Roman"/>
          <w:szCs w:val="22"/>
        </w:rPr>
        <w:t>nenet</w:t>
      </w:r>
      <w:proofErr w:type="spellEnd"/>
      <w:r w:rsidR="00CF1E7A" w:rsidRPr="00817921">
        <w:rPr>
          <w:rFonts w:ascii="Times New Roman" w:hAnsi="Times New Roman" w:cs="Times New Roman"/>
          <w:szCs w:val="22"/>
        </w:rPr>
        <w:t xml:space="preserve"> 70 dhe 99, të </w:t>
      </w:r>
      <w:proofErr w:type="spellStart"/>
      <w:r w:rsidR="00CF1E7A" w:rsidRPr="00817921">
        <w:rPr>
          <w:rFonts w:ascii="Times New Roman" w:hAnsi="Times New Roman" w:cs="Times New Roman"/>
          <w:szCs w:val="22"/>
        </w:rPr>
        <w:t>Marrëveshjes</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Stabilizim-Asocimit</w:t>
      </w:r>
      <w:proofErr w:type="spellEnd"/>
      <w:r w:rsidR="00B555A9">
        <w:rPr>
          <w:rFonts w:ascii="Times New Roman" w:hAnsi="Times New Roman" w:cs="Times New Roman"/>
          <w:szCs w:val="22"/>
        </w:rPr>
        <w:t xml:space="preserve">, </w:t>
      </w:r>
      <w:proofErr w:type="spellStart"/>
      <w:r w:rsidR="00B555A9">
        <w:rPr>
          <w:rFonts w:ascii="Times New Roman" w:hAnsi="Times New Roman" w:cs="Times New Roman"/>
          <w:szCs w:val="22"/>
        </w:rPr>
        <w:t>d</w:t>
      </w:r>
      <w:r w:rsidR="00CF1E7A" w:rsidRPr="00817921">
        <w:rPr>
          <w:rFonts w:ascii="Times New Roman" w:hAnsi="Times New Roman" w:cs="Times New Roman"/>
          <w:szCs w:val="22"/>
        </w:rPr>
        <w:t>okumenti</w:t>
      </w:r>
      <w:r w:rsidR="003953E4" w:rsidRPr="00817921">
        <w:rPr>
          <w:rFonts w:ascii="Times New Roman" w:hAnsi="Times New Roman" w:cs="Times New Roman"/>
          <w:szCs w:val="22"/>
        </w:rPr>
        <w:t>n</w:t>
      </w:r>
      <w:proofErr w:type="spellEnd"/>
      <w:r w:rsidR="00CF1E7A" w:rsidRPr="00817921">
        <w:rPr>
          <w:rFonts w:ascii="Times New Roman" w:hAnsi="Times New Roman" w:cs="Times New Roman"/>
          <w:szCs w:val="22"/>
        </w:rPr>
        <w:t xml:space="preserve"> </w:t>
      </w:r>
      <w:r w:rsidR="0058436C">
        <w:rPr>
          <w:rFonts w:ascii="Times New Roman" w:hAnsi="Times New Roman" w:cs="Times New Roman"/>
          <w:szCs w:val="22"/>
        </w:rPr>
        <w:t>i</w:t>
      </w:r>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Partneritetit</w:t>
      </w:r>
      <w:proofErr w:type="spellEnd"/>
      <w:r w:rsidR="00CF1E7A" w:rsidRPr="00817921">
        <w:rPr>
          <w:rFonts w:ascii="Times New Roman" w:hAnsi="Times New Roman" w:cs="Times New Roman"/>
          <w:szCs w:val="22"/>
        </w:rPr>
        <w:t xml:space="preserve"> 2007 dhe </w:t>
      </w:r>
      <w:proofErr w:type="spellStart"/>
      <w:r w:rsidR="00CF1E7A" w:rsidRPr="00817921">
        <w:rPr>
          <w:rFonts w:ascii="Times New Roman" w:hAnsi="Times New Roman" w:cs="Times New Roman"/>
          <w:szCs w:val="22"/>
        </w:rPr>
        <w:t>është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pjesë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thelbësore</w:t>
      </w:r>
      <w:proofErr w:type="spellEnd"/>
      <w:r w:rsidR="00CF1E7A" w:rsidRPr="00817921">
        <w:rPr>
          <w:rFonts w:ascii="Times New Roman" w:hAnsi="Times New Roman" w:cs="Times New Roman"/>
          <w:szCs w:val="22"/>
        </w:rPr>
        <w:t xml:space="preserve"> e </w:t>
      </w:r>
      <w:proofErr w:type="spellStart"/>
      <w:r w:rsidR="00CF1E7A" w:rsidRPr="00817921">
        <w:rPr>
          <w:rFonts w:ascii="Times New Roman" w:hAnsi="Times New Roman" w:cs="Times New Roman"/>
          <w:szCs w:val="22"/>
        </w:rPr>
        <w:t>kuadrit</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afatgjatë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strategjik</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Shqipërisë</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përcaktuar</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nga</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Strategjia</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Kombëtare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Zhvillim</w:t>
      </w:r>
      <w:proofErr w:type="spellEnd"/>
      <w:r w:rsidR="00CF1E7A" w:rsidRPr="00817921">
        <w:rPr>
          <w:rFonts w:ascii="Times New Roman" w:hAnsi="Times New Roman" w:cs="Times New Roman"/>
          <w:szCs w:val="22"/>
        </w:rPr>
        <w:t xml:space="preserve"> dhe </w:t>
      </w:r>
      <w:proofErr w:type="spellStart"/>
      <w:r w:rsidR="00CF1E7A" w:rsidRPr="00817921">
        <w:rPr>
          <w:rFonts w:ascii="Times New Roman" w:hAnsi="Times New Roman" w:cs="Times New Roman"/>
          <w:szCs w:val="22"/>
        </w:rPr>
        <w:t>Integrim</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Evropian</w:t>
      </w:r>
      <w:proofErr w:type="spellEnd"/>
      <w:r w:rsidR="00CF1E7A" w:rsidRPr="00817921">
        <w:rPr>
          <w:rFonts w:ascii="Times New Roman" w:hAnsi="Times New Roman" w:cs="Times New Roman"/>
          <w:szCs w:val="22"/>
        </w:rPr>
        <w:t xml:space="preserve"> (SKZH</w:t>
      </w:r>
      <w:r w:rsidR="00B555A9">
        <w:rPr>
          <w:rFonts w:ascii="Times New Roman" w:hAnsi="Times New Roman" w:cs="Times New Roman"/>
          <w:szCs w:val="22"/>
        </w:rPr>
        <w:t>I</w:t>
      </w:r>
      <w:r w:rsidR="00CF1E7A" w:rsidRPr="00817921">
        <w:rPr>
          <w:rFonts w:ascii="Times New Roman" w:hAnsi="Times New Roman" w:cs="Times New Roman"/>
          <w:szCs w:val="22"/>
        </w:rPr>
        <w:t>E 2030</w:t>
      </w:r>
      <w:r w:rsidR="003953E4" w:rsidRPr="00817921">
        <w:rPr>
          <w:rFonts w:ascii="Times New Roman" w:hAnsi="Times New Roman" w:cs="Times New Roman"/>
          <w:szCs w:val="22"/>
        </w:rPr>
        <w:t>)</w:t>
      </w:r>
      <w:r w:rsidR="00CF1E7A" w:rsidRPr="00817921">
        <w:rPr>
          <w:rFonts w:ascii="Times New Roman" w:hAnsi="Times New Roman" w:cs="Times New Roman"/>
          <w:szCs w:val="22"/>
        </w:rPr>
        <w:t xml:space="preserve">. </w:t>
      </w:r>
    </w:p>
    <w:p w14:paraId="2A72EED7" w14:textId="74585B0A" w:rsidR="00CF1E7A" w:rsidRDefault="0002574D" w:rsidP="000B4B6D">
      <w:pPr>
        <w:spacing w:after="0"/>
        <w:rPr>
          <w:rFonts w:ascii="Times New Roman" w:hAnsi="Times New Roman" w:cs="Times New Roman"/>
          <w:szCs w:val="22"/>
        </w:rPr>
      </w:pPr>
      <w:proofErr w:type="spellStart"/>
      <w:r w:rsidRPr="00817921">
        <w:rPr>
          <w:rFonts w:ascii="Times New Roman" w:hAnsi="Times New Roman" w:cs="Times New Roman"/>
          <w:szCs w:val="22"/>
        </w:rPr>
        <w:t>Dokumentet</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kryesor</w:t>
      </w:r>
      <w:proofErr w:type="spellEnd"/>
      <w:r w:rsidR="0058436C" w:rsidRPr="002C0D3E">
        <w:rPr>
          <w:rFonts w:ascii="Times New Roman" w:hAnsi="Times New Roman" w:cs="Times New Roman"/>
          <w:szCs w:val="22"/>
          <w:lang w:val="sq-AL"/>
        </w:rPr>
        <w:t>ë</w:t>
      </w:r>
      <w:r w:rsidR="0058436C">
        <w:rPr>
          <w:rFonts w:ascii="Times New Roman" w:hAnsi="Times New Roman" w:cs="Times New Roman"/>
          <w:szCs w:val="22"/>
          <w:lang w:val="sq-AL"/>
        </w:rPr>
        <w:t xml:space="preserve"> strategjik</w:t>
      </w:r>
      <w:r w:rsidRPr="00817921">
        <w:rPr>
          <w:rFonts w:ascii="Times New Roman" w:hAnsi="Times New Roman" w:cs="Times New Roman"/>
          <w:szCs w:val="22"/>
        </w:rPr>
        <w:t xml:space="preserve"> </w:t>
      </w:r>
      <w:proofErr w:type="spellStart"/>
      <w:r w:rsidR="0058436C">
        <w:rPr>
          <w:rFonts w:ascii="Times New Roman" w:hAnsi="Times New Roman" w:cs="Times New Roman"/>
          <w:szCs w:val="22"/>
        </w:rPr>
        <w:t>E</w:t>
      </w:r>
      <w:r w:rsidR="00B555A9">
        <w:rPr>
          <w:rFonts w:ascii="Times New Roman" w:hAnsi="Times New Roman" w:cs="Times New Roman"/>
          <w:szCs w:val="22"/>
        </w:rPr>
        <w:t>v</w:t>
      </w:r>
      <w:r w:rsidR="0058436C">
        <w:rPr>
          <w:rFonts w:ascii="Times New Roman" w:hAnsi="Times New Roman" w:cs="Times New Roman"/>
          <w:szCs w:val="22"/>
        </w:rPr>
        <w:t>ro</w:t>
      </w:r>
      <w:r w:rsidR="00B555A9">
        <w:rPr>
          <w:rFonts w:ascii="Times New Roman" w:hAnsi="Times New Roman" w:cs="Times New Roman"/>
          <w:szCs w:val="22"/>
        </w:rPr>
        <w:t>pia</w:t>
      </w:r>
      <w:proofErr w:type="spellEnd"/>
      <w:r w:rsidR="0058436C">
        <w:rPr>
          <w:rFonts w:ascii="Times New Roman" w:hAnsi="Times New Roman" w:cs="Times New Roman"/>
          <w:szCs w:val="22"/>
        </w:rPr>
        <w:t xml:space="preserve"> </w:t>
      </w:r>
      <w:proofErr w:type="spellStart"/>
      <w:r w:rsidRPr="00817921">
        <w:rPr>
          <w:rFonts w:ascii="Times New Roman" w:hAnsi="Times New Roman" w:cs="Times New Roman"/>
          <w:szCs w:val="22"/>
        </w:rPr>
        <w:t>jan</w:t>
      </w:r>
      <w:r w:rsidR="009A5A0E" w:rsidRPr="00817921">
        <w:rPr>
          <w:rFonts w:ascii="Times New Roman" w:hAnsi="Times New Roman" w:cs="Times New Roman"/>
          <w:szCs w:val="22"/>
        </w:rPr>
        <w:t>ë</w:t>
      </w:r>
      <w:proofErr w:type="spellEnd"/>
      <w:r w:rsidRPr="00817921">
        <w:rPr>
          <w:rFonts w:ascii="Times New Roman" w:hAnsi="Times New Roman" w:cs="Times New Roman"/>
          <w:szCs w:val="22"/>
        </w:rPr>
        <w:t xml:space="preserve">: (i) </w:t>
      </w:r>
      <w:r w:rsidR="00CF1E7A" w:rsidRPr="00817921">
        <w:rPr>
          <w:rFonts w:ascii="Times New Roman" w:hAnsi="Times New Roman" w:cs="Times New Roman"/>
          <w:b/>
          <w:bCs/>
          <w:szCs w:val="22"/>
        </w:rPr>
        <w:t xml:space="preserve">Shtylla </w:t>
      </w:r>
      <w:proofErr w:type="spellStart"/>
      <w:r w:rsidR="00CF1E7A" w:rsidRPr="00817921">
        <w:rPr>
          <w:rFonts w:ascii="Times New Roman" w:hAnsi="Times New Roman" w:cs="Times New Roman"/>
          <w:b/>
          <w:bCs/>
          <w:szCs w:val="22"/>
        </w:rPr>
        <w:t>Evropiane</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për</w:t>
      </w:r>
      <w:proofErr w:type="spellEnd"/>
      <w:r w:rsidR="00CF1E7A" w:rsidRPr="00817921">
        <w:rPr>
          <w:rFonts w:ascii="Times New Roman" w:hAnsi="Times New Roman" w:cs="Times New Roman"/>
          <w:b/>
          <w:bCs/>
          <w:szCs w:val="22"/>
        </w:rPr>
        <w:t xml:space="preserve"> të </w:t>
      </w:r>
      <w:proofErr w:type="spellStart"/>
      <w:r w:rsidR="00CF1E7A" w:rsidRPr="00817921">
        <w:rPr>
          <w:rFonts w:ascii="Times New Roman" w:hAnsi="Times New Roman" w:cs="Times New Roman"/>
          <w:b/>
          <w:bCs/>
          <w:szCs w:val="22"/>
        </w:rPr>
        <w:t>Drejtat</w:t>
      </w:r>
      <w:proofErr w:type="spellEnd"/>
      <w:r w:rsidR="00CF1E7A" w:rsidRPr="00817921">
        <w:rPr>
          <w:rFonts w:ascii="Times New Roman" w:hAnsi="Times New Roman" w:cs="Times New Roman"/>
          <w:b/>
          <w:bCs/>
          <w:szCs w:val="22"/>
        </w:rPr>
        <w:t xml:space="preserve"> Sociale</w:t>
      </w:r>
      <w:r w:rsidRPr="00817921">
        <w:rPr>
          <w:rStyle w:val="FootnoteReference"/>
          <w:rFonts w:ascii="Times New Roman" w:hAnsi="Times New Roman" w:cs="Times New Roman"/>
          <w:b/>
          <w:bCs/>
          <w:szCs w:val="22"/>
        </w:rPr>
        <w:footnoteReference w:id="89"/>
      </w:r>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szCs w:val="22"/>
        </w:rPr>
        <w:t>për</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një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Evropë</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Drejtë</w:t>
      </w:r>
      <w:proofErr w:type="spellEnd"/>
      <w:r w:rsidR="00CF1E7A" w:rsidRPr="00817921">
        <w:rPr>
          <w:rFonts w:ascii="Times New Roman" w:hAnsi="Times New Roman" w:cs="Times New Roman"/>
          <w:szCs w:val="22"/>
        </w:rPr>
        <w:t xml:space="preserve"> dhe </w:t>
      </w:r>
      <w:proofErr w:type="spellStart"/>
      <w:r w:rsidR="00CF1E7A" w:rsidRPr="00817921">
        <w:rPr>
          <w:rFonts w:ascii="Times New Roman" w:hAnsi="Times New Roman" w:cs="Times New Roman"/>
          <w:szCs w:val="22"/>
        </w:rPr>
        <w:t>Gjithëpërfshirëse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pëmes</w:t>
      </w:r>
      <w:proofErr w:type="spellEnd"/>
      <w:r w:rsidR="00CF1E7A" w:rsidRPr="00817921">
        <w:rPr>
          <w:rFonts w:ascii="Times New Roman" w:hAnsi="Times New Roman" w:cs="Times New Roman"/>
          <w:szCs w:val="22"/>
        </w:rPr>
        <w:t xml:space="preserve"> 20 </w:t>
      </w:r>
      <w:proofErr w:type="spellStart"/>
      <w:r w:rsidR="00CF1E7A" w:rsidRPr="00817921">
        <w:rPr>
          <w:rFonts w:ascii="Times New Roman" w:hAnsi="Times New Roman" w:cs="Times New Roman"/>
          <w:szCs w:val="22"/>
        </w:rPr>
        <w:t>parimeve</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rëndësishme</w:t>
      </w:r>
      <w:proofErr w:type="spellEnd"/>
      <w:r w:rsidR="00CF1E7A"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q</w:t>
      </w:r>
      <w:r w:rsidR="009A5A0E" w:rsidRPr="00817921">
        <w:rPr>
          <w:rFonts w:ascii="Times New Roman" w:hAnsi="Times New Roman" w:cs="Times New Roman"/>
          <w:szCs w:val="22"/>
        </w:rPr>
        <w:t>ë</w:t>
      </w:r>
      <w:proofErr w:type="spellEnd"/>
      <w:r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synon</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ndërtojë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tregje</w:t>
      </w:r>
      <w:proofErr w:type="spellEnd"/>
      <w:r w:rsidR="00CF1E7A" w:rsidRPr="00817921">
        <w:rPr>
          <w:rFonts w:ascii="Times New Roman" w:hAnsi="Times New Roman" w:cs="Times New Roman"/>
          <w:szCs w:val="22"/>
        </w:rPr>
        <w:t xml:space="preserve"> pune </w:t>
      </w:r>
      <w:proofErr w:type="spellStart"/>
      <w:r w:rsidR="00CF1E7A" w:rsidRPr="00817921">
        <w:rPr>
          <w:rFonts w:ascii="Times New Roman" w:hAnsi="Times New Roman" w:cs="Times New Roman"/>
          <w:szCs w:val="22"/>
        </w:rPr>
        <w:t>funksionale</w:t>
      </w:r>
      <w:proofErr w:type="spellEnd"/>
      <w:r w:rsidR="00CF1E7A" w:rsidRPr="00817921">
        <w:rPr>
          <w:rFonts w:ascii="Times New Roman" w:hAnsi="Times New Roman" w:cs="Times New Roman"/>
          <w:szCs w:val="22"/>
        </w:rPr>
        <w:t xml:space="preserve"> dhe të </w:t>
      </w:r>
      <w:proofErr w:type="spellStart"/>
      <w:r w:rsidR="00CF1E7A" w:rsidRPr="00817921">
        <w:rPr>
          <w:rFonts w:ascii="Times New Roman" w:hAnsi="Times New Roman" w:cs="Times New Roman"/>
          <w:szCs w:val="22"/>
        </w:rPr>
        <w:t>drejta</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si</w:t>
      </w:r>
      <w:proofErr w:type="spellEnd"/>
      <w:r w:rsidR="00CF1E7A" w:rsidRPr="00817921">
        <w:rPr>
          <w:rFonts w:ascii="Times New Roman" w:hAnsi="Times New Roman" w:cs="Times New Roman"/>
          <w:szCs w:val="22"/>
        </w:rPr>
        <w:t xml:space="preserve"> dhe të </w:t>
      </w:r>
      <w:proofErr w:type="spellStart"/>
      <w:r w:rsidR="00CF1E7A" w:rsidRPr="00817921">
        <w:rPr>
          <w:rFonts w:ascii="Times New Roman" w:hAnsi="Times New Roman" w:cs="Times New Roman"/>
          <w:szCs w:val="22"/>
        </w:rPr>
        <w:t>ndërtojë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sisteme</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mirëqënies</w:t>
      </w:r>
      <w:proofErr w:type="spellEnd"/>
      <w:r w:rsidR="00CF1E7A" w:rsidRPr="00817921">
        <w:rPr>
          <w:rFonts w:ascii="Times New Roman" w:hAnsi="Times New Roman" w:cs="Times New Roman"/>
          <w:szCs w:val="22"/>
        </w:rPr>
        <w:t xml:space="preserve"> sociale ku </w:t>
      </w:r>
      <w:proofErr w:type="spellStart"/>
      <w:r w:rsidR="00AB4D37">
        <w:rPr>
          <w:rFonts w:ascii="Times New Roman" w:hAnsi="Times New Roman" w:cs="Times New Roman"/>
          <w:szCs w:val="22"/>
        </w:rPr>
        <w:t>çdo</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individ</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përfitojë</w:t>
      </w:r>
      <w:proofErr w:type="spellEnd"/>
      <w:r w:rsidR="00CF1E7A" w:rsidRPr="00817921">
        <w:rPr>
          <w:rFonts w:ascii="Times New Roman" w:hAnsi="Times New Roman" w:cs="Times New Roman"/>
          <w:szCs w:val="22"/>
        </w:rPr>
        <w:t xml:space="preserve"> dhe </w:t>
      </w:r>
      <w:proofErr w:type="spellStart"/>
      <w:r w:rsidR="00CF1E7A" w:rsidRPr="00817921">
        <w:rPr>
          <w:rFonts w:ascii="Times New Roman" w:hAnsi="Times New Roman" w:cs="Times New Roman"/>
          <w:szCs w:val="22"/>
        </w:rPr>
        <w:t>askush</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mos</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mbetet</w:t>
      </w:r>
      <w:proofErr w:type="spellEnd"/>
      <w:r w:rsidR="00CF1E7A" w:rsidRPr="00817921">
        <w:rPr>
          <w:rFonts w:ascii="Times New Roman" w:hAnsi="Times New Roman" w:cs="Times New Roman"/>
          <w:szCs w:val="22"/>
        </w:rPr>
        <w:t xml:space="preserve"> pas</w:t>
      </w:r>
      <w:r w:rsidRPr="00817921">
        <w:rPr>
          <w:rFonts w:ascii="Times New Roman" w:hAnsi="Times New Roman" w:cs="Times New Roman"/>
          <w:szCs w:val="22"/>
        </w:rPr>
        <w:t xml:space="preserve">; (ii) </w:t>
      </w:r>
      <w:proofErr w:type="spellStart"/>
      <w:r w:rsidR="00CF1E7A" w:rsidRPr="00817921">
        <w:rPr>
          <w:rFonts w:ascii="Times New Roman" w:hAnsi="Times New Roman" w:cs="Times New Roman"/>
          <w:b/>
          <w:bCs/>
          <w:szCs w:val="22"/>
        </w:rPr>
        <w:t>Karta</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Evropiane</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për</w:t>
      </w:r>
      <w:proofErr w:type="spellEnd"/>
      <w:r w:rsidR="00CF1E7A" w:rsidRPr="00817921">
        <w:rPr>
          <w:rFonts w:ascii="Times New Roman" w:hAnsi="Times New Roman" w:cs="Times New Roman"/>
          <w:b/>
          <w:bCs/>
          <w:szCs w:val="22"/>
        </w:rPr>
        <w:t xml:space="preserve"> të </w:t>
      </w:r>
      <w:proofErr w:type="spellStart"/>
      <w:r w:rsidR="00CF1E7A" w:rsidRPr="00817921">
        <w:rPr>
          <w:rFonts w:ascii="Times New Roman" w:hAnsi="Times New Roman" w:cs="Times New Roman"/>
          <w:b/>
          <w:bCs/>
          <w:szCs w:val="22"/>
        </w:rPr>
        <w:t>Drejtat</w:t>
      </w:r>
      <w:proofErr w:type="spellEnd"/>
      <w:r w:rsidR="00CF1E7A" w:rsidRPr="00817921">
        <w:rPr>
          <w:rFonts w:ascii="Times New Roman" w:hAnsi="Times New Roman" w:cs="Times New Roman"/>
          <w:b/>
          <w:bCs/>
          <w:szCs w:val="22"/>
        </w:rPr>
        <w:t xml:space="preserve"> e </w:t>
      </w:r>
      <w:proofErr w:type="spellStart"/>
      <w:r w:rsidR="00CF1E7A" w:rsidRPr="00817921">
        <w:rPr>
          <w:rFonts w:ascii="Times New Roman" w:hAnsi="Times New Roman" w:cs="Times New Roman"/>
          <w:b/>
          <w:bCs/>
          <w:szCs w:val="22"/>
        </w:rPr>
        <w:t>Njeriut</w:t>
      </w:r>
      <w:proofErr w:type="spellEnd"/>
      <w:r w:rsidRPr="00817921">
        <w:rPr>
          <w:rFonts w:ascii="Times New Roman" w:hAnsi="Times New Roman" w:cs="Times New Roman"/>
          <w:szCs w:val="22"/>
        </w:rPr>
        <w:t>;</w:t>
      </w:r>
      <w:r w:rsidR="00CF1E7A" w:rsidRPr="00817921">
        <w:rPr>
          <w:rFonts w:ascii="Times New Roman" w:hAnsi="Times New Roman" w:cs="Times New Roman"/>
          <w:szCs w:val="22"/>
        </w:rPr>
        <w:t xml:space="preserve"> </w:t>
      </w:r>
      <w:r w:rsidR="00CF1E7A" w:rsidRPr="00817921">
        <w:rPr>
          <w:rFonts w:ascii="Times New Roman" w:hAnsi="Times New Roman" w:cs="Times New Roman"/>
          <w:b/>
          <w:bCs/>
          <w:szCs w:val="22"/>
        </w:rPr>
        <w:t xml:space="preserve">Plani </w:t>
      </w:r>
      <w:proofErr w:type="spellStart"/>
      <w:r w:rsidR="00CF1E7A" w:rsidRPr="00817921">
        <w:rPr>
          <w:rFonts w:ascii="Times New Roman" w:hAnsi="Times New Roman" w:cs="Times New Roman"/>
          <w:b/>
          <w:bCs/>
          <w:szCs w:val="22"/>
        </w:rPr>
        <w:t>Ekonomik</w:t>
      </w:r>
      <w:proofErr w:type="spellEnd"/>
      <w:r w:rsidR="00CF1E7A" w:rsidRPr="00817921">
        <w:rPr>
          <w:rFonts w:ascii="Times New Roman" w:hAnsi="Times New Roman" w:cs="Times New Roman"/>
          <w:b/>
          <w:bCs/>
          <w:szCs w:val="22"/>
        </w:rPr>
        <w:t xml:space="preserve"> dhe i </w:t>
      </w:r>
      <w:proofErr w:type="spellStart"/>
      <w:r w:rsidR="00CF1E7A" w:rsidRPr="00817921">
        <w:rPr>
          <w:rFonts w:ascii="Times New Roman" w:hAnsi="Times New Roman" w:cs="Times New Roman"/>
          <w:b/>
          <w:bCs/>
          <w:szCs w:val="22"/>
        </w:rPr>
        <w:t>Investimeve</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për</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Ballkanin</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Perëndimor</w:t>
      </w:r>
      <w:proofErr w:type="spellEnd"/>
      <w:r w:rsidRPr="00817921">
        <w:rPr>
          <w:rStyle w:val="FootnoteReference"/>
          <w:rFonts w:ascii="Times New Roman" w:hAnsi="Times New Roman" w:cs="Times New Roman"/>
          <w:b/>
          <w:bCs/>
          <w:szCs w:val="22"/>
        </w:rPr>
        <w:footnoteReference w:id="90"/>
      </w:r>
      <w:r w:rsidRPr="00817921">
        <w:rPr>
          <w:rFonts w:ascii="Times New Roman" w:hAnsi="Times New Roman" w:cs="Times New Roman"/>
          <w:b/>
          <w:bCs/>
          <w:szCs w:val="22"/>
        </w:rPr>
        <w:t xml:space="preserve"> </w:t>
      </w:r>
      <w:proofErr w:type="spellStart"/>
      <w:r w:rsidRPr="00817921">
        <w:rPr>
          <w:rFonts w:ascii="Times New Roman" w:hAnsi="Times New Roman" w:cs="Times New Roman"/>
          <w:szCs w:val="22"/>
        </w:rPr>
        <w:t>q</w:t>
      </w:r>
      <w:r w:rsidR="009A5A0E" w:rsidRPr="00817921">
        <w:rPr>
          <w:rFonts w:ascii="Times New Roman" w:hAnsi="Times New Roman" w:cs="Times New Roman"/>
          <w:szCs w:val="22"/>
        </w:rPr>
        <w:t>ë</w:t>
      </w:r>
      <w:proofErr w:type="spellEnd"/>
      <w:r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synon</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integrimin</w:t>
      </w:r>
      <w:proofErr w:type="spellEnd"/>
      <w:r w:rsidR="00CF1E7A" w:rsidRPr="00817921">
        <w:rPr>
          <w:rFonts w:ascii="Times New Roman" w:hAnsi="Times New Roman" w:cs="Times New Roman"/>
          <w:szCs w:val="22"/>
        </w:rPr>
        <w:t xml:space="preserve"> e </w:t>
      </w:r>
      <w:proofErr w:type="spellStart"/>
      <w:r w:rsidR="00CF1E7A" w:rsidRPr="00817921">
        <w:rPr>
          <w:rFonts w:ascii="Times New Roman" w:hAnsi="Times New Roman" w:cs="Times New Roman"/>
          <w:szCs w:val="22"/>
        </w:rPr>
        <w:t>sukseshëm</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ekonomik</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rajonit</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w:t>
      </w:r>
      <w:r w:rsidR="009A5A0E" w:rsidRPr="00817921">
        <w:rPr>
          <w:rFonts w:ascii="Times New Roman" w:hAnsi="Times New Roman" w:cs="Times New Roman"/>
          <w:szCs w:val="22"/>
        </w:rPr>
        <w:t>ë</w:t>
      </w:r>
      <w:r w:rsidRPr="00817921">
        <w:rPr>
          <w:rFonts w:ascii="Times New Roman" w:hAnsi="Times New Roman" w:cs="Times New Roman"/>
          <w:szCs w:val="22"/>
        </w:rPr>
        <w:t>rshpejtimin</w:t>
      </w:r>
      <w:proofErr w:type="spellEnd"/>
      <w:r w:rsidRPr="00817921">
        <w:rPr>
          <w:rFonts w:ascii="Times New Roman" w:hAnsi="Times New Roman" w:cs="Times New Roman"/>
          <w:szCs w:val="22"/>
        </w:rPr>
        <w:t xml:space="preserve"> e</w:t>
      </w:r>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harmonizimi</w:t>
      </w:r>
      <w:r w:rsidRPr="00817921">
        <w:rPr>
          <w:rFonts w:ascii="Times New Roman" w:hAnsi="Times New Roman" w:cs="Times New Roman"/>
          <w:szCs w:val="22"/>
        </w:rPr>
        <w:t>t</w:t>
      </w:r>
      <w:proofErr w:type="spellEnd"/>
      <w:r w:rsidR="00CF1E7A" w:rsidRPr="00817921">
        <w:rPr>
          <w:rFonts w:ascii="Times New Roman" w:hAnsi="Times New Roman" w:cs="Times New Roman"/>
          <w:szCs w:val="22"/>
        </w:rPr>
        <w:t xml:space="preserve"> me </w:t>
      </w:r>
      <w:proofErr w:type="spellStart"/>
      <w:r w:rsidR="00CF1E7A" w:rsidRPr="00817921">
        <w:rPr>
          <w:rFonts w:ascii="Times New Roman" w:hAnsi="Times New Roman" w:cs="Times New Roman"/>
          <w:szCs w:val="22"/>
        </w:rPr>
        <w:t>BE-në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redukt</w:t>
      </w:r>
      <w:r w:rsidRPr="00817921">
        <w:rPr>
          <w:rFonts w:ascii="Times New Roman" w:hAnsi="Times New Roman" w:cs="Times New Roman"/>
          <w:szCs w:val="22"/>
        </w:rPr>
        <w:t>imin</w:t>
      </w:r>
      <w:proofErr w:type="spellEnd"/>
      <w:r w:rsidRPr="00817921">
        <w:rPr>
          <w:rFonts w:ascii="Times New Roman" w:hAnsi="Times New Roman" w:cs="Times New Roman"/>
          <w:szCs w:val="22"/>
        </w:rPr>
        <w:t xml:space="preserve"> e</w:t>
      </w:r>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hendeku</w:t>
      </w:r>
      <w:r w:rsidRPr="00817921">
        <w:rPr>
          <w:rFonts w:ascii="Times New Roman" w:hAnsi="Times New Roman" w:cs="Times New Roman"/>
          <w:szCs w:val="22"/>
        </w:rPr>
        <w:t>t</w:t>
      </w:r>
      <w:proofErr w:type="spellEnd"/>
      <w:r w:rsidR="00CF1E7A" w:rsidRPr="00817921">
        <w:rPr>
          <w:rFonts w:ascii="Times New Roman" w:hAnsi="Times New Roman" w:cs="Times New Roman"/>
          <w:szCs w:val="22"/>
        </w:rPr>
        <w:t xml:space="preserve"> </w:t>
      </w:r>
      <w:r w:rsidRPr="00817921">
        <w:rPr>
          <w:rFonts w:ascii="Times New Roman" w:hAnsi="Times New Roman" w:cs="Times New Roman"/>
          <w:szCs w:val="22"/>
        </w:rPr>
        <w:t>dhe</w:t>
      </w:r>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përshpejtimin</w:t>
      </w:r>
      <w:proofErr w:type="spellEnd"/>
      <w:r w:rsidR="00CF1E7A" w:rsidRPr="00817921">
        <w:rPr>
          <w:rFonts w:ascii="Times New Roman" w:hAnsi="Times New Roman" w:cs="Times New Roman"/>
          <w:szCs w:val="22"/>
        </w:rPr>
        <w:t xml:space="preserve"> e </w:t>
      </w:r>
      <w:proofErr w:type="spellStart"/>
      <w:r w:rsidR="00AB4D37">
        <w:rPr>
          <w:rFonts w:ascii="Times New Roman" w:hAnsi="Times New Roman" w:cs="Times New Roman"/>
          <w:szCs w:val="22"/>
        </w:rPr>
        <w:t>proçes</w:t>
      </w:r>
      <w:r w:rsidR="00CF1E7A" w:rsidRPr="00817921">
        <w:rPr>
          <w:rFonts w:ascii="Times New Roman" w:hAnsi="Times New Roman" w:cs="Times New Roman"/>
          <w:szCs w:val="22"/>
        </w:rPr>
        <w:t>it</w:t>
      </w:r>
      <w:proofErr w:type="spellEnd"/>
      <w:r w:rsidR="00CF1E7A" w:rsidRPr="00817921">
        <w:rPr>
          <w:rFonts w:ascii="Times New Roman" w:hAnsi="Times New Roman" w:cs="Times New Roman"/>
          <w:szCs w:val="22"/>
        </w:rPr>
        <w:t xml:space="preserve"> të integrimit </w:t>
      </w:r>
      <w:proofErr w:type="spellStart"/>
      <w:r w:rsidR="00CF1E7A" w:rsidRPr="00817921">
        <w:rPr>
          <w:rFonts w:ascii="Times New Roman" w:hAnsi="Times New Roman" w:cs="Times New Roman"/>
          <w:szCs w:val="22"/>
        </w:rPr>
        <w:t>në</w:t>
      </w:r>
      <w:proofErr w:type="spellEnd"/>
      <w:r w:rsidR="00CF1E7A" w:rsidRPr="00817921">
        <w:rPr>
          <w:rFonts w:ascii="Times New Roman" w:hAnsi="Times New Roman" w:cs="Times New Roman"/>
          <w:szCs w:val="22"/>
        </w:rPr>
        <w:t xml:space="preserve"> BE. </w:t>
      </w:r>
      <w:proofErr w:type="spellStart"/>
      <w:r w:rsidR="00CF1E7A" w:rsidRPr="00817921">
        <w:rPr>
          <w:rFonts w:ascii="Times New Roman" w:hAnsi="Times New Roman" w:cs="Times New Roman"/>
          <w:szCs w:val="22"/>
        </w:rPr>
        <w:t>Zhvillimi</w:t>
      </w:r>
      <w:proofErr w:type="spellEnd"/>
      <w:r w:rsidR="00CF1E7A" w:rsidRPr="00817921">
        <w:rPr>
          <w:rFonts w:ascii="Times New Roman" w:hAnsi="Times New Roman" w:cs="Times New Roman"/>
          <w:szCs w:val="22"/>
        </w:rPr>
        <w:t xml:space="preserve"> i </w:t>
      </w:r>
      <w:proofErr w:type="spellStart"/>
      <w:r w:rsidR="00CF1E7A" w:rsidRPr="00817921">
        <w:rPr>
          <w:rFonts w:ascii="Times New Roman" w:hAnsi="Times New Roman" w:cs="Times New Roman"/>
          <w:szCs w:val="22"/>
        </w:rPr>
        <w:t>Kapitalit</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Njerëzor</w:t>
      </w:r>
      <w:proofErr w:type="spellEnd"/>
      <w:r w:rsidR="00CF1E7A" w:rsidRPr="00817921">
        <w:rPr>
          <w:rFonts w:ascii="Times New Roman" w:hAnsi="Times New Roman" w:cs="Times New Roman"/>
          <w:szCs w:val="22"/>
        </w:rPr>
        <w:t xml:space="preserve"> </w:t>
      </w:r>
      <w:proofErr w:type="spellStart"/>
      <w:r w:rsidR="009A5A0E" w:rsidRPr="00817921">
        <w:rPr>
          <w:rFonts w:ascii="Times New Roman" w:hAnsi="Times New Roman" w:cs="Times New Roman"/>
          <w:szCs w:val="22"/>
        </w:rPr>
        <w:t>ë</w:t>
      </w:r>
      <w:r w:rsidRPr="00817921">
        <w:rPr>
          <w:rFonts w:ascii="Times New Roman" w:hAnsi="Times New Roman" w:cs="Times New Roman"/>
          <w:szCs w:val="22"/>
        </w:rPr>
        <w:t>sht</w:t>
      </w:r>
      <w:r w:rsidR="009A5A0E" w:rsidRPr="00817921">
        <w:rPr>
          <w:rFonts w:ascii="Times New Roman" w:hAnsi="Times New Roman" w:cs="Times New Roman"/>
          <w:szCs w:val="22"/>
        </w:rPr>
        <w:t>ë</w:t>
      </w:r>
      <w:proofErr w:type="spellEnd"/>
      <w:r w:rsidRPr="00817921">
        <w:rPr>
          <w:rFonts w:ascii="Times New Roman" w:hAnsi="Times New Roman" w:cs="Times New Roman"/>
          <w:szCs w:val="22"/>
        </w:rPr>
        <w:t xml:space="preserve"> plani </w:t>
      </w:r>
      <w:r w:rsidR="0058436C">
        <w:rPr>
          <w:rFonts w:ascii="Times New Roman" w:hAnsi="Times New Roman" w:cs="Times New Roman"/>
          <w:szCs w:val="22"/>
        </w:rPr>
        <w:t>i</w:t>
      </w:r>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Komisionit</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Europian</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n</w:t>
      </w:r>
      <w:r w:rsidR="009A5A0E" w:rsidRPr="00817921">
        <w:rPr>
          <w:rFonts w:ascii="Times New Roman" w:hAnsi="Times New Roman" w:cs="Times New Roman"/>
          <w:szCs w:val="22"/>
        </w:rPr>
        <w:t>ë</w:t>
      </w:r>
      <w:r w:rsidRPr="00817921">
        <w:rPr>
          <w:rFonts w:ascii="Times New Roman" w:hAnsi="Times New Roman" w:cs="Times New Roman"/>
          <w:szCs w:val="22"/>
        </w:rPr>
        <w:t>p</w:t>
      </w:r>
      <w:r w:rsidR="009A5A0E" w:rsidRPr="00817921">
        <w:rPr>
          <w:rFonts w:ascii="Times New Roman" w:hAnsi="Times New Roman" w:cs="Times New Roman"/>
          <w:szCs w:val="22"/>
        </w:rPr>
        <w:t>ë</w:t>
      </w:r>
      <w:r w:rsidRPr="00817921">
        <w:rPr>
          <w:rFonts w:ascii="Times New Roman" w:hAnsi="Times New Roman" w:cs="Times New Roman"/>
          <w:szCs w:val="22"/>
        </w:rPr>
        <w:t>rmjet</w:t>
      </w:r>
      <w:proofErr w:type="spellEnd"/>
      <w:r w:rsidRPr="00817921">
        <w:rPr>
          <w:rFonts w:ascii="Times New Roman" w:hAnsi="Times New Roman" w:cs="Times New Roman"/>
          <w:szCs w:val="22"/>
        </w:rPr>
        <w:t xml:space="preserve"> t</w:t>
      </w:r>
      <w:r w:rsidR="009A5A0E" w:rsidRPr="00817921">
        <w:rPr>
          <w:rFonts w:ascii="Times New Roman" w:hAnsi="Times New Roman" w:cs="Times New Roman"/>
          <w:szCs w:val="22"/>
        </w:rPr>
        <w:t>ë</w:t>
      </w:r>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cilit</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k</w:t>
      </w:r>
      <w:r w:rsidR="009A5A0E" w:rsidRPr="00817921">
        <w:rPr>
          <w:rFonts w:ascii="Times New Roman" w:hAnsi="Times New Roman" w:cs="Times New Roman"/>
          <w:szCs w:val="22"/>
        </w:rPr>
        <w:t>ë</w:t>
      </w:r>
      <w:r w:rsidRPr="00817921">
        <w:rPr>
          <w:rFonts w:ascii="Times New Roman" w:hAnsi="Times New Roman" w:cs="Times New Roman"/>
          <w:szCs w:val="22"/>
        </w:rPr>
        <w:t>rkohet</w:t>
      </w:r>
      <w:proofErr w:type="spellEnd"/>
      <w:r w:rsidRPr="00817921">
        <w:rPr>
          <w:rFonts w:ascii="Times New Roman" w:hAnsi="Times New Roman" w:cs="Times New Roman"/>
          <w:szCs w:val="22"/>
        </w:rPr>
        <w:t xml:space="preserve"> t</w:t>
      </w:r>
      <w:r w:rsidR="009A5A0E" w:rsidRPr="00817921">
        <w:rPr>
          <w:rFonts w:ascii="Times New Roman" w:hAnsi="Times New Roman" w:cs="Times New Roman"/>
          <w:szCs w:val="22"/>
        </w:rPr>
        <w:t>ë</w:t>
      </w:r>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forcohet</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dialogu</w:t>
      </w:r>
      <w:proofErr w:type="spellEnd"/>
      <w:r w:rsidR="00CF1E7A" w:rsidRPr="00817921">
        <w:rPr>
          <w:rFonts w:ascii="Times New Roman" w:hAnsi="Times New Roman" w:cs="Times New Roman"/>
          <w:szCs w:val="22"/>
        </w:rPr>
        <w:t xml:space="preserve"> me </w:t>
      </w:r>
      <w:proofErr w:type="spellStart"/>
      <w:r w:rsidR="00CF1E7A" w:rsidRPr="00817921">
        <w:rPr>
          <w:rFonts w:ascii="Times New Roman" w:hAnsi="Times New Roman" w:cs="Times New Roman"/>
          <w:szCs w:val="22"/>
        </w:rPr>
        <w:t>Ballkanin</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Perëndimor</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zbatuar</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shtyllën</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Evropiane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Drejtat</w:t>
      </w:r>
      <w:proofErr w:type="spellEnd"/>
      <w:r w:rsidR="00CF1E7A" w:rsidRPr="00817921">
        <w:rPr>
          <w:rFonts w:ascii="Times New Roman" w:hAnsi="Times New Roman" w:cs="Times New Roman"/>
          <w:szCs w:val="22"/>
        </w:rPr>
        <w:t xml:space="preserve"> Sociale</w:t>
      </w:r>
      <w:r w:rsidRPr="00817921">
        <w:rPr>
          <w:rFonts w:ascii="Times New Roman" w:hAnsi="Times New Roman" w:cs="Times New Roman"/>
          <w:szCs w:val="22"/>
        </w:rPr>
        <w:t xml:space="preserve"> dhe t</w:t>
      </w:r>
      <w:r w:rsidR="009A5A0E" w:rsidRPr="00817921">
        <w:rPr>
          <w:rFonts w:ascii="Times New Roman" w:hAnsi="Times New Roman" w:cs="Times New Roman"/>
          <w:szCs w:val="22"/>
        </w:rPr>
        <w:t>ë</w:t>
      </w:r>
      <w:r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përshpejto</w:t>
      </w:r>
      <w:r w:rsidRPr="00817921">
        <w:rPr>
          <w:rFonts w:ascii="Times New Roman" w:hAnsi="Times New Roman" w:cs="Times New Roman"/>
          <w:szCs w:val="22"/>
        </w:rPr>
        <w:t>het</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zbatimi</w:t>
      </w:r>
      <w:proofErr w:type="spellEnd"/>
      <w:r w:rsidRPr="00817921">
        <w:rPr>
          <w:rFonts w:ascii="Times New Roman" w:hAnsi="Times New Roman" w:cs="Times New Roman"/>
          <w:szCs w:val="22"/>
        </w:rPr>
        <w:t xml:space="preserve"> </w:t>
      </w:r>
      <w:r w:rsidR="00B555A9">
        <w:rPr>
          <w:rFonts w:ascii="Times New Roman" w:hAnsi="Times New Roman" w:cs="Times New Roman"/>
          <w:szCs w:val="22"/>
        </w:rPr>
        <w:t>i</w:t>
      </w:r>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reforma</w:t>
      </w:r>
      <w:r w:rsidRPr="00817921">
        <w:rPr>
          <w:rFonts w:ascii="Times New Roman" w:hAnsi="Times New Roman" w:cs="Times New Roman"/>
          <w:szCs w:val="22"/>
        </w:rPr>
        <w:t>ve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prioritare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në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Programin</w:t>
      </w:r>
      <w:proofErr w:type="spellEnd"/>
      <w:r w:rsidR="00CF1E7A" w:rsidRPr="00817921">
        <w:rPr>
          <w:rFonts w:ascii="Times New Roman" w:hAnsi="Times New Roman" w:cs="Times New Roman"/>
          <w:szCs w:val="22"/>
        </w:rPr>
        <w:t xml:space="preserve"> e </w:t>
      </w:r>
      <w:proofErr w:type="spellStart"/>
      <w:r w:rsidR="00CF1E7A" w:rsidRPr="00817921">
        <w:rPr>
          <w:rFonts w:ascii="Times New Roman" w:hAnsi="Times New Roman" w:cs="Times New Roman"/>
          <w:szCs w:val="22"/>
        </w:rPr>
        <w:t>Reformës</w:t>
      </w:r>
      <w:proofErr w:type="spellEnd"/>
      <w:r w:rsidR="00CF1E7A" w:rsidRPr="00817921">
        <w:rPr>
          <w:rFonts w:ascii="Times New Roman" w:hAnsi="Times New Roman" w:cs="Times New Roman"/>
          <w:szCs w:val="22"/>
        </w:rPr>
        <w:t xml:space="preserve"> Ekonomike të </w:t>
      </w:r>
      <w:proofErr w:type="spellStart"/>
      <w:r w:rsidR="00AB4D37">
        <w:rPr>
          <w:rFonts w:ascii="Times New Roman" w:hAnsi="Times New Roman" w:cs="Times New Roman"/>
          <w:szCs w:val="22"/>
        </w:rPr>
        <w:t>çdo</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vendi</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në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fush</w:t>
      </w:r>
      <w:r w:rsidR="009A5A0E" w:rsidRPr="00817921">
        <w:rPr>
          <w:rFonts w:ascii="Times New Roman" w:hAnsi="Times New Roman" w:cs="Times New Roman"/>
          <w:szCs w:val="22"/>
        </w:rPr>
        <w:t>ë</w:t>
      </w:r>
      <w:r w:rsidRPr="00817921">
        <w:rPr>
          <w:rFonts w:ascii="Times New Roman" w:hAnsi="Times New Roman" w:cs="Times New Roman"/>
          <w:szCs w:val="22"/>
        </w:rPr>
        <w:t>n</w:t>
      </w:r>
      <w:proofErr w:type="spellEnd"/>
      <w:r w:rsidR="00CF1E7A" w:rsidRPr="00817921">
        <w:rPr>
          <w:rFonts w:ascii="Times New Roman" w:hAnsi="Times New Roman" w:cs="Times New Roman"/>
          <w:szCs w:val="22"/>
        </w:rPr>
        <w:t xml:space="preserve"> e arsimit dhe </w:t>
      </w:r>
      <w:proofErr w:type="spellStart"/>
      <w:r w:rsidR="00CF1E7A" w:rsidRPr="00817921">
        <w:rPr>
          <w:rFonts w:ascii="Times New Roman" w:hAnsi="Times New Roman" w:cs="Times New Roman"/>
          <w:szCs w:val="22"/>
        </w:rPr>
        <w:t>aftësive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punësimit</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mbrojtjes</w:t>
      </w:r>
      <w:proofErr w:type="spellEnd"/>
      <w:r w:rsidR="00CF1E7A" w:rsidRPr="00817921">
        <w:rPr>
          <w:rFonts w:ascii="Times New Roman" w:hAnsi="Times New Roman" w:cs="Times New Roman"/>
          <w:szCs w:val="22"/>
        </w:rPr>
        <w:t xml:space="preserve"> dhe </w:t>
      </w:r>
      <w:proofErr w:type="spellStart"/>
      <w:r w:rsidR="00CF1E7A" w:rsidRPr="00817921">
        <w:rPr>
          <w:rFonts w:ascii="Times New Roman" w:hAnsi="Times New Roman" w:cs="Times New Roman"/>
          <w:szCs w:val="22"/>
        </w:rPr>
        <w:t>përfshirjes</w:t>
      </w:r>
      <w:proofErr w:type="spellEnd"/>
      <w:r w:rsidR="00CF1E7A" w:rsidRPr="00817921">
        <w:rPr>
          <w:rFonts w:ascii="Times New Roman" w:hAnsi="Times New Roman" w:cs="Times New Roman"/>
          <w:szCs w:val="22"/>
        </w:rPr>
        <w:t xml:space="preserve"> sociale</w:t>
      </w:r>
      <w:r w:rsidRPr="00817921">
        <w:rPr>
          <w:rFonts w:ascii="Times New Roman" w:hAnsi="Times New Roman" w:cs="Times New Roman"/>
          <w:szCs w:val="22"/>
        </w:rPr>
        <w:t xml:space="preserve">; (iii) </w:t>
      </w:r>
      <w:proofErr w:type="spellStart"/>
      <w:r w:rsidR="00CF1E7A" w:rsidRPr="00817921">
        <w:rPr>
          <w:rFonts w:ascii="Times New Roman" w:hAnsi="Times New Roman" w:cs="Times New Roman"/>
          <w:b/>
          <w:bCs/>
          <w:szCs w:val="22"/>
        </w:rPr>
        <w:t>Strategjia</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Evropiane</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për</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Kujdesin</w:t>
      </w:r>
      <w:proofErr w:type="spellEnd"/>
      <w:r w:rsidRPr="00817921">
        <w:rPr>
          <w:rStyle w:val="FootnoteReference"/>
          <w:rFonts w:ascii="Times New Roman" w:hAnsi="Times New Roman" w:cs="Times New Roman"/>
          <w:b/>
          <w:bCs/>
          <w:szCs w:val="22"/>
        </w:rPr>
        <w:footnoteReference w:id="91"/>
      </w:r>
      <w:r w:rsidR="00CF1E7A" w:rsidRPr="00817921">
        <w:rPr>
          <w:rFonts w:ascii="Times New Roman" w:hAnsi="Times New Roman" w:cs="Times New Roman"/>
          <w:b/>
          <w:bCs/>
          <w:szCs w:val="22"/>
        </w:rPr>
        <w:t xml:space="preserve"> </w:t>
      </w:r>
      <w:proofErr w:type="spellStart"/>
      <w:r w:rsidRPr="00817921">
        <w:rPr>
          <w:rFonts w:ascii="Times New Roman" w:hAnsi="Times New Roman" w:cs="Times New Roman"/>
          <w:szCs w:val="22"/>
        </w:rPr>
        <w:t>q</w:t>
      </w:r>
      <w:r w:rsidR="009A5A0E" w:rsidRPr="00817921">
        <w:rPr>
          <w:rFonts w:ascii="Times New Roman" w:hAnsi="Times New Roman" w:cs="Times New Roman"/>
          <w:szCs w:val="22"/>
        </w:rPr>
        <w:t>ë</w:t>
      </w:r>
      <w:proofErr w:type="spellEnd"/>
      <w:r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synon</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sigurojë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shërbime</w:t>
      </w:r>
      <w:proofErr w:type="spellEnd"/>
      <w:r w:rsidR="00CF1E7A" w:rsidRPr="00817921">
        <w:rPr>
          <w:rFonts w:ascii="Times New Roman" w:hAnsi="Times New Roman" w:cs="Times New Roman"/>
          <w:szCs w:val="22"/>
        </w:rPr>
        <w:t xml:space="preserve"> me </w:t>
      </w:r>
      <w:proofErr w:type="spellStart"/>
      <w:r w:rsidR="00CF1E7A" w:rsidRPr="00817921">
        <w:rPr>
          <w:rFonts w:ascii="Times New Roman" w:hAnsi="Times New Roman" w:cs="Times New Roman"/>
          <w:szCs w:val="22"/>
        </w:rPr>
        <w:t>cilësi</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lartë</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mjaftueshme</w:t>
      </w:r>
      <w:proofErr w:type="spellEnd"/>
      <w:r w:rsidR="00CF1E7A" w:rsidRPr="00817921">
        <w:rPr>
          <w:rFonts w:ascii="Times New Roman" w:hAnsi="Times New Roman" w:cs="Times New Roman"/>
          <w:szCs w:val="22"/>
        </w:rPr>
        <w:t xml:space="preserve"> ( affordable) dhe të </w:t>
      </w:r>
      <w:proofErr w:type="spellStart"/>
      <w:r w:rsidR="00CF1E7A" w:rsidRPr="00817921">
        <w:rPr>
          <w:rFonts w:ascii="Times New Roman" w:hAnsi="Times New Roman" w:cs="Times New Roman"/>
          <w:szCs w:val="22"/>
        </w:rPr>
        <w:t>aksesueshme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vendet</w:t>
      </w:r>
      <w:proofErr w:type="spellEnd"/>
      <w:r w:rsidR="00CF1E7A" w:rsidRPr="00817921">
        <w:rPr>
          <w:rFonts w:ascii="Times New Roman" w:hAnsi="Times New Roman" w:cs="Times New Roman"/>
          <w:szCs w:val="22"/>
        </w:rPr>
        <w:t xml:space="preserve"> e </w:t>
      </w:r>
      <w:proofErr w:type="spellStart"/>
      <w:r w:rsidR="00CF1E7A" w:rsidRPr="00817921">
        <w:rPr>
          <w:rFonts w:ascii="Times New Roman" w:hAnsi="Times New Roman" w:cs="Times New Roman"/>
          <w:szCs w:val="22"/>
        </w:rPr>
        <w:t>Unionit</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si</w:t>
      </w:r>
      <w:proofErr w:type="spellEnd"/>
      <w:r w:rsidR="00CF1E7A" w:rsidRPr="00817921">
        <w:rPr>
          <w:rFonts w:ascii="Times New Roman" w:hAnsi="Times New Roman" w:cs="Times New Roman"/>
          <w:szCs w:val="22"/>
        </w:rPr>
        <w:t xml:space="preserve"> dhe </w:t>
      </w:r>
      <w:proofErr w:type="spellStart"/>
      <w:r w:rsidR="00CF1E7A" w:rsidRPr="00817921">
        <w:rPr>
          <w:rFonts w:ascii="Times New Roman" w:hAnsi="Times New Roman" w:cs="Times New Roman"/>
          <w:szCs w:val="22"/>
        </w:rPr>
        <w:t>vendet</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aspiruese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w:t>
      </w:r>
      <w:proofErr w:type="spellEnd"/>
      <w:r w:rsidR="00CF1E7A" w:rsidRPr="00817921">
        <w:rPr>
          <w:rFonts w:ascii="Times New Roman" w:hAnsi="Times New Roman" w:cs="Times New Roman"/>
          <w:szCs w:val="22"/>
        </w:rPr>
        <w:t xml:space="preserve"> t</w:t>
      </w:r>
      <w:r w:rsidRPr="00817921">
        <w:rPr>
          <w:rFonts w:ascii="Times New Roman" w:hAnsi="Times New Roman" w:cs="Times New Roman"/>
          <w:szCs w:val="22"/>
        </w:rPr>
        <w:t>’</w:t>
      </w:r>
      <w:r w:rsidR="00CF1E7A" w:rsidRPr="00817921">
        <w:rPr>
          <w:rFonts w:ascii="Times New Roman" w:hAnsi="Times New Roman" w:cs="Times New Roman"/>
          <w:szCs w:val="22"/>
        </w:rPr>
        <w:t xml:space="preserve">u </w:t>
      </w:r>
      <w:proofErr w:type="spellStart"/>
      <w:r w:rsidR="00CF1E7A" w:rsidRPr="00817921">
        <w:rPr>
          <w:rFonts w:ascii="Times New Roman" w:hAnsi="Times New Roman" w:cs="Times New Roman"/>
          <w:szCs w:val="22"/>
        </w:rPr>
        <w:t>anëtarësuar</w:t>
      </w:r>
      <w:proofErr w:type="spellEnd"/>
      <w:r w:rsidR="00CF1E7A" w:rsidRPr="00817921">
        <w:rPr>
          <w:rFonts w:ascii="Times New Roman" w:hAnsi="Times New Roman" w:cs="Times New Roman"/>
          <w:szCs w:val="22"/>
        </w:rPr>
        <w:t xml:space="preserve"> </w:t>
      </w:r>
      <w:r w:rsidRPr="00817921">
        <w:rPr>
          <w:rFonts w:ascii="Times New Roman" w:hAnsi="Times New Roman" w:cs="Times New Roman"/>
          <w:szCs w:val="22"/>
        </w:rPr>
        <w:t xml:space="preserve">; (iv) </w:t>
      </w:r>
      <w:proofErr w:type="spellStart"/>
      <w:r w:rsidRPr="00817921">
        <w:rPr>
          <w:rFonts w:ascii="Times New Roman" w:hAnsi="Times New Roman" w:cs="Times New Roman"/>
          <w:b/>
          <w:bCs/>
          <w:szCs w:val="22"/>
        </w:rPr>
        <w:t>Strategjia</w:t>
      </w:r>
      <w:proofErr w:type="spellEnd"/>
      <w:r w:rsidRPr="00817921">
        <w:rPr>
          <w:rFonts w:ascii="Times New Roman" w:hAnsi="Times New Roman" w:cs="Times New Roman"/>
          <w:b/>
          <w:bCs/>
          <w:szCs w:val="22"/>
        </w:rPr>
        <w:t xml:space="preserve"> </w:t>
      </w:r>
      <w:proofErr w:type="spellStart"/>
      <w:r w:rsidRPr="00817921">
        <w:rPr>
          <w:rFonts w:ascii="Times New Roman" w:hAnsi="Times New Roman" w:cs="Times New Roman"/>
          <w:b/>
          <w:bCs/>
          <w:szCs w:val="22"/>
        </w:rPr>
        <w:t>Evropiane</w:t>
      </w:r>
      <w:proofErr w:type="spellEnd"/>
      <w:r w:rsidRPr="00817921">
        <w:rPr>
          <w:rFonts w:ascii="Times New Roman" w:hAnsi="Times New Roman" w:cs="Times New Roman"/>
          <w:b/>
          <w:bCs/>
          <w:szCs w:val="22"/>
        </w:rPr>
        <w:t xml:space="preserve"> </w:t>
      </w:r>
      <w:proofErr w:type="spellStart"/>
      <w:r w:rsidRPr="00817921">
        <w:rPr>
          <w:rFonts w:ascii="Times New Roman" w:hAnsi="Times New Roman" w:cs="Times New Roman"/>
          <w:b/>
          <w:bCs/>
          <w:szCs w:val="22"/>
        </w:rPr>
        <w:t>për</w:t>
      </w:r>
      <w:proofErr w:type="spellEnd"/>
      <w:r w:rsidRPr="00817921">
        <w:rPr>
          <w:rFonts w:ascii="Times New Roman" w:hAnsi="Times New Roman" w:cs="Times New Roman"/>
          <w:b/>
          <w:bCs/>
          <w:szCs w:val="22"/>
        </w:rPr>
        <w:t xml:space="preserve"> të </w:t>
      </w:r>
      <w:proofErr w:type="spellStart"/>
      <w:r w:rsidRPr="00817921">
        <w:rPr>
          <w:rFonts w:ascii="Times New Roman" w:hAnsi="Times New Roman" w:cs="Times New Roman"/>
          <w:b/>
          <w:bCs/>
          <w:szCs w:val="22"/>
        </w:rPr>
        <w:t>Drejtat</w:t>
      </w:r>
      <w:proofErr w:type="spellEnd"/>
      <w:r w:rsidRPr="00817921">
        <w:rPr>
          <w:rFonts w:ascii="Times New Roman" w:hAnsi="Times New Roman" w:cs="Times New Roman"/>
          <w:b/>
          <w:bCs/>
          <w:szCs w:val="22"/>
        </w:rPr>
        <w:t xml:space="preserve"> e </w:t>
      </w:r>
      <w:proofErr w:type="spellStart"/>
      <w:r w:rsidRPr="00817921">
        <w:rPr>
          <w:rFonts w:ascii="Times New Roman" w:hAnsi="Times New Roman" w:cs="Times New Roman"/>
          <w:b/>
          <w:bCs/>
          <w:szCs w:val="22"/>
        </w:rPr>
        <w:t>Fëmijës</w:t>
      </w:r>
      <w:proofErr w:type="spellEnd"/>
      <w:r w:rsidRPr="00817921">
        <w:rPr>
          <w:rFonts w:ascii="Times New Roman" w:hAnsi="Times New Roman" w:cs="Times New Roman"/>
          <w:b/>
          <w:bCs/>
          <w:szCs w:val="22"/>
        </w:rPr>
        <w:t xml:space="preserve"> dhe </w:t>
      </w:r>
      <w:proofErr w:type="spellStart"/>
      <w:r w:rsidRPr="00817921">
        <w:rPr>
          <w:rFonts w:ascii="Times New Roman" w:hAnsi="Times New Roman" w:cs="Times New Roman"/>
          <w:b/>
          <w:bCs/>
          <w:szCs w:val="22"/>
        </w:rPr>
        <w:t>Garancia</w:t>
      </w:r>
      <w:proofErr w:type="spellEnd"/>
      <w:r w:rsidRPr="00817921">
        <w:rPr>
          <w:rFonts w:ascii="Times New Roman" w:hAnsi="Times New Roman" w:cs="Times New Roman"/>
          <w:b/>
          <w:bCs/>
          <w:szCs w:val="22"/>
        </w:rPr>
        <w:t xml:space="preserve"> </w:t>
      </w:r>
      <w:proofErr w:type="spellStart"/>
      <w:r w:rsidRPr="00817921">
        <w:rPr>
          <w:rFonts w:ascii="Times New Roman" w:hAnsi="Times New Roman" w:cs="Times New Roman"/>
          <w:b/>
          <w:bCs/>
          <w:szCs w:val="22"/>
        </w:rPr>
        <w:t>për</w:t>
      </w:r>
      <w:proofErr w:type="spellEnd"/>
      <w:r w:rsidRPr="00817921">
        <w:rPr>
          <w:rFonts w:ascii="Times New Roman" w:hAnsi="Times New Roman" w:cs="Times New Roman"/>
          <w:b/>
          <w:bCs/>
          <w:szCs w:val="22"/>
        </w:rPr>
        <w:t xml:space="preserve"> </w:t>
      </w:r>
      <w:proofErr w:type="spellStart"/>
      <w:r w:rsidRPr="00817921">
        <w:rPr>
          <w:rFonts w:ascii="Times New Roman" w:hAnsi="Times New Roman" w:cs="Times New Roman"/>
          <w:b/>
          <w:bCs/>
          <w:szCs w:val="22"/>
        </w:rPr>
        <w:t>Fëmijën</w:t>
      </w:r>
      <w:proofErr w:type="spellEnd"/>
      <w:r w:rsidRPr="00817921">
        <w:rPr>
          <w:rStyle w:val="FootnoteReference"/>
          <w:rFonts w:ascii="Times New Roman" w:hAnsi="Times New Roman" w:cs="Times New Roman"/>
          <w:b/>
          <w:bCs/>
          <w:szCs w:val="22"/>
        </w:rPr>
        <w:footnoteReference w:id="92"/>
      </w:r>
      <w:r w:rsidR="00435961" w:rsidRPr="00817921">
        <w:rPr>
          <w:rFonts w:ascii="Times New Roman" w:hAnsi="Times New Roman" w:cs="Times New Roman"/>
          <w:b/>
          <w:bCs/>
          <w:szCs w:val="22"/>
        </w:rPr>
        <w:t xml:space="preserve"> </w:t>
      </w:r>
      <w:proofErr w:type="spellStart"/>
      <w:r w:rsidR="00435961" w:rsidRPr="00817921">
        <w:rPr>
          <w:rFonts w:ascii="Times New Roman" w:hAnsi="Times New Roman" w:cs="Times New Roman"/>
          <w:szCs w:val="22"/>
        </w:rPr>
        <w:t>q</w:t>
      </w:r>
      <w:r w:rsidR="009A5A0E" w:rsidRPr="00817921">
        <w:rPr>
          <w:rFonts w:ascii="Times New Roman" w:hAnsi="Times New Roman" w:cs="Times New Roman"/>
          <w:szCs w:val="22"/>
        </w:rPr>
        <w:t>ë</w:t>
      </w:r>
      <w:proofErr w:type="spellEnd"/>
      <w:r w:rsidR="00435961"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synon</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thyejë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ciklin</w:t>
      </w:r>
      <w:proofErr w:type="spellEnd"/>
      <w:r w:rsidR="00CF1E7A" w:rsidRPr="00817921">
        <w:rPr>
          <w:rFonts w:ascii="Times New Roman" w:hAnsi="Times New Roman" w:cs="Times New Roman"/>
          <w:szCs w:val="22"/>
        </w:rPr>
        <w:t xml:space="preserve"> e </w:t>
      </w:r>
      <w:proofErr w:type="spellStart"/>
      <w:r w:rsidR="00CF1E7A" w:rsidRPr="00817921">
        <w:rPr>
          <w:rFonts w:ascii="Times New Roman" w:hAnsi="Times New Roman" w:cs="Times New Roman"/>
          <w:szCs w:val="22"/>
        </w:rPr>
        <w:t>varfërisë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ndërbrezore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përjashtimin</w:t>
      </w:r>
      <w:proofErr w:type="spellEnd"/>
      <w:r w:rsidR="00CF1E7A" w:rsidRPr="00817921">
        <w:rPr>
          <w:rFonts w:ascii="Times New Roman" w:hAnsi="Times New Roman" w:cs="Times New Roman"/>
          <w:szCs w:val="22"/>
        </w:rPr>
        <w:t xml:space="preserve"> social </w:t>
      </w:r>
      <w:proofErr w:type="spellStart"/>
      <w:r w:rsidR="00CF1E7A" w:rsidRPr="00817921">
        <w:rPr>
          <w:rFonts w:ascii="Times New Roman" w:hAnsi="Times New Roman" w:cs="Times New Roman"/>
          <w:szCs w:val="22"/>
        </w:rPr>
        <w:t>si</w:t>
      </w:r>
      <w:proofErr w:type="spellEnd"/>
      <w:r w:rsidR="00CF1E7A" w:rsidRPr="00817921">
        <w:rPr>
          <w:rFonts w:ascii="Times New Roman" w:hAnsi="Times New Roman" w:cs="Times New Roman"/>
          <w:szCs w:val="22"/>
        </w:rPr>
        <w:t xml:space="preserve"> dhe </w:t>
      </w:r>
      <w:proofErr w:type="spellStart"/>
      <w:r w:rsidR="00CF1E7A" w:rsidRPr="00817921">
        <w:rPr>
          <w:rFonts w:ascii="Times New Roman" w:hAnsi="Times New Roman" w:cs="Times New Roman"/>
          <w:szCs w:val="22"/>
        </w:rPr>
        <w:t>promovon</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drejtat</w:t>
      </w:r>
      <w:proofErr w:type="spellEnd"/>
      <w:r w:rsidR="00CF1E7A" w:rsidRPr="00817921">
        <w:rPr>
          <w:rFonts w:ascii="Times New Roman" w:hAnsi="Times New Roman" w:cs="Times New Roman"/>
          <w:szCs w:val="22"/>
        </w:rPr>
        <w:t xml:space="preserve"> dhe </w:t>
      </w:r>
      <w:proofErr w:type="spellStart"/>
      <w:r w:rsidR="00CF1E7A" w:rsidRPr="00817921">
        <w:rPr>
          <w:rFonts w:ascii="Times New Roman" w:hAnsi="Times New Roman" w:cs="Times New Roman"/>
          <w:szCs w:val="22"/>
        </w:rPr>
        <w:t>mirëqënien</w:t>
      </w:r>
      <w:proofErr w:type="spellEnd"/>
      <w:r w:rsidR="00CF1E7A" w:rsidRPr="00817921">
        <w:rPr>
          <w:rFonts w:ascii="Times New Roman" w:hAnsi="Times New Roman" w:cs="Times New Roman"/>
          <w:szCs w:val="22"/>
        </w:rPr>
        <w:t xml:space="preserve"> e </w:t>
      </w:r>
      <w:proofErr w:type="spellStart"/>
      <w:r w:rsidR="00CF1E7A" w:rsidRPr="00817921">
        <w:rPr>
          <w:rFonts w:ascii="Times New Roman" w:hAnsi="Times New Roman" w:cs="Times New Roman"/>
          <w:szCs w:val="22"/>
        </w:rPr>
        <w:t>fëmijëve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Kjo</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nismë</w:t>
      </w:r>
      <w:proofErr w:type="spellEnd"/>
      <w:r w:rsidR="00CF1E7A" w:rsidRPr="00817921">
        <w:rPr>
          <w:rFonts w:ascii="Times New Roman" w:hAnsi="Times New Roman" w:cs="Times New Roman"/>
          <w:szCs w:val="22"/>
        </w:rPr>
        <w:t xml:space="preserve"> e re e </w:t>
      </w:r>
      <w:proofErr w:type="spellStart"/>
      <w:r w:rsidR="00CF1E7A" w:rsidRPr="00817921">
        <w:rPr>
          <w:rFonts w:ascii="Times New Roman" w:hAnsi="Times New Roman" w:cs="Times New Roman"/>
          <w:szCs w:val="22"/>
        </w:rPr>
        <w:t>BE-së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synon</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plotësojë</w:t>
      </w:r>
      <w:proofErr w:type="spellEnd"/>
      <w:r w:rsidR="00CF1E7A" w:rsidRPr="00817921">
        <w:rPr>
          <w:rFonts w:ascii="Times New Roman" w:hAnsi="Times New Roman" w:cs="Times New Roman"/>
          <w:szCs w:val="22"/>
        </w:rPr>
        <w:t xml:space="preserve"> dhe </w:t>
      </w:r>
      <w:proofErr w:type="spellStart"/>
      <w:r w:rsidR="00CF1E7A" w:rsidRPr="00817921">
        <w:rPr>
          <w:rFonts w:ascii="Times New Roman" w:hAnsi="Times New Roman" w:cs="Times New Roman"/>
          <w:szCs w:val="22"/>
        </w:rPr>
        <w:t>ndërmarë</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veprime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konkrete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realizimin</w:t>
      </w:r>
      <w:proofErr w:type="spellEnd"/>
      <w:r w:rsidR="00CF1E7A" w:rsidRPr="00817921">
        <w:rPr>
          <w:rFonts w:ascii="Times New Roman" w:hAnsi="Times New Roman" w:cs="Times New Roman"/>
          <w:szCs w:val="22"/>
        </w:rPr>
        <w:t xml:space="preserve"> e </w:t>
      </w:r>
      <w:proofErr w:type="spellStart"/>
      <w:r w:rsidR="00CF1E7A" w:rsidRPr="00817921">
        <w:rPr>
          <w:rFonts w:ascii="Times New Roman" w:hAnsi="Times New Roman" w:cs="Times New Roman"/>
          <w:szCs w:val="22"/>
        </w:rPr>
        <w:t>parimit</w:t>
      </w:r>
      <w:proofErr w:type="spellEnd"/>
      <w:r w:rsidR="00CF1E7A" w:rsidRPr="00817921">
        <w:rPr>
          <w:rFonts w:ascii="Times New Roman" w:hAnsi="Times New Roman" w:cs="Times New Roman"/>
          <w:szCs w:val="22"/>
        </w:rPr>
        <w:t xml:space="preserve"> 11 të </w:t>
      </w:r>
      <w:proofErr w:type="spellStart"/>
      <w:r w:rsidR="00CF1E7A" w:rsidRPr="00817921">
        <w:rPr>
          <w:rFonts w:ascii="Times New Roman" w:hAnsi="Times New Roman" w:cs="Times New Roman"/>
          <w:szCs w:val="22"/>
        </w:rPr>
        <w:t>Shtyllës</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Evropiane</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w:t>
      </w:r>
      <w:proofErr w:type="spellEnd"/>
      <w:r w:rsidR="00CF1E7A" w:rsidRPr="00817921">
        <w:rPr>
          <w:rFonts w:ascii="Times New Roman" w:hAnsi="Times New Roman" w:cs="Times New Roman"/>
          <w:szCs w:val="22"/>
        </w:rPr>
        <w:t xml:space="preserve"> të </w:t>
      </w:r>
      <w:proofErr w:type="spellStart"/>
      <w:r w:rsidR="00CF1E7A" w:rsidRPr="00817921">
        <w:rPr>
          <w:rFonts w:ascii="Times New Roman" w:hAnsi="Times New Roman" w:cs="Times New Roman"/>
          <w:szCs w:val="22"/>
        </w:rPr>
        <w:t>Drejtat</w:t>
      </w:r>
      <w:proofErr w:type="spellEnd"/>
      <w:r w:rsidR="00CF1E7A" w:rsidRPr="00817921">
        <w:rPr>
          <w:rFonts w:ascii="Times New Roman" w:hAnsi="Times New Roman" w:cs="Times New Roman"/>
          <w:szCs w:val="22"/>
        </w:rPr>
        <w:t xml:space="preserve"> Sociale të </w:t>
      </w:r>
      <w:proofErr w:type="spellStart"/>
      <w:r w:rsidR="00CF1E7A" w:rsidRPr="00817921">
        <w:rPr>
          <w:rFonts w:ascii="Times New Roman" w:hAnsi="Times New Roman" w:cs="Times New Roman"/>
          <w:szCs w:val="22"/>
        </w:rPr>
        <w:t>lidhur</w:t>
      </w:r>
      <w:proofErr w:type="spellEnd"/>
      <w:r w:rsidR="00CF1E7A" w:rsidRPr="00817921">
        <w:rPr>
          <w:rFonts w:ascii="Times New Roman" w:hAnsi="Times New Roman" w:cs="Times New Roman"/>
          <w:szCs w:val="22"/>
        </w:rPr>
        <w:t xml:space="preserve"> me “</w:t>
      </w:r>
      <w:proofErr w:type="spellStart"/>
      <w:r w:rsidR="00CF1E7A" w:rsidRPr="00817921">
        <w:rPr>
          <w:rFonts w:ascii="Times New Roman" w:hAnsi="Times New Roman" w:cs="Times New Roman"/>
          <w:szCs w:val="22"/>
        </w:rPr>
        <w:t>Kujdesin</w:t>
      </w:r>
      <w:proofErr w:type="spellEnd"/>
      <w:r w:rsidR="00CF1E7A" w:rsidRPr="00817921">
        <w:rPr>
          <w:rFonts w:ascii="Times New Roman" w:hAnsi="Times New Roman" w:cs="Times New Roman"/>
          <w:szCs w:val="22"/>
        </w:rPr>
        <w:t xml:space="preserve"> dhe </w:t>
      </w:r>
      <w:proofErr w:type="spellStart"/>
      <w:r w:rsidR="00CF1E7A" w:rsidRPr="00817921">
        <w:rPr>
          <w:rFonts w:ascii="Times New Roman" w:hAnsi="Times New Roman" w:cs="Times New Roman"/>
          <w:szCs w:val="22"/>
        </w:rPr>
        <w:t>mbështetjen</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për</w:t>
      </w:r>
      <w:proofErr w:type="spellEnd"/>
      <w:r w:rsidR="00CF1E7A" w:rsidRPr="00817921">
        <w:rPr>
          <w:rFonts w:ascii="Times New Roman" w:hAnsi="Times New Roman" w:cs="Times New Roman"/>
          <w:szCs w:val="22"/>
        </w:rPr>
        <w:t xml:space="preserve"> </w:t>
      </w:r>
      <w:proofErr w:type="spellStart"/>
      <w:r w:rsidR="00CF1E7A" w:rsidRPr="00817921">
        <w:rPr>
          <w:rFonts w:ascii="Times New Roman" w:hAnsi="Times New Roman" w:cs="Times New Roman"/>
          <w:szCs w:val="22"/>
        </w:rPr>
        <w:t>fëmijët</w:t>
      </w:r>
      <w:proofErr w:type="spellEnd"/>
      <w:r w:rsidR="00CF1E7A" w:rsidRPr="00817921">
        <w:rPr>
          <w:rFonts w:ascii="Times New Roman" w:hAnsi="Times New Roman" w:cs="Times New Roman"/>
          <w:szCs w:val="22"/>
        </w:rPr>
        <w:t>”</w:t>
      </w:r>
      <w:r w:rsidR="00435961" w:rsidRPr="00817921">
        <w:rPr>
          <w:rFonts w:ascii="Times New Roman" w:hAnsi="Times New Roman" w:cs="Times New Roman"/>
          <w:szCs w:val="22"/>
        </w:rPr>
        <w:t xml:space="preserve">; (v) </w:t>
      </w:r>
      <w:proofErr w:type="spellStart"/>
      <w:r w:rsidR="00435961" w:rsidRPr="00817921">
        <w:rPr>
          <w:rFonts w:ascii="Times New Roman" w:hAnsi="Times New Roman" w:cs="Times New Roman"/>
          <w:b/>
          <w:bCs/>
          <w:szCs w:val="22"/>
        </w:rPr>
        <w:t>Strategjia</w:t>
      </w:r>
      <w:proofErr w:type="spellEnd"/>
      <w:r w:rsidR="00435961" w:rsidRPr="00817921">
        <w:rPr>
          <w:rFonts w:ascii="Times New Roman" w:hAnsi="Times New Roman" w:cs="Times New Roman"/>
          <w:b/>
          <w:bCs/>
          <w:szCs w:val="22"/>
        </w:rPr>
        <w:t xml:space="preserve"> </w:t>
      </w:r>
      <w:proofErr w:type="spellStart"/>
      <w:r w:rsidR="00435961" w:rsidRPr="00817921">
        <w:rPr>
          <w:rFonts w:ascii="Times New Roman" w:hAnsi="Times New Roman" w:cs="Times New Roman"/>
          <w:b/>
          <w:bCs/>
          <w:szCs w:val="22"/>
        </w:rPr>
        <w:t>për</w:t>
      </w:r>
      <w:proofErr w:type="spellEnd"/>
      <w:r w:rsidR="00435961" w:rsidRPr="00817921">
        <w:rPr>
          <w:rFonts w:ascii="Times New Roman" w:hAnsi="Times New Roman" w:cs="Times New Roman"/>
          <w:b/>
          <w:bCs/>
          <w:szCs w:val="22"/>
        </w:rPr>
        <w:t xml:space="preserve"> të </w:t>
      </w:r>
      <w:proofErr w:type="spellStart"/>
      <w:r w:rsidR="00435961" w:rsidRPr="00817921">
        <w:rPr>
          <w:rFonts w:ascii="Times New Roman" w:hAnsi="Times New Roman" w:cs="Times New Roman"/>
          <w:b/>
          <w:bCs/>
          <w:szCs w:val="22"/>
        </w:rPr>
        <w:t>Drejtat</w:t>
      </w:r>
      <w:proofErr w:type="spellEnd"/>
      <w:r w:rsidR="00435961" w:rsidRPr="00817921">
        <w:rPr>
          <w:rFonts w:ascii="Times New Roman" w:hAnsi="Times New Roman" w:cs="Times New Roman"/>
          <w:b/>
          <w:bCs/>
          <w:szCs w:val="22"/>
        </w:rPr>
        <w:t xml:space="preserve"> e </w:t>
      </w:r>
      <w:proofErr w:type="spellStart"/>
      <w:r w:rsidR="00435961" w:rsidRPr="00817921">
        <w:rPr>
          <w:rFonts w:ascii="Times New Roman" w:hAnsi="Times New Roman" w:cs="Times New Roman"/>
          <w:b/>
          <w:bCs/>
          <w:szCs w:val="22"/>
        </w:rPr>
        <w:t>Personave</w:t>
      </w:r>
      <w:proofErr w:type="spellEnd"/>
      <w:r w:rsidR="00435961" w:rsidRPr="00817921">
        <w:rPr>
          <w:rFonts w:ascii="Times New Roman" w:hAnsi="Times New Roman" w:cs="Times New Roman"/>
          <w:b/>
          <w:bCs/>
          <w:szCs w:val="22"/>
        </w:rPr>
        <w:t xml:space="preserve"> me </w:t>
      </w:r>
      <w:proofErr w:type="spellStart"/>
      <w:r w:rsidR="00435961" w:rsidRPr="00817921">
        <w:rPr>
          <w:rFonts w:ascii="Times New Roman" w:hAnsi="Times New Roman" w:cs="Times New Roman"/>
          <w:b/>
          <w:bCs/>
          <w:szCs w:val="22"/>
        </w:rPr>
        <w:t>Aftësi</w:t>
      </w:r>
      <w:proofErr w:type="spellEnd"/>
      <w:r w:rsidR="00435961" w:rsidRPr="00817921">
        <w:rPr>
          <w:rFonts w:ascii="Times New Roman" w:hAnsi="Times New Roman" w:cs="Times New Roman"/>
          <w:b/>
          <w:bCs/>
          <w:szCs w:val="22"/>
        </w:rPr>
        <w:t xml:space="preserve"> të </w:t>
      </w:r>
      <w:proofErr w:type="spellStart"/>
      <w:r w:rsidR="00435961" w:rsidRPr="00817921">
        <w:rPr>
          <w:rFonts w:ascii="Times New Roman" w:hAnsi="Times New Roman" w:cs="Times New Roman"/>
          <w:b/>
          <w:bCs/>
          <w:szCs w:val="22"/>
        </w:rPr>
        <w:t>Kufizuara</w:t>
      </w:r>
      <w:proofErr w:type="spellEnd"/>
      <w:r w:rsidR="00435961" w:rsidRPr="00817921">
        <w:rPr>
          <w:rFonts w:ascii="Times New Roman" w:hAnsi="Times New Roman" w:cs="Times New Roman"/>
          <w:b/>
          <w:bCs/>
          <w:szCs w:val="22"/>
        </w:rPr>
        <w:t xml:space="preserve"> 2021-2030</w:t>
      </w:r>
      <w:r w:rsidR="00435961" w:rsidRPr="00817921">
        <w:rPr>
          <w:rStyle w:val="FootnoteReference"/>
          <w:rFonts w:ascii="Times New Roman" w:hAnsi="Times New Roman" w:cs="Times New Roman"/>
          <w:b/>
          <w:bCs/>
          <w:szCs w:val="22"/>
        </w:rPr>
        <w:footnoteReference w:id="93"/>
      </w:r>
      <w:r w:rsidR="00435961" w:rsidRPr="00817921">
        <w:rPr>
          <w:rFonts w:ascii="Times New Roman" w:hAnsi="Times New Roman" w:cs="Times New Roman"/>
          <w:b/>
          <w:bCs/>
          <w:szCs w:val="22"/>
        </w:rPr>
        <w:t xml:space="preserve"> </w:t>
      </w:r>
      <w:proofErr w:type="spellStart"/>
      <w:r w:rsidR="00435961" w:rsidRPr="00817921">
        <w:rPr>
          <w:rFonts w:ascii="Times New Roman" w:hAnsi="Times New Roman" w:cs="Times New Roman"/>
          <w:szCs w:val="22"/>
        </w:rPr>
        <w:t>q</w:t>
      </w:r>
      <w:r w:rsidR="009A5A0E" w:rsidRPr="00817921">
        <w:rPr>
          <w:rFonts w:ascii="Times New Roman" w:hAnsi="Times New Roman" w:cs="Times New Roman"/>
          <w:szCs w:val="22"/>
        </w:rPr>
        <w:t>ë</w:t>
      </w:r>
      <w:proofErr w:type="spellEnd"/>
      <w:r w:rsidR="00435961" w:rsidRPr="00817921">
        <w:rPr>
          <w:rFonts w:ascii="Times New Roman" w:hAnsi="Times New Roman" w:cs="Times New Roman"/>
          <w:b/>
          <w:bCs/>
          <w:szCs w:val="22"/>
        </w:rPr>
        <w:t xml:space="preserve"> </w:t>
      </w:r>
      <w:proofErr w:type="spellStart"/>
      <w:r w:rsidR="00435961" w:rsidRPr="00817921">
        <w:rPr>
          <w:rFonts w:ascii="Times New Roman" w:hAnsi="Times New Roman" w:cs="Times New Roman"/>
          <w:szCs w:val="22"/>
        </w:rPr>
        <w:t>synon</w:t>
      </w:r>
      <w:proofErr w:type="spellEnd"/>
      <w:r w:rsidR="00435961" w:rsidRPr="00817921">
        <w:rPr>
          <w:rFonts w:ascii="Times New Roman" w:hAnsi="Times New Roman" w:cs="Times New Roman"/>
          <w:szCs w:val="22"/>
        </w:rPr>
        <w:t xml:space="preserve"> të </w:t>
      </w:r>
      <w:proofErr w:type="spellStart"/>
      <w:r w:rsidR="00435961" w:rsidRPr="00817921">
        <w:rPr>
          <w:rFonts w:ascii="Times New Roman" w:hAnsi="Times New Roman" w:cs="Times New Roman"/>
          <w:szCs w:val="22"/>
        </w:rPr>
        <w:t>promovjë</w:t>
      </w:r>
      <w:proofErr w:type="spellEnd"/>
      <w:r w:rsidR="00435961" w:rsidRPr="00817921">
        <w:rPr>
          <w:rFonts w:ascii="Times New Roman" w:hAnsi="Times New Roman" w:cs="Times New Roman"/>
          <w:szCs w:val="22"/>
        </w:rPr>
        <w:t xml:space="preserve"> të </w:t>
      </w:r>
      <w:proofErr w:type="spellStart"/>
      <w:r w:rsidR="00435961" w:rsidRPr="00817921">
        <w:rPr>
          <w:rFonts w:ascii="Times New Roman" w:hAnsi="Times New Roman" w:cs="Times New Roman"/>
          <w:szCs w:val="22"/>
        </w:rPr>
        <w:t>drejtat</w:t>
      </w:r>
      <w:proofErr w:type="spellEnd"/>
      <w:r w:rsidR="00435961" w:rsidRPr="00817921">
        <w:rPr>
          <w:rFonts w:ascii="Times New Roman" w:hAnsi="Times New Roman" w:cs="Times New Roman"/>
          <w:szCs w:val="22"/>
        </w:rPr>
        <w:t xml:space="preserve"> e </w:t>
      </w:r>
      <w:proofErr w:type="spellStart"/>
      <w:r w:rsidR="00435961" w:rsidRPr="00817921">
        <w:rPr>
          <w:rFonts w:ascii="Times New Roman" w:hAnsi="Times New Roman" w:cs="Times New Roman"/>
          <w:szCs w:val="22"/>
        </w:rPr>
        <w:t>përsonave</w:t>
      </w:r>
      <w:proofErr w:type="spellEnd"/>
      <w:r w:rsidR="00435961" w:rsidRPr="00817921">
        <w:rPr>
          <w:rFonts w:ascii="Times New Roman" w:hAnsi="Times New Roman" w:cs="Times New Roman"/>
          <w:szCs w:val="22"/>
        </w:rPr>
        <w:t xml:space="preserve"> me </w:t>
      </w:r>
      <w:proofErr w:type="spellStart"/>
      <w:r w:rsidR="00435961" w:rsidRPr="00817921">
        <w:rPr>
          <w:rFonts w:ascii="Times New Roman" w:hAnsi="Times New Roman" w:cs="Times New Roman"/>
          <w:szCs w:val="22"/>
        </w:rPr>
        <w:t>aftësi</w:t>
      </w:r>
      <w:proofErr w:type="spellEnd"/>
      <w:r w:rsidR="00435961" w:rsidRPr="00817921">
        <w:rPr>
          <w:rFonts w:ascii="Times New Roman" w:hAnsi="Times New Roman" w:cs="Times New Roman"/>
          <w:szCs w:val="22"/>
        </w:rPr>
        <w:t xml:space="preserve"> të </w:t>
      </w:r>
      <w:proofErr w:type="spellStart"/>
      <w:r w:rsidR="00435961" w:rsidRPr="00817921">
        <w:rPr>
          <w:rFonts w:ascii="Times New Roman" w:hAnsi="Times New Roman" w:cs="Times New Roman"/>
          <w:szCs w:val="22"/>
        </w:rPr>
        <w:t>kufizuara</w:t>
      </w:r>
      <w:proofErr w:type="spellEnd"/>
      <w:r w:rsidR="00435961" w:rsidRPr="00817921">
        <w:rPr>
          <w:rFonts w:ascii="Times New Roman" w:hAnsi="Times New Roman" w:cs="Times New Roman"/>
          <w:szCs w:val="22"/>
        </w:rPr>
        <w:t xml:space="preserve"> dhe të </w:t>
      </w:r>
      <w:proofErr w:type="spellStart"/>
      <w:r w:rsidR="00435961" w:rsidRPr="00817921">
        <w:rPr>
          <w:rFonts w:ascii="Times New Roman" w:hAnsi="Times New Roman" w:cs="Times New Roman"/>
          <w:szCs w:val="22"/>
        </w:rPr>
        <w:t>nxisë</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ndryshime</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konkrete</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përfshsirë</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ata</w:t>
      </w:r>
      <w:proofErr w:type="spellEnd"/>
      <w:r w:rsidR="00435961" w:rsidRPr="00817921">
        <w:rPr>
          <w:rFonts w:ascii="Times New Roman" w:hAnsi="Times New Roman" w:cs="Times New Roman"/>
          <w:szCs w:val="22"/>
        </w:rPr>
        <w:t xml:space="preserve"> me </w:t>
      </w:r>
      <w:proofErr w:type="spellStart"/>
      <w:r w:rsidR="00435961" w:rsidRPr="00817921">
        <w:rPr>
          <w:rFonts w:ascii="Times New Roman" w:hAnsi="Times New Roman" w:cs="Times New Roman"/>
          <w:szCs w:val="22"/>
        </w:rPr>
        <w:t>aftësi</w:t>
      </w:r>
      <w:proofErr w:type="spellEnd"/>
      <w:r w:rsidR="00435961" w:rsidRPr="00817921">
        <w:rPr>
          <w:rFonts w:ascii="Times New Roman" w:hAnsi="Times New Roman" w:cs="Times New Roman"/>
          <w:szCs w:val="22"/>
        </w:rPr>
        <w:t xml:space="preserve"> të </w:t>
      </w:r>
      <w:proofErr w:type="spellStart"/>
      <w:r w:rsidR="00435961" w:rsidRPr="00817921">
        <w:rPr>
          <w:rFonts w:ascii="Times New Roman" w:hAnsi="Times New Roman" w:cs="Times New Roman"/>
          <w:szCs w:val="22"/>
        </w:rPr>
        <w:t>kufizuara</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intelektuale</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përmes</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nismave</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që</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synojnë</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nxitjen</w:t>
      </w:r>
      <w:proofErr w:type="spellEnd"/>
      <w:r w:rsidR="00435961" w:rsidRPr="00817921">
        <w:rPr>
          <w:rFonts w:ascii="Times New Roman" w:hAnsi="Times New Roman" w:cs="Times New Roman"/>
          <w:szCs w:val="22"/>
        </w:rPr>
        <w:t xml:space="preserve"> e </w:t>
      </w:r>
      <w:proofErr w:type="spellStart"/>
      <w:r w:rsidR="00435961" w:rsidRPr="00817921">
        <w:rPr>
          <w:rFonts w:ascii="Times New Roman" w:hAnsi="Times New Roman" w:cs="Times New Roman"/>
          <w:szCs w:val="22"/>
        </w:rPr>
        <w:t>pjesëmarrjes</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në</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vendimarrje</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adresimin</w:t>
      </w:r>
      <w:proofErr w:type="spellEnd"/>
      <w:r w:rsidR="00435961" w:rsidRPr="00817921">
        <w:rPr>
          <w:rFonts w:ascii="Times New Roman" w:hAnsi="Times New Roman" w:cs="Times New Roman"/>
          <w:szCs w:val="22"/>
        </w:rPr>
        <w:t xml:space="preserve"> e </w:t>
      </w:r>
      <w:proofErr w:type="spellStart"/>
      <w:r w:rsidR="00435961" w:rsidRPr="00817921">
        <w:rPr>
          <w:rFonts w:ascii="Times New Roman" w:hAnsi="Times New Roman" w:cs="Times New Roman"/>
          <w:szCs w:val="22"/>
        </w:rPr>
        <w:t>dhunës</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ndaj</w:t>
      </w:r>
      <w:proofErr w:type="spellEnd"/>
      <w:r w:rsidR="00435961" w:rsidRPr="00817921">
        <w:rPr>
          <w:rFonts w:ascii="Times New Roman" w:hAnsi="Times New Roman" w:cs="Times New Roman"/>
          <w:szCs w:val="22"/>
        </w:rPr>
        <w:t xml:space="preserve"> grave me </w:t>
      </w:r>
      <w:proofErr w:type="spellStart"/>
      <w:r w:rsidR="00435961" w:rsidRPr="00817921">
        <w:rPr>
          <w:rFonts w:ascii="Times New Roman" w:hAnsi="Times New Roman" w:cs="Times New Roman"/>
          <w:szCs w:val="22"/>
        </w:rPr>
        <w:t>aftësi</w:t>
      </w:r>
      <w:proofErr w:type="spellEnd"/>
      <w:r w:rsidR="00435961" w:rsidRPr="00817921">
        <w:rPr>
          <w:rFonts w:ascii="Times New Roman" w:hAnsi="Times New Roman" w:cs="Times New Roman"/>
          <w:szCs w:val="22"/>
        </w:rPr>
        <w:t xml:space="preserve"> të </w:t>
      </w:r>
      <w:proofErr w:type="spellStart"/>
      <w:r w:rsidR="00435961" w:rsidRPr="00817921">
        <w:rPr>
          <w:rFonts w:ascii="Times New Roman" w:hAnsi="Times New Roman" w:cs="Times New Roman"/>
          <w:szCs w:val="22"/>
        </w:rPr>
        <w:t>kufizuara</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njohja</w:t>
      </w:r>
      <w:proofErr w:type="spellEnd"/>
      <w:r w:rsidR="00435961" w:rsidRPr="00817921">
        <w:rPr>
          <w:rFonts w:ascii="Times New Roman" w:hAnsi="Times New Roman" w:cs="Times New Roman"/>
          <w:szCs w:val="22"/>
        </w:rPr>
        <w:t xml:space="preserve"> e </w:t>
      </w:r>
      <w:proofErr w:type="spellStart"/>
      <w:r w:rsidR="00435961" w:rsidRPr="00817921">
        <w:rPr>
          <w:rFonts w:ascii="Times New Roman" w:hAnsi="Times New Roman" w:cs="Times New Roman"/>
          <w:szCs w:val="22"/>
        </w:rPr>
        <w:t>rolit</w:t>
      </w:r>
      <w:proofErr w:type="spellEnd"/>
      <w:r w:rsidR="00435961" w:rsidRPr="00817921">
        <w:rPr>
          <w:rFonts w:ascii="Times New Roman" w:hAnsi="Times New Roman" w:cs="Times New Roman"/>
          <w:szCs w:val="22"/>
        </w:rPr>
        <w:t xml:space="preserve"> të familjes </w:t>
      </w:r>
      <w:proofErr w:type="spellStart"/>
      <w:r w:rsidR="00435961" w:rsidRPr="00817921">
        <w:rPr>
          <w:rFonts w:ascii="Times New Roman" w:hAnsi="Times New Roman" w:cs="Times New Roman"/>
          <w:szCs w:val="22"/>
        </w:rPr>
        <w:t>në</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plotësimin</w:t>
      </w:r>
      <w:proofErr w:type="spellEnd"/>
      <w:r w:rsidR="00435961" w:rsidRPr="00817921">
        <w:rPr>
          <w:rFonts w:ascii="Times New Roman" w:hAnsi="Times New Roman" w:cs="Times New Roman"/>
          <w:szCs w:val="22"/>
        </w:rPr>
        <w:t xml:space="preserve"> e të </w:t>
      </w:r>
      <w:proofErr w:type="spellStart"/>
      <w:r w:rsidR="00435961" w:rsidRPr="00817921">
        <w:rPr>
          <w:rFonts w:ascii="Times New Roman" w:hAnsi="Times New Roman" w:cs="Times New Roman"/>
          <w:szCs w:val="22"/>
        </w:rPr>
        <w:t>drejtave</w:t>
      </w:r>
      <w:proofErr w:type="spellEnd"/>
      <w:r w:rsidR="00435961" w:rsidRPr="00817921">
        <w:rPr>
          <w:rFonts w:ascii="Times New Roman" w:hAnsi="Times New Roman" w:cs="Times New Roman"/>
          <w:szCs w:val="22"/>
        </w:rPr>
        <w:t xml:space="preserve"> dhe </w:t>
      </w:r>
      <w:proofErr w:type="spellStart"/>
      <w:r w:rsidR="00435961" w:rsidRPr="00817921">
        <w:rPr>
          <w:rFonts w:ascii="Times New Roman" w:hAnsi="Times New Roman" w:cs="Times New Roman"/>
          <w:szCs w:val="22"/>
        </w:rPr>
        <w:t>ofrimin</w:t>
      </w:r>
      <w:proofErr w:type="spellEnd"/>
      <w:r w:rsidR="00435961" w:rsidRPr="00817921">
        <w:rPr>
          <w:rFonts w:ascii="Times New Roman" w:hAnsi="Times New Roman" w:cs="Times New Roman"/>
          <w:szCs w:val="22"/>
        </w:rPr>
        <w:t xml:space="preserve"> e </w:t>
      </w:r>
      <w:proofErr w:type="spellStart"/>
      <w:r w:rsidR="00435961" w:rsidRPr="00817921">
        <w:rPr>
          <w:rFonts w:ascii="Times New Roman" w:hAnsi="Times New Roman" w:cs="Times New Roman"/>
          <w:szCs w:val="22"/>
        </w:rPr>
        <w:t>mbështetjes</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për</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personat</w:t>
      </w:r>
      <w:proofErr w:type="spellEnd"/>
      <w:r w:rsidR="00435961" w:rsidRPr="00817921">
        <w:rPr>
          <w:rFonts w:ascii="Times New Roman" w:hAnsi="Times New Roman" w:cs="Times New Roman"/>
          <w:szCs w:val="22"/>
        </w:rPr>
        <w:t xml:space="preserve"> me </w:t>
      </w:r>
      <w:proofErr w:type="spellStart"/>
      <w:r w:rsidR="00435961" w:rsidRPr="00817921">
        <w:rPr>
          <w:rFonts w:ascii="Times New Roman" w:hAnsi="Times New Roman" w:cs="Times New Roman"/>
          <w:szCs w:val="22"/>
        </w:rPr>
        <w:t>aftësi</w:t>
      </w:r>
      <w:proofErr w:type="spellEnd"/>
      <w:r w:rsidR="00435961" w:rsidRPr="00817921">
        <w:rPr>
          <w:rFonts w:ascii="Times New Roman" w:hAnsi="Times New Roman" w:cs="Times New Roman"/>
          <w:szCs w:val="22"/>
        </w:rPr>
        <w:t xml:space="preserve"> të </w:t>
      </w:r>
      <w:proofErr w:type="spellStart"/>
      <w:r w:rsidR="00435961" w:rsidRPr="00817921">
        <w:rPr>
          <w:rFonts w:ascii="Times New Roman" w:hAnsi="Times New Roman" w:cs="Times New Roman"/>
          <w:szCs w:val="22"/>
        </w:rPr>
        <w:t>kufizuara</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nxitjen</w:t>
      </w:r>
      <w:proofErr w:type="spellEnd"/>
      <w:r w:rsidR="00435961" w:rsidRPr="00817921">
        <w:rPr>
          <w:rFonts w:ascii="Times New Roman" w:hAnsi="Times New Roman" w:cs="Times New Roman"/>
          <w:szCs w:val="22"/>
        </w:rPr>
        <w:t xml:space="preserve"> e </w:t>
      </w:r>
      <w:proofErr w:type="spellStart"/>
      <w:r w:rsidR="00435961" w:rsidRPr="00817921">
        <w:rPr>
          <w:rFonts w:ascii="Times New Roman" w:hAnsi="Times New Roman" w:cs="Times New Roman"/>
          <w:szCs w:val="22"/>
        </w:rPr>
        <w:t>jetesës</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së</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pavarur</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identifikimi</w:t>
      </w:r>
      <w:proofErr w:type="spellEnd"/>
      <w:r w:rsidR="00435961" w:rsidRPr="00817921">
        <w:rPr>
          <w:rFonts w:ascii="Times New Roman" w:hAnsi="Times New Roman" w:cs="Times New Roman"/>
          <w:szCs w:val="22"/>
        </w:rPr>
        <w:t xml:space="preserve"> i </w:t>
      </w:r>
      <w:proofErr w:type="spellStart"/>
      <w:r w:rsidR="00435961" w:rsidRPr="00817921">
        <w:rPr>
          <w:rFonts w:ascii="Times New Roman" w:hAnsi="Times New Roman" w:cs="Times New Roman"/>
          <w:szCs w:val="22"/>
        </w:rPr>
        <w:t>hershëm</w:t>
      </w:r>
      <w:proofErr w:type="spellEnd"/>
      <w:r w:rsidR="00435961" w:rsidRPr="00817921">
        <w:rPr>
          <w:rFonts w:ascii="Times New Roman" w:hAnsi="Times New Roman" w:cs="Times New Roman"/>
          <w:szCs w:val="22"/>
        </w:rPr>
        <w:t xml:space="preserve"> dhe </w:t>
      </w:r>
      <w:proofErr w:type="spellStart"/>
      <w:r w:rsidR="00435961" w:rsidRPr="00817921">
        <w:rPr>
          <w:rFonts w:ascii="Times New Roman" w:hAnsi="Times New Roman" w:cs="Times New Roman"/>
          <w:szCs w:val="22"/>
        </w:rPr>
        <w:t>një</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sërë</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prioritetesh</w:t>
      </w:r>
      <w:proofErr w:type="spellEnd"/>
      <w:r w:rsidR="00435961" w:rsidRPr="00817921">
        <w:rPr>
          <w:rFonts w:ascii="Times New Roman" w:hAnsi="Times New Roman" w:cs="Times New Roman"/>
          <w:szCs w:val="22"/>
        </w:rPr>
        <w:t xml:space="preserve"> të </w:t>
      </w:r>
      <w:proofErr w:type="spellStart"/>
      <w:r w:rsidR="00435961" w:rsidRPr="00817921">
        <w:rPr>
          <w:rFonts w:ascii="Times New Roman" w:hAnsi="Times New Roman" w:cs="Times New Roman"/>
          <w:szCs w:val="22"/>
        </w:rPr>
        <w:t>lidhura</w:t>
      </w:r>
      <w:proofErr w:type="spellEnd"/>
      <w:r w:rsidR="00435961" w:rsidRPr="00817921">
        <w:rPr>
          <w:rFonts w:ascii="Times New Roman" w:hAnsi="Times New Roman" w:cs="Times New Roman"/>
          <w:szCs w:val="22"/>
        </w:rPr>
        <w:t xml:space="preserve"> me </w:t>
      </w:r>
      <w:proofErr w:type="spellStart"/>
      <w:r w:rsidR="00435961" w:rsidRPr="00817921">
        <w:rPr>
          <w:rFonts w:ascii="Times New Roman" w:hAnsi="Times New Roman" w:cs="Times New Roman"/>
          <w:szCs w:val="22"/>
        </w:rPr>
        <w:t>aksesueshmërinë</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fizike</w:t>
      </w:r>
      <w:proofErr w:type="spellEnd"/>
      <w:r w:rsidR="00435961" w:rsidRPr="00817921">
        <w:rPr>
          <w:rFonts w:ascii="Times New Roman" w:hAnsi="Times New Roman" w:cs="Times New Roman"/>
          <w:szCs w:val="22"/>
        </w:rPr>
        <w:t xml:space="preserve">, të </w:t>
      </w:r>
      <w:proofErr w:type="spellStart"/>
      <w:r w:rsidR="00435961" w:rsidRPr="00817921">
        <w:rPr>
          <w:rFonts w:ascii="Times New Roman" w:hAnsi="Times New Roman" w:cs="Times New Roman"/>
          <w:szCs w:val="22"/>
        </w:rPr>
        <w:t>informacionit</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etj</w:t>
      </w:r>
      <w:proofErr w:type="spellEnd"/>
      <w:r w:rsidR="00435961" w:rsidRPr="00817921">
        <w:rPr>
          <w:rFonts w:ascii="Times New Roman" w:hAnsi="Times New Roman" w:cs="Times New Roman"/>
          <w:szCs w:val="22"/>
        </w:rPr>
        <w:t xml:space="preserve">. Në </w:t>
      </w:r>
      <w:proofErr w:type="spellStart"/>
      <w:r w:rsidR="00435961" w:rsidRPr="00817921">
        <w:rPr>
          <w:rFonts w:ascii="Times New Roman" w:hAnsi="Times New Roman" w:cs="Times New Roman"/>
          <w:szCs w:val="22"/>
        </w:rPr>
        <w:t>vecanti</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vëmendje</w:t>
      </w:r>
      <w:proofErr w:type="spellEnd"/>
      <w:r w:rsidR="00435961" w:rsidRPr="00817921">
        <w:rPr>
          <w:rFonts w:ascii="Times New Roman" w:hAnsi="Times New Roman" w:cs="Times New Roman"/>
          <w:szCs w:val="22"/>
        </w:rPr>
        <w:t xml:space="preserve"> i </w:t>
      </w:r>
      <w:proofErr w:type="spellStart"/>
      <w:r w:rsidR="00435961" w:rsidRPr="00817921">
        <w:rPr>
          <w:rFonts w:ascii="Times New Roman" w:hAnsi="Times New Roman" w:cs="Times New Roman"/>
          <w:szCs w:val="22"/>
        </w:rPr>
        <w:t>kushtohet</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fëmijëve</w:t>
      </w:r>
      <w:proofErr w:type="spellEnd"/>
      <w:r w:rsidR="00435961" w:rsidRPr="00817921">
        <w:rPr>
          <w:rFonts w:ascii="Times New Roman" w:hAnsi="Times New Roman" w:cs="Times New Roman"/>
          <w:szCs w:val="22"/>
        </w:rPr>
        <w:t xml:space="preserve"> dhe </w:t>
      </w:r>
      <w:proofErr w:type="spellStart"/>
      <w:r w:rsidR="00435961" w:rsidRPr="00817921">
        <w:rPr>
          <w:rFonts w:ascii="Times New Roman" w:hAnsi="Times New Roman" w:cs="Times New Roman"/>
          <w:szCs w:val="22"/>
        </w:rPr>
        <w:t>famijleve</w:t>
      </w:r>
      <w:proofErr w:type="spellEnd"/>
      <w:r w:rsidR="00435961" w:rsidRPr="00817921">
        <w:rPr>
          <w:rFonts w:ascii="Times New Roman" w:hAnsi="Times New Roman" w:cs="Times New Roman"/>
          <w:szCs w:val="22"/>
        </w:rPr>
        <w:t xml:space="preserve"> të tyre, grave me </w:t>
      </w:r>
      <w:proofErr w:type="spellStart"/>
      <w:r w:rsidR="00435961" w:rsidRPr="00817921">
        <w:rPr>
          <w:rFonts w:ascii="Times New Roman" w:hAnsi="Times New Roman" w:cs="Times New Roman"/>
          <w:szCs w:val="22"/>
        </w:rPr>
        <w:t>aftësi</w:t>
      </w:r>
      <w:proofErr w:type="spellEnd"/>
      <w:r w:rsidR="00435961" w:rsidRPr="00817921">
        <w:rPr>
          <w:rFonts w:ascii="Times New Roman" w:hAnsi="Times New Roman" w:cs="Times New Roman"/>
          <w:szCs w:val="22"/>
        </w:rPr>
        <w:t xml:space="preserve"> të </w:t>
      </w:r>
      <w:proofErr w:type="spellStart"/>
      <w:r w:rsidR="00435961" w:rsidRPr="00817921">
        <w:rPr>
          <w:rFonts w:ascii="Times New Roman" w:hAnsi="Times New Roman" w:cs="Times New Roman"/>
          <w:szCs w:val="22"/>
        </w:rPr>
        <w:t>kufizuara</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intelektuale</w:t>
      </w:r>
      <w:proofErr w:type="spellEnd"/>
      <w:r w:rsidR="00435961" w:rsidRPr="00817921">
        <w:rPr>
          <w:rFonts w:ascii="Times New Roman" w:hAnsi="Times New Roman" w:cs="Times New Roman"/>
          <w:szCs w:val="22"/>
        </w:rPr>
        <w:t xml:space="preserve"> dhe </w:t>
      </w:r>
      <w:proofErr w:type="spellStart"/>
      <w:r w:rsidR="00435961" w:rsidRPr="00817921">
        <w:rPr>
          <w:rFonts w:ascii="Times New Roman" w:hAnsi="Times New Roman" w:cs="Times New Roman"/>
          <w:szCs w:val="22"/>
        </w:rPr>
        <w:t>individëve</w:t>
      </w:r>
      <w:proofErr w:type="spellEnd"/>
      <w:r w:rsidR="00435961" w:rsidRPr="00817921">
        <w:rPr>
          <w:rFonts w:ascii="Times New Roman" w:hAnsi="Times New Roman" w:cs="Times New Roman"/>
          <w:szCs w:val="22"/>
        </w:rPr>
        <w:t xml:space="preserve"> me </w:t>
      </w:r>
      <w:proofErr w:type="spellStart"/>
      <w:r w:rsidR="00435961" w:rsidRPr="00817921">
        <w:rPr>
          <w:rFonts w:ascii="Times New Roman" w:hAnsi="Times New Roman" w:cs="Times New Roman"/>
          <w:szCs w:val="22"/>
        </w:rPr>
        <w:t>nevoja</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komplekse</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për</w:t>
      </w:r>
      <w:proofErr w:type="spellEnd"/>
      <w:r w:rsidR="00435961" w:rsidRPr="00817921">
        <w:rPr>
          <w:rFonts w:ascii="Times New Roman" w:hAnsi="Times New Roman" w:cs="Times New Roman"/>
          <w:szCs w:val="22"/>
        </w:rPr>
        <w:t xml:space="preserve"> t’u </w:t>
      </w:r>
      <w:proofErr w:type="spellStart"/>
      <w:r w:rsidR="00435961" w:rsidRPr="00817921">
        <w:rPr>
          <w:rFonts w:ascii="Times New Roman" w:hAnsi="Times New Roman" w:cs="Times New Roman"/>
          <w:szCs w:val="22"/>
        </w:rPr>
        <w:t>adresuar</w:t>
      </w:r>
      <w:proofErr w:type="spellEnd"/>
      <w:r w:rsidR="00435961" w:rsidRPr="00817921">
        <w:rPr>
          <w:rFonts w:ascii="Times New Roman" w:hAnsi="Times New Roman" w:cs="Times New Roman"/>
          <w:szCs w:val="22"/>
        </w:rPr>
        <w:t xml:space="preserve"> </w:t>
      </w:r>
      <w:proofErr w:type="spellStart"/>
      <w:r w:rsidR="00435961" w:rsidRPr="00817921">
        <w:rPr>
          <w:rFonts w:ascii="Times New Roman" w:hAnsi="Times New Roman" w:cs="Times New Roman"/>
          <w:szCs w:val="22"/>
        </w:rPr>
        <w:t>si</w:t>
      </w:r>
      <w:proofErr w:type="spellEnd"/>
      <w:r w:rsidR="00435961" w:rsidRPr="00817921">
        <w:rPr>
          <w:rFonts w:ascii="Times New Roman" w:hAnsi="Times New Roman" w:cs="Times New Roman"/>
          <w:szCs w:val="22"/>
        </w:rPr>
        <w:t xml:space="preserve"> dhe </w:t>
      </w:r>
      <w:proofErr w:type="spellStart"/>
      <w:r w:rsidR="00435961" w:rsidRPr="00817921">
        <w:rPr>
          <w:rFonts w:ascii="Times New Roman" w:hAnsi="Times New Roman" w:cs="Times New Roman"/>
          <w:szCs w:val="22"/>
        </w:rPr>
        <w:t>familjet</w:t>
      </w:r>
      <w:proofErr w:type="spellEnd"/>
      <w:r w:rsidR="00435961" w:rsidRPr="00817921">
        <w:rPr>
          <w:rFonts w:ascii="Times New Roman" w:hAnsi="Times New Roman" w:cs="Times New Roman"/>
          <w:szCs w:val="22"/>
        </w:rPr>
        <w:t xml:space="preserve"> e tyre.</w:t>
      </w:r>
      <w:r w:rsidR="009A2CCC">
        <w:rPr>
          <w:rFonts w:ascii="Times New Roman" w:hAnsi="Times New Roman" w:cs="Times New Roman"/>
          <w:szCs w:val="22"/>
        </w:rPr>
        <w:t xml:space="preserve"> Ministria e </w:t>
      </w:r>
      <w:proofErr w:type="spellStart"/>
      <w:r w:rsidR="009A2CCC">
        <w:rPr>
          <w:rFonts w:ascii="Times New Roman" w:hAnsi="Times New Roman" w:cs="Times New Roman"/>
          <w:szCs w:val="22"/>
        </w:rPr>
        <w:t>Shëndetësisë</w:t>
      </w:r>
      <w:proofErr w:type="spellEnd"/>
      <w:r w:rsidR="009A2CCC">
        <w:rPr>
          <w:rFonts w:ascii="Times New Roman" w:hAnsi="Times New Roman" w:cs="Times New Roman"/>
          <w:szCs w:val="22"/>
        </w:rPr>
        <w:t xml:space="preserve"> dhe </w:t>
      </w:r>
      <w:proofErr w:type="spellStart"/>
      <w:r w:rsidR="009A2CCC">
        <w:rPr>
          <w:rFonts w:ascii="Times New Roman" w:hAnsi="Times New Roman" w:cs="Times New Roman"/>
          <w:szCs w:val="22"/>
        </w:rPr>
        <w:t>Mbrojtjes</w:t>
      </w:r>
      <w:proofErr w:type="spellEnd"/>
      <w:r w:rsidR="009A2CCC">
        <w:rPr>
          <w:rFonts w:ascii="Times New Roman" w:hAnsi="Times New Roman" w:cs="Times New Roman"/>
          <w:szCs w:val="22"/>
        </w:rPr>
        <w:t xml:space="preserve"> Sociale </w:t>
      </w:r>
      <w:proofErr w:type="spellStart"/>
      <w:r w:rsidR="009A2CCC">
        <w:rPr>
          <w:rFonts w:ascii="Times New Roman" w:hAnsi="Times New Roman" w:cs="Times New Roman"/>
          <w:szCs w:val="22"/>
        </w:rPr>
        <w:t>ka</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nisur</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procesin</w:t>
      </w:r>
      <w:proofErr w:type="spellEnd"/>
      <w:r w:rsidR="009A2CCC">
        <w:rPr>
          <w:rFonts w:ascii="Times New Roman" w:hAnsi="Times New Roman" w:cs="Times New Roman"/>
          <w:szCs w:val="22"/>
        </w:rPr>
        <w:t xml:space="preserve"> e </w:t>
      </w:r>
      <w:proofErr w:type="spellStart"/>
      <w:r w:rsidR="009A2CCC">
        <w:rPr>
          <w:rFonts w:ascii="Times New Roman" w:hAnsi="Times New Roman" w:cs="Times New Roman"/>
          <w:szCs w:val="22"/>
        </w:rPr>
        <w:t>hartimit</w:t>
      </w:r>
      <w:proofErr w:type="spellEnd"/>
      <w:r w:rsidR="009A2CCC">
        <w:rPr>
          <w:rFonts w:ascii="Times New Roman" w:hAnsi="Times New Roman" w:cs="Times New Roman"/>
          <w:szCs w:val="22"/>
        </w:rPr>
        <w:t xml:space="preserve"> të </w:t>
      </w:r>
      <w:proofErr w:type="spellStart"/>
      <w:r w:rsidR="009A2CCC">
        <w:rPr>
          <w:rFonts w:ascii="Times New Roman" w:hAnsi="Times New Roman" w:cs="Times New Roman"/>
          <w:szCs w:val="22"/>
        </w:rPr>
        <w:t>planit</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për</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përafrimin</w:t>
      </w:r>
      <w:proofErr w:type="spellEnd"/>
      <w:r w:rsidR="009A2CCC">
        <w:rPr>
          <w:rFonts w:ascii="Times New Roman" w:hAnsi="Times New Roman" w:cs="Times New Roman"/>
          <w:szCs w:val="22"/>
        </w:rPr>
        <w:t xml:space="preserve"> me </w:t>
      </w:r>
      <w:proofErr w:type="spellStart"/>
      <w:r w:rsidR="009A2CCC">
        <w:rPr>
          <w:rFonts w:ascii="Times New Roman" w:hAnsi="Times New Roman" w:cs="Times New Roman"/>
          <w:szCs w:val="22"/>
        </w:rPr>
        <w:t>BE-në</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në</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vecanti</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në</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kapitujt</w:t>
      </w:r>
      <w:proofErr w:type="spellEnd"/>
      <w:r w:rsidR="009A2CCC">
        <w:rPr>
          <w:rFonts w:ascii="Times New Roman" w:hAnsi="Times New Roman" w:cs="Times New Roman"/>
          <w:szCs w:val="22"/>
        </w:rPr>
        <w:t xml:space="preserve"> 19 dhe 23 të </w:t>
      </w:r>
      <w:proofErr w:type="spellStart"/>
      <w:r w:rsidR="009A2CCC">
        <w:rPr>
          <w:rFonts w:ascii="Times New Roman" w:hAnsi="Times New Roman" w:cs="Times New Roman"/>
          <w:szCs w:val="22"/>
        </w:rPr>
        <w:t>cilat</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janë</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ngushtësisht</w:t>
      </w:r>
      <w:proofErr w:type="spellEnd"/>
      <w:r w:rsidR="009A2CCC">
        <w:rPr>
          <w:rFonts w:ascii="Times New Roman" w:hAnsi="Times New Roman" w:cs="Times New Roman"/>
          <w:szCs w:val="22"/>
        </w:rPr>
        <w:t xml:space="preserve"> të </w:t>
      </w:r>
      <w:proofErr w:type="spellStart"/>
      <w:r w:rsidR="009A2CCC">
        <w:rPr>
          <w:rFonts w:ascii="Times New Roman" w:hAnsi="Times New Roman" w:cs="Times New Roman"/>
          <w:szCs w:val="22"/>
        </w:rPr>
        <w:t>lidhura</w:t>
      </w:r>
      <w:proofErr w:type="spellEnd"/>
      <w:r w:rsidR="009A2CCC">
        <w:rPr>
          <w:rFonts w:ascii="Times New Roman" w:hAnsi="Times New Roman" w:cs="Times New Roman"/>
          <w:szCs w:val="22"/>
        </w:rPr>
        <w:t xml:space="preserve"> me </w:t>
      </w:r>
      <w:proofErr w:type="spellStart"/>
      <w:r w:rsidR="009A2CCC">
        <w:rPr>
          <w:rFonts w:ascii="Times New Roman" w:hAnsi="Times New Roman" w:cs="Times New Roman"/>
          <w:szCs w:val="22"/>
        </w:rPr>
        <w:t>Strategjinë</w:t>
      </w:r>
      <w:proofErr w:type="spellEnd"/>
      <w:r w:rsidR="009A2CCC">
        <w:rPr>
          <w:rFonts w:ascii="Times New Roman" w:hAnsi="Times New Roman" w:cs="Times New Roman"/>
          <w:szCs w:val="22"/>
        </w:rPr>
        <w:t xml:space="preserve"> e </w:t>
      </w:r>
      <w:proofErr w:type="spellStart"/>
      <w:r w:rsidR="009A2CCC">
        <w:rPr>
          <w:rFonts w:ascii="Times New Roman" w:hAnsi="Times New Roman" w:cs="Times New Roman"/>
          <w:szCs w:val="22"/>
        </w:rPr>
        <w:t>Mbrojtjes</w:t>
      </w:r>
      <w:proofErr w:type="spellEnd"/>
      <w:r w:rsidR="009A2CCC">
        <w:rPr>
          <w:rFonts w:ascii="Times New Roman" w:hAnsi="Times New Roman" w:cs="Times New Roman"/>
          <w:szCs w:val="22"/>
        </w:rPr>
        <w:t xml:space="preserve"> Sociale. Ky plan </w:t>
      </w:r>
      <w:proofErr w:type="spellStart"/>
      <w:r w:rsidR="009A2CCC">
        <w:rPr>
          <w:rFonts w:ascii="Times New Roman" w:hAnsi="Times New Roman" w:cs="Times New Roman"/>
          <w:szCs w:val="22"/>
        </w:rPr>
        <w:t>pasi</w:t>
      </w:r>
      <w:proofErr w:type="spellEnd"/>
      <w:r w:rsidR="009A2CCC">
        <w:rPr>
          <w:rFonts w:ascii="Times New Roman" w:hAnsi="Times New Roman" w:cs="Times New Roman"/>
          <w:szCs w:val="22"/>
        </w:rPr>
        <w:t xml:space="preserve"> të </w:t>
      </w:r>
      <w:proofErr w:type="spellStart"/>
      <w:r w:rsidR="009A2CCC">
        <w:rPr>
          <w:rFonts w:ascii="Times New Roman" w:hAnsi="Times New Roman" w:cs="Times New Roman"/>
          <w:szCs w:val="22"/>
        </w:rPr>
        <w:t>finalizohet</w:t>
      </w:r>
      <w:proofErr w:type="spellEnd"/>
      <w:r w:rsidR="009A2CCC">
        <w:rPr>
          <w:rFonts w:ascii="Times New Roman" w:hAnsi="Times New Roman" w:cs="Times New Roman"/>
          <w:szCs w:val="22"/>
        </w:rPr>
        <w:t xml:space="preserve"> do të </w:t>
      </w:r>
      <w:proofErr w:type="spellStart"/>
      <w:r w:rsidR="009A2CCC">
        <w:rPr>
          <w:rFonts w:ascii="Times New Roman" w:hAnsi="Times New Roman" w:cs="Times New Roman"/>
          <w:szCs w:val="22"/>
        </w:rPr>
        <w:t>zbatohet</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përgjatë</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zbatimit</w:t>
      </w:r>
      <w:proofErr w:type="spellEnd"/>
      <w:r w:rsidR="009A2CCC">
        <w:rPr>
          <w:rFonts w:ascii="Times New Roman" w:hAnsi="Times New Roman" w:cs="Times New Roman"/>
          <w:szCs w:val="22"/>
        </w:rPr>
        <w:t xml:space="preserve"> të </w:t>
      </w:r>
      <w:proofErr w:type="spellStart"/>
      <w:r w:rsidR="009A2CCC">
        <w:rPr>
          <w:rFonts w:ascii="Times New Roman" w:hAnsi="Times New Roman" w:cs="Times New Roman"/>
          <w:szCs w:val="22"/>
        </w:rPr>
        <w:t>strategjisë</w:t>
      </w:r>
      <w:proofErr w:type="spellEnd"/>
      <w:r w:rsidR="009A2CCC">
        <w:rPr>
          <w:rFonts w:ascii="Times New Roman" w:hAnsi="Times New Roman" w:cs="Times New Roman"/>
          <w:szCs w:val="22"/>
        </w:rPr>
        <w:t xml:space="preserve"> dhe do të </w:t>
      </w:r>
      <w:proofErr w:type="spellStart"/>
      <w:r w:rsidR="009A2CCC">
        <w:rPr>
          <w:rFonts w:ascii="Times New Roman" w:hAnsi="Times New Roman" w:cs="Times New Roman"/>
          <w:szCs w:val="22"/>
        </w:rPr>
        <w:t>shërbejë</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më</w:t>
      </w:r>
      <w:proofErr w:type="spellEnd"/>
      <w:r w:rsidR="009A2CCC">
        <w:rPr>
          <w:rFonts w:ascii="Times New Roman" w:hAnsi="Times New Roman" w:cs="Times New Roman"/>
          <w:szCs w:val="22"/>
        </w:rPr>
        <w:t xml:space="preserve"> tej </w:t>
      </w:r>
      <w:proofErr w:type="spellStart"/>
      <w:r w:rsidR="009A2CCC">
        <w:rPr>
          <w:rFonts w:ascii="Times New Roman" w:hAnsi="Times New Roman" w:cs="Times New Roman"/>
          <w:szCs w:val="22"/>
        </w:rPr>
        <w:t>për</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informuar</w:t>
      </w:r>
      <w:proofErr w:type="spellEnd"/>
      <w:r w:rsidR="009A2CCC">
        <w:rPr>
          <w:rFonts w:ascii="Times New Roman" w:hAnsi="Times New Roman" w:cs="Times New Roman"/>
          <w:szCs w:val="22"/>
        </w:rPr>
        <w:t xml:space="preserve"> masa të </w:t>
      </w:r>
      <w:proofErr w:type="spellStart"/>
      <w:r w:rsidR="009A2CCC">
        <w:rPr>
          <w:rFonts w:ascii="Times New Roman" w:hAnsi="Times New Roman" w:cs="Times New Roman"/>
          <w:szCs w:val="22"/>
        </w:rPr>
        <w:t>caktuara</w:t>
      </w:r>
      <w:proofErr w:type="spellEnd"/>
      <w:r w:rsidR="009A2CCC">
        <w:rPr>
          <w:rFonts w:ascii="Times New Roman" w:hAnsi="Times New Roman" w:cs="Times New Roman"/>
          <w:szCs w:val="22"/>
        </w:rPr>
        <w:t xml:space="preserve"> të </w:t>
      </w:r>
      <w:proofErr w:type="spellStart"/>
      <w:r w:rsidR="009A2CCC">
        <w:rPr>
          <w:rFonts w:ascii="Times New Roman" w:hAnsi="Times New Roman" w:cs="Times New Roman"/>
          <w:szCs w:val="22"/>
        </w:rPr>
        <w:t>parashikuara</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në</w:t>
      </w:r>
      <w:proofErr w:type="spellEnd"/>
      <w:r w:rsidR="009A2CCC">
        <w:rPr>
          <w:rFonts w:ascii="Times New Roman" w:hAnsi="Times New Roman" w:cs="Times New Roman"/>
          <w:szCs w:val="22"/>
        </w:rPr>
        <w:t xml:space="preserve"> </w:t>
      </w:r>
      <w:proofErr w:type="spellStart"/>
      <w:r w:rsidR="009A2CCC">
        <w:rPr>
          <w:rFonts w:ascii="Times New Roman" w:hAnsi="Times New Roman" w:cs="Times New Roman"/>
          <w:szCs w:val="22"/>
        </w:rPr>
        <w:t>strategji</w:t>
      </w:r>
      <w:proofErr w:type="spellEnd"/>
      <w:r w:rsidR="009A2CCC">
        <w:rPr>
          <w:rFonts w:ascii="Times New Roman" w:hAnsi="Times New Roman" w:cs="Times New Roman"/>
          <w:szCs w:val="22"/>
        </w:rPr>
        <w:t xml:space="preserve">. </w:t>
      </w:r>
    </w:p>
    <w:p w14:paraId="612303EC" w14:textId="2C56AF1E" w:rsidR="004375F4" w:rsidRPr="00817921" w:rsidRDefault="00435961" w:rsidP="000B4B6D">
      <w:pPr>
        <w:spacing w:after="0" w:line="240" w:lineRule="auto"/>
        <w:rPr>
          <w:rFonts w:ascii="Times New Roman" w:hAnsi="Times New Roman" w:cs="Times New Roman"/>
          <w:szCs w:val="22"/>
        </w:rPr>
      </w:pPr>
      <w:proofErr w:type="spellStart"/>
      <w:r w:rsidRPr="00817921">
        <w:rPr>
          <w:rFonts w:ascii="Times New Roman" w:hAnsi="Times New Roman" w:cs="Times New Roman"/>
          <w:szCs w:val="22"/>
        </w:rPr>
        <w:t>Politikat</w:t>
      </w:r>
      <w:proofErr w:type="spellEnd"/>
      <w:r w:rsidRPr="00817921">
        <w:rPr>
          <w:rFonts w:ascii="Times New Roman" w:hAnsi="Times New Roman" w:cs="Times New Roman"/>
          <w:szCs w:val="22"/>
        </w:rPr>
        <w:t xml:space="preserve"> dhe </w:t>
      </w:r>
      <w:proofErr w:type="spellStart"/>
      <w:r w:rsidRPr="00817921">
        <w:rPr>
          <w:rFonts w:ascii="Times New Roman" w:hAnsi="Times New Roman" w:cs="Times New Roman"/>
          <w:szCs w:val="22"/>
        </w:rPr>
        <w:t>objektivat</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specifikë</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Strategjisë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Kombëtare</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Mbrojtjes</w:t>
      </w:r>
      <w:proofErr w:type="spellEnd"/>
      <w:r w:rsidRPr="00817921">
        <w:rPr>
          <w:rFonts w:ascii="Times New Roman" w:hAnsi="Times New Roman" w:cs="Times New Roman"/>
          <w:szCs w:val="22"/>
        </w:rPr>
        <w:t xml:space="preserve"> Sociale 2024-2030 dhe Plani i </w:t>
      </w:r>
      <w:proofErr w:type="spellStart"/>
      <w:r w:rsidRPr="00817921">
        <w:rPr>
          <w:rFonts w:ascii="Times New Roman" w:hAnsi="Times New Roman" w:cs="Times New Roman"/>
          <w:szCs w:val="22"/>
        </w:rPr>
        <w:t>Veprimit</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janë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gjithashtu</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në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linjë</w:t>
      </w:r>
      <w:proofErr w:type="spellEnd"/>
      <w:r w:rsidRPr="00817921">
        <w:rPr>
          <w:rFonts w:ascii="Times New Roman" w:hAnsi="Times New Roman" w:cs="Times New Roman"/>
          <w:szCs w:val="22"/>
        </w:rPr>
        <w:t xml:space="preserve"> me </w:t>
      </w:r>
      <w:proofErr w:type="spellStart"/>
      <w:r w:rsidRPr="00817921">
        <w:rPr>
          <w:rFonts w:ascii="Times New Roman" w:hAnsi="Times New Roman" w:cs="Times New Roman"/>
          <w:szCs w:val="22"/>
        </w:rPr>
        <w:t>Objektiva</w:t>
      </w:r>
      <w:r w:rsidR="00B555A9">
        <w:rPr>
          <w:rFonts w:ascii="Times New Roman" w:hAnsi="Times New Roman" w:cs="Times New Roman"/>
          <w:szCs w:val="22"/>
        </w:rPr>
        <w:t>t</w:t>
      </w:r>
      <w:proofErr w:type="spellEnd"/>
      <w:r w:rsidRPr="00817921">
        <w:rPr>
          <w:rFonts w:ascii="Times New Roman" w:hAnsi="Times New Roman" w:cs="Times New Roman"/>
          <w:szCs w:val="22"/>
        </w:rPr>
        <w:t xml:space="preserve"> </w:t>
      </w:r>
      <w:r w:rsidR="00B555A9">
        <w:rPr>
          <w:rFonts w:ascii="Times New Roman" w:hAnsi="Times New Roman" w:cs="Times New Roman"/>
          <w:szCs w:val="22"/>
        </w:rPr>
        <w:t>e</w:t>
      </w:r>
      <w:r w:rsidRPr="00817921">
        <w:rPr>
          <w:rFonts w:ascii="Times New Roman" w:hAnsi="Times New Roman" w:cs="Times New Roman"/>
          <w:szCs w:val="22"/>
        </w:rPr>
        <w:t xml:space="preserve"> Zhvillimit të </w:t>
      </w:r>
      <w:proofErr w:type="spellStart"/>
      <w:r w:rsidRPr="00817921">
        <w:rPr>
          <w:rFonts w:ascii="Times New Roman" w:hAnsi="Times New Roman" w:cs="Times New Roman"/>
          <w:szCs w:val="22"/>
        </w:rPr>
        <w:t>Qëndrueshëm</w:t>
      </w:r>
      <w:proofErr w:type="spellEnd"/>
      <w:r w:rsidRPr="00817921">
        <w:rPr>
          <w:rFonts w:ascii="Times New Roman" w:hAnsi="Times New Roman" w:cs="Times New Roman"/>
          <w:szCs w:val="22"/>
        </w:rPr>
        <w:t xml:space="preserve"> (OZHQ/SDG)</w:t>
      </w:r>
      <w:r w:rsidRPr="00817921">
        <w:rPr>
          <w:rFonts w:ascii="Times New Roman" w:hAnsi="Times New Roman" w:cs="Times New Roman"/>
          <w:szCs w:val="22"/>
          <w:vertAlign w:val="superscript"/>
        </w:rPr>
        <w:footnoteReference w:id="94"/>
      </w:r>
      <w:r w:rsidR="00AD1196" w:rsidRPr="00817921">
        <w:rPr>
          <w:rFonts w:ascii="Times New Roman" w:hAnsi="Times New Roman" w:cs="Times New Roman"/>
          <w:szCs w:val="22"/>
        </w:rPr>
        <w:t xml:space="preserve">, </w:t>
      </w:r>
      <w:r w:rsidR="00B555A9">
        <w:rPr>
          <w:rFonts w:ascii="Times New Roman" w:hAnsi="Times New Roman" w:cs="Times New Roman"/>
          <w:szCs w:val="22"/>
        </w:rPr>
        <w:t>m</w:t>
      </w:r>
      <w:r w:rsidR="00B555A9" w:rsidRPr="00817921">
        <w:rPr>
          <w:rFonts w:ascii="Times New Roman" w:eastAsia="Times New Roman" w:hAnsi="Times New Roman" w:cs="Times New Roman"/>
          <w:iCs/>
          <w:szCs w:val="22"/>
          <w:lang w:val="sq-AL" w:eastAsia="en-GB"/>
        </w:rPr>
        <w:t>ë</w:t>
      </w:r>
      <w:r w:rsidR="00B555A9">
        <w:rPr>
          <w:rFonts w:ascii="Times New Roman" w:eastAsia="Times New Roman" w:hAnsi="Times New Roman" w:cs="Times New Roman"/>
          <w:iCs/>
          <w:szCs w:val="22"/>
          <w:lang w:val="sq-AL" w:eastAsia="en-GB"/>
        </w:rPr>
        <w:t xml:space="preserve"> </w:t>
      </w:r>
      <w:proofErr w:type="spellStart"/>
      <w:r w:rsidR="00AD1196" w:rsidRPr="00817921">
        <w:rPr>
          <w:rFonts w:ascii="Times New Roman" w:hAnsi="Times New Roman" w:cs="Times New Roman"/>
          <w:szCs w:val="22"/>
        </w:rPr>
        <w:t>konkretisht</w:t>
      </w:r>
      <w:proofErr w:type="spellEnd"/>
      <w:r w:rsidR="00AD1196" w:rsidRPr="00817921">
        <w:rPr>
          <w:rFonts w:ascii="Times New Roman" w:hAnsi="Times New Roman" w:cs="Times New Roman"/>
          <w:szCs w:val="22"/>
        </w:rPr>
        <w:t xml:space="preserve">: (i) OZHQ 1: </w:t>
      </w:r>
      <w:proofErr w:type="spellStart"/>
      <w:r w:rsidR="00AD1196" w:rsidRPr="00817921">
        <w:rPr>
          <w:rFonts w:ascii="Times New Roman" w:hAnsi="Times New Roman" w:cs="Times New Roman"/>
          <w:b/>
          <w:bCs/>
          <w:szCs w:val="22"/>
        </w:rPr>
        <w:t>Zhdukja</w:t>
      </w:r>
      <w:proofErr w:type="spellEnd"/>
      <w:r w:rsidR="00AD1196" w:rsidRPr="00817921">
        <w:rPr>
          <w:rFonts w:ascii="Times New Roman" w:hAnsi="Times New Roman" w:cs="Times New Roman"/>
          <w:b/>
          <w:bCs/>
          <w:szCs w:val="22"/>
        </w:rPr>
        <w:t xml:space="preserve"> e </w:t>
      </w:r>
      <w:proofErr w:type="spellStart"/>
      <w:r w:rsidR="00AD1196" w:rsidRPr="00817921">
        <w:rPr>
          <w:rFonts w:ascii="Times New Roman" w:hAnsi="Times New Roman" w:cs="Times New Roman"/>
          <w:b/>
          <w:bCs/>
          <w:szCs w:val="22"/>
        </w:rPr>
        <w:t>varfërisë</w:t>
      </w:r>
      <w:proofErr w:type="spellEnd"/>
      <w:r w:rsidR="00AD1196" w:rsidRPr="00817921">
        <w:rPr>
          <w:rFonts w:ascii="Times New Roman" w:hAnsi="Times New Roman" w:cs="Times New Roman"/>
          <w:b/>
          <w:bCs/>
          <w:szCs w:val="22"/>
        </w:rPr>
        <w:t xml:space="preserve"> </w:t>
      </w:r>
      <w:proofErr w:type="spellStart"/>
      <w:r w:rsidR="00AD1196" w:rsidRPr="00817921">
        <w:rPr>
          <w:rFonts w:ascii="Times New Roman" w:hAnsi="Times New Roman" w:cs="Times New Roman"/>
          <w:b/>
          <w:bCs/>
          <w:szCs w:val="22"/>
        </w:rPr>
        <w:t>kudo</w:t>
      </w:r>
      <w:proofErr w:type="spellEnd"/>
      <w:r w:rsidR="00AD1196" w:rsidRPr="00817921">
        <w:rPr>
          <w:rFonts w:ascii="Times New Roman" w:hAnsi="Times New Roman" w:cs="Times New Roman"/>
          <w:b/>
          <w:bCs/>
          <w:szCs w:val="22"/>
        </w:rPr>
        <w:t xml:space="preserve"> dhe </w:t>
      </w:r>
      <w:proofErr w:type="spellStart"/>
      <w:r w:rsidR="00AD1196" w:rsidRPr="00817921">
        <w:rPr>
          <w:rFonts w:ascii="Times New Roman" w:hAnsi="Times New Roman" w:cs="Times New Roman"/>
          <w:b/>
          <w:bCs/>
          <w:szCs w:val="22"/>
        </w:rPr>
        <w:t>në</w:t>
      </w:r>
      <w:proofErr w:type="spellEnd"/>
      <w:r w:rsidR="00AD1196" w:rsidRPr="00817921">
        <w:rPr>
          <w:rFonts w:ascii="Times New Roman" w:hAnsi="Times New Roman" w:cs="Times New Roman"/>
          <w:b/>
          <w:bCs/>
          <w:szCs w:val="22"/>
        </w:rPr>
        <w:t xml:space="preserve"> të </w:t>
      </w:r>
      <w:proofErr w:type="spellStart"/>
      <w:r w:rsidR="00AD1196" w:rsidRPr="00817921">
        <w:rPr>
          <w:rFonts w:ascii="Times New Roman" w:hAnsi="Times New Roman" w:cs="Times New Roman"/>
          <w:b/>
          <w:bCs/>
          <w:szCs w:val="22"/>
        </w:rPr>
        <w:t>gjitha</w:t>
      </w:r>
      <w:proofErr w:type="spellEnd"/>
      <w:r w:rsidR="00AD1196" w:rsidRPr="00817921">
        <w:rPr>
          <w:rFonts w:ascii="Times New Roman" w:hAnsi="Times New Roman" w:cs="Times New Roman"/>
          <w:b/>
          <w:bCs/>
          <w:szCs w:val="22"/>
        </w:rPr>
        <w:t xml:space="preserve"> format</w:t>
      </w:r>
      <w:r w:rsidR="00306091" w:rsidRPr="00817921">
        <w:rPr>
          <w:rFonts w:ascii="Times New Roman" w:hAnsi="Times New Roman" w:cs="Times New Roman"/>
          <w:szCs w:val="22"/>
        </w:rPr>
        <w:t xml:space="preserve">; (ii) </w:t>
      </w:r>
      <w:r w:rsidR="00CF1E7A" w:rsidRPr="00817921">
        <w:rPr>
          <w:rFonts w:ascii="Times New Roman" w:hAnsi="Times New Roman" w:cs="Times New Roman"/>
          <w:szCs w:val="22"/>
        </w:rPr>
        <w:t xml:space="preserve">OZHQ 5: </w:t>
      </w:r>
      <w:proofErr w:type="spellStart"/>
      <w:r w:rsidR="00CF1E7A" w:rsidRPr="00817921">
        <w:rPr>
          <w:rFonts w:ascii="Times New Roman" w:hAnsi="Times New Roman" w:cs="Times New Roman"/>
          <w:b/>
          <w:bCs/>
          <w:szCs w:val="22"/>
        </w:rPr>
        <w:t>Arritje</w:t>
      </w:r>
      <w:proofErr w:type="spellEnd"/>
      <w:r w:rsidR="00CF1E7A" w:rsidRPr="00817921">
        <w:rPr>
          <w:rFonts w:ascii="Times New Roman" w:hAnsi="Times New Roman" w:cs="Times New Roman"/>
          <w:b/>
          <w:bCs/>
          <w:szCs w:val="22"/>
        </w:rPr>
        <w:t xml:space="preserve"> e </w:t>
      </w:r>
      <w:proofErr w:type="spellStart"/>
      <w:r w:rsidR="00CF1E7A" w:rsidRPr="00817921">
        <w:rPr>
          <w:rFonts w:ascii="Times New Roman" w:hAnsi="Times New Roman" w:cs="Times New Roman"/>
          <w:b/>
          <w:bCs/>
          <w:szCs w:val="22"/>
        </w:rPr>
        <w:t>barazisë</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gjinore</w:t>
      </w:r>
      <w:proofErr w:type="spellEnd"/>
      <w:r w:rsidR="00CF1E7A" w:rsidRPr="00817921">
        <w:rPr>
          <w:rFonts w:ascii="Times New Roman" w:hAnsi="Times New Roman" w:cs="Times New Roman"/>
          <w:b/>
          <w:bCs/>
          <w:szCs w:val="22"/>
        </w:rPr>
        <w:t xml:space="preserve"> dhe </w:t>
      </w:r>
      <w:proofErr w:type="spellStart"/>
      <w:r w:rsidR="00CF1E7A" w:rsidRPr="00817921">
        <w:rPr>
          <w:rFonts w:ascii="Times New Roman" w:hAnsi="Times New Roman" w:cs="Times New Roman"/>
          <w:b/>
          <w:bCs/>
          <w:szCs w:val="22"/>
        </w:rPr>
        <w:t>fuqizim</w:t>
      </w:r>
      <w:proofErr w:type="spellEnd"/>
      <w:r w:rsidR="00CF1E7A" w:rsidRPr="00817921">
        <w:rPr>
          <w:rFonts w:ascii="Times New Roman" w:hAnsi="Times New Roman" w:cs="Times New Roman"/>
          <w:b/>
          <w:bCs/>
          <w:szCs w:val="22"/>
        </w:rPr>
        <w:t xml:space="preserve"> i grave</w:t>
      </w:r>
      <w:r w:rsidR="00306091" w:rsidRPr="00817921">
        <w:rPr>
          <w:rFonts w:ascii="Times New Roman" w:hAnsi="Times New Roman" w:cs="Times New Roman"/>
          <w:b/>
          <w:bCs/>
          <w:szCs w:val="22"/>
        </w:rPr>
        <w:t>;</w:t>
      </w:r>
      <w:r w:rsidR="00306091" w:rsidRPr="00817921">
        <w:rPr>
          <w:rFonts w:ascii="Times New Roman" w:hAnsi="Times New Roman" w:cs="Times New Roman"/>
          <w:szCs w:val="22"/>
        </w:rPr>
        <w:t xml:space="preserve"> (iii) </w:t>
      </w:r>
      <w:r w:rsidR="00CF1E7A" w:rsidRPr="00817921">
        <w:rPr>
          <w:rFonts w:ascii="Times New Roman" w:hAnsi="Times New Roman" w:cs="Times New Roman"/>
          <w:szCs w:val="22"/>
        </w:rPr>
        <w:t xml:space="preserve">OZHQ 8: </w:t>
      </w:r>
      <w:proofErr w:type="spellStart"/>
      <w:r w:rsidR="00CF1E7A" w:rsidRPr="00817921">
        <w:rPr>
          <w:rFonts w:ascii="Times New Roman" w:hAnsi="Times New Roman" w:cs="Times New Roman"/>
          <w:b/>
          <w:bCs/>
          <w:szCs w:val="22"/>
        </w:rPr>
        <w:t>Promovim</w:t>
      </w:r>
      <w:proofErr w:type="spellEnd"/>
      <w:r w:rsidR="00CF1E7A" w:rsidRPr="00817921">
        <w:rPr>
          <w:rFonts w:ascii="Times New Roman" w:hAnsi="Times New Roman" w:cs="Times New Roman"/>
          <w:b/>
          <w:bCs/>
          <w:szCs w:val="22"/>
        </w:rPr>
        <w:t xml:space="preserve"> i </w:t>
      </w:r>
      <w:proofErr w:type="spellStart"/>
      <w:r w:rsidR="00CF1E7A" w:rsidRPr="00817921">
        <w:rPr>
          <w:rFonts w:ascii="Times New Roman" w:hAnsi="Times New Roman" w:cs="Times New Roman"/>
          <w:b/>
          <w:bCs/>
          <w:szCs w:val="22"/>
        </w:rPr>
        <w:t>rritjes</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së</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qëndrueshme</w:t>
      </w:r>
      <w:proofErr w:type="spellEnd"/>
      <w:r w:rsidR="00CF1E7A" w:rsidRPr="00817921">
        <w:rPr>
          <w:rFonts w:ascii="Times New Roman" w:hAnsi="Times New Roman" w:cs="Times New Roman"/>
          <w:b/>
          <w:bCs/>
          <w:szCs w:val="22"/>
        </w:rPr>
        <w:t xml:space="preserve"> dhe </w:t>
      </w:r>
      <w:proofErr w:type="spellStart"/>
      <w:r w:rsidR="00CF1E7A" w:rsidRPr="00817921">
        <w:rPr>
          <w:rFonts w:ascii="Times New Roman" w:hAnsi="Times New Roman" w:cs="Times New Roman"/>
          <w:b/>
          <w:bCs/>
          <w:szCs w:val="22"/>
        </w:rPr>
        <w:t>gjithëpërfshirëse</w:t>
      </w:r>
      <w:proofErr w:type="spellEnd"/>
      <w:r w:rsidR="00CF1E7A" w:rsidRPr="00817921">
        <w:rPr>
          <w:rFonts w:ascii="Times New Roman" w:hAnsi="Times New Roman" w:cs="Times New Roman"/>
          <w:b/>
          <w:bCs/>
          <w:szCs w:val="22"/>
        </w:rPr>
        <w:t xml:space="preserve"> ekonomike, </w:t>
      </w:r>
      <w:proofErr w:type="spellStart"/>
      <w:r w:rsidR="00CF1E7A" w:rsidRPr="00817921">
        <w:rPr>
          <w:rFonts w:ascii="Times New Roman" w:hAnsi="Times New Roman" w:cs="Times New Roman"/>
          <w:b/>
          <w:bCs/>
          <w:szCs w:val="22"/>
        </w:rPr>
        <w:t>punësim</w:t>
      </w:r>
      <w:proofErr w:type="spellEnd"/>
      <w:r w:rsidR="00CF1E7A" w:rsidRPr="00817921">
        <w:rPr>
          <w:rFonts w:ascii="Times New Roman" w:hAnsi="Times New Roman" w:cs="Times New Roman"/>
          <w:b/>
          <w:bCs/>
          <w:szCs w:val="22"/>
        </w:rPr>
        <w:t xml:space="preserve"> dhe </w:t>
      </w:r>
      <w:proofErr w:type="spellStart"/>
      <w:r w:rsidR="00CF1E7A" w:rsidRPr="00817921">
        <w:rPr>
          <w:rFonts w:ascii="Times New Roman" w:hAnsi="Times New Roman" w:cs="Times New Roman"/>
          <w:b/>
          <w:bCs/>
          <w:szCs w:val="22"/>
        </w:rPr>
        <w:t>punë</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për</w:t>
      </w:r>
      <w:proofErr w:type="spellEnd"/>
      <w:r w:rsidR="00CF1E7A" w:rsidRPr="00817921">
        <w:rPr>
          <w:rFonts w:ascii="Times New Roman" w:hAnsi="Times New Roman" w:cs="Times New Roman"/>
          <w:b/>
          <w:bCs/>
          <w:szCs w:val="22"/>
        </w:rPr>
        <w:t xml:space="preserve"> të </w:t>
      </w:r>
      <w:proofErr w:type="spellStart"/>
      <w:r w:rsidR="00CF1E7A" w:rsidRPr="00817921">
        <w:rPr>
          <w:rFonts w:ascii="Times New Roman" w:hAnsi="Times New Roman" w:cs="Times New Roman"/>
          <w:b/>
          <w:bCs/>
          <w:szCs w:val="22"/>
        </w:rPr>
        <w:t>gjithë</w:t>
      </w:r>
      <w:proofErr w:type="spellEnd"/>
      <w:r w:rsidR="00306091" w:rsidRPr="00817921">
        <w:rPr>
          <w:rFonts w:ascii="Times New Roman" w:hAnsi="Times New Roman" w:cs="Times New Roman"/>
          <w:b/>
          <w:bCs/>
          <w:szCs w:val="22"/>
        </w:rPr>
        <w:t>;</w:t>
      </w:r>
      <w:r w:rsidR="00306091" w:rsidRPr="00817921">
        <w:rPr>
          <w:rFonts w:ascii="Times New Roman" w:hAnsi="Times New Roman" w:cs="Times New Roman"/>
          <w:szCs w:val="22"/>
        </w:rPr>
        <w:t xml:space="preserve"> (iv) </w:t>
      </w:r>
      <w:r w:rsidR="00CF1E7A" w:rsidRPr="00817921">
        <w:rPr>
          <w:rFonts w:ascii="Times New Roman" w:hAnsi="Times New Roman" w:cs="Times New Roman"/>
          <w:szCs w:val="22"/>
        </w:rPr>
        <w:t>OZHQ 10</w:t>
      </w:r>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Reduktimi</w:t>
      </w:r>
      <w:proofErr w:type="spellEnd"/>
      <w:r w:rsidR="00CF1E7A" w:rsidRPr="00817921">
        <w:rPr>
          <w:rFonts w:ascii="Times New Roman" w:hAnsi="Times New Roman" w:cs="Times New Roman"/>
          <w:b/>
          <w:bCs/>
          <w:szCs w:val="22"/>
        </w:rPr>
        <w:t xml:space="preserve"> i </w:t>
      </w:r>
      <w:proofErr w:type="spellStart"/>
      <w:r w:rsidR="00CF1E7A" w:rsidRPr="00817921">
        <w:rPr>
          <w:rFonts w:ascii="Times New Roman" w:hAnsi="Times New Roman" w:cs="Times New Roman"/>
          <w:b/>
          <w:bCs/>
          <w:szCs w:val="22"/>
        </w:rPr>
        <w:t>pabarazive</w:t>
      </w:r>
      <w:proofErr w:type="spellEnd"/>
      <w:r w:rsidR="00306091" w:rsidRPr="00817921">
        <w:rPr>
          <w:rFonts w:ascii="Times New Roman" w:hAnsi="Times New Roman" w:cs="Times New Roman"/>
          <w:b/>
          <w:bCs/>
          <w:szCs w:val="22"/>
        </w:rPr>
        <w:t xml:space="preserve">; (v) </w:t>
      </w:r>
      <w:r w:rsidR="00CF1E7A" w:rsidRPr="00817921">
        <w:rPr>
          <w:rFonts w:ascii="Times New Roman" w:hAnsi="Times New Roman" w:cs="Times New Roman"/>
          <w:b/>
          <w:bCs/>
          <w:szCs w:val="22"/>
        </w:rPr>
        <w:t xml:space="preserve">OZHQ 4: </w:t>
      </w:r>
      <w:proofErr w:type="spellStart"/>
      <w:r w:rsidR="00CF1E7A" w:rsidRPr="00817921">
        <w:rPr>
          <w:rFonts w:ascii="Times New Roman" w:hAnsi="Times New Roman" w:cs="Times New Roman"/>
          <w:b/>
          <w:bCs/>
          <w:szCs w:val="22"/>
        </w:rPr>
        <w:t>Sigurimi</w:t>
      </w:r>
      <w:proofErr w:type="spellEnd"/>
      <w:r w:rsidR="00CF1E7A" w:rsidRPr="00817921">
        <w:rPr>
          <w:rFonts w:ascii="Times New Roman" w:hAnsi="Times New Roman" w:cs="Times New Roman"/>
          <w:b/>
          <w:bCs/>
          <w:szCs w:val="22"/>
        </w:rPr>
        <w:t xml:space="preserve"> i </w:t>
      </w:r>
      <w:proofErr w:type="spellStart"/>
      <w:r w:rsidR="00CF1E7A" w:rsidRPr="00817921">
        <w:rPr>
          <w:rFonts w:ascii="Times New Roman" w:hAnsi="Times New Roman" w:cs="Times New Roman"/>
          <w:b/>
          <w:bCs/>
          <w:szCs w:val="22"/>
        </w:rPr>
        <w:t>arsimimit</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gjithëpërfshirës</w:t>
      </w:r>
      <w:proofErr w:type="spellEnd"/>
      <w:r w:rsidR="00CF1E7A" w:rsidRPr="00817921">
        <w:rPr>
          <w:rFonts w:ascii="Times New Roman" w:hAnsi="Times New Roman" w:cs="Times New Roman"/>
          <w:b/>
          <w:bCs/>
          <w:szCs w:val="22"/>
        </w:rPr>
        <w:t xml:space="preserve"> dhe </w:t>
      </w:r>
      <w:proofErr w:type="spellStart"/>
      <w:r w:rsidR="00CF1E7A" w:rsidRPr="00817921">
        <w:rPr>
          <w:rFonts w:ascii="Times New Roman" w:hAnsi="Times New Roman" w:cs="Times New Roman"/>
          <w:b/>
          <w:bCs/>
          <w:szCs w:val="22"/>
        </w:rPr>
        <w:t>krijimi</w:t>
      </w:r>
      <w:proofErr w:type="spellEnd"/>
      <w:r w:rsidR="00CF1E7A" w:rsidRPr="00817921">
        <w:rPr>
          <w:rFonts w:ascii="Times New Roman" w:hAnsi="Times New Roman" w:cs="Times New Roman"/>
          <w:b/>
          <w:bCs/>
          <w:szCs w:val="22"/>
        </w:rPr>
        <w:t xml:space="preserve"> i </w:t>
      </w:r>
      <w:proofErr w:type="spellStart"/>
      <w:r w:rsidR="00CF1E7A" w:rsidRPr="00817921">
        <w:rPr>
          <w:rFonts w:ascii="Times New Roman" w:hAnsi="Times New Roman" w:cs="Times New Roman"/>
          <w:b/>
          <w:bCs/>
          <w:szCs w:val="22"/>
        </w:rPr>
        <w:t>mundësive</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për</w:t>
      </w:r>
      <w:proofErr w:type="spellEnd"/>
      <w:r w:rsidR="00CF1E7A" w:rsidRPr="00817921">
        <w:rPr>
          <w:rFonts w:ascii="Times New Roman" w:hAnsi="Times New Roman" w:cs="Times New Roman"/>
          <w:b/>
          <w:bCs/>
          <w:szCs w:val="22"/>
        </w:rPr>
        <w:t xml:space="preserve"> të </w:t>
      </w:r>
      <w:proofErr w:type="spellStart"/>
      <w:r w:rsidR="00CF1E7A" w:rsidRPr="00817921">
        <w:rPr>
          <w:rFonts w:ascii="Times New Roman" w:hAnsi="Times New Roman" w:cs="Times New Roman"/>
          <w:b/>
          <w:bCs/>
          <w:szCs w:val="22"/>
        </w:rPr>
        <w:t>mësuarit</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gjatë</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gjithë</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jetës</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për</w:t>
      </w:r>
      <w:proofErr w:type="spellEnd"/>
      <w:r w:rsidR="00CF1E7A" w:rsidRPr="00817921">
        <w:rPr>
          <w:rFonts w:ascii="Times New Roman" w:hAnsi="Times New Roman" w:cs="Times New Roman"/>
          <w:b/>
          <w:bCs/>
          <w:szCs w:val="22"/>
        </w:rPr>
        <w:t xml:space="preserve"> të </w:t>
      </w:r>
      <w:proofErr w:type="spellStart"/>
      <w:r w:rsidR="00CF1E7A" w:rsidRPr="00817921">
        <w:rPr>
          <w:rFonts w:ascii="Times New Roman" w:hAnsi="Times New Roman" w:cs="Times New Roman"/>
          <w:b/>
          <w:bCs/>
          <w:szCs w:val="22"/>
        </w:rPr>
        <w:t>gjithë</w:t>
      </w:r>
      <w:proofErr w:type="spellEnd"/>
      <w:r w:rsidR="00306091" w:rsidRPr="00817921">
        <w:rPr>
          <w:rFonts w:ascii="Times New Roman" w:hAnsi="Times New Roman" w:cs="Times New Roman"/>
          <w:b/>
          <w:bCs/>
          <w:szCs w:val="22"/>
        </w:rPr>
        <w:t>;</w:t>
      </w:r>
      <w:r w:rsidR="00306091" w:rsidRPr="00817921">
        <w:rPr>
          <w:rFonts w:ascii="Times New Roman" w:hAnsi="Times New Roman" w:cs="Times New Roman"/>
          <w:szCs w:val="22"/>
        </w:rPr>
        <w:t xml:space="preserve"> (vi) OZHQ 16: </w:t>
      </w:r>
      <w:proofErr w:type="spellStart"/>
      <w:r w:rsidR="00306091" w:rsidRPr="00817921">
        <w:rPr>
          <w:rFonts w:ascii="Times New Roman" w:hAnsi="Times New Roman" w:cs="Times New Roman"/>
          <w:b/>
          <w:bCs/>
          <w:szCs w:val="22"/>
        </w:rPr>
        <w:t>Paqe</w:t>
      </w:r>
      <w:proofErr w:type="spellEnd"/>
      <w:r w:rsidR="00306091" w:rsidRPr="00817921">
        <w:rPr>
          <w:rFonts w:ascii="Times New Roman" w:hAnsi="Times New Roman" w:cs="Times New Roman"/>
          <w:b/>
          <w:bCs/>
          <w:szCs w:val="22"/>
        </w:rPr>
        <w:t xml:space="preserve">, </w:t>
      </w:r>
      <w:proofErr w:type="spellStart"/>
      <w:r w:rsidR="00306091" w:rsidRPr="00817921">
        <w:rPr>
          <w:rFonts w:ascii="Times New Roman" w:hAnsi="Times New Roman" w:cs="Times New Roman"/>
          <w:b/>
          <w:bCs/>
          <w:szCs w:val="22"/>
        </w:rPr>
        <w:t>drejtësi</w:t>
      </w:r>
      <w:proofErr w:type="spellEnd"/>
      <w:r w:rsidR="00306091" w:rsidRPr="00817921">
        <w:rPr>
          <w:rFonts w:ascii="Times New Roman" w:hAnsi="Times New Roman" w:cs="Times New Roman"/>
          <w:b/>
          <w:bCs/>
          <w:szCs w:val="22"/>
        </w:rPr>
        <w:t xml:space="preserve"> dhe </w:t>
      </w:r>
      <w:proofErr w:type="spellStart"/>
      <w:r w:rsidR="00306091" w:rsidRPr="00817921">
        <w:rPr>
          <w:rFonts w:ascii="Times New Roman" w:hAnsi="Times New Roman" w:cs="Times New Roman"/>
          <w:b/>
          <w:bCs/>
          <w:szCs w:val="22"/>
        </w:rPr>
        <w:t>institucione</w:t>
      </w:r>
      <w:proofErr w:type="spellEnd"/>
      <w:r w:rsidR="00306091" w:rsidRPr="00817921">
        <w:rPr>
          <w:rFonts w:ascii="Times New Roman" w:hAnsi="Times New Roman" w:cs="Times New Roman"/>
          <w:b/>
          <w:bCs/>
          <w:szCs w:val="22"/>
        </w:rPr>
        <w:t xml:space="preserve"> të </w:t>
      </w:r>
      <w:proofErr w:type="spellStart"/>
      <w:r w:rsidR="00306091" w:rsidRPr="00817921">
        <w:rPr>
          <w:rFonts w:ascii="Times New Roman" w:hAnsi="Times New Roman" w:cs="Times New Roman"/>
          <w:b/>
          <w:bCs/>
          <w:szCs w:val="22"/>
        </w:rPr>
        <w:t>forta</w:t>
      </w:r>
      <w:proofErr w:type="spellEnd"/>
      <w:r w:rsidR="00306091" w:rsidRPr="00817921">
        <w:rPr>
          <w:rFonts w:ascii="Times New Roman" w:hAnsi="Times New Roman" w:cs="Times New Roman"/>
          <w:b/>
          <w:bCs/>
          <w:szCs w:val="22"/>
        </w:rPr>
        <w:t>;</w:t>
      </w:r>
      <w:r w:rsidR="00306091" w:rsidRPr="00817921">
        <w:rPr>
          <w:rFonts w:ascii="Times New Roman" w:hAnsi="Times New Roman" w:cs="Times New Roman"/>
          <w:szCs w:val="22"/>
        </w:rPr>
        <w:t xml:space="preserve"> (vii) </w:t>
      </w:r>
      <w:r w:rsidR="00CF1E7A" w:rsidRPr="00817921">
        <w:rPr>
          <w:rFonts w:ascii="Times New Roman" w:hAnsi="Times New Roman" w:cs="Times New Roman"/>
          <w:szCs w:val="22"/>
        </w:rPr>
        <w:t xml:space="preserve">OZHQ 17: </w:t>
      </w:r>
      <w:proofErr w:type="spellStart"/>
      <w:r w:rsidR="00CF1E7A" w:rsidRPr="00817921">
        <w:rPr>
          <w:rFonts w:ascii="Times New Roman" w:hAnsi="Times New Roman" w:cs="Times New Roman"/>
          <w:b/>
          <w:bCs/>
          <w:szCs w:val="22"/>
        </w:rPr>
        <w:t>Partneritet</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për</w:t>
      </w:r>
      <w:proofErr w:type="spellEnd"/>
      <w:r w:rsidR="00CF1E7A" w:rsidRPr="00817921">
        <w:rPr>
          <w:rFonts w:ascii="Times New Roman" w:hAnsi="Times New Roman" w:cs="Times New Roman"/>
          <w:b/>
          <w:bCs/>
          <w:szCs w:val="22"/>
        </w:rPr>
        <w:t xml:space="preserve"> </w:t>
      </w:r>
      <w:proofErr w:type="spellStart"/>
      <w:r w:rsidR="00CF1E7A" w:rsidRPr="00817921">
        <w:rPr>
          <w:rFonts w:ascii="Times New Roman" w:hAnsi="Times New Roman" w:cs="Times New Roman"/>
          <w:b/>
          <w:bCs/>
          <w:szCs w:val="22"/>
        </w:rPr>
        <w:t>Objektivat</w:t>
      </w:r>
      <w:proofErr w:type="spellEnd"/>
      <w:r w:rsidR="00306091" w:rsidRPr="00817921">
        <w:rPr>
          <w:rFonts w:ascii="Times New Roman" w:hAnsi="Times New Roman" w:cs="Times New Roman"/>
          <w:b/>
          <w:bCs/>
          <w:szCs w:val="22"/>
        </w:rPr>
        <w:t xml:space="preserve">; </w:t>
      </w:r>
    </w:p>
    <w:p w14:paraId="476B9ADF" w14:textId="77777777" w:rsidR="00256D16" w:rsidRPr="00817921" w:rsidRDefault="00256D16" w:rsidP="000B4B6D">
      <w:pPr>
        <w:spacing w:after="0" w:line="240" w:lineRule="auto"/>
        <w:rPr>
          <w:rFonts w:ascii="Times New Roman" w:hAnsi="Times New Roman" w:cs="Times New Roman"/>
          <w:szCs w:val="22"/>
        </w:rPr>
      </w:pPr>
    </w:p>
    <w:p w14:paraId="64013BEC" w14:textId="77777777" w:rsidR="00B35E28" w:rsidRDefault="00B35E28" w:rsidP="007827BC">
      <w:pPr>
        <w:widowControl w:val="0"/>
        <w:autoSpaceDE w:val="0"/>
        <w:autoSpaceDN w:val="0"/>
        <w:spacing w:after="0"/>
        <w:rPr>
          <w:rFonts w:ascii="Times New Roman" w:hAnsi="Times New Roman" w:cs="Times New Roman"/>
          <w:b/>
          <w:bCs/>
          <w:szCs w:val="22"/>
        </w:rPr>
      </w:pPr>
    </w:p>
    <w:p w14:paraId="1FB1B559" w14:textId="370C0AA5" w:rsidR="00DD0777" w:rsidRPr="00817921" w:rsidRDefault="00DD0777" w:rsidP="007827BC">
      <w:pPr>
        <w:widowControl w:val="0"/>
        <w:autoSpaceDE w:val="0"/>
        <w:autoSpaceDN w:val="0"/>
        <w:spacing w:after="0"/>
        <w:rPr>
          <w:rFonts w:ascii="Times New Roman" w:hAnsi="Times New Roman" w:cs="Times New Roman"/>
          <w:b/>
          <w:bCs/>
          <w:szCs w:val="22"/>
        </w:rPr>
      </w:pPr>
      <w:proofErr w:type="spellStart"/>
      <w:r w:rsidRPr="00817921">
        <w:rPr>
          <w:rFonts w:ascii="Times New Roman" w:hAnsi="Times New Roman" w:cs="Times New Roman"/>
          <w:b/>
          <w:bCs/>
          <w:szCs w:val="22"/>
        </w:rPr>
        <w:t>Referencat</w:t>
      </w:r>
      <w:proofErr w:type="spellEnd"/>
      <w:r w:rsidRPr="00817921">
        <w:rPr>
          <w:rFonts w:ascii="Times New Roman" w:hAnsi="Times New Roman" w:cs="Times New Roman"/>
          <w:b/>
          <w:bCs/>
          <w:szCs w:val="22"/>
        </w:rPr>
        <w:t xml:space="preserve"> </w:t>
      </w:r>
      <w:proofErr w:type="spellStart"/>
      <w:r w:rsidR="0058436C">
        <w:rPr>
          <w:rFonts w:ascii="Times New Roman" w:hAnsi="Times New Roman" w:cs="Times New Roman"/>
          <w:b/>
          <w:bCs/>
          <w:szCs w:val="22"/>
        </w:rPr>
        <w:t>S</w:t>
      </w:r>
      <w:r w:rsidRPr="00817921">
        <w:rPr>
          <w:rFonts w:ascii="Times New Roman" w:hAnsi="Times New Roman" w:cs="Times New Roman"/>
          <w:b/>
          <w:bCs/>
          <w:szCs w:val="22"/>
        </w:rPr>
        <w:t>trategjike</w:t>
      </w:r>
      <w:proofErr w:type="spellEnd"/>
      <w:r w:rsidRPr="00817921">
        <w:rPr>
          <w:rFonts w:ascii="Times New Roman" w:hAnsi="Times New Roman" w:cs="Times New Roman"/>
          <w:b/>
          <w:bCs/>
          <w:szCs w:val="22"/>
        </w:rPr>
        <w:t xml:space="preserve"> </w:t>
      </w:r>
      <w:proofErr w:type="spellStart"/>
      <w:r w:rsidR="0058436C">
        <w:rPr>
          <w:rFonts w:ascii="Times New Roman" w:hAnsi="Times New Roman" w:cs="Times New Roman"/>
          <w:b/>
          <w:bCs/>
          <w:szCs w:val="22"/>
        </w:rPr>
        <w:t>K</w:t>
      </w:r>
      <w:r w:rsidRPr="00817921">
        <w:rPr>
          <w:rFonts w:ascii="Times New Roman" w:hAnsi="Times New Roman" w:cs="Times New Roman"/>
          <w:b/>
          <w:bCs/>
          <w:szCs w:val="22"/>
        </w:rPr>
        <w:t>omb</w:t>
      </w:r>
      <w:r w:rsidR="009A5A0E" w:rsidRPr="00817921">
        <w:rPr>
          <w:rFonts w:ascii="Times New Roman" w:hAnsi="Times New Roman" w:cs="Times New Roman"/>
          <w:b/>
          <w:bCs/>
          <w:szCs w:val="22"/>
        </w:rPr>
        <w:t>ë</w:t>
      </w:r>
      <w:r w:rsidRPr="00817921">
        <w:rPr>
          <w:rFonts w:ascii="Times New Roman" w:hAnsi="Times New Roman" w:cs="Times New Roman"/>
          <w:b/>
          <w:bCs/>
          <w:szCs w:val="22"/>
        </w:rPr>
        <w:t>tare</w:t>
      </w:r>
      <w:proofErr w:type="spellEnd"/>
    </w:p>
    <w:p w14:paraId="29343551" w14:textId="493E3342" w:rsidR="00B35E28" w:rsidRDefault="00DD0777" w:rsidP="00765F0B">
      <w:pPr>
        <w:widowControl w:val="0"/>
        <w:autoSpaceDE w:val="0"/>
        <w:autoSpaceDN w:val="0"/>
        <w:spacing w:after="0"/>
        <w:rPr>
          <w:rFonts w:ascii="Times New Roman" w:hAnsi="Times New Roman" w:cs="Times New Roman"/>
          <w:szCs w:val="22"/>
          <w:lang w:val="pt-BR"/>
        </w:rPr>
      </w:pPr>
      <w:proofErr w:type="spellStart"/>
      <w:r w:rsidRPr="00817921">
        <w:rPr>
          <w:rFonts w:ascii="Times New Roman" w:hAnsi="Times New Roman" w:cs="Times New Roman"/>
          <w:szCs w:val="22"/>
        </w:rPr>
        <w:t>Strategjia</w:t>
      </w:r>
      <w:proofErr w:type="spellEnd"/>
      <w:r w:rsidRPr="00817921">
        <w:rPr>
          <w:rFonts w:ascii="Times New Roman" w:hAnsi="Times New Roman" w:cs="Times New Roman"/>
          <w:szCs w:val="22"/>
        </w:rPr>
        <w:t xml:space="preserve"> e </w:t>
      </w:r>
      <w:proofErr w:type="spellStart"/>
      <w:r w:rsidRPr="00817921">
        <w:rPr>
          <w:rFonts w:ascii="Times New Roman" w:hAnsi="Times New Roman" w:cs="Times New Roman"/>
          <w:szCs w:val="22"/>
        </w:rPr>
        <w:t>Mbrojtjes</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Shoq</w:t>
      </w:r>
      <w:r w:rsidR="009A5A0E" w:rsidRPr="00817921">
        <w:rPr>
          <w:rFonts w:ascii="Times New Roman" w:hAnsi="Times New Roman" w:cs="Times New Roman"/>
          <w:szCs w:val="22"/>
        </w:rPr>
        <w:t>ë</w:t>
      </w:r>
      <w:r w:rsidRPr="00817921">
        <w:rPr>
          <w:rFonts w:ascii="Times New Roman" w:hAnsi="Times New Roman" w:cs="Times New Roman"/>
          <w:szCs w:val="22"/>
        </w:rPr>
        <w:t>rore</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lidhet</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drejtp</w:t>
      </w:r>
      <w:r w:rsidR="009A5A0E" w:rsidRPr="00817921">
        <w:rPr>
          <w:rFonts w:ascii="Times New Roman" w:hAnsi="Times New Roman" w:cs="Times New Roman"/>
          <w:szCs w:val="22"/>
        </w:rPr>
        <w:t>ë</w:t>
      </w:r>
      <w:r w:rsidRPr="00817921">
        <w:rPr>
          <w:rFonts w:ascii="Times New Roman" w:hAnsi="Times New Roman" w:cs="Times New Roman"/>
          <w:szCs w:val="22"/>
        </w:rPr>
        <w:t>rdrejt</w:t>
      </w:r>
      <w:r w:rsidR="009A5A0E" w:rsidRPr="00817921">
        <w:rPr>
          <w:rFonts w:ascii="Times New Roman" w:hAnsi="Times New Roman" w:cs="Times New Roman"/>
          <w:szCs w:val="22"/>
        </w:rPr>
        <w:t>ë</w:t>
      </w:r>
      <w:proofErr w:type="spellEnd"/>
      <w:r w:rsidRPr="00817921">
        <w:rPr>
          <w:rFonts w:ascii="Times New Roman" w:hAnsi="Times New Roman" w:cs="Times New Roman"/>
          <w:szCs w:val="22"/>
        </w:rPr>
        <w:t xml:space="preserve"> me 1</w:t>
      </w:r>
      <w:r w:rsidR="00765F0B" w:rsidRPr="00817921">
        <w:rPr>
          <w:rFonts w:ascii="Times New Roman" w:hAnsi="Times New Roman" w:cs="Times New Roman"/>
          <w:szCs w:val="22"/>
        </w:rPr>
        <w:t>6</w:t>
      </w:r>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strategji</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dokumente</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politikash</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apo</w:t>
      </w:r>
      <w:proofErr w:type="spellEnd"/>
      <w:r w:rsidRPr="00817921">
        <w:rPr>
          <w:rFonts w:ascii="Times New Roman" w:hAnsi="Times New Roman" w:cs="Times New Roman"/>
          <w:szCs w:val="22"/>
        </w:rPr>
        <w:t xml:space="preserve"> plane </w:t>
      </w:r>
      <w:proofErr w:type="spellStart"/>
      <w:r w:rsidRPr="00817921">
        <w:rPr>
          <w:rFonts w:ascii="Times New Roman" w:hAnsi="Times New Roman" w:cs="Times New Roman"/>
          <w:szCs w:val="22"/>
        </w:rPr>
        <w:t>veprimi</w:t>
      </w:r>
      <w:proofErr w:type="spellEnd"/>
      <w:r w:rsidR="00B555A9">
        <w:rPr>
          <w:rFonts w:ascii="Times New Roman" w:hAnsi="Times New Roman" w:cs="Times New Roman"/>
          <w:szCs w:val="22"/>
        </w:rPr>
        <w:t xml:space="preserve"> </w:t>
      </w:r>
      <w:proofErr w:type="spellStart"/>
      <w:r w:rsidR="00B555A9">
        <w:rPr>
          <w:rFonts w:ascii="Times New Roman" w:hAnsi="Times New Roman" w:cs="Times New Roman"/>
          <w:szCs w:val="22"/>
        </w:rPr>
        <w:t>komb</w:t>
      </w:r>
      <w:proofErr w:type="spellEnd"/>
      <w:r w:rsidR="00B555A9" w:rsidRPr="00817921">
        <w:rPr>
          <w:rFonts w:ascii="Times New Roman" w:eastAsia="Times New Roman" w:hAnsi="Times New Roman" w:cs="Times New Roman"/>
          <w:iCs/>
          <w:szCs w:val="22"/>
          <w:lang w:val="sq-AL" w:eastAsia="en-GB"/>
        </w:rPr>
        <w:t>ë</w:t>
      </w:r>
      <w:r w:rsidR="00B555A9">
        <w:rPr>
          <w:rFonts w:ascii="Times New Roman" w:eastAsia="Times New Roman" w:hAnsi="Times New Roman" w:cs="Times New Roman"/>
          <w:iCs/>
          <w:szCs w:val="22"/>
          <w:lang w:val="sq-AL" w:eastAsia="en-GB"/>
        </w:rPr>
        <w:t>tare</w:t>
      </w:r>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Konkretisht</w:t>
      </w:r>
      <w:proofErr w:type="spellEnd"/>
      <w:r w:rsidRPr="00817921">
        <w:rPr>
          <w:rFonts w:ascii="Times New Roman" w:hAnsi="Times New Roman" w:cs="Times New Roman"/>
          <w:szCs w:val="22"/>
        </w:rPr>
        <w:t xml:space="preserve">: (i) </w:t>
      </w:r>
      <w:r w:rsidR="007827BC" w:rsidRPr="00817921">
        <w:rPr>
          <w:rFonts w:ascii="Times New Roman" w:hAnsi="Times New Roman" w:cs="Times New Roman"/>
          <w:b/>
          <w:bCs/>
          <w:szCs w:val="22"/>
          <w:lang w:val="pt-BR"/>
        </w:rPr>
        <w:t>Strategjia Kombëtare për Zhvillim dhe Integrim 2030</w:t>
      </w:r>
      <w:r w:rsidR="007827BC" w:rsidRPr="00817921">
        <w:rPr>
          <w:rStyle w:val="FootnoteReference"/>
          <w:rFonts w:ascii="Times New Roman" w:hAnsi="Times New Roman" w:cs="Times New Roman"/>
          <w:b/>
          <w:bCs/>
          <w:szCs w:val="22"/>
          <w:lang w:val="pt-BR"/>
        </w:rPr>
        <w:footnoteReference w:id="95"/>
      </w:r>
      <w:r w:rsidR="007827BC" w:rsidRPr="00817921">
        <w:rPr>
          <w:rFonts w:ascii="Times New Roman" w:hAnsi="Times New Roman" w:cs="Times New Roman"/>
          <w:b/>
          <w:bCs/>
          <w:szCs w:val="22"/>
          <w:lang w:val="pt-BR"/>
        </w:rPr>
        <w:t xml:space="preserve"> </w:t>
      </w:r>
      <w:r w:rsidR="007827BC" w:rsidRPr="00817921">
        <w:rPr>
          <w:rFonts w:ascii="Times New Roman" w:hAnsi="Times New Roman" w:cs="Times New Roman"/>
          <w:szCs w:val="22"/>
          <w:lang w:val="pt-BR"/>
        </w:rPr>
        <w:t xml:space="preserve">shtylla e tretë e </w:t>
      </w:r>
      <w:r w:rsidRPr="00817921">
        <w:rPr>
          <w:rFonts w:ascii="Times New Roman" w:hAnsi="Times New Roman" w:cs="Times New Roman"/>
          <w:szCs w:val="22"/>
          <w:lang w:val="pt-BR"/>
        </w:rPr>
        <w:t>s</w:t>
      </w:r>
      <w:r w:rsidR="009A5A0E" w:rsidRPr="00817921">
        <w:rPr>
          <w:rFonts w:ascii="Times New Roman" w:hAnsi="Times New Roman" w:cs="Times New Roman"/>
          <w:szCs w:val="22"/>
          <w:lang w:val="pt-BR"/>
        </w:rPr>
        <w:t>ë</w:t>
      </w:r>
      <w:r w:rsidRPr="00817921">
        <w:rPr>
          <w:rFonts w:ascii="Times New Roman" w:hAnsi="Times New Roman" w:cs="Times New Roman"/>
          <w:szCs w:val="22"/>
          <w:lang w:val="pt-BR"/>
        </w:rPr>
        <w:t xml:space="preserve"> cil</w:t>
      </w:r>
      <w:r w:rsidR="009A5A0E" w:rsidRPr="00817921">
        <w:rPr>
          <w:rFonts w:ascii="Times New Roman" w:hAnsi="Times New Roman" w:cs="Times New Roman"/>
          <w:szCs w:val="22"/>
          <w:lang w:val="pt-BR"/>
        </w:rPr>
        <w:t>ë</w:t>
      </w:r>
      <w:r w:rsidRPr="00817921">
        <w:rPr>
          <w:rFonts w:ascii="Times New Roman" w:hAnsi="Times New Roman" w:cs="Times New Roman"/>
          <w:szCs w:val="22"/>
          <w:lang w:val="pt-BR"/>
        </w:rPr>
        <w:t>s</w:t>
      </w:r>
      <w:r w:rsidR="007827BC" w:rsidRPr="00817921">
        <w:rPr>
          <w:rFonts w:ascii="Times New Roman" w:hAnsi="Times New Roman" w:cs="Times New Roman"/>
          <w:szCs w:val="22"/>
          <w:lang w:val="pt-BR"/>
        </w:rPr>
        <w:t xml:space="preserve"> ka në qendër burimet njerëzore si kapitalin më të cmuar në vend, duke synuar ofrimin e shërbimeve bazë publike, luftën kundër varfërisë dhe nxitjen e punësimit ,fuqizimit të sistemit të mbrojtjes shoqërore dhe mbështetjen e shtresave të veçanta </w:t>
      </w:r>
      <w:r w:rsidRPr="00817921">
        <w:rPr>
          <w:rFonts w:ascii="Times New Roman" w:hAnsi="Times New Roman" w:cs="Times New Roman"/>
          <w:szCs w:val="22"/>
          <w:lang w:val="pt-BR"/>
        </w:rPr>
        <w:t>m</w:t>
      </w:r>
      <w:r w:rsidR="009A5A0E" w:rsidRPr="00817921">
        <w:rPr>
          <w:rFonts w:ascii="Times New Roman" w:hAnsi="Times New Roman" w:cs="Times New Roman"/>
          <w:szCs w:val="22"/>
          <w:lang w:val="pt-BR"/>
        </w:rPr>
        <w:t>ë</w:t>
      </w:r>
      <w:r w:rsidR="007827BC" w:rsidRPr="00817921">
        <w:rPr>
          <w:rFonts w:ascii="Times New Roman" w:hAnsi="Times New Roman" w:cs="Times New Roman"/>
          <w:szCs w:val="22"/>
          <w:lang w:val="pt-BR"/>
        </w:rPr>
        <w:t xml:space="preserve"> në nevojë të shoqërisë. Një nga drejtimet e Mbrojtjes Sociale nën shtyllën e Kohezionit Social është </w:t>
      </w:r>
      <w:r w:rsidR="007827BC" w:rsidRPr="00817921">
        <w:rPr>
          <w:rFonts w:ascii="Times New Roman" w:hAnsi="Times New Roman" w:cs="Times New Roman"/>
          <w:i/>
          <w:iCs/>
          <w:szCs w:val="22"/>
          <w:lang w:val="pt-BR"/>
        </w:rPr>
        <w:t>Zhvillimi i Shërbimeve Shoqërore të Integruara</w:t>
      </w:r>
      <w:r w:rsidRPr="00817921">
        <w:rPr>
          <w:rFonts w:ascii="Times New Roman" w:hAnsi="Times New Roman" w:cs="Times New Roman"/>
          <w:i/>
          <w:iCs/>
          <w:szCs w:val="22"/>
          <w:lang w:val="pt-BR"/>
        </w:rPr>
        <w:t xml:space="preserve">; (ii) </w:t>
      </w:r>
      <w:r w:rsidR="007827BC" w:rsidRPr="00817921">
        <w:rPr>
          <w:rFonts w:ascii="Times New Roman" w:hAnsi="Times New Roman" w:cs="Times New Roman"/>
          <w:b/>
          <w:bCs/>
          <w:szCs w:val="22"/>
          <w:lang w:val="pt-BR"/>
        </w:rPr>
        <w:t>Plani Kombëtar për Integrim Europian (PKIE)2023</w:t>
      </w:r>
      <w:r w:rsidR="007827BC" w:rsidRPr="00817921">
        <w:rPr>
          <w:rStyle w:val="FootnoteReference"/>
          <w:rFonts w:ascii="Times New Roman" w:hAnsi="Times New Roman" w:cs="Times New Roman"/>
          <w:b/>
          <w:bCs/>
          <w:szCs w:val="22"/>
          <w:lang w:val="pt-BR"/>
        </w:rPr>
        <w:footnoteReference w:id="96"/>
      </w:r>
      <w:r w:rsidRPr="00817921">
        <w:rPr>
          <w:rFonts w:ascii="Times New Roman" w:hAnsi="Times New Roman" w:cs="Times New Roman"/>
          <w:b/>
          <w:bCs/>
          <w:szCs w:val="22"/>
          <w:lang w:val="pt-BR"/>
        </w:rPr>
        <w:t xml:space="preserve">, </w:t>
      </w:r>
      <w:r w:rsidR="007827BC" w:rsidRPr="00817921">
        <w:rPr>
          <w:rFonts w:ascii="Times New Roman" w:hAnsi="Times New Roman" w:cs="Times New Roman"/>
          <w:szCs w:val="22"/>
          <w:lang w:val="pt-BR"/>
        </w:rPr>
        <w:t>Kapitulli 19 “Politikat sociale dhe punësimi” , nënkapitulli mundësi të barabarta dhe antidiskrimi, përfshirja sociale, mbrojtja sociale , aftësia e kufizuar, mundësi punësimi</w:t>
      </w:r>
      <w:r w:rsidRPr="00817921">
        <w:rPr>
          <w:rFonts w:ascii="Times New Roman" w:hAnsi="Times New Roman" w:cs="Times New Roman"/>
          <w:szCs w:val="22"/>
          <w:lang w:val="pt-BR"/>
        </w:rPr>
        <w:t xml:space="preserve"> q</w:t>
      </w:r>
      <w:r w:rsidR="009A5A0E" w:rsidRPr="00817921">
        <w:rPr>
          <w:rFonts w:ascii="Times New Roman" w:hAnsi="Times New Roman" w:cs="Times New Roman"/>
          <w:szCs w:val="22"/>
          <w:lang w:val="pt-BR"/>
        </w:rPr>
        <w:t>ë</w:t>
      </w:r>
      <w:r w:rsidRPr="00817921">
        <w:rPr>
          <w:rFonts w:ascii="Times New Roman" w:hAnsi="Times New Roman" w:cs="Times New Roman"/>
          <w:szCs w:val="22"/>
          <w:lang w:val="pt-BR"/>
        </w:rPr>
        <w:t xml:space="preserve"> i kushton nj</w:t>
      </w:r>
      <w:r w:rsidR="009A5A0E" w:rsidRPr="00817921">
        <w:rPr>
          <w:rFonts w:ascii="Times New Roman" w:hAnsi="Times New Roman" w:cs="Times New Roman"/>
          <w:szCs w:val="22"/>
          <w:lang w:val="pt-BR"/>
        </w:rPr>
        <w:t>ë</w:t>
      </w:r>
      <w:r w:rsidRPr="00817921">
        <w:rPr>
          <w:rFonts w:ascii="Times New Roman" w:hAnsi="Times New Roman" w:cs="Times New Roman"/>
          <w:szCs w:val="22"/>
          <w:lang w:val="pt-BR"/>
        </w:rPr>
        <w:t xml:space="preserve"> </w:t>
      </w:r>
      <w:r w:rsidR="007827BC" w:rsidRPr="00817921">
        <w:rPr>
          <w:rFonts w:ascii="Times New Roman" w:hAnsi="Times New Roman" w:cs="Times New Roman"/>
          <w:szCs w:val="22"/>
          <w:lang w:val="pt-BR"/>
        </w:rPr>
        <w:t>fokus të ve</w:t>
      </w:r>
      <w:bookmarkStart w:id="16" w:name="_Hlk136218351"/>
      <w:r w:rsidR="007827BC" w:rsidRPr="00817921">
        <w:rPr>
          <w:rFonts w:ascii="Times New Roman" w:hAnsi="Times New Roman" w:cs="Times New Roman"/>
          <w:szCs w:val="22"/>
          <w:lang w:val="pt-BR"/>
        </w:rPr>
        <w:t>ç</w:t>
      </w:r>
      <w:bookmarkEnd w:id="16"/>
      <w:r w:rsidR="007827BC" w:rsidRPr="00817921">
        <w:rPr>
          <w:rFonts w:ascii="Times New Roman" w:hAnsi="Times New Roman" w:cs="Times New Roman"/>
          <w:szCs w:val="22"/>
          <w:lang w:val="pt-BR"/>
        </w:rPr>
        <w:t>antë decentralizimi</w:t>
      </w:r>
      <w:r w:rsidRPr="00817921">
        <w:rPr>
          <w:rFonts w:ascii="Times New Roman" w:hAnsi="Times New Roman" w:cs="Times New Roman"/>
          <w:szCs w:val="22"/>
          <w:lang w:val="pt-BR"/>
        </w:rPr>
        <w:t>t</w:t>
      </w:r>
      <w:r w:rsidR="007827BC" w:rsidRPr="00817921">
        <w:rPr>
          <w:rFonts w:ascii="Times New Roman" w:hAnsi="Times New Roman" w:cs="Times New Roman"/>
          <w:szCs w:val="22"/>
          <w:lang w:val="pt-BR"/>
        </w:rPr>
        <w:t xml:space="preserve"> lokal dhe zhvillimi</w:t>
      </w:r>
      <w:r w:rsidRPr="00817921">
        <w:rPr>
          <w:rFonts w:ascii="Times New Roman" w:hAnsi="Times New Roman" w:cs="Times New Roman"/>
          <w:szCs w:val="22"/>
          <w:lang w:val="pt-BR"/>
        </w:rPr>
        <w:t>t t</w:t>
      </w:r>
      <w:r w:rsidR="009A5A0E" w:rsidRPr="00817921">
        <w:rPr>
          <w:rFonts w:ascii="Times New Roman" w:hAnsi="Times New Roman" w:cs="Times New Roman"/>
          <w:szCs w:val="22"/>
          <w:lang w:val="pt-BR"/>
        </w:rPr>
        <w:t>ë</w:t>
      </w:r>
      <w:r w:rsidR="007827BC" w:rsidRPr="00817921">
        <w:rPr>
          <w:rFonts w:ascii="Times New Roman" w:hAnsi="Times New Roman" w:cs="Times New Roman"/>
          <w:szCs w:val="22"/>
          <w:lang w:val="pt-BR"/>
        </w:rPr>
        <w:t xml:space="preserve"> shërbimeve të integruara të kujdesit shoqëror dhe komunitar për të gjitha kategoritë vulnerabël</w:t>
      </w:r>
      <w:r w:rsidRPr="00817921">
        <w:rPr>
          <w:rFonts w:ascii="Times New Roman" w:hAnsi="Times New Roman" w:cs="Times New Roman"/>
          <w:szCs w:val="22"/>
          <w:lang w:val="pt-BR"/>
        </w:rPr>
        <w:t xml:space="preserve">, </w:t>
      </w:r>
      <w:r w:rsidR="007827BC" w:rsidRPr="00817921">
        <w:rPr>
          <w:rFonts w:ascii="Times New Roman" w:hAnsi="Times New Roman" w:cs="Times New Roman"/>
          <w:szCs w:val="22"/>
          <w:lang w:val="pt-BR"/>
        </w:rPr>
        <w:t xml:space="preserve">Kapitulli 23” Gjyqësori dhe të Drejtat Themelore” , </w:t>
      </w:r>
      <w:r w:rsidRPr="00817921">
        <w:rPr>
          <w:rFonts w:ascii="Times New Roman" w:hAnsi="Times New Roman" w:cs="Times New Roman"/>
          <w:szCs w:val="22"/>
          <w:lang w:val="pt-BR"/>
        </w:rPr>
        <w:t>q</w:t>
      </w:r>
      <w:r w:rsidR="009A5A0E" w:rsidRPr="00817921">
        <w:rPr>
          <w:rFonts w:ascii="Times New Roman" w:hAnsi="Times New Roman" w:cs="Times New Roman"/>
          <w:szCs w:val="22"/>
          <w:lang w:val="pt-BR"/>
        </w:rPr>
        <w:t>ë</w:t>
      </w:r>
      <w:r w:rsidRPr="00817921">
        <w:rPr>
          <w:rFonts w:ascii="Times New Roman" w:hAnsi="Times New Roman" w:cs="Times New Roman"/>
          <w:szCs w:val="22"/>
          <w:lang w:val="pt-BR"/>
        </w:rPr>
        <w:t xml:space="preserve"> thekson nevoj</w:t>
      </w:r>
      <w:r w:rsidR="009A5A0E" w:rsidRPr="00817921">
        <w:rPr>
          <w:rFonts w:ascii="Times New Roman" w:hAnsi="Times New Roman" w:cs="Times New Roman"/>
          <w:szCs w:val="22"/>
          <w:lang w:val="pt-BR"/>
        </w:rPr>
        <w:t>ë</w:t>
      </w:r>
      <w:r w:rsidRPr="00817921">
        <w:rPr>
          <w:rFonts w:ascii="Times New Roman" w:hAnsi="Times New Roman" w:cs="Times New Roman"/>
          <w:szCs w:val="22"/>
          <w:lang w:val="pt-BR"/>
        </w:rPr>
        <w:t>n</w:t>
      </w:r>
      <w:r w:rsidR="007827BC" w:rsidRPr="00817921">
        <w:rPr>
          <w:rFonts w:ascii="Times New Roman" w:hAnsi="Times New Roman" w:cs="Times New Roman"/>
          <w:szCs w:val="22"/>
          <w:lang w:val="pt-BR"/>
        </w:rPr>
        <w:t xml:space="preserve"> për zgjerimin e rrjetit të  shërbimeve të kujdesit shoqëror të integruara me synim formimin profesional dhe punësimin e shtresave në nevojë ( përfitues të ndihmës ekonomike, persona me aftësi të kufizuar, gratë e dhunuara, personat LGBTI+, Romët dhe Egjiptianët, etj.)</w:t>
      </w:r>
      <w:r w:rsidRPr="00817921">
        <w:rPr>
          <w:rFonts w:ascii="Times New Roman" w:hAnsi="Times New Roman" w:cs="Times New Roman"/>
          <w:szCs w:val="22"/>
          <w:lang w:val="pt-BR"/>
        </w:rPr>
        <w:t xml:space="preserve">, </w:t>
      </w:r>
      <w:r w:rsidR="007827BC" w:rsidRPr="00817921">
        <w:rPr>
          <w:rFonts w:ascii="Times New Roman" w:hAnsi="Times New Roman" w:cs="Times New Roman"/>
          <w:szCs w:val="22"/>
          <w:lang w:val="pt-BR"/>
        </w:rPr>
        <w:t>Kapitulli 28 – “Shëndeti dhe Mbrojtja e Konsumatorit</w:t>
      </w:r>
      <w:r w:rsidRPr="00817921">
        <w:rPr>
          <w:rFonts w:ascii="Times New Roman" w:hAnsi="Times New Roman" w:cs="Times New Roman"/>
          <w:szCs w:val="22"/>
          <w:lang w:val="pt-BR"/>
        </w:rPr>
        <w:t xml:space="preserve"> ku theksohet</w:t>
      </w:r>
      <w:r w:rsidR="007827BC" w:rsidRPr="00817921">
        <w:rPr>
          <w:rFonts w:ascii="Times New Roman" w:hAnsi="Times New Roman" w:cs="Times New Roman"/>
          <w:szCs w:val="22"/>
          <w:lang w:val="pt-BR"/>
        </w:rPr>
        <w:t xml:space="preserve"> nevoj</w:t>
      </w:r>
      <w:r w:rsidRPr="00817921">
        <w:rPr>
          <w:rFonts w:ascii="Times New Roman" w:hAnsi="Times New Roman" w:cs="Times New Roman"/>
          <w:szCs w:val="22"/>
          <w:lang w:val="pt-BR"/>
        </w:rPr>
        <w:t>a</w:t>
      </w:r>
      <w:r w:rsidR="007827BC" w:rsidRPr="00817921">
        <w:rPr>
          <w:rFonts w:ascii="Times New Roman" w:hAnsi="Times New Roman" w:cs="Times New Roman"/>
          <w:szCs w:val="22"/>
          <w:lang w:val="pt-BR"/>
        </w:rPr>
        <w:t xml:space="preserve"> për të garantuar akses të barabartë në shërbimet cilë</w:t>
      </w:r>
      <w:r w:rsidR="00B555A9">
        <w:rPr>
          <w:rFonts w:ascii="Times New Roman" w:hAnsi="Times New Roman" w:cs="Times New Roman"/>
          <w:szCs w:val="22"/>
          <w:lang w:val="pt-BR"/>
        </w:rPr>
        <w:t>so</w:t>
      </w:r>
      <w:r w:rsidR="007827BC" w:rsidRPr="00817921">
        <w:rPr>
          <w:rFonts w:ascii="Times New Roman" w:hAnsi="Times New Roman" w:cs="Times New Roman"/>
          <w:szCs w:val="22"/>
          <w:lang w:val="pt-BR"/>
        </w:rPr>
        <w:t>re të integruara socio- shëndetësore për shtresat vulnerabël, përfshirë minoritetin Rom dhe Egjiptian, të moshuarit, personat me probleme të shëndetit mendor, personat me aftësi të kufizuara, popullsinë rurale dhe që jeton në zona të largëta, dhe në veçanti gratë dhe vajzat që i përkasin grupeve që shpesh herë janë subjekti formave të shumëfishta të diskriminimit</w:t>
      </w:r>
      <w:r w:rsidRPr="00817921">
        <w:rPr>
          <w:rFonts w:ascii="Times New Roman" w:hAnsi="Times New Roman" w:cs="Times New Roman"/>
          <w:szCs w:val="22"/>
          <w:lang w:val="pt-BR"/>
        </w:rPr>
        <w:t xml:space="preserve">; </w:t>
      </w:r>
    </w:p>
    <w:p w14:paraId="13C442D5" w14:textId="77777777" w:rsidR="00B35E28" w:rsidRDefault="00DD0777" w:rsidP="00765F0B">
      <w:pPr>
        <w:widowControl w:val="0"/>
        <w:autoSpaceDE w:val="0"/>
        <w:autoSpaceDN w:val="0"/>
        <w:spacing w:after="0"/>
        <w:rPr>
          <w:rFonts w:ascii="Times New Roman" w:hAnsi="Times New Roman" w:cs="Times New Roman"/>
          <w:szCs w:val="22"/>
          <w:lang w:val="pt-BR"/>
        </w:rPr>
      </w:pPr>
      <w:r w:rsidRPr="00817921">
        <w:rPr>
          <w:rFonts w:ascii="Times New Roman" w:hAnsi="Times New Roman" w:cs="Times New Roman"/>
          <w:szCs w:val="22"/>
          <w:lang w:val="pt-BR"/>
        </w:rPr>
        <w:t xml:space="preserve">(iii) </w:t>
      </w:r>
      <w:proofErr w:type="spellStart"/>
      <w:r w:rsidR="007827BC" w:rsidRPr="00817921">
        <w:rPr>
          <w:rFonts w:ascii="Times New Roman" w:hAnsi="Times New Roman" w:cs="Times New Roman"/>
          <w:b/>
          <w:bCs/>
          <w:szCs w:val="22"/>
          <w:lang w:val="pt-BR"/>
        </w:rPr>
        <w:t>Strategjia</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Kombëtare</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për</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Barazinë</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Gjinore</w:t>
      </w:r>
      <w:proofErr w:type="spellEnd"/>
      <w:r w:rsidR="007827BC" w:rsidRPr="00817921">
        <w:rPr>
          <w:rFonts w:ascii="Times New Roman" w:hAnsi="Times New Roman" w:cs="Times New Roman"/>
          <w:b/>
          <w:bCs/>
          <w:szCs w:val="22"/>
          <w:lang w:val="pt-BR"/>
        </w:rPr>
        <w:t xml:space="preserve"> 2021-2030</w:t>
      </w:r>
      <w:r w:rsidR="007827BC" w:rsidRPr="00817921">
        <w:rPr>
          <w:rFonts w:ascii="Times New Roman" w:hAnsi="Times New Roman" w:cs="Times New Roman"/>
          <w:szCs w:val="22"/>
          <w:lang w:val="pt-BR"/>
        </w:rPr>
        <w:t xml:space="preserve"> </w:t>
      </w:r>
      <w:r w:rsidR="007827BC" w:rsidRPr="00817921">
        <w:rPr>
          <w:rFonts w:ascii="Times New Roman" w:hAnsi="Times New Roman" w:cs="Times New Roman"/>
          <w:b/>
          <w:bCs/>
          <w:szCs w:val="22"/>
          <w:lang w:val="pt-BR"/>
        </w:rPr>
        <w:t xml:space="preserve">dhe </w:t>
      </w:r>
      <w:proofErr w:type="spellStart"/>
      <w:r w:rsidR="007827BC" w:rsidRPr="00817921">
        <w:rPr>
          <w:rFonts w:ascii="Times New Roman" w:hAnsi="Times New Roman" w:cs="Times New Roman"/>
          <w:b/>
          <w:bCs/>
          <w:szCs w:val="22"/>
          <w:lang w:val="pt-BR"/>
        </w:rPr>
        <w:t>Planin</w:t>
      </w:r>
      <w:proofErr w:type="spellEnd"/>
      <w:r w:rsidR="007827BC" w:rsidRPr="00817921">
        <w:rPr>
          <w:rFonts w:ascii="Times New Roman" w:hAnsi="Times New Roman" w:cs="Times New Roman"/>
          <w:b/>
          <w:bCs/>
          <w:szCs w:val="22"/>
          <w:lang w:val="pt-BR"/>
        </w:rPr>
        <w:t xml:space="preserve"> e </w:t>
      </w:r>
      <w:proofErr w:type="spellStart"/>
      <w:r w:rsidR="007827BC" w:rsidRPr="00817921">
        <w:rPr>
          <w:rFonts w:ascii="Times New Roman" w:hAnsi="Times New Roman" w:cs="Times New Roman"/>
          <w:b/>
          <w:bCs/>
          <w:szCs w:val="22"/>
          <w:lang w:val="pt-BR"/>
        </w:rPr>
        <w:t>saj</w:t>
      </w:r>
      <w:proofErr w:type="spellEnd"/>
      <w:r w:rsidR="007827BC" w:rsidRPr="00817921">
        <w:rPr>
          <w:rFonts w:ascii="Times New Roman" w:hAnsi="Times New Roman" w:cs="Times New Roman"/>
          <w:b/>
          <w:bCs/>
          <w:szCs w:val="22"/>
          <w:lang w:val="pt-BR"/>
        </w:rPr>
        <w:t xml:space="preserve"> të </w:t>
      </w:r>
      <w:proofErr w:type="spellStart"/>
      <w:r w:rsidR="007827BC" w:rsidRPr="00817921">
        <w:rPr>
          <w:rFonts w:ascii="Times New Roman" w:hAnsi="Times New Roman" w:cs="Times New Roman"/>
          <w:b/>
          <w:bCs/>
          <w:szCs w:val="22"/>
          <w:lang w:val="pt-BR"/>
        </w:rPr>
        <w:t>Veprimit</w:t>
      </w:r>
      <w:proofErr w:type="spellEnd"/>
      <w:r w:rsidR="007827BC" w:rsidRPr="00817921">
        <w:rPr>
          <w:rStyle w:val="FootnoteReference"/>
          <w:rFonts w:ascii="Times New Roman" w:hAnsi="Times New Roman" w:cs="Times New Roman"/>
          <w:szCs w:val="22"/>
          <w:lang w:val="pt-BR"/>
        </w:rPr>
        <w:footnoteReference w:id="97"/>
      </w:r>
      <w:r w:rsidR="007827BC" w:rsidRPr="00817921">
        <w:rPr>
          <w:rFonts w:ascii="Times New Roman" w:hAnsi="Times New Roman" w:cs="Times New Roman"/>
          <w:szCs w:val="22"/>
          <w:lang w:val="pt-BR"/>
        </w:rPr>
        <w:t xml:space="preserve"> </w:t>
      </w:r>
      <w:proofErr w:type="spellStart"/>
      <w:r w:rsidRPr="00817921">
        <w:rPr>
          <w:rFonts w:ascii="Times New Roman" w:hAnsi="Times New Roman" w:cs="Times New Roman"/>
          <w:szCs w:val="22"/>
        </w:rPr>
        <w:t>drejtimi</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strategjik</w:t>
      </w:r>
      <w:proofErr w:type="spellEnd"/>
      <w:r w:rsidRPr="00817921">
        <w:rPr>
          <w:rFonts w:ascii="Times New Roman" w:hAnsi="Times New Roman" w:cs="Times New Roman"/>
          <w:szCs w:val="22"/>
        </w:rPr>
        <w:t xml:space="preserve"> </w:t>
      </w:r>
      <w:r w:rsidR="007827BC" w:rsidRPr="00817921">
        <w:rPr>
          <w:rFonts w:ascii="Times New Roman" w:hAnsi="Times New Roman" w:cs="Times New Roman"/>
          <w:szCs w:val="22"/>
          <w:lang w:val="pt-BR"/>
        </w:rPr>
        <w:t>3 “ Zvog</w:t>
      </w:r>
      <w:r w:rsidR="006836A5" w:rsidRPr="002C0D3E">
        <w:rPr>
          <w:rFonts w:ascii="Times New Roman" w:hAnsi="Times New Roman" w:cs="Times New Roman"/>
          <w:szCs w:val="22"/>
        </w:rPr>
        <w:t>ë</w:t>
      </w:r>
      <w:r w:rsidR="007827BC" w:rsidRPr="00817921">
        <w:rPr>
          <w:rFonts w:ascii="Times New Roman" w:hAnsi="Times New Roman" w:cs="Times New Roman"/>
          <w:szCs w:val="22"/>
          <w:lang w:val="pt-BR"/>
        </w:rPr>
        <w:t>limi i të gjitha formave dhe praktikave të dëmshme , dhunës me bazë gjinore dhe dhunës në familje”, objektivi specifik II.2 “ Rritja e aksesit në shërbimet mbështetëse të specializuara për gratë , burrat, të rinjtë, vajzat dhe djemtë nga të gjitha grupet , të cilat përjetojnë praktika të dëmshme , dhunë seksuale dhe forma të tjera të dhunës me bazë gjinore e dhunës në familje , si në situatë normale ashtu dhe në situatë të krizave humanitare e gjendjeve të fatkeqësive natyrore”</w:t>
      </w:r>
      <w:r w:rsidRPr="00817921">
        <w:rPr>
          <w:rFonts w:ascii="Times New Roman" w:hAnsi="Times New Roman" w:cs="Times New Roman"/>
          <w:szCs w:val="22"/>
          <w:lang w:val="pt-BR"/>
        </w:rPr>
        <w:t>. Disa prej masave</w:t>
      </w:r>
      <w:r w:rsidR="007827BC" w:rsidRPr="00817921">
        <w:rPr>
          <w:rFonts w:ascii="Times New Roman" w:hAnsi="Times New Roman" w:cs="Times New Roman"/>
          <w:szCs w:val="22"/>
          <w:lang w:val="pt-BR"/>
        </w:rPr>
        <w:t xml:space="preserve"> </w:t>
      </w:r>
      <w:r w:rsidRPr="00817921">
        <w:rPr>
          <w:rFonts w:ascii="Times New Roman" w:hAnsi="Times New Roman" w:cs="Times New Roman"/>
          <w:szCs w:val="22"/>
          <w:lang w:val="pt-BR"/>
        </w:rPr>
        <w:t>t</w:t>
      </w:r>
      <w:r w:rsidR="009A5A0E" w:rsidRPr="00817921">
        <w:rPr>
          <w:rFonts w:ascii="Times New Roman" w:hAnsi="Times New Roman" w:cs="Times New Roman"/>
          <w:szCs w:val="22"/>
          <w:lang w:val="pt-BR"/>
        </w:rPr>
        <w:t>ë</w:t>
      </w:r>
      <w:r w:rsidR="007827BC" w:rsidRPr="00817921">
        <w:rPr>
          <w:rFonts w:ascii="Times New Roman" w:hAnsi="Times New Roman" w:cs="Times New Roman"/>
          <w:szCs w:val="22"/>
          <w:lang w:val="pt-BR"/>
        </w:rPr>
        <w:t xml:space="preserve"> par</w:t>
      </w:r>
      <w:r w:rsidRPr="00817921">
        <w:rPr>
          <w:rFonts w:ascii="Times New Roman" w:hAnsi="Times New Roman" w:cs="Times New Roman"/>
          <w:szCs w:val="22"/>
          <w:lang w:val="pt-BR"/>
        </w:rPr>
        <w:t>a</w:t>
      </w:r>
      <w:r w:rsidR="007827BC" w:rsidRPr="00817921">
        <w:rPr>
          <w:rFonts w:ascii="Times New Roman" w:hAnsi="Times New Roman" w:cs="Times New Roman"/>
          <w:szCs w:val="22"/>
          <w:lang w:val="pt-BR"/>
        </w:rPr>
        <w:t xml:space="preserve">shikuara janë </w:t>
      </w:r>
      <w:r w:rsidRPr="00817921">
        <w:rPr>
          <w:rFonts w:ascii="Times New Roman" w:hAnsi="Times New Roman" w:cs="Times New Roman"/>
          <w:szCs w:val="22"/>
          <w:lang w:val="pt-BR"/>
        </w:rPr>
        <w:t>s</w:t>
      </w:r>
      <w:r w:rsidR="007827BC" w:rsidRPr="00817921">
        <w:rPr>
          <w:rFonts w:ascii="Times New Roman" w:hAnsi="Times New Roman" w:cs="Times New Roman"/>
          <w:szCs w:val="22"/>
          <w:lang w:val="pt-BR"/>
        </w:rPr>
        <w:t xml:space="preserve">htimi/ përmirësimi </w:t>
      </w:r>
      <w:r w:rsidRPr="00817921">
        <w:rPr>
          <w:rFonts w:ascii="Times New Roman" w:hAnsi="Times New Roman" w:cs="Times New Roman"/>
          <w:szCs w:val="22"/>
          <w:lang w:val="pt-BR"/>
        </w:rPr>
        <w:t>i</w:t>
      </w:r>
      <w:r w:rsidR="007827BC" w:rsidRPr="00817921">
        <w:rPr>
          <w:rFonts w:ascii="Times New Roman" w:hAnsi="Times New Roman" w:cs="Times New Roman"/>
          <w:szCs w:val="22"/>
          <w:lang w:val="pt-BR"/>
        </w:rPr>
        <w:t xml:space="preserve"> shërbimeve mbështetëse të specializuara për të mbijetuarit e sulmeve seksuale dhe trafikimit për qëllime të shfrytëzimit seksual, nga të gjithë grupet;shtimin/përmirësimi</w:t>
      </w:r>
      <w:r w:rsidRPr="00817921">
        <w:rPr>
          <w:rFonts w:ascii="Times New Roman" w:hAnsi="Times New Roman" w:cs="Times New Roman"/>
          <w:szCs w:val="22"/>
          <w:lang w:val="pt-BR"/>
        </w:rPr>
        <w:t xml:space="preserve"> i</w:t>
      </w:r>
      <w:r w:rsidR="007827BC" w:rsidRPr="00817921">
        <w:rPr>
          <w:rFonts w:ascii="Times New Roman" w:hAnsi="Times New Roman" w:cs="Times New Roman"/>
          <w:szCs w:val="22"/>
          <w:lang w:val="pt-BR"/>
        </w:rPr>
        <w:t xml:space="preserve"> shërbimeve mbështetëse te specializuara të strehimit emergjent;shtimi/përmirësimi </w:t>
      </w:r>
      <w:r w:rsidRPr="00817921">
        <w:rPr>
          <w:rFonts w:ascii="Times New Roman" w:hAnsi="Times New Roman" w:cs="Times New Roman"/>
          <w:szCs w:val="22"/>
          <w:lang w:val="pt-BR"/>
        </w:rPr>
        <w:t>i</w:t>
      </w:r>
      <w:r w:rsidR="007827BC" w:rsidRPr="00817921">
        <w:rPr>
          <w:rFonts w:ascii="Times New Roman" w:hAnsi="Times New Roman" w:cs="Times New Roman"/>
          <w:szCs w:val="22"/>
          <w:lang w:val="pt-BR"/>
        </w:rPr>
        <w:t xml:space="preserve"> shërbimeve mbështetëse të specializuara të strehimit afatgjatë;</w:t>
      </w:r>
      <w:r w:rsidRPr="00817921">
        <w:rPr>
          <w:rFonts w:ascii="Times New Roman" w:hAnsi="Times New Roman" w:cs="Times New Roman"/>
          <w:szCs w:val="22"/>
          <w:lang w:val="pt-BR"/>
        </w:rPr>
        <w:t xml:space="preserve"> </w:t>
      </w:r>
      <w:r w:rsidR="007827BC" w:rsidRPr="00817921">
        <w:rPr>
          <w:rFonts w:ascii="Times New Roman" w:hAnsi="Times New Roman" w:cs="Times New Roman"/>
          <w:szCs w:val="22"/>
          <w:lang w:val="pt-BR"/>
        </w:rPr>
        <w:t>mbështetj</w:t>
      </w:r>
      <w:r w:rsidRPr="00817921">
        <w:rPr>
          <w:rFonts w:ascii="Times New Roman" w:hAnsi="Times New Roman" w:cs="Times New Roman"/>
          <w:szCs w:val="22"/>
          <w:lang w:val="pt-BR"/>
        </w:rPr>
        <w:t>a</w:t>
      </w:r>
      <w:r w:rsidR="007827BC" w:rsidRPr="00817921">
        <w:rPr>
          <w:rFonts w:ascii="Times New Roman" w:hAnsi="Times New Roman" w:cs="Times New Roman"/>
          <w:szCs w:val="22"/>
          <w:lang w:val="pt-BR"/>
        </w:rPr>
        <w:t xml:space="preserve"> financiare për OJF</w:t>
      </w:r>
      <w:r w:rsidRPr="00817921">
        <w:rPr>
          <w:rFonts w:ascii="Times New Roman" w:hAnsi="Times New Roman" w:cs="Times New Roman"/>
          <w:szCs w:val="22"/>
          <w:lang w:val="pt-BR"/>
        </w:rPr>
        <w:t>,</w:t>
      </w:r>
      <w:r w:rsidR="007827BC" w:rsidRPr="00817921">
        <w:rPr>
          <w:rFonts w:ascii="Times New Roman" w:hAnsi="Times New Roman" w:cs="Times New Roman"/>
          <w:szCs w:val="22"/>
          <w:lang w:val="pt-BR"/>
        </w:rPr>
        <w:t xml:space="preserve"> të cilat ofrojnë shërbime të specializuara të formave të ndryshme, për rastet e dhunës me bazë gjinore , dhunës në familje e trafikimit</w:t>
      </w:r>
      <w:r w:rsidRPr="00817921">
        <w:rPr>
          <w:rFonts w:ascii="Times New Roman" w:hAnsi="Times New Roman" w:cs="Times New Roman"/>
          <w:szCs w:val="22"/>
          <w:lang w:val="pt-BR"/>
        </w:rPr>
        <w:t xml:space="preserve">; </w:t>
      </w:r>
    </w:p>
    <w:p w14:paraId="44C7F747" w14:textId="77777777" w:rsidR="00B35E28" w:rsidRDefault="00B35E28" w:rsidP="00765F0B">
      <w:pPr>
        <w:widowControl w:val="0"/>
        <w:autoSpaceDE w:val="0"/>
        <w:autoSpaceDN w:val="0"/>
        <w:spacing w:after="0"/>
        <w:rPr>
          <w:rFonts w:ascii="Times New Roman" w:hAnsi="Times New Roman" w:cs="Times New Roman"/>
          <w:szCs w:val="22"/>
          <w:lang w:val="pt-BR"/>
        </w:rPr>
      </w:pPr>
    </w:p>
    <w:p w14:paraId="5B4F683F" w14:textId="72414603" w:rsidR="00B35E28" w:rsidRDefault="00DD0777" w:rsidP="00765F0B">
      <w:pPr>
        <w:widowControl w:val="0"/>
        <w:autoSpaceDE w:val="0"/>
        <w:autoSpaceDN w:val="0"/>
        <w:spacing w:after="0"/>
        <w:rPr>
          <w:rFonts w:ascii="Times New Roman" w:hAnsi="Times New Roman" w:cs="Times New Roman"/>
          <w:szCs w:val="22"/>
          <w:lang w:val="pt-BR"/>
        </w:rPr>
      </w:pPr>
      <w:r w:rsidRPr="00817921">
        <w:rPr>
          <w:rFonts w:ascii="Times New Roman" w:hAnsi="Times New Roman" w:cs="Times New Roman"/>
          <w:szCs w:val="22"/>
          <w:lang w:val="pt-BR"/>
        </w:rPr>
        <w:t xml:space="preserve">(iv) </w:t>
      </w:r>
      <w:r w:rsidR="007827BC" w:rsidRPr="00817921">
        <w:rPr>
          <w:rFonts w:ascii="Times New Roman" w:hAnsi="Times New Roman" w:cs="Times New Roman"/>
          <w:b/>
          <w:bCs/>
          <w:szCs w:val="22"/>
          <w:lang w:val="pt-BR"/>
        </w:rPr>
        <w:t>Strategjia Ndërsektoriale për Decentralizimin dhe Qeverisjen Vendore 2023-2030</w:t>
      </w:r>
      <w:r w:rsidR="007827BC" w:rsidRPr="00817921">
        <w:rPr>
          <w:rStyle w:val="FootnoteReference"/>
          <w:rFonts w:ascii="Times New Roman" w:hAnsi="Times New Roman" w:cs="Times New Roman"/>
          <w:b/>
          <w:bCs/>
          <w:szCs w:val="22"/>
          <w:lang w:val="pt-BR"/>
        </w:rPr>
        <w:footnoteReference w:id="98"/>
      </w:r>
      <w:r w:rsidRPr="00817921">
        <w:rPr>
          <w:rFonts w:ascii="Times New Roman" w:hAnsi="Times New Roman" w:cs="Times New Roman"/>
          <w:szCs w:val="22"/>
          <w:lang w:val="pt-BR"/>
        </w:rPr>
        <w:t>, drejtimi i dyt</w:t>
      </w:r>
      <w:r w:rsidR="009A5A0E" w:rsidRPr="00817921">
        <w:rPr>
          <w:rFonts w:ascii="Times New Roman" w:hAnsi="Times New Roman" w:cs="Times New Roman"/>
          <w:szCs w:val="22"/>
          <w:lang w:val="pt-BR"/>
        </w:rPr>
        <w:t>ë</w:t>
      </w:r>
      <w:r w:rsidRPr="00817921">
        <w:rPr>
          <w:rFonts w:ascii="Times New Roman" w:hAnsi="Times New Roman" w:cs="Times New Roman"/>
          <w:szCs w:val="22"/>
          <w:lang w:val="pt-BR"/>
        </w:rPr>
        <w:t xml:space="preserve"> strategjik - o</w:t>
      </w:r>
      <w:r w:rsidR="007827BC" w:rsidRPr="00817921">
        <w:rPr>
          <w:rFonts w:ascii="Times New Roman" w:hAnsi="Times New Roman" w:cs="Times New Roman"/>
          <w:szCs w:val="22"/>
          <w:lang w:val="pt-BR"/>
        </w:rPr>
        <w:t>frimi cilësor i shërbimeve vendore sipas standarteve kombëtare, shoqëruar me rritje të performanc</w:t>
      </w:r>
      <w:r w:rsidR="009A5A0E" w:rsidRPr="00817921">
        <w:rPr>
          <w:rFonts w:ascii="Times New Roman" w:hAnsi="Times New Roman" w:cs="Times New Roman"/>
          <w:szCs w:val="22"/>
          <w:lang w:val="pt-BR"/>
        </w:rPr>
        <w:t>ë</w:t>
      </w:r>
      <w:r w:rsidR="007827BC" w:rsidRPr="00817921">
        <w:rPr>
          <w:rFonts w:ascii="Times New Roman" w:hAnsi="Times New Roman" w:cs="Times New Roman"/>
          <w:szCs w:val="22"/>
          <w:lang w:val="pt-BR"/>
        </w:rPr>
        <w:t>s së bashkive dhe manaxhimit të burimeve njerëzore</w:t>
      </w:r>
      <w:r w:rsidRPr="00817921">
        <w:rPr>
          <w:rFonts w:ascii="Times New Roman" w:hAnsi="Times New Roman" w:cs="Times New Roman"/>
          <w:szCs w:val="22"/>
          <w:lang w:val="pt-BR"/>
        </w:rPr>
        <w:t xml:space="preserve">. </w:t>
      </w:r>
      <w:r w:rsidR="007827BC" w:rsidRPr="00817921">
        <w:rPr>
          <w:rFonts w:ascii="Times New Roman" w:hAnsi="Times New Roman" w:cs="Times New Roman"/>
          <w:szCs w:val="22"/>
          <w:lang w:val="pt-BR"/>
        </w:rPr>
        <w:t>Konsolidimi i rolit të Njësive të Vetëqeverisjes Vendore në ushtrimin e funksioneve të tyre, duke qartësuar mangësitë dhe mbivendosjet ligjore, institucionale dhe mekanizmat e financimit në marëdhëniet ndërqeveritare; përmirësimi i manaxhimit të burimeve njerëzore në nivel vendor , shoqëruar me rritje të kapaciteteve administrative vendore me qëllim përmirësimin e ofrimit të shërbimeve publike; përmirësimin e eficiencës së shërbimeve , përmirësimi i përformancës së qeverisjes vendore</w:t>
      </w:r>
      <w:r w:rsidR="007B4AED" w:rsidRPr="00817921">
        <w:rPr>
          <w:rFonts w:ascii="Times New Roman" w:hAnsi="Times New Roman" w:cs="Times New Roman"/>
          <w:szCs w:val="22"/>
          <w:lang w:val="pt-BR"/>
        </w:rPr>
        <w:t xml:space="preserve"> jan</w:t>
      </w:r>
      <w:r w:rsidR="009A5A0E" w:rsidRPr="00817921">
        <w:rPr>
          <w:rFonts w:ascii="Times New Roman" w:hAnsi="Times New Roman" w:cs="Times New Roman"/>
          <w:szCs w:val="22"/>
          <w:lang w:val="pt-BR"/>
        </w:rPr>
        <w:t>ë</w:t>
      </w:r>
      <w:r w:rsidR="007B4AED" w:rsidRPr="00817921">
        <w:rPr>
          <w:rFonts w:ascii="Times New Roman" w:hAnsi="Times New Roman" w:cs="Times New Roman"/>
          <w:szCs w:val="22"/>
          <w:lang w:val="pt-BR"/>
        </w:rPr>
        <w:t xml:space="preserve"> disa prej objektivave</w:t>
      </w:r>
      <w:r w:rsidR="007827BC" w:rsidRPr="00817921">
        <w:rPr>
          <w:rFonts w:ascii="Times New Roman" w:hAnsi="Times New Roman" w:cs="Times New Roman"/>
          <w:szCs w:val="22"/>
          <w:lang w:val="pt-BR"/>
        </w:rPr>
        <w:t>. Në këtë strategji janë vendosur tregues  specifik të lidhur me ngritjen e shërbimeve sociale në nivel vendor nëpërmjet financimit nga Fondi Social</w:t>
      </w:r>
      <w:r w:rsidR="007B4AED" w:rsidRPr="00817921">
        <w:rPr>
          <w:rFonts w:ascii="Times New Roman" w:hAnsi="Times New Roman" w:cs="Times New Roman"/>
          <w:szCs w:val="22"/>
          <w:lang w:val="pt-BR"/>
        </w:rPr>
        <w:t xml:space="preserve">; (v) </w:t>
      </w:r>
      <w:r w:rsidR="007827BC" w:rsidRPr="00817921">
        <w:rPr>
          <w:rFonts w:ascii="Times New Roman" w:hAnsi="Times New Roman" w:cs="Times New Roman"/>
          <w:b/>
          <w:bCs/>
          <w:szCs w:val="22"/>
          <w:lang w:val="pt-BR"/>
        </w:rPr>
        <w:t>Plani Kombëtar i Deinstitucionalizmit 2020-2022</w:t>
      </w:r>
      <w:r w:rsidR="007B4AED" w:rsidRPr="00817921">
        <w:rPr>
          <w:rFonts w:ascii="Times New Roman" w:hAnsi="Times New Roman" w:cs="Times New Roman"/>
          <w:szCs w:val="22"/>
        </w:rPr>
        <w:t xml:space="preserve">. </w:t>
      </w:r>
      <w:r w:rsidR="00AB4D37">
        <w:rPr>
          <w:rFonts w:ascii="Times New Roman" w:hAnsi="Times New Roman" w:cs="Times New Roman"/>
          <w:szCs w:val="22"/>
          <w:lang w:val="pt-BR"/>
        </w:rPr>
        <w:t>Proçes</w:t>
      </w:r>
      <w:r w:rsidR="007827BC" w:rsidRPr="00817921">
        <w:rPr>
          <w:rFonts w:ascii="Times New Roman" w:hAnsi="Times New Roman" w:cs="Times New Roman"/>
          <w:szCs w:val="22"/>
          <w:lang w:val="pt-BR"/>
        </w:rPr>
        <w:t>i i deinstitucionalizimit të sistemit të kujdesit për fëmijët</w:t>
      </w:r>
      <w:r w:rsidR="007B4AED" w:rsidRPr="00817921">
        <w:rPr>
          <w:rFonts w:ascii="Times New Roman" w:hAnsi="Times New Roman" w:cs="Times New Roman"/>
          <w:szCs w:val="22"/>
          <w:lang w:val="pt-BR"/>
        </w:rPr>
        <w:t>, n</w:t>
      </w:r>
      <w:r w:rsidR="007827BC" w:rsidRPr="00817921">
        <w:rPr>
          <w:rFonts w:ascii="Times New Roman" w:hAnsi="Times New Roman" w:cs="Times New Roman"/>
          <w:szCs w:val="22"/>
          <w:lang w:val="pt-BR"/>
        </w:rPr>
        <w:t>dërtimi i një sistemi të përkujdesjes sociale të integruar funksionale dhe gjithëpërfshirëse, të deinstitucionalizuar</w:t>
      </w:r>
      <w:r w:rsidR="007B4AED" w:rsidRPr="00817921">
        <w:rPr>
          <w:rFonts w:ascii="Times New Roman" w:hAnsi="Times New Roman" w:cs="Times New Roman"/>
          <w:szCs w:val="22"/>
          <w:lang w:val="pt-BR"/>
        </w:rPr>
        <w:t xml:space="preserve"> z</w:t>
      </w:r>
      <w:r w:rsidR="009A5A0E" w:rsidRPr="00817921">
        <w:rPr>
          <w:rFonts w:ascii="Times New Roman" w:hAnsi="Times New Roman" w:cs="Times New Roman"/>
          <w:szCs w:val="22"/>
          <w:lang w:val="pt-BR"/>
        </w:rPr>
        <w:t>ë</w:t>
      </w:r>
      <w:r w:rsidR="007B4AED" w:rsidRPr="00817921">
        <w:rPr>
          <w:rFonts w:ascii="Times New Roman" w:hAnsi="Times New Roman" w:cs="Times New Roman"/>
          <w:szCs w:val="22"/>
          <w:lang w:val="pt-BR"/>
        </w:rPr>
        <w:t xml:space="preserve"> nj</w:t>
      </w:r>
      <w:r w:rsidR="009A5A0E" w:rsidRPr="00817921">
        <w:rPr>
          <w:rFonts w:ascii="Times New Roman" w:hAnsi="Times New Roman" w:cs="Times New Roman"/>
          <w:szCs w:val="22"/>
          <w:lang w:val="pt-BR"/>
        </w:rPr>
        <w:t>ë</w:t>
      </w:r>
      <w:r w:rsidR="007B4AED" w:rsidRPr="00817921">
        <w:rPr>
          <w:rFonts w:ascii="Times New Roman" w:hAnsi="Times New Roman" w:cs="Times New Roman"/>
          <w:szCs w:val="22"/>
          <w:lang w:val="pt-BR"/>
        </w:rPr>
        <w:t xml:space="preserve"> vend t</w:t>
      </w:r>
      <w:r w:rsidR="009A5A0E" w:rsidRPr="00817921">
        <w:rPr>
          <w:rFonts w:ascii="Times New Roman" w:hAnsi="Times New Roman" w:cs="Times New Roman"/>
          <w:szCs w:val="22"/>
          <w:lang w:val="pt-BR"/>
        </w:rPr>
        <w:t>ë</w:t>
      </w:r>
      <w:r w:rsidR="007B4AED" w:rsidRPr="00817921">
        <w:rPr>
          <w:rFonts w:ascii="Times New Roman" w:hAnsi="Times New Roman" w:cs="Times New Roman"/>
          <w:szCs w:val="22"/>
          <w:lang w:val="pt-BR"/>
        </w:rPr>
        <w:t xml:space="preserve"> rend</w:t>
      </w:r>
      <w:r w:rsidR="009A5A0E" w:rsidRPr="00817921">
        <w:rPr>
          <w:rFonts w:ascii="Times New Roman" w:hAnsi="Times New Roman" w:cs="Times New Roman"/>
          <w:szCs w:val="22"/>
          <w:lang w:val="pt-BR"/>
        </w:rPr>
        <w:t>ë</w:t>
      </w:r>
      <w:r w:rsidR="007B4AED" w:rsidRPr="00817921">
        <w:rPr>
          <w:rFonts w:ascii="Times New Roman" w:hAnsi="Times New Roman" w:cs="Times New Roman"/>
          <w:szCs w:val="22"/>
          <w:lang w:val="pt-BR"/>
        </w:rPr>
        <w:t>sish</w:t>
      </w:r>
      <w:r w:rsidR="009A5A0E" w:rsidRPr="00817921">
        <w:rPr>
          <w:rFonts w:ascii="Times New Roman" w:hAnsi="Times New Roman" w:cs="Times New Roman"/>
          <w:szCs w:val="22"/>
          <w:lang w:val="pt-BR"/>
        </w:rPr>
        <w:t>ë</w:t>
      </w:r>
      <w:r w:rsidR="007B4AED" w:rsidRPr="00817921">
        <w:rPr>
          <w:rFonts w:ascii="Times New Roman" w:hAnsi="Times New Roman" w:cs="Times New Roman"/>
          <w:szCs w:val="22"/>
          <w:lang w:val="pt-BR"/>
        </w:rPr>
        <w:t>m n</w:t>
      </w:r>
      <w:r w:rsidR="009A5A0E" w:rsidRPr="00817921">
        <w:rPr>
          <w:rFonts w:ascii="Times New Roman" w:hAnsi="Times New Roman" w:cs="Times New Roman"/>
          <w:szCs w:val="22"/>
          <w:lang w:val="pt-BR"/>
        </w:rPr>
        <w:t>ë</w:t>
      </w:r>
      <w:r w:rsidR="007B4AED" w:rsidRPr="00817921">
        <w:rPr>
          <w:rFonts w:ascii="Times New Roman" w:hAnsi="Times New Roman" w:cs="Times New Roman"/>
          <w:szCs w:val="22"/>
          <w:lang w:val="pt-BR"/>
        </w:rPr>
        <w:t xml:space="preserve"> k</w:t>
      </w:r>
      <w:r w:rsidR="009A5A0E" w:rsidRPr="00817921">
        <w:rPr>
          <w:rFonts w:ascii="Times New Roman" w:hAnsi="Times New Roman" w:cs="Times New Roman"/>
          <w:szCs w:val="22"/>
          <w:lang w:val="pt-BR"/>
        </w:rPr>
        <w:t>ë</w:t>
      </w:r>
      <w:r w:rsidR="007B4AED" w:rsidRPr="00817921">
        <w:rPr>
          <w:rFonts w:ascii="Times New Roman" w:hAnsi="Times New Roman" w:cs="Times New Roman"/>
          <w:szCs w:val="22"/>
          <w:lang w:val="pt-BR"/>
        </w:rPr>
        <w:t>t</w:t>
      </w:r>
      <w:r w:rsidR="009A5A0E" w:rsidRPr="00817921">
        <w:rPr>
          <w:rFonts w:ascii="Times New Roman" w:hAnsi="Times New Roman" w:cs="Times New Roman"/>
          <w:szCs w:val="22"/>
          <w:lang w:val="pt-BR"/>
        </w:rPr>
        <w:t>ë</w:t>
      </w:r>
      <w:r w:rsidR="007B4AED" w:rsidRPr="00817921">
        <w:rPr>
          <w:rFonts w:ascii="Times New Roman" w:hAnsi="Times New Roman" w:cs="Times New Roman"/>
          <w:szCs w:val="22"/>
          <w:lang w:val="pt-BR"/>
        </w:rPr>
        <w:t xml:space="preserve"> dokument; (vi) </w:t>
      </w:r>
      <w:r w:rsidR="007827BC" w:rsidRPr="00817921">
        <w:rPr>
          <w:rFonts w:ascii="Times New Roman" w:hAnsi="Times New Roman" w:cs="Times New Roman"/>
          <w:b/>
          <w:bCs/>
          <w:szCs w:val="22"/>
          <w:lang w:val="pt-BR"/>
        </w:rPr>
        <w:t>Plani Kombëtar për Personat me Aftësi të Kufizuar 2021-2025</w:t>
      </w:r>
      <w:r w:rsidR="007827BC" w:rsidRPr="00817921">
        <w:rPr>
          <w:rStyle w:val="FootnoteReference"/>
          <w:rFonts w:ascii="Times New Roman" w:hAnsi="Times New Roman" w:cs="Times New Roman"/>
          <w:b/>
          <w:bCs/>
          <w:szCs w:val="22"/>
          <w:lang w:val="pt-BR"/>
        </w:rPr>
        <w:footnoteReference w:id="99"/>
      </w:r>
      <w:r w:rsidR="007827BC" w:rsidRPr="00817921">
        <w:rPr>
          <w:rFonts w:ascii="Times New Roman" w:hAnsi="Times New Roman" w:cs="Times New Roman"/>
          <w:b/>
          <w:bCs/>
          <w:szCs w:val="22"/>
          <w:lang w:val="pt-BR"/>
        </w:rPr>
        <w:t xml:space="preserve"> ,</w:t>
      </w:r>
      <w:r w:rsidR="007B4AED" w:rsidRPr="00817921">
        <w:rPr>
          <w:rFonts w:ascii="Times New Roman" w:hAnsi="Times New Roman" w:cs="Times New Roman"/>
          <w:szCs w:val="22"/>
        </w:rPr>
        <w:t xml:space="preserve"> I cili </w:t>
      </w:r>
      <w:proofErr w:type="spellStart"/>
      <w:r w:rsidR="007827BC" w:rsidRPr="00817921">
        <w:rPr>
          <w:rFonts w:ascii="Times New Roman" w:hAnsi="Times New Roman" w:cs="Times New Roman"/>
          <w:szCs w:val="22"/>
          <w:lang w:val="pt-BR"/>
        </w:rPr>
        <w:t>është</w:t>
      </w:r>
      <w:proofErr w:type="spellEnd"/>
      <w:r w:rsidR="007827BC" w:rsidRPr="00817921">
        <w:rPr>
          <w:rFonts w:ascii="Times New Roman" w:hAnsi="Times New Roman" w:cs="Times New Roman"/>
          <w:szCs w:val="22"/>
          <w:lang w:val="pt-BR"/>
        </w:rPr>
        <w:t xml:space="preserve"> i </w:t>
      </w:r>
      <w:proofErr w:type="spellStart"/>
      <w:r w:rsidR="007827BC" w:rsidRPr="00817921">
        <w:rPr>
          <w:rFonts w:ascii="Times New Roman" w:hAnsi="Times New Roman" w:cs="Times New Roman"/>
          <w:szCs w:val="22"/>
          <w:lang w:val="pt-BR"/>
        </w:rPr>
        <w:t>orientuar</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drejt</w:t>
      </w:r>
      <w:proofErr w:type="spellEnd"/>
      <w:r w:rsidR="007827BC" w:rsidRPr="00817921">
        <w:rPr>
          <w:rFonts w:ascii="Times New Roman" w:hAnsi="Times New Roman" w:cs="Times New Roman"/>
          <w:szCs w:val="22"/>
          <w:lang w:val="pt-BR"/>
        </w:rPr>
        <w:t xml:space="preserve"> 8 </w:t>
      </w:r>
      <w:proofErr w:type="spellStart"/>
      <w:r w:rsidR="007827BC" w:rsidRPr="00817921">
        <w:rPr>
          <w:rFonts w:ascii="Times New Roman" w:hAnsi="Times New Roman" w:cs="Times New Roman"/>
          <w:szCs w:val="22"/>
          <w:lang w:val="pt-BR"/>
        </w:rPr>
        <w:t>objektivave</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strategjike</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për</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përmirësimin</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kushteve</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jetesës</w:t>
      </w:r>
      <w:proofErr w:type="spellEnd"/>
      <w:r w:rsidR="007827BC" w:rsidRPr="00817921">
        <w:rPr>
          <w:rFonts w:ascii="Times New Roman" w:hAnsi="Times New Roman" w:cs="Times New Roman"/>
          <w:szCs w:val="22"/>
          <w:lang w:val="pt-BR"/>
        </w:rPr>
        <w:t xml:space="preserve"> dhe </w:t>
      </w:r>
      <w:proofErr w:type="spellStart"/>
      <w:r w:rsidR="007827BC" w:rsidRPr="00817921">
        <w:rPr>
          <w:rFonts w:ascii="Times New Roman" w:hAnsi="Times New Roman" w:cs="Times New Roman"/>
          <w:szCs w:val="22"/>
          <w:lang w:val="pt-BR"/>
        </w:rPr>
        <w:t>aksesueshmërinë</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personave</w:t>
      </w:r>
      <w:proofErr w:type="spellEnd"/>
      <w:r w:rsidR="007827BC" w:rsidRPr="00817921">
        <w:rPr>
          <w:rFonts w:ascii="Times New Roman" w:hAnsi="Times New Roman" w:cs="Times New Roman"/>
          <w:szCs w:val="22"/>
          <w:lang w:val="pt-BR"/>
        </w:rPr>
        <w:t xml:space="preserve"> me </w:t>
      </w:r>
      <w:proofErr w:type="spellStart"/>
      <w:r w:rsidR="007827BC" w:rsidRPr="00817921">
        <w:rPr>
          <w:rFonts w:ascii="Times New Roman" w:hAnsi="Times New Roman" w:cs="Times New Roman"/>
          <w:szCs w:val="22"/>
          <w:lang w:val="pt-BR"/>
        </w:rPr>
        <w:t>aftësi</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kufizuar</w:t>
      </w:r>
      <w:proofErr w:type="spellEnd"/>
      <w:r w:rsidR="007827BC" w:rsidRPr="00817921">
        <w:rPr>
          <w:rFonts w:ascii="Times New Roman" w:hAnsi="Times New Roman" w:cs="Times New Roman"/>
          <w:szCs w:val="22"/>
          <w:lang w:val="pt-BR"/>
        </w:rPr>
        <w:t xml:space="preserve">. Objektivi strategjik 5 “ Përmirësimi i cilësisë së jetesës së personave me aftësi të kufizuara nëpërmjet shërbimeve /përfitimeve të aksesueshme ,të përballueshme financiarisht dhe që kanë në qendër klientin”,  </w:t>
      </w:r>
      <w:r w:rsidR="00FD3657" w:rsidRPr="00817921">
        <w:rPr>
          <w:rFonts w:ascii="Times New Roman" w:hAnsi="Times New Roman" w:cs="Times New Roman"/>
          <w:szCs w:val="22"/>
          <w:lang w:val="pt-BR"/>
        </w:rPr>
        <w:t>parashikon disa objektiva si</w:t>
      </w:r>
      <w:r w:rsidR="007827BC" w:rsidRPr="00817921">
        <w:rPr>
          <w:rFonts w:ascii="Times New Roman" w:hAnsi="Times New Roman" w:cs="Times New Roman"/>
          <w:szCs w:val="22"/>
          <w:lang w:val="pt-BR"/>
        </w:rPr>
        <w:t xml:space="preserve"> </w:t>
      </w:r>
      <w:r w:rsidR="00FD3657" w:rsidRPr="00817921">
        <w:rPr>
          <w:rFonts w:ascii="Times New Roman" w:hAnsi="Times New Roman" w:cs="Times New Roman"/>
          <w:szCs w:val="22"/>
          <w:lang w:val="pt-BR"/>
        </w:rPr>
        <w:t>m</w:t>
      </w:r>
      <w:r w:rsidR="007827BC" w:rsidRPr="00817921">
        <w:rPr>
          <w:rFonts w:ascii="Times New Roman" w:hAnsi="Times New Roman" w:cs="Times New Roman"/>
          <w:szCs w:val="22"/>
          <w:lang w:val="pt-BR"/>
        </w:rPr>
        <w:t>onitorimi i efekteve të vlerësimit të aftësisë së kufizuar nga komisionet e reja, sipas modelit të të drejtave të njeriut që përcakton KDPAK-</w:t>
      </w:r>
      <w:r w:rsidR="00FD3657" w:rsidRPr="00817921">
        <w:rPr>
          <w:rFonts w:ascii="Times New Roman" w:hAnsi="Times New Roman" w:cs="Times New Roman"/>
          <w:szCs w:val="22"/>
          <w:lang w:val="pt-BR"/>
        </w:rPr>
        <w:t>um, o</w:t>
      </w:r>
      <w:r w:rsidR="007827BC" w:rsidRPr="00817921">
        <w:rPr>
          <w:rFonts w:ascii="Times New Roman" w:hAnsi="Times New Roman" w:cs="Times New Roman"/>
          <w:szCs w:val="22"/>
          <w:lang w:val="pt-BR"/>
        </w:rPr>
        <w:t>frimi i shërbimeve të integruara sociale me anë të kombinimit të pagesave me para në dorë (cash) me kujdesin social cilësor</w:t>
      </w:r>
      <w:r w:rsidR="00FD3657" w:rsidRPr="00817921">
        <w:rPr>
          <w:rFonts w:ascii="Times New Roman" w:hAnsi="Times New Roman" w:cs="Times New Roman"/>
          <w:szCs w:val="22"/>
          <w:lang w:val="pt-BR"/>
        </w:rPr>
        <w:t>,</w:t>
      </w:r>
      <w:r w:rsidR="007827BC" w:rsidRPr="00817921">
        <w:rPr>
          <w:rFonts w:ascii="Times New Roman" w:hAnsi="Times New Roman" w:cs="Times New Roman"/>
          <w:szCs w:val="22"/>
          <w:lang w:val="pt-BR"/>
        </w:rPr>
        <w:t xml:space="preserve"> promovimi dhe nxitja e jetesës së pavarur nëpërmjet ofrimit të llojeve të reja të shërbimeve komunitare</w:t>
      </w:r>
      <w:r w:rsidR="00FD3657" w:rsidRPr="00817921">
        <w:rPr>
          <w:rFonts w:ascii="Times New Roman" w:hAnsi="Times New Roman" w:cs="Times New Roman"/>
          <w:szCs w:val="22"/>
          <w:lang w:val="pt-BR"/>
        </w:rPr>
        <w:t xml:space="preserve">; </w:t>
      </w:r>
    </w:p>
    <w:p w14:paraId="4785D41B" w14:textId="77777777" w:rsidR="00B35E28" w:rsidRDefault="00FD3657" w:rsidP="00765F0B">
      <w:pPr>
        <w:widowControl w:val="0"/>
        <w:autoSpaceDE w:val="0"/>
        <w:autoSpaceDN w:val="0"/>
        <w:spacing w:after="0"/>
        <w:rPr>
          <w:rFonts w:ascii="Times New Roman" w:hAnsi="Times New Roman" w:cs="Times New Roman"/>
          <w:szCs w:val="22"/>
          <w:lang w:val="sq-AL"/>
        </w:rPr>
      </w:pPr>
      <w:r w:rsidRPr="00817921">
        <w:rPr>
          <w:rFonts w:ascii="Times New Roman" w:hAnsi="Times New Roman" w:cs="Times New Roman"/>
          <w:szCs w:val="22"/>
          <w:lang w:val="pt-BR"/>
        </w:rPr>
        <w:t xml:space="preserve">(vii) </w:t>
      </w:r>
      <w:r w:rsidR="007827BC" w:rsidRPr="00817921">
        <w:rPr>
          <w:rFonts w:ascii="Times New Roman" w:hAnsi="Times New Roman" w:cs="Times New Roman"/>
          <w:b/>
          <w:bCs/>
          <w:szCs w:val="22"/>
          <w:lang w:val="pt-BR"/>
        </w:rPr>
        <w:t xml:space="preserve">Plani </w:t>
      </w:r>
      <w:proofErr w:type="spellStart"/>
      <w:r w:rsidR="007827BC" w:rsidRPr="00817921">
        <w:rPr>
          <w:rFonts w:ascii="Times New Roman" w:hAnsi="Times New Roman" w:cs="Times New Roman"/>
          <w:b/>
          <w:bCs/>
          <w:szCs w:val="22"/>
          <w:lang w:val="pt-BR"/>
        </w:rPr>
        <w:t>Kombëtar</w:t>
      </w:r>
      <w:proofErr w:type="spellEnd"/>
      <w:r w:rsidR="007827BC" w:rsidRPr="00817921">
        <w:rPr>
          <w:rFonts w:ascii="Times New Roman" w:hAnsi="Times New Roman" w:cs="Times New Roman"/>
          <w:b/>
          <w:bCs/>
          <w:szCs w:val="22"/>
          <w:lang w:val="pt-BR"/>
        </w:rPr>
        <w:t xml:space="preserve"> i </w:t>
      </w:r>
      <w:proofErr w:type="spellStart"/>
      <w:r w:rsidR="007827BC" w:rsidRPr="00817921">
        <w:rPr>
          <w:rFonts w:ascii="Times New Roman" w:hAnsi="Times New Roman" w:cs="Times New Roman"/>
          <w:b/>
          <w:bCs/>
          <w:szCs w:val="22"/>
          <w:lang w:val="pt-BR"/>
        </w:rPr>
        <w:t>Veprimit</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për</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Barazi</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Përfshirje</w:t>
      </w:r>
      <w:proofErr w:type="spellEnd"/>
      <w:r w:rsidR="007827BC" w:rsidRPr="00817921">
        <w:rPr>
          <w:rFonts w:ascii="Times New Roman" w:hAnsi="Times New Roman" w:cs="Times New Roman"/>
          <w:b/>
          <w:bCs/>
          <w:szCs w:val="22"/>
          <w:lang w:val="pt-BR"/>
        </w:rPr>
        <w:t xml:space="preserve"> dhe </w:t>
      </w:r>
      <w:proofErr w:type="spellStart"/>
      <w:r w:rsidR="007827BC" w:rsidRPr="00817921">
        <w:rPr>
          <w:rFonts w:ascii="Times New Roman" w:hAnsi="Times New Roman" w:cs="Times New Roman"/>
          <w:b/>
          <w:bCs/>
          <w:szCs w:val="22"/>
          <w:lang w:val="pt-BR"/>
        </w:rPr>
        <w:t>Pjesëmarrjen</w:t>
      </w:r>
      <w:proofErr w:type="spellEnd"/>
      <w:r w:rsidR="007827BC" w:rsidRPr="00817921">
        <w:rPr>
          <w:rFonts w:ascii="Times New Roman" w:hAnsi="Times New Roman" w:cs="Times New Roman"/>
          <w:b/>
          <w:bCs/>
          <w:szCs w:val="22"/>
          <w:lang w:val="pt-BR"/>
        </w:rPr>
        <w:t xml:space="preserve"> e </w:t>
      </w:r>
      <w:proofErr w:type="spellStart"/>
      <w:r w:rsidR="007827BC" w:rsidRPr="00817921">
        <w:rPr>
          <w:rFonts w:ascii="Times New Roman" w:hAnsi="Times New Roman" w:cs="Times New Roman"/>
          <w:b/>
          <w:bCs/>
          <w:szCs w:val="22"/>
          <w:lang w:val="pt-BR"/>
        </w:rPr>
        <w:t>Romëve</w:t>
      </w:r>
      <w:proofErr w:type="spellEnd"/>
      <w:r w:rsidR="007827BC" w:rsidRPr="00817921">
        <w:rPr>
          <w:rFonts w:ascii="Times New Roman" w:hAnsi="Times New Roman" w:cs="Times New Roman"/>
          <w:b/>
          <w:bCs/>
          <w:szCs w:val="22"/>
          <w:lang w:val="pt-BR"/>
        </w:rPr>
        <w:t xml:space="preserve"> dhe </w:t>
      </w:r>
      <w:proofErr w:type="spellStart"/>
      <w:r w:rsidR="007827BC" w:rsidRPr="00817921">
        <w:rPr>
          <w:rFonts w:ascii="Times New Roman" w:hAnsi="Times New Roman" w:cs="Times New Roman"/>
          <w:b/>
          <w:bCs/>
          <w:szCs w:val="22"/>
          <w:lang w:val="pt-BR"/>
        </w:rPr>
        <w:t>Egji</w:t>
      </w:r>
      <w:r w:rsidRPr="00817921">
        <w:rPr>
          <w:rFonts w:ascii="Times New Roman" w:hAnsi="Times New Roman" w:cs="Times New Roman"/>
          <w:b/>
          <w:bCs/>
          <w:szCs w:val="22"/>
          <w:lang w:val="pt-BR"/>
        </w:rPr>
        <w:t>p</w:t>
      </w:r>
      <w:r w:rsidR="007827BC" w:rsidRPr="00817921">
        <w:rPr>
          <w:rFonts w:ascii="Times New Roman" w:hAnsi="Times New Roman" w:cs="Times New Roman"/>
          <w:b/>
          <w:bCs/>
          <w:szCs w:val="22"/>
          <w:lang w:val="pt-BR"/>
        </w:rPr>
        <w:t>tianëve</w:t>
      </w:r>
      <w:proofErr w:type="spellEnd"/>
      <w:r w:rsidR="007827BC" w:rsidRPr="00817921">
        <w:rPr>
          <w:rFonts w:ascii="Times New Roman" w:hAnsi="Times New Roman" w:cs="Times New Roman"/>
          <w:b/>
          <w:bCs/>
          <w:szCs w:val="22"/>
          <w:lang w:val="pt-BR"/>
        </w:rPr>
        <w:t xml:space="preserve"> 2021-2025</w:t>
      </w:r>
      <w:r w:rsidR="007827BC" w:rsidRPr="00817921">
        <w:rPr>
          <w:rStyle w:val="FootnoteReference"/>
          <w:rFonts w:ascii="Times New Roman" w:hAnsi="Times New Roman" w:cs="Times New Roman"/>
          <w:b/>
          <w:bCs/>
          <w:szCs w:val="22"/>
          <w:lang w:val="pt-BR"/>
        </w:rPr>
        <w:footnoteReference w:id="100"/>
      </w:r>
      <w:r w:rsidRPr="00817921">
        <w:rPr>
          <w:rFonts w:ascii="Times New Roman" w:hAnsi="Times New Roman" w:cs="Times New Roman"/>
          <w:b/>
          <w:bCs/>
          <w:szCs w:val="22"/>
          <w:lang w:val="pt-BR"/>
        </w:rPr>
        <w:t xml:space="preserve">, </w:t>
      </w:r>
      <w:proofErr w:type="spellStart"/>
      <w:r w:rsidRPr="00817921">
        <w:rPr>
          <w:rFonts w:ascii="Times New Roman" w:hAnsi="Times New Roman" w:cs="Times New Roman"/>
          <w:b/>
          <w:bCs/>
          <w:szCs w:val="22"/>
          <w:lang w:val="pt-BR"/>
        </w:rPr>
        <w:t>o</w:t>
      </w:r>
      <w:r w:rsidR="007827BC" w:rsidRPr="00817921">
        <w:rPr>
          <w:rFonts w:ascii="Times New Roman" w:hAnsi="Times New Roman" w:cs="Times New Roman"/>
          <w:szCs w:val="22"/>
          <w:lang w:val="pt-BR"/>
        </w:rPr>
        <w:t>bjektivi</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strategjik</w:t>
      </w:r>
      <w:proofErr w:type="spellEnd"/>
      <w:r w:rsidR="007827BC" w:rsidRPr="00817921">
        <w:rPr>
          <w:rFonts w:ascii="Times New Roman" w:hAnsi="Times New Roman" w:cs="Times New Roman"/>
          <w:szCs w:val="22"/>
          <w:lang w:val="pt-BR"/>
        </w:rPr>
        <w:t xml:space="preserve"> 6 </w:t>
      </w:r>
      <w:r w:rsidRPr="00817921">
        <w:rPr>
          <w:rFonts w:ascii="Times New Roman" w:hAnsi="Times New Roman" w:cs="Times New Roman"/>
          <w:szCs w:val="22"/>
          <w:lang w:val="pt-BR"/>
        </w:rPr>
        <w:t xml:space="preserve"> </w:t>
      </w:r>
      <w:proofErr w:type="spellStart"/>
      <w:r w:rsidRPr="00817921">
        <w:rPr>
          <w:rFonts w:ascii="Times New Roman" w:hAnsi="Times New Roman" w:cs="Times New Roman"/>
          <w:szCs w:val="22"/>
          <w:lang w:val="pt-BR"/>
        </w:rPr>
        <w:t>q</w:t>
      </w:r>
      <w:r w:rsidR="009A5A0E" w:rsidRPr="00817921">
        <w:rPr>
          <w:rFonts w:ascii="Times New Roman" w:hAnsi="Times New Roman" w:cs="Times New Roman"/>
          <w:szCs w:val="22"/>
          <w:lang w:val="pt-BR"/>
        </w:rPr>
        <w:t>ë</w:t>
      </w:r>
      <w:proofErr w:type="spellEnd"/>
      <w:r w:rsidRPr="00817921">
        <w:rPr>
          <w:rFonts w:ascii="Times New Roman" w:hAnsi="Times New Roman" w:cs="Times New Roman"/>
          <w:szCs w:val="22"/>
          <w:lang w:val="pt-BR"/>
        </w:rPr>
        <w:t xml:space="preserve"> </w:t>
      </w:r>
      <w:proofErr w:type="spellStart"/>
      <w:r w:rsidRPr="00817921">
        <w:rPr>
          <w:rFonts w:ascii="Times New Roman" w:hAnsi="Times New Roman" w:cs="Times New Roman"/>
          <w:szCs w:val="22"/>
          <w:lang w:val="pt-BR"/>
        </w:rPr>
        <w:t>parashikon</w:t>
      </w:r>
      <w:proofErr w:type="spellEnd"/>
      <w:r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Përmirësimi</w:t>
      </w:r>
      <w:r w:rsidRPr="00817921">
        <w:rPr>
          <w:rFonts w:ascii="Times New Roman" w:hAnsi="Times New Roman" w:cs="Times New Roman"/>
          <w:szCs w:val="22"/>
          <w:lang w:val="pt-BR"/>
        </w:rPr>
        <w:t>n</w:t>
      </w:r>
      <w:proofErr w:type="spellEnd"/>
      <w:r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qasjes</w:t>
      </w:r>
      <w:proofErr w:type="spellEnd"/>
      <w:r w:rsidR="007827BC" w:rsidRPr="00817921">
        <w:rPr>
          <w:rFonts w:ascii="Times New Roman" w:hAnsi="Times New Roman" w:cs="Times New Roman"/>
          <w:szCs w:val="22"/>
          <w:lang w:val="pt-BR"/>
        </w:rPr>
        <w:t xml:space="preserve"> dhe </w:t>
      </w:r>
      <w:proofErr w:type="spellStart"/>
      <w:r w:rsidR="007827BC" w:rsidRPr="00817921">
        <w:rPr>
          <w:rFonts w:ascii="Times New Roman" w:hAnsi="Times New Roman" w:cs="Times New Roman"/>
          <w:szCs w:val="22"/>
          <w:lang w:val="pt-BR"/>
        </w:rPr>
        <w:t>rrit</w:t>
      </w:r>
      <w:r w:rsidRPr="00817921">
        <w:rPr>
          <w:rFonts w:ascii="Times New Roman" w:hAnsi="Times New Roman" w:cs="Times New Roman"/>
          <w:szCs w:val="22"/>
          <w:lang w:val="pt-BR"/>
        </w:rPr>
        <w:t>en</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aksesit</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romëve</w:t>
      </w:r>
      <w:proofErr w:type="spellEnd"/>
      <w:r w:rsidR="007827BC" w:rsidRPr="00817921">
        <w:rPr>
          <w:rFonts w:ascii="Times New Roman" w:hAnsi="Times New Roman" w:cs="Times New Roman"/>
          <w:szCs w:val="22"/>
          <w:lang w:val="pt-BR"/>
        </w:rPr>
        <w:t xml:space="preserve"> dhe </w:t>
      </w:r>
      <w:proofErr w:type="spellStart"/>
      <w:r w:rsidR="007827BC" w:rsidRPr="00817921">
        <w:rPr>
          <w:rFonts w:ascii="Times New Roman" w:hAnsi="Times New Roman" w:cs="Times New Roman"/>
          <w:szCs w:val="22"/>
          <w:lang w:val="pt-BR"/>
        </w:rPr>
        <w:t>egjiptianëve</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programet</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mbrojtjes</w:t>
      </w:r>
      <w:proofErr w:type="spellEnd"/>
      <w:r w:rsidR="007827BC" w:rsidRPr="00817921">
        <w:rPr>
          <w:rFonts w:ascii="Times New Roman" w:hAnsi="Times New Roman" w:cs="Times New Roman"/>
          <w:szCs w:val="22"/>
          <w:lang w:val="pt-BR"/>
        </w:rPr>
        <w:t xml:space="preserve"> sociale </w:t>
      </w:r>
      <w:r w:rsidRPr="00817921">
        <w:rPr>
          <w:rFonts w:ascii="Times New Roman" w:hAnsi="Times New Roman" w:cs="Times New Roman"/>
          <w:szCs w:val="22"/>
          <w:lang w:val="pt-BR"/>
        </w:rPr>
        <w:t xml:space="preserve">dhe </w:t>
      </w:r>
      <w:proofErr w:type="spellStart"/>
      <w:r w:rsidR="007827BC" w:rsidRPr="00817921">
        <w:rPr>
          <w:rFonts w:ascii="Times New Roman" w:hAnsi="Times New Roman" w:cs="Times New Roman"/>
          <w:szCs w:val="22"/>
          <w:lang w:val="pt-BR"/>
        </w:rPr>
        <w:t>objektivi</w:t>
      </w:r>
      <w:r w:rsidRPr="00817921">
        <w:rPr>
          <w:rFonts w:ascii="Times New Roman" w:hAnsi="Times New Roman" w:cs="Times New Roman"/>
          <w:szCs w:val="22"/>
          <w:lang w:val="pt-BR"/>
        </w:rPr>
        <w:t>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specifik</w:t>
      </w:r>
      <w:proofErr w:type="spellEnd"/>
      <w:r w:rsidR="007827BC" w:rsidRPr="00817921">
        <w:rPr>
          <w:rFonts w:ascii="Times New Roman" w:hAnsi="Times New Roman" w:cs="Times New Roman"/>
          <w:szCs w:val="22"/>
          <w:lang w:val="pt-BR"/>
        </w:rPr>
        <w:t xml:space="preserve"> 3</w:t>
      </w:r>
      <w:r w:rsidRPr="00817921">
        <w:rPr>
          <w:rFonts w:ascii="Times New Roman" w:hAnsi="Times New Roman" w:cs="Times New Roman"/>
          <w:szCs w:val="22"/>
          <w:lang w:val="pt-BR"/>
        </w:rPr>
        <w:t xml:space="preserve">, </w:t>
      </w:r>
      <w:proofErr w:type="spellStart"/>
      <w:r w:rsidRPr="00817921">
        <w:rPr>
          <w:rFonts w:ascii="Times New Roman" w:hAnsi="Times New Roman" w:cs="Times New Roman"/>
          <w:szCs w:val="22"/>
          <w:lang w:val="pt-BR"/>
        </w:rPr>
        <w:t>rritjen</w:t>
      </w:r>
      <w:proofErr w:type="spellEnd"/>
      <w:r w:rsidRPr="00817921">
        <w:rPr>
          <w:rFonts w:ascii="Times New Roman" w:hAnsi="Times New Roman" w:cs="Times New Roman"/>
          <w:szCs w:val="22"/>
          <w:lang w:val="pt-BR"/>
        </w:rPr>
        <w:t xml:space="preserve"> </w:t>
      </w:r>
      <w:r w:rsidR="007827BC" w:rsidRPr="00817921">
        <w:rPr>
          <w:rFonts w:ascii="Times New Roman" w:hAnsi="Times New Roman" w:cs="Times New Roman"/>
          <w:szCs w:val="22"/>
          <w:lang w:val="pt-BR"/>
        </w:rPr>
        <w:t xml:space="preserve">e </w:t>
      </w:r>
      <w:proofErr w:type="spellStart"/>
      <w:r w:rsidR="007827BC" w:rsidRPr="00817921">
        <w:rPr>
          <w:rFonts w:ascii="Times New Roman" w:hAnsi="Times New Roman" w:cs="Times New Roman"/>
          <w:szCs w:val="22"/>
          <w:lang w:val="pt-BR"/>
        </w:rPr>
        <w:t>aksesit</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romëve</w:t>
      </w:r>
      <w:proofErr w:type="spellEnd"/>
      <w:r w:rsidR="007827BC" w:rsidRPr="00817921">
        <w:rPr>
          <w:rFonts w:ascii="Times New Roman" w:hAnsi="Times New Roman" w:cs="Times New Roman"/>
          <w:szCs w:val="22"/>
          <w:lang w:val="pt-BR"/>
        </w:rPr>
        <w:t xml:space="preserve"> dhe </w:t>
      </w:r>
      <w:proofErr w:type="spellStart"/>
      <w:r w:rsidR="007827BC" w:rsidRPr="00817921">
        <w:rPr>
          <w:rFonts w:ascii="Times New Roman" w:hAnsi="Times New Roman" w:cs="Times New Roman"/>
          <w:szCs w:val="22"/>
          <w:lang w:val="pt-BR"/>
        </w:rPr>
        <w:t>egjitpianëve</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shërbimet</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kujdesit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shoqëror</w:t>
      </w:r>
      <w:proofErr w:type="spellEnd"/>
      <w:r w:rsidR="007827BC" w:rsidRPr="00817921">
        <w:rPr>
          <w:rFonts w:ascii="Times New Roman" w:hAnsi="Times New Roman" w:cs="Times New Roman"/>
          <w:szCs w:val="22"/>
          <w:lang w:val="pt-BR"/>
        </w:rPr>
        <w:t xml:space="preserve"> dhe </w:t>
      </w:r>
      <w:proofErr w:type="spellStart"/>
      <w:r w:rsidR="007827BC" w:rsidRPr="00817921">
        <w:rPr>
          <w:rFonts w:ascii="Times New Roman" w:hAnsi="Times New Roman" w:cs="Times New Roman"/>
          <w:szCs w:val="22"/>
          <w:lang w:val="pt-BR"/>
        </w:rPr>
        <w:t>modelimi</w:t>
      </w:r>
      <w:proofErr w:type="spellEnd"/>
      <w:r w:rsidR="007827BC" w:rsidRPr="00817921">
        <w:rPr>
          <w:rFonts w:ascii="Times New Roman" w:hAnsi="Times New Roman" w:cs="Times New Roman"/>
          <w:szCs w:val="22"/>
          <w:lang w:val="pt-BR"/>
        </w:rPr>
        <w:t xml:space="preserve"> i </w:t>
      </w:r>
      <w:proofErr w:type="spellStart"/>
      <w:r w:rsidR="007827BC" w:rsidRPr="00817921">
        <w:rPr>
          <w:rFonts w:ascii="Times New Roman" w:hAnsi="Times New Roman" w:cs="Times New Roman"/>
          <w:szCs w:val="22"/>
          <w:lang w:val="pt-BR"/>
        </w:rPr>
        <w:t>shërbimeve</w:t>
      </w:r>
      <w:proofErr w:type="spellEnd"/>
      <w:r w:rsidR="007827BC" w:rsidRPr="00817921">
        <w:rPr>
          <w:rFonts w:ascii="Times New Roman" w:hAnsi="Times New Roman" w:cs="Times New Roman"/>
          <w:szCs w:val="22"/>
          <w:lang w:val="pt-BR"/>
        </w:rPr>
        <w:t xml:space="preserve"> të reja të </w:t>
      </w:r>
      <w:proofErr w:type="spellStart"/>
      <w:r w:rsidR="007827BC" w:rsidRPr="00817921">
        <w:rPr>
          <w:rFonts w:ascii="Times New Roman" w:hAnsi="Times New Roman" w:cs="Times New Roman"/>
          <w:szCs w:val="22"/>
          <w:lang w:val="pt-BR"/>
        </w:rPr>
        <w:t>ofruara</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w:t>
      </w:r>
      <w:proofErr w:type="spellEnd"/>
      <w:r w:rsidR="007827BC" w:rsidRPr="00817921">
        <w:rPr>
          <w:rFonts w:ascii="Times New Roman" w:hAnsi="Times New Roman" w:cs="Times New Roman"/>
          <w:szCs w:val="22"/>
          <w:lang w:val="pt-BR"/>
        </w:rPr>
        <w:t xml:space="preserve"> komunitet</w:t>
      </w:r>
      <w:r w:rsidRPr="00817921">
        <w:rPr>
          <w:rFonts w:ascii="Times New Roman" w:hAnsi="Times New Roman" w:cs="Times New Roman"/>
          <w:szCs w:val="22"/>
          <w:lang w:val="pt-BR"/>
        </w:rPr>
        <w:t xml:space="preserve">; (viii) </w:t>
      </w:r>
      <w:proofErr w:type="spellStart"/>
      <w:r w:rsidR="007827BC" w:rsidRPr="00817921">
        <w:rPr>
          <w:rFonts w:ascii="Times New Roman" w:hAnsi="Times New Roman" w:cs="Times New Roman"/>
          <w:b/>
          <w:bCs/>
          <w:szCs w:val="22"/>
          <w:lang w:val="pt-BR"/>
        </w:rPr>
        <w:t>Dokumenti</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Politik</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për</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Moshimin</w:t>
      </w:r>
      <w:proofErr w:type="spellEnd"/>
      <w:r w:rsidR="007827BC" w:rsidRPr="00817921">
        <w:rPr>
          <w:rFonts w:ascii="Times New Roman" w:hAnsi="Times New Roman" w:cs="Times New Roman"/>
          <w:b/>
          <w:bCs/>
          <w:szCs w:val="22"/>
          <w:lang w:val="pt-BR"/>
        </w:rPr>
        <w:t xml:space="preserve"> 2020-2024</w:t>
      </w:r>
      <w:r w:rsidR="007827BC" w:rsidRPr="00817921">
        <w:rPr>
          <w:rStyle w:val="FootnoteReference"/>
          <w:rFonts w:ascii="Times New Roman" w:hAnsi="Times New Roman" w:cs="Times New Roman"/>
          <w:b/>
          <w:bCs/>
          <w:szCs w:val="22"/>
          <w:lang w:val="pt-BR"/>
        </w:rPr>
        <w:footnoteReference w:id="101"/>
      </w:r>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q</w:t>
      </w:r>
      <w:r w:rsidR="009A5A0E" w:rsidRPr="00817921">
        <w:rPr>
          <w:rFonts w:ascii="Times New Roman" w:hAnsi="Times New Roman" w:cs="Times New Roman"/>
          <w:szCs w:val="22"/>
        </w:rPr>
        <w:t>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parashikon</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q</w:t>
      </w:r>
      <w:r w:rsidR="009A5A0E" w:rsidRPr="00817921">
        <w:rPr>
          <w:rFonts w:ascii="Times New Roman" w:hAnsi="Times New Roman" w:cs="Times New Roman"/>
          <w:szCs w:val="22"/>
        </w:rPr>
        <w:t>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lang w:val="pt-BR"/>
        </w:rPr>
        <w:t>s</w:t>
      </w:r>
      <w:r w:rsidR="007827BC" w:rsidRPr="00817921">
        <w:rPr>
          <w:rFonts w:ascii="Times New Roman" w:hAnsi="Times New Roman" w:cs="Times New Roman"/>
          <w:szCs w:val="22"/>
          <w:lang w:val="pt-BR"/>
        </w:rPr>
        <w:t>hërbimet</w:t>
      </w:r>
      <w:proofErr w:type="spellEnd"/>
      <w:r w:rsidR="007827BC" w:rsidRPr="00817921">
        <w:rPr>
          <w:rFonts w:ascii="Times New Roman" w:hAnsi="Times New Roman" w:cs="Times New Roman"/>
          <w:szCs w:val="22"/>
          <w:lang w:val="pt-BR"/>
        </w:rPr>
        <w:t xml:space="preserve"> sociale </w:t>
      </w:r>
      <w:proofErr w:type="spellStart"/>
      <w:r w:rsidR="007827BC" w:rsidRPr="00817921">
        <w:rPr>
          <w:rFonts w:ascii="Times New Roman" w:hAnsi="Times New Roman" w:cs="Times New Roman"/>
          <w:szCs w:val="22"/>
          <w:lang w:val="pt-BR"/>
        </w:rPr>
        <w:t>për</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moshuarit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realizohen</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nëpërmjet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Shërbimeve</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kujdesit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shoqëror</w:t>
      </w:r>
      <w:proofErr w:type="spellEnd"/>
      <w:r w:rsidR="007827BC" w:rsidRPr="00817921">
        <w:rPr>
          <w:rFonts w:ascii="Times New Roman" w:hAnsi="Times New Roman" w:cs="Times New Roman"/>
          <w:szCs w:val="22"/>
          <w:lang w:val="pt-BR"/>
        </w:rPr>
        <w:t xml:space="preserve"> , </w:t>
      </w:r>
      <w:proofErr w:type="spellStart"/>
      <w:r w:rsidR="007827BC" w:rsidRPr="00817921">
        <w:rPr>
          <w:rFonts w:ascii="Times New Roman" w:hAnsi="Times New Roman" w:cs="Times New Roman"/>
          <w:szCs w:val="22"/>
          <w:lang w:val="pt-BR"/>
        </w:rPr>
        <w:t>që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ofrohen</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qendrat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publike</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shërbimeve</w:t>
      </w:r>
      <w:proofErr w:type="spellEnd"/>
      <w:r w:rsidR="007827BC" w:rsidRPr="00817921">
        <w:rPr>
          <w:rFonts w:ascii="Times New Roman" w:hAnsi="Times New Roman" w:cs="Times New Roman"/>
          <w:szCs w:val="22"/>
          <w:lang w:val="pt-BR"/>
        </w:rPr>
        <w:t xml:space="preserve"> si; </w:t>
      </w:r>
      <w:proofErr w:type="spellStart"/>
      <w:r w:rsidR="007827BC" w:rsidRPr="00817921">
        <w:rPr>
          <w:rFonts w:ascii="Times New Roman" w:hAnsi="Times New Roman" w:cs="Times New Roman"/>
          <w:szCs w:val="22"/>
          <w:lang w:val="pt-BR"/>
        </w:rPr>
        <w:t>qendrat</w:t>
      </w:r>
      <w:proofErr w:type="spellEnd"/>
      <w:r w:rsidR="007827BC" w:rsidRPr="00817921">
        <w:rPr>
          <w:rFonts w:ascii="Times New Roman" w:hAnsi="Times New Roman" w:cs="Times New Roman"/>
          <w:szCs w:val="22"/>
          <w:lang w:val="pt-BR"/>
        </w:rPr>
        <w:t xml:space="preserve"> komunitare, </w:t>
      </w:r>
      <w:proofErr w:type="spellStart"/>
      <w:r w:rsidR="007827BC" w:rsidRPr="00817921">
        <w:rPr>
          <w:rFonts w:ascii="Times New Roman" w:hAnsi="Times New Roman" w:cs="Times New Roman"/>
          <w:szCs w:val="22"/>
          <w:lang w:val="pt-BR"/>
        </w:rPr>
        <w:t>qendrat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rezidenciale</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qendrat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ditore</w:t>
      </w:r>
      <w:proofErr w:type="spellEnd"/>
      <w:r w:rsidR="007827BC" w:rsidRPr="00817921">
        <w:rPr>
          <w:rFonts w:ascii="Times New Roman" w:hAnsi="Times New Roman" w:cs="Times New Roman"/>
          <w:szCs w:val="22"/>
          <w:lang w:val="pt-BR"/>
        </w:rPr>
        <w:t xml:space="preserve"> ose </w:t>
      </w:r>
      <w:proofErr w:type="spellStart"/>
      <w:r w:rsidR="007827BC" w:rsidRPr="00817921">
        <w:rPr>
          <w:rFonts w:ascii="Times New Roman" w:hAnsi="Times New Roman" w:cs="Times New Roman"/>
          <w:szCs w:val="22"/>
          <w:lang w:val="pt-BR"/>
        </w:rPr>
        <w:t>shërbime</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shtëpi</w:t>
      </w:r>
      <w:proofErr w:type="spellEnd"/>
      <w:r w:rsidR="007827BC" w:rsidRPr="00817921">
        <w:rPr>
          <w:rFonts w:ascii="Times New Roman" w:hAnsi="Times New Roman" w:cs="Times New Roman"/>
          <w:szCs w:val="22"/>
          <w:lang w:val="pt-BR"/>
        </w:rPr>
        <w:t xml:space="preserve"> dhe </w:t>
      </w:r>
      <w:proofErr w:type="spellStart"/>
      <w:r w:rsidR="007827BC" w:rsidRPr="00817921">
        <w:rPr>
          <w:rFonts w:ascii="Times New Roman" w:hAnsi="Times New Roman" w:cs="Times New Roman"/>
          <w:szCs w:val="22"/>
          <w:lang w:val="pt-BR"/>
        </w:rPr>
        <w:t>financohen</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nga</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buxheti</w:t>
      </w:r>
      <w:proofErr w:type="spellEnd"/>
      <w:r w:rsidR="007827BC" w:rsidRPr="00817921">
        <w:rPr>
          <w:rFonts w:ascii="Times New Roman" w:hAnsi="Times New Roman" w:cs="Times New Roman"/>
          <w:szCs w:val="22"/>
          <w:lang w:val="pt-BR"/>
        </w:rPr>
        <w:t xml:space="preserve"> i shtetit dhe </w:t>
      </w:r>
      <w:proofErr w:type="spellStart"/>
      <w:r w:rsidR="007827BC" w:rsidRPr="00817921">
        <w:rPr>
          <w:rFonts w:ascii="Times New Roman" w:hAnsi="Times New Roman" w:cs="Times New Roman"/>
          <w:szCs w:val="22"/>
          <w:lang w:val="pt-BR"/>
        </w:rPr>
        <w:t>nga</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buxhetet</w:t>
      </w:r>
      <w:proofErr w:type="spellEnd"/>
      <w:r w:rsidR="007827BC" w:rsidRPr="00817921">
        <w:rPr>
          <w:rFonts w:ascii="Times New Roman" w:hAnsi="Times New Roman" w:cs="Times New Roman"/>
          <w:szCs w:val="22"/>
          <w:lang w:val="pt-BR"/>
        </w:rPr>
        <w:t xml:space="preserve"> vendore të </w:t>
      </w:r>
      <w:proofErr w:type="spellStart"/>
      <w:r w:rsidR="007827BC" w:rsidRPr="00817921">
        <w:rPr>
          <w:rFonts w:ascii="Times New Roman" w:hAnsi="Times New Roman" w:cs="Times New Roman"/>
          <w:szCs w:val="22"/>
          <w:lang w:val="pt-BR"/>
        </w:rPr>
        <w:t>organeve</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qeverisjes</w:t>
      </w:r>
      <w:proofErr w:type="spellEnd"/>
      <w:r w:rsidR="007827BC" w:rsidRPr="00817921">
        <w:rPr>
          <w:rFonts w:ascii="Times New Roman" w:hAnsi="Times New Roman" w:cs="Times New Roman"/>
          <w:szCs w:val="22"/>
          <w:lang w:val="pt-BR"/>
        </w:rPr>
        <w:t xml:space="preserve"> vendore </w:t>
      </w:r>
      <w:r w:rsidRPr="00817921">
        <w:rPr>
          <w:rFonts w:ascii="Times New Roman" w:hAnsi="Times New Roman" w:cs="Times New Roman"/>
          <w:szCs w:val="22"/>
          <w:lang w:val="pt-BR"/>
        </w:rPr>
        <w:t xml:space="preserve">si dhe </w:t>
      </w:r>
      <w:proofErr w:type="spellStart"/>
      <w:r w:rsidRPr="00817921">
        <w:rPr>
          <w:rFonts w:ascii="Times New Roman" w:hAnsi="Times New Roman" w:cs="Times New Roman"/>
          <w:szCs w:val="22"/>
          <w:lang w:val="pt-BR"/>
        </w:rPr>
        <w:t>s</w:t>
      </w:r>
      <w:r w:rsidR="007827BC" w:rsidRPr="00817921">
        <w:rPr>
          <w:rFonts w:ascii="Times New Roman" w:hAnsi="Times New Roman" w:cs="Times New Roman"/>
          <w:szCs w:val="22"/>
          <w:lang w:val="pt-BR"/>
        </w:rPr>
        <w:t>hërbimet</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kujdesit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shoqëror</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që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ofrohen</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w:t>
      </w:r>
      <w:proofErr w:type="spellEnd"/>
      <w:r w:rsidR="007827BC" w:rsidRPr="00817921">
        <w:rPr>
          <w:rFonts w:ascii="Times New Roman" w:hAnsi="Times New Roman" w:cs="Times New Roman"/>
          <w:szCs w:val="22"/>
          <w:lang w:val="pt-BR"/>
        </w:rPr>
        <w:t xml:space="preserve"> qendra </w:t>
      </w:r>
      <w:proofErr w:type="spellStart"/>
      <w:r w:rsidR="007827BC" w:rsidRPr="00817921">
        <w:rPr>
          <w:rFonts w:ascii="Times New Roman" w:hAnsi="Times New Roman" w:cs="Times New Roman"/>
          <w:szCs w:val="22"/>
          <w:lang w:val="pt-BR"/>
        </w:rPr>
        <w:t>jopublike</w:t>
      </w:r>
      <w:proofErr w:type="spellEnd"/>
      <w:r w:rsidR="007827BC" w:rsidRPr="00817921">
        <w:rPr>
          <w:rFonts w:ascii="Times New Roman" w:hAnsi="Times New Roman" w:cs="Times New Roman"/>
          <w:szCs w:val="22"/>
          <w:lang w:val="pt-BR"/>
        </w:rPr>
        <w:t xml:space="preserve"> , </w:t>
      </w:r>
      <w:proofErr w:type="spellStart"/>
      <w:r w:rsidR="007827BC" w:rsidRPr="00817921">
        <w:rPr>
          <w:rFonts w:ascii="Times New Roman" w:hAnsi="Times New Roman" w:cs="Times New Roman"/>
          <w:szCs w:val="22"/>
          <w:lang w:val="pt-BR"/>
        </w:rPr>
        <w:t>nga</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organizata</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fitimprurëse</w:t>
      </w:r>
      <w:proofErr w:type="spellEnd"/>
      <w:r w:rsidR="007827BC" w:rsidRPr="00817921">
        <w:rPr>
          <w:rFonts w:ascii="Times New Roman" w:hAnsi="Times New Roman" w:cs="Times New Roman"/>
          <w:szCs w:val="22"/>
          <w:lang w:val="pt-BR"/>
        </w:rPr>
        <w:t xml:space="preserve"> dhe </w:t>
      </w:r>
      <w:proofErr w:type="spellStart"/>
      <w:r w:rsidR="007827BC" w:rsidRPr="00817921">
        <w:rPr>
          <w:rFonts w:ascii="Times New Roman" w:hAnsi="Times New Roman" w:cs="Times New Roman"/>
          <w:szCs w:val="22"/>
          <w:lang w:val="pt-BR"/>
        </w:rPr>
        <w:t>jofitimprurëse</w:t>
      </w:r>
      <w:proofErr w:type="spellEnd"/>
      <w:r w:rsidR="007827BC" w:rsidRPr="00817921">
        <w:rPr>
          <w:rFonts w:ascii="Times New Roman" w:hAnsi="Times New Roman" w:cs="Times New Roman"/>
          <w:szCs w:val="22"/>
          <w:lang w:val="pt-BR"/>
        </w:rPr>
        <w:t xml:space="preserve"> </w:t>
      </w:r>
      <w:r w:rsidRPr="00817921">
        <w:rPr>
          <w:rFonts w:ascii="Times New Roman" w:hAnsi="Times New Roman" w:cs="Times New Roman"/>
          <w:szCs w:val="22"/>
          <w:lang w:val="pt-BR"/>
        </w:rPr>
        <w:t xml:space="preserve">; (ix) </w:t>
      </w:r>
      <w:r w:rsidR="007827BC" w:rsidRPr="00817921">
        <w:rPr>
          <w:rFonts w:ascii="Times New Roman" w:hAnsi="Times New Roman" w:cs="Times New Roman"/>
          <w:b/>
          <w:bCs/>
          <w:szCs w:val="22"/>
          <w:lang w:val="pt-BR"/>
        </w:rPr>
        <w:t xml:space="preserve">Plani </w:t>
      </w:r>
      <w:proofErr w:type="spellStart"/>
      <w:r w:rsidR="007827BC" w:rsidRPr="00817921">
        <w:rPr>
          <w:rFonts w:ascii="Times New Roman" w:hAnsi="Times New Roman" w:cs="Times New Roman"/>
          <w:b/>
          <w:bCs/>
          <w:szCs w:val="22"/>
          <w:lang w:val="pt-BR"/>
        </w:rPr>
        <w:t>Kombëtar</w:t>
      </w:r>
      <w:proofErr w:type="spellEnd"/>
      <w:r w:rsidR="007827BC" w:rsidRPr="00817921">
        <w:rPr>
          <w:rFonts w:ascii="Times New Roman" w:hAnsi="Times New Roman" w:cs="Times New Roman"/>
          <w:b/>
          <w:bCs/>
          <w:szCs w:val="22"/>
          <w:lang w:val="pt-BR"/>
        </w:rPr>
        <w:t xml:space="preserve"> </w:t>
      </w:r>
      <w:r w:rsidRPr="00817921">
        <w:rPr>
          <w:rFonts w:ascii="Times New Roman" w:hAnsi="Times New Roman" w:cs="Times New Roman"/>
          <w:b/>
          <w:bCs/>
          <w:szCs w:val="22"/>
          <w:lang w:val="pt-BR"/>
        </w:rPr>
        <w:t>i</w:t>
      </w:r>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Veprimit</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për</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Personat</w:t>
      </w:r>
      <w:proofErr w:type="spellEnd"/>
      <w:r w:rsidR="007827BC" w:rsidRPr="00817921">
        <w:rPr>
          <w:rFonts w:ascii="Times New Roman" w:hAnsi="Times New Roman" w:cs="Times New Roman"/>
          <w:b/>
          <w:bCs/>
          <w:szCs w:val="22"/>
          <w:lang w:val="pt-BR"/>
        </w:rPr>
        <w:t xml:space="preserve"> LGBTI+</w:t>
      </w:r>
      <w:r w:rsidR="007827BC" w:rsidRPr="00817921">
        <w:rPr>
          <w:rStyle w:val="FootnoteReference"/>
          <w:rFonts w:ascii="Times New Roman" w:hAnsi="Times New Roman" w:cs="Times New Roman"/>
          <w:b/>
          <w:bCs/>
          <w:szCs w:val="22"/>
          <w:lang w:val="pt-BR"/>
        </w:rPr>
        <w:footnoteReference w:id="102"/>
      </w:r>
      <w:r w:rsidRPr="00817921">
        <w:rPr>
          <w:rFonts w:ascii="Times New Roman" w:hAnsi="Times New Roman" w:cs="Times New Roman"/>
          <w:b/>
          <w:bCs/>
          <w:szCs w:val="22"/>
          <w:lang w:val="pt-BR"/>
        </w:rPr>
        <w:t xml:space="preserve">, </w:t>
      </w:r>
      <w:r w:rsidR="007827BC" w:rsidRPr="00817921">
        <w:rPr>
          <w:rFonts w:ascii="Times New Roman" w:hAnsi="Times New Roman" w:cs="Times New Roman"/>
          <w:b/>
          <w:bCs/>
          <w:szCs w:val="22"/>
          <w:lang w:val="pt-BR"/>
        </w:rPr>
        <w:t>2021-2027</w:t>
      </w:r>
      <w:r w:rsidRPr="00817921">
        <w:rPr>
          <w:rFonts w:ascii="Times New Roman" w:hAnsi="Times New Roman" w:cs="Times New Roman"/>
          <w:b/>
          <w:bCs/>
          <w:szCs w:val="22"/>
          <w:lang w:val="pt-BR"/>
        </w:rPr>
        <w:t xml:space="preserve">, </w:t>
      </w:r>
      <w:r w:rsidRPr="00817921">
        <w:rPr>
          <w:rFonts w:ascii="Times New Roman" w:hAnsi="Times New Roman" w:cs="Times New Roman"/>
          <w:szCs w:val="22"/>
        </w:rPr>
        <w:t xml:space="preserve">shtylla e </w:t>
      </w:r>
      <w:proofErr w:type="spellStart"/>
      <w:r w:rsidRPr="00817921">
        <w:rPr>
          <w:rFonts w:ascii="Times New Roman" w:hAnsi="Times New Roman" w:cs="Times New Roman"/>
          <w:szCs w:val="22"/>
        </w:rPr>
        <w:t>par</w:t>
      </w:r>
      <w:r w:rsidR="009A5A0E" w:rsidRPr="00817921">
        <w:rPr>
          <w:rFonts w:ascii="Times New Roman" w:hAnsi="Times New Roman" w:cs="Times New Roman"/>
          <w:szCs w:val="22"/>
        </w:rPr>
        <w:t>ë</w:t>
      </w:r>
      <w:proofErr w:type="spellEnd"/>
      <w:r w:rsidRPr="00817921">
        <w:rPr>
          <w:rFonts w:ascii="Times New Roman" w:hAnsi="Times New Roman" w:cs="Times New Roman"/>
          <w:szCs w:val="22"/>
        </w:rPr>
        <w:t xml:space="preserve"> </w:t>
      </w:r>
      <w:r w:rsidR="007827BC" w:rsidRPr="00817921">
        <w:rPr>
          <w:rFonts w:ascii="Times New Roman" w:hAnsi="Times New Roman" w:cs="Times New Roman"/>
          <w:szCs w:val="22"/>
          <w:lang w:val="pt-BR"/>
        </w:rPr>
        <w:t>“</w:t>
      </w:r>
      <w:r w:rsidRPr="00817921">
        <w:rPr>
          <w:rFonts w:ascii="Times New Roman" w:hAnsi="Times New Roman" w:cs="Times New Roman"/>
          <w:szCs w:val="22"/>
          <w:lang w:val="pt-BR"/>
        </w:rPr>
        <w:t>p</w:t>
      </w:r>
      <w:r w:rsidR="007827BC" w:rsidRPr="00817921">
        <w:rPr>
          <w:rFonts w:ascii="Times New Roman" w:hAnsi="Times New Roman" w:cs="Times New Roman"/>
          <w:szCs w:val="22"/>
          <w:lang w:val="pt-BR"/>
        </w:rPr>
        <w:t>ërmirësimi i aksesit të personave LGBTI+ në shërbime publike dhe shërbime mbështetëse të specializuara efektive , cilësore dhe të disponueshme në mbarë vendin, në përputhje me nevojat specifike të tyre dhe me standartet kombëtare të harmonizuara me ato evropiane/ndërkombëtare”</w:t>
      </w:r>
      <w:r w:rsidRPr="00817921">
        <w:rPr>
          <w:rFonts w:ascii="Times New Roman" w:hAnsi="Times New Roman" w:cs="Times New Roman"/>
          <w:szCs w:val="22"/>
          <w:lang w:val="pt-BR"/>
        </w:rPr>
        <w:t xml:space="preserve">; (x) </w:t>
      </w:r>
      <w:r w:rsidR="007827BC" w:rsidRPr="00817921">
        <w:rPr>
          <w:rFonts w:ascii="Times New Roman" w:hAnsi="Times New Roman" w:cs="Times New Roman"/>
          <w:b/>
          <w:bCs/>
          <w:szCs w:val="22"/>
          <w:lang w:val="pt-BR"/>
        </w:rPr>
        <w:t>Strategji</w:t>
      </w:r>
      <w:r w:rsidRPr="00817921">
        <w:rPr>
          <w:rFonts w:ascii="Times New Roman" w:hAnsi="Times New Roman" w:cs="Times New Roman"/>
          <w:b/>
          <w:bCs/>
          <w:szCs w:val="22"/>
          <w:lang w:val="pt-BR"/>
        </w:rPr>
        <w:t>a</w:t>
      </w:r>
      <w:r w:rsidR="007827BC" w:rsidRPr="00817921">
        <w:rPr>
          <w:rFonts w:ascii="Times New Roman" w:hAnsi="Times New Roman" w:cs="Times New Roman"/>
          <w:b/>
          <w:bCs/>
          <w:szCs w:val="22"/>
          <w:lang w:val="pt-BR"/>
        </w:rPr>
        <w:t xml:space="preserve"> e Zhvillimit të Shërbimeve të Kujdesit Shëndetësor Parësor në Shqipëri 2020-2025</w:t>
      </w:r>
      <w:r w:rsidR="007827BC" w:rsidRPr="00817921">
        <w:rPr>
          <w:rStyle w:val="FootnoteReference"/>
          <w:rFonts w:ascii="Times New Roman" w:hAnsi="Times New Roman" w:cs="Times New Roman"/>
          <w:b/>
          <w:bCs/>
          <w:szCs w:val="22"/>
          <w:lang w:val="pt-BR"/>
        </w:rPr>
        <w:footnoteReference w:id="103"/>
      </w:r>
      <w:r w:rsidRPr="00817921">
        <w:rPr>
          <w:rFonts w:ascii="Times New Roman" w:hAnsi="Times New Roman" w:cs="Times New Roman"/>
          <w:b/>
          <w:bCs/>
          <w:szCs w:val="22"/>
          <w:lang w:val="pt-BR"/>
        </w:rPr>
        <w:t>,</w:t>
      </w:r>
      <w:r w:rsidR="007827BC" w:rsidRPr="00817921">
        <w:rPr>
          <w:rFonts w:ascii="Times New Roman" w:hAnsi="Times New Roman" w:cs="Times New Roman"/>
          <w:szCs w:val="22"/>
          <w:lang w:val="pt-BR"/>
        </w:rPr>
        <w:t xml:space="preserve"> </w:t>
      </w:r>
      <w:r w:rsidRPr="00817921">
        <w:rPr>
          <w:rFonts w:ascii="Times New Roman" w:hAnsi="Times New Roman" w:cs="Times New Roman"/>
          <w:szCs w:val="22"/>
          <w:lang w:val="pt-BR"/>
        </w:rPr>
        <w:t>o</w:t>
      </w:r>
      <w:r w:rsidR="007827BC" w:rsidRPr="00817921">
        <w:rPr>
          <w:rFonts w:ascii="Times New Roman" w:hAnsi="Times New Roman" w:cs="Times New Roman"/>
          <w:szCs w:val="22"/>
          <w:lang w:val="pt-BR"/>
        </w:rPr>
        <w:t>bjektivin Strategjik 5 “Mbulim shëndetësor universal“, shtimi shërbimeve të reja dhe integrimi i shërbimeve shëndetësore me shërbimet psiko-sociale (kujdesi paliativ, kujdesi psikologjik,rehabilitimi fizik (fizioterapia)</w:t>
      </w:r>
      <w:r w:rsidR="00BB33BB" w:rsidRPr="00817921">
        <w:rPr>
          <w:rFonts w:ascii="Times New Roman" w:hAnsi="Times New Roman" w:cs="Times New Roman"/>
          <w:szCs w:val="22"/>
          <w:lang w:val="pt-BR"/>
        </w:rPr>
        <w:t xml:space="preserve">, </w:t>
      </w:r>
      <w:r w:rsidR="007827BC" w:rsidRPr="00817921">
        <w:rPr>
          <w:rFonts w:ascii="Times New Roman" w:hAnsi="Times New Roman" w:cs="Times New Roman"/>
          <w:szCs w:val="22"/>
          <w:lang w:val="pt-BR"/>
        </w:rPr>
        <w:t>sigurimi i një bashkëpunimi të qëndrueshëm mes individëve , familjeve , komuniteteve dhe Kujdesit Shëndetësor Parësor</w:t>
      </w:r>
      <w:r w:rsidR="00BB33BB" w:rsidRPr="00817921">
        <w:rPr>
          <w:rFonts w:ascii="Times New Roman" w:hAnsi="Times New Roman" w:cs="Times New Roman"/>
          <w:szCs w:val="22"/>
          <w:lang w:val="pt-BR"/>
        </w:rPr>
        <w:t xml:space="preserve"> si dhe </w:t>
      </w:r>
      <w:r w:rsidR="007827BC" w:rsidRPr="00817921">
        <w:rPr>
          <w:rFonts w:ascii="Times New Roman" w:hAnsi="Times New Roman" w:cs="Times New Roman"/>
          <w:szCs w:val="22"/>
          <w:lang w:val="pt-BR"/>
        </w:rPr>
        <w:t>objektivi VII.1 “ Të organizojmë shërbimet e Kujdesit shëndetësor Parësor , gjithmonë e më të integruara me kujdesin social në nivel vendor</w:t>
      </w:r>
      <w:r w:rsidR="00BB33BB" w:rsidRPr="00817921">
        <w:rPr>
          <w:rFonts w:ascii="Times New Roman" w:hAnsi="Times New Roman" w:cs="Times New Roman"/>
          <w:szCs w:val="22"/>
          <w:lang w:val="pt-BR"/>
        </w:rPr>
        <w:t xml:space="preserve">; (xi) </w:t>
      </w:r>
      <w:r w:rsidR="007827BC" w:rsidRPr="00817921">
        <w:rPr>
          <w:rFonts w:ascii="Times New Roman" w:hAnsi="Times New Roman" w:cs="Times New Roman"/>
          <w:b/>
          <w:szCs w:val="22"/>
          <w:lang w:val="pt-BR"/>
        </w:rPr>
        <w:t>Strategji</w:t>
      </w:r>
      <w:r w:rsidR="00BB33BB" w:rsidRPr="00817921">
        <w:rPr>
          <w:rFonts w:ascii="Times New Roman" w:hAnsi="Times New Roman" w:cs="Times New Roman"/>
          <w:b/>
          <w:szCs w:val="22"/>
          <w:lang w:val="pt-BR"/>
        </w:rPr>
        <w:t>a</w:t>
      </w:r>
      <w:r w:rsidR="007827BC" w:rsidRPr="00817921">
        <w:rPr>
          <w:rFonts w:ascii="Times New Roman" w:hAnsi="Times New Roman" w:cs="Times New Roman"/>
          <w:b/>
          <w:szCs w:val="22"/>
          <w:lang w:val="pt-BR"/>
        </w:rPr>
        <w:t xml:space="preserve"> për Punësim dhe Formim Profesional 2021-2026</w:t>
      </w:r>
      <w:r w:rsidR="007827BC" w:rsidRPr="00817921">
        <w:rPr>
          <w:rStyle w:val="FootnoteReference"/>
          <w:rFonts w:ascii="Times New Roman" w:hAnsi="Times New Roman" w:cs="Times New Roman"/>
          <w:b/>
          <w:szCs w:val="22"/>
          <w:lang w:val="pt-BR"/>
        </w:rPr>
        <w:footnoteReference w:id="104"/>
      </w:r>
      <w:r w:rsidR="007827BC" w:rsidRPr="00817921">
        <w:rPr>
          <w:rFonts w:ascii="Times New Roman" w:hAnsi="Times New Roman" w:cs="Times New Roman"/>
          <w:b/>
          <w:szCs w:val="22"/>
          <w:lang w:val="pt-BR"/>
        </w:rPr>
        <w:t>,</w:t>
      </w:r>
      <w:r w:rsidR="00BB33BB" w:rsidRPr="00817921">
        <w:rPr>
          <w:rFonts w:ascii="Times New Roman" w:hAnsi="Times New Roman" w:cs="Times New Roman"/>
          <w:b/>
          <w:szCs w:val="22"/>
          <w:lang w:val="pt-BR"/>
        </w:rPr>
        <w:t xml:space="preserve"> </w:t>
      </w:r>
      <w:r w:rsidR="00BB33BB" w:rsidRPr="00817921">
        <w:rPr>
          <w:rFonts w:ascii="Times New Roman" w:hAnsi="Times New Roman" w:cs="Times New Roman"/>
          <w:szCs w:val="22"/>
          <w:lang w:val="pt-BR"/>
        </w:rPr>
        <w:t>ku</w:t>
      </w:r>
      <w:r w:rsidR="007827BC" w:rsidRPr="00817921">
        <w:rPr>
          <w:rFonts w:ascii="Times New Roman" w:hAnsi="Times New Roman" w:cs="Times New Roman"/>
          <w:szCs w:val="22"/>
          <w:lang w:val="pt-BR"/>
        </w:rPr>
        <w:t xml:space="preserve"> </w:t>
      </w:r>
      <w:r w:rsidR="00BB33BB" w:rsidRPr="00817921">
        <w:rPr>
          <w:rFonts w:ascii="Times New Roman" w:hAnsi="Times New Roman" w:cs="Times New Roman"/>
          <w:szCs w:val="22"/>
          <w:lang w:val="pt-BR"/>
        </w:rPr>
        <w:t xml:space="preserve">materializohet </w:t>
      </w:r>
      <w:r w:rsidR="007827BC" w:rsidRPr="00817921">
        <w:rPr>
          <w:rFonts w:ascii="Times New Roman" w:hAnsi="Times New Roman" w:cs="Times New Roman"/>
          <w:szCs w:val="22"/>
          <w:lang w:val="pt-BR"/>
        </w:rPr>
        <w:t>rëndësia e zgjerimi</w:t>
      </w:r>
      <w:r w:rsidR="00BB33BB" w:rsidRPr="00817921">
        <w:rPr>
          <w:rFonts w:ascii="Times New Roman" w:hAnsi="Times New Roman" w:cs="Times New Roman"/>
          <w:szCs w:val="22"/>
          <w:lang w:val="pt-BR"/>
        </w:rPr>
        <w:t>t</w:t>
      </w:r>
      <w:r w:rsidR="007827BC" w:rsidRPr="00817921">
        <w:rPr>
          <w:rFonts w:ascii="Times New Roman" w:hAnsi="Times New Roman" w:cs="Times New Roman"/>
          <w:szCs w:val="22"/>
          <w:lang w:val="pt-BR"/>
        </w:rPr>
        <w:t xml:space="preserve"> të mekanizmit të vlerësimit dhe referimit të rastit në bashkëpunim me njësitë e vlerësimit të nevojave dhe ref</w:t>
      </w:r>
      <w:r w:rsidR="00BB33BB" w:rsidRPr="00817921">
        <w:rPr>
          <w:rFonts w:ascii="Times New Roman" w:hAnsi="Times New Roman" w:cs="Times New Roman"/>
          <w:szCs w:val="22"/>
          <w:lang w:val="pt-BR"/>
        </w:rPr>
        <w:t>e</w:t>
      </w:r>
      <w:r w:rsidR="007827BC" w:rsidRPr="00817921">
        <w:rPr>
          <w:rFonts w:ascii="Times New Roman" w:hAnsi="Times New Roman" w:cs="Times New Roman"/>
          <w:szCs w:val="22"/>
          <w:lang w:val="pt-BR"/>
        </w:rPr>
        <w:t>rimit në njësitë administrative në nivel vendor dhe forcimit të bashkërendimit institucional për ofrimin e shërbimeve mbështetëse sociale , shëndetësore e arsimore që do të mundësonin krijimin e kushteve për punësim.</w:t>
      </w:r>
      <w:r w:rsidR="00BB33BB" w:rsidRPr="00817921">
        <w:rPr>
          <w:rFonts w:ascii="Times New Roman" w:hAnsi="Times New Roman" w:cs="Times New Roman"/>
          <w:szCs w:val="22"/>
          <w:lang w:val="pt-BR"/>
        </w:rPr>
        <w:t xml:space="preserve"> </w:t>
      </w:r>
      <w:proofErr w:type="spellStart"/>
      <w:r w:rsidR="00BB33BB" w:rsidRPr="00817921">
        <w:rPr>
          <w:rFonts w:ascii="Times New Roman" w:hAnsi="Times New Roman" w:cs="Times New Roman"/>
          <w:szCs w:val="22"/>
          <w:lang w:val="pt-BR"/>
        </w:rPr>
        <w:t>Strategjia</w:t>
      </w:r>
      <w:proofErr w:type="spellEnd"/>
      <w:r w:rsidR="00BB33BB" w:rsidRPr="00817921">
        <w:rPr>
          <w:rFonts w:ascii="Times New Roman" w:hAnsi="Times New Roman" w:cs="Times New Roman"/>
          <w:szCs w:val="22"/>
          <w:lang w:val="pt-BR"/>
        </w:rPr>
        <w:t xml:space="preserve"> </w:t>
      </w:r>
      <w:proofErr w:type="spellStart"/>
      <w:r w:rsidR="00BB33BB" w:rsidRPr="00817921">
        <w:rPr>
          <w:rFonts w:ascii="Times New Roman" w:hAnsi="Times New Roman" w:cs="Times New Roman"/>
          <w:szCs w:val="22"/>
          <w:lang w:val="pt-BR"/>
        </w:rPr>
        <w:t>parashikon</w:t>
      </w:r>
      <w:proofErr w:type="spellEnd"/>
      <w:r w:rsidR="00BB33BB" w:rsidRPr="00817921">
        <w:rPr>
          <w:rFonts w:ascii="Times New Roman" w:hAnsi="Times New Roman" w:cs="Times New Roman"/>
          <w:szCs w:val="22"/>
          <w:lang w:val="pt-BR"/>
        </w:rPr>
        <w:t xml:space="preserve"> </w:t>
      </w:r>
      <w:proofErr w:type="spellStart"/>
      <w:r w:rsidR="00BB33BB" w:rsidRPr="00817921">
        <w:rPr>
          <w:rFonts w:ascii="Times New Roman" w:hAnsi="Times New Roman" w:cs="Times New Roman"/>
          <w:szCs w:val="22"/>
          <w:lang w:val="pt-BR"/>
        </w:rPr>
        <w:t>q</w:t>
      </w:r>
      <w:r w:rsidR="009A5A0E" w:rsidRPr="00817921">
        <w:rPr>
          <w:rFonts w:ascii="Times New Roman" w:hAnsi="Times New Roman" w:cs="Times New Roman"/>
          <w:szCs w:val="22"/>
          <w:lang w:val="pt-BR"/>
        </w:rPr>
        <w:t>ë</w:t>
      </w:r>
      <w:proofErr w:type="spellEnd"/>
      <w:r w:rsidR="00BB33BB" w:rsidRPr="00817921">
        <w:rPr>
          <w:rFonts w:ascii="Times New Roman" w:hAnsi="Times New Roman" w:cs="Times New Roman"/>
          <w:szCs w:val="22"/>
          <w:lang w:val="pt-BR"/>
        </w:rPr>
        <w:t xml:space="preserve"> </w:t>
      </w:r>
      <w:proofErr w:type="spellStart"/>
      <w:r w:rsidR="00BB33BB" w:rsidRPr="00817921">
        <w:rPr>
          <w:rFonts w:ascii="Times New Roman" w:hAnsi="Times New Roman" w:cs="Times New Roman"/>
          <w:szCs w:val="22"/>
          <w:lang w:val="pt-BR"/>
        </w:rPr>
        <w:t>n</w:t>
      </w:r>
      <w:r w:rsidR="009A5A0E" w:rsidRPr="00817921">
        <w:rPr>
          <w:rFonts w:ascii="Times New Roman" w:hAnsi="Times New Roman" w:cs="Times New Roman"/>
          <w:szCs w:val="22"/>
          <w:lang w:val="pt-BR"/>
        </w:rPr>
        <w:t>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bashkëpunim</w:t>
      </w:r>
      <w:proofErr w:type="spellEnd"/>
      <w:r w:rsidR="007827BC" w:rsidRPr="00817921">
        <w:rPr>
          <w:rFonts w:ascii="Times New Roman" w:hAnsi="Times New Roman" w:cs="Times New Roman"/>
          <w:szCs w:val="22"/>
          <w:lang w:val="pt-BR"/>
        </w:rPr>
        <w:t xml:space="preserve"> me </w:t>
      </w:r>
      <w:proofErr w:type="spellStart"/>
      <w:r w:rsidR="007827BC" w:rsidRPr="00817921">
        <w:rPr>
          <w:rFonts w:ascii="Times New Roman" w:hAnsi="Times New Roman" w:cs="Times New Roman"/>
          <w:szCs w:val="22"/>
          <w:lang w:val="pt-BR"/>
        </w:rPr>
        <w:t>ofrues</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publikë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jopublikë</w:t>
      </w:r>
      <w:proofErr w:type="spellEnd"/>
      <w:r w:rsidR="007827BC" w:rsidRPr="00817921">
        <w:rPr>
          <w:rFonts w:ascii="Times New Roman" w:hAnsi="Times New Roman" w:cs="Times New Roman"/>
          <w:szCs w:val="22"/>
          <w:lang w:val="pt-BR"/>
        </w:rPr>
        <w:t xml:space="preserve"> dhe </w:t>
      </w:r>
      <w:proofErr w:type="spellStart"/>
      <w:r w:rsidR="007827BC" w:rsidRPr="00817921">
        <w:rPr>
          <w:rFonts w:ascii="Times New Roman" w:hAnsi="Times New Roman" w:cs="Times New Roman"/>
          <w:szCs w:val="22"/>
          <w:lang w:val="pt-BR"/>
        </w:rPr>
        <w:t>privatë</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hartohen</w:t>
      </w:r>
      <w:proofErr w:type="spellEnd"/>
      <w:r w:rsidR="007827BC" w:rsidRPr="00817921">
        <w:rPr>
          <w:rFonts w:ascii="Times New Roman" w:hAnsi="Times New Roman" w:cs="Times New Roman"/>
          <w:szCs w:val="22"/>
          <w:lang w:val="pt-BR"/>
        </w:rPr>
        <w:t xml:space="preserve"> programe të </w:t>
      </w:r>
      <w:proofErr w:type="spellStart"/>
      <w:r w:rsidR="007827BC" w:rsidRPr="00817921">
        <w:rPr>
          <w:rFonts w:ascii="Times New Roman" w:hAnsi="Times New Roman" w:cs="Times New Roman"/>
          <w:szCs w:val="22"/>
          <w:lang w:val="pt-BR"/>
        </w:rPr>
        <w:t>nxitjes</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së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punësimit</w:t>
      </w:r>
      <w:proofErr w:type="spellEnd"/>
      <w:r w:rsidR="007827BC" w:rsidRPr="00817921">
        <w:rPr>
          <w:rFonts w:ascii="Times New Roman" w:hAnsi="Times New Roman" w:cs="Times New Roman"/>
          <w:szCs w:val="22"/>
          <w:lang w:val="pt-BR"/>
        </w:rPr>
        <w:t xml:space="preserve"> dhe </w:t>
      </w:r>
      <w:proofErr w:type="spellStart"/>
      <w:r w:rsidR="007827BC" w:rsidRPr="00817921">
        <w:rPr>
          <w:rFonts w:ascii="Times New Roman" w:hAnsi="Times New Roman" w:cs="Times New Roman"/>
          <w:szCs w:val="22"/>
          <w:lang w:val="pt-BR"/>
        </w:rPr>
        <w:t>aftësimit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profesional</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për</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grupet</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cënueshme</w:t>
      </w:r>
      <w:proofErr w:type="spellEnd"/>
      <w:r w:rsidR="007827BC" w:rsidRPr="00817921">
        <w:rPr>
          <w:rFonts w:ascii="Times New Roman" w:hAnsi="Times New Roman" w:cs="Times New Roman"/>
          <w:szCs w:val="22"/>
          <w:lang w:val="pt-BR"/>
        </w:rPr>
        <w:t xml:space="preserve"> , si të </w:t>
      </w:r>
      <w:proofErr w:type="spellStart"/>
      <w:r w:rsidR="007827BC" w:rsidRPr="00817921">
        <w:rPr>
          <w:rFonts w:ascii="Times New Roman" w:hAnsi="Times New Roman" w:cs="Times New Roman"/>
          <w:szCs w:val="22"/>
          <w:lang w:val="pt-BR"/>
        </w:rPr>
        <w:t>rinjtë</w:t>
      </w:r>
      <w:proofErr w:type="spellEnd"/>
      <w:r w:rsidR="007827BC" w:rsidRPr="00817921">
        <w:rPr>
          <w:rFonts w:ascii="Times New Roman" w:hAnsi="Times New Roman" w:cs="Times New Roman"/>
          <w:szCs w:val="22"/>
          <w:lang w:val="pt-BR"/>
        </w:rPr>
        <w:t xml:space="preserve"> , </w:t>
      </w:r>
      <w:proofErr w:type="spellStart"/>
      <w:r w:rsidR="007827BC" w:rsidRPr="00817921">
        <w:rPr>
          <w:rFonts w:ascii="Times New Roman" w:hAnsi="Times New Roman" w:cs="Times New Roman"/>
          <w:szCs w:val="22"/>
          <w:lang w:val="pt-BR"/>
        </w:rPr>
        <w:t>personat</w:t>
      </w:r>
      <w:proofErr w:type="spellEnd"/>
      <w:r w:rsidR="007827BC" w:rsidRPr="00817921">
        <w:rPr>
          <w:rFonts w:ascii="Times New Roman" w:hAnsi="Times New Roman" w:cs="Times New Roman"/>
          <w:szCs w:val="22"/>
          <w:lang w:val="pt-BR"/>
        </w:rPr>
        <w:t xml:space="preserve"> me </w:t>
      </w:r>
      <w:proofErr w:type="spellStart"/>
      <w:r w:rsidR="007827BC" w:rsidRPr="00817921">
        <w:rPr>
          <w:rFonts w:ascii="Times New Roman" w:hAnsi="Times New Roman" w:cs="Times New Roman"/>
          <w:szCs w:val="22"/>
          <w:lang w:val="pt-BR"/>
        </w:rPr>
        <w:t>aftësi</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kufizuara</w:t>
      </w:r>
      <w:proofErr w:type="spellEnd"/>
      <w:r w:rsidR="007827BC" w:rsidRPr="00817921">
        <w:rPr>
          <w:rFonts w:ascii="Times New Roman" w:hAnsi="Times New Roman" w:cs="Times New Roman"/>
          <w:szCs w:val="22"/>
          <w:lang w:val="pt-BR"/>
        </w:rPr>
        <w:t xml:space="preserve">(si </w:t>
      </w:r>
      <w:proofErr w:type="spellStart"/>
      <w:r w:rsidR="007827BC" w:rsidRPr="00817921">
        <w:rPr>
          <w:rFonts w:ascii="Times New Roman" w:hAnsi="Times New Roman" w:cs="Times New Roman"/>
          <w:szCs w:val="22"/>
          <w:lang w:val="pt-BR"/>
        </w:rPr>
        <w:t>pjesë</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fondit</w:t>
      </w:r>
      <w:proofErr w:type="spellEnd"/>
      <w:r w:rsidR="007827BC" w:rsidRPr="00817921">
        <w:rPr>
          <w:rFonts w:ascii="Times New Roman" w:hAnsi="Times New Roman" w:cs="Times New Roman"/>
          <w:szCs w:val="22"/>
          <w:lang w:val="pt-BR"/>
        </w:rPr>
        <w:t xml:space="preserve"> social të </w:t>
      </w:r>
      <w:proofErr w:type="spellStart"/>
      <w:r w:rsidR="007827BC" w:rsidRPr="00817921">
        <w:rPr>
          <w:rFonts w:ascii="Times New Roman" w:hAnsi="Times New Roman" w:cs="Times New Roman"/>
          <w:szCs w:val="22"/>
          <w:lang w:val="pt-BR"/>
        </w:rPr>
        <w:t>punësimit</w:t>
      </w:r>
      <w:proofErr w:type="spellEnd"/>
      <w:r w:rsidR="007827BC" w:rsidRPr="00817921">
        <w:rPr>
          <w:rFonts w:ascii="Times New Roman" w:hAnsi="Times New Roman" w:cs="Times New Roman"/>
          <w:szCs w:val="22"/>
          <w:lang w:val="pt-BR"/>
        </w:rPr>
        <w:t xml:space="preserve"> ), </w:t>
      </w:r>
      <w:proofErr w:type="spellStart"/>
      <w:r w:rsidR="007827BC" w:rsidRPr="00817921">
        <w:rPr>
          <w:rFonts w:ascii="Times New Roman" w:hAnsi="Times New Roman" w:cs="Times New Roman"/>
          <w:szCs w:val="22"/>
          <w:lang w:val="pt-BR"/>
        </w:rPr>
        <w:t>përfituesit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moshë</w:t>
      </w:r>
      <w:proofErr w:type="spellEnd"/>
      <w:r w:rsidR="007827BC" w:rsidRPr="00817921">
        <w:rPr>
          <w:rFonts w:ascii="Times New Roman" w:hAnsi="Times New Roman" w:cs="Times New Roman"/>
          <w:szCs w:val="22"/>
          <w:lang w:val="pt-BR"/>
        </w:rPr>
        <w:t xml:space="preserve"> pune </w:t>
      </w:r>
      <w:proofErr w:type="spellStart"/>
      <w:r w:rsidR="007827BC" w:rsidRPr="00817921">
        <w:rPr>
          <w:rFonts w:ascii="Times New Roman" w:hAnsi="Times New Roman" w:cs="Times New Roman"/>
          <w:szCs w:val="22"/>
          <w:lang w:val="pt-BR"/>
        </w:rPr>
        <w:t>nga</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familjet</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mbështetura</w:t>
      </w:r>
      <w:proofErr w:type="spellEnd"/>
      <w:r w:rsidR="007827BC" w:rsidRPr="00817921">
        <w:rPr>
          <w:rFonts w:ascii="Times New Roman" w:hAnsi="Times New Roman" w:cs="Times New Roman"/>
          <w:szCs w:val="22"/>
          <w:lang w:val="pt-BR"/>
        </w:rPr>
        <w:t xml:space="preserve"> me </w:t>
      </w:r>
      <w:proofErr w:type="spellStart"/>
      <w:r w:rsidR="007827BC" w:rsidRPr="00817921">
        <w:rPr>
          <w:rFonts w:ascii="Times New Roman" w:hAnsi="Times New Roman" w:cs="Times New Roman"/>
          <w:szCs w:val="22"/>
          <w:lang w:val="pt-BR"/>
        </w:rPr>
        <w:t>ndihmë</w:t>
      </w:r>
      <w:proofErr w:type="spellEnd"/>
      <w:r w:rsidR="007827BC" w:rsidRPr="00817921">
        <w:rPr>
          <w:rFonts w:ascii="Times New Roman" w:hAnsi="Times New Roman" w:cs="Times New Roman"/>
          <w:szCs w:val="22"/>
          <w:lang w:val="pt-BR"/>
        </w:rPr>
        <w:t xml:space="preserve"> ekonomike, </w:t>
      </w:r>
      <w:proofErr w:type="spellStart"/>
      <w:r w:rsidR="007827BC" w:rsidRPr="00817921">
        <w:rPr>
          <w:rFonts w:ascii="Times New Roman" w:hAnsi="Times New Roman" w:cs="Times New Roman"/>
          <w:szCs w:val="22"/>
          <w:lang w:val="pt-BR"/>
        </w:rPr>
        <w:t>punëkërkuesit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afatgjatë</w:t>
      </w:r>
      <w:proofErr w:type="spellEnd"/>
      <w:r w:rsidR="007827BC" w:rsidRPr="00817921">
        <w:rPr>
          <w:rFonts w:ascii="Times New Roman" w:hAnsi="Times New Roman" w:cs="Times New Roman"/>
          <w:szCs w:val="22"/>
          <w:lang w:val="pt-BR"/>
        </w:rPr>
        <w:t xml:space="preserve"> , </w:t>
      </w:r>
      <w:proofErr w:type="spellStart"/>
      <w:r w:rsidR="007827BC" w:rsidRPr="00817921">
        <w:rPr>
          <w:rFonts w:ascii="Times New Roman" w:hAnsi="Times New Roman" w:cs="Times New Roman"/>
          <w:szCs w:val="22"/>
          <w:lang w:val="pt-BR"/>
        </w:rPr>
        <w:t>pakicat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etnike</w:t>
      </w:r>
      <w:proofErr w:type="spellEnd"/>
      <w:r w:rsidR="007827BC" w:rsidRPr="00817921">
        <w:rPr>
          <w:rFonts w:ascii="Times New Roman" w:hAnsi="Times New Roman" w:cs="Times New Roman"/>
          <w:szCs w:val="22"/>
          <w:lang w:val="pt-BR"/>
        </w:rPr>
        <w:t xml:space="preserve">, ata me </w:t>
      </w:r>
      <w:proofErr w:type="spellStart"/>
      <w:r w:rsidR="007827BC" w:rsidRPr="00817921">
        <w:rPr>
          <w:rFonts w:ascii="Times New Roman" w:hAnsi="Times New Roman" w:cs="Times New Roman"/>
          <w:szCs w:val="22"/>
          <w:lang w:val="pt-BR"/>
        </w:rPr>
        <w:t>arsim</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kualifikim</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ulët</w:t>
      </w:r>
      <w:proofErr w:type="spellEnd"/>
      <w:r w:rsidR="007827BC" w:rsidRPr="00817921">
        <w:rPr>
          <w:rFonts w:ascii="Times New Roman" w:hAnsi="Times New Roman" w:cs="Times New Roman"/>
          <w:szCs w:val="22"/>
          <w:lang w:val="pt-BR"/>
        </w:rPr>
        <w:t xml:space="preserve"> (si </w:t>
      </w:r>
      <w:proofErr w:type="spellStart"/>
      <w:r w:rsidR="007827BC" w:rsidRPr="00817921">
        <w:rPr>
          <w:rFonts w:ascii="Times New Roman" w:hAnsi="Times New Roman" w:cs="Times New Roman"/>
          <w:szCs w:val="22"/>
          <w:lang w:val="pt-BR"/>
        </w:rPr>
        <w:t>pjesë</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ndërmarjeve</w:t>
      </w:r>
      <w:proofErr w:type="spellEnd"/>
      <w:r w:rsidR="007827BC" w:rsidRPr="00817921">
        <w:rPr>
          <w:rFonts w:ascii="Times New Roman" w:hAnsi="Times New Roman" w:cs="Times New Roman"/>
          <w:szCs w:val="22"/>
          <w:lang w:val="pt-BR"/>
        </w:rPr>
        <w:t xml:space="preserve"> sociale, </w:t>
      </w:r>
      <w:proofErr w:type="spellStart"/>
      <w:r w:rsidR="007827BC" w:rsidRPr="00817921">
        <w:rPr>
          <w:rFonts w:ascii="Times New Roman" w:hAnsi="Times New Roman" w:cs="Times New Roman"/>
          <w:szCs w:val="22"/>
          <w:lang w:val="pt-BR"/>
        </w:rPr>
        <w:t>programeve</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punës</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komunitet,aktivizimit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punët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publike</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financuara</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nga</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bashkitë</w:t>
      </w:r>
      <w:proofErr w:type="spellEnd"/>
      <w:r w:rsidR="00BB33BB" w:rsidRPr="00817921">
        <w:rPr>
          <w:rFonts w:ascii="Times New Roman" w:hAnsi="Times New Roman" w:cs="Times New Roman"/>
          <w:szCs w:val="22"/>
          <w:lang w:val="pt-BR"/>
        </w:rPr>
        <w:t xml:space="preserve">); (xii) </w:t>
      </w:r>
      <w:proofErr w:type="spellStart"/>
      <w:r w:rsidR="007827BC" w:rsidRPr="00817921">
        <w:rPr>
          <w:rFonts w:ascii="Times New Roman" w:hAnsi="Times New Roman" w:cs="Times New Roman"/>
          <w:b/>
          <w:bCs/>
          <w:szCs w:val="22"/>
          <w:lang w:val="pt-BR"/>
        </w:rPr>
        <w:t>Strategji</w:t>
      </w:r>
      <w:r w:rsidR="00BB33BB" w:rsidRPr="00817921">
        <w:rPr>
          <w:rFonts w:ascii="Times New Roman" w:hAnsi="Times New Roman" w:cs="Times New Roman"/>
          <w:b/>
          <w:bCs/>
          <w:szCs w:val="22"/>
          <w:lang w:val="pt-BR"/>
        </w:rPr>
        <w:t>a</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Kombëtare</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për</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Rininë</w:t>
      </w:r>
      <w:proofErr w:type="spellEnd"/>
      <w:r w:rsidR="007827BC" w:rsidRPr="00817921">
        <w:rPr>
          <w:rFonts w:ascii="Times New Roman" w:hAnsi="Times New Roman" w:cs="Times New Roman"/>
          <w:b/>
          <w:bCs/>
          <w:szCs w:val="22"/>
          <w:lang w:val="pt-BR"/>
        </w:rPr>
        <w:t xml:space="preserve"> 2022-2029,</w:t>
      </w:r>
      <w:r w:rsidR="00BB33BB" w:rsidRPr="00817921">
        <w:rPr>
          <w:rFonts w:ascii="Times New Roman" w:hAnsi="Times New Roman" w:cs="Times New Roman"/>
          <w:szCs w:val="22"/>
        </w:rPr>
        <w:t xml:space="preserve"> </w:t>
      </w:r>
      <w:proofErr w:type="spellStart"/>
      <w:r w:rsidR="007827BC" w:rsidRPr="00817921">
        <w:rPr>
          <w:rFonts w:ascii="Times New Roman" w:hAnsi="Times New Roman" w:cs="Times New Roman"/>
          <w:szCs w:val="22"/>
          <w:lang w:val="pt-BR"/>
        </w:rPr>
        <w:t>politik</w:t>
      </w:r>
      <w:r w:rsidR="00BB33BB" w:rsidRPr="00817921">
        <w:rPr>
          <w:rFonts w:ascii="Times New Roman" w:hAnsi="Times New Roman" w:cs="Times New Roman"/>
          <w:szCs w:val="22"/>
          <w:lang w:val="pt-BR"/>
        </w:rPr>
        <w:t>a</w:t>
      </w:r>
      <w:proofErr w:type="spellEnd"/>
      <w:r w:rsidR="007827BC" w:rsidRPr="00817921">
        <w:rPr>
          <w:rFonts w:ascii="Times New Roman" w:hAnsi="Times New Roman" w:cs="Times New Roman"/>
          <w:szCs w:val="22"/>
          <w:lang w:val="pt-BR"/>
        </w:rPr>
        <w:t xml:space="preserve"> 3 “</w:t>
      </w:r>
      <w:proofErr w:type="spellStart"/>
      <w:r w:rsidR="007827BC" w:rsidRPr="00817921">
        <w:rPr>
          <w:rFonts w:ascii="Times New Roman" w:hAnsi="Times New Roman" w:cs="Times New Roman"/>
          <w:szCs w:val="22"/>
          <w:lang w:val="pt-BR"/>
        </w:rPr>
        <w:t>Mirëqënie</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aktive</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shëndetëshme,fizike</w:t>
      </w:r>
      <w:proofErr w:type="spellEnd"/>
      <w:r w:rsidR="007827BC" w:rsidRPr="00817921">
        <w:rPr>
          <w:rFonts w:ascii="Times New Roman" w:hAnsi="Times New Roman" w:cs="Times New Roman"/>
          <w:szCs w:val="22"/>
          <w:lang w:val="pt-BR"/>
        </w:rPr>
        <w:t xml:space="preserve"> , sociale dhe </w:t>
      </w:r>
      <w:proofErr w:type="spellStart"/>
      <w:r w:rsidR="007827BC" w:rsidRPr="00817921">
        <w:rPr>
          <w:rFonts w:ascii="Times New Roman" w:hAnsi="Times New Roman" w:cs="Times New Roman"/>
          <w:szCs w:val="22"/>
          <w:lang w:val="pt-BR"/>
        </w:rPr>
        <w:t>mendore</w:t>
      </w:r>
      <w:proofErr w:type="spellEnd"/>
      <w:r w:rsidR="007827BC" w:rsidRPr="00817921">
        <w:rPr>
          <w:rFonts w:ascii="Times New Roman" w:hAnsi="Times New Roman" w:cs="Times New Roman"/>
          <w:szCs w:val="22"/>
          <w:lang w:val="pt-BR"/>
        </w:rPr>
        <w:t xml:space="preserve"> e të </w:t>
      </w:r>
      <w:proofErr w:type="spellStart"/>
      <w:r w:rsidR="007827BC" w:rsidRPr="00817921">
        <w:rPr>
          <w:rFonts w:ascii="Times New Roman" w:hAnsi="Times New Roman" w:cs="Times New Roman"/>
          <w:szCs w:val="22"/>
          <w:lang w:val="pt-BR"/>
        </w:rPr>
        <w:t>rejave</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rinjve</w:t>
      </w:r>
      <w:proofErr w:type="spellEnd"/>
      <w:r w:rsidR="00BB33BB" w:rsidRPr="00817921">
        <w:rPr>
          <w:rFonts w:ascii="Times New Roman" w:hAnsi="Times New Roman" w:cs="Times New Roman"/>
          <w:szCs w:val="22"/>
          <w:lang w:val="pt-BR"/>
        </w:rPr>
        <w:t xml:space="preserve">, </w:t>
      </w:r>
      <w:proofErr w:type="spellStart"/>
      <w:r w:rsidR="00BB33BB" w:rsidRPr="00817921">
        <w:rPr>
          <w:rFonts w:ascii="Times New Roman" w:hAnsi="Times New Roman" w:cs="Times New Roman"/>
          <w:szCs w:val="22"/>
          <w:lang w:val="pt-BR"/>
        </w:rPr>
        <w:t>s</w:t>
      </w:r>
      <w:r w:rsidR="007827BC" w:rsidRPr="00817921">
        <w:rPr>
          <w:rFonts w:ascii="Times New Roman" w:hAnsi="Times New Roman" w:cs="Times New Roman"/>
          <w:szCs w:val="22"/>
          <w:lang w:val="pt-BR"/>
        </w:rPr>
        <w:t>iguria</w:t>
      </w:r>
      <w:proofErr w:type="spellEnd"/>
      <w:r w:rsidR="007827BC" w:rsidRPr="00817921">
        <w:rPr>
          <w:rFonts w:ascii="Times New Roman" w:hAnsi="Times New Roman" w:cs="Times New Roman"/>
          <w:szCs w:val="22"/>
          <w:lang w:val="pt-BR"/>
        </w:rPr>
        <w:t xml:space="preserve"> , </w:t>
      </w:r>
      <w:proofErr w:type="spellStart"/>
      <w:r w:rsidR="007827BC" w:rsidRPr="00817921">
        <w:rPr>
          <w:rFonts w:ascii="Times New Roman" w:hAnsi="Times New Roman" w:cs="Times New Roman"/>
          <w:szCs w:val="22"/>
          <w:lang w:val="pt-BR"/>
        </w:rPr>
        <w:t>mbrojtja</w:t>
      </w:r>
      <w:proofErr w:type="spellEnd"/>
      <w:r w:rsidR="007827BC" w:rsidRPr="00817921">
        <w:rPr>
          <w:rFonts w:ascii="Times New Roman" w:hAnsi="Times New Roman" w:cs="Times New Roman"/>
          <w:szCs w:val="22"/>
          <w:lang w:val="pt-BR"/>
        </w:rPr>
        <w:t xml:space="preserve"> dhe </w:t>
      </w:r>
      <w:proofErr w:type="spellStart"/>
      <w:r w:rsidR="007827BC" w:rsidRPr="00817921">
        <w:rPr>
          <w:rFonts w:ascii="Times New Roman" w:hAnsi="Times New Roman" w:cs="Times New Roman"/>
          <w:szCs w:val="22"/>
          <w:lang w:val="pt-BR"/>
        </w:rPr>
        <w:t>përfshirja</w:t>
      </w:r>
      <w:proofErr w:type="spellEnd"/>
      <w:r w:rsidR="007827BC" w:rsidRPr="00817921">
        <w:rPr>
          <w:rFonts w:ascii="Times New Roman" w:hAnsi="Times New Roman" w:cs="Times New Roman"/>
          <w:szCs w:val="22"/>
          <w:lang w:val="pt-BR"/>
        </w:rPr>
        <w:t xml:space="preserve"> e të </w:t>
      </w:r>
      <w:proofErr w:type="spellStart"/>
      <w:r w:rsidR="007827BC" w:rsidRPr="00817921">
        <w:rPr>
          <w:rFonts w:ascii="Times New Roman" w:hAnsi="Times New Roman" w:cs="Times New Roman"/>
          <w:szCs w:val="22"/>
          <w:lang w:val="pt-BR"/>
        </w:rPr>
        <w:t>rejave</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rinjve</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w:t>
      </w:r>
      <w:proofErr w:type="spellEnd"/>
      <w:r w:rsidR="007827BC" w:rsidRPr="00817921">
        <w:rPr>
          <w:rFonts w:ascii="Times New Roman" w:hAnsi="Times New Roman" w:cs="Times New Roman"/>
          <w:szCs w:val="22"/>
          <w:lang w:val="pt-BR"/>
        </w:rPr>
        <w:t xml:space="preserve"> të </w:t>
      </w:r>
      <w:proofErr w:type="spellStart"/>
      <w:r w:rsidR="007827BC" w:rsidRPr="00817921">
        <w:rPr>
          <w:rFonts w:ascii="Times New Roman" w:hAnsi="Times New Roman" w:cs="Times New Roman"/>
          <w:szCs w:val="22"/>
          <w:lang w:val="pt-BR"/>
        </w:rPr>
        <w:t>gjithë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diversitetin</w:t>
      </w:r>
      <w:proofErr w:type="spellEnd"/>
      <w:r w:rsidR="007827BC" w:rsidRPr="00817921">
        <w:rPr>
          <w:rFonts w:ascii="Times New Roman" w:hAnsi="Times New Roman" w:cs="Times New Roman"/>
          <w:szCs w:val="22"/>
          <w:lang w:val="pt-BR"/>
        </w:rPr>
        <w:t xml:space="preserve"> e </w:t>
      </w:r>
      <w:proofErr w:type="spellStart"/>
      <w:r w:rsidR="007827BC" w:rsidRPr="00817921">
        <w:rPr>
          <w:rFonts w:ascii="Times New Roman" w:hAnsi="Times New Roman" w:cs="Times New Roman"/>
          <w:szCs w:val="22"/>
          <w:lang w:val="pt-BR"/>
        </w:rPr>
        <w:t>tyre</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vecanërisht</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për</w:t>
      </w:r>
      <w:proofErr w:type="spellEnd"/>
      <w:r w:rsidR="007827BC" w:rsidRPr="00817921">
        <w:rPr>
          <w:rFonts w:ascii="Times New Roman" w:hAnsi="Times New Roman" w:cs="Times New Roman"/>
          <w:szCs w:val="22"/>
          <w:lang w:val="pt-BR"/>
        </w:rPr>
        <w:t xml:space="preserve"> ata të </w:t>
      </w:r>
      <w:proofErr w:type="spellStart"/>
      <w:r w:rsidR="007827BC" w:rsidRPr="00817921">
        <w:rPr>
          <w:rFonts w:ascii="Times New Roman" w:hAnsi="Times New Roman" w:cs="Times New Roman"/>
          <w:szCs w:val="22"/>
          <w:lang w:val="pt-BR"/>
        </w:rPr>
        <w:t>rinj</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që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janë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në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situatë</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rreziku</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apo</w:t>
      </w:r>
      <w:proofErr w:type="spellEnd"/>
      <w:r w:rsidR="007827BC" w:rsidRPr="00817921">
        <w:rPr>
          <w:rFonts w:ascii="Times New Roman" w:hAnsi="Times New Roman" w:cs="Times New Roman"/>
          <w:szCs w:val="22"/>
          <w:lang w:val="pt-BR"/>
        </w:rPr>
        <w:t xml:space="preserve"> </w:t>
      </w:r>
      <w:proofErr w:type="spellStart"/>
      <w:r w:rsidR="007827BC" w:rsidRPr="00817921">
        <w:rPr>
          <w:rFonts w:ascii="Times New Roman" w:hAnsi="Times New Roman" w:cs="Times New Roman"/>
          <w:szCs w:val="22"/>
          <w:lang w:val="pt-BR"/>
        </w:rPr>
        <w:t>mënjanimi</w:t>
      </w:r>
      <w:proofErr w:type="spellEnd"/>
      <w:r w:rsidR="007827BC" w:rsidRPr="00817921">
        <w:rPr>
          <w:rFonts w:ascii="Times New Roman" w:hAnsi="Times New Roman" w:cs="Times New Roman"/>
          <w:szCs w:val="22"/>
          <w:lang w:val="pt-BR"/>
        </w:rPr>
        <w:t xml:space="preserve"> social (</w:t>
      </w:r>
      <w:proofErr w:type="spellStart"/>
      <w:r w:rsidR="007827BC" w:rsidRPr="00817921">
        <w:rPr>
          <w:rFonts w:ascii="Times New Roman" w:hAnsi="Times New Roman" w:cs="Times New Roman"/>
          <w:szCs w:val="22"/>
          <w:lang w:val="pt-BR"/>
        </w:rPr>
        <w:t>vulnerabiliteti</w:t>
      </w:r>
      <w:proofErr w:type="spellEnd"/>
      <w:r w:rsidR="00BB33BB" w:rsidRPr="00817921">
        <w:rPr>
          <w:rFonts w:ascii="Times New Roman" w:hAnsi="Times New Roman" w:cs="Times New Roman"/>
          <w:szCs w:val="22"/>
          <w:lang w:val="pt-BR"/>
        </w:rPr>
        <w:t xml:space="preserve">); (xiii) </w:t>
      </w:r>
      <w:proofErr w:type="spellStart"/>
      <w:r w:rsidR="007827BC" w:rsidRPr="00817921">
        <w:rPr>
          <w:rFonts w:ascii="Times New Roman" w:hAnsi="Times New Roman" w:cs="Times New Roman"/>
          <w:b/>
          <w:bCs/>
          <w:szCs w:val="22"/>
          <w:lang w:val="pt-BR"/>
        </w:rPr>
        <w:t>Strategji</w:t>
      </w:r>
      <w:r w:rsidR="00BB33BB" w:rsidRPr="00817921">
        <w:rPr>
          <w:rFonts w:ascii="Times New Roman" w:hAnsi="Times New Roman" w:cs="Times New Roman"/>
          <w:b/>
          <w:bCs/>
          <w:szCs w:val="22"/>
          <w:lang w:val="pt-BR"/>
        </w:rPr>
        <w:t>a</w:t>
      </w:r>
      <w:proofErr w:type="spellEnd"/>
      <w:r w:rsidR="007827BC" w:rsidRPr="00817921">
        <w:rPr>
          <w:rFonts w:ascii="Times New Roman" w:hAnsi="Times New Roman" w:cs="Times New Roman"/>
          <w:b/>
          <w:bCs/>
          <w:szCs w:val="22"/>
          <w:lang w:val="pt-BR"/>
        </w:rPr>
        <w:t xml:space="preserve"> </w:t>
      </w:r>
      <w:proofErr w:type="spellStart"/>
      <w:r w:rsidR="007827BC" w:rsidRPr="00817921">
        <w:rPr>
          <w:rFonts w:ascii="Times New Roman" w:hAnsi="Times New Roman" w:cs="Times New Roman"/>
          <w:b/>
          <w:bCs/>
          <w:szCs w:val="22"/>
          <w:lang w:val="pt-BR"/>
        </w:rPr>
        <w:t>Kombëtare</w:t>
      </w:r>
      <w:proofErr w:type="spellEnd"/>
      <w:r w:rsidR="007827BC" w:rsidRPr="00817921">
        <w:rPr>
          <w:rFonts w:ascii="Times New Roman" w:hAnsi="Times New Roman" w:cs="Times New Roman"/>
          <w:b/>
          <w:bCs/>
          <w:szCs w:val="22"/>
          <w:lang w:val="pt-BR"/>
        </w:rPr>
        <w:t xml:space="preserve"> të Arsimit 2021-2026</w:t>
      </w:r>
      <w:r w:rsidR="007827BC" w:rsidRPr="00817921">
        <w:rPr>
          <w:rStyle w:val="FootnoteReference"/>
          <w:rFonts w:ascii="Times New Roman" w:hAnsi="Times New Roman" w:cs="Times New Roman"/>
          <w:b/>
          <w:bCs/>
          <w:szCs w:val="22"/>
          <w:lang w:val="pt-BR"/>
        </w:rPr>
        <w:footnoteReference w:id="105"/>
      </w:r>
      <w:r w:rsidR="00172076" w:rsidRPr="00817921">
        <w:rPr>
          <w:rFonts w:ascii="Times New Roman" w:hAnsi="Times New Roman" w:cs="Times New Roman"/>
          <w:b/>
          <w:bCs/>
          <w:szCs w:val="22"/>
          <w:lang w:val="pt-BR"/>
        </w:rPr>
        <w:t xml:space="preserve">, </w:t>
      </w:r>
      <w:proofErr w:type="spellStart"/>
      <w:r w:rsidR="00172076" w:rsidRPr="00817921">
        <w:rPr>
          <w:rFonts w:ascii="Times New Roman" w:hAnsi="Times New Roman" w:cs="Times New Roman"/>
          <w:b/>
          <w:bCs/>
          <w:szCs w:val="22"/>
          <w:lang w:val="pt-BR"/>
        </w:rPr>
        <w:t>vizioni</w:t>
      </w:r>
      <w:proofErr w:type="spellEnd"/>
      <w:r w:rsidR="00172076" w:rsidRPr="00817921">
        <w:rPr>
          <w:rFonts w:ascii="Times New Roman" w:hAnsi="Times New Roman" w:cs="Times New Roman"/>
          <w:b/>
          <w:bCs/>
          <w:szCs w:val="22"/>
          <w:lang w:val="pt-BR"/>
        </w:rPr>
        <w:t xml:space="preserve"> </w:t>
      </w:r>
      <w:proofErr w:type="spellStart"/>
      <w:r w:rsidR="00172076" w:rsidRPr="00817921">
        <w:rPr>
          <w:rFonts w:ascii="Times New Roman" w:hAnsi="Times New Roman" w:cs="Times New Roman"/>
          <w:szCs w:val="22"/>
        </w:rPr>
        <w:t>p</w:t>
      </w:r>
      <w:r w:rsidR="009A5A0E" w:rsidRPr="00817921">
        <w:rPr>
          <w:rFonts w:ascii="Times New Roman" w:hAnsi="Times New Roman" w:cs="Times New Roman"/>
          <w:szCs w:val="22"/>
        </w:rPr>
        <w:t>ë</w:t>
      </w:r>
      <w:r w:rsidR="00172076" w:rsidRPr="00817921">
        <w:rPr>
          <w:rFonts w:ascii="Times New Roman" w:hAnsi="Times New Roman" w:cs="Times New Roman"/>
          <w:szCs w:val="22"/>
        </w:rPr>
        <w:t>r</w:t>
      </w:r>
      <w:proofErr w:type="spellEnd"/>
      <w:r w:rsidR="00172076" w:rsidRPr="00817921">
        <w:rPr>
          <w:rFonts w:ascii="Times New Roman" w:hAnsi="Times New Roman" w:cs="Times New Roman"/>
          <w:szCs w:val="22"/>
        </w:rPr>
        <w:t xml:space="preserve"> </w:t>
      </w:r>
      <w:proofErr w:type="spellStart"/>
      <w:r w:rsidR="00172076" w:rsidRPr="00817921">
        <w:rPr>
          <w:rFonts w:ascii="Times New Roman" w:hAnsi="Times New Roman" w:cs="Times New Roman"/>
          <w:szCs w:val="22"/>
        </w:rPr>
        <w:t>nj</w:t>
      </w:r>
      <w:r w:rsidR="009A5A0E" w:rsidRPr="00817921">
        <w:rPr>
          <w:rFonts w:ascii="Times New Roman" w:hAnsi="Times New Roman" w:cs="Times New Roman"/>
          <w:szCs w:val="22"/>
        </w:rPr>
        <w:t>ë</w:t>
      </w:r>
      <w:proofErr w:type="spellEnd"/>
      <w:r w:rsidR="00172076" w:rsidRPr="00817921">
        <w:rPr>
          <w:rFonts w:ascii="Times New Roman" w:hAnsi="Times New Roman" w:cs="Times New Roman"/>
          <w:szCs w:val="22"/>
        </w:rPr>
        <w:t xml:space="preserve"> </w:t>
      </w:r>
      <w:r w:rsidR="00172076" w:rsidRPr="00817921">
        <w:rPr>
          <w:rFonts w:ascii="Times New Roman" w:hAnsi="Times New Roman" w:cs="Times New Roman"/>
          <w:szCs w:val="22"/>
          <w:lang w:val="pt-BR"/>
        </w:rPr>
        <w:t>s</w:t>
      </w:r>
      <w:r w:rsidR="007827BC" w:rsidRPr="00817921">
        <w:rPr>
          <w:rFonts w:ascii="Times New Roman" w:hAnsi="Times New Roman" w:cs="Times New Roman"/>
          <w:szCs w:val="22"/>
          <w:lang w:val="pt-BR"/>
        </w:rPr>
        <w:t>istem arsimor cilësor i bazuar në parimet e gjithpërfshirjes dhe të të mësuarit gjatë të gjithë ciklit të jetës, që mundëson zhvillimin e potencialit të individit ,duke kontribuar në mirëqënien personale të tij,</w:t>
      </w:r>
      <w:r w:rsidR="00172076" w:rsidRPr="00817921">
        <w:rPr>
          <w:rFonts w:ascii="Times New Roman" w:hAnsi="Times New Roman" w:cs="Times New Roman"/>
          <w:szCs w:val="22"/>
          <w:lang w:val="pt-BR"/>
        </w:rPr>
        <w:t xml:space="preserve"> </w:t>
      </w:r>
      <w:r w:rsidR="007827BC" w:rsidRPr="00817921">
        <w:rPr>
          <w:rFonts w:ascii="Times New Roman" w:hAnsi="Times New Roman" w:cs="Times New Roman"/>
          <w:szCs w:val="22"/>
          <w:lang w:val="pt-BR"/>
        </w:rPr>
        <w:t>si dhe forcimin e demokracisë dhe integrimin e vendit në Bashkimin Evropian.</w:t>
      </w:r>
      <w:r w:rsidR="00172076" w:rsidRPr="00817921">
        <w:rPr>
          <w:rFonts w:ascii="Times New Roman" w:hAnsi="Times New Roman" w:cs="Times New Roman"/>
          <w:szCs w:val="22"/>
          <w:lang w:val="pt-BR"/>
        </w:rPr>
        <w:t xml:space="preserve"> </w:t>
      </w:r>
      <w:r w:rsidR="007827BC" w:rsidRPr="00817921">
        <w:rPr>
          <w:rFonts w:ascii="Times New Roman" w:hAnsi="Times New Roman" w:cs="Times New Roman"/>
          <w:szCs w:val="22"/>
          <w:lang w:val="pt-BR"/>
        </w:rPr>
        <w:t>Rritja e bashkëpunimit me strukturat arsimore do të ketë si qëllim shkëmbimin reciprok të informacionit për fëmijët e moshës parashkollore dhe shkollore,</w:t>
      </w:r>
      <w:r w:rsidR="00172076" w:rsidRPr="00817921">
        <w:rPr>
          <w:rFonts w:ascii="Times New Roman" w:hAnsi="Times New Roman" w:cs="Times New Roman"/>
          <w:szCs w:val="22"/>
          <w:lang w:val="pt-BR"/>
        </w:rPr>
        <w:t xml:space="preserve"> </w:t>
      </w:r>
      <w:r w:rsidR="007827BC" w:rsidRPr="00817921">
        <w:rPr>
          <w:rFonts w:ascii="Times New Roman" w:hAnsi="Times New Roman" w:cs="Times New Roman"/>
          <w:szCs w:val="22"/>
          <w:lang w:val="pt-BR"/>
        </w:rPr>
        <w:t>për të realizuar vlerësimin e drejtë të aftësive,</w:t>
      </w:r>
      <w:r w:rsidR="00172076" w:rsidRPr="00817921">
        <w:rPr>
          <w:rFonts w:ascii="Times New Roman" w:hAnsi="Times New Roman" w:cs="Times New Roman"/>
          <w:szCs w:val="22"/>
          <w:lang w:val="pt-BR"/>
        </w:rPr>
        <w:t xml:space="preserve"> </w:t>
      </w:r>
      <w:r w:rsidR="007827BC" w:rsidRPr="00817921">
        <w:rPr>
          <w:rFonts w:ascii="Times New Roman" w:hAnsi="Times New Roman" w:cs="Times New Roman"/>
          <w:szCs w:val="22"/>
          <w:lang w:val="pt-BR"/>
        </w:rPr>
        <w:t>për kryerjen e veprimtarive bazë të jetës, në përputhje me grup-moshat, si dhe për të siguruar identifikimin dhe plotësimin e nevojave aftësuese të këtyre fëmijëve, në kuadrin e sistemit arsimor gjithëpërfshirës e special</w:t>
      </w:r>
      <w:r w:rsidR="00172076" w:rsidRPr="00817921">
        <w:rPr>
          <w:rFonts w:ascii="Times New Roman" w:hAnsi="Times New Roman" w:cs="Times New Roman"/>
          <w:szCs w:val="22"/>
          <w:lang w:val="pt-BR"/>
        </w:rPr>
        <w:t xml:space="preserve">; (xiv) </w:t>
      </w:r>
      <w:r w:rsidR="007827BC" w:rsidRPr="00817921">
        <w:rPr>
          <w:rFonts w:ascii="Times New Roman" w:hAnsi="Times New Roman" w:cs="Times New Roman"/>
          <w:b/>
          <w:bCs/>
          <w:szCs w:val="22"/>
          <w:lang w:val="pt-BR"/>
        </w:rPr>
        <w:t xml:space="preserve">Strategjia Ndërsektoriale e Drejtësisë për të </w:t>
      </w:r>
      <w:r w:rsidR="00115639" w:rsidRPr="00817921">
        <w:rPr>
          <w:rFonts w:ascii="Times New Roman" w:hAnsi="Times New Roman" w:cs="Times New Roman"/>
          <w:b/>
          <w:bCs/>
          <w:szCs w:val="22"/>
          <w:lang w:val="pt-BR"/>
        </w:rPr>
        <w:t>M</w:t>
      </w:r>
      <w:r w:rsidR="007827BC" w:rsidRPr="00817921">
        <w:rPr>
          <w:rFonts w:ascii="Times New Roman" w:hAnsi="Times New Roman" w:cs="Times New Roman"/>
          <w:b/>
          <w:bCs/>
          <w:szCs w:val="22"/>
          <w:lang w:val="pt-BR"/>
        </w:rPr>
        <w:t>itur ( 2022- 2026)</w:t>
      </w:r>
      <w:r w:rsidR="007827BC" w:rsidRPr="00817921">
        <w:rPr>
          <w:rStyle w:val="FootnoteReference"/>
          <w:rFonts w:ascii="Times New Roman" w:hAnsi="Times New Roman" w:cs="Times New Roman"/>
          <w:szCs w:val="22"/>
          <w:lang w:val="sq-AL"/>
        </w:rPr>
        <w:footnoteReference w:id="106"/>
      </w:r>
      <w:r w:rsidR="003D4F76" w:rsidRPr="00817921">
        <w:rPr>
          <w:rFonts w:ascii="Times New Roman" w:hAnsi="Times New Roman" w:cs="Times New Roman"/>
          <w:b/>
          <w:bCs/>
          <w:szCs w:val="22"/>
          <w:lang w:val="pt-BR"/>
        </w:rPr>
        <w:t xml:space="preserve"> </w:t>
      </w:r>
      <w:r w:rsidR="007827BC" w:rsidRPr="00817921">
        <w:rPr>
          <w:rFonts w:ascii="Times New Roman" w:hAnsi="Times New Roman" w:cs="Times New Roman"/>
          <w:szCs w:val="22"/>
          <w:lang w:val="sq-AL"/>
        </w:rPr>
        <w:t xml:space="preserve">synon të forcojë dhe të konsolidojë arritjet në fushën e drejtësisë penale për të mitur, aksesin në drejtësinë penale për të miturit, me qëllim për t’i mbajtur ata larg nga ripërfshirja në kriminalitet dhe viktimizimin e tyre, që çdo fëmijë të ketë në çdo kohë akses tek një sistem miqësor për të rivendosur të drejtat e tij/e saj të cenuara në fushën familjare, civile, administrative dhe penale. SDM 2022-2026” adreson përparësitë e Qeverisë Shqiptare të mishëruara edhe në </w:t>
      </w:r>
      <w:r w:rsidR="007827BC" w:rsidRPr="00817921">
        <w:rPr>
          <w:rFonts w:ascii="Times New Roman" w:hAnsi="Times New Roman" w:cs="Times New Roman"/>
          <w:i/>
          <w:szCs w:val="22"/>
          <w:lang w:val="sq-AL"/>
        </w:rPr>
        <w:t>“Agjendën Kombëtare për të Drejtat e Fëmijëve 2021-2026”</w:t>
      </w:r>
      <w:r w:rsidR="007827BC" w:rsidRPr="00817921">
        <w:rPr>
          <w:rFonts w:ascii="Times New Roman" w:hAnsi="Times New Roman" w:cs="Times New Roman"/>
          <w:szCs w:val="22"/>
          <w:lang w:val="sq-AL"/>
        </w:rPr>
        <w:t>. Një sërë masash në këtë strategji lidhen me funksionet e pushtetit vendor në ofrimin e shërbimeve parandaluese dhe riintegruese për grupet në nevojë ku një ndër këto grupe janë të rinjtë në kontakt me ligjin</w:t>
      </w:r>
      <w:r w:rsidR="00C74A26" w:rsidRPr="00817921">
        <w:rPr>
          <w:rFonts w:ascii="Times New Roman" w:hAnsi="Times New Roman" w:cs="Times New Roman"/>
          <w:szCs w:val="22"/>
          <w:lang w:val="sq-AL"/>
        </w:rPr>
        <w:t>;</w:t>
      </w:r>
    </w:p>
    <w:p w14:paraId="13E416B9" w14:textId="77777777" w:rsidR="00B35E28" w:rsidRDefault="00B35E28" w:rsidP="00765F0B">
      <w:pPr>
        <w:widowControl w:val="0"/>
        <w:autoSpaceDE w:val="0"/>
        <w:autoSpaceDN w:val="0"/>
        <w:spacing w:after="0"/>
        <w:rPr>
          <w:rFonts w:ascii="Times New Roman" w:hAnsi="Times New Roman" w:cs="Times New Roman"/>
          <w:szCs w:val="22"/>
          <w:lang w:val="sq-AL"/>
        </w:rPr>
      </w:pPr>
    </w:p>
    <w:p w14:paraId="63E41C3F" w14:textId="77777777" w:rsidR="00B35E28" w:rsidRDefault="00C74A26" w:rsidP="00765F0B">
      <w:pPr>
        <w:widowControl w:val="0"/>
        <w:autoSpaceDE w:val="0"/>
        <w:autoSpaceDN w:val="0"/>
        <w:spacing w:after="0"/>
        <w:rPr>
          <w:rFonts w:ascii="Times New Roman" w:eastAsiaTheme="minorEastAsia" w:hAnsi="Times New Roman" w:cs="Times New Roman"/>
        </w:rPr>
      </w:pPr>
      <w:r w:rsidRPr="00817921">
        <w:rPr>
          <w:rFonts w:ascii="Times New Roman" w:hAnsi="Times New Roman" w:cs="Times New Roman"/>
          <w:szCs w:val="22"/>
          <w:lang w:val="sq-AL"/>
        </w:rPr>
        <w:t xml:space="preserve"> (xv) </w:t>
      </w:r>
      <w:r w:rsidR="007827BC" w:rsidRPr="00817921">
        <w:rPr>
          <w:rFonts w:ascii="Times New Roman" w:hAnsi="Times New Roman" w:cs="Times New Roman"/>
          <w:b/>
          <w:bCs/>
          <w:szCs w:val="22"/>
          <w:lang w:val="pt-BR"/>
        </w:rPr>
        <w:t>Plani Kombëtar i Veprimit për Luftën kundër trafikimit të personave ( 2021-2023)</w:t>
      </w:r>
      <w:r w:rsidRPr="00817921">
        <w:rPr>
          <w:rFonts w:ascii="Times New Roman" w:hAnsi="Times New Roman" w:cs="Times New Roman"/>
          <w:szCs w:val="22"/>
        </w:rPr>
        <w:t xml:space="preserve">. </w:t>
      </w:r>
      <w:r w:rsidR="007827BC" w:rsidRPr="00817921">
        <w:rPr>
          <w:rFonts w:ascii="Times New Roman" w:eastAsia="Times New Roman" w:hAnsi="Times New Roman" w:cs="Times New Roman"/>
          <w:bCs/>
          <w:szCs w:val="22"/>
          <w:lang w:val="sq-AL" w:eastAsia="en-CA" w:bidi="sq-AL"/>
        </w:rPr>
        <w:t xml:space="preserve">Misioni i PKV </w:t>
      </w:r>
      <w:r w:rsidR="009A5A0E" w:rsidRPr="00817921">
        <w:rPr>
          <w:rFonts w:ascii="Times New Roman" w:eastAsia="Times New Roman" w:hAnsi="Times New Roman" w:cs="Times New Roman"/>
          <w:bCs/>
          <w:szCs w:val="22"/>
          <w:lang w:val="sq-AL" w:eastAsia="en-CA" w:bidi="sq-AL"/>
        </w:rPr>
        <w:t>ë</w:t>
      </w:r>
      <w:r w:rsidR="00765F0B" w:rsidRPr="00817921">
        <w:rPr>
          <w:rFonts w:ascii="Times New Roman" w:eastAsia="Times New Roman" w:hAnsi="Times New Roman" w:cs="Times New Roman"/>
          <w:bCs/>
          <w:szCs w:val="22"/>
          <w:lang w:val="sq-AL" w:eastAsia="en-CA" w:bidi="sq-AL"/>
        </w:rPr>
        <w:t>sht</w:t>
      </w:r>
      <w:r w:rsidR="009A5A0E" w:rsidRPr="00817921">
        <w:rPr>
          <w:rFonts w:ascii="Times New Roman" w:eastAsia="Times New Roman" w:hAnsi="Times New Roman" w:cs="Times New Roman"/>
          <w:bCs/>
          <w:szCs w:val="22"/>
          <w:lang w:val="sq-AL" w:eastAsia="en-CA" w:bidi="sq-AL"/>
        </w:rPr>
        <w:t>ë</w:t>
      </w:r>
      <w:r w:rsidR="00765F0B" w:rsidRPr="00817921">
        <w:rPr>
          <w:rFonts w:ascii="Times New Roman" w:eastAsia="Times New Roman" w:hAnsi="Times New Roman" w:cs="Times New Roman"/>
          <w:bCs/>
          <w:szCs w:val="22"/>
          <w:lang w:val="sq-AL" w:eastAsia="en-CA" w:bidi="sq-AL"/>
        </w:rPr>
        <w:t xml:space="preserve"> p</w:t>
      </w:r>
      <w:r w:rsidR="007827BC" w:rsidRPr="00817921">
        <w:rPr>
          <w:rFonts w:ascii="Times New Roman" w:eastAsia="Times New Roman" w:hAnsi="Times New Roman" w:cs="Times New Roman"/>
          <w:bCs/>
          <w:szCs w:val="22"/>
          <w:lang w:val="sq-AL" w:eastAsia="en-CA" w:bidi="sq-AL"/>
        </w:rPr>
        <w:t xml:space="preserve">romovimi i një reagimi efektiv, adekuat dhe të bashkërenduar për parandalimin dhe luftën kundër trafikimit të personave të bazuar në bashkëpunimin ndërkombëtar, bashkëpunimin efektiv ndër-institucional brenda vendit, pjesëmarrjen e viktimave/viktimave të mundshme të trafikimit dhe përfshirjen së shoqërisë civile dhe komunitetit. </w:t>
      </w:r>
      <w:r w:rsidR="00765F0B" w:rsidRPr="00817921">
        <w:rPr>
          <w:rFonts w:ascii="Times New Roman" w:eastAsia="Times New Roman" w:hAnsi="Times New Roman" w:cs="Times New Roman"/>
          <w:bCs/>
          <w:szCs w:val="22"/>
          <w:lang w:val="sq-AL" w:eastAsia="en-CA" w:bidi="sq-AL"/>
        </w:rPr>
        <w:t>O</w:t>
      </w:r>
      <w:r w:rsidR="007827BC" w:rsidRPr="00817921">
        <w:rPr>
          <w:rFonts w:ascii="Times New Roman" w:eastAsia="Times New Roman" w:hAnsi="Times New Roman" w:cs="Times New Roman"/>
          <w:bCs/>
          <w:szCs w:val="22"/>
          <w:lang w:val="sq-AL" w:eastAsia="en-CA" w:bidi="sq-AL"/>
        </w:rPr>
        <w:t>bjektivi specifik 2</w:t>
      </w:r>
      <w:r w:rsidR="00765F0B" w:rsidRPr="00817921">
        <w:rPr>
          <w:rFonts w:ascii="Times New Roman" w:eastAsia="Times New Roman" w:hAnsi="Times New Roman" w:cs="Times New Roman"/>
          <w:bCs/>
          <w:szCs w:val="22"/>
          <w:lang w:val="sq-AL" w:eastAsia="en-CA" w:bidi="sq-AL"/>
        </w:rPr>
        <w:t xml:space="preserve"> parashikon</w:t>
      </w:r>
      <w:r w:rsidR="007827BC" w:rsidRPr="00817921">
        <w:rPr>
          <w:rFonts w:ascii="Times New Roman" w:eastAsia="Times New Roman" w:hAnsi="Times New Roman" w:cs="Times New Roman"/>
          <w:bCs/>
          <w:szCs w:val="22"/>
          <w:lang w:val="sq-AL" w:eastAsia="en-CA" w:bidi="sq-AL"/>
        </w:rPr>
        <w:t xml:space="preserve"> parandalimin, trajnimin e punonjësve të sistemit të mbrojtjes sociale, mbështetja e shërbimeve sociale si dhe bashkëpunimin ndërinstitucional</w:t>
      </w:r>
      <w:r w:rsidR="00765F0B" w:rsidRPr="00817921">
        <w:rPr>
          <w:rFonts w:ascii="Times New Roman" w:eastAsia="Times New Roman" w:hAnsi="Times New Roman" w:cs="Times New Roman"/>
          <w:bCs/>
          <w:szCs w:val="22"/>
          <w:lang w:val="sq-AL" w:eastAsia="en-CA" w:bidi="sq-AL"/>
        </w:rPr>
        <w:t xml:space="preserve">; (xvi) </w:t>
      </w:r>
      <w:proofErr w:type="spellStart"/>
      <w:r w:rsidR="007827BC" w:rsidRPr="00817921">
        <w:rPr>
          <w:rFonts w:ascii="Times New Roman" w:eastAsiaTheme="minorEastAsia" w:hAnsi="Times New Roman" w:cs="Times New Roman"/>
          <w:b/>
          <w:bCs/>
        </w:rPr>
        <w:t>Agjenda</w:t>
      </w:r>
      <w:proofErr w:type="spellEnd"/>
      <w:r w:rsidR="007827BC" w:rsidRPr="00817921">
        <w:rPr>
          <w:rFonts w:ascii="Times New Roman" w:eastAsiaTheme="minorEastAsia" w:hAnsi="Times New Roman" w:cs="Times New Roman"/>
          <w:b/>
          <w:bCs/>
        </w:rPr>
        <w:t xml:space="preserve"> </w:t>
      </w:r>
      <w:proofErr w:type="spellStart"/>
      <w:r w:rsidR="007827BC" w:rsidRPr="00817921">
        <w:rPr>
          <w:rFonts w:ascii="Times New Roman" w:eastAsiaTheme="minorEastAsia" w:hAnsi="Times New Roman" w:cs="Times New Roman"/>
          <w:b/>
          <w:bCs/>
        </w:rPr>
        <w:t>Kombëtare</w:t>
      </w:r>
      <w:proofErr w:type="spellEnd"/>
      <w:r w:rsidR="007827BC" w:rsidRPr="00817921">
        <w:rPr>
          <w:rFonts w:ascii="Times New Roman" w:eastAsiaTheme="minorEastAsia" w:hAnsi="Times New Roman" w:cs="Times New Roman"/>
          <w:b/>
          <w:bCs/>
        </w:rPr>
        <w:t xml:space="preserve"> </w:t>
      </w:r>
      <w:proofErr w:type="spellStart"/>
      <w:r w:rsidR="007827BC" w:rsidRPr="00817921">
        <w:rPr>
          <w:rFonts w:ascii="Times New Roman" w:eastAsiaTheme="minorEastAsia" w:hAnsi="Times New Roman" w:cs="Times New Roman"/>
          <w:b/>
          <w:bCs/>
        </w:rPr>
        <w:t>për</w:t>
      </w:r>
      <w:proofErr w:type="spellEnd"/>
      <w:r w:rsidR="007827BC" w:rsidRPr="00817921">
        <w:rPr>
          <w:rFonts w:ascii="Times New Roman" w:eastAsiaTheme="minorEastAsia" w:hAnsi="Times New Roman" w:cs="Times New Roman"/>
          <w:b/>
          <w:bCs/>
        </w:rPr>
        <w:t xml:space="preserve"> të </w:t>
      </w:r>
      <w:proofErr w:type="spellStart"/>
      <w:r w:rsidR="007827BC" w:rsidRPr="00817921">
        <w:rPr>
          <w:rFonts w:ascii="Times New Roman" w:eastAsiaTheme="minorEastAsia" w:hAnsi="Times New Roman" w:cs="Times New Roman"/>
          <w:b/>
          <w:bCs/>
        </w:rPr>
        <w:t>Drejtat</w:t>
      </w:r>
      <w:proofErr w:type="spellEnd"/>
      <w:r w:rsidR="007827BC" w:rsidRPr="00817921">
        <w:rPr>
          <w:rFonts w:ascii="Times New Roman" w:eastAsiaTheme="minorEastAsia" w:hAnsi="Times New Roman" w:cs="Times New Roman"/>
          <w:b/>
          <w:bCs/>
        </w:rPr>
        <w:t xml:space="preserve"> e </w:t>
      </w:r>
      <w:proofErr w:type="spellStart"/>
      <w:r w:rsidR="007827BC" w:rsidRPr="00817921">
        <w:rPr>
          <w:rFonts w:ascii="Times New Roman" w:eastAsiaTheme="minorEastAsia" w:hAnsi="Times New Roman" w:cs="Times New Roman"/>
          <w:b/>
          <w:bCs/>
        </w:rPr>
        <w:t>Fëmijëve</w:t>
      </w:r>
      <w:proofErr w:type="spellEnd"/>
      <w:r w:rsidR="007827BC" w:rsidRPr="00817921">
        <w:rPr>
          <w:rFonts w:ascii="Times New Roman" w:eastAsiaTheme="minorEastAsia" w:hAnsi="Times New Roman" w:cs="Times New Roman"/>
          <w:b/>
          <w:bCs/>
        </w:rPr>
        <w:t xml:space="preserve"> ( 2021- 2026</w:t>
      </w:r>
      <w:r w:rsidR="008F3B9F" w:rsidRPr="00817921">
        <w:rPr>
          <w:rFonts w:ascii="Times New Roman" w:eastAsiaTheme="minorEastAsia" w:hAnsi="Times New Roman" w:cs="Times New Roman"/>
          <w:b/>
          <w:bCs/>
        </w:rPr>
        <w:t xml:space="preserve">) </w:t>
      </w:r>
      <w:r w:rsidR="00765F0B" w:rsidRPr="00817921">
        <w:rPr>
          <w:rFonts w:ascii="Times New Roman" w:eastAsiaTheme="minorEastAsia" w:hAnsi="Times New Roman" w:cs="Times New Roman"/>
        </w:rPr>
        <w:t xml:space="preserve">e </w:t>
      </w:r>
      <w:proofErr w:type="spellStart"/>
      <w:r w:rsidR="00765F0B" w:rsidRPr="00817921">
        <w:rPr>
          <w:rFonts w:ascii="Times New Roman" w:eastAsiaTheme="minorEastAsia" w:hAnsi="Times New Roman" w:cs="Times New Roman"/>
        </w:rPr>
        <w:t>cila</w:t>
      </w:r>
      <w:proofErr w:type="spellEnd"/>
      <w:r w:rsidR="00765F0B" w:rsidRPr="00817921">
        <w:rPr>
          <w:rFonts w:ascii="Times New Roman" w:eastAsiaTheme="minorEastAsia" w:hAnsi="Times New Roman" w:cs="Times New Roman"/>
          <w:b/>
          <w:bCs/>
        </w:rPr>
        <w:t xml:space="preserve"> </w:t>
      </w:r>
      <w:proofErr w:type="spellStart"/>
      <w:r w:rsidR="007827BC" w:rsidRPr="00817921">
        <w:rPr>
          <w:rFonts w:ascii="Times New Roman" w:eastAsiaTheme="minorEastAsia" w:hAnsi="Times New Roman" w:cs="Times New Roman"/>
        </w:rPr>
        <w:t>ka</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një</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pikëprerje</w:t>
      </w:r>
      <w:proofErr w:type="spellEnd"/>
      <w:r w:rsidR="007827BC" w:rsidRPr="00817921">
        <w:rPr>
          <w:rFonts w:ascii="Times New Roman" w:eastAsiaTheme="minorEastAsia" w:hAnsi="Times New Roman" w:cs="Times New Roman"/>
        </w:rPr>
        <w:t xml:space="preserve"> të </w:t>
      </w:r>
      <w:proofErr w:type="spellStart"/>
      <w:r w:rsidR="007827BC" w:rsidRPr="00817921">
        <w:rPr>
          <w:rFonts w:ascii="Times New Roman" w:eastAsiaTheme="minorEastAsia" w:hAnsi="Times New Roman" w:cs="Times New Roman"/>
        </w:rPr>
        <w:t>rëndësishme</w:t>
      </w:r>
      <w:proofErr w:type="spellEnd"/>
      <w:r w:rsidR="007827BC" w:rsidRPr="00817921">
        <w:rPr>
          <w:rFonts w:ascii="Times New Roman" w:eastAsiaTheme="minorEastAsia" w:hAnsi="Times New Roman" w:cs="Times New Roman"/>
        </w:rPr>
        <w:t xml:space="preserve"> me </w:t>
      </w:r>
      <w:proofErr w:type="spellStart"/>
      <w:r w:rsidR="007827BC" w:rsidRPr="00817921">
        <w:rPr>
          <w:rFonts w:ascii="Times New Roman" w:eastAsiaTheme="minorEastAsia" w:hAnsi="Times New Roman" w:cs="Times New Roman"/>
        </w:rPr>
        <w:t>strategjinë</w:t>
      </w:r>
      <w:proofErr w:type="spellEnd"/>
      <w:r w:rsidR="007827BC" w:rsidRPr="00817921">
        <w:rPr>
          <w:rFonts w:ascii="Times New Roman" w:eastAsiaTheme="minorEastAsia" w:hAnsi="Times New Roman" w:cs="Times New Roman"/>
        </w:rPr>
        <w:t xml:space="preserve"> e </w:t>
      </w:r>
      <w:proofErr w:type="spellStart"/>
      <w:r w:rsidR="007827BC" w:rsidRPr="00817921">
        <w:rPr>
          <w:rFonts w:ascii="Times New Roman" w:eastAsiaTheme="minorEastAsia" w:hAnsi="Times New Roman" w:cs="Times New Roman"/>
        </w:rPr>
        <w:t>mbrojtjes</w:t>
      </w:r>
      <w:proofErr w:type="spellEnd"/>
      <w:r w:rsidR="007827BC" w:rsidRPr="00817921">
        <w:rPr>
          <w:rFonts w:ascii="Times New Roman" w:eastAsiaTheme="minorEastAsia" w:hAnsi="Times New Roman" w:cs="Times New Roman"/>
        </w:rPr>
        <w:t xml:space="preserve"> sociale të </w:t>
      </w:r>
      <w:proofErr w:type="spellStart"/>
      <w:r w:rsidR="007827BC" w:rsidRPr="00817921">
        <w:rPr>
          <w:rFonts w:ascii="Times New Roman" w:eastAsiaTheme="minorEastAsia" w:hAnsi="Times New Roman" w:cs="Times New Roman"/>
        </w:rPr>
        <w:t>fokusuar</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në</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krijimin</w:t>
      </w:r>
      <w:proofErr w:type="spellEnd"/>
      <w:r w:rsidR="007827BC" w:rsidRPr="00817921">
        <w:rPr>
          <w:rFonts w:ascii="Times New Roman" w:eastAsiaTheme="minorEastAsia" w:hAnsi="Times New Roman" w:cs="Times New Roman"/>
        </w:rPr>
        <w:t xml:space="preserve"> e </w:t>
      </w:r>
      <w:proofErr w:type="spellStart"/>
      <w:r w:rsidR="007827BC" w:rsidRPr="00817921">
        <w:rPr>
          <w:rFonts w:ascii="Times New Roman" w:eastAsiaTheme="minorEastAsia" w:hAnsi="Times New Roman" w:cs="Times New Roman"/>
        </w:rPr>
        <w:t>një</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sistemi</w:t>
      </w:r>
      <w:proofErr w:type="spellEnd"/>
      <w:r w:rsidR="007827BC" w:rsidRPr="00817921">
        <w:rPr>
          <w:rFonts w:ascii="Times New Roman" w:eastAsiaTheme="minorEastAsia" w:hAnsi="Times New Roman" w:cs="Times New Roman"/>
        </w:rPr>
        <w:t xml:space="preserve"> të </w:t>
      </w:r>
      <w:proofErr w:type="spellStart"/>
      <w:r w:rsidR="007827BC" w:rsidRPr="00817921">
        <w:rPr>
          <w:rFonts w:ascii="Times New Roman" w:eastAsiaTheme="minorEastAsia" w:hAnsi="Times New Roman" w:cs="Times New Roman"/>
        </w:rPr>
        <w:t>mbrojtjes</w:t>
      </w:r>
      <w:proofErr w:type="spellEnd"/>
      <w:r w:rsidR="007827BC" w:rsidRPr="00817921">
        <w:rPr>
          <w:rFonts w:ascii="Times New Roman" w:eastAsiaTheme="minorEastAsia" w:hAnsi="Times New Roman" w:cs="Times New Roman"/>
        </w:rPr>
        <w:t xml:space="preserve"> sociale me </w:t>
      </w:r>
      <w:proofErr w:type="spellStart"/>
      <w:r w:rsidR="007827BC" w:rsidRPr="00817921">
        <w:rPr>
          <w:rFonts w:ascii="Times New Roman" w:eastAsiaTheme="minorEastAsia" w:hAnsi="Times New Roman" w:cs="Times New Roman"/>
        </w:rPr>
        <w:t>qendër</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fëmijët</w:t>
      </w:r>
      <w:proofErr w:type="spellEnd"/>
      <w:r w:rsidR="007827BC" w:rsidRPr="00817921">
        <w:rPr>
          <w:rFonts w:ascii="Times New Roman" w:eastAsiaTheme="minorEastAsia" w:hAnsi="Times New Roman" w:cs="Times New Roman"/>
        </w:rPr>
        <w:t xml:space="preserve"> dhe </w:t>
      </w:r>
      <w:proofErr w:type="spellStart"/>
      <w:r w:rsidR="007827BC" w:rsidRPr="00817921">
        <w:rPr>
          <w:rFonts w:ascii="Times New Roman" w:eastAsiaTheme="minorEastAsia" w:hAnsi="Times New Roman" w:cs="Times New Roman"/>
        </w:rPr>
        <w:t>trajtimin</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përgjatë</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ciklit</w:t>
      </w:r>
      <w:proofErr w:type="spellEnd"/>
      <w:r w:rsidR="007827BC" w:rsidRPr="00817921">
        <w:rPr>
          <w:rFonts w:ascii="Times New Roman" w:eastAsiaTheme="minorEastAsia" w:hAnsi="Times New Roman" w:cs="Times New Roman"/>
        </w:rPr>
        <w:t xml:space="preserve"> të </w:t>
      </w:r>
      <w:proofErr w:type="spellStart"/>
      <w:r w:rsidR="007827BC" w:rsidRPr="00817921">
        <w:rPr>
          <w:rFonts w:ascii="Times New Roman" w:eastAsiaTheme="minorEastAsia" w:hAnsi="Times New Roman" w:cs="Times New Roman"/>
        </w:rPr>
        <w:t>jetës</w:t>
      </w:r>
      <w:proofErr w:type="spellEnd"/>
      <w:r w:rsidR="007827BC" w:rsidRPr="00817921">
        <w:rPr>
          <w:rFonts w:ascii="Times New Roman" w:eastAsiaTheme="minorEastAsia" w:hAnsi="Times New Roman" w:cs="Times New Roman"/>
        </w:rPr>
        <w:t xml:space="preserve"> , </w:t>
      </w:r>
      <w:proofErr w:type="spellStart"/>
      <w:r w:rsidR="007827BC" w:rsidRPr="00817921">
        <w:rPr>
          <w:rFonts w:ascii="Times New Roman" w:eastAsiaTheme="minorEastAsia" w:hAnsi="Times New Roman" w:cs="Times New Roman"/>
        </w:rPr>
        <w:t>si</w:t>
      </w:r>
      <w:proofErr w:type="spellEnd"/>
      <w:r w:rsidR="007827BC" w:rsidRPr="00817921">
        <w:rPr>
          <w:rFonts w:ascii="Times New Roman" w:eastAsiaTheme="minorEastAsia" w:hAnsi="Times New Roman" w:cs="Times New Roman"/>
        </w:rPr>
        <w:t xml:space="preserve"> dhe, </w:t>
      </w:r>
      <w:proofErr w:type="spellStart"/>
      <w:r w:rsidR="007827BC" w:rsidRPr="00817921">
        <w:rPr>
          <w:rFonts w:ascii="Times New Roman" w:eastAsiaTheme="minorEastAsia" w:hAnsi="Times New Roman" w:cs="Times New Roman"/>
        </w:rPr>
        <w:t>fokusin</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tek</w:t>
      </w:r>
      <w:proofErr w:type="spellEnd"/>
      <w:r w:rsidR="007827BC" w:rsidRPr="00817921">
        <w:rPr>
          <w:rFonts w:ascii="Times New Roman" w:eastAsiaTheme="minorEastAsia" w:hAnsi="Times New Roman" w:cs="Times New Roman"/>
        </w:rPr>
        <w:t xml:space="preserve"> </w:t>
      </w:r>
      <w:proofErr w:type="spellStart"/>
      <w:r w:rsidR="00AB4D37">
        <w:rPr>
          <w:rFonts w:ascii="Times New Roman" w:eastAsiaTheme="minorEastAsia" w:hAnsi="Times New Roman" w:cs="Times New Roman"/>
        </w:rPr>
        <w:t>proçes</w:t>
      </w:r>
      <w:r w:rsidR="007827BC" w:rsidRPr="00817921">
        <w:rPr>
          <w:rFonts w:ascii="Times New Roman" w:eastAsiaTheme="minorEastAsia" w:hAnsi="Times New Roman" w:cs="Times New Roman"/>
        </w:rPr>
        <w:t>i</w:t>
      </w:r>
      <w:proofErr w:type="spellEnd"/>
      <w:r w:rsidR="007827BC" w:rsidRPr="00817921">
        <w:rPr>
          <w:rFonts w:ascii="Times New Roman" w:eastAsiaTheme="minorEastAsia" w:hAnsi="Times New Roman" w:cs="Times New Roman"/>
        </w:rPr>
        <w:t xml:space="preserve"> i </w:t>
      </w:r>
      <w:proofErr w:type="spellStart"/>
      <w:r w:rsidR="007827BC" w:rsidRPr="00817921">
        <w:rPr>
          <w:rFonts w:ascii="Times New Roman" w:eastAsiaTheme="minorEastAsia" w:hAnsi="Times New Roman" w:cs="Times New Roman"/>
        </w:rPr>
        <w:t>deinstitucionalizmit</w:t>
      </w:r>
      <w:proofErr w:type="spellEnd"/>
      <w:r w:rsidR="007827BC" w:rsidRPr="00817921">
        <w:rPr>
          <w:rFonts w:ascii="Times New Roman" w:eastAsiaTheme="minorEastAsia" w:hAnsi="Times New Roman" w:cs="Times New Roman"/>
        </w:rPr>
        <w:t xml:space="preserve"> të </w:t>
      </w:r>
      <w:proofErr w:type="spellStart"/>
      <w:r w:rsidR="007827BC" w:rsidRPr="00817921">
        <w:rPr>
          <w:rFonts w:ascii="Times New Roman" w:eastAsiaTheme="minorEastAsia" w:hAnsi="Times New Roman" w:cs="Times New Roman"/>
        </w:rPr>
        <w:t>sistemit</w:t>
      </w:r>
      <w:proofErr w:type="spellEnd"/>
      <w:r w:rsidR="007827BC" w:rsidRPr="00817921">
        <w:rPr>
          <w:rFonts w:ascii="Times New Roman" w:eastAsiaTheme="minorEastAsia" w:hAnsi="Times New Roman" w:cs="Times New Roman"/>
        </w:rPr>
        <w:t xml:space="preserve"> të </w:t>
      </w:r>
      <w:proofErr w:type="spellStart"/>
      <w:r w:rsidR="007827BC" w:rsidRPr="00817921">
        <w:rPr>
          <w:rFonts w:ascii="Times New Roman" w:eastAsiaTheme="minorEastAsia" w:hAnsi="Times New Roman" w:cs="Times New Roman"/>
        </w:rPr>
        <w:t>kujdesit</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rezidencial</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për</w:t>
      </w:r>
      <w:proofErr w:type="spellEnd"/>
      <w:r w:rsidR="007827BC" w:rsidRPr="00817921">
        <w:rPr>
          <w:rFonts w:ascii="Times New Roman" w:eastAsiaTheme="minorEastAsia" w:hAnsi="Times New Roman" w:cs="Times New Roman"/>
        </w:rPr>
        <w:t xml:space="preserve"> </w:t>
      </w:r>
      <w:proofErr w:type="spellStart"/>
      <w:r w:rsidR="007827BC" w:rsidRPr="00817921">
        <w:rPr>
          <w:rFonts w:ascii="Times New Roman" w:eastAsiaTheme="minorEastAsia" w:hAnsi="Times New Roman" w:cs="Times New Roman"/>
        </w:rPr>
        <w:t>fëmijët</w:t>
      </w:r>
      <w:proofErr w:type="spellEnd"/>
      <w:r w:rsidR="008F3B9F" w:rsidRPr="00817921">
        <w:rPr>
          <w:rFonts w:ascii="Times New Roman" w:eastAsiaTheme="minorEastAsia" w:hAnsi="Times New Roman" w:cs="Times New Roman"/>
        </w:rPr>
        <w:t xml:space="preserve">; </w:t>
      </w:r>
    </w:p>
    <w:p w14:paraId="73EDC2A3" w14:textId="304861FE" w:rsidR="00A6787D" w:rsidRDefault="008F3B9F" w:rsidP="00765F0B">
      <w:pPr>
        <w:widowControl w:val="0"/>
        <w:autoSpaceDE w:val="0"/>
        <w:autoSpaceDN w:val="0"/>
        <w:spacing w:after="0"/>
        <w:rPr>
          <w:rFonts w:ascii="Times New Roman" w:eastAsiaTheme="minorEastAsia" w:hAnsi="Times New Roman" w:cs="Times New Roman"/>
        </w:rPr>
      </w:pPr>
      <w:r w:rsidRPr="00817921">
        <w:rPr>
          <w:rFonts w:ascii="Times New Roman" w:eastAsiaTheme="minorEastAsia" w:hAnsi="Times New Roman" w:cs="Times New Roman"/>
        </w:rPr>
        <w:t xml:space="preserve">(xvii) </w:t>
      </w:r>
      <w:proofErr w:type="spellStart"/>
      <w:r w:rsidRPr="00817921">
        <w:rPr>
          <w:rFonts w:ascii="Times New Roman" w:eastAsiaTheme="minorEastAsia" w:hAnsi="Times New Roman" w:cs="Times New Roman"/>
          <w:b/>
          <w:bCs/>
        </w:rPr>
        <w:t>Strategjia</w:t>
      </w:r>
      <w:proofErr w:type="spellEnd"/>
      <w:r w:rsidRPr="00817921">
        <w:rPr>
          <w:rFonts w:ascii="Times New Roman" w:eastAsiaTheme="minorEastAsia" w:hAnsi="Times New Roman" w:cs="Times New Roman"/>
          <w:b/>
          <w:bCs/>
        </w:rPr>
        <w:t xml:space="preserve"> </w:t>
      </w:r>
      <w:proofErr w:type="spellStart"/>
      <w:r w:rsidRPr="00817921">
        <w:rPr>
          <w:rFonts w:ascii="Times New Roman" w:eastAsiaTheme="minorEastAsia" w:hAnsi="Times New Roman" w:cs="Times New Roman"/>
          <w:b/>
          <w:bCs/>
        </w:rPr>
        <w:t>Komb</w:t>
      </w:r>
      <w:r w:rsidR="009A5A0E" w:rsidRPr="00817921">
        <w:rPr>
          <w:rFonts w:ascii="Times New Roman" w:eastAsiaTheme="minorEastAsia" w:hAnsi="Times New Roman" w:cs="Times New Roman"/>
          <w:b/>
          <w:bCs/>
        </w:rPr>
        <w:t>ë</w:t>
      </w:r>
      <w:r w:rsidRPr="00817921">
        <w:rPr>
          <w:rFonts w:ascii="Times New Roman" w:eastAsiaTheme="minorEastAsia" w:hAnsi="Times New Roman" w:cs="Times New Roman"/>
          <w:b/>
          <w:bCs/>
        </w:rPr>
        <w:t>tare</w:t>
      </w:r>
      <w:proofErr w:type="spellEnd"/>
      <w:r w:rsidRPr="00817921">
        <w:rPr>
          <w:rFonts w:ascii="Times New Roman" w:eastAsiaTheme="minorEastAsia" w:hAnsi="Times New Roman" w:cs="Times New Roman"/>
          <w:b/>
          <w:bCs/>
        </w:rPr>
        <w:t xml:space="preserve"> </w:t>
      </w:r>
      <w:proofErr w:type="spellStart"/>
      <w:r w:rsidRPr="00817921">
        <w:rPr>
          <w:rFonts w:ascii="Times New Roman" w:eastAsiaTheme="minorEastAsia" w:hAnsi="Times New Roman" w:cs="Times New Roman"/>
          <w:b/>
          <w:bCs/>
        </w:rPr>
        <w:t>p</w:t>
      </w:r>
      <w:r w:rsidR="009A5A0E" w:rsidRPr="00817921">
        <w:rPr>
          <w:rFonts w:ascii="Times New Roman" w:eastAsiaTheme="minorEastAsia" w:hAnsi="Times New Roman" w:cs="Times New Roman"/>
          <w:b/>
          <w:bCs/>
        </w:rPr>
        <w:t>ë</w:t>
      </w:r>
      <w:r w:rsidRPr="00817921">
        <w:rPr>
          <w:rFonts w:ascii="Times New Roman" w:eastAsiaTheme="minorEastAsia" w:hAnsi="Times New Roman" w:cs="Times New Roman"/>
          <w:b/>
          <w:bCs/>
        </w:rPr>
        <w:t>r</w:t>
      </w:r>
      <w:proofErr w:type="spellEnd"/>
      <w:r w:rsidRPr="00817921">
        <w:rPr>
          <w:rFonts w:ascii="Times New Roman" w:eastAsiaTheme="minorEastAsia" w:hAnsi="Times New Roman" w:cs="Times New Roman"/>
          <w:b/>
          <w:bCs/>
        </w:rPr>
        <w:t xml:space="preserve"> </w:t>
      </w:r>
      <w:proofErr w:type="spellStart"/>
      <w:r w:rsidRPr="00817921">
        <w:rPr>
          <w:rFonts w:ascii="Times New Roman" w:eastAsiaTheme="minorEastAsia" w:hAnsi="Times New Roman" w:cs="Times New Roman"/>
          <w:b/>
          <w:bCs/>
        </w:rPr>
        <w:t>Zvog</w:t>
      </w:r>
      <w:r w:rsidR="009A5A0E" w:rsidRPr="00817921">
        <w:rPr>
          <w:rFonts w:ascii="Times New Roman" w:eastAsiaTheme="minorEastAsia" w:hAnsi="Times New Roman" w:cs="Times New Roman"/>
          <w:b/>
          <w:bCs/>
        </w:rPr>
        <w:t>ë</w:t>
      </w:r>
      <w:r w:rsidRPr="00817921">
        <w:rPr>
          <w:rFonts w:ascii="Times New Roman" w:eastAsiaTheme="minorEastAsia" w:hAnsi="Times New Roman" w:cs="Times New Roman"/>
          <w:b/>
          <w:bCs/>
        </w:rPr>
        <w:t>limin</w:t>
      </w:r>
      <w:proofErr w:type="spellEnd"/>
      <w:r w:rsidRPr="00817921">
        <w:rPr>
          <w:rFonts w:ascii="Times New Roman" w:eastAsiaTheme="minorEastAsia" w:hAnsi="Times New Roman" w:cs="Times New Roman"/>
          <w:b/>
          <w:bCs/>
        </w:rPr>
        <w:t xml:space="preserve"> e </w:t>
      </w:r>
      <w:proofErr w:type="spellStart"/>
      <w:r w:rsidRPr="00817921">
        <w:rPr>
          <w:rFonts w:ascii="Times New Roman" w:eastAsiaTheme="minorEastAsia" w:hAnsi="Times New Roman" w:cs="Times New Roman"/>
          <w:b/>
          <w:bCs/>
        </w:rPr>
        <w:t>Riskut</w:t>
      </w:r>
      <w:proofErr w:type="spellEnd"/>
      <w:r w:rsidRPr="00817921">
        <w:rPr>
          <w:rFonts w:ascii="Times New Roman" w:eastAsiaTheme="minorEastAsia" w:hAnsi="Times New Roman" w:cs="Times New Roman"/>
          <w:b/>
          <w:bCs/>
        </w:rPr>
        <w:t xml:space="preserve"> </w:t>
      </w:r>
      <w:proofErr w:type="spellStart"/>
      <w:r w:rsidRPr="00817921">
        <w:rPr>
          <w:rFonts w:ascii="Times New Roman" w:eastAsiaTheme="minorEastAsia" w:hAnsi="Times New Roman" w:cs="Times New Roman"/>
          <w:b/>
          <w:bCs/>
        </w:rPr>
        <w:t>nga</w:t>
      </w:r>
      <w:proofErr w:type="spellEnd"/>
      <w:r w:rsidRPr="00817921">
        <w:rPr>
          <w:rFonts w:ascii="Times New Roman" w:eastAsiaTheme="minorEastAsia" w:hAnsi="Times New Roman" w:cs="Times New Roman"/>
          <w:b/>
          <w:bCs/>
        </w:rPr>
        <w:t xml:space="preserve"> </w:t>
      </w:r>
      <w:proofErr w:type="spellStart"/>
      <w:r w:rsidRPr="00817921">
        <w:rPr>
          <w:rFonts w:ascii="Times New Roman" w:eastAsiaTheme="minorEastAsia" w:hAnsi="Times New Roman" w:cs="Times New Roman"/>
          <w:b/>
          <w:bCs/>
        </w:rPr>
        <w:t>Fatkeq</w:t>
      </w:r>
      <w:r w:rsidR="009A5A0E" w:rsidRPr="00817921">
        <w:rPr>
          <w:rFonts w:ascii="Times New Roman" w:eastAsiaTheme="minorEastAsia" w:hAnsi="Times New Roman" w:cs="Times New Roman"/>
          <w:b/>
          <w:bCs/>
        </w:rPr>
        <w:t>ë</w:t>
      </w:r>
      <w:r w:rsidRPr="00817921">
        <w:rPr>
          <w:rFonts w:ascii="Times New Roman" w:eastAsiaTheme="minorEastAsia" w:hAnsi="Times New Roman" w:cs="Times New Roman"/>
          <w:b/>
          <w:bCs/>
        </w:rPr>
        <w:t>sit</w:t>
      </w:r>
      <w:r w:rsidR="009A5A0E" w:rsidRPr="00817921">
        <w:rPr>
          <w:rFonts w:ascii="Times New Roman" w:eastAsiaTheme="minorEastAsia" w:hAnsi="Times New Roman" w:cs="Times New Roman"/>
          <w:b/>
          <w:bCs/>
        </w:rPr>
        <w:t>ë</w:t>
      </w:r>
      <w:proofErr w:type="spellEnd"/>
      <w:r w:rsidRPr="00817921">
        <w:rPr>
          <w:rFonts w:ascii="Times New Roman" w:eastAsiaTheme="minorEastAsia" w:hAnsi="Times New Roman" w:cs="Times New Roman"/>
          <w:b/>
          <w:bCs/>
        </w:rPr>
        <w:t xml:space="preserve"> 2023-2030</w:t>
      </w:r>
      <w:r w:rsidR="00152B0D" w:rsidRPr="00817921">
        <w:rPr>
          <w:rFonts w:ascii="Times New Roman" w:eastAsiaTheme="minorEastAsia" w:hAnsi="Times New Roman" w:cs="Times New Roman"/>
          <w:b/>
          <w:bCs/>
        </w:rPr>
        <w:t xml:space="preserve">, </w:t>
      </w:r>
      <w:r w:rsidR="00152B0D" w:rsidRPr="00817921">
        <w:rPr>
          <w:rFonts w:ascii="Times New Roman" w:eastAsiaTheme="minorEastAsia" w:hAnsi="Times New Roman" w:cs="Times New Roman"/>
        </w:rPr>
        <w:t xml:space="preserve">e </w:t>
      </w:r>
      <w:proofErr w:type="spellStart"/>
      <w:r w:rsidR="00152B0D" w:rsidRPr="00817921">
        <w:rPr>
          <w:rFonts w:ascii="Times New Roman" w:eastAsiaTheme="minorEastAsia" w:hAnsi="Times New Roman" w:cs="Times New Roman"/>
        </w:rPr>
        <w:t>cila</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p</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rcakton</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objektivat</w:t>
      </w:r>
      <w:proofErr w:type="spellEnd"/>
      <w:r w:rsidR="00152B0D" w:rsidRPr="00817921">
        <w:rPr>
          <w:rFonts w:ascii="Times New Roman" w:eastAsiaTheme="minorEastAsia" w:hAnsi="Times New Roman" w:cs="Times New Roman"/>
        </w:rPr>
        <w:t xml:space="preserve"> dhe </w:t>
      </w:r>
      <w:proofErr w:type="spellStart"/>
      <w:r w:rsidR="00152B0D" w:rsidRPr="00817921">
        <w:rPr>
          <w:rFonts w:ascii="Times New Roman" w:eastAsiaTheme="minorEastAsia" w:hAnsi="Times New Roman" w:cs="Times New Roman"/>
        </w:rPr>
        <w:t>veprimet</w:t>
      </w:r>
      <w:proofErr w:type="spellEnd"/>
      <w:r w:rsidR="00152B0D" w:rsidRPr="00817921">
        <w:rPr>
          <w:rFonts w:ascii="Times New Roman" w:eastAsiaTheme="minorEastAsia" w:hAnsi="Times New Roman" w:cs="Times New Roman"/>
        </w:rPr>
        <w:t xml:space="preserve"> e </w:t>
      </w:r>
      <w:proofErr w:type="spellStart"/>
      <w:r w:rsidR="00152B0D" w:rsidRPr="00817921">
        <w:rPr>
          <w:rFonts w:ascii="Times New Roman" w:eastAsiaTheme="minorEastAsia" w:hAnsi="Times New Roman" w:cs="Times New Roman"/>
        </w:rPr>
        <w:t>formalizuara</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p</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r</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zvog</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limin</w:t>
      </w:r>
      <w:proofErr w:type="spellEnd"/>
      <w:r w:rsidR="00152B0D" w:rsidRPr="00817921">
        <w:rPr>
          <w:rFonts w:ascii="Times New Roman" w:eastAsiaTheme="minorEastAsia" w:hAnsi="Times New Roman" w:cs="Times New Roman"/>
        </w:rPr>
        <w:t xml:space="preserve"> e </w:t>
      </w:r>
      <w:proofErr w:type="spellStart"/>
      <w:r w:rsidR="00152B0D" w:rsidRPr="00817921">
        <w:rPr>
          <w:rFonts w:ascii="Times New Roman" w:eastAsiaTheme="minorEastAsia" w:hAnsi="Times New Roman" w:cs="Times New Roman"/>
        </w:rPr>
        <w:t>riskut</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nga</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fatkeq</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sit</w:t>
      </w:r>
      <w:r w:rsidR="009A5A0E" w:rsidRPr="00817921">
        <w:rPr>
          <w:rFonts w:ascii="Times New Roman" w:eastAsiaTheme="minorEastAsia" w:hAnsi="Times New Roman" w:cs="Times New Roman"/>
        </w:rPr>
        <w:t>ë</w:t>
      </w:r>
      <w:proofErr w:type="spellEnd"/>
      <w:r w:rsidR="00152B0D" w:rsidRPr="00817921">
        <w:rPr>
          <w:rFonts w:ascii="Times New Roman" w:eastAsiaTheme="minorEastAsia" w:hAnsi="Times New Roman" w:cs="Times New Roman"/>
        </w:rPr>
        <w:t xml:space="preserve"> dhe </w:t>
      </w:r>
      <w:proofErr w:type="spellStart"/>
      <w:r w:rsidR="00152B0D" w:rsidRPr="00817921">
        <w:rPr>
          <w:rFonts w:ascii="Times New Roman" w:eastAsiaTheme="minorEastAsia" w:hAnsi="Times New Roman" w:cs="Times New Roman"/>
        </w:rPr>
        <w:t>vendos</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drejtimin</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strategjik</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p</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r</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zhvillimet</w:t>
      </w:r>
      <w:proofErr w:type="spellEnd"/>
      <w:r w:rsidR="00152B0D" w:rsidRPr="00817921">
        <w:rPr>
          <w:rFonts w:ascii="Times New Roman" w:eastAsiaTheme="minorEastAsia" w:hAnsi="Times New Roman" w:cs="Times New Roman"/>
        </w:rPr>
        <w:t xml:space="preserve"> e </w:t>
      </w:r>
      <w:proofErr w:type="spellStart"/>
      <w:r w:rsidR="00152B0D" w:rsidRPr="00817921">
        <w:rPr>
          <w:rFonts w:ascii="Times New Roman" w:eastAsiaTheme="minorEastAsia" w:hAnsi="Times New Roman" w:cs="Times New Roman"/>
        </w:rPr>
        <w:t>m</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tejshme</w:t>
      </w:r>
      <w:proofErr w:type="spellEnd"/>
      <w:r w:rsidR="00152B0D" w:rsidRPr="00817921">
        <w:rPr>
          <w:rFonts w:ascii="Times New Roman" w:eastAsiaTheme="minorEastAsia" w:hAnsi="Times New Roman" w:cs="Times New Roman"/>
        </w:rPr>
        <w:t xml:space="preserve"> t</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sistemit</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komb</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tar</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Strategjia</w:t>
      </w:r>
      <w:proofErr w:type="spellEnd"/>
      <w:r w:rsidR="00152B0D" w:rsidRPr="00817921">
        <w:rPr>
          <w:rFonts w:ascii="Times New Roman" w:eastAsiaTheme="minorEastAsia" w:hAnsi="Times New Roman" w:cs="Times New Roman"/>
        </w:rPr>
        <w:t xml:space="preserve"> i </w:t>
      </w:r>
      <w:proofErr w:type="spellStart"/>
      <w:r w:rsidR="00152B0D" w:rsidRPr="00817921">
        <w:rPr>
          <w:rFonts w:ascii="Times New Roman" w:eastAsiaTheme="minorEastAsia" w:hAnsi="Times New Roman" w:cs="Times New Roman"/>
        </w:rPr>
        <w:t>kushtn</w:t>
      </w:r>
      <w:proofErr w:type="spellEnd"/>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vemendje</w:t>
      </w:r>
      <w:proofErr w:type="spellEnd"/>
      <w:r w:rsidR="00152B0D" w:rsidRPr="00817921">
        <w:rPr>
          <w:rFonts w:ascii="Times New Roman" w:eastAsiaTheme="minorEastAsia" w:hAnsi="Times New Roman" w:cs="Times New Roman"/>
        </w:rPr>
        <w:t xml:space="preserve"> t</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posacmr</w:t>
      </w:r>
      <w:proofErr w:type="spellEnd"/>
      <w:r w:rsidR="00152B0D" w:rsidRPr="00817921">
        <w:rPr>
          <w:rFonts w:ascii="Times New Roman" w:eastAsiaTheme="minorEastAsia" w:hAnsi="Times New Roman" w:cs="Times New Roman"/>
        </w:rPr>
        <w:t xml:space="preserve"> dhe </w:t>
      </w:r>
      <w:proofErr w:type="spellStart"/>
      <w:r w:rsidR="00152B0D" w:rsidRPr="00817921">
        <w:rPr>
          <w:rFonts w:ascii="Times New Roman" w:eastAsiaTheme="minorEastAsia" w:hAnsi="Times New Roman" w:cs="Times New Roman"/>
        </w:rPr>
        <w:t>adresimit</w:t>
      </w:r>
      <w:proofErr w:type="spellEnd"/>
      <w:r w:rsidR="00152B0D" w:rsidRPr="00817921">
        <w:rPr>
          <w:rFonts w:ascii="Times New Roman" w:eastAsiaTheme="minorEastAsia" w:hAnsi="Times New Roman" w:cs="Times New Roman"/>
        </w:rPr>
        <w:t xml:space="preserve"> t</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nevojave</w:t>
      </w:r>
      <w:proofErr w:type="spellEnd"/>
      <w:r w:rsidR="00152B0D" w:rsidRPr="00817921">
        <w:rPr>
          <w:rFonts w:ascii="Times New Roman" w:eastAsiaTheme="minorEastAsia" w:hAnsi="Times New Roman" w:cs="Times New Roman"/>
        </w:rPr>
        <w:t xml:space="preserve"> t</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grupeve</w:t>
      </w:r>
      <w:proofErr w:type="spellEnd"/>
      <w:r w:rsidR="00152B0D" w:rsidRPr="00817921">
        <w:rPr>
          <w:rFonts w:ascii="Times New Roman" w:eastAsiaTheme="minorEastAsia" w:hAnsi="Times New Roman" w:cs="Times New Roman"/>
        </w:rPr>
        <w:t xml:space="preserve"> t</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 xml:space="preserve"> </w:t>
      </w:r>
      <w:proofErr w:type="spellStart"/>
      <w:r w:rsidR="00152B0D" w:rsidRPr="00817921">
        <w:rPr>
          <w:rFonts w:ascii="Times New Roman" w:eastAsiaTheme="minorEastAsia" w:hAnsi="Times New Roman" w:cs="Times New Roman"/>
        </w:rPr>
        <w:t>c</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nueshme</w:t>
      </w:r>
      <w:proofErr w:type="spellEnd"/>
      <w:r w:rsidR="00152B0D" w:rsidRPr="00817921">
        <w:rPr>
          <w:rFonts w:ascii="Times New Roman" w:eastAsiaTheme="minorEastAsia" w:hAnsi="Times New Roman" w:cs="Times New Roman"/>
        </w:rPr>
        <w:t xml:space="preserve"> dhe </w:t>
      </w:r>
      <w:proofErr w:type="spellStart"/>
      <w:r w:rsidR="00152B0D" w:rsidRPr="00817921">
        <w:rPr>
          <w:rFonts w:ascii="Times New Roman" w:eastAsiaTheme="minorEastAsia" w:hAnsi="Times New Roman" w:cs="Times New Roman"/>
        </w:rPr>
        <w:t>vulnerab</w:t>
      </w:r>
      <w:r w:rsidR="009A5A0E" w:rsidRPr="00817921">
        <w:rPr>
          <w:rFonts w:ascii="Times New Roman" w:eastAsiaTheme="minorEastAsia" w:hAnsi="Times New Roman" w:cs="Times New Roman"/>
        </w:rPr>
        <w:t>ë</w:t>
      </w:r>
      <w:r w:rsidR="00152B0D" w:rsidRPr="00817921">
        <w:rPr>
          <w:rFonts w:ascii="Times New Roman" w:eastAsiaTheme="minorEastAsia" w:hAnsi="Times New Roman" w:cs="Times New Roman"/>
        </w:rPr>
        <w:t>l</w:t>
      </w:r>
      <w:proofErr w:type="spellEnd"/>
      <w:r w:rsidR="00152B0D" w:rsidRPr="00817921">
        <w:rPr>
          <w:rFonts w:ascii="Times New Roman" w:eastAsiaTheme="minorEastAsia" w:hAnsi="Times New Roman" w:cs="Times New Roman"/>
        </w:rPr>
        <w:t xml:space="preserve">. </w:t>
      </w:r>
    </w:p>
    <w:p w14:paraId="3A7B3879" w14:textId="77777777" w:rsidR="00B35E28" w:rsidRPr="00B35E28" w:rsidRDefault="00B35E28" w:rsidP="00765F0B">
      <w:pPr>
        <w:widowControl w:val="0"/>
        <w:autoSpaceDE w:val="0"/>
        <w:autoSpaceDN w:val="0"/>
        <w:spacing w:after="0"/>
        <w:rPr>
          <w:rFonts w:ascii="Times New Roman" w:hAnsi="Times New Roman" w:cs="Times New Roman"/>
          <w:szCs w:val="22"/>
          <w:lang w:val="pt-BR"/>
        </w:rPr>
      </w:pPr>
    </w:p>
    <w:p w14:paraId="2F8D20CF" w14:textId="4872982F" w:rsidR="00A6787D" w:rsidRPr="00817921" w:rsidRDefault="00765F0B" w:rsidP="008D0175">
      <w:pPr>
        <w:pStyle w:val="Heading2"/>
        <w:numPr>
          <w:ilvl w:val="1"/>
          <w:numId w:val="1"/>
        </w:numPr>
        <w:rPr>
          <w:rFonts w:ascii="Times New Roman" w:hAnsi="Times New Roman" w:cs="Times New Roman"/>
          <w:sz w:val="24"/>
          <w:szCs w:val="24"/>
          <w:lang w:val="sq-AL"/>
        </w:rPr>
      </w:pPr>
      <w:bookmarkStart w:id="17" w:name="_Toc150809617"/>
      <w:bookmarkStart w:id="18" w:name="_Toc150896485"/>
      <w:r w:rsidRPr="00817921">
        <w:rPr>
          <w:rFonts w:ascii="Times New Roman" w:hAnsi="Times New Roman" w:cs="Times New Roman"/>
          <w:sz w:val="24"/>
          <w:szCs w:val="24"/>
          <w:lang w:val="sq-AL"/>
        </w:rPr>
        <w:t>Konteksti institucional</w:t>
      </w:r>
      <w:bookmarkEnd w:id="17"/>
      <w:bookmarkEnd w:id="18"/>
    </w:p>
    <w:p w14:paraId="788870C2" w14:textId="77777777" w:rsidR="00FF2DA5" w:rsidRDefault="00FF2DA5" w:rsidP="007827BC">
      <w:pPr>
        <w:rPr>
          <w:rFonts w:ascii="Times New Roman" w:hAnsi="Times New Roman" w:cs="Times New Roman"/>
          <w:b/>
          <w:szCs w:val="22"/>
          <w:lang w:val="sq-AL"/>
        </w:rPr>
      </w:pPr>
    </w:p>
    <w:p w14:paraId="4E352CA6" w14:textId="3CA7482B" w:rsidR="007827BC" w:rsidRPr="00817921" w:rsidRDefault="007827BC" w:rsidP="007827BC">
      <w:pPr>
        <w:rPr>
          <w:rFonts w:ascii="Times New Roman" w:hAnsi="Times New Roman" w:cs="Times New Roman"/>
          <w:szCs w:val="22"/>
          <w:lang w:val="sq-AL"/>
        </w:rPr>
      </w:pPr>
      <w:r w:rsidRPr="00817921">
        <w:rPr>
          <w:rFonts w:ascii="Times New Roman" w:hAnsi="Times New Roman" w:cs="Times New Roman"/>
          <w:b/>
          <w:szCs w:val="22"/>
          <w:lang w:val="sq-AL"/>
        </w:rPr>
        <w:t>Ministria e Shëndetësisë dhe Mbrojtjes Sociale</w:t>
      </w:r>
      <w:r w:rsidRPr="00817921">
        <w:rPr>
          <w:rFonts w:ascii="Times New Roman" w:hAnsi="Times New Roman" w:cs="Times New Roman"/>
          <w:szCs w:val="22"/>
          <w:lang w:val="sq-AL"/>
        </w:rPr>
        <w:t xml:space="preserve"> është institucioni kryesor, përgjegjës për hartimin dhe monitorimin e zbatimit të politikave të mbrojtjes, kujdesit dhe integrimit të individëve dhe grupeve në nevojë. </w:t>
      </w:r>
    </w:p>
    <w:p w14:paraId="68FEC4D4" w14:textId="77777777" w:rsidR="007827BC" w:rsidRPr="00817921" w:rsidRDefault="007827BC" w:rsidP="007827BC">
      <w:pPr>
        <w:rPr>
          <w:rFonts w:ascii="Times New Roman" w:hAnsi="Times New Roman" w:cs="Times New Roman"/>
          <w:szCs w:val="22"/>
          <w:lang w:val="sq-AL"/>
        </w:rPr>
      </w:pPr>
      <w:r w:rsidRPr="00817921">
        <w:rPr>
          <w:rFonts w:ascii="Times New Roman" w:hAnsi="Times New Roman" w:cs="Times New Roman"/>
          <w:b/>
          <w:szCs w:val="22"/>
          <w:lang w:val="sq-AL"/>
        </w:rPr>
        <w:t xml:space="preserve">Shërbimi Social Shtetëror </w:t>
      </w:r>
      <w:r w:rsidRPr="00817921">
        <w:rPr>
          <w:rFonts w:ascii="Times New Roman" w:hAnsi="Times New Roman" w:cs="Times New Roman"/>
          <w:szCs w:val="22"/>
          <w:lang w:val="sq-AL"/>
        </w:rPr>
        <w:t xml:space="preserve">është institucion në varësi të Ministrisë së Shëndetësisë dhe Mbrojtjes Sociale, përgjegjës për zbatimin e politikave të ministrisë përgjegjëse për çështjet e ndihmës ekonomike, të aftësisë së kufizuar dhe të shërbimeve të kujdesit shoqëror. </w:t>
      </w:r>
    </w:p>
    <w:p w14:paraId="10D1E1C5" w14:textId="77777777" w:rsidR="007827BC" w:rsidRPr="00817921" w:rsidRDefault="007827BC" w:rsidP="007827BC">
      <w:pPr>
        <w:rPr>
          <w:rFonts w:ascii="Times New Roman" w:hAnsi="Times New Roman" w:cs="Times New Roman"/>
          <w:szCs w:val="22"/>
          <w:lang w:val="sq-AL"/>
        </w:rPr>
      </w:pPr>
      <w:r w:rsidRPr="00817921">
        <w:rPr>
          <w:rFonts w:ascii="Times New Roman" w:hAnsi="Times New Roman" w:cs="Times New Roman"/>
          <w:b/>
          <w:szCs w:val="22"/>
          <w:lang w:val="sq-AL"/>
        </w:rPr>
        <w:t xml:space="preserve">Agjencia Shtetërore për të Drejtat dhe Mbrojtjen e Fëmijëve </w:t>
      </w:r>
      <w:r w:rsidRPr="00817921">
        <w:rPr>
          <w:rFonts w:ascii="Times New Roman" w:hAnsi="Times New Roman" w:cs="Times New Roman"/>
          <w:szCs w:val="22"/>
          <w:lang w:val="sq-AL"/>
        </w:rPr>
        <w:t>është institucioni përgjegjës për koordinimin dhe organizimin e sistemit të integruar të mbrojtjes së fëmijës, në zbatim të politikave kombëtare për mbrojtjen e fëmijës, duke përfshirë zbatimin e ndërhyrjeve dhe marrjen e masave për parandalimin dhe mbrojtjen e fëmijës nga abuzimi, neglizhimi, keqtrajtimi dhe dhuna.</w:t>
      </w:r>
    </w:p>
    <w:p w14:paraId="44601A11" w14:textId="00931427" w:rsidR="007827BC" w:rsidRPr="00817921" w:rsidRDefault="007827BC" w:rsidP="007827BC">
      <w:pPr>
        <w:rPr>
          <w:rFonts w:ascii="Times New Roman" w:hAnsi="Times New Roman" w:cs="Times New Roman"/>
          <w:szCs w:val="22"/>
          <w:lang w:val="sq-AL"/>
        </w:rPr>
      </w:pPr>
      <w:r w:rsidRPr="00817921">
        <w:rPr>
          <w:rFonts w:ascii="Times New Roman" w:hAnsi="Times New Roman" w:cs="Times New Roman"/>
          <w:b/>
          <w:bCs/>
          <w:szCs w:val="22"/>
          <w:lang w:val="sq-AL"/>
        </w:rPr>
        <w:t>Njësitë e Qeverisjes Vendore.</w:t>
      </w:r>
      <w:r w:rsidRPr="00817921">
        <w:rPr>
          <w:rFonts w:ascii="Times New Roman" w:hAnsi="Times New Roman" w:cs="Times New Roman"/>
          <w:szCs w:val="22"/>
          <w:lang w:val="sq-AL"/>
        </w:rPr>
        <w:t xml:space="preserve"> Sipas Reformës Territoriale të miratuar nëpërmjet ligjit nr. 115/2014, “Për ndarjen administrativo-territoriale të njësive të qeverisjes vendore në Republikën e Shqipërisë dhe bazuar në ligjin nr. 139/2015, “Për vetëqeverisjen vendore”, sigurimi dhe funksionimi i shërbimeve shoqërore për kategoritë në nevojë, përfshirë të moshuarit, është përgjegjësi e njësive të vetëqeverisjes vendore, përkatësisht për: - Krijimin dhe administrimin e shërbimeve sociale komunitare, në nivel lokal, - Ndërtimin dhe administrimin e qendrave për ofrimin e shërbimeve sociale vendore, - Krijimin, në bashkëpunim me ministrinë përgjegjëse për çështjet sociale, të fondit social për financimin e shërbimeve, sipas mënyrës së përcaktuar me ligj.</w:t>
      </w:r>
      <w:r w:rsidR="00765F0B" w:rsidRPr="00817921">
        <w:rPr>
          <w:rFonts w:ascii="Times New Roman" w:hAnsi="Times New Roman" w:cs="Times New Roman"/>
          <w:szCs w:val="22"/>
          <w:lang w:val="sq-AL"/>
        </w:rPr>
        <w:t xml:space="preserve"> </w:t>
      </w:r>
      <w:r w:rsidRPr="00817921">
        <w:rPr>
          <w:rFonts w:ascii="Times New Roman" w:hAnsi="Times New Roman" w:cs="Times New Roman"/>
          <w:szCs w:val="22"/>
          <w:lang w:val="sq-AL"/>
        </w:rPr>
        <w:t>Drejtoritë e Shërbimeve Sociale në nivel vendor kanë përgjegjësi për planifikimin, administrimin dhe ofrimin e asistencës sociale dhe shërbimeve sociale në nivel lokal. Njësitë e Vlerësimit dhe Referimit të Nevojave (NjVRN), Njësitë e mbrojtjes së fëmijëve (NJMF), koordinatorët lokal përgje</w:t>
      </w:r>
      <w:r w:rsidR="00765F0B" w:rsidRPr="00817921">
        <w:rPr>
          <w:rFonts w:ascii="Times New Roman" w:hAnsi="Times New Roman" w:cs="Times New Roman"/>
          <w:szCs w:val="22"/>
          <w:lang w:val="sq-AL"/>
        </w:rPr>
        <w:t>gj</w:t>
      </w:r>
      <w:r w:rsidRPr="00817921">
        <w:rPr>
          <w:rFonts w:ascii="Times New Roman" w:hAnsi="Times New Roman" w:cs="Times New Roman"/>
          <w:szCs w:val="22"/>
          <w:lang w:val="sq-AL"/>
        </w:rPr>
        <w:t xml:space="preserve">ës për dhunën në familje dhe ndaj grave dhe punonjës të tjerë të shërbimeve sociale janë përgjegjëse për krijimin dhe administrimin e shërbimeve sociale komunitare, në nivel lokal, ndërtimin dhe administrimin e qendrave komunitare për ofrimin e shërbimeve sociale vendore si dhe krijimin e shërbimeve dhe tipologjive të ndryshme të shërbimit për tiu përgjigjur nevojave të grupeve të ndryshme në kontekstin lokal. </w:t>
      </w:r>
    </w:p>
    <w:p w14:paraId="35D4CA3B" w14:textId="77777777" w:rsidR="007827BC" w:rsidRPr="00817921" w:rsidRDefault="007827BC" w:rsidP="007827BC">
      <w:pPr>
        <w:rPr>
          <w:rFonts w:ascii="Times New Roman" w:hAnsi="Times New Roman" w:cs="Times New Roman"/>
          <w:szCs w:val="22"/>
          <w:lang w:val="sq-AL"/>
        </w:rPr>
      </w:pPr>
      <w:r w:rsidRPr="00817921">
        <w:rPr>
          <w:rFonts w:ascii="Times New Roman" w:hAnsi="Times New Roman" w:cs="Times New Roman"/>
          <w:b/>
          <w:bCs/>
          <w:szCs w:val="22"/>
          <w:lang w:val="sq-AL"/>
        </w:rPr>
        <w:t>Fondi i Sigurimit të Detyrueshëm të Kujdesit Shëndetësor</w:t>
      </w:r>
      <w:r w:rsidRPr="00817921">
        <w:rPr>
          <w:rFonts w:ascii="Times New Roman" w:hAnsi="Times New Roman" w:cs="Times New Roman"/>
          <w:szCs w:val="22"/>
          <w:lang w:val="sq-AL"/>
        </w:rPr>
        <w:t xml:space="preserve"> është institucioni kryesor përgjegjës për zbatimin e politikave kombëtare të kontributit dhe përfitimit të kujdesit shëndetësor, për të gjitha grupet përfituese. </w:t>
      </w:r>
    </w:p>
    <w:p w14:paraId="3F5EFAEC" w14:textId="77777777" w:rsidR="007827BC" w:rsidRPr="00817921" w:rsidRDefault="007827BC" w:rsidP="007827BC">
      <w:pPr>
        <w:rPr>
          <w:rFonts w:ascii="Times New Roman" w:hAnsi="Times New Roman" w:cs="Times New Roman"/>
          <w:szCs w:val="22"/>
          <w:lang w:val="sq-AL"/>
        </w:rPr>
      </w:pPr>
      <w:r w:rsidRPr="00817921">
        <w:rPr>
          <w:rFonts w:ascii="Times New Roman" w:hAnsi="Times New Roman" w:cs="Times New Roman"/>
          <w:b/>
          <w:bCs/>
          <w:szCs w:val="22"/>
          <w:lang w:val="sq-AL"/>
        </w:rPr>
        <w:t>Instituti i Sigurimeve Shoqërore</w:t>
      </w:r>
      <w:r w:rsidRPr="00817921">
        <w:rPr>
          <w:rFonts w:ascii="Times New Roman" w:hAnsi="Times New Roman" w:cs="Times New Roman"/>
          <w:szCs w:val="22"/>
          <w:lang w:val="sq-AL"/>
        </w:rPr>
        <w:t xml:space="preserve">, në varësi të Ministrisë së Financave dhe Ekonomisë, është institucioni përgjegjës për zbatimin e politikave kombëtare të kontributeve dhe përfitimeve. </w:t>
      </w:r>
    </w:p>
    <w:p w14:paraId="39CD0022" w14:textId="77777777" w:rsidR="007827BC" w:rsidRPr="00817921" w:rsidRDefault="007827BC" w:rsidP="007827BC">
      <w:pPr>
        <w:spacing w:after="0"/>
        <w:rPr>
          <w:rFonts w:ascii="Times New Roman" w:hAnsi="Times New Roman" w:cs="Times New Roman"/>
          <w:szCs w:val="22"/>
          <w:lang w:val="pt-BR"/>
        </w:rPr>
      </w:pPr>
      <w:r w:rsidRPr="00817921">
        <w:rPr>
          <w:rFonts w:ascii="Times New Roman" w:hAnsi="Times New Roman" w:cs="Times New Roman"/>
          <w:b/>
          <w:bCs/>
          <w:szCs w:val="22"/>
          <w:lang w:val="pt-BR"/>
        </w:rPr>
        <w:t>Inspektoriati i Punës dhe Shërbimeve Shoqërore</w:t>
      </w:r>
      <w:r w:rsidRPr="00817921">
        <w:rPr>
          <w:rStyle w:val="FootnoteReference"/>
          <w:rFonts w:ascii="Times New Roman" w:hAnsi="Times New Roman" w:cs="Times New Roman"/>
          <w:b/>
          <w:bCs/>
          <w:szCs w:val="22"/>
          <w:lang w:val="pt-BR"/>
        </w:rPr>
        <w:footnoteReference w:id="107"/>
      </w:r>
      <w:r w:rsidRPr="00817921">
        <w:rPr>
          <w:rFonts w:ascii="Times New Roman" w:hAnsi="Times New Roman" w:cs="Times New Roman"/>
          <w:b/>
          <w:bCs/>
          <w:szCs w:val="22"/>
          <w:lang w:val="pt-BR"/>
        </w:rPr>
        <w:t xml:space="preserve">, </w:t>
      </w:r>
      <w:r w:rsidRPr="00817921">
        <w:rPr>
          <w:rFonts w:ascii="Times New Roman" w:hAnsi="Times New Roman" w:cs="Times New Roman"/>
          <w:szCs w:val="22"/>
          <w:lang w:val="pt-BR"/>
        </w:rPr>
        <w:t xml:space="preserve">është institucion në varësi të Ministrisë së Financave dhe Ekonomisë, përgjegjëse për kontrollin dhe verifikimin e zbatimit të standarteve të shërbimeve të kujdesit shoqëror në përputhje me standartet dhe kërkesat e ligjit “Për Shërbimet Shoqërore në Republikën e Shqipërisë”. </w:t>
      </w:r>
    </w:p>
    <w:p w14:paraId="088AEE5F" w14:textId="77777777" w:rsidR="007827BC" w:rsidRPr="00817921" w:rsidRDefault="007827BC" w:rsidP="007827BC">
      <w:pPr>
        <w:spacing w:after="0"/>
        <w:rPr>
          <w:rFonts w:ascii="Times New Roman" w:hAnsi="Times New Roman" w:cs="Times New Roman"/>
          <w:szCs w:val="22"/>
          <w:lang w:val="pt-BR"/>
        </w:rPr>
      </w:pPr>
      <w:r w:rsidRPr="00817921">
        <w:rPr>
          <w:rFonts w:ascii="Times New Roman" w:hAnsi="Times New Roman" w:cs="Times New Roman"/>
          <w:b/>
          <w:bCs/>
          <w:szCs w:val="22"/>
          <w:lang w:val="pt-BR"/>
        </w:rPr>
        <w:t>Agjensia e Sigurimit të Cilësisë së Kujdesit Shëndetësor dhe Shoqëror,</w:t>
      </w:r>
      <w:r w:rsidRPr="00817921">
        <w:rPr>
          <w:rStyle w:val="FootnoteReference"/>
          <w:rFonts w:ascii="Times New Roman" w:hAnsi="Times New Roman" w:cs="Times New Roman"/>
          <w:b/>
          <w:bCs/>
          <w:szCs w:val="22"/>
          <w:lang w:val="pt-BR"/>
        </w:rPr>
        <w:footnoteReference w:id="108"/>
      </w:r>
      <w:r w:rsidRPr="00817921">
        <w:rPr>
          <w:rFonts w:ascii="Times New Roman" w:hAnsi="Times New Roman" w:cs="Times New Roman"/>
          <w:szCs w:val="22"/>
          <w:lang w:val="pt-BR"/>
        </w:rPr>
        <w:t xml:space="preserve"> është agjensi në varësi të Ministrisë së Shëndetësisë dhe Mbrojtjes Sociale e ngarkuar për garantimin  e cilësisë së shërbimeve shëndetësore dhe shoqërore bazuar në standarte, nëpërmjet edukimit, certifikimit, akreditimit  dhe kontrollit të sigurisë së shërbimeve për strukturat dhe profesionistët . </w:t>
      </w:r>
    </w:p>
    <w:p w14:paraId="54E77A11" w14:textId="411C87F6" w:rsidR="007827BC" w:rsidRDefault="007827BC" w:rsidP="007827BC">
      <w:pPr>
        <w:rPr>
          <w:rFonts w:ascii="Times New Roman" w:hAnsi="Times New Roman" w:cs="Times New Roman"/>
          <w:szCs w:val="22"/>
          <w:lang w:val="sq-AL"/>
        </w:rPr>
      </w:pPr>
      <w:r w:rsidRPr="00817921">
        <w:rPr>
          <w:rFonts w:ascii="Times New Roman" w:hAnsi="Times New Roman" w:cs="Times New Roman"/>
          <w:b/>
          <w:bCs/>
          <w:szCs w:val="22"/>
          <w:lang w:val="sq-AL"/>
        </w:rPr>
        <w:t>Urdhëri i Punonjësve Social</w:t>
      </w:r>
      <w:r w:rsidRPr="00817921">
        <w:rPr>
          <w:rFonts w:ascii="Times New Roman" w:hAnsi="Times New Roman" w:cs="Times New Roman"/>
          <w:szCs w:val="22"/>
          <w:lang w:val="sq-AL"/>
        </w:rPr>
        <w:t>- është ent publik jobuxhetor i pavarur, i krijuar përmes Ligjit Nr.10 171, datë 22.10.2009 PËR PROFESIONET E RREGULLUARA NË REPUBLIKËN E SHQIPËRISË por,  ngushtësisht i lidhur me garantimin dhe ruajtjen në vazhdimësi e standardeve dhe praktikave të mira të ushtrimit të profesionit në fushën e punës sociale dhe mbrojtja e publikut nga veprimet joprofesionale dhe joetike të punonjësve socialë.</w:t>
      </w:r>
    </w:p>
    <w:p w14:paraId="7E98B17E" w14:textId="77777777" w:rsidR="00B35E28" w:rsidRPr="00817921" w:rsidRDefault="00B35E28" w:rsidP="007827BC">
      <w:pPr>
        <w:rPr>
          <w:rFonts w:ascii="Times New Roman" w:hAnsi="Times New Roman" w:cs="Times New Roman"/>
          <w:szCs w:val="22"/>
          <w:lang w:val="sq-AL"/>
        </w:rPr>
      </w:pPr>
    </w:p>
    <w:p w14:paraId="4F42C9EC" w14:textId="41529713" w:rsidR="007827BC" w:rsidRPr="00817921" w:rsidRDefault="007827BC" w:rsidP="007827BC">
      <w:pPr>
        <w:spacing w:after="0"/>
        <w:rPr>
          <w:rFonts w:ascii="Times New Roman" w:hAnsi="Times New Roman" w:cs="Times New Roman"/>
          <w:szCs w:val="22"/>
          <w:lang w:val="pt-BR"/>
        </w:rPr>
      </w:pPr>
      <w:r w:rsidRPr="00817921">
        <w:rPr>
          <w:rFonts w:ascii="Times New Roman" w:hAnsi="Times New Roman" w:cs="Times New Roman"/>
          <w:b/>
          <w:bCs/>
          <w:szCs w:val="22"/>
          <w:lang w:val="pt-BR"/>
        </w:rPr>
        <w:t>Institucionet Publike Partnerë</w:t>
      </w:r>
      <w:r w:rsidRPr="00817921">
        <w:rPr>
          <w:rFonts w:ascii="Times New Roman" w:hAnsi="Times New Roman" w:cs="Times New Roman"/>
          <w:szCs w:val="22"/>
          <w:lang w:val="pt-BR"/>
        </w:rPr>
        <w:t xml:space="preserve"> në zbatimin e strategjisë së Mbrojtjes Sociale 2024-2030</w:t>
      </w:r>
      <w:r w:rsidR="00765F0B" w:rsidRPr="00817921">
        <w:rPr>
          <w:rFonts w:ascii="Times New Roman" w:hAnsi="Times New Roman" w:cs="Times New Roman"/>
          <w:szCs w:val="22"/>
          <w:lang w:val="pt-BR"/>
        </w:rPr>
        <w:t xml:space="preserve"> jan</w:t>
      </w:r>
      <w:r w:rsidR="009A5A0E" w:rsidRPr="00817921">
        <w:rPr>
          <w:rFonts w:ascii="Times New Roman" w:hAnsi="Times New Roman" w:cs="Times New Roman"/>
          <w:szCs w:val="22"/>
          <w:lang w:val="pt-BR"/>
        </w:rPr>
        <w:t>ë</w:t>
      </w:r>
      <w:r w:rsidRPr="00817921">
        <w:rPr>
          <w:rFonts w:ascii="Times New Roman" w:hAnsi="Times New Roman" w:cs="Times New Roman"/>
          <w:szCs w:val="22"/>
          <w:lang w:val="pt-BR"/>
        </w:rPr>
        <w:t xml:space="preserve">: </w:t>
      </w:r>
    </w:p>
    <w:p w14:paraId="50494437"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Ministria e Financave dhe Ekonomisë</w:t>
      </w:r>
    </w:p>
    <w:p w14:paraId="25CAD7E3"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Ministria e Arsimit dhe Sportit</w:t>
      </w:r>
    </w:p>
    <w:p w14:paraId="71C8D423"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Ministria e Brendshme</w:t>
      </w:r>
    </w:p>
    <w:p w14:paraId="407F3727"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 xml:space="preserve">Ministria e Drejtësisë </w:t>
      </w:r>
    </w:p>
    <w:p w14:paraId="6B73B77F"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Agjensia Kombëtare e Punësimit dhe Aftësimit Profesional ( AKPA)</w:t>
      </w:r>
    </w:p>
    <w:p w14:paraId="5153654B"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Agjensia e Mbështetjes së Vetëqeverisjes Vendore</w:t>
      </w:r>
    </w:p>
    <w:p w14:paraId="0761C64A"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Agjensia Kombëtare e Shërbimeve të Informacionit</w:t>
      </w:r>
    </w:p>
    <w:p w14:paraId="4D00C8C4"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Instituti i Sigurimeve Shoqërore</w:t>
      </w:r>
    </w:p>
    <w:p w14:paraId="3222F6C6"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Inspektoriati i Punës dhe Shërbimeve Shoqërore</w:t>
      </w:r>
    </w:p>
    <w:p w14:paraId="0261CF2B"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Drejtoria e Përgjithshme e Tatimeve</w:t>
      </w:r>
    </w:p>
    <w:p w14:paraId="7D5551CD"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Drejtoria e Përgjithshme e Transportit Rrugor</w:t>
      </w:r>
    </w:p>
    <w:p w14:paraId="4D30139E" w14:textId="7777777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 xml:space="preserve">Zyra e Regjistrimit të Pasurive të Palujtshme </w:t>
      </w:r>
    </w:p>
    <w:p w14:paraId="2CB1833A" w14:textId="78F116F7" w:rsidR="007827BC" w:rsidRPr="00817921" w:rsidRDefault="007827BC" w:rsidP="008D0175">
      <w:pPr>
        <w:pStyle w:val="ListParagraph"/>
        <w:numPr>
          <w:ilvl w:val="0"/>
          <w:numId w:val="16"/>
        </w:numPr>
        <w:spacing w:before="100" w:after="0"/>
        <w:rPr>
          <w:rFonts w:ascii="Times New Roman" w:hAnsi="Times New Roman" w:cs="Times New Roman"/>
          <w:szCs w:val="22"/>
          <w:lang w:val="pt-BR"/>
        </w:rPr>
      </w:pPr>
      <w:r w:rsidRPr="00817921">
        <w:rPr>
          <w:rFonts w:ascii="Times New Roman" w:hAnsi="Times New Roman" w:cs="Times New Roman"/>
          <w:szCs w:val="22"/>
          <w:lang w:val="pt-BR"/>
        </w:rPr>
        <w:t>61 Njësitë Vendore</w:t>
      </w:r>
    </w:p>
    <w:p w14:paraId="59F8AA66" w14:textId="77777777" w:rsidR="00291B83" w:rsidRDefault="00291B83" w:rsidP="00E14B65">
      <w:pPr>
        <w:rPr>
          <w:rFonts w:ascii="Times New Roman" w:hAnsi="Times New Roman" w:cs="Times New Roman"/>
          <w:szCs w:val="22"/>
          <w:lang w:val="sq-AL"/>
        </w:rPr>
      </w:pPr>
    </w:p>
    <w:p w14:paraId="29C4295E" w14:textId="5C957614" w:rsidR="00291B83" w:rsidRPr="00291B83" w:rsidRDefault="00291B83" w:rsidP="00291B83">
      <w:pPr>
        <w:pStyle w:val="Heading2"/>
        <w:numPr>
          <w:ilvl w:val="1"/>
          <w:numId w:val="1"/>
        </w:numPr>
        <w:rPr>
          <w:rFonts w:ascii="Times New Roman" w:hAnsi="Times New Roman" w:cs="Times New Roman"/>
          <w:sz w:val="24"/>
          <w:szCs w:val="24"/>
          <w:lang w:val="sq-AL"/>
        </w:rPr>
      </w:pPr>
      <w:bookmarkStart w:id="19" w:name="_Toc150896486"/>
      <w:r w:rsidRPr="00291B83">
        <w:rPr>
          <w:rFonts w:ascii="Times New Roman" w:hAnsi="Times New Roman" w:cs="Times New Roman"/>
          <w:sz w:val="24"/>
          <w:szCs w:val="24"/>
          <w:lang w:val="sq-AL"/>
        </w:rPr>
        <w:t>Konteksti ligjor</w:t>
      </w:r>
      <w:bookmarkEnd w:id="19"/>
    </w:p>
    <w:p w14:paraId="6CDFB634" w14:textId="77777777" w:rsidR="00291B83" w:rsidRDefault="00291B83" w:rsidP="00E14B65">
      <w:pPr>
        <w:rPr>
          <w:rFonts w:ascii="Times New Roman" w:hAnsi="Times New Roman" w:cs="Times New Roman"/>
          <w:szCs w:val="22"/>
          <w:lang w:val="sq-AL"/>
        </w:rPr>
      </w:pPr>
    </w:p>
    <w:p w14:paraId="6713061B" w14:textId="42D4C0AC" w:rsidR="00291B83" w:rsidRPr="006561C5" w:rsidRDefault="00291B83" w:rsidP="00291B83">
      <w:pPr>
        <w:numPr>
          <w:ilvl w:val="0"/>
          <w:numId w:val="15"/>
        </w:numPr>
        <w:rPr>
          <w:rFonts w:ascii="Times New Roman" w:hAnsi="Times New Roman" w:cs="Times New Roman"/>
          <w:szCs w:val="22"/>
          <w:lang w:val="pt-BR"/>
        </w:rPr>
      </w:pPr>
      <w:r w:rsidRPr="006561C5">
        <w:rPr>
          <w:rFonts w:ascii="Times New Roman" w:hAnsi="Times New Roman" w:cs="Times New Roman"/>
          <w:szCs w:val="22"/>
          <w:lang w:val="pt-BR"/>
        </w:rPr>
        <w:t>Ligji nr. 8417, datë 22.11.1998 “Kushtetuta e Republikës së Shqipërisë”, e ndryshuar; (në veçanti Nenet 49, 51, 52, 55);</w:t>
      </w:r>
    </w:p>
    <w:p w14:paraId="5FDE37D6" w14:textId="76F04B91" w:rsidR="00291B83" w:rsidRPr="006561C5" w:rsidRDefault="00291B83" w:rsidP="00291B83">
      <w:pPr>
        <w:numPr>
          <w:ilvl w:val="0"/>
          <w:numId w:val="15"/>
        </w:numPr>
        <w:rPr>
          <w:rFonts w:ascii="Times New Roman" w:hAnsi="Times New Roman" w:cs="Times New Roman"/>
          <w:szCs w:val="22"/>
        </w:rPr>
      </w:pPr>
      <w:proofErr w:type="spellStart"/>
      <w:r w:rsidRPr="006561C5">
        <w:rPr>
          <w:rFonts w:ascii="Times New Roman" w:hAnsi="Times New Roman" w:cs="Times New Roman"/>
          <w:szCs w:val="22"/>
        </w:rPr>
        <w:t>Ligj</w:t>
      </w:r>
      <w:proofErr w:type="spellEnd"/>
      <w:r w:rsidRPr="006561C5">
        <w:rPr>
          <w:rFonts w:ascii="Times New Roman" w:hAnsi="Times New Roman" w:cs="Times New Roman"/>
          <w:szCs w:val="22"/>
        </w:rPr>
        <w:t xml:space="preserve"> nr. 57/2019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asistencën</w:t>
      </w:r>
      <w:proofErr w:type="spellEnd"/>
      <w:r w:rsidRPr="006561C5">
        <w:rPr>
          <w:rFonts w:ascii="Times New Roman" w:hAnsi="Times New Roman" w:cs="Times New Roman"/>
          <w:szCs w:val="22"/>
        </w:rPr>
        <w:t xml:space="preserve"> sociale </w:t>
      </w:r>
      <w:proofErr w:type="spellStart"/>
      <w:r w:rsidRPr="006561C5">
        <w:rPr>
          <w:rFonts w:ascii="Times New Roman" w:hAnsi="Times New Roman" w:cs="Times New Roman"/>
          <w:szCs w:val="22"/>
        </w:rPr>
        <w:t>në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Republikën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Shqipërisë</w:t>
      </w:r>
      <w:proofErr w:type="spellEnd"/>
      <w:r w:rsidRPr="006561C5">
        <w:rPr>
          <w:rFonts w:ascii="Times New Roman" w:hAnsi="Times New Roman" w:cs="Times New Roman"/>
          <w:szCs w:val="22"/>
        </w:rPr>
        <w:t xml:space="preserve">”; </w:t>
      </w:r>
    </w:p>
    <w:p w14:paraId="6B10FA83" w14:textId="77777777" w:rsidR="00291B83" w:rsidRPr="006561C5" w:rsidRDefault="00291B83" w:rsidP="00291B83">
      <w:pPr>
        <w:numPr>
          <w:ilvl w:val="0"/>
          <w:numId w:val="15"/>
        </w:numPr>
        <w:rPr>
          <w:rFonts w:ascii="Times New Roman" w:hAnsi="Times New Roman" w:cs="Times New Roman"/>
          <w:szCs w:val="22"/>
          <w:lang w:val="pt-BR"/>
        </w:rPr>
      </w:pPr>
      <w:r w:rsidRPr="006561C5">
        <w:rPr>
          <w:rFonts w:ascii="Times New Roman" w:hAnsi="Times New Roman" w:cs="Times New Roman"/>
          <w:szCs w:val="22"/>
          <w:lang w:val="pt-BR"/>
        </w:rPr>
        <w:t>Ligji nr. 7531, datë 11.12.1991 “Për ratifikimin e Konventës për të Drejtat e Fëmijës (OKB)”;</w:t>
      </w:r>
    </w:p>
    <w:p w14:paraId="05675167" w14:textId="1656F0ED" w:rsidR="00291B83" w:rsidRPr="006561C5" w:rsidRDefault="00291B83" w:rsidP="00291B83">
      <w:pPr>
        <w:numPr>
          <w:ilvl w:val="0"/>
          <w:numId w:val="15"/>
        </w:numPr>
        <w:rPr>
          <w:rFonts w:ascii="Times New Roman" w:hAnsi="Times New Roman" w:cs="Times New Roman"/>
          <w:szCs w:val="22"/>
          <w:lang w:val="pt-BR"/>
        </w:rPr>
      </w:pPr>
      <w:r w:rsidRPr="006561C5">
        <w:rPr>
          <w:rFonts w:ascii="Times New Roman" w:hAnsi="Times New Roman" w:cs="Times New Roman"/>
          <w:szCs w:val="22"/>
          <w:lang w:val="pt-BR"/>
        </w:rPr>
        <w:t>Ligji nr.7767, datë 9.11.1993 “Për aderimin në Konventën “Për eleminimin e të gjitha formave të diskriminimit ndaj grave”;</w:t>
      </w:r>
    </w:p>
    <w:p w14:paraId="67AA9FC7" w14:textId="54C1D726" w:rsidR="00291B83" w:rsidRPr="006561C5" w:rsidRDefault="00291B83" w:rsidP="00291B83">
      <w:pPr>
        <w:numPr>
          <w:ilvl w:val="0"/>
          <w:numId w:val="15"/>
        </w:numPr>
        <w:rPr>
          <w:rFonts w:ascii="Times New Roman" w:hAnsi="Times New Roman" w:cs="Times New Roman"/>
          <w:iCs/>
          <w:szCs w:val="22"/>
          <w:lang w:val="pt-BR"/>
        </w:rPr>
      </w:pPr>
      <w:r w:rsidRPr="006561C5">
        <w:rPr>
          <w:rFonts w:ascii="Times New Roman" w:hAnsi="Times New Roman" w:cs="Times New Roman"/>
          <w:szCs w:val="22"/>
          <w:lang w:val="pt-BR"/>
        </w:rPr>
        <w:t>Ligji nr. 104/2012, datë 8.11.2012 “Për ratifikimin e Konventës së Këshillit të Europës “</w:t>
      </w:r>
      <w:r w:rsidRPr="006561C5">
        <w:rPr>
          <w:rFonts w:ascii="Times New Roman" w:hAnsi="Times New Roman" w:cs="Times New Roman"/>
          <w:iCs/>
          <w:szCs w:val="22"/>
          <w:lang w:val="pt-BR"/>
        </w:rPr>
        <w:t>Për parandalimin dhe luftën kundër dhunës ndaj grave dhe dhunës në familje”;</w:t>
      </w:r>
    </w:p>
    <w:p w14:paraId="17C07A73" w14:textId="2B67B675" w:rsidR="00291B83" w:rsidRPr="006561C5" w:rsidRDefault="00291B83" w:rsidP="00291B83">
      <w:pPr>
        <w:numPr>
          <w:ilvl w:val="0"/>
          <w:numId w:val="15"/>
        </w:numPr>
        <w:rPr>
          <w:rFonts w:ascii="Times New Roman" w:hAnsi="Times New Roman" w:cs="Times New Roman"/>
          <w:iCs/>
          <w:szCs w:val="22"/>
          <w:lang w:val="pt-BR"/>
        </w:rPr>
      </w:pPr>
      <w:r w:rsidRPr="006561C5">
        <w:rPr>
          <w:rFonts w:ascii="Times New Roman" w:hAnsi="Times New Roman" w:cs="Times New Roman"/>
          <w:szCs w:val="22"/>
          <w:lang w:val="pt-BR"/>
        </w:rPr>
        <w:t>Ligji nr. 108 , datë 2012 “Për ratifikimin e Konventës së OKB -së “</w:t>
      </w:r>
      <w:r w:rsidRPr="006561C5">
        <w:rPr>
          <w:rFonts w:ascii="Times New Roman" w:hAnsi="Times New Roman" w:cs="Times New Roman"/>
          <w:iCs/>
          <w:szCs w:val="22"/>
          <w:lang w:val="pt-BR"/>
        </w:rPr>
        <w:t xml:space="preserve">Për të drejtat e personave me aftësi të kufizuara”; </w:t>
      </w:r>
    </w:p>
    <w:p w14:paraId="4E26497F" w14:textId="77777777" w:rsidR="00291B83" w:rsidRPr="006561C5" w:rsidRDefault="00291B83" w:rsidP="00291B83">
      <w:pPr>
        <w:numPr>
          <w:ilvl w:val="0"/>
          <w:numId w:val="15"/>
        </w:numPr>
        <w:rPr>
          <w:rFonts w:ascii="Times New Roman" w:hAnsi="Times New Roman" w:cs="Times New Roman"/>
          <w:szCs w:val="22"/>
          <w:lang w:val="pt-BR"/>
        </w:rPr>
      </w:pPr>
      <w:r w:rsidRPr="006561C5">
        <w:rPr>
          <w:rFonts w:ascii="Times New Roman" w:hAnsi="Times New Roman" w:cs="Times New Roman"/>
          <w:szCs w:val="22"/>
          <w:lang w:val="pt-BR"/>
        </w:rPr>
        <w:t>Ligji nr. 8137, datë 31.07.1996 “Për ratifikimin e Konventës Evropiane të të Drejtave të Njeriut” dhe Protokolli nr. 7 i KEDNj;</w:t>
      </w:r>
    </w:p>
    <w:p w14:paraId="2DDE5E10" w14:textId="44CF5E53"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szCs w:val="22"/>
          <w:lang w:val="fr-FR"/>
        </w:rPr>
        <w:t>Deklarata</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Universale</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të </w:t>
      </w:r>
      <w:proofErr w:type="spellStart"/>
      <w:r w:rsidRPr="006561C5">
        <w:rPr>
          <w:rFonts w:ascii="Times New Roman" w:hAnsi="Times New Roman" w:cs="Times New Roman"/>
          <w:szCs w:val="22"/>
          <w:lang w:val="fr-FR"/>
        </w:rPr>
        <w:t>Drejtat</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Njeriut</w:t>
      </w:r>
      <w:proofErr w:type="spellEnd"/>
      <w:r w:rsidRPr="006561C5">
        <w:rPr>
          <w:rFonts w:ascii="Times New Roman" w:hAnsi="Times New Roman" w:cs="Times New Roman"/>
          <w:szCs w:val="22"/>
          <w:lang w:val="fr-FR"/>
        </w:rPr>
        <w:t xml:space="preserve">; </w:t>
      </w:r>
    </w:p>
    <w:p w14:paraId="46CB45E2" w14:textId="77777777"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szCs w:val="22"/>
          <w:lang w:val="fr-FR"/>
        </w:rPr>
        <w:t>Ligji</w:t>
      </w:r>
      <w:proofErr w:type="spellEnd"/>
      <w:r w:rsidRPr="006561C5">
        <w:rPr>
          <w:rFonts w:ascii="Times New Roman" w:hAnsi="Times New Roman" w:cs="Times New Roman"/>
          <w:szCs w:val="22"/>
          <w:lang w:val="fr-FR"/>
        </w:rPr>
        <w:t xml:space="preserve"> nr. 8774, </w:t>
      </w:r>
      <w:proofErr w:type="spellStart"/>
      <w:r w:rsidRPr="006561C5">
        <w:rPr>
          <w:rFonts w:ascii="Times New Roman" w:hAnsi="Times New Roman" w:cs="Times New Roman"/>
          <w:szCs w:val="22"/>
          <w:lang w:val="fr-FR"/>
        </w:rPr>
        <w:t>datë</w:t>
      </w:r>
      <w:proofErr w:type="spellEnd"/>
      <w:r w:rsidRPr="006561C5">
        <w:rPr>
          <w:rFonts w:ascii="Times New Roman" w:hAnsi="Times New Roman" w:cs="Times New Roman"/>
          <w:szCs w:val="22"/>
          <w:lang w:val="fr-FR"/>
        </w:rPr>
        <w:t xml:space="preserve"> 23.4.2001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ratifikimin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Konventës</w:t>
      </w:r>
      <w:proofErr w:type="spellEnd"/>
      <w:r w:rsidRPr="006561C5">
        <w:rPr>
          <w:rFonts w:ascii="Times New Roman" w:hAnsi="Times New Roman" w:cs="Times New Roman"/>
          <w:szCs w:val="22"/>
          <w:lang w:val="fr-FR"/>
        </w:rPr>
        <w:t xml:space="preserve"> nr.182 “Format </w:t>
      </w:r>
      <w:proofErr w:type="spellStart"/>
      <w:r w:rsidRPr="006561C5">
        <w:rPr>
          <w:rFonts w:ascii="Times New Roman" w:hAnsi="Times New Roman" w:cs="Times New Roman"/>
          <w:szCs w:val="22"/>
          <w:lang w:val="fr-FR"/>
        </w:rPr>
        <w:t>më</w:t>
      </w:r>
      <w:proofErr w:type="spellEnd"/>
      <w:r w:rsidRPr="006561C5">
        <w:rPr>
          <w:rFonts w:ascii="Times New Roman" w:hAnsi="Times New Roman" w:cs="Times New Roman"/>
          <w:szCs w:val="22"/>
          <w:lang w:val="fr-FR"/>
        </w:rPr>
        <w:t xml:space="preserve"> të </w:t>
      </w:r>
      <w:proofErr w:type="spellStart"/>
      <w:r w:rsidRPr="006561C5">
        <w:rPr>
          <w:rFonts w:ascii="Times New Roman" w:hAnsi="Times New Roman" w:cs="Times New Roman"/>
          <w:szCs w:val="22"/>
          <w:lang w:val="fr-FR"/>
        </w:rPr>
        <w:t>këqija</w:t>
      </w:r>
      <w:proofErr w:type="spellEnd"/>
      <w:r w:rsidRPr="006561C5">
        <w:rPr>
          <w:rFonts w:ascii="Times New Roman" w:hAnsi="Times New Roman" w:cs="Times New Roman"/>
          <w:szCs w:val="22"/>
          <w:lang w:val="fr-FR"/>
        </w:rPr>
        <w:t xml:space="preserve"> të </w:t>
      </w:r>
      <w:proofErr w:type="spellStart"/>
      <w:r w:rsidRPr="006561C5">
        <w:rPr>
          <w:rFonts w:ascii="Times New Roman" w:hAnsi="Times New Roman" w:cs="Times New Roman"/>
          <w:szCs w:val="22"/>
          <w:lang w:val="fr-FR"/>
        </w:rPr>
        <w:t>punës</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së</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fëmijëve</w:t>
      </w:r>
      <w:proofErr w:type="spellEnd"/>
      <w:r w:rsidRPr="006561C5">
        <w:rPr>
          <w:rFonts w:ascii="Times New Roman" w:hAnsi="Times New Roman" w:cs="Times New Roman"/>
          <w:szCs w:val="22"/>
          <w:lang w:val="fr-FR"/>
        </w:rPr>
        <w:t xml:space="preserve">, 1999” të </w:t>
      </w:r>
      <w:proofErr w:type="spellStart"/>
      <w:r w:rsidRPr="006561C5">
        <w:rPr>
          <w:rFonts w:ascii="Times New Roman" w:hAnsi="Times New Roman" w:cs="Times New Roman"/>
          <w:szCs w:val="22"/>
          <w:lang w:val="fr-FR"/>
        </w:rPr>
        <w:t>Organizatës</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Ndërkombëtare</w:t>
      </w:r>
      <w:proofErr w:type="spellEnd"/>
      <w:r w:rsidRPr="006561C5">
        <w:rPr>
          <w:rFonts w:ascii="Times New Roman" w:hAnsi="Times New Roman" w:cs="Times New Roman"/>
          <w:szCs w:val="22"/>
          <w:lang w:val="fr-FR"/>
        </w:rPr>
        <w:t xml:space="preserve"> të </w:t>
      </w:r>
      <w:proofErr w:type="spellStart"/>
      <w:r w:rsidRPr="006561C5">
        <w:rPr>
          <w:rFonts w:ascii="Times New Roman" w:hAnsi="Times New Roman" w:cs="Times New Roman"/>
          <w:szCs w:val="22"/>
          <w:lang w:val="fr-FR"/>
        </w:rPr>
        <w:t>Punës</w:t>
      </w:r>
      <w:proofErr w:type="spellEnd"/>
      <w:r w:rsidRPr="006561C5">
        <w:rPr>
          <w:rFonts w:ascii="Times New Roman" w:hAnsi="Times New Roman" w:cs="Times New Roman"/>
          <w:szCs w:val="22"/>
          <w:lang w:val="fr-FR"/>
        </w:rPr>
        <w:t>”;</w:t>
      </w:r>
    </w:p>
    <w:p w14:paraId="7F44C02C" w14:textId="5FD61E7F"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szCs w:val="22"/>
          <w:lang w:val="fr-FR"/>
        </w:rPr>
        <w:t>Ligj</w:t>
      </w:r>
      <w:proofErr w:type="spellEnd"/>
      <w:r w:rsidRPr="006561C5">
        <w:rPr>
          <w:rFonts w:ascii="Times New Roman" w:hAnsi="Times New Roman" w:cs="Times New Roman"/>
          <w:szCs w:val="22"/>
          <w:lang w:val="fr-FR"/>
        </w:rPr>
        <w:t xml:space="preserve"> nr. 9359, </w:t>
      </w:r>
      <w:proofErr w:type="spellStart"/>
      <w:r w:rsidRPr="006561C5">
        <w:rPr>
          <w:rFonts w:ascii="Times New Roman" w:hAnsi="Times New Roman" w:cs="Times New Roman"/>
          <w:szCs w:val="22"/>
          <w:lang w:val="fr-FR"/>
        </w:rPr>
        <w:t>datë</w:t>
      </w:r>
      <w:proofErr w:type="spellEnd"/>
      <w:r w:rsidRPr="006561C5">
        <w:rPr>
          <w:rFonts w:ascii="Times New Roman" w:hAnsi="Times New Roman" w:cs="Times New Roman"/>
          <w:szCs w:val="22"/>
          <w:lang w:val="fr-FR"/>
        </w:rPr>
        <w:t xml:space="preserve"> 24.3.2005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ratifikimin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Konventës</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Evropiane</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marrëdhëniet</w:t>
      </w:r>
      <w:proofErr w:type="spellEnd"/>
      <w:r w:rsidRPr="006561C5">
        <w:rPr>
          <w:rFonts w:ascii="Times New Roman" w:hAnsi="Times New Roman" w:cs="Times New Roman"/>
          <w:szCs w:val="22"/>
          <w:lang w:val="fr-FR"/>
        </w:rPr>
        <w:t xml:space="preserve"> me </w:t>
      </w:r>
      <w:proofErr w:type="spellStart"/>
      <w:r w:rsidRPr="006561C5">
        <w:rPr>
          <w:rFonts w:ascii="Times New Roman" w:hAnsi="Times New Roman" w:cs="Times New Roman"/>
          <w:szCs w:val="22"/>
          <w:lang w:val="fr-FR"/>
        </w:rPr>
        <w:t>fëmijët</w:t>
      </w:r>
      <w:proofErr w:type="spellEnd"/>
      <w:r w:rsidRPr="006561C5">
        <w:rPr>
          <w:rFonts w:ascii="Times New Roman" w:hAnsi="Times New Roman" w:cs="Times New Roman"/>
          <w:szCs w:val="22"/>
          <w:lang w:val="fr-FR"/>
        </w:rPr>
        <w:t>" ;</w:t>
      </w:r>
    </w:p>
    <w:p w14:paraId="0B8D465B" w14:textId="77777777"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szCs w:val="22"/>
          <w:lang w:val="fr-FR"/>
        </w:rPr>
        <w:t>Ligji</w:t>
      </w:r>
      <w:proofErr w:type="spellEnd"/>
      <w:r w:rsidRPr="006561C5">
        <w:rPr>
          <w:rFonts w:ascii="Times New Roman" w:hAnsi="Times New Roman" w:cs="Times New Roman"/>
          <w:szCs w:val="22"/>
          <w:lang w:val="fr-FR"/>
        </w:rPr>
        <w:t xml:space="preserve"> nr. 10 071, </w:t>
      </w:r>
      <w:proofErr w:type="spellStart"/>
      <w:r w:rsidRPr="006561C5">
        <w:rPr>
          <w:rFonts w:ascii="Times New Roman" w:hAnsi="Times New Roman" w:cs="Times New Roman"/>
          <w:szCs w:val="22"/>
          <w:lang w:val="fr-FR"/>
        </w:rPr>
        <w:t>datë</w:t>
      </w:r>
      <w:proofErr w:type="spellEnd"/>
      <w:r w:rsidRPr="006561C5">
        <w:rPr>
          <w:rFonts w:ascii="Times New Roman" w:hAnsi="Times New Roman" w:cs="Times New Roman"/>
          <w:szCs w:val="22"/>
          <w:lang w:val="fr-FR"/>
        </w:rPr>
        <w:t xml:space="preserve"> 9.2.2009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ratifikimin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Konventës</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së</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Këshillit</w:t>
      </w:r>
      <w:proofErr w:type="spellEnd"/>
      <w:r w:rsidRPr="006561C5">
        <w:rPr>
          <w:rFonts w:ascii="Times New Roman" w:hAnsi="Times New Roman" w:cs="Times New Roman"/>
          <w:szCs w:val="22"/>
          <w:lang w:val="fr-FR"/>
        </w:rPr>
        <w:t xml:space="preserve"> të </w:t>
      </w:r>
      <w:proofErr w:type="spellStart"/>
      <w:r w:rsidRPr="006561C5">
        <w:rPr>
          <w:rFonts w:ascii="Times New Roman" w:hAnsi="Times New Roman" w:cs="Times New Roman"/>
          <w:szCs w:val="22"/>
          <w:lang w:val="fr-FR"/>
        </w:rPr>
        <w:t>Evropës</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mbrojtjen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fëmijëve</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nga</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shfrytëzimi</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seksual</w:t>
      </w:r>
      <w:proofErr w:type="spellEnd"/>
      <w:r w:rsidRPr="006561C5">
        <w:rPr>
          <w:rFonts w:ascii="Times New Roman" w:hAnsi="Times New Roman" w:cs="Times New Roman"/>
          <w:szCs w:val="22"/>
          <w:lang w:val="fr-FR"/>
        </w:rPr>
        <w:t xml:space="preserve"> dhe </w:t>
      </w:r>
      <w:proofErr w:type="spellStart"/>
      <w:r w:rsidRPr="006561C5">
        <w:rPr>
          <w:rFonts w:ascii="Times New Roman" w:hAnsi="Times New Roman" w:cs="Times New Roman"/>
          <w:szCs w:val="22"/>
          <w:lang w:val="fr-FR"/>
        </w:rPr>
        <w:t>abuzimi</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seksual</w:t>
      </w:r>
      <w:proofErr w:type="spellEnd"/>
      <w:r w:rsidRPr="006561C5">
        <w:rPr>
          <w:rFonts w:ascii="Times New Roman" w:hAnsi="Times New Roman" w:cs="Times New Roman"/>
          <w:szCs w:val="22"/>
          <w:lang w:val="fr-FR"/>
        </w:rPr>
        <w:t xml:space="preserve">”; </w:t>
      </w:r>
    </w:p>
    <w:p w14:paraId="45D0D9F7" w14:textId="7275168D"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szCs w:val="22"/>
          <w:lang w:val="fr-FR"/>
        </w:rPr>
        <w:t>Ligji</w:t>
      </w:r>
      <w:proofErr w:type="spellEnd"/>
      <w:r w:rsidRPr="006561C5">
        <w:rPr>
          <w:rFonts w:ascii="Times New Roman" w:hAnsi="Times New Roman" w:cs="Times New Roman"/>
          <w:szCs w:val="22"/>
          <w:lang w:val="fr-FR"/>
        </w:rPr>
        <w:t xml:space="preserve"> nr. 10 425, </w:t>
      </w:r>
      <w:proofErr w:type="spellStart"/>
      <w:r w:rsidRPr="006561C5">
        <w:rPr>
          <w:rFonts w:ascii="Times New Roman" w:hAnsi="Times New Roman" w:cs="Times New Roman"/>
          <w:szCs w:val="22"/>
          <w:lang w:val="fr-FR"/>
        </w:rPr>
        <w:t>datë</w:t>
      </w:r>
      <w:proofErr w:type="spellEnd"/>
      <w:r w:rsidRPr="006561C5">
        <w:rPr>
          <w:rFonts w:ascii="Times New Roman" w:hAnsi="Times New Roman" w:cs="Times New Roman"/>
          <w:szCs w:val="22"/>
          <w:lang w:val="fr-FR"/>
        </w:rPr>
        <w:t xml:space="preserve"> 2/6/2011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ratifikimin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Konventës</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së</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Këshillit</w:t>
      </w:r>
      <w:proofErr w:type="spellEnd"/>
      <w:r w:rsidRPr="006561C5">
        <w:rPr>
          <w:rFonts w:ascii="Times New Roman" w:hAnsi="Times New Roman" w:cs="Times New Roman"/>
          <w:szCs w:val="22"/>
          <w:lang w:val="fr-FR"/>
        </w:rPr>
        <w:t xml:space="preserve"> të </w:t>
      </w:r>
      <w:proofErr w:type="spellStart"/>
      <w:r w:rsidRPr="006561C5">
        <w:rPr>
          <w:rFonts w:ascii="Times New Roman" w:hAnsi="Times New Roman" w:cs="Times New Roman"/>
          <w:szCs w:val="22"/>
          <w:lang w:val="fr-FR"/>
        </w:rPr>
        <w:t>Evropës</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ushtrimin</w:t>
      </w:r>
      <w:proofErr w:type="spellEnd"/>
      <w:r w:rsidRPr="006561C5">
        <w:rPr>
          <w:rFonts w:ascii="Times New Roman" w:hAnsi="Times New Roman" w:cs="Times New Roman"/>
          <w:szCs w:val="22"/>
          <w:lang w:val="fr-FR"/>
        </w:rPr>
        <w:t xml:space="preserve"> e të </w:t>
      </w:r>
      <w:proofErr w:type="spellStart"/>
      <w:r w:rsidRPr="006561C5">
        <w:rPr>
          <w:rFonts w:ascii="Times New Roman" w:hAnsi="Times New Roman" w:cs="Times New Roman"/>
          <w:szCs w:val="22"/>
          <w:lang w:val="fr-FR"/>
        </w:rPr>
        <w:t>drejtave</w:t>
      </w:r>
      <w:proofErr w:type="spellEnd"/>
      <w:r w:rsidRPr="006561C5">
        <w:rPr>
          <w:rFonts w:ascii="Times New Roman" w:hAnsi="Times New Roman" w:cs="Times New Roman"/>
          <w:szCs w:val="22"/>
          <w:lang w:val="fr-FR"/>
        </w:rPr>
        <w:t xml:space="preserve"> të </w:t>
      </w:r>
      <w:proofErr w:type="spellStart"/>
      <w:r w:rsidRPr="006561C5">
        <w:rPr>
          <w:rFonts w:ascii="Times New Roman" w:hAnsi="Times New Roman" w:cs="Times New Roman"/>
          <w:szCs w:val="22"/>
          <w:lang w:val="fr-FR"/>
        </w:rPr>
        <w:t>fëmijëve</w:t>
      </w:r>
      <w:proofErr w:type="spellEnd"/>
      <w:r w:rsidRPr="006561C5">
        <w:rPr>
          <w:rFonts w:ascii="Times New Roman" w:hAnsi="Times New Roman" w:cs="Times New Roman"/>
          <w:szCs w:val="22"/>
          <w:lang w:val="fr-FR"/>
        </w:rPr>
        <w:t>;</w:t>
      </w:r>
    </w:p>
    <w:p w14:paraId="7846A873" w14:textId="3C065EDA"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iCs/>
          <w:szCs w:val="22"/>
          <w:lang w:val="fr-FR"/>
        </w:rPr>
        <w:t>Ligji</w:t>
      </w:r>
      <w:proofErr w:type="spellEnd"/>
      <w:r w:rsidRPr="006561C5">
        <w:rPr>
          <w:rFonts w:ascii="Times New Roman" w:hAnsi="Times New Roman" w:cs="Times New Roman"/>
          <w:iCs/>
          <w:szCs w:val="22"/>
          <w:lang w:val="fr-FR"/>
        </w:rPr>
        <w:t xml:space="preserve"> nr. 121, </w:t>
      </w:r>
      <w:proofErr w:type="spellStart"/>
      <w:r w:rsidRPr="006561C5">
        <w:rPr>
          <w:rFonts w:ascii="Times New Roman" w:hAnsi="Times New Roman" w:cs="Times New Roman"/>
          <w:iCs/>
          <w:szCs w:val="22"/>
          <w:lang w:val="fr-FR"/>
        </w:rPr>
        <w:t>datë</w:t>
      </w:r>
      <w:proofErr w:type="spellEnd"/>
      <w:r w:rsidRPr="006561C5">
        <w:rPr>
          <w:rFonts w:ascii="Times New Roman" w:hAnsi="Times New Roman" w:cs="Times New Roman"/>
          <w:iCs/>
          <w:szCs w:val="22"/>
          <w:lang w:val="fr-FR"/>
        </w:rPr>
        <w:t xml:space="preserve"> 24.11.2016, ”</w:t>
      </w:r>
      <w:proofErr w:type="spellStart"/>
      <w:r w:rsidRPr="006561C5">
        <w:rPr>
          <w:rFonts w:ascii="Times New Roman" w:hAnsi="Times New Roman" w:cs="Times New Roman"/>
          <w:szCs w:val="22"/>
          <w:lang w:val="fr-FR"/>
        </w:rPr>
        <w:t>Mbi</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Shërbimet</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Kujdeist</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Shoqëror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në</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Republikën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Shqipërisë</w:t>
      </w:r>
      <w:proofErr w:type="spellEnd"/>
      <w:r w:rsidRPr="006561C5">
        <w:rPr>
          <w:rFonts w:ascii="Times New Roman" w:hAnsi="Times New Roman" w:cs="Times New Roman"/>
          <w:szCs w:val="22"/>
          <w:lang w:val="fr-FR"/>
        </w:rPr>
        <w:t>”;</w:t>
      </w:r>
    </w:p>
    <w:p w14:paraId="49B94E2B" w14:textId="5B71A2B7"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iCs/>
          <w:szCs w:val="22"/>
          <w:lang w:val="fr-FR"/>
        </w:rPr>
        <w:t>Ligji</w:t>
      </w:r>
      <w:proofErr w:type="spellEnd"/>
      <w:r w:rsidRPr="006561C5">
        <w:rPr>
          <w:rFonts w:ascii="Times New Roman" w:hAnsi="Times New Roman" w:cs="Times New Roman"/>
          <w:iCs/>
          <w:szCs w:val="22"/>
          <w:lang w:val="fr-FR"/>
        </w:rPr>
        <w:t xml:space="preserve"> nr. 163/2014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urdhërin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punonjësve</w:t>
      </w:r>
      <w:proofErr w:type="spellEnd"/>
      <w:r w:rsidRPr="006561C5">
        <w:rPr>
          <w:rFonts w:ascii="Times New Roman" w:hAnsi="Times New Roman" w:cs="Times New Roman"/>
          <w:szCs w:val="22"/>
          <w:lang w:val="fr-FR"/>
        </w:rPr>
        <w:t xml:space="preserve"> social </w:t>
      </w:r>
      <w:proofErr w:type="spellStart"/>
      <w:r w:rsidRPr="006561C5">
        <w:rPr>
          <w:rFonts w:ascii="Times New Roman" w:hAnsi="Times New Roman" w:cs="Times New Roman"/>
          <w:szCs w:val="22"/>
          <w:lang w:val="fr-FR"/>
        </w:rPr>
        <w:t>në</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Republikën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Shqipërisë</w:t>
      </w:r>
      <w:proofErr w:type="spellEnd"/>
      <w:r w:rsidRPr="006561C5">
        <w:rPr>
          <w:rFonts w:ascii="Times New Roman" w:hAnsi="Times New Roman" w:cs="Times New Roman"/>
          <w:iCs/>
          <w:szCs w:val="22"/>
          <w:lang w:val="fr-FR"/>
        </w:rPr>
        <w:t xml:space="preserve"> “;</w:t>
      </w:r>
    </w:p>
    <w:p w14:paraId="64F8B457" w14:textId="1E91BAFB"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iCs/>
          <w:szCs w:val="22"/>
          <w:lang w:val="fr-FR"/>
        </w:rPr>
        <w:t>Ligji</w:t>
      </w:r>
      <w:proofErr w:type="spellEnd"/>
      <w:r w:rsidRPr="006561C5">
        <w:rPr>
          <w:rFonts w:ascii="Times New Roman" w:hAnsi="Times New Roman" w:cs="Times New Roman"/>
          <w:iCs/>
          <w:szCs w:val="22"/>
          <w:lang w:val="fr-FR"/>
        </w:rPr>
        <w:t xml:space="preserve"> nr. 40/2016, i </w:t>
      </w:r>
      <w:proofErr w:type="spellStart"/>
      <w:r w:rsidRPr="006561C5">
        <w:rPr>
          <w:rFonts w:ascii="Times New Roman" w:hAnsi="Times New Roman" w:cs="Times New Roman"/>
          <w:iCs/>
          <w:szCs w:val="22"/>
          <w:lang w:val="fr-FR"/>
        </w:rPr>
        <w:t>ndryshuar</w:t>
      </w:r>
      <w:proofErr w:type="spellEnd"/>
      <w:r w:rsidRPr="006561C5">
        <w:rPr>
          <w:rFonts w:ascii="Times New Roman" w:hAnsi="Times New Roman" w:cs="Times New Roman"/>
          <w:iCs/>
          <w:szCs w:val="22"/>
          <w:lang w:val="fr-FR"/>
        </w:rPr>
        <w:t xml:space="preserve"> </w:t>
      </w:r>
      <w:r w:rsidRPr="006561C5">
        <w:rPr>
          <w:rFonts w:ascii="Times New Roman" w:hAnsi="Times New Roman" w:cs="Times New Roman"/>
          <w:szCs w:val="22"/>
          <w:lang w:val="fr-FR"/>
        </w:rPr>
        <w:t>“</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urdhërin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psikologut</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në</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Republikën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Shqipërisë</w:t>
      </w:r>
      <w:proofErr w:type="spellEnd"/>
      <w:r w:rsidRPr="006561C5">
        <w:rPr>
          <w:rFonts w:ascii="Times New Roman" w:hAnsi="Times New Roman" w:cs="Times New Roman"/>
          <w:szCs w:val="22"/>
          <w:lang w:val="fr-FR"/>
        </w:rPr>
        <w:t> »;</w:t>
      </w:r>
    </w:p>
    <w:p w14:paraId="342B5CF3" w14:textId="6701874C" w:rsidR="00291B83" w:rsidRPr="006561C5" w:rsidRDefault="00291B83" w:rsidP="00291B83">
      <w:pPr>
        <w:numPr>
          <w:ilvl w:val="0"/>
          <w:numId w:val="15"/>
        </w:numPr>
        <w:rPr>
          <w:rFonts w:ascii="Times New Roman" w:hAnsi="Times New Roman" w:cs="Times New Roman"/>
          <w:iCs/>
          <w:szCs w:val="22"/>
          <w:lang w:val="fr-FR"/>
        </w:rPr>
      </w:pPr>
      <w:proofErr w:type="spellStart"/>
      <w:r w:rsidRPr="006561C5">
        <w:rPr>
          <w:rFonts w:ascii="Times New Roman" w:hAnsi="Times New Roman" w:cs="Times New Roman"/>
          <w:szCs w:val="22"/>
          <w:lang w:val="fr-FR"/>
        </w:rPr>
        <w:t>Ligji</w:t>
      </w:r>
      <w:proofErr w:type="spellEnd"/>
      <w:r w:rsidRPr="006561C5">
        <w:rPr>
          <w:rFonts w:ascii="Times New Roman" w:hAnsi="Times New Roman" w:cs="Times New Roman"/>
          <w:szCs w:val="22"/>
          <w:lang w:val="fr-FR"/>
        </w:rPr>
        <w:t xml:space="preserve"> </w:t>
      </w:r>
      <w:r w:rsidRPr="006561C5">
        <w:rPr>
          <w:rFonts w:ascii="Times New Roman" w:hAnsi="Times New Roman" w:cs="Times New Roman"/>
          <w:iCs/>
          <w:szCs w:val="22"/>
          <w:lang w:val="fr-FR"/>
        </w:rPr>
        <w:t>18/2017 ”</w:t>
      </w:r>
      <w:proofErr w:type="spellStart"/>
      <w:r w:rsidRPr="006561C5">
        <w:rPr>
          <w:rFonts w:ascii="Times New Roman" w:hAnsi="Times New Roman" w:cs="Times New Roman"/>
          <w:iCs/>
          <w:szCs w:val="22"/>
          <w:lang w:val="fr-FR"/>
        </w:rPr>
        <w:t>Për</w:t>
      </w:r>
      <w:proofErr w:type="spellEnd"/>
      <w:r w:rsidRPr="006561C5">
        <w:rPr>
          <w:rFonts w:ascii="Times New Roman" w:hAnsi="Times New Roman" w:cs="Times New Roman"/>
          <w:iCs/>
          <w:szCs w:val="22"/>
          <w:lang w:val="fr-FR"/>
        </w:rPr>
        <w:t xml:space="preserve"> të </w:t>
      </w:r>
      <w:proofErr w:type="spellStart"/>
      <w:r w:rsidRPr="006561C5">
        <w:rPr>
          <w:rFonts w:ascii="Times New Roman" w:hAnsi="Times New Roman" w:cs="Times New Roman"/>
          <w:iCs/>
          <w:szCs w:val="22"/>
          <w:lang w:val="fr-FR"/>
        </w:rPr>
        <w:t>drejtat</w:t>
      </w:r>
      <w:proofErr w:type="spellEnd"/>
      <w:r w:rsidRPr="006561C5">
        <w:rPr>
          <w:rFonts w:ascii="Times New Roman" w:hAnsi="Times New Roman" w:cs="Times New Roman"/>
          <w:iCs/>
          <w:szCs w:val="22"/>
          <w:lang w:val="fr-FR"/>
        </w:rPr>
        <w:t xml:space="preserve"> dhe </w:t>
      </w:r>
      <w:proofErr w:type="spellStart"/>
      <w:r w:rsidRPr="006561C5">
        <w:rPr>
          <w:rFonts w:ascii="Times New Roman" w:hAnsi="Times New Roman" w:cs="Times New Roman"/>
          <w:iCs/>
          <w:szCs w:val="22"/>
          <w:lang w:val="fr-FR"/>
        </w:rPr>
        <w:t>Mbrojtjen</w:t>
      </w:r>
      <w:proofErr w:type="spellEnd"/>
      <w:r w:rsidRPr="006561C5">
        <w:rPr>
          <w:rFonts w:ascii="Times New Roman" w:hAnsi="Times New Roman" w:cs="Times New Roman"/>
          <w:iCs/>
          <w:szCs w:val="22"/>
          <w:lang w:val="fr-FR"/>
        </w:rPr>
        <w:t xml:space="preserve"> e </w:t>
      </w:r>
      <w:proofErr w:type="spellStart"/>
      <w:r w:rsidRPr="006561C5">
        <w:rPr>
          <w:rFonts w:ascii="Times New Roman" w:hAnsi="Times New Roman" w:cs="Times New Roman"/>
          <w:iCs/>
          <w:szCs w:val="22"/>
          <w:lang w:val="fr-FR"/>
        </w:rPr>
        <w:t>Fëmijës</w:t>
      </w:r>
      <w:proofErr w:type="spellEnd"/>
      <w:r w:rsidRPr="006561C5">
        <w:rPr>
          <w:rFonts w:ascii="Times New Roman" w:hAnsi="Times New Roman" w:cs="Times New Roman"/>
          <w:iCs/>
          <w:szCs w:val="22"/>
          <w:lang w:val="fr-FR"/>
        </w:rPr>
        <w:t>”;</w:t>
      </w:r>
    </w:p>
    <w:p w14:paraId="7E99ACF7" w14:textId="3D64926F" w:rsidR="00291B83" w:rsidRPr="006561C5" w:rsidRDefault="00291B83" w:rsidP="00291B83">
      <w:pPr>
        <w:numPr>
          <w:ilvl w:val="0"/>
          <w:numId w:val="15"/>
        </w:numPr>
        <w:rPr>
          <w:rFonts w:ascii="Times New Roman" w:hAnsi="Times New Roman" w:cs="Times New Roman"/>
          <w:iCs/>
          <w:szCs w:val="22"/>
          <w:lang w:val="fr-FR"/>
        </w:rPr>
      </w:pPr>
      <w:proofErr w:type="spellStart"/>
      <w:r w:rsidRPr="006561C5">
        <w:rPr>
          <w:rFonts w:ascii="Times New Roman" w:hAnsi="Times New Roman" w:cs="Times New Roman"/>
          <w:iCs/>
          <w:szCs w:val="22"/>
          <w:lang w:val="fr-FR"/>
        </w:rPr>
        <w:t>Ligji</w:t>
      </w:r>
      <w:proofErr w:type="spellEnd"/>
      <w:r w:rsidRPr="006561C5">
        <w:rPr>
          <w:rFonts w:ascii="Times New Roman" w:hAnsi="Times New Roman" w:cs="Times New Roman"/>
          <w:iCs/>
          <w:szCs w:val="22"/>
          <w:lang w:val="fr-FR"/>
        </w:rPr>
        <w:t xml:space="preserve"> nr.9970 </w:t>
      </w:r>
      <w:proofErr w:type="spellStart"/>
      <w:r w:rsidRPr="006561C5">
        <w:rPr>
          <w:rFonts w:ascii="Times New Roman" w:hAnsi="Times New Roman" w:cs="Times New Roman"/>
          <w:iCs/>
          <w:szCs w:val="22"/>
          <w:lang w:val="fr-FR"/>
        </w:rPr>
        <w:t>datë</w:t>
      </w:r>
      <w:proofErr w:type="spellEnd"/>
      <w:r w:rsidRPr="006561C5">
        <w:rPr>
          <w:rFonts w:ascii="Times New Roman" w:hAnsi="Times New Roman" w:cs="Times New Roman"/>
          <w:iCs/>
          <w:szCs w:val="22"/>
          <w:lang w:val="fr-FR"/>
        </w:rPr>
        <w:t xml:space="preserve"> 24.07.2008 “</w:t>
      </w:r>
      <w:proofErr w:type="spellStart"/>
      <w:r w:rsidRPr="006561C5">
        <w:rPr>
          <w:rFonts w:ascii="Times New Roman" w:hAnsi="Times New Roman" w:cs="Times New Roman"/>
          <w:iCs/>
          <w:szCs w:val="22"/>
          <w:lang w:val="fr-FR"/>
        </w:rPr>
        <w:t>Për</w:t>
      </w:r>
      <w:proofErr w:type="spellEnd"/>
      <w:r w:rsidRPr="006561C5">
        <w:rPr>
          <w:rFonts w:ascii="Times New Roman" w:hAnsi="Times New Roman" w:cs="Times New Roman"/>
          <w:iCs/>
          <w:szCs w:val="22"/>
          <w:lang w:val="fr-FR"/>
        </w:rPr>
        <w:t xml:space="preserve"> </w:t>
      </w:r>
      <w:proofErr w:type="spellStart"/>
      <w:r w:rsidRPr="006561C5">
        <w:rPr>
          <w:rFonts w:ascii="Times New Roman" w:hAnsi="Times New Roman" w:cs="Times New Roman"/>
          <w:iCs/>
          <w:szCs w:val="22"/>
          <w:lang w:val="fr-FR"/>
        </w:rPr>
        <w:t>barazinë</w:t>
      </w:r>
      <w:proofErr w:type="spellEnd"/>
      <w:r w:rsidRPr="006561C5">
        <w:rPr>
          <w:rFonts w:ascii="Times New Roman" w:hAnsi="Times New Roman" w:cs="Times New Roman"/>
          <w:iCs/>
          <w:szCs w:val="22"/>
          <w:lang w:val="fr-FR"/>
        </w:rPr>
        <w:t xml:space="preserve"> </w:t>
      </w:r>
      <w:proofErr w:type="spellStart"/>
      <w:r w:rsidRPr="006561C5">
        <w:rPr>
          <w:rFonts w:ascii="Times New Roman" w:hAnsi="Times New Roman" w:cs="Times New Roman"/>
          <w:iCs/>
          <w:szCs w:val="22"/>
          <w:lang w:val="fr-FR"/>
        </w:rPr>
        <w:t>gjinore</w:t>
      </w:r>
      <w:proofErr w:type="spellEnd"/>
      <w:r w:rsidRPr="006561C5">
        <w:rPr>
          <w:rFonts w:ascii="Times New Roman" w:hAnsi="Times New Roman" w:cs="Times New Roman"/>
          <w:iCs/>
          <w:szCs w:val="22"/>
          <w:lang w:val="fr-FR"/>
        </w:rPr>
        <w:t xml:space="preserve"> </w:t>
      </w:r>
      <w:proofErr w:type="spellStart"/>
      <w:r w:rsidRPr="006561C5">
        <w:rPr>
          <w:rFonts w:ascii="Times New Roman" w:hAnsi="Times New Roman" w:cs="Times New Roman"/>
          <w:iCs/>
          <w:szCs w:val="22"/>
          <w:lang w:val="fr-FR"/>
        </w:rPr>
        <w:t>në</w:t>
      </w:r>
      <w:proofErr w:type="spellEnd"/>
      <w:r w:rsidRPr="006561C5">
        <w:rPr>
          <w:rFonts w:ascii="Times New Roman" w:hAnsi="Times New Roman" w:cs="Times New Roman"/>
          <w:iCs/>
          <w:szCs w:val="22"/>
          <w:lang w:val="fr-FR"/>
        </w:rPr>
        <w:t xml:space="preserve"> </w:t>
      </w:r>
      <w:proofErr w:type="spellStart"/>
      <w:r w:rsidRPr="006561C5">
        <w:rPr>
          <w:rFonts w:ascii="Times New Roman" w:hAnsi="Times New Roman" w:cs="Times New Roman"/>
          <w:iCs/>
          <w:szCs w:val="22"/>
          <w:lang w:val="fr-FR"/>
        </w:rPr>
        <w:t>shoqëri</w:t>
      </w:r>
      <w:proofErr w:type="spellEnd"/>
      <w:r w:rsidRPr="006561C5">
        <w:rPr>
          <w:rFonts w:ascii="Times New Roman" w:hAnsi="Times New Roman" w:cs="Times New Roman"/>
          <w:iCs/>
          <w:szCs w:val="22"/>
          <w:lang w:val="fr-FR"/>
        </w:rPr>
        <w:t>”; </w:t>
      </w:r>
    </w:p>
    <w:p w14:paraId="688D8600" w14:textId="4A19A46F" w:rsidR="00291B83" w:rsidRPr="006561C5" w:rsidRDefault="00291B83" w:rsidP="00291B83">
      <w:pPr>
        <w:numPr>
          <w:ilvl w:val="0"/>
          <w:numId w:val="15"/>
        </w:numPr>
        <w:rPr>
          <w:rFonts w:ascii="Times New Roman" w:hAnsi="Times New Roman" w:cs="Times New Roman"/>
          <w:iCs/>
          <w:szCs w:val="22"/>
          <w:lang w:val="fr-FR"/>
        </w:rPr>
      </w:pPr>
      <w:proofErr w:type="spellStart"/>
      <w:r w:rsidRPr="006561C5">
        <w:rPr>
          <w:rFonts w:ascii="Times New Roman" w:hAnsi="Times New Roman" w:cs="Times New Roman"/>
          <w:iCs/>
          <w:szCs w:val="22"/>
          <w:lang w:val="fr-FR"/>
        </w:rPr>
        <w:t>Ligji</w:t>
      </w:r>
      <w:proofErr w:type="spellEnd"/>
      <w:r w:rsidRPr="006561C5">
        <w:rPr>
          <w:rFonts w:ascii="Times New Roman" w:hAnsi="Times New Roman" w:cs="Times New Roman"/>
          <w:iCs/>
          <w:szCs w:val="22"/>
          <w:lang w:val="fr-FR"/>
        </w:rPr>
        <w:t xml:space="preserve"> nr. 221 </w:t>
      </w:r>
      <w:proofErr w:type="spellStart"/>
      <w:r w:rsidRPr="006561C5">
        <w:rPr>
          <w:rFonts w:ascii="Times New Roman" w:hAnsi="Times New Roman" w:cs="Times New Roman"/>
          <w:iCs/>
          <w:szCs w:val="22"/>
          <w:lang w:val="fr-FR"/>
        </w:rPr>
        <w:t>datë</w:t>
      </w:r>
      <w:proofErr w:type="spellEnd"/>
      <w:r w:rsidRPr="006561C5">
        <w:rPr>
          <w:rFonts w:ascii="Times New Roman" w:hAnsi="Times New Roman" w:cs="Times New Roman"/>
          <w:iCs/>
          <w:szCs w:val="22"/>
          <w:lang w:val="fr-FR"/>
        </w:rPr>
        <w:t xml:space="preserve"> 04.02.2010 “</w:t>
      </w:r>
      <w:proofErr w:type="spellStart"/>
      <w:r w:rsidRPr="006561C5">
        <w:rPr>
          <w:rFonts w:ascii="Times New Roman" w:hAnsi="Times New Roman" w:cs="Times New Roman"/>
          <w:iCs/>
          <w:szCs w:val="22"/>
          <w:lang w:val="fr-FR"/>
        </w:rPr>
        <w:t>Për</w:t>
      </w:r>
      <w:proofErr w:type="spellEnd"/>
      <w:r w:rsidRPr="006561C5">
        <w:rPr>
          <w:rFonts w:ascii="Times New Roman" w:hAnsi="Times New Roman" w:cs="Times New Roman"/>
          <w:iCs/>
          <w:szCs w:val="22"/>
          <w:lang w:val="fr-FR"/>
        </w:rPr>
        <w:t xml:space="preserve"> </w:t>
      </w:r>
      <w:proofErr w:type="spellStart"/>
      <w:r w:rsidRPr="006561C5">
        <w:rPr>
          <w:rFonts w:ascii="Times New Roman" w:hAnsi="Times New Roman" w:cs="Times New Roman"/>
          <w:iCs/>
          <w:szCs w:val="22"/>
          <w:lang w:val="fr-FR"/>
        </w:rPr>
        <w:t>mbrojtjen</w:t>
      </w:r>
      <w:proofErr w:type="spellEnd"/>
      <w:r w:rsidRPr="006561C5">
        <w:rPr>
          <w:rFonts w:ascii="Times New Roman" w:hAnsi="Times New Roman" w:cs="Times New Roman"/>
          <w:iCs/>
          <w:szCs w:val="22"/>
          <w:lang w:val="fr-FR"/>
        </w:rPr>
        <w:t xml:space="preserve"> </w:t>
      </w:r>
      <w:proofErr w:type="spellStart"/>
      <w:r w:rsidRPr="006561C5">
        <w:rPr>
          <w:rFonts w:ascii="Times New Roman" w:hAnsi="Times New Roman" w:cs="Times New Roman"/>
          <w:iCs/>
          <w:szCs w:val="22"/>
          <w:lang w:val="fr-FR"/>
        </w:rPr>
        <w:t>nga</w:t>
      </w:r>
      <w:proofErr w:type="spellEnd"/>
      <w:r w:rsidRPr="006561C5">
        <w:rPr>
          <w:rFonts w:ascii="Times New Roman" w:hAnsi="Times New Roman" w:cs="Times New Roman"/>
          <w:iCs/>
          <w:szCs w:val="22"/>
          <w:lang w:val="fr-FR"/>
        </w:rPr>
        <w:t xml:space="preserve"> </w:t>
      </w:r>
      <w:proofErr w:type="spellStart"/>
      <w:r w:rsidRPr="006561C5">
        <w:rPr>
          <w:rFonts w:ascii="Times New Roman" w:hAnsi="Times New Roman" w:cs="Times New Roman"/>
          <w:iCs/>
          <w:szCs w:val="22"/>
          <w:lang w:val="fr-FR"/>
        </w:rPr>
        <w:t>diskriminimi</w:t>
      </w:r>
      <w:proofErr w:type="spellEnd"/>
      <w:r w:rsidRPr="006561C5">
        <w:rPr>
          <w:rFonts w:ascii="Times New Roman" w:hAnsi="Times New Roman" w:cs="Times New Roman"/>
          <w:iCs/>
          <w:szCs w:val="22"/>
          <w:lang w:val="fr-FR"/>
        </w:rPr>
        <w:t xml:space="preserve">”, i </w:t>
      </w:r>
      <w:proofErr w:type="spellStart"/>
      <w:r w:rsidRPr="006561C5">
        <w:rPr>
          <w:rFonts w:ascii="Times New Roman" w:hAnsi="Times New Roman" w:cs="Times New Roman"/>
          <w:iCs/>
          <w:szCs w:val="22"/>
          <w:lang w:val="fr-FR"/>
        </w:rPr>
        <w:t>ndryshuar</w:t>
      </w:r>
      <w:proofErr w:type="spellEnd"/>
      <w:r w:rsidRPr="006561C5">
        <w:rPr>
          <w:rFonts w:ascii="Times New Roman" w:hAnsi="Times New Roman" w:cs="Times New Roman"/>
          <w:iCs/>
          <w:szCs w:val="22"/>
          <w:lang w:val="fr-FR"/>
        </w:rPr>
        <w:t> ;</w:t>
      </w:r>
    </w:p>
    <w:p w14:paraId="185A9B06" w14:textId="77777777" w:rsidR="00291B83" w:rsidRPr="006561C5" w:rsidRDefault="00291B83" w:rsidP="00291B83">
      <w:pPr>
        <w:numPr>
          <w:ilvl w:val="0"/>
          <w:numId w:val="15"/>
        </w:numPr>
        <w:rPr>
          <w:rFonts w:ascii="Times New Roman" w:hAnsi="Times New Roman" w:cs="Times New Roman"/>
          <w:iCs/>
          <w:szCs w:val="22"/>
          <w:lang w:val="fr-FR"/>
        </w:rPr>
      </w:pPr>
      <w:proofErr w:type="spellStart"/>
      <w:r w:rsidRPr="006561C5">
        <w:rPr>
          <w:rFonts w:ascii="Times New Roman" w:hAnsi="Times New Roman" w:cs="Times New Roman"/>
          <w:iCs/>
          <w:szCs w:val="22"/>
          <w:lang w:val="fr-FR"/>
        </w:rPr>
        <w:t>Ligji</w:t>
      </w:r>
      <w:proofErr w:type="spellEnd"/>
      <w:r w:rsidRPr="006561C5">
        <w:rPr>
          <w:rFonts w:ascii="Times New Roman" w:hAnsi="Times New Roman" w:cs="Times New Roman"/>
          <w:iCs/>
          <w:szCs w:val="22"/>
          <w:lang w:val="fr-FR"/>
        </w:rPr>
        <w:t xml:space="preserve"> nr. 139/2015 “</w:t>
      </w:r>
      <w:proofErr w:type="spellStart"/>
      <w:r w:rsidRPr="006561C5">
        <w:rPr>
          <w:rFonts w:ascii="Times New Roman" w:hAnsi="Times New Roman" w:cs="Times New Roman"/>
          <w:iCs/>
          <w:szCs w:val="22"/>
          <w:lang w:val="fr-FR"/>
        </w:rPr>
        <w:t>Për</w:t>
      </w:r>
      <w:proofErr w:type="spellEnd"/>
      <w:r w:rsidRPr="006561C5">
        <w:rPr>
          <w:rFonts w:ascii="Times New Roman" w:hAnsi="Times New Roman" w:cs="Times New Roman"/>
          <w:iCs/>
          <w:szCs w:val="22"/>
          <w:lang w:val="fr-FR"/>
        </w:rPr>
        <w:t xml:space="preserve"> </w:t>
      </w:r>
      <w:proofErr w:type="spellStart"/>
      <w:r w:rsidRPr="006561C5">
        <w:rPr>
          <w:rFonts w:ascii="Times New Roman" w:hAnsi="Times New Roman" w:cs="Times New Roman"/>
          <w:iCs/>
          <w:szCs w:val="22"/>
          <w:lang w:val="fr-FR"/>
        </w:rPr>
        <w:t>vetëqeverisjen</w:t>
      </w:r>
      <w:proofErr w:type="spellEnd"/>
      <w:r w:rsidRPr="006561C5">
        <w:rPr>
          <w:rFonts w:ascii="Times New Roman" w:hAnsi="Times New Roman" w:cs="Times New Roman"/>
          <w:iCs/>
          <w:szCs w:val="22"/>
          <w:lang w:val="fr-FR"/>
        </w:rPr>
        <w:t xml:space="preserve"> vendore”;</w:t>
      </w:r>
    </w:p>
    <w:p w14:paraId="66F9F3AB" w14:textId="56528902" w:rsidR="00291B83" w:rsidRPr="006561C5" w:rsidRDefault="00291B83" w:rsidP="00291B83">
      <w:pPr>
        <w:numPr>
          <w:ilvl w:val="0"/>
          <w:numId w:val="15"/>
        </w:numPr>
        <w:rPr>
          <w:rFonts w:ascii="Times New Roman" w:hAnsi="Times New Roman" w:cs="Times New Roman"/>
          <w:iCs/>
          <w:szCs w:val="22"/>
          <w:lang w:val="fr-FR"/>
        </w:rPr>
      </w:pPr>
      <w:proofErr w:type="spellStart"/>
      <w:r w:rsidRPr="006561C5">
        <w:rPr>
          <w:rFonts w:ascii="Times New Roman" w:hAnsi="Times New Roman" w:cs="Times New Roman"/>
          <w:iCs/>
          <w:szCs w:val="22"/>
          <w:lang w:val="fr-FR"/>
        </w:rPr>
        <w:t>Ligji</w:t>
      </w:r>
      <w:proofErr w:type="spellEnd"/>
      <w:r w:rsidRPr="006561C5">
        <w:rPr>
          <w:rFonts w:ascii="Times New Roman" w:hAnsi="Times New Roman" w:cs="Times New Roman"/>
          <w:iCs/>
          <w:szCs w:val="22"/>
          <w:lang w:val="fr-FR"/>
        </w:rPr>
        <w:t xml:space="preserve"> 15/2019 “</w:t>
      </w:r>
      <w:proofErr w:type="spellStart"/>
      <w:r w:rsidRPr="006561C5">
        <w:rPr>
          <w:rFonts w:ascii="Times New Roman" w:hAnsi="Times New Roman" w:cs="Times New Roman"/>
          <w:iCs/>
          <w:szCs w:val="22"/>
          <w:lang w:val="fr-FR"/>
        </w:rPr>
        <w:t>Për</w:t>
      </w:r>
      <w:proofErr w:type="spellEnd"/>
      <w:r w:rsidRPr="006561C5">
        <w:rPr>
          <w:rFonts w:ascii="Times New Roman" w:hAnsi="Times New Roman" w:cs="Times New Roman"/>
          <w:iCs/>
          <w:szCs w:val="22"/>
          <w:lang w:val="fr-FR"/>
        </w:rPr>
        <w:t xml:space="preserve"> </w:t>
      </w:r>
      <w:proofErr w:type="spellStart"/>
      <w:r w:rsidRPr="006561C5">
        <w:rPr>
          <w:rFonts w:ascii="Times New Roman" w:hAnsi="Times New Roman" w:cs="Times New Roman"/>
          <w:iCs/>
          <w:szCs w:val="22"/>
          <w:lang w:val="fr-FR"/>
        </w:rPr>
        <w:t>nxitjen</w:t>
      </w:r>
      <w:proofErr w:type="spellEnd"/>
      <w:r w:rsidRPr="006561C5">
        <w:rPr>
          <w:rFonts w:ascii="Times New Roman" w:hAnsi="Times New Roman" w:cs="Times New Roman"/>
          <w:iCs/>
          <w:szCs w:val="22"/>
          <w:lang w:val="fr-FR"/>
        </w:rPr>
        <w:t xml:space="preserve"> e </w:t>
      </w:r>
      <w:proofErr w:type="spellStart"/>
      <w:r w:rsidRPr="006561C5">
        <w:rPr>
          <w:rFonts w:ascii="Times New Roman" w:hAnsi="Times New Roman" w:cs="Times New Roman"/>
          <w:iCs/>
          <w:szCs w:val="22"/>
          <w:lang w:val="fr-FR"/>
        </w:rPr>
        <w:t>punësimit</w:t>
      </w:r>
      <w:proofErr w:type="spellEnd"/>
      <w:r w:rsidRPr="006561C5">
        <w:rPr>
          <w:rFonts w:ascii="Times New Roman" w:hAnsi="Times New Roman" w:cs="Times New Roman"/>
          <w:iCs/>
          <w:szCs w:val="22"/>
          <w:lang w:val="fr-FR"/>
        </w:rPr>
        <w:t>”;</w:t>
      </w:r>
    </w:p>
    <w:p w14:paraId="1E05D3B2" w14:textId="53769DB2"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iCs/>
          <w:szCs w:val="22"/>
          <w:lang w:val="fr-FR"/>
        </w:rPr>
        <w:t>Ligj</w:t>
      </w:r>
      <w:proofErr w:type="spellEnd"/>
      <w:r w:rsidRPr="006561C5">
        <w:rPr>
          <w:rFonts w:ascii="Times New Roman" w:hAnsi="Times New Roman" w:cs="Times New Roman"/>
          <w:iCs/>
          <w:szCs w:val="22"/>
          <w:lang w:val="fr-FR"/>
        </w:rPr>
        <w:t xml:space="preserve"> nr. 7889, </w:t>
      </w:r>
      <w:proofErr w:type="spellStart"/>
      <w:r w:rsidRPr="006561C5">
        <w:rPr>
          <w:rFonts w:ascii="Times New Roman" w:hAnsi="Times New Roman" w:cs="Times New Roman"/>
          <w:iCs/>
          <w:szCs w:val="22"/>
          <w:lang w:val="fr-FR"/>
        </w:rPr>
        <w:t>datë</w:t>
      </w:r>
      <w:proofErr w:type="spellEnd"/>
      <w:r w:rsidRPr="006561C5">
        <w:rPr>
          <w:rFonts w:ascii="Times New Roman" w:hAnsi="Times New Roman" w:cs="Times New Roman"/>
          <w:iCs/>
          <w:szCs w:val="22"/>
          <w:lang w:val="fr-FR"/>
        </w:rPr>
        <w:t xml:space="preserve"> 14.12.1994 “</w:t>
      </w:r>
      <w:proofErr w:type="spellStart"/>
      <w:r w:rsidRPr="006561C5">
        <w:rPr>
          <w:rFonts w:ascii="Times New Roman" w:hAnsi="Times New Roman" w:cs="Times New Roman"/>
          <w:iCs/>
          <w:szCs w:val="22"/>
          <w:lang w:val="fr-FR"/>
        </w:rPr>
        <w:t>Për</w:t>
      </w:r>
      <w:proofErr w:type="spellEnd"/>
      <w:r w:rsidRPr="006561C5">
        <w:rPr>
          <w:rFonts w:ascii="Times New Roman" w:hAnsi="Times New Roman" w:cs="Times New Roman"/>
          <w:iCs/>
          <w:szCs w:val="22"/>
          <w:lang w:val="fr-FR"/>
        </w:rPr>
        <w:t xml:space="preserve"> </w:t>
      </w:r>
      <w:proofErr w:type="spellStart"/>
      <w:r w:rsidRPr="006561C5">
        <w:rPr>
          <w:rFonts w:ascii="Times New Roman" w:hAnsi="Times New Roman" w:cs="Times New Roman"/>
          <w:iCs/>
          <w:szCs w:val="22"/>
          <w:lang w:val="fr-FR"/>
        </w:rPr>
        <w:t>statusin</w:t>
      </w:r>
      <w:proofErr w:type="spellEnd"/>
      <w:r w:rsidRPr="006561C5">
        <w:rPr>
          <w:rFonts w:ascii="Times New Roman" w:hAnsi="Times New Roman" w:cs="Times New Roman"/>
          <w:iCs/>
          <w:szCs w:val="22"/>
          <w:lang w:val="fr-FR"/>
        </w:rPr>
        <w:t xml:space="preserve"> e </w:t>
      </w:r>
      <w:proofErr w:type="spellStart"/>
      <w:r w:rsidRPr="006561C5">
        <w:rPr>
          <w:rFonts w:ascii="Times New Roman" w:hAnsi="Times New Roman" w:cs="Times New Roman"/>
          <w:iCs/>
          <w:szCs w:val="22"/>
          <w:lang w:val="fr-FR"/>
        </w:rPr>
        <w:t>invalidit</w:t>
      </w:r>
      <w:proofErr w:type="spellEnd"/>
      <w:r w:rsidRPr="006561C5">
        <w:rPr>
          <w:rFonts w:ascii="Times New Roman" w:hAnsi="Times New Roman" w:cs="Times New Roman"/>
          <w:iCs/>
          <w:szCs w:val="22"/>
          <w:lang w:val="fr-FR"/>
        </w:rPr>
        <w:t xml:space="preserve">”, i </w:t>
      </w:r>
      <w:proofErr w:type="spellStart"/>
      <w:r w:rsidRPr="006561C5">
        <w:rPr>
          <w:rFonts w:ascii="Times New Roman" w:hAnsi="Times New Roman" w:cs="Times New Roman"/>
          <w:iCs/>
          <w:szCs w:val="22"/>
          <w:lang w:val="fr-FR"/>
        </w:rPr>
        <w:t>ndryshuar</w:t>
      </w:r>
      <w:proofErr w:type="spellEnd"/>
      <w:r w:rsidRPr="006561C5">
        <w:rPr>
          <w:rFonts w:ascii="Times New Roman" w:hAnsi="Times New Roman" w:cs="Times New Roman"/>
          <w:szCs w:val="22"/>
          <w:lang w:val="fr-FR"/>
        </w:rPr>
        <w:t>;</w:t>
      </w:r>
    </w:p>
    <w:p w14:paraId="60970EB5" w14:textId="13CEB503"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szCs w:val="22"/>
          <w:lang w:val="fr-FR"/>
        </w:rPr>
        <w:t>Ligj</w:t>
      </w:r>
      <w:proofErr w:type="spellEnd"/>
      <w:r w:rsidRPr="006561C5">
        <w:rPr>
          <w:rFonts w:ascii="Times New Roman" w:hAnsi="Times New Roman" w:cs="Times New Roman"/>
          <w:szCs w:val="22"/>
          <w:lang w:val="fr-FR"/>
        </w:rPr>
        <w:t xml:space="preserve"> nr. 8098, </w:t>
      </w:r>
      <w:proofErr w:type="spellStart"/>
      <w:r w:rsidRPr="006561C5">
        <w:rPr>
          <w:rFonts w:ascii="Times New Roman" w:hAnsi="Times New Roman" w:cs="Times New Roman"/>
          <w:szCs w:val="22"/>
          <w:lang w:val="fr-FR"/>
        </w:rPr>
        <w:t>datë</w:t>
      </w:r>
      <w:proofErr w:type="spellEnd"/>
      <w:r w:rsidRPr="006561C5">
        <w:rPr>
          <w:rFonts w:ascii="Times New Roman" w:hAnsi="Times New Roman" w:cs="Times New Roman"/>
          <w:szCs w:val="22"/>
          <w:lang w:val="fr-FR"/>
        </w:rPr>
        <w:t xml:space="preserve"> 28.03.1996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statusin</w:t>
      </w:r>
      <w:proofErr w:type="spellEnd"/>
      <w:r w:rsidRPr="006561C5">
        <w:rPr>
          <w:rFonts w:ascii="Times New Roman" w:hAnsi="Times New Roman" w:cs="Times New Roman"/>
          <w:szCs w:val="22"/>
          <w:lang w:val="fr-FR"/>
        </w:rPr>
        <w:t xml:space="preserve"> e të </w:t>
      </w:r>
      <w:proofErr w:type="spellStart"/>
      <w:r w:rsidRPr="006561C5">
        <w:rPr>
          <w:rFonts w:ascii="Times New Roman" w:hAnsi="Times New Roman" w:cs="Times New Roman"/>
          <w:szCs w:val="22"/>
          <w:lang w:val="fr-FR"/>
        </w:rPr>
        <w:t>verbrit</w:t>
      </w:r>
      <w:proofErr w:type="spellEnd"/>
      <w:r w:rsidRPr="006561C5">
        <w:rPr>
          <w:rFonts w:ascii="Times New Roman" w:hAnsi="Times New Roman" w:cs="Times New Roman"/>
          <w:szCs w:val="22"/>
          <w:lang w:val="fr-FR"/>
        </w:rPr>
        <w:t xml:space="preserve">”, i </w:t>
      </w:r>
      <w:proofErr w:type="spellStart"/>
      <w:r w:rsidRPr="006561C5">
        <w:rPr>
          <w:rFonts w:ascii="Times New Roman" w:hAnsi="Times New Roman" w:cs="Times New Roman"/>
          <w:szCs w:val="22"/>
          <w:lang w:val="fr-FR"/>
        </w:rPr>
        <w:t>ndryshuar</w:t>
      </w:r>
      <w:proofErr w:type="spellEnd"/>
      <w:r w:rsidRPr="006561C5">
        <w:rPr>
          <w:rFonts w:ascii="Times New Roman" w:hAnsi="Times New Roman" w:cs="Times New Roman"/>
          <w:szCs w:val="22"/>
          <w:lang w:val="fr-FR"/>
        </w:rPr>
        <w:t>;</w:t>
      </w:r>
    </w:p>
    <w:p w14:paraId="1E1C14B1" w14:textId="17CAC838"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szCs w:val="22"/>
          <w:lang w:val="fr-FR"/>
        </w:rPr>
        <w:t>Ligj</w:t>
      </w:r>
      <w:proofErr w:type="spellEnd"/>
      <w:r w:rsidRPr="006561C5">
        <w:rPr>
          <w:rFonts w:ascii="Times New Roman" w:hAnsi="Times New Roman" w:cs="Times New Roman"/>
          <w:szCs w:val="22"/>
          <w:lang w:val="fr-FR"/>
        </w:rPr>
        <w:t xml:space="preserve"> nr. 8626, </w:t>
      </w:r>
      <w:proofErr w:type="spellStart"/>
      <w:r w:rsidRPr="006561C5">
        <w:rPr>
          <w:rFonts w:ascii="Times New Roman" w:hAnsi="Times New Roman" w:cs="Times New Roman"/>
          <w:szCs w:val="22"/>
          <w:lang w:val="fr-FR"/>
        </w:rPr>
        <w:t>datë</w:t>
      </w:r>
      <w:proofErr w:type="spellEnd"/>
      <w:r w:rsidRPr="006561C5">
        <w:rPr>
          <w:rFonts w:ascii="Times New Roman" w:hAnsi="Times New Roman" w:cs="Times New Roman"/>
          <w:szCs w:val="22"/>
          <w:lang w:val="fr-FR"/>
        </w:rPr>
        <w:t xml:space="preserve"> 22.06.2000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statusin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invalidit</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paraplegjik</w:t>
      </w:r>
      <w:proofErr w:type="spellEnd"/>
      <w:r w:rsidRPr="006561C5">
        <w:rPr>
          <w:rFonts w:ascii="Times New Roman" w:hAnsi="Times New Roman" w:cs="Times New Roman"/>
          <w:szCs w:val="22"/>
          <w:lang w:val="fr-FR"/>
        </w:rPr>
        <w:t xml:space="preserve"> dhe </w:t>
      </w:r>
      <w:proofErr w:type="spellStart"/>
      <w:r w:rsidRPr="006561C5">
        <w:rPr>
          <w:rFonts w:ascii="Times New Roman" w:hAnsi="Times New Roman" w:cs="Times New Roman"/>
          <w:szCs w:val="22"/>
          <w:lang w:val="fr-FR"/>
        </w:rPr>
        <w:t>tetraplegjik</w:t>
      </w:r>
      <w:proofErr w:type="spellEnd"/>
      <w:r w:rsidRPr="006561C5">
        <w:rPr>
          <w:rFonts w:ascii="Times New Roman" w:hAnsi="Times New Roman" w:cs="Times New Roman"/>
          <w:szCs w:val="22"/>
          <w:lang w:val="fr-FR"/>
        </w:rPr>
        <w:t xml:space="preserve">”, i </w:t>
      </w:r>
      <w:proofErr w:type="spellStart"/>
      <w:r w:rsidRPr="006561C5">
        <w:rPr>
          <w:rFonts w:ascii="Times New Roman" w:hAnsi="Times New Roman" w:cs="Times New Roman"/>
          <w:szCs w:val="22"/>
          <w:lang w:val="fr-FR"/>
        </w:rPr>
        <w:t>ndryshuar</w:t>
      </w:r>
      <w:proofErr w:type="spellEnd"/>
      <w:r w:rsidRPr="006561C5">
        <w:rPr>
          <w:rFonts w:ascii="Times New Roman" w:hAnsi="Times New Roman" w:cs="Times New Roman"/>
          <w:szCs w:val="22"/>
          <w:lang w:val="fr-FR"/>
        </w:rPr>
        <w:t>;</w:t>
      </w:r>
    </w:p>
    <w:p w14:paraId="36528319" w14:textId="52478B24"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szCs w:val="22"/>
          <w:lang w:val="fr-FR"/>
        </w:rPr>
        <w:t>Ligj</w:t>
      </w:r>
      <w:proofErr w:type="spellEnd"/>
      <w:r w:rsidRPr="006561C5">
        <w:rPr>
          <w:rFonts w:ascii="Times New Roman" w:hAnsi="Times New Roman" w:cs="Times New Roman"/>
          <w:szCs w:val="22"/>
          <w:lang w:val="fr-FR"/>
        </w:rPr>
        <w:t xml:space="preserve"> Nr. 65/2016 </w:t>
      </w:r>
      <w:proofErr w:type="spellStart"/>
      <w:r w:rsidRPr="006561C5">
        <w:rPr>
          <w:rFonts w:ascii="Times New Roman" w:hAnsi="Times New Roman" w:cs="Times New Roman"/>
          <w:szCs w:val="22"/>
          <w:lang w:val="fr-FR"/>
        </w:rPr>
        <w:t>datë</w:t>
      </w:r>
      <w:proofErr w:type="spellEnd"/>
      <w:r w:rsidRPr="006561C5">
        <w:rPr>
          <w:rFonts w:ascii="Times New Roman" w:hAnsi="Times New Roman" w:cs="Times New Roman"/>
          <w:szCs w:val="22"/>
          <w:lang w:val="fr-FR"/>
        </w:rPr>
        <w:t xml:space="preserve"> 9.6.2016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ndërmarrjet</w:t>
      </w:r>
      <w:proofErr w:type="spellEnd"/>
      <w:r w:rsidRPr="006561C5">
        <w:rPr>
          <w:rFonts w:ascii="Times New Roman" w:hAnsi="Times New Roman" w:cs="Times New Roman"/>
          <w:szCs w:val="22"/>
          <w:lang w:val="fr-FR"/>
        </w:rPr>
        <w:t xml:space="preserve"> sociale </w:t>
      </w:r>
      <w:proofErr w:type="spellStart"/>
      <w:r w:rsidRPr="006561C5">
        <w:rPr>
          <w:rFonts w:ascii="Times New Roman" w:hAnsi="Times New Roman" w:cs="Times New Roman"/>
          <w:szCs w:val="22"/>
          <w:lang w:val="fr-FR"/>
        </w:rPr>
        <w:t>në</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Republikën</w:t>
      </w:r>
      <w:proofErr w:type="spellEnd"/>
      <w:r w:rsidRPr="006561C5">
        <w:rPr>
          <w:rFonts w:ascii="Times New Roman" w:hAnsi="Times New Roman" w:cs="Times New Roman"/>
          <w:szCs w:val="22"/>
          <w:lang w:val="fr-FR"/>
        </w:rPr>
        <w:t xml:space="preserve"> e </w:t>
      </w:r>
      <w:proofErr w:type="spellStart"/>
      <w:r w:rsidRPr="006561C5">
        <w:rPr>
          <w:rFonts w:ascii="Times New Roman" w:hAnsi="Times New Roman" w:cs="Times New Roman"/>
          <w:szCs w:val="22"/>
          <w:lang w:val="fr-FR"/>
        </w:rPr>
        <w:t>Shqipërisë</w:t>
      </w:r>
      <w:proofErr w:type="spellEnd"/>
      <w:r w:rsidRPr="006561C5">
        <w:rPr>
          <w:rFonts w:ascii="Times New Roman" w:hAnsi="Times New Roman" w:cs="Times New Roman"/>
          <w:szCs w:val="22"/>
          <w:lang w:val="fr-FR"/>
        </w:rPr>
        <w:t>”;</w:t>
      </w:r>
    </w:p>
    <w:p w14:paraId="167C23C9" w14:textId="0D33851F" w:rsidR="00291B83" w:rsidRPr="006561C5" w:rsidRDefault="00291B83" w:rsidP="00291B83">
      <w:pPr>
        <w:numPr>
          <w:ilvl w:val="0"/>
          <w:numId w:val="15"/>
        </w:numPr>
        <w:rPr>
          <w:rFonts w:ascii="Times New Roman" w:hAnsi="Times New Roman" w:cs="Times New Roman"/>
          <w:szCs w:val="22"/>
          <w:lang w:val="fr-FR"/>
        </w:rPr>
      </w:pPr>
      <w:proofErr w:type="spellStart"/>
      <w:r w:rsidRPr="006561C5">
        <w:rPr>
          <w:rFonts w:ascii="Times New Roman" w:hAnsi="Times New Roman" w:cs="Times New Roman"/>
          <w:szCs w:val="22"/>
          <w:lang w:val="fr-FR"/>
        </w:rPr>
        <w:t>Karta</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Europiane</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për</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Autonomi</w:t>
      </w:r>
      <w:proofErr w:type="spellEnd"/>
      <w:r w:rsidRPr="006561C5">
        <w:rPr>
          <w:rFonts w:ascii="Times New Roman" w:hAnsi="Times New Roman" w:cs="Times New Roman"/>
          <w:szCs w:val="22"/>
          <w:lang w:val="fr-FR"/>
        </w:rPr>
        <w:t xml:space="preserve"> </w:t>
      </w:r>
      <w:proofErr w:type="spellStart"/>
      <w:r w:rsidRPr="006561C5">
        <w:rPr>
          <w:rFonts w:ascii="Times New Roman" w:hAnsi="Times New Roman" w:cs="Times New Roman"/>
          <w:szCs w:val="22"/>
          <w:lang w:val="fr-FR"/>
        </w:rPr>
        <w:t>Lokale</w:t>
      </w:r>
      <w:proofErr w:type="spellEnd"/>
      <w:r w:rsidRPr="006561C5">
        <w:rPr>
          <w:rFonts w:ascii="Times New Roman" w:hAnsi="Times New Roman" w:cs="Times New Roman"/>
          <w:szCs w:val="22"/>
          <w:lang w:val="fr-FR"/>
        </w:rPr>
        <w:t>;</w:t>
      </w:r>
    </w:p>
    <w:p w14:paraId="413C66E2" w14:textId="0C869F07"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 597,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4.9.2019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përcaktimin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procedurave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dokumentacionit</w:t>
      </w:r>
      <w:proofErr w:type="spellEnd"/>
      <w:r w:rsidRPr="006561C5">
        <w:rPr>
          <w:rFonts w:ascii="Times New Roman" w:hAnsi="Times New Roman" w:cs="Times New Roman"/>
          <w:szCs w:val="22"/>
        </w:rPr>
        <w:t xml:space="preserve"> dhe të </w:t>
      </w:r>
      <w:proofErr w:type="spellStart"/>
      <w:r w:rsidRPr="006561C5">
        <w:rPr>
          <w:rFonts w:ascii="Times New Roman" w:hAnsi="Times New Roman" w:cs="Times New Roman"/>
          <w:szCs w:val="22"/>
        </w:rPr>
        <w:t>masës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mujore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përfitimit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ndihmës</w:t>
      </w:r>
      <w:proofErr w:type="spellEnd"/>
      <w:r w:rsidRPr="006561C5">
        <w:rPr>
          <w:rFonts w:ascii="Times New Roman" w:hAnsi="Times New Roman" w:cs="Times New Roman"/>
          <w:szCs w:val="22"/>
        </w:rPr>
        <w:t xml:space="preserve"> ekonomike dhe </w:t>
      </w:r>
      <w:proofErr w:type="spellStart"/>
      <w:r w:rsidRPr="006561C5">
        <w:rPr>
          <w:rFonts w:ascii="Times New Roman" w:hAnsi="Times New Roman" w:cs="Times New Roman"/>
          <w:szCs w:val="22"/>
        </w:rPr>
        <w:t>përdorimit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fondit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shtesë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mbi</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fondin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kushtëzuar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ndihmën</w:t>
      </w:r>
      <w:proofErr w:type="spellEnd"/>
      <w:r w:rsidRPr="006561C5">
        <w:rPr>
          <w:rFonts w:ascii="Times New Roman" w:hAnsi="Times New Roman" w:cs="Times New Roman"/>
          <w:szCs w:val="22"/>
        </w:rPr>
        <w:t xml:space="preserve"> ekonomike” (</w:t>
      </w:r>
      <w:proofErr w:type="spellStart"/>
      <w:r w:rsidRPr="006561C5">
        <w:rPr>
          <w:rFonts w:ascii="Times New Roman" w:hAnsi="Times New Roman" w:cs="Times New Roman"/>
          <w:szCs w:val="22"/>
        </w:rPr>
        <w:t>ndryshuar</w:t>
      </w:r>
      <w:proofErr w:type="spellEnd"/>
      <w:r w:rsidRPr="006561C5">
        <w:rPr>
          <w:rFonts w:ascii="Times New Roman" w:hAnsi="Times New Roman" w:cs="Times New Roman"/>
          <w:szCs w:val="22"/>
        </w:rPr>
        <w:t xml:space="preserve"> me </w:t>
      </w:r>
      <w:proofErr w:type="spellStart"/>
      <w:r w:rsidRPr="006561C5">
        <w:rPr>
          <w:rFonts w:ascii="Times New Roman" w:hAnsi="Times New Roman" w:cs="Times New Roman"/>
          <w:szCs w:val="22"/>
        </w:rPr>
        <w:t>vendimin</w:t>
      </w:r>
      <w:proofErr w:type="spellEnd"/>
      <w:r w:rsidRPr="006561C5">
        <w:rPr>
          <w:rFonts w:ascii="Times New Roman" w:hAnsi="Times New Roman" w:cs="Times New Roman"/>
          <w:szCs w:val="22"/>
        </w:rPr>
        <w:t xml:space="preserve"> nr. </w:t>
      </w:r>
      <w:r w:rsidRPr="006561C5">
        <w:rPr>
          <w:rFonts w:ascii="Times New Roman" w:hAnsi="Times New Roman" w:cs="Times New Roman"/>
          <w:szCs w:val="22"/>
          <w:lang w:val="sq-AL"/>
        </w:rPr>
        <w:t>85, datë 10.2.2021; nr. 868, datë 29.12.2021; nr. 617, datë 22.9.2022);</w:t>
      </w:r>
    </w:p>
    <w:p w14:paraId="4543CA5D" w14:textId="238F7BD4"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 182,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26.2.2020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përcaktimin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masës</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kritereve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procedurave</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dokumentacionit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vlerësimin</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përfitimin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pagesës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personat</w:t>
      </w:r>
      <w:proofErr w:type="spellEnd"/>
      <w:r w:rsidRPr="006561C5">
        <w:rPr>
          <w:rFonts w:ascii="Times New Roman" w:hAnsi="Times New Roman" w:cs="Times New Roman"/>
          <w:szCs w:val="22"/>
        </w:rPr>
        <w:t xml:space="preserve"> me </w:t>
      </w:r>
      <w:proofErr w:type="spellStart"/>
      <w:r w:rsidRPr="006561C5">
        <w:rPr>
          <w:rFonts w:ascii="Times New Roman" w:hAnsi="Times New Roman" w:cs="Times New Roman"/>
          <w:szCs w:val="22"/>
        </w:rPr>
        <w:t>aftësi</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kufizuara</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si</w:t>
      </w:r>
      <w:proofErr w:type="spellEnd"/>
      <w:r w:rsidRPr="006561C5">
        <w:rPr>
          <w:rFonts w:ascii="Times New Roman" w:hAnsi="Times New Roman" w:cs="Times New Roman"/>
          <w:szCs w:val="22"/>
        </w:rPr>
        <w:t xml:space="preserve"> dhe të </w:t>
      </w:r>
      <w:proofErr w:type="spellStart"/>
      <w:r w:rsidRPr="006561C5">
        <w:rPr>
          <w:rFonts w:ascii="Times New Roman" w:hAnsi="Times New Roman" w:cs="Times New Roman"/>
          <w:szCs w:val="22"/>
        </w:rPr>
        <w:t>ndihmësit</w:t>
      </w:r>
      <w:proofErr w:type="spellEnd"/>
      <w:r w:rsidRPr="006561C5">
        <w:rPr>
          <w:rFonts w:ascii="Times New Roman" w:hAnsi="Times New Roman" w:cs="Times New Roman"/>
          <w:szCs w:val="22"/>
        </w:rPr>
        <w:t xml:space="preserve"> personal” i </w:t>
      </w:r>
      <w:proofErr w:type="spellStart"/>
      <w:r w:rsidRPr="006561C5">
        <w:rPr>
          <w:rFonts w:ascii="Times New Roman" w:hAnsi="Times New Roman" w:cs="Times New Roman"/>
          <w:szCs w:val="22"/>
        </w:rPr>
        <w:t>ndryshuar</w:t>
      </w:r>
      <w:proofErr w:type="spellEnd"/>
      <w:r w:rsidRPr="006561C5">
        <w:rPr>
          <w:rFonts w:ascii="Times New Roman" w:hAnsi="Times New Roman" w:cs="Times New Roman"/>
          <w:szCs w:val="22"/>
        </w:rPr>
        <w:t>;</w:t>
      </w:r>
    </w:p>
    <w:p w14:paraId="54B71897" w14:textId="528E34E7"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 722,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11.11.2019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përcaktimin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masës</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kritereve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procedurave</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dokumentacionit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vlerësimin</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përfitimin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aftësisë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kufizuar</w:t>
      </w:r>
      <w:proofErr w:type="spellEnd"/>
      <w:r w:rsidRPr="006561C5">
        <w:rPr>
          <w:rFonts w:ascii="Times New Roman" w:hAnsi="Times New Roman" w:cs="Times New Roman"/>
          <w:szCs w:val="22"/>
        </w:rPr>
        <w:t xml:space="preserve"> e të </w:t>
      </w:r>
      <w:proofErr w:type="spellStart"/>
      <w:r w:rsidRPr="006561C5">
        <w:rPr>
          <w:rFonts w:ascii="Times New Roman" w:hAnsi="Times New Roman" w:cs="Times New Roman"/>
          <w:szCs w:val="22"/>
        </w:rPr>
        <w:t>ndihmësit</w:t>
      </w:r>
      <w:proofErr w:type="spellEnd"/>
      <w:r w:rsidRPr="006561C5">
        <w:rPr>
          <w:rFonts w:ascii="Times New Roman" w:hAnsi="Times New Roman" w:cs="Times New Roman"/>
          <w:szCs w:val="22"/>
        </w:rPr>
        <w:t xml:space="preserve"> personal, dhe të </w:t>
      </w:r>
      <w:proofErr w:type="spellStart"/>
      <w:r w:rsidRPr="006561C5">
        <w:rPr>
          <w:rFonts w:ascii="Times New Roman" w:hAnsi="Times New Roman" w:cs="Times New Roman"/>
          <w:szCs w:val="22"/>
        </w:rPr>
        <w:t>strukturave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përgjegjëse</w:t>
      </w:r>
      <w:proofErr w:type="spellEnd"/>
      <w:r w:rsidRPr="006561C5">
        <w:rPr>
          <w:rFonts w:ascii="Times New Roman" w:hAnsi="Times New Roman" w:cs="Times New Roman"/>
          <w:szCs w:val="22"/>
        </w:rPr>
        <w:t xml:space="preserve"> e të </w:t>
      </w:r>
      <w:proofErr w:type="spellStart"/>
      <w:r w:rsidRPr="006561C5">
        <w:rPr>
          <w:rFonts w:ascii="Times New Roman" w:hAnsi="Times New Roman" w:cs="Times New Roman"/>
          <w:szCs w:val="22"/>
        </w:rPr>
        <w:t>detyrave</w:t>
      </w:r>
      <w:proofErr w:type="spellEnd"/>
      <w:r w:rsidRPr="006561C5">
        <w:rPr>
          <w:rFonts w:ascii="Times New Roman" w:hAnsi="Times New Roman" w:cs="Times New Roman"/>
          <w:szCs w:val="22"/>
        </w:rPr>
        <w:t xml:space="preserve"> të tyre”  i </w:t>
      </w:r>
      <w:proofErr w:type="spellStart"/>
      <w:r w:rsidRPr="006561C5">
        <w:rPr>
          <w:rFonts w:ascii="Times New Roman" w:hAnsi="Times New Roman" w:cs="Times New Roman"/>
          <w:szCs w:val="22"/>
        </w:rPr>
        <w:t>ndryshuar</w:t>
      </w:r>
      <w:proofErr w:type="spellEnd"/>
      <w:r w:rsidRPr="006561C5">
        <w:rPr>
          <w:rFonts w:ascii="Times New Roman" w:hAnsi="Times New Roman" w:cs="Times New Roman"/>
          <w:szCs w:val="22"/>
        </w:rPr>
        <w:t>;</w:t>
      </w:r>
    </w:p>
    <w:p w14:paraId="0F374BA6" w14:textId="3490674C"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nr.31,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20.1.2001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përfitimet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nga</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statusi</w:t>
      </w:r>
      <w:proofErr w:type="spellEnd"/>
      <w:r w:rsidRPr="006561C5">
        <w:rPr>
          <w:rFonts w:ascii="Times New Roman" w:hAnsi="Times New Roman" w:cs="Times New Roman"/>
          <w:szCs w:val="22"/>
        </w:rPr>
        <w:t xml:space="preserve"> i </w:t>
      </w:r>
      <w:proofErr w:type="spellStart"/>
      <w:r w:rsidRPr="006561C5">
        <w:rPr>
          <w:rFonts w:ascii="Times New Roman" w:hAnsi="Times New Roman" w:cs="Times New Roman"/>
          <w:szCs w:val="22"/>
        </w:rPr>
        <w:t>invalidit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paraplegjik</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tetraplegjik</w:t>
      </w:r>
      <w:proofErr w:type="spellEnd"/>
      <w:r w:rsidRPr="006561C5">
        <w:rPr>
          <w:rFonts w:ascii="Times New Roman" w:hAnsi="Times New Roman" w:cs="Times New Roman"/>
          <w:szCs w:val="22"/>
        </w:rPr>
        <w:t xml:space="preserve">”, i </w:t>
      </w:r>
      <w:proofErr w:type="spellStart"/>
      <w:r w:rsidRPr="006561C5">
        <w:rPr>
          <w:rFonts w:ascii="Times New Roman" w:hAnsi="Times New Roman" w:cs="Times New Roman"/>
          <w:szCs w:val="22"/>
        </w:rPr>
        <w:t>ndryshuar</w:t>
      </w:r>
      <w:proofErr w:type="spellEnd"/>
      <w:r w:rsidRPr="006561C5">
        <w:rPr>
          <w:rFonts w:ascii="Times New Roman" w:hAnsi="Times New Roman" w:cs="Times New Roman"/>
          <w:szCs w:val="22"/>
        </w:rPr>
        <w:t>;</w:t>
      </w:r>
    </w:p>
    <w:p w14:paraId="575DDD45" w14:textId="22D79F3C"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nr.78,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7.2.2007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masën</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kriteret</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procedurat</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përfitimit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një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pakete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veçantë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higjieno-sanitare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invalidët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paraplegjikë</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tetraplegjikë</w:t>
      </w:r>
      <w:proofErr w:type="spellEnd"/>
      <w:r w:rsidRPr="006561C5">
        <w:rPr>
          <w:rFonts w:ascii="Times New Roman" w:hAnsi="Times New Roman" w:cs="Times New Roman"/>
          <w:szCs w:val="22"/>
        </w:rPr>
        <w:t xml:space="preserve">”, i </w:t>
      </w:r>
      <w:proofErr w:type="spellStart"/>
      <w:r w:rsidRPr="006561C5">
        <w:rPr>
          <w:rFonts w:ascii="Times New Roman" w:hAnsi="Times New Roman" w:cs="Times New Roman"/>
          <w:szCs w:val="22"/>
        </w:rPr>
        <w:t>ndryshuar</w:t>
      </w:r>
      <w:proofErr w:type="spellEnd"/>
      <w:r w:rsidRPr="006561C5">
        <w:rPr>
          <w:rFonts w:ascii="Times New Roman" w:hAnsi="Times New Roman" w:cs="Times New Roman"/>
          <w:szCs w:val="22"/>
        </w:rPr>
        <w:t>;</w:t>
      </w:r>
    </w:p>
    <w:p w14:paraId="46FE8239" w14:textId="4504855B"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nr.869,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18.6.2008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zbatimin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ligjit</w:t>
      </w:r>
      <w:proofErr w:type="spellEnd"/>
      <w:r w:rsidRPr="006561C5">
        <w:rPr>
          <w:rFonts w:ascii="Times New Roman" w:hAnsi="Times New Roman" w:cs="Times New Roman"/>
          <w:szCs w:val="22"/>
        </w:rPr>
        <w:t xml:space="preserve"> nr.7889,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14.12.1994 “</w:t>
      </w:r>
      <w:proofErr w:type="spellStart"/>
      <w:r w:rsidRPr="006561C5">
        <w:rPr>
          <w:rFonts w:ascii="Times New Roman" w:hAnsi="Times New Roman" w:cs="Times New Roman"/>
          <w:szCs w:val="22"/>
        </w:rPr>
        <w:t>statusi</w:t>
      </w:r>
      <w:proofErr w:type="spellEnd"/>
      <w:r w:rsidRPr="006561C5">
        <w:rPr>
          <w:rFonts w:ascii="Times New Roman" w:hAnsi="Times New Roman" w:cs="Times New Roman"/>
          <w:szCs w:val="22"/>
        </w:rPr>
        <w:t xml:space="preserve"> i </w:t>
      </w:r>
      <w:proofErr w:type="spellStart"/>
      <w:r w:rsidRPr="006561C5">
        <w:rPr>
          <w:rFonts w:ascii="Times New Roman" w:hAnsi="Times New Roman" w:cs="Times New Roman"/>
          <w:szCs w:val="22"/>
        </w:rPr>
        <w:t>invalidit</w:t>
      </w:r>
      <w:proofErr w:type="spellEnd"/>
      <w:r w:rsidRPr="006561C5">
        <w:rPr>
          <w:rFonts w:ascii="Times New Roman" w:hAnsi="Times New Roman" w:cs="Times New Roman"/>
          <w:szCs w:val="22"/>
        </w:rPr>
        <w:t xml:space="preserve">”, i </w:t>
      </w:r>
      <w:proofErr w:type="spellStart"/>
      <w:r w:rsidRPr="006561C5">
        <w:rPr>
          <w:rFonts w:ascii="Times New Roman" w:hAnsi="Times New Roman" w:cs="Times New Roman"/>
          <w:szCs w:val="22"/>
        </w:rPr>
        <w:t>ndryshuar</w:t>
      </w:r>
      <w:proofErr w:type="spellEnd"/>
      <w:r w:rsidRPr="006561C5">
        <w:rPr>
          <w:rFonts w:ascii="Times New Roman" w:hAnsi="Times New Roman" w:cs="Times New Roman"/>
          <w:szCs w:val="22"/>
        </w:rPr>
        <w:t>;</w:t>
      </w:r>
    </w:p>
    <w:p w14:paraId="2CD69C99" w14:textId="597CD59D"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VKM nr.277 date 18.6.1997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përfitimet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nga</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statusi</w:t>
      </w:r>
      <w:proofErr w:type="spellEnd"/>
      <w:r w:rsidRPr="006561C5">
        <w:rPr>
          <w:rFonts w:ascii="Times New Roman" w:hAnsi="Times New Roman" w:cs="Times New Roman"/>
          <w:szCs w:val="22"/>
        </w:rPr>
        <w:t xml:space="preserve"> i të </w:t>
      </w:r>
      <w:proofErr w:type="spellStart"/>
      <w:r w:rsidRPr="006561C5">
        <w:rPr>
          <w:rFonts w:ascii="Times New Roman" w:hAnsi="Times New Roman" w:cs="Times New Roman"/>
          <w:szCs w:val="22"/>
        </w:rPr>
        <w:t>verbërit</w:t>
      </w:r>
      <w:proofErr w:type="spellEnd"/>
      <w:r w:rsidRPr="006561C5">
        <w:rPr>
          <w:rFonts w:ascii="Times New Roman" w:hAnsi="Times New Roman" w:cs="Times New Roman"/>
          <w:szCs w:val="22"/>
        </w:rPr>
        <w:t>”;</w:t>
      </w:r>
    </w:p>
    <w:p w14:paraId="404275E5" w14:textId="251BD4E8" w:rsidR="00291B83" w:rsidRPr="006561C5" w:rsidRDefault="00291B83" w:rsidP="00291B83">
      <w:pPr>
        <w:numPr>
          <w:ilvl w:val="0"/>
          <w:numId w:val="15"/>
        </w:numPr>
        <w:rPr>
          <w:rFonts w:ascii="Times New Roman" w:hAnsi="Times New Roman" w:cs="Times New Roman"/>
          <w:szCs w:val="22"/>
        </w:rPr>
      </w:pPr>
      <w:proofErr w:type="spellStart"/>
      <w:r w:rsidRPr="006561C5">
        <w:rPr>
          <w:rFonts w:ascii="Times New Roman" w:hAnsi="Times New Roman" w:cs="Times New Roman"/>
          <w:szCs w:val="22"/>
        </w:rPr>
        <w:t>Vendim</w:t>
      </w:r>
      <w:proofErr w:type="spellEnd"/>
      <w:r w:rsidRPr="006561C5">
        <w:rPr>
          <w:rFonts w:ascii="Times New Roman" w:hAnsi="Times New Roman" w:cs="Times New Roman"/>
          <w:szCs w:val="22"/>
        </w:rPr>
        <w:t xml:space="preserve"> nr. 257,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5.5.2021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procedurat</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kryerjes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kontrollit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zbatimit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legjislacionit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asistencës</w:t>
      </w:r>
      <w:proofErr w:type="spellEnd"/>
      <w:r w:rsidRPr="006561C5">
        <w:rPr>
          <w:rFonts w:ascii="Times New Roman" w:hAnsi="Times New Roman" w:cs="Times New Roman"/>
          <w:szCs w:val="22"/>
        </w:rPr>
        <w:t xml:space="preserve"> sociale”;</w:t>
      </w:r>
    </w:p>
    <w:p w14:paraId="50B1A3A3" w14:textId="31059E5B" w:rsidR="00291B83" w:rsidRPr="006561C5" w:rsidRDefault="00291B83" w:rsidP="00291B83">
      <w:pPr>
        <w:numPr>
          <w:ilvl w:val="0"/>
          <w:numId w:val="15"/>
        </w:numPr>
        <w:rPr>
          <w:rFonts w:ascii="Times New Roman" w:hAnsi="Times New Roman" w:cs="Times New Roman"/>
          <w:szCs w:val="22"/>
        </w:rPr>
      </w:pPr>
      <w:proofErr w:type="spellStart"/>
      <w:r w:rsidRPr="006561C5">
        <w:rPr>
          <w:rFonts w:ascii="Times New Roman" w:hAnsi="Times New Roman" w:cs="Times New Roman"/>
          <w:szCs w:val="22"/>
        </w:rPr>
        <w:t>Vendim</w:t>
      </w:r>
      <w:proofErr w:type="spellEnd"/>
      <w:r w:rsidRPr="006561C5">
        <w:rPr>
          <w:rFonts w:ascii="Times New Roman" w:hAnsi="Times New Roman" w:cs="Times New Roman"/>
          <w:szCs w:val="22"/>
        </w:rPr>
        <w:t xml:space="preserve"> nr. 135,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7.3.2018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miratimin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statutit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shërbimit</w:t>
      </w:r>
      <w:proofErr w:type="spellEnd"/>
      <w:r w:rsidRPr="006561C5">
        <w:rPr>
          <w:rFonts w:ascii="Times New Roman" w:hAnsi="Times New Roman" w:cs="Times New Roman"/>
          <w:szCs w:val="22"/>
        </w:rPr>
        <w:t xml:space="preserve"> social </w:t>
      </w:r>
      <w:proofErr w:type="spellStart"/>
      <w:r w:rsidRPr="006561C5">
        <w:rPr>
          <w:rFonts w:ascii="Times New Roman" w:hAnsi="Times New Roman" w:cs="Times New Roman"/>
          <w:szCs w:val="22"/>
        </w:rPr>
        <w:t>shtetëror</w:t>
      </w:r>
      <w:proofErr w:type="spellEnd"/>
      <w:r w:rsidRPr="006561C5">
        <w:rPr>
          <w:rFonts w:ascii="Times New Roman" w:hAnsi="Times New Roman" w:cs="Times New Roman"/>
          <w:szCs w:val="22"/>
        </w:rPr>
        <w:t xml:space="preserve">”, i </w:t>
      </w:r>
      <w:proofErr w:type="spellStart"/>
      <w:r w:rsidRPr="006561C5">
        <w:rPr>
          <w:rFonts w:ascii="Times New Roman" w:hAnsi="Times New Roman" w:cs="Times New Roman"/>
          <w:szCs w:val="22"/>
        </w:rPr>
        <w:t>ndryshuar</w:t>
      </w:r>
      <w:proofErr w:type="spellEnd"/>
      <w:r w:rsidRPr="006561C5">
        <w:rPr>
          <w:rFonts w:ascii="Times New Roman" w:hAnsi="Times New Roman" w:cs="Times New Roman"/>
          <w:szCs w:val="22"/>
        </w:rPr>
        <w:t xml:space="preserve">; </w:t>
      </w:r>
    </w:p>
    <w:p w14:paraId="49DF8F10" w14:textId="3F98C740" w:rsidR="00291B83" w:rsidRPr="006561C5" w:rsidRDefault="00291B83" w:rsidP="00291B83">
      <w:pPr>
        <w:numPr>
          <w:ilvl w:val="0"/>
          <w:numId w:val="15"/>
        </w:numPr>
        <w:rPr>
          <w:rFonts w:ascii="Times New Roman" w:hAnsi="Times New Roman" w:cs="Times New Roman"/>
          <w:szCs w:val="22"/>
        </w:rPr>
      </w:pPr>
      <w:proofErr w:type="spellStart"/>
      <w:r w:rsidRPr="006561C5">
        <w:rPr>
          <w:rFonts w:ascii="Times New Roman" w:hAnsi="Times New Roman" w:cs="Times New Roman"/>
          <w:szCs w:val="22"/>
        </w:rPr>
        <w:t>Vendim</w:t>
      </w:r>
      <w:proofErr w:type="spellEnd"/>
      <w:r w:rsidRPr="006561C5">
        <w:rPr>
          <w:rFonts w:ascii="Times New Roman" w:hAnsi="Times New Roman" w:cs="Times New Roman"/>
          <w:szCs w:val="22"/>
        </w:rPr>
        <w:t xml:space="preserve"> nr. 617,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20.10.2021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treguesit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statistikorë</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vlerësimit</w:t>
      </w:r>
      <w:proofErr w:type="spellEnd"/>
      <w:r w:rsidRPr="006561C5">
        <w:rPr>
          <w:rFonts w:ascii="Times New Roman" w:hAnsi="Times New Roman" w:cs="Times New Roman"/>
          <w:szCs w:val="22"/>
        </w:rPr>
        <w:t xml:space="preserve"> e të </w:t>
      </w:r>
      <w:proofErr w:type="spellStart"/>
      <w:r w:rsidRPr="006561C5">
        <w:rPr>
          <w:rFonts w:ascii="Times New Roman" w:hAnsi="Times New Roman" w:cs="Times New Roman"/>
          <w:szCs w:val="22"/>
        </w:rPr>
        <w:t>monitorimit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programeve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ndihmës</w:t>
      </w:r>
      <w:proofErr w:type="spellEnd"/>
      <w:r w:rsidRPr="006561C5">
        <w:rPr>
          <w:rFonts w:ascii="Times New Roman" w:hAnsi="Times New Roman" w:cs="Times New Roman"/>
          <w:szCs w:val="22"/>
        </w:rPr>
        <w:t xml:space="preserve"> ekonomike, të </w:t>
      </w:r>
      <w:proofErr w:type="spellStart"/>
      <w:r w:rsidRPr="006561C5">
        <w:rPr>
          <w:rFonts w:ascii="Times New Roman" w:hAnsi="Times New Roman" w:cs="Times New Roman"/>
          <w:szCs w:val="22"/>
        </w:rPr>
        <w:t>pagesës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personat</w:t>
      </w:r>
      <w:proofErr w:type="spellEnd"/>
      <w:r w:rsidRPr="006561C5">
        <w:rPr>
          <w:rFonts w:ascii="Times New Roman" w:hAnsi="Times New Roman" w:cs="Times New Roman"/>
          <w:szCs w:val="22"/>
        </w:rPr>
        <w:t xml:space="preserve"> me </w:t>
      </w:r>
      <w:proofErr w:type="spellStart"/>
      <w:r w:rsidRPr="006561C5">
        <w:rPr>
          <w:rFonts w:ascii="Times New Roman" w:hAnsi="Times New Roman" w:cs="Times New Roman"/>
          <w:szCs w:val="22"/>
        </w:rPr>
        <w:t>aftësi</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kufizuara</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shërbimeve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shoqërore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si</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edhe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periodicitetin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mbledhjes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së</w:t>
      </w:r>
      <w:proofErr w:type="spellEnd"/>
      <w:r w:rsidRPr="006561C5">
        <w:rPr>
          <w:rFonts w:ascii="Times New Roman" w:hAnsi="Times New Roman" w:cs="Times New Roman"/>
          <w:szCs w:val="22"/>
        </w:rPr>
        <w:t xml:space="preserve"> tyre”;</w:t>
      </w:r>
    </w:p>
    <w:p w14:paraId="20803367" w14:textId="0FFFBF46" w:rsidR="00291B83" w:rsidRPr="006561C5" w:rsidRDefault="00291B83" w:rsidP="00291B83">
      <w:pPr>
        <w:numPr>
          <w:ilvl w:val="0"/>
          <w:numId w:val="15"/>
        </w:numPr>
        <w:rPr>
          <w:rFonts w:ascii="Times New Roman" w:hAnsi="Times New Roman" w:cs="Times New Roman"/>
          <w:szCs w:val="22"/>
        </w:rPr>
      </w:pPr>
      <w:proofErr w:type="spellStart"/>
      <w:r w:rsidRPr="006561C5">
        <w:rPr>
          <w:rFonts w:ascii="Times New Roman" w:hAnsi="Times New Roman" w:cs="Times New Roman"/>
          <w:szCs w:val="22"/>
        </w:rPr>
        <w:t>Vendim</w:t>
      </w:r>
      <w:proofErr w:type="spellEnd"/>
      <w:r w:rsidRPr="006561C5">
        <w:rPr>
          <w:rFonts w:ascii="Times New Roman" w:hAnsi="Times New Roman" w:cs="Times New Roman"/>
          <w:szCs w:val="22"/>
        </w:rPr>
        <w:t xml:space="preserve"> nr. 751,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1.12.2022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një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mbrojtje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veçantë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nga</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shteti</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gratë</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papuna</w:t>
      </w:r>
      <w:proofErr w:type="spellEnd"/>
      <w:r w:rsidRPr="006561C5">
        <w:rPr>
          <w:rFonts w:ascii="Times New Roman" w:hAnsi="Times New Roman" w:cs="Times New Roman"/>
          <w:szCs w:val="22"/>
        </w:rPr>
        <w:t xml:space="preserve"> me tre </w:t>
      </w:r>
      <w:proofErr w:type="spellStart"/>
      <w:r w:rsidRPr="006561C5">
        <w:rPr>
          <w:rFonts w:ascii="Times New Roman" w:hAnsi="Times New Roman" w:cs="Times New Roman"/>
          <w:szCs w:val="22"/>
        </w:rPr>
        <w:t>apo</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më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shumë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fëmijë</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moshës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deri</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në</w:t>
      </w:r>
      <w:proofErr w:type="spellEnd"/>
      <w:r w:rsidRPr="006561C5">
        <w:rPr>
          <w:rFonts w:ascii="Times New Roman" w:hAnsi="Times New Roman" w:cs="Times New Roman"/>
          <w:szCs w:val="22"/>
        </w:rPr>
        <w:t xml:space="preserve"> 18 </w:t>
      </w:r>
      <w:proofErr w:type="spellStart"/>
      <w:r w:rsidRPr="006561C5">
        <w:rPr>
          <w:rFonts w:ascii="Times New Roman" w:hAnsi="Times New Roman" w:cs="Times New Roman"/>
          <w:szCs w:val="22"/>
        </w:rPr>
        <w:t>vjeç</w:t>
      </w:r>
      <w:proofErr w:type="spellEnd"/>
      <w:r w:rsidRPr="006561C5">
        <w:rPr>
          <w:rFonts w:ascii="Times New Roman" w:hAnsi="Times New Roman" w:cs="Times New Roman"/>
          <w:szCs w:val="22"/>
        </w:rPr>
        <w:t>”;</w:t>
      </w:r>
    </w:p>
    <w:p w14:paraId="7140C10B" w14:textId="7E2DECC3" w:rsidR="00291B83" w:rsidRPr="006561C5" w:rsidRDefault="00291B83" w:rsidP="00291B83">
      <w:pPr>
        <w:numPr>
          <w:ilvl w:val="0"/>
          <w:numId w:val="15"/>
        </w:numPr>
        <w:rPr>
          <w:rFonts w:ascii="Times New Roman" w:hAnsi="Times New Roman" w:cs="Times New Roman"/>
          <w:szCs w:val="22"/>
        </w:rPr>
      </w:pPr>
      <w:proofErr w:type="spellStart"/>
      <w:r w:rsidRPr="006561C5">
        <w:rPr>
          <w:rFonts w:ascii="Times New Roman" w:hAnsi="Times New Roman" w:cs="Times New Roman"/>
          <w:szCs w:val="22"/>
        </w:rPr>
        <w:t>Vendim</w:t>
      </w:r>
      <w:proofErr w:type="spellEnd"/>
      <w:r w:rsidRPr="006561C5">
        <w:rPr>
          <w:rFonts w:ascii="Times New Roman" w:hAnsi="Times New Roman" w:cs="Times New Roman"/>
          <w:szCs w:val="22"/>
        </w:rPr>
        <w:t xml:space="preserve"> nr. 56,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31.1.2018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përcaktimin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kategorive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konkrete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grupeve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pafavorizuara</w:t>
      </w:r>
      <w:proofErr w:type="spellEnd"/>
      <w:r w:rsidRPr="006561C5">
        <w:rPr>
          <w:rFonts w:ascii="Times New Roman" w:hAnsi="Times New Roman" w:cs="Times New Roman"/>
          <w:szCs w:val="22"/>
        </w:rPr>
        <w:t>”;</w:t>
      </w:r>
    </w:p>
    <w:p w14:paraId="5C3ABFE6" w14:textId="2993F46E" w:rsidR="00291B83" w:rsidRPr="006561C5" w:rsidRDefault="00291B83" w:rsidP="00291B83">
      <w:pPr>
        <w:numPr>
          <w:ilvl w:val="0"/>
          <w:numId w:val="15"/>
        </w:numPr>
        <w:rPr>
          <w:rFonts w:ascii="Times New Roman" w:hAnsi="Times New Roman" w:cs="Times New Roman"/>
          <w:szCs w:val="22"/>
        </w:rPr>
      </w:pPr>
      <w:proofErr w:type="spellStart"/>
      <w:r w:rsidRPr="006561C5">
        <w:rPr>
          <w:rFonts w:ascii="Times New Roman" w:hAnsi="Times New Roman" w:cs="Times New Roman"/>
          <w:szCs w:val="22"/>
        </w:rPr>
        <w:t>Vendim</w:t>
      </w:r>
      <w:proofErr w:type="spellEnd"/>
      <w:r w:rsidRPr="006561C5">
        <w:rPr>
          <w:rFonts w:ascii="Times New Roman" w:hAnsi="Times New Roman" w:cs="Times New Roman"/>
          <w:szCs w:val="22"/>
        </w:rPr>
        <w:t xml:space="preserve"> nr. 174,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24.3.2023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përcaktimin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formave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mbështetjes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nëpërmjet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subvencionit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ndërmarrjet</w:t>
      </w:r>
      <w:proofErr w:type="spellEnd"/>
      <w:r w:rsidRPr="006561C5">
        <w:rPr>
          <w:rFonts w:ascii="Times New Roman" w:hAnsi="Times New Roman" w:cs="Times New Roman"/>
          <w:szCs w:val="22"/>
        </w:rPr>
        <w:t xml:space="preserve"> sociale,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periudhën</w:t>
      </w:r>
      <w:proofErr w:type="spellEnd"/>
      <w:r w:rsidRPr="006561C5">
        <w:rPr>
          <w:rFonts w:ascii="Times New Roman" w:hAnsi="Times New Roman" w:cs="Times New Roman"/>
          <w:szCs w:val="22"/>
        </w:rPr>
        <w:t xml:space="preserve"> 2023–2025”;</w:t>
      </w:r>
    </w:p>
    <w:p w14:paraId="54E0D2F7" w14:textId="2C14DB88"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 768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15.12.2021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përcaktimin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llojeve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shërbimeve</w:t>
      </w:r>
      <w:proofErr w:type="spellEnd"/>
      <w:r w:rsidRPr="006561C5">
        <w:rPr>
          <w:rFonts w:ascii="Times New Roman" w:hAnsi="Times New Roman" w:cs="Times New Roman"/>
          <w:szCs w:val="22"/>
        </w:rPr>
        <w:t xml:space="preserve"> sociale dhe </w:t>
      </w:r>
      <w:proofErr w:type="spellStart"/>
      <w:r w:rsidRPr="006561C5">
        <w:rPr>
          <w:rFonts w:ascii="Times New Roman" w:hAnsi="Times New Roman" w:cs="Times New Roman"/>
          <w:szCs w:val="22"/>
        </w:rPr>
        <w:t>shërbimeve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tjera</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specifike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llojeve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shërbimeve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vecanta</w:t>
      </w:r>
      <w:proofErr w:type="spellEnd"/>
      <w:r w:rsidRPr="006561C5">
        <w:rPr>
          <w:rFonts w:ascii="Times New Roman" w:hAnsi="Times New Roman" w:cs="Times New Roman"/>
          <w:szCs w:val="22"/>
        </w:rPr>
        <w:t>”;</w:t>
      </w:r>
    </w:p>
    <w:p w14:paraId="500A2399" w14:textId="3736B365"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VKM 518/2018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shërbimet</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kujdesit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shoqëror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komunitar</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rezidencial</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kriteret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procedurat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përfitimin</w:t>
      </w:r>
      <w:proofErr w:type="spellEnd"/>
      <w:r w:rsidRPr="006561C5">
        <w:rPr>
          <w:rFonts w:ascii="Times New Roman" w:hAnsi="Times New Roman" w:cs="Times New Roman"/>
          <w:szCs w:val="22"/>
        </w:rPr>
        <w:t xml:space="preserve"> e tyre dhe </w:t>
      </w:r>
      <w:proofErr w:type="spellStart"/>
      <w:r w:rsidRPr="006561C5">
        <w:rPr>
          <w:rFonts w:ascii="Times New Roman" w:hAnsi="Times New Roman" w:cs="Times New Roman"/>
          <w:szCs w:val="22"/>
        </w:rPr>
        <w:t>masën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shumës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shpenzime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personale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përfituesit</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shërbimit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organizuar</w:t>
      </w:r>
      <w:proofErr w:type="spellEnd"/>
      <w:r w:rsidRPr="006561C5">
        <w:rPr>
          <w:rFonts w:ascii="Times New Roman" w:hAnsi="Times New Roman" w:cs="Times New Roman"/>
          <w:szCs w:val="22"/>
        </w:rPr>
        <w:t>”;</w:t>
      </w:r>
    </w:p>
    <w:p w14:paraId="30048491" w14:textId="77777777"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 149,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13.3.2018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kriteret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dokumentacionin</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procedurat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evidentimin</w:t>
      </w:r>
      <w:proofErr w:type="spellEnd"/>
      <w:r w:rsidRPr="006561C5">
        <w:rPr>
          <w:rFonts w:ascii="Times New Roman" w:hAnsi="Times New Roman" w:cs="Times New Roman"/>
          <w:szCs w:val="22"/>
        </w:rPr>
        <w:t xml:space="preserve"> e familjes </w:t>
      </w:r>
      <w:proofErr w:type="spellStart"/>
      <w:r w:rsidRPr="006561C5">
        <w:rPr>
          <w:rFonts w:ascii="Times New Roman" w:hAnsi="Times New Roman" w:cs="Times New Roman"/>
          <w:szCs w:val="22"/>
        </w:rPr>
        <w:t>kujdestare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fëmijët</w:t>
      </w:r>
      <w:proofErr w:type="spellEnd"/>
      <w:r w:rsidRPr="006561C5">
        <w:rPr>
          <w:rFonts w:ascii="Times New Roman" w:hAnsi="Times New Roman" w:cs="Times New Roman"/>
          <w:szCs w:val="22"/>
        </w:rPr>
        <w:t xml:space="preserve"> pa </w:t>
      </w:r>
      <w:proofErr w:type="spellStart"/>
      <w:r w:rsidRPr="006561C5">
        <w:rPr>
          <w:rFonts w:ascii="Times New Roman" w:hAnsi="Times New Roman" w:cs="Times New Roman"/>
          <w:szCs w:val="22"/>
        </w:rPr>
        <w:t>kujdes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prindëror</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masës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financimit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shpenzimet</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fëmijës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vendosur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në</w:t>
      </w:r>
      <w:proofErr w:type="spellEnd"/>
      <w:r w:rsidRPr="006561C5">
        <w:rPr>
          <w:rFonts w:ascii="Times New Roman" w:hAnsi="Times New Roman" w:cs="Times New Roman"/>
          <w:szCs w:val="22"/>
        </w:rPr>
        <w:t xml:space="preserve"> familje </w:t>
      </w:r>
      <w:proofErr w:type="spellStart"/>
      <w:r w:rsidRPr="006561C5">
        <w:rPr>
          <w:rFonts w:ascii="Times New Roman" w:hAnsi="Times New Roman" w:cs="Times New Roman"/>
          <w:szCs w:val="22"/>
        </w:rPr>
        <w:t>kujdestare</w:t>
      </w:r>
      <w:proofErr w:type="spellEnd"/>
      <w:r w:rsidRPr="006561C5">
        <w:rPr>
          <w:rFonts w:ascii="Times New Roman" w:hAnsi="Times New Roman" w:cs="Times New Roman"/>
          <w:szCs w:val="22"/>
        </w:rPr>
        <w:t>”;</w:t>
      </w:r>
    </w:p>
    <w:p w14:paraId="385E7C4D" w14:textId="77777777"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VKM 136/2018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funksionimin</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administrimin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regjistrit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elektronik</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kombëtar</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shërbimeve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kujdesit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shoqëror</w:t>
      </w:r>
      <w:proofErr w:type="spellEnd"/>
      <w:r w:rsidRPr="006561C5">
        <w:rPr>
          <w:rFonts w:ascii="Times New Roman" w:hAnsi="Times New Roman" w:cs="Times New Roman"/>
          <w:szCs w:val="22"/>
        </w:rPr>
        <w:t>”;</w:t>
      </w:r>
    </w:p>
    <w:p w14:paraId="1BD376B5" w14:textId="488CEC01"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 135,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7.3.2018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miratimin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statutit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shërbimit</w:t>
      </w:r>
      <w:proofErr w:type="spellEnd"/>
      <w:r w:rsidRPr="006561C5">
        <w:rPr>
          <w:rFonts w:ascii="Times New Roman" w:hAnsi="Times New Roman" w:cs="Times New Roman"/>
          <w:szCs w:val="22"/>
        </w:rPr>
        <w:t xml:space="preserve"> social </w:t>
      </w:r>
      <w:proofErr w:type="spellStart"/>
      <w:r w:rsidRPr="006561C5">
        <w:rPr>
          <w:rFonts w:ascii="Times New Roman" w:hAnsi="Times New Roman" w:cs="Times New Roman"/>
          <w:szCs w:val="22"/>
        </w:rPr>
        <w:t>shtetëror</w:t>
      </w:r>
      <w:proofErr w:type="spellEnd"/>
      <w:r w:rsidRPr="006561C5">
        <w:rPr>
          <w:rFonts w:ascii="Times New Roman" w:hAnsi="Times New Roman" w:cs="Times New Roman"/>
          <w:szCs w:val="22"/>
        </w:rPr>
        <w:t>”;</w:t>
      </w:r>
    </w:p>
    <w:p w14:paraId="1A7DC457" w14:textId="77777777"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 848,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28.10.2020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standardet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kriteret</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procedurat</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akreditimit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aktiviteteve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edukimit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vazhdueshëm</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profesionistëve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shërbimeve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kujdesit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shoqëror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si</w:t>
      </w:r>
      <w:proofErr w:type="spellEnd"/>
      <w:r w:rsidRPr="006561C5">
        <w:rPr>
          <w:rFonts w:ascii="Times New Roman" w:hAnsi="Times New Roman" w:cs="Times New Roman"/>
          <w:szCs w:val="22"/>
        </w:rPr>
        <w:t xml:space="preserve"> dhe të </w:t>
      </w:r>
      <w:proofErr w:type="spellStart"/>
      <w:r w:rsidRPr="006561C5">
        <w:rPr>
          <w:rFonts w:ascii="Times New Roman" w:hAnsi="Times New Roman" w:cs="Times New Roman"/>
          <w:szCs w:val="22"/>
        </w:rPr>
        <w:t>ofruesve</w:t>
      </w:r>
      <w:proofErr w:type="spellEnd"/>
      <w:r w:rsidRPr="006561C5">
        <w:rPr>
          <w:rFonts w:ascii="Times New Roman" w:hAnsi="Times New Roman" w:cs="Times New Roman"/>
          <w:szCs w:val="22"/>
        </w:rPr>
        <w:t xml:space="preserve"> të tyre”; </w:t>
      </w:r>
    </w:p>
    <w:p w14:paraId="65E1F520" w14:textId="7041D8FC"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 624,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29.07.2020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kriteret</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procedurën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programit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certifikimit</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profesionistëve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shërbimeve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kujdesit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shoqëror</w:t>
      </w:r>
      <w:proofErr w:type="spellEnd"/>
      <w:r w:rsidRPr="006561C5">
        <w:rPr>
          <w:rFonts w:ascii="Times New Roman" w:hAnsi="Times New Roman" w:cs="Times New Roman"/>
          <w:szCs w:val="22"/>
        </w:rPr>
        <w:t>”;</w:t>
      </w:r>
    </w:p>
    <w:p w14:paraId="2885BD52" w14:textId="292E2D97" w:rsidR="00291B83" w:rsidRPr="006561C5" w:rsidRDefault="00291B83" w:rsidP="00291B83">
      <w:pPr>
        <w:numPr>
          <w:ilvl w:val="0"/>
          <w:numId w:val="15"/>
        </w:numPr>
        <w:rPr>
          <w:rFonts w:ascii="Times New Roman" w:hAnsi="Times New Roman" w:cs="Times New Roman"/>
          <w:szCs w:val="22"/>
        </w:rPr>
      </w:pPr>
      <w:r w:rsidRPr="006561C5">
        <w:rPr>
          <w:rFonts w:ascii="Times New Roman" w:hAnsi="Times New Roman" w:cs="Times New Roman"/>
          <w:szCs w:val="22"/>
        </w:rPr>
        <w:t xml:space="preserve">VKM nr. 111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23 </w:t>
      </w:r>
      <w:proofErr w:type="spellStart"/>
      <w:r w:rsidRPr="006561C5">
        <w:rPr>
          <w:rFonts w:ascii="Times New Roman" w:hAnsi="Times New Roman" w:cs="Times New Roman"/>
          <w:szCs w:val="22"/>
        </w:rPr>
        <w:t>shkurt</w:t>
      </w:r>
      <w:proofErr w:type="spellEnd"/>
      <w:r w:rsidRPr="006561C5">
        <w:rPr>
          <w:rFonts w:ascii="Times New Roman" w:hAnsi="Times New Roman" w:cs="Times New Roman"/>
          <w:szCs w:val="22"/>
        </w:rPr>
        <w:t xml:space="preserve"> 2018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krijimin</w:t>
      </w:r>
      <w:proofErr w:type="spellEnd"/>
      <w:r w:rsidRPr="006561C5">
        <w:rPr>
          <w:rFonts w:ascii="Times New Roman" w:hAnsi="Times New Roman" w:cs="Times New Roman"/>
          <w:szCs w:val="22"/>
        </w:rPr>
        <w:t xml:space="preserve"> dhe </w:t>
      </w:r>
      <w:proofErr w:type="spellStart"/>
      <w:r w:rsidRPr="006561C5">
        <w:rPr>
          <w:rFonts w:ascii="Times New Roman" w:hAnsi="Times New Roman" w:cs="Times New Roman"/>
          <w:szCs w:val="22"/>
        </w:rPr>
        <w:t>funksionimin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Fondit</w:t>
      </w:r>
      <w:proofErr w:type="spellEnd"/>
      <w:r w:rsidRPr="006561C5">
        <w:rPr>
          <w:rFonts w:ascii="Times New Roman" w:hAnsi="Times New Roman" w:cs="Times New Roman"/>
          <w:szCs w:val="22"/>
        </w:rPr>
        <w:t xml:space="preserve"> Social;</w:t>
      </w:r>
    </w:p>
    <w:p w14:paraId="641D8A45" w14:textId="04CF4E21" w:rsidR="00291B83" w:rsidRPr="00291B83" w:rsidRDefault="00291B83" w:rsidP="00E14B65">
      <w:pPr>
        <w:numPr>
          <w:ilvl w:val="0"/>
          <w:numId w:val="15"/>
        </w:numPr>
        <w:rPr>
          <w:rFonts w:ascii="Times New Roman" w:hAnsi="Times New Roman" w:cs="Times New Roman"/>
          <w:szCs w:val="22"/>
        </w:rPr>
        <w:sectPr w:rsidR="00291B83" w:rsidRPr="00291B83" w:rsidSect="00C41665">
          <w:headerReference w:type="even" r:id="rId9"/>
          <w:headerReference w:type="default" r:id="rId10"/>
          <w:footerReference w:type="even" r:id="rId11"/>
          <w:footerReference w:type="default" r:id="rId12"/>
          <w:headerReference w:type="first" r:id="rId13"/>
          <w:type w:val="continuous"/>
          <w:pgSz w:w="12240" w:h="15840"/>
          <w:pgMar w:top="900" w:right="1170" w:bottom="1440" w:left="1440" w:header="720" w:footer="720" w:gutter="0"/>
          <w:cols w:space="720"/>
          <w:docGrid w:linePitch="360"/>
        </w:sectPr>
      </w:pPr>
      <w:r w:rsidRPr="006561C5">
        <w:rPr>
          <w:rFonts w:ascii="Times New Roman" w:hAnsi="Times New Roman" w:cs="Times New Roman"/>
          <w:szCs w:val="22"/>
        </w:rPr>
        <w:t xml:space="preserve">VKM Nr. 150 </w:t>
      </w:r>
      <w:proofErr w:type="spellStart"/>
      <w:r w:rsidRPr="006561C5">
        <w:rPr>
          <w:rFonts w:ascii="Times New Roman" w:hAnsi="Times New Roman" w:cs="Times New Roman"/>
          <w:szCs w:val="22"/>
        </w:rPr>
        <w:t>datë</w:t>
      </w:r>
      <w:proofErr w:type="spellEnd"/>
      <w:r w:rsidRPr="006561C5">
        <w:rPr>
          <w:rFonts w:ascii="Times New Roman" w:hAnsi="Times New Roman" w:cs="Times New Roman"/>
          <w:szCs w:val="22"/>
        </w:rPr>
        <w:t xml:space="preserve"> 20/03/2019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metodologjinë</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llogaritjes</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së</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fondeve</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për</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financimin</w:t>
      </w:r>
      <w:proofErr w:type="spellEnd"/>
      <w:r w:rsidRPr="006561C5">
        <w:rPr>
          <w:rFonts w:ascii="Times New Roman" w:hAnsi="Times New Roman" w:cs="Times New Roman"/>
          <w:szCs w:val="22"/>
        </w:rPr>
        <w:t xml:space="preserve"> e </w:t>
      </w:r>
      <w:proofErr w:type="spellStart"/>
      <w:r w:rsidRPr="006561C5">
        <w:rPr>
          <w:rFonts w:ascii="Times New Roman" w:hAnsi="Times New Roman" w:cs="Times New Roman"/>
          <w:szCs w:val="22"/>
        </w:rPr>
        <w:t>shërbimeve</w:t>
      </w:r>
      <w:proofErr w:type="spellEnd"/>
      <w:r w:rsidRPr="006561C5">
        <w:rPr>
          <w:rFonts w:ascii="Times New Roman" w:hAnsi="Times New Roman" w:cs="Times New Roman"/>
          <w:szCs w:val="22"/>
        </w:rPr>
        <w:t xml:space="preserve"> të </w:t>
      </w:r>
      <w:proofErr w:type="spellStart"/>
      <w:r w:rsidRPr="006561C5">
        <w:rPr>
          <w:rFonts w:ascii="Times New Roman" w:hAnsi="Times New Roman" w:cs="Times New Roman"/>
          <w:szCs w:val="22"/>
        </w:rPr>
        <w:t>kujdesit</w:t>
      </w:r>
      <w:proofErr w:type="spellEnd"/>
      <w:r w:rsidRPr="006561C5">
        <w:rPr>
          <w:rFonts w:ascii="Times New Roman" w:hAnsi="Times New Roman" w:cs="Times New Roman"/>
          <w:szCs w:val="22"/>
        </w:rPr>
        <w:t xml:space="preserve"> </w:t>
      </w:r>
      <w:proofErr w:type="spellStart"/>
      <w:r w:rsidRPr="006561C5">
        <w:rPr>
          <w:rFonts w:ascii="Times New Roman" w:hAnsi="Times New Roman" w:cs="Times New Roman"/>
          <w:szCs w:val="22"/>
        </w:rPr>
        <w:t>shoqëror</w:t>
      </w:r>
      <w:proofErr w:type="spellEnd"/>
      <w:r w:rsidRPr="006561C5">
        <w:rPr>
          <w:rFonts w:ascii="Times New Roman" w:hAnsi="Times New Roman" w:cs="Times New Roman"/>
          <w:szCs w:val="22"/>
        </w:rPr>
        <w:t>.</w:t>
      </w:r>
      <w:r>
        <w:rPr>
          <w:rFonts w:ascii="Times New Roman" w:hAnsi="Times New Roman" w:cs="Times New Roman"/>
          <w:szCs w:val="22"/>
        </w:rPr>
        <w:t xml:space="preserve"> </w:t>
      </w:r>
    </w:p>
    <w:p w14:paraId="4C3B5719" w14:textId="29C296C7" w:rsidR="002E5360" w:rsidRPr="00817921" w:rsidRDefault="00832C3A" w:rsidP="00E14B65">
      <w:pPr>
        <w:pStyle w:val="Heading1"/>
        <w:rPr>
          <w:rFonts w:ascii="Times New Roman" w:hAnsi="Times New Roman" w:cs="Times New Roman"/>
          <w:sz w:val="24"/>
          <w:szCs w:val="24"/>
          <w:lang w:val="sq-AL"/>
        </w:rPr>
      </w:pPr>
      <w:bookmarkStart w:id="20" w:name="_Toc150809618"/>
      <w:bookmarkStart w:id="21" w:name="_Toc150896487"/>
      <w:r w:rsidRPr="00817921">
        <w:rPr>
          <w:rFonts w:ascii="Times New Roman" w:hAnsi="Times New Roman" w:cs="Times New Roman"/>
          <w:sz w:val="24"/>
          <w:szCs w:val="24"/>
          <w:lang w:val="sq-AL"/>
        </w:rPr>
        <w:t xml:space="preserve">Situata </w:t>
      </w:r>
      <w:r w:rsidR="002C332C" w:rsidRPr="00817921">
        <w:rPr>
          <w:rFonts w:ascii="Times New Roman" w:hAnsi="Times New Roman" w:cs="Times New Roman"/>
          <w:sz w:val="24"/>
          <w:szCs w:val="24"/>
          <w:lang w:val="sq-AL"/>
        </w:rPr>
        <w:t xml:space="preserve">aktuale </w:t>
      </w:r>
      <w:r w:rsidR="00F429E3" w:rsidRPr="00817921">
        <w:rPr>
          <w:rFonts w:ascii="Times New Roman" w:hAnsi="Times New Roman" w:cs="Times New Roman"/>
          <w:sz w:val="24"/>
          <w:szCs w:val="24"/>
          <w:lang w:val="sq-AL"/>
        </w:rPr>
        <w:t>e</w:t>
      </w:r>
      <w:r w:rsidR="00F71AB8" w:rsidRPr="00817921">
        <w:rPr>
          <w:rFonts w:ascii="Times New Roman" w:hAnsi="Times New Roman" w:cs="Times New Roman"/>
          <w:sz w:val="24"/>
          <w:szCs w:val="24"/>
          <w:lang w:val="sq-AL"/>
        </w:rPr>
        <w:t xml:space="preserve"> </w:t>
      </w:r>
      <w:r w:rsidR="00115639" w:rsidRPr="00817921">
        <w:rPr>
          <w:rFonts w:ascii="Times New Roman" w:hAnsi="Times New Roman" w:cs="Times New Roman"/>
          <w:sz w:val="24"/>
          <w:szCs w:val="24"/>
          <w:lang w:val="sq-AL"/>
        </w:rPr>
        <w:t>M</w:t>
      </w:r>
      <w:r w:rsidRPr="00817921">
        <w:rPr>
          <w:rFonts w:ascii="Times New Roman" w:hAnsi="Times New Roman" w:cs="Times New Roman"/>
          <w:sz w:val="24"/>
          <w:szCs w:val="24"/>
          <w:lang w:val="sq-AL"/>
        </w:rPr>
        <w:t xml:space="preserve">brojtjes </w:t>
      </w:r>
      <w:r w:rsidR="00115639" w:rsidRPr="00817921">
        <w:rPr>
          <w:rFonts w:ascii="Times New Roman" w:hAnsi="Times New Roman" w:cs="Times New Roman"/>
          <w:sz w:val="24"/>
          <w:szCs w:val="24"/>
          <w:lang w:val="sq-AL"/>
        </w:rPr>
        <w:t>S</w:t>
      </w:r>
      <w:r w:rsidRPr="00817921">
        <w:rPr>
          <w:rFonts w:ascii="Times New Roman" w:hAnsi="Times New Roman" w:cs="Times New Roman"/>
          <w:sz w:val="24"/>
          <w:szCs w:val="24"/>
          <w:lang w:val="sq-AL"/>
        </w:rPr>
        <w:t>ociale n</w:t>
      </w:r>
      <w:r w:rsidR="009A5A0E" w:rsidRPr="00817921">
        <w:rPr>
          <w:rFonts w:ascii="Times New Roman" w:hAnsi="Times New Roman" w:cs="Times New Roman"/>
          <w:sz w:val="24"/>
          <w:szCs w:val="24"/>
          <w:lang w:val="sq-AL"/>
        </w:rPr>
        <w:t>ë</w:t>
      </w:r>
      <w:r w:rsidRPr="00817921">
        <w:rPr>
          <w:rFonts w:ascii="Times New Roman" w:hAnsi="Times New Roman" w:cs="Times New Roman"/>
          <w:sz w:val="24"/>
          <w:szCs w:val="24"/>
          <w:lang w:val="sq-AL"/>
        </w:rPr>
        <w:t xml:space="preserve"> Shqip</w:t>
      </w:r>
      <w:r w:rsidR="009A5A0E" w:rsidRPr="00817921">
        <w:rPr>
          <w:rFonts w:ascii="Times New Roman" w:hAnsi="Times New Roman" w:cs="Times New Roman"/>
          <w:sz w:val="24"/>
          <w:szCs w:val="24"/>
          <w:lang w:val="sq-AL"/>
        </w:rPr>
        <w:t>ë</w:t>
      </w:r>
      <w:r w:rsidRPr="00817921">
        <w:rPr>
          <w:rFonts w:ascii="Times New Roman" w:hAnsi="Times New Roman" w:cs="Times New Roman"/>
          <w:sz w:val="24"/>
          <w:szCs w:val="24"/>
          <w:lang w:val="sq-AL"/>
        </w:rPr>
        <w:t>ri</w:t>
      </w:r>
      <w:bookmarkEnd w:id="20"/>
      <w:bookmarkEnd w:id="21"/>
      <w:r w:rsidRPr="00817921">
        <w:rPr>
          <w:rFonts w:ascii="Times New Roman" w:hAnsi="Times New Roman" w:cs="Times New Roman"/>
          <w:sz w:val="24"/>
          <w:szCs w:val="24"/>
          <w:lang w:val="sq-AL"/>
        </w:rPr>
        <w:t xml:space="preserve"> </w:t>
      </w:r>
    </w:p>
    <w:p w14:paraId="31FB7882" w14:textId="460F251C" w:rsidR="00C4294C" w:rsidRPr="00817921" w:rsidRDefault="00FF2DA5" w:rsidP="003B2EFD">
      <w:pPr>
        <w:pStyle w:val="Heading2"/>
        <w:numPr>
          <w:ilvl w:val="1"/>
          <w:numId w:val="1"/>
        </w:numPr>
        <w:rPr>
          <w:rFonts w:ascii="Times New Roman" w:hAnsi="Times New Roman" w:cs="Times New Roman"/>
          <w:sz w:val="24"/>
          <w:szCs w:val="24"/>
          <w:lang w:val="sq-AL"/>
        </w:rPr>
      </w:pPr>
      <w:bookmarkStart w:id="22" w:name="_Toc150809619"/>
      <w:bookmarkStart w:id="23" w:name="_Toc150896488"/>
      <w:r>
        <w:rPr>
          <w:rFonts w:ascii="Times New Roman" w:hAnsi="Times New Roman" w:cs="Times New Roman"/>
          <w:sz w:val="24"/>
          <w:szCs w:val="24"/>
          <w:lang w:val="sq-AL"/>
        </w:rPr>
        <w:t xml:space="preserve">Reforma e </w:t>
      </w:r>
      <w:r w:rsidR="00832C3A" w:rsidRPr="00817921">
        <w:rPr>
          <w:rFonts w:ascii="Times New Roman" w:hAnsi="Times New Roman" w:cs="Times New Roman"/>
          <w:sz w:val="24"/>
          <w:szCs w:val="24"/>
          <w:lang w:val="sq-AL"/>
        </w:rPr>
        <w:t>Ndihm</w:t>
      </w:r>
      <w:r w:rsidRPr="002C0D3E">
        <w:rPr>
          <w:rFonts w:ascii="Times New Roman" w:hAnsi="Times New Roman" w:cs="Times New Roman"/>
          <w:szCs w:val="22"/>
          <w:lang w:val="sq-AL"/>
        </w:rPr>
        <w:t>ë</w:t>
      </w:r>
      <w:r>
        <w:rPr>
          <w:rFonts w:ascii="Times New Roman" w:hAnsi="Times New Roman" w:cs="Times New Roman"/>
          <w:szCs w:val="22"/>
          <w:lang w:val="sq-AL"/>
        </w:rPr>
        <w:t>s</w:t>
      </w:r>
      <w:r w:rsidR="00832C3A" w:rsidRPr="00817921">
        <w:rPr>
          <w:rFonts w:ascii="Times New Roman" w:hAnsi="Times New Roman" w:cs="Times New Roman"/>
          <w:sz w:val="24"/>
          <w:szCs w:val="24"/>
          <w:lang w:val="sq-AL"/>
        </w:rPr>
        <w:t xml:space="preserve"> </w:t>
      </w:r>
      <w:r>
        <w:rPr>
          <w:rFonts w:ascii="Times New Roman" w:hAnsi="Times New Roman" w:cs="Times New Roman"/>
          <w:sz w:val="24"/>
          <w:szCs w:val="24"/>
          <w:lang w:val="sq-AL"/>
        </w:rPr>
        <w:t>E</w:t>
      </w:r>
      <w:r w:rsidR="00832C3A" w:rsidRPr="00817921">
        <w:rPr>
          <w:rFonts w:ascii="Times New Roman" w:hAnsi="Times New Roman" w:cs="Times New Roman"/>
          <w:sz w:val="24"/>
          <w:szCs w:val="24"/>
          <w:lang w:val="sq-AL"/>
        </w:rPr>
        <w:t>konomike</w:t>
      </w:r>
      <w:r>
        <w:rPr>
          <w:rFonts w:ascii="Times New Roman" w:hAnsi="Times New Roman" w:cs="Times New Roman"/>
          <w:sz w:val="24"/>
          <w:szCs w:val="24"/>
          <w:lang w:val="sq-AL"/>
        </w:rPr>
        <w:t xml:space="preserve"> dhe p</w:t>
      </w:r>
      <w:r w:rsidRPr="002C0D3E">
        <w:rPr>
          <w:rFonts w:ascii="Times New Roman" w:hAnsi="Times New Roman" w:cs="Times New Roman"/>
          <w:szCs w:val="22"/>
          <w:lang w:val="sq-AL"/>
        </w:rPr>
        <w:t>ë</w:t>
      </w:r>
      <w:r>
        <w:rPr>
          <w:rFonts w:ascii="Times New Roman" w:hAnsi="Times New Roman" w:cs="Times New Roman"/>
          <w:sz w:val="24"/>
          <w:szCs w:val="24"/>
          <w:lang w:val="sq-AL"/>
        </w:rPr>
        <w:t>rfitimeve t</w:t>
      </w:r>
      <w:r w:rsidRPr="002C0D3E">
        <w:rPr>
          <w:rFonts w:ascii="Times New Roman" w:hAnsi="Times New Roman" w:cs="Times New Roman"/>
          <w:szCs w:val="22"/>
          <w:lang w:val="sq-AL"/>
        </w:rPr>
        <w:t>ë</w:t>
      </w:r>
      <w:r>
        <w:rPr>
          <w:rFonts w:ascii="Times New Roman" w:hAnsi="Times New Roman" w:cs="Times New Roman"/>
          <w:sz w:val="24"/>
          <w:szCs w:val="24"/>
          <w:lang w:val="sq-AL"/>
        </w:rPr>
        <w:t xml:space="preserve"> tjera</w:t>
      </w:r>
      <w:bookmarkEnd w:id="22"/>
      <w:bookmarkEnd w:id="23"/>
      <w:r>
        <w:rPr>
          <w:rFonts w:ascii="Times New Roman" w:hAnsi="Times New Roman" w:cs="Times New Roman"/>
          <w:sz w:val="24"/>
          <w:szCs w:val="24"/>
          <w:lang w:val="sq-AL"/>
        </w:rPr>
        <w:t xml:space="preserve"> </w:t>
      </w:r>
    </w:p>
    <w:p w14:paraId="0BF2F650" w14:textId="7ACDF281" w:rsidR="00477ACB" w:rsidRPr="00817921" w:rsidRDefault="0026230C" w:rsidP="00477ACB">
      <w:pPr>
        <w:pStyle w:val="NormalWeb"/>
        <w:rPr>
          <w:szCs w:val="22"/>
          <w:lang w:val="sq-AL"/>
        </w:rPr>
      </w:pPr>
      <w:r w:rsidRPr="00817921">
        <w:rPr>
          <w:b/>
          <w:bCs/>
          <w:szCs w:val="22"/>
          <w:lang w:val="sq-AL"/>
        </w:rPr>
        <w:t>Sh</w:t>
      </w:r>
      <w:r w:rsidR="009A5A0E" w:rsidRPr="00817921">
        <w:rPr>
          <w:b/>
          <w:bCs/>
          <w:szCs w:val="22"/>
          <w:lang w:val="sq-AL"/>
        </w:rPr>
        <w:t>ë</w:t>
      </w:r>
      <w:r w:rsidRPr="00817921">
        <w:rPr>
          <w:b/>
          <w:bCs/>
          <w:szCs w:val="22"/>
          <w:lang w:val="sq-AL"/>
        </w:rPr>
        <w:t>njestrimi</w:t>
      </w:r>
      <w:r w:rsidRPr="00817921">
        <w:rPr>
          <w:szCs w:val="22"/>
          <w:lang w:val="sq-AL"/>
        </w:rPr>
        <w:t>. Është 9% e popullsisë përfituese nga programi i ndihmës ekonomike (64,000 familje në vitin 2022 me 226.530 individë anëtarë)</w:t>
      </w:r>
      <w:r w:rsidR="00062FBD" w:rsidRPr="00817921">
        <w:rPr>
          <w:szCs w:val="22"/>
          <w:lang w:val="sq-AL"/>
        </w:rPr>
        <w:t>,</w:t>
      </w:r>
      <w:r w:rsidRPr="00817921">
        <w:rPr>
          <w:szCs w:val="22"/>
          <w:lang w:val="sq-AL"/>
        </w:rPr>
        <w:t xml:space="preserve"> ndërsa janë edhe 4,348 familje që kanë përfituar nga fondi 6% në dispozicion të pushtetit vendor</w:t>
      </w:r>
      <w:r w:rsidRPr="00817921">
        <w:rPr>
          <w:szCs w:val="22"/>
          <w:vertAlign w:val="superscript"/>
        </w:rPr>
        <w:footnoteReference w:id="109"/>
      </w:r>
      <w:r w:rsidRPr="00817921">
        <w:rPr>
          <w:szCs w:val="22"/>
          <w:vertAlign w:val="subscript"/>
          <w:lang w:val="sq-AL"/>
        </w:rPr>
        <w:t xml:space="preserve">. </w:t>
      </w:r>
      <w:r w:rsidR="00477ACB" w:rsidRPr="00817921">
        <w:rPr>
          <w:szCs w:val="22"/>
          <w:lang w:val="sq-AL"/>
        </w:rPr>
        <w:t>Gjatë vitit 2021 krahasuar me vitin 2019, pati rritje t</w:t>
      </w:r>
      <w:r w:rsidR="009A5A0E" w:rsidRPr="00817921">
        <w:rPr>
          <w:szCs w:val="22"/>
          <w:lang w:val="sq-AL"/>
        </w:rPr>
        <w:t>ë</w:t>
      </w:r>
      <w:r w:rsidR="00477ACB" w:rsidRPr="00817921">
        <w:rPr>
          <w:szCs w:val="22"/>
          <w:lang w:val="sq-AL"/>
        </w:rPr>
        <w:t xml:space="preserve"> numrit t</w:t>
      </w:r>
      <w:r w:rsidR="009A5A0E" w:rsidRPr="00817921">
        <w:rPr>
          <w:szCs w:val="22"/>
          <w:lang w:val="sq-AL"/>
        </w:rPr>
        <w:t>ë</w:t>
      </w:r>
      <w:r w:rsidR="00477ACB" w:rsidRPr="00817921">
        <w:rPr>
          <w:szCs w:val="22"/>
          <w:lang w:val="sq-AL"/>
        </w:rPr>
        <w:t xml:space="preserve"> familjeve rome dhe egjiptiane përfituese të skemës së ndihmës ekonomike (736 familje më shumë), i familjeve që kishin anëtarë me aftësi të kufizuara perkatësisht (1,044 familje më shumë)</w:t>
      </w:r>
      <w:r w:rsidR="00477ACB" w:rsidRPr="00817921">
        <w:rPr>
          <w:szCs w:val="22"/>
          <w:vertAlign w:val="superscript"/>
          <w:lang w:val="sq-AL"/>
        </w:rPr>
        <w:footnoteReference w:id="110"/>
      </w:r>
      <w:r w:rsidR="00477ACB" w:rsidRPr="00817921">
        <w:rPr>
          <w:szCs w:val="22"/>
          <w:lang w:val="sq-AL"/>
        </w:rPr>
        <w:t>. Për vitin 2019, rezultojnë 4,932 gra përfituese nga skema e Ndihmës Ekonomike (NE)</w:t>
      </w:r>
      <w:r w:rsidR="00477ACB" w:rsidRPr="00817921">
        <w:rPr>
          <w:szCs w:val="22"/>
          <w:vertAlign w:val="superscript"/>
          <w:lang w:val="sq-AL"/>
        </w:rPr>
        <w:footnoteReference w:id="111"/>
      </w:r>
      <w:r w:rsidR="00477ACB" w:rsidRPr="00817921">
        <w:rPr>
          <w:szCs w:val="22"/>
          <w:lang w:val="sq-AL"/>
        </w:rPr>
        <w:t>. Numri i p</w:t>
      </w:r>
      <w:r w:rsidR="009A5A0E" w:rsidRPr="00817921">
        <w:rPr>
          <w:szCs w:val="22"/>
          <w:lang w:val="sq-AL"/>
        </w:rPr>
        <w:t>ë</w:t>
      </w:r>
      <w:r w:rsidR="00477ACB" w:rsidRPr="00817921">
        <w:rPr>
          <w:szCs w:val="22"/>
          <w:lang w:val="sq-AL"/>
        </w:rPr>
        <w:t>rfituesve q</w:t>
      </w:r>
      <w:r w:rsidR="009A5A0E" w:rsidRPr="00817921">
        <w:rPr>
          <w:szCs w:val="22"/>
          <w:lang w:val="sq-AL"/>
        </w:rPr>
        <w:t>ë</w:t>
      </w:r>
      <w:r w:rsidR="00477ACB" w:rsidRPr="00817921">
        <w:rPr>
          <w:szCs w:val="22"/>
          <w:lang w:val="sq-AL"/>
        </w:rPr>
        <w:t xml:space="preserve"> jan</w:t>
      </w:r>
      <w:r w:rsidR="009A5A0E" w:rsidRPr="00817921">
        <w:rPr>
          <w:szCs w:val="22"/>
          <w:lang w:val="sq-AL"/>
        </w:rPr>
        <w:t>ë</w:t>
      </w:r>
      <w:r w:rsidR="00477ACB" w:rsidRPr="00817921">
        <w:rPr>
          <w:szCs w:val="22"/>
          <w:lang w:val="sq-AL"/>
        </w:rPr>
        <w:t xml:space="preserve"> mb</w:t>
      </w:r>
      <w:r w:rsidR="009A5A0E" w:rsidRPr="00817921">
        <w:rPr>
          <w:szCs w:val="22"/>
          <w:lang w:val="sq-AL"/>
        </w:rPr>
        <w:t>ë</w:t>
      </w:r>
      <w:r w:rsidR="00477ACB" w:rsidRPr="00817921">
        <w:rPr>
          <w:szCs w:val="22"/>
          <w:lang w:val="sq-AL"/>
        </w:rPr>
        <w:t>shtetur nga kategorit</w:t>
      </w:r>
      <w:r w:rsidR="009A5A0E" w:rsidRPr="00817921">
        <w:rPr>
          <w:szCs w:val="22"/>
          <w:lang w:val="sq-AL"/>
        </w:rPr>
        <w:t>ë</w:t>
      </w:r>
      <w:r w:rsidR="00477ACB" w:rsidRPr="00817921">
        <w:rPr>
          <w:szCs w:val="22"/>
          <w:lang w:val="sq-AL"/>
        </w:rPr>
        <w:t xml:space="preserve"> viktima të dhunës, trafikimit dhe përfitues që kanë lindur 3 ose më shumë fëmijë </w:t>
      </w:r>
      <w:r w:rsidR="009A5A0E" w:rsidRPr="00817921">
        <w:rPr>
          <w:szCs w:val="22"/>
          <w:lang w:val="sq-AL"/>
        </w:rPr>
        <w:t>ë</w:t>
      </w:r>
      <w:r w:rsidR="00477ACB" w:rsidRPr="00817921">
        <w:rPr>
          <w:szCs w:val="22"/>
          <w:lang w:val="sq-AL"/>
        </w:rPr>
        <w:t>sht</w:t>
      </w:r>
      <w:r w:rsidR="009A5A0E" w:rsidRPr="00817921">
        <w:rPr>
          <w:szCs w:val="22"/>
          <w:lang w:val="sq-AL"/>
        </w:rPr>
        <w:t>ë</w:t>
      </w:r>
      <w:r w:rsidR="00477ACB" w:rsidRPr="00817921">
        <w:rPr>
          <w:szCs w:val="22"/>
          <w:lang w:val="sq-AL"/>
        </w:rPr>
        <w:t xml:space="preserve"> 1,956. Vitet e fundit, nj</w:t>
      </w:r>
      <w:r w:rsidR="009A5A0E" w:rsidRPr="00817921">
        <w:rPr>
          <w:szCs w:val="22"/>
          <w:lang w:val="sq-AL"/>
        </w:rPr>
        <w:t>ë</w:t>
      </w:r>
      <w:r w:rsidR="00477ACB" w:rsidRPr="00817921">
        <w:rPr>
          <w:szCs w:val="22"/>
          <w:lang w:val="sq-AL"/>
        </w:rPr>
        <w:t xml:space="preserve"> numër në rritje e grave rome dhe egjiptiane jan</w:t>
      </w:r>
      <w:r w:rsidR="009A5A0E" w:rsidRPr="00817921">
        <w:rPr>
          <w:szCs w:val="22"/>
          <w:lang w:val="sq-AL"/>
        </w:rPr>
        <w:t>ë</w:t>
      </w:r>
      <w:r w:rsidR="00477ACB" w:rsidRPr="00817921">
        <w:rPr>
          <w:szCs w:val="22"/>
          <w:lang w:val="sq-AL"/>
        </w:rPr>
        <w:t xml:space="preserve"> mb</w:t>
      </w:r>
      <w:r w:rsidR="009A5A0E" w:rsidRPr="00817921">
        <w:rPr>
          <w:szCs w:val="22"/>
          <w:lang w:val="sq-AL"/>
        </w:rPr>
        <w:t>ë</w:t>
      </w:r>
      <w:r w:rsidR="00477ACB" w:rsidRPr="00817921">
        <w:rPr>
          <w:szCs w:val="22"/>
          <w:lang w:val="sq-AL"/>
        </w:rPr>
        <w:t>shtetur me ndihmë/përfitime ekonomike apo janë përfshirë në programet e riintegrimit (nga 112 gra rome dhe 89 gra egjiptiane në vitin 2016 n</w:t>
      </w:r>
      <w:r w:rsidR="009A5A0E" w:rsidRPr="00817921">
        <w:rPr>
          <w:szCs w:val="22"/>
          <w:lang w:val="sq-AL"/>
        </w:rPr>
        <w:t>ë</w:t>
      </w:r>
      <w:r w:rsidR="00477ACB" w:rsidRPr="00817921">
        <w:rPr>
          <w:szCs w:val="22"/>
          <w:lang w:val="sq-AL"/>
        </w:rPr>
        <w:t xml:space="preserve"> 1,785 gra rome dhe 846 gra egjiptiane në vitin 2019</w:t>
      </w:r>
      <w:r w:rsidR="00477ACB" w:rsidRPr="00817921">
        <w:rPr>
          <w:szCs w:val="22"/>
          <w:vertAlign w:val="superscript"/>
          <w:lang w:val="sq-AL"/>
        </w:rPr>
        <w:footnoteReference w:id="112"/>
      </w:r>
      <w:r w:rsidR="00477ACB" w:rsidRPr="00817921">
        <w:rPr>
          <w:szCs w:val="22"/>
          <w:lang w:val="sq-AL"/>
        </w:rPr>
        <w:t>. Në lidhje me mbështetjen e grave të dhunuara, të cilat kanë një urdhër mbrojtjeje, janë trajtuar me pagesë 3,000 lekë (rreth 25 euro) në muaj 408 gra në vitin 2018, 509 gra në vitin 2019, dhe 603 gra në vitin 2020. Kurse viktima të trafikimit të trajtuara me pagesen 3,000 lekë (rreth 25 euro) në muaj janë 11 raste për vitin 2018, 9 raste për vitin 2019 dhe 10 raste për vitin 2020</w:t>
      </w:r>
      <w:r w:rsidR="00477ACB" w:rsidRPr="00817921">
        <w:rPr>
          <w:szCs w:val="22"/>
          <w:vertAlign w:val="superscript"/>
          <w:lang w:val="sq-AL"/>
        </w:rPr>
        <w:footnoteReference w:id="113"/>
      </w:r>
      <w:r w:rsidR="00477ACB" w:rsidRPr="00817921">
        <w:rPr>
          <w:szCs w:val="22"/>
          <w:lang w:val="sq-AL"/>
        </w:rPr>
        <w:t>.</w:t>
      </w:r>
      <w:r w:rsidR="00BA59AD">
        <w:rPr>
          <w:szCs w:val="22"/>
          <w:lang w:val="sq-AL"/>
        </w:rPr>
        <w:t xml:space="preserve"> Kjo masë është rritur në vitin 2022, në trefishim të saj, 9000 lekë. </w:t>
      </w:r>
    </w:p>
    <w:p w14:paraId="722BBDCB" w14:textId="77777777" w:rsidR="008F26F3" w:rsidRPr="00817921" w:rsidRDefault="008F26F3" w:rsidP="008F26F3">
      <w:pPr>
        <w:pStyle w:val="NormalWeb"/>
        <w:rPr>
          <w:szCs w:val="22"/>
          <w:lang w:val="sq-AL"/>
        </w:rPr>
      </w:pPr>
      <w:r w:rsidRPr="00817921">
        <w:rPr>
          <w:szCs w:val="22"/>
          <w:lang w:val="sq-AL"/>
        </w:rPr>
        <w:t>Rajonet me numër të lartë përfituesish të Ndihmës Ekonomike janë Elbasani, Dibra, Korça dhe Kukësi. Këto katër rajone janë kryesisht rurale dhe përbëjnë më shumë se 70 përqind të numrit të përgjithshëm të përfituesve të Ndihmës Ekonomike. Gjithashtu, në këto qarqe vihet re edhe një përqindje e lartë e përfituesve të Ndihmës Ekonomike në moshë pune. Përbërja gjinore e përfituesve të ndihmës ekonomike është pothuajse e barabartë edhe pse numri i burrave është paksa më i lartë se i grave. Më shumë se 75 përqind e përfituesve të Ndihmës Ekonomike në moshë pune i përkasin grupmoshës nga 18 deri në 50 vjeç. Një pjesë e madhe e përfituesve të NE kanë përfunduar arsimin 8-9-vjeçar ose atë të mesëm. Rreth 5 përqind kanë përfunduar shkollën fillore dhe vetëm rreth 4 përqind nuk kanë mbaruar asnjë lloj shkolle</w:t>
      </w:r>
      <w:r w:rsidRPr="00817921">
        <w:rPr>
          <w:rStyle w:val="FootnoteReference"/>
          <w:szCs w:val="22"/>
          <w:lang w:val="sq-AL"/>
        </w:rPr>
        <w:footnoteReference w:id="114"/>
      </w:r>
      <w:r w:rsidRPr="00817921">
        <w:rPr>
          <w:szCs w:val="22"/>
          <w:lang w:val="sq-AL"/>
        </w:rPr>
        <w:t>. Për vitin 2022 ishin 10,008 persona me aftësi të kufizuar anëtarë të familjeve në ndihmë ekonomike ose 4.4 % të numrit të përgjithshëm të individëve. Numri i fëmijëve 0-18 vjeç në skemën e Ndihmës Ekonomike është 77,033 fëmijë, nga të cilët 54% e tyre ose 42,025 janë të grupmoshës 6-14 vjeç</w:t>
      </w:r>
      <w:r w:rsidRPr="00817921">
        <w:rPr>
          <w:rStyle w:val="FootnoteReference"/>
          <w:szCs w:val="22"/>
          <w:lang w:val="sq-AL"/>
        </w:rPr>
        <w:footnoteReference w:id="115"/>
      </w:r>
      <w:r w:rsidRPr="00817921">
        <w:rPr>
          <w:szCs w:val="22"/>
          <w:lang w:val="sq-AL"/>
        </w:rPr>
        <w:t>.</w:t>
      </w:r>
    </w:p>
    <w:p w14:paraId="224929A2" w14:textId="027767F5" w:rsidR="00477ACB" w:rsidRPr="00817921" w:rsidRDefault="00087B05" w:rsidP="00087B05">
      <w:pPr>
        <w:pStyle w:val="NormalWeb"/>
        <w:rPr>
          <w:szCs w:val="22"/>
          <w:lang w:val="sq-AL"/>
        </w:rPr>
      </w:pPr>
      <w:r w:rsidRPr="00817921">
        <w:rPr>
          <w:szCs w:val="22"/>
          <w:lang w:val="sq-AL"/>
        </w:rPr>
        <w:t>Në vitin 2020 dhe 2021 pati një rritje të numrit të familjeve përfituese kryesisht p</w:t>
      </w:r>
      <w:r w:rsidR="009A5A0E" w:rsidRPr="00817921">
        <w:rPr>
          <w:szCs w:val="22"/>
          <w:lang w:val="sq-AL"/>
        </w:rPr>
        <w:t>ë</w:t>
      </w:r>
      <w:r w:rsidRPr="00817921">
        <w:rPr>
          <w:szCs w:val="22"/>
          <w:lang w:val="sq-AL"/>
        </w:rPr>
        <w:t>r shkak t</w:t>
      </w:r>
      <w:r w:rsidR="009A5A0E" w:rsidRPr="00817921">
        <w:rPr>
          <w:szCs w:val="22"/>
          <w:lang w:val="sq-AL"/>
        </w:rPr>
        <w:t>ë</w:t>
      </w:r>
      <w:r w:rsidRPr="00817921">
        <w:rPr>
          <w:szCs w:val="22"/>
          <w:lang w:val="sq-AL"/>
        </w:rPr>
        <w:t xml:space="preserve"> situatës së krijuar nga pandemia COVID-9 (shifra maksimale e përfituesve të Ndihmës Ekonomike u arrit në muajin qershor 2020 me 71,091 familje). Për të njëjtin shkak në vitin 2020 u rrit numri i familjeve që përfituan nga fondi 6 përqind (2,533 familje në muajin janar 2020 dhe 4,102 familje në muajin dhjetor 2020)</w:t>
      </w:r>
      <w:r w:rsidRPr="00817921">
        <w:rPr>
          <w:rStyle w:val="FootnoteReference"/>
          <w:szCs w:val="22"/>
          <w:lang w:val="sq-AL"/>
        </w:rPr>
        <w:footnoteReference w:id="116"/>
      </w:r>
      <w:r w:rsidRPr="00817921">
        <w:rPr>
          <w:szCs w:val="22"/>
          <w:lang w:val="sq-AL"/>
        </w:rPr>
        <w:t>.</w:t>
      </w:r>
      <w:r w:rsidR="00662AA4" w:rsidRPr="00817921">
        <w:rPr>
          <w:szCs w:val="22"/>
          <w:lang w:val="sq-AL"/>
        </w:rPr>
        <w:t xml:space="preserve"> Për vitin 2020, u rrit me 32% numri i grave kryefamiljare përfituese të skemës së ndihmës ekonomike (gjithsej 6,492 përfituese për këtë vit), të cilat gjatë periudhës mars-qershor p</w:t>
      </w:r>
      <w:r w:rsidR="009A5A0E" w:rsidRPr="00817921">
        <w:rPr>
          <w:szCs w:val="22"/>
          <w:lang w:val="sq-AL"/>
        </w:rPr>
        <w:t>ë</w:t>
      </w:r>
      <w:r w:rsidR="00662AA4" w:rsidRPr="00817921">
        <w:rPr>
          <w:szCs w:val="22"/>
          <w:lang w:val="sq-AL"/>
        </w:rPr>
        <w:t>rfituan dyfishin e masës së ndihmës ekonomike</w:t>
      </w:r>
      <w:r w:rsidR="00662AA4" w:rsidRPr="00817921">
        <w:rPr>
          <w:szCs w:val="22"/>
          <w:vertAlign w:val="superscript"/>
          <w:lang w:val="sq-AL"/>
        </w:rPr>
        <w:footnoteReference w:id="117"/>
      </w:r>
      <w:r w:rsidR="00662AA4" w:rsidRPr="00817921">
        <w:rPr>
          <w:szCs w:val="22"/>
          <w:lang w:val="sq-AL"/>
        </w:rPr>
        <w:t>.</w:t>
      </w:r>
    </w:p>
    <w:p w14:paraId="4E2734EC" w14:textId="7D4798DE" w:rsidR="0026230C" w:rsidRPr="00817921" w:rsidRDefault="0026230C" w:rsidP="0026230C">
      <w:pPr>
        <w:rPr>
          <w:rFonts w:ascii="Times New Roman" w:hAnsi="Times New Roman" w:cs="Times New Roman"/>
          <w:szCs w:val="22"/>
          <w:lang w:val="sq-AL" w:eastAsia="en-GB"/>
        </w:rPr>
      </w:pPr>
      <w:r w:rsidRPr="00817921">
        <w:rPr>
          <w:rFonts w:ascii="Times New Roman" w:hAnsi="Times New Roman" w:cs="Times New Roman"/>
          <w:szCs w:val="22"/>
          <w:lang w:val="sq-AL" w:eastAsia="en-GB"/>
        </w:rPr>
        <w:t xml:space="preserve">95% e familjeve që aplikojnë për ndihmë ekonomike e përfitojnë atë. Për familjet aplikante të refuzuara nga sistemi i pikëzimit ekziston dhe funksionon mekanizmi i ankimimit dhe i apelimit. Në periudhën kohore 2015-2021, rezulton </w:t>
      </w:r>
      <w:r w:rsidR="00662AA4" w:rsidRPr="00817921">
        <w:rPr>
          <w:rFonts w:ascii="Times New Roman" w:hAnsi="Times New Roman" w:cs="Times New Roman"/>
          <w:szCs w:val="22"/>
          <w:lang w:val="sq-AL" w:eastAsia="en-GB"/>
        </w:rPr>
        <w:t>q</w:t>
      </w:r>
      <w:r w:rsidR="009A5A0E" w:rsidRPr="00817921">
        <w:rPr>
          <w:rFonts w:ascii="Times New Roman" w:hAnsi="Times New Roman" w:cs="Times New Roman"/>
          <w:szCs w:val="22"/>
          <w:lang w:val="sq-AL" w:eastAsia="en-GB"/>
        </w:rPr>
        <w:t>ë</w:t>
      </w:r>
      <w:r w:rsidR="00662AA4" w:rsidRPr="00817921">
        <w:rPr>
          <w:rFonts w:ascii="Times New Roman" w:hAnsi="Times New Roman" w:cs="Times New Roman"/>
          <w:szCs w:val="22"/>
          <w:lang w:val="sq-AL" w:eastAsia="en-GB"/>
        </w:rPr>
        <w:t xml:space="preserve"> numri total i aplikimeve të refuzuara dhe po kështu numri total i ankesave </w:t>
      </w:r>
      <w:r w:rsidRPr="00817921">
        <w:rPr>
          <w:rFonts w:ascii="Times New Roman" w:hAnsi="Times New Roman" w:cs="Times New Roman"/>
          <w:szCs w:val="22"/>
          <w:lang w:val="sq-AL" w:eastAsia="en-GB"/>
        </w:rPr>
        <w:t xml:space="preserve">të </w:t>
      </w:r>
      <w:r w:rsidR="00662AA4" w:rsidRPr="00817921">
        <w:rPr>
          <w:rFonts w:ascii="Times New Roman" w:hAnsi="Times New Roman" w:cs="Times New Roman"/>
          <w:szCs w:val="22"/>
          <w:lang w:val="sq-AL" w:eastAsia="en-GB"/>
        </w:rPr>
        <w:t>jet</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në ulje. Zyrat bashkiake deklarojnë se numri i ankesave të rregjistruara është i ulët për shkak se aplikantët nuk preferojnë t</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paraqesin zyrtarisht ankimimin e tyre si dhe fondi 6% në dispozicion të bashkisë apo fonde të veta të alokuara prej tyre, kanë ndihmuar për trajtimin e familjeve t</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refuzuara nga formula e pikëzimit, por që janë në nevojë për ndihmë</w:t>
      </w:r>
      <w:r w:rsidR="00662AA4" w:rsidRPr="00817921">
        <w:rPr>
          <w:rFonts w:ascii="Times New Roman" w:hAnsi="Times New Roman" w:cs="Times New Roman"/>
          <w:szCs w:val="22"/>
          <w:lang w:val="sq-AL" w:eastAsia="en-GB"/>
        </w:rPr>
        <w:t xml:space="preserve"> sociale</w:t>
      </w:r>
      <w:r w:rsidRPr="00817921">
        <w:rPr>
          <w:rFonts w:ascii="Times New Roman" w:hAnsi="Times New Roman" w:cs="Times New Roman"/>
          <w:szCs w:val="22"/>
          <w:lang w:val="sq-AL" w:eastAsia="en-GB"/>
        </w:rPr>
        <w:t>. Ekziston sistemi i ankimimit dhe i kontrollit mbi lighshm</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rin</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e përfitimit të ndihmës ekonomike nga ana e familjeve. Në rast të konstatimit të paligjshmërisë vendosen penalitete për administratorët dhe familjeve u hiqet ndihma. Nuk ka statistika periodike të përpunuara lidhur me rastet e abuzimeve sipas njësive në raport me numrin e aplikimeve, duke vështirësuar qartësinë për përmasën e këtij fenomeni. </w:t>
      </w:r>
    </w:p>
    <w:p w14:paraId="51261B33" w14:textId="24932056" w:rsidR="0026230C" w:rsidRDefault="0026230C" w:rsidP="0026230C">
      <w:pPr>
        <w:rPr>
          <w:rFonts w:ascii="Times New Roman" w:hAnsi="Times New Roman" w:cs="Times New Roman"/>
          <w:szCs w:val="22"/>
          <w:lang w:val="sq-AL" w:eastAsia="en-GB"/>
        </w:rPr>
      </w:pPr>
      <w:r w:rsidRPr="00817921">
        <w:rPr>
          <w:rFonts w:ascii="Times New Roman" w:hAnsi="Times New Roman" w:cs="Times New Roman"/>
          <w:szCs w:val="22"/>
          <w:lang w:val="sq-AL" w:eastAsia="en-GB"/>
        </w:rPr>
        <w:t>Rezulton q</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gabimet në aspektin e përfshirjes s</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familjeve n</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NE janë ulur ndjeshëm në zonat urbane, por ende ekzistojnë përjashtime në zonat rurale për shkak të mungesës së informacionit të saktë për asetet/ pasuritë si toka dhe blegtoria</w:t>
      </w:r>
      <w:r w:rsidRPr="00817921">
        <w:rPr>
          <w:rFonts w:ascii="Times New Roman" w:hAnsi="Times New Roman" w:cs="Times New Roman"/>
          <w:szCs w:val="22"/>
          <w:vertAlign w:val="superscript"/>
          <w:lang w:eastAsia="en-GB"/>
        </w:rPr>
        <w:footnoteReference w:id="118"/>
      </w:r>
      <w:r w:rsidRPr="00817921">
        <w:rPr>
          <w:rFonts w:ascii="Times New Roman" w:hAnsi="Times New Roman" w:cs="Times New Roman"/>
          <w:szCs w:val="22"/>
          <w:vertAlign w:val="subscript"/>
          <w:lang w:val="sq-AL" w:eastAsia="en-GB"/>
        </w:rPr>
        <w:t xml:space="preserve">. </w:t>
      </w:r>
      <w:r w:rsidRPr="00817921">
        <w:rPr>
          <w:rFonts w:ascii="Times New Roman" w:hAnsi="Times New Roman" w:cs="Times New Roman"/>
          <w:szCs w:val="22"/>
          <w:lang w:val="sq-AL" w:eastAsia="en-GB"/>
        </w:rPr>
        <w:t xml:space="preserve"> Ka fakte që provojnë që ekziston mundësia e përjashtimit të familjeve të varfëra, vecanërisht në zona rurale, familje me një person dhe ato që kanë në përbërje të tyre anëtarë të grupmoshës 50-55 vjeç që hasin vështirësi për t’u punësuar. Rregjistri elektronik i ndihmës ekonomike në Sistemin e Menaxhimit të Informacionit, prej vitit 2018, ka një modul të vecantë për rregjistrimin e ankimimeve, por popullimi i tij me të dhëna është i paplotë dhe rastësor dhe përpunimi i tyre gjithashtu</w:t>
      </w:r>
      <w:r w:rsidRPr="00817921">
        <w:rPr>
          <w:rFonts w:ascii="Times New Roman" w:hAnsi="Times New Roman" w:cs="Times New Roman"/>
          <w:szCs w:val="22"/>
          <w:vertAlign w:val="superscript"/>
          <w:lang w:eastAsia="en-GB"/>
        </w:rPr>
        <w:footnoteReference w:id="119"/>
      </w:r>
      <w:r w:rsidRPr="00817921">
        <w:rPr>
          <w:rFonts w:ascii="Times New Roman" w:hAnsi="Times New Roman" w:cs="Times New Roman"/>
          <w:szCs w:val="22"/>
          <w:lang w:val="sq-AL" w:eastAsia="en-GB"/>
        </w:rPr>
        <w:t xml:space="preserve">. Për të gjithë ata që nuk gjejnë zgjidhje në institucionet qendrore dhe vendore të ngarkuara drejtpërdrejtë me zbatimin e skemës së NE, Qeveria Shqiptare ka krijuar platformën e bashkëqeverisjes si një portë ku qytetarët mund të shprehin shqetësimet e tyre për institucionet publike. Ulja e ankimimeve mund të jetë pasojë e presionit që ky kanal komunikimi ka ushtruar mbi institucionet publike për të kryer në kohë funksionet e tyre. </w:t>
      </w:r>
    </w:p>
    <w:p w14:paraId="3B4C4F25" w14:textId="77777777" w:rsidR="00D31E19" w:rsidRPr="00817921" w:rsidRDefault="00D31E19" w:rsidP="0026230C">
      <w:pPr>
        <w:rPr>
          <w:rFonts w:ascii="Times New Roman" w:hAnsi="Times New Roman" w:cs="Times New Roman"/>
          <w:szCs w:val="22"/>
          <w:lang w:val="sq-AL" w:eastAsia="en-GB"/>
        </w:rPr>
      </w:pPr>
    </w:p>
    <w:p w14:paraId="3DEE48B9" w14:textId="4FAA950F" w:rsidR="0026230C" w:rsidRPr="00817921" w:rsidRDefault="00BA600A" w:rsidP="0026230C">
      <w:pPr>
        <w:rPr>
          <w:rFonts w:ascii="Times New Roman" w:hAnsi="Times New Roman" w:cs="Times New Roman"/>
          <w:b/>
          <w:bCs/>
          <w:szCs w:val="22"/>
          <w:lang w:val="sq-AL" w:eastAsia="en-GB"/>
        </w:rPr>
      </w:pPr>
      <w:r w:rsidRPr="00817921">
        <w:rPr>
          <w:rFonts w:ascii="Times New Roman" w:hAnsi="Times New Roman" w:cs="Times New Roman"/>
          <w:b/>
          <w:bCs/>
          <w:szCs w:val="22"/>
          <w:lang w:val="sq-AL" w:eastAsia="en-GB"/>
        </w:rPr>
        <w:t>P</w:t>
      </w:r>
      <w:r w:rsidR="009A5A0E" w:rsidRPr="00817921">
        <w:rPr>
          <w:rFonts w:ascii="Times New Roman" w:hAnsi="Times New Roman" w:cs="Times New Roman"/>
          <w:b/>
          <w:bCs/>
          <w:szCs w:val="22"/>
          <w:lang w:val="sq-AL" w:eastAsia="en-GB"/>
        </w:rPr>
        <w:t>ë</w:t>
      </w:r>
      <w:r w:rsidRPr="00817921">
        <w:rPr>
          <w:rFonts w:ascii="Times New Roman" w:hAnsi="Times New Roman" w:cs="Times New Roman"/>
          <w:b/>
          <w:bCs/>
          <w:szCs w:val="22"/>
          <w:lang w:val="sq-AL" w:eastAsia="en-GB"/>
        </w:rPr>
        <w:t>rshtatshm</w:t>
      </w:r>
      <w:r w:rsidR="009A5A0E" w:rsidRPr="00817921">
        <w:rPr>
          <w:rFonts w:ascii="Times New Roman" w:hAnsi="Times New Roman" w:cs="Times New Roman"/>
          <w:b/>
          <w:bCs/>
          <w:szCs w:val="22"/>
          <w:lang w:val="sq-AL" w:eastAsia="en-GB"/>
        </w:rPr>
        <w:t>ë</w:t>
      </w:r>
      <w:r w:rsidRPr="00817921">
        <w:rPr>
          <w:rFonts w:ascii="Times New Roman" w:hAnsi="Times New Roman" w:cs="Times New Roman"/>
          <w:b/>
          <w:bCs/>
          <w:szCs w:val="22"/>
          <w:lang w:val="sq-AL" w:eastAsia="en-GB"/>
        </w:rPr>
        <w:t>ria</w:t>
      </w:r>
      <w:r w:rsidR="0026230C" w:rsidRPr="00817921">
        <w:rPr>
          <w:rFonts w:ascii="Times New Roman" w:hAnsi="Times New Roman" w:cs="Times New Roman"/>
          <w:b/>
          <w:bCs/>
          <w:szCs w:val="22"/>
          <w:lang w:val="sq-AL" w:eastAsia="en-GB"/>
        </w:rPr>
        <w:t xml:space="preserve"> e </w:t>
      </w:r>
      <w:r w:rsidR="00115639" w:rsidRPr="00817921">
        <w:rPr>
          <w:rFonts w:ascii="Times New Roman" w:hAnsi="Times New Roman" w:cs="Times New Roman"/>
          <w:b/>
          <w:bCs/>
          <w:szCs w:val="22"/>
          <w:lang w:val="sq-AL" w:eastAsia="en-GB"/>
        </w:rPr>
        <w:t xml:space="preserve">përfitimeve në skemën e </w:t>
      </w:r>
      <w:r w:rsidR="0026230C" w:rsidRPr="00817921">
        <w:rPr>
          <w:rFonts w:ascii="Times New Roman" w:hAnsi="Times New Roman" w:cs="Times New Roman"/>
          <w:b/>
          <w:bCs/>
          <w:szCs w:val="22"/>
          <w:lang w:val="sq-AL" w:eastAsia="en-GB"/>
        </w:rPr>
        <w:t>N</w:t>
      </w:r>
      <w:r w:rsidR="00115639" w:rsidRPr="00817921">
        <w:rPr>
          <w:rFonts w:ascii="Times New Roman" w:hAnsi="Times New Roman" w:cs="Times New Roman"/>
          <w:b/>
          <w:bCs/>
          <w:szCs w:val="22"/>
          <w:lang w:val="sq-AL" w:eastAsia="en-GB"/>
        </w:rPr>
        <w:t xml:space="preserve">dihmës </w:t>
      </w:r>
      <w:r w:rsidR="0026230C" w:rsidRPr="00817921">
        <w:rPr>
          <w:rFonts w:ascii="Times New Roman" w:hAnsi="Times New Roman" w:cs="Times New Roman"/>
          <w:b/>
          <w:bCs/>
          <w:szCs w:val="22"/>
          <w:lang w:val="sq-AL" w:eastAsia="en-GB"/>
        </w:rPr>
        <w:t>E</w:t>
      </w:r>
      <w:r w:rsidR="00115639" w:rsidRPr="00817921">
        <w:rPr>
          <w:rFonts w:ascii="Times New Roman" w:hAnsi="Times New Roman" w:cs="Times New Roman"/>
          <w:b/>
          <w:bCs/>
          <w:szCs w:val="22"/>
          <w:lang w:val="sq-AL" w:eastAsia="en-GB"/>
        </w:rPr>
        <w:t>konomike</w:t>
      </w:r>
      <w:r w:rsidR="0026230C" w:rsidRPr="00817921">
        <w:rPr>
          <w:rFonts w:ascii="Times New Roman" w:hAnsi="Times New Roman" w:cs="Times New Roman"/>
          <w:b/>
          <w:bCs/>
          <w:szCs w:val="22"/>
          <w:lang w:val="sq-AL" w:eastAsia="en-GB"/>
        </w:rPr>
        <w:t xml:space="preserve">. </w:t>
      </w:r>
      <w:r w:rsidR="0026230C" w:rsidRPr="00817921">
        <w:rPr>
          <w:rFonts w:ascii="Times New Roman" w:hAnsi="Times New Roman" w:cs="Times New Roman"/>
          <w:szCs w:val="22"/>
          <w:lang w:val="sq-AL" w:eastAsia="en-GB"/>
        </w:rPr>
        <w:t>Legjislacioni shqiptar përcakton masën e përfitimit nga programi i ndihmës ekonomike që ka për bazë përbërjen e familjes dhe madhësinë e saj. Vlera e përfitimit të NE është si më poshtë: (i) 1,800.00 lek për familjet me një të rritur, 3,060.00 lek për familjet me dy të rritur, 4,320.00 lek për familjet me 3 të rritur dhe 5,580.00 lek për familjet me katër të rritur; (ii) 2,700.00 lek për familjet me nje të rritur dhe një fëmijë; (iii) 3,960 lek për familjet me dy të rritur dhe një fëmijë; (iv) 4,860.00 lek për familjet me dy të rritur dhe dy fëmijë; (v) 5,760.00 lek për familjet me dy të rritur dhe tre fëmijë. Familjet përfituese të NE janë më së shumti me 3, 4 dhe 5 anëtarë</w:t>
      </w:r>
      <w:r w:rsidR="0026230C" w:rsidRPr="00817921">
        <w:rPr>
          <w:rFonts w:ascii="Times New Roman" w:hAnsi="Times New Roman" w:cs="Times New Roman"/>
          <w:szCs w:val="22"/>
          <w:vertAlign w:val="superscript"/>
          <w:lang w:val="sq-AL" w:eastAsia="en-GB"/>
        </w:rPr>
        <w:footnoteReference w:id="120"/>
      </w:r>
      <w:r w:rsidR="0026230C" w:rsidRPr="00817921">
        <w:rPr>
          <w:rFonts w:ascii="Times New Roman" w:hAnsi="Times New Roman" w:cs="Times New Roman"/>
          <w:szCs w:val="22"/>
          <w:vertAlign w:val="superscript"/>
          <w:lang w:val="sq-AL" w:eastAsia="en-GB"/>
        </w:rPr>
        <w:t>.</w:t>
      </w:r>
      <w:r w:rsidR="0026230C" w:rsidRPr="00817921">
        <w:rPr>
          <w:rFonts w:ascii="Times New Roman" w:hAnsi="Times New Roman" w:cs="Times New Roman"/>
          <w:szCs w:val="22"/>
          <w:lang w:val="sq-AL" w:eastAsia="en-GB"/>
        </w:rPr>
        <w:t xml:space="preserve"> Shuma maksimale e ndihmës ekonomike është vendosur në masën 150 për qind të pensionit social. Ligji nr. 57/2019 “Për Asistencën Sociale” shfuqizoi dispozitën për ofrimin e pagesës së pjesshme të Ndihmës Ekonomike, duke parashikuar kështu ofrimin e pagesës së plotë për të gjithë përfituesit</w:t>
      </w:r>
      <w:r w:rsidR="0026230C" w:rsidRPr="00817921">
        <w:rPr>
          <w:rFonts w:ascii="Times New Roman" w:hAnsi="Times New Roman" w:cs="Times New Roman"/>
          <w:szCs w:val="22"/>
          <w:vertAlign w:val="superscript"/>
          <w:lang w:eastAsia="en-GB"/>
        </w:rPr>
        <w:footnoteReference w:id="121"/>
      </w:r>
      <w:r w:rsidR="0026230C" w:rsidRPr="00817921">
        <w:rPr>
          <w:rFonts w:ascii="Times New Roman" w:hAnsi="Times New Roman" w:cs="Times New Roman"/>
          <w:szCs w:val="22"/>
          <w:lang w:val="sq-AL" w:eastAsia="en-GB"/>
        </w:rPr>
        <w:t xml:space="preserve">. </w:t>
      </w:r>
    </w:p>
    <w:p w14:paraId="7968A8D6" w14:textId="7128AE8D" w:rsidR="0026230C" w:rsidRPr="00817921" w:rsidRDefault="0026230C" w:rsidP="00662AA4">
      <w:pPr>
        <w:pStyle w:val="NormalWeb"/>
        <w:rPr>
          <w:szCs w:val="22"/>
          <w:lang w:val="sq-AL"/>
        </w:rPr>
      </w:pPr>
      <w:r w:rsidRPr="00817921">
        <w:rPr>
          <w:szCs w:val="22"/>
          <w:lang w:val="sq-AL"/>
        </w:rPr>
        <w:t>Në vitin 2021 u bënë disa rishikime të masës së NE për kategori të caktuara si: dyfishimi i masës së NE për familjet me 3 e më shumë fëmijë ndërsa familjet e tjera një shtesë prej 10%, dhe trefishim të pagesës përjetimët, viktimat e trafikimit dhe viktimat e dhunës në marrëdhëniet familjare</w:t>
      </w:r>
      <w:r w:rsidRPr="00817921">
        <w:rPr>
          <w:szCs w:val="22"/>
          <w:vertAlign w:val="superscript"/>
        </w:rPr>
        <w:footnoteReference w:id="122"/>
      </w:r>
      <w:r w:rsidRPr="00817921">
        <w:rPr>
          <w:szCs w:val="22"/>
          <w:lang w:val="sq-AL"/>
        </w:rPr>
        <w:t>. Në vitin 2022 u krye një rritje tjetër e masës së NE për kategori të tjera si dyfishim i pagesës për gratë kryefamiljare me deri dy fëmijë dhe dyfishim për personat mbi 65 vjeç, të cilët nuk përfitojnë pension pleqërie apo pension social. Familjet e tjera të skemës përfituan edhe 10% më shumë mbi rritjen e fillim vitit 2022</w:t>
      </w:r>
      <w:r w:rsidRPr="00817921">
        <w:rPr>
          <w:szCs w:val="22"/>
          <w:vertAlign w:val="superscript"/>
        </w:rPr>
        <w:footnoteReference w:id="123"/>
      </w:r>
      <w:r w:rsidRPr="00817921">
        <w:rPr>
          <w:szCs w:val="22"/>
          <w:lang w:val="sq-AL"/>
        </w:rPr>
        <w:t xml:space="preserve">. </w:t>
      </w:r>
      <w:r w:rsidR="00662AA4" w:rsidRPr="00817921">
        <w:rPr>
          <w:szCs w:val="22"/>
          <w:lang w:val="sq-AL"/>
        </w:rPr>
        <w:t>Vitet e fundit, nj</w:t>
      </w:r>
      <w:r w:rsidR="009A5A0E" w:rsidRPr="00817921">
        <w:rPr>
          <w:szCs w:val="22"/>
          <w:lang w:val="sq-AL"/>
        </w:rPr>
        <w:t>ë</w:t>
      </w:r>
      <w:r w:rsidR="00662AA4" w:rsidRPr="00817921">
        <w:rPr>
          <w:szCs w:val="22"/>
          <w:lang w:val="sq-AL"/>
        </w:rPr>
        <w:t xml:space="preserve"> numër në rritje e grave rome dhe egjiptiane jan</w:t>
      </w:r>
      <w:r w:rsidR="009A5A0E" w:rsidRPr="00817921">
        <w:rPr>
          <w:szCs w:val="22"/>
          <w:lang w:val="sq-AL"/>
        </w:rPr>
        <w:t>ë</w:t>
      </w:r>
      <w:r w:rsidR="00662AA4" w:rsidRPr="00817921">
        <w:rPr>
          <w:szCs w:val="22"/>
          <w:lang w:val="sq-AL"/>
        </w:rPr>
        <w:t xml:space="preserve"> mb</w:t>
      </w:r>
      <w:r w:rsidR="009A5A0E" w:rsidRPr="00817921">
        <w:rPr>
          <w:szCs w:val="22"/>
          <w:lang w:val="sq-AL"/>
        </w:rPr>
        <w:t>ë</w:t>
      </w:r>
      <w:r w:rsidR="00662AA4" w:rsidRPr="00817921">
        <w:rPr>
          <w:szCs w:val="22"/>
          <w:lang w:val="sq-AL"/>
        </w:rPr>
        <w:t>shtetur me ndihmë/përfitime ekonomike apo janë përfshirë në programet e riintegrimit (nga 112 gra rome dhe 89 gra egjiptiane në vitin 2016 n</w:t>
      </w:r>
      <w:r w:rsidR="009A5A0E" w:rsidRPr="00817921">
        <w:rPr>
          <w:szCs w:val="22"/>
          <w:lang w:val="sq-AL"/>
        </w:rPr>
        <w:t>ë</w:t>
      </w:r>
      <w:r w:rsidR="00662AA4" w:rsidRPr="00817921">
        <w:rPr>
          <w:szCs w:val="22"/>
          <w:lang w:val="sq-AL"/>
        </w:rPr>
        <w:t xml:space="preserve"> 1,785 gra rome dhe 846 gra egjiptiane në vitin 2019</w:t>
      </w:r>
      <w:r w:rsidR="00662AA4" w:rsidRPr="00817921">
        <w:rPr>
          <w:szCs w:val="22"/>
          <w:vertAlign w:val="superscript"/>
          <w:lang w:val="sq-AL"/>
        </w:rPr>
        <w:footnoteReference w:id="124"/>
      </w:r>
      <w:r w:rsidR="00662AA4" w:rsidRPr="00817921">
        <w:rPr>
          <w:szCs w:val="22"/>
          <w:lang w:val="sq-AL"/>
        </w:rPr>
        <w:t>. Në lidhje me mbështetjen e grave të dhunuara, të cilat kanë një urdhër mbrojtjeje, janë trajtuar me pagesë 3,000 lekë (rreth 25 euro) në muaj 408 gra në vitin 2018, 509 gra në vitin 2019, dhe 603 gra në vitin 2020. Kurse viktima të trafikimit të trajtuara me pagesen 3,000 lekë (rreth 25 euro) në muaj janë 11 raste për vitin 2018, 9 raste për vitin 2019 dhe 10 raste për vitin 2020</w:t>
      </w:r>
      <w:r w:rsidR="00662AA4" w:rsidRPr="00817921">
        <w:rPr>
          <w:szCs w:val="22"/>
          <w:vertAlign w:val="superscript"/>
          <w:lang w:val="sq-AL"/>
        </w:rPr>
        <w:footnoteReference w:id="125"/>
      </w:r>
      <w:r w:rsidR="00662AA4" w:rsidRPr="00817921">
        <w:rPr>
          <w:szCs w:val="22"/>
          <w:lang w:val="sq-AL"/>
        </w:rPr>
        <w:t>.</w:t>
      </w:r>
      <w:r w:rsidR="00BA59AD">
        <w:rPr>
          <w:szCs w:val="22"/>
          <w:lang w:val="sq-AL"/>
        </w:rPr>
        <w:t xml:space="preserve">Në vitin 2022 u trefishua pagesa e tyre. </w:t>
      </w:r>
    </w:p>
    <w:p w14:paraId="3F220C75" w14:textId="49E228A3" w:rsidR="0026230C" w:rsidRDefault="0026230C" w:rsidP="0026230C">
      <w:pPr>
        <w:rPr>
          <w:rFonts w:ascii="Times New Roman" w:hAnsi="Times New Roman" w:cs="Times New Roman"/>
          <w:szCs w:val="22"/>
          <w:lang w:val="sq-AL" w:eastAsia="en-GB"/>
        </w:rPr>
      </w:pPr>
      <w:r w:rsidRPr="00817921">
        <w:rPr>
          <w:rFonts w:ascii="Times New Roman" w:hAnsi="Times New Roman" w:cs="Times New Roman"/>
          <w:szCs w:val="22"/>
          <w:lang w:val="sq-AL" w:eastAsia="en-GB"/>
        </w:rPr>
        <w:t xml:space="preserve">Familjet përfituese </w:t>
      </w:r>
      <w:r w:rsidR="002307F4" w:rsidRPr="00817921">
        <w:rPr>
          <w:rFonts w:ascii="Times New Roman" w:hAnsi="Times New Roman" w:cs="Times New Roman"/>
          <w:szCs w:val="22"/>
          <w:lang w:val="sq-AL" w:eastAsia="en-GB"/>
        </w:rPr>
        <w:t>t</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 xml:space="preserve"> ndihm</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s ekonomike jan</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 xml:space="preserve"> p</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rfituese dhe t</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 xml:space="preserve"> nj</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 xml:space="preserve"> numri p</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rfitimesh t</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 xml:space="preserve"> tjera si </w:t>
      </w:r>
      <w:r w:rsidRPr="00817921">
        <w:rPr>
          <w:rFonts w:ascii="Times New Roman" w:hAnsi="Times New Roman" w:cs="Times New Roman"/>
          <w:szCs w:val="22"/>
          <w:lang w:val="sq-AL" w:eastAsia="en-GB"/>
        </w:rPr>
        <w:t>kompensim</w:t>
      </w:r>
      <w:r w:rsidR="002307F4" w:rsidRPr="00817921">
        <w:rPr>
          <w:rFonts w:ascii="Times New Roman" w:hAnsi="Times New Roman" w:cs="Times New Roman"/>
          <w:szCs w:val="22"/>
          <w:lang w:val="sq-AL" w:eastAsia="en-GB"/>
        </w:rPr>
        <w:t>i</w:t>
      </w:r>
      <w:r w:rsidRPr="00817921">
        <w:rPr>
          <w:rFonts w:ascii="Times New Roman" w:hAnsi="Times New Roman" w:cs="Times New Roman"/>
          <w:szCs w:val="22"/>
          <w:lang w:val="sq-AL" w:eastAsia="en-GB"/>
        </w:rPr>
        <w:t xml:space="preserve"> për konsumin e energjisë elektrike</w:t>
      </w:r>
      <w:r w:rsidR="002307F4" w:rsidRPr="00817921">
        <w:rPr>
          <w:rFonts w:ascii="Times New Roman" w:hAnsi="Times New Roman" w:cs="Times New Roman"/>
          <w:szCs w:val="22"/>
          <w:lang w:val="sq-AL" w:eastAsia="en-GB"/>
        </w:rPr>
        <w:t>; subvencionimi</w:t>
      </w:r>
      <w:r w:rsidRPr="00817921">
        <w:rPr>
          <w:rFonts w:ascii="Times New Roman" w:hAnsi="Times New Roman" w:cs="Times New Roman"/>
          <w:szCs w:val="22"/>
          <w:lang w:val="sq-AL" w:eastAsia="en-GB"/>
        </w:rPr>
        <w:t xml:space="preserve"> </w:t>
      </w:r>
      <w:r w:rsidR="002307F4" w:rsidRPr="00817921">
        <w:rPr>
          <w:rFonts w:ascii="Times New Roman" w:hAnsi="Times New Roman" w:cs="Times New Roman"/>
          <w:szCs w:val="22"/>
          <w:lang w:val="sq-AL" w:eastAsia="en-GB"/>
        </w:rPr>
        <w:t>i</w:t>
      </w:r>
      <w:r w:rsidRPr="00817921">
        <w:rPr>
          <w:rFonts w:ascii="Times New Roman" w:hAnsi="Times New Roman" w:cs="Times New Roman"/>
          <w:szCs w:val="22"/>
          <w:lang w:val="sq-AL" w:eastAsia="en-GB"/>
        </w:rPr>
        <w:t xml:space="preserve"> familje</w:t>
      </w:r>
      <w:r w:rsidR="002307F4" w:rsidRPr="00817921">
        <w:rPr>
          <w:rFonts w:ascii="Times New Roman" w:hAnsi="Times New Roman" w:cs="Times New Roman"/>
          <w:szCs w:val="22"/>
          <w:lang w:val="sq-AL" w:eastAsia="en-GB"/>
        </w:rPr>
        <w:t>ve</w:t>
      </w:r>
      <w:r w:rsidRPr="00817921">
        <w:rPr>
          <w:rFonts w:ascii="Times New Roman" w:hAnsi="Times New Roman" w:cs="Times New Roman"/>
          <w:szCs w:val="22"/>
          <w:lang w:val="sq-AL" w:eastAsia="en-GB"/>
        </w:rPr>
        <w:t xml:space="preserve"> me fëmijë </w:t>
      </w:r>
      <w:r w:rsidR="002307F4" w:rsidRPr="00817921">
        <w:rPr>
          <w:rFonts w:ascii="Times New Roman" w:hAnsi="Times New Roman" w:cs="Times New Roman"/>
          <w:szCs w:val="22"/>
          <w:lang w:val="sq-AL" w:eastAsia="en-GB"/>
        </w:rPr>
        <w:t>n</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 xml:space="preserve"> mas</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n</w:t>
      </w:r>
      <w:r w:rsidRPr="00817921">
        <w:rPr>
          <w:rFonts w:ascii="Times New Roman" w:hAnsi="Times New Roman" w:cs="Times New Roman"/>
          <w:szCs w:val="22"/>
          <w:lang w:val="sq-AL" w:eastAsia="en-GB"/>
        </w:rPr>
        <w:t xml:space="preserve"> 300 lekë për çdo fëmijë deri në moshën 15 vjeç që ndjek shkollën</w:t>
      </w:r>
      <w:r w:rsidR="002307F4" w:rsidRPr="00817921">
        <w:rPr>
          <w:rFonts w:ascii="Times New Roman" w:hAnsi="Times New Roman" w:cs="Times New Roman"/>
          <w:szCs w:val="22"/>
          <w:lang w:val="sq-AL" w:eastAsia="en-GB"/>
        </w:rPr>
        <w:t>;</w:t>
      </w:r>
      <w:r w:rsidRPr="00817921">
        <w:rPr>
          <w:rFonts w:ascii="Times New Roman" w:hAnsi="Times New Roman" w:cs="Times New Roman"/>
          <w:szCs w:val="22"/>
          <w:lang w:val="sq-AL" w:eastAsia="en-GB"/>
        </w:rPr>
        <w:t xml:space="preserve"> </w:t>
      </w:r>
      <w:r w:rsidR="002307F4" w:rsidRPr="00817921">
        <w:rPr>
          <w:rFonts w:ascii="Times New Roman" w:hAnsi="Times New Roman" w:cs="Times New Roman"/>
          <w:szCs w:val="22"/>
          <w:lang w:val="sq-AL" w:eastAsia="en-GB"/>
        </w:rPr>
        <w:t xml:space="preserve">kompensimi me </w:t>
      </w:r>
      <w:r w:rsidRPr="00817921">
        <w:rPr>
          <w:rFonts w:ascii="Times New Roman" w:hAnsi="Times New Roman" w:cs="Times New Roman"/>
          <w:szCs w:val="22"/>
          <w:lang w:val="sq-AL" w:eastAsia="en-GB"/>
        </w:rPr>
        <w:t xml:space="preserve">110 lekë për çdo vaksinim të </w:t>
      </w:r>
      <w:r w:rsidR="002307F4" w:rsidRPr="00817921">
        <w:rPr>
          <w:rFonts w:ascii="Times New Roman" w:hAnsi="Times New Roman" w:cs="Times New Roman"/>
          <w:szCs w:val="22"/>
          <w:lang w:val="sq-AL" w:eastAsia="en-GB"/>
        </w:rPr>
        <w:t>kryer; 100 lekë shtesë për fëmijë në muaj p</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r f</w:t>
      </w:r>
      <w:r w:rsidRPr="00817921">
        <w:rPr>
          <w:rFonts w:ascii="Times New Roman" w:hAnsi="Times New Roman" w:cs="Times New Roman"/>
          <w:szCs w:val="22"/>
          <w:lang w:val="sq-AL" w:eastAsia="en-GB"/>
        </w:rPr>
        <w:t>amiljet me trenjakë, katërnjakë dhe pesënjakë</w:t>
      </w:r>
      <w:r w:rsidR="002307F4" w:rsidRPr="00817921">
        <w:rPr>
          <w:rFonts w:ascii="Times New Roman" w:hAnsi="Times New Roman" w:cs="Times New Roman"/>
          <w:szCs w:val="22"/>
          <w:lang w:val="sq-AL" w:eastAsia="en-GB"/>
        </w:rPr>
        <w:t xml:space="preserve">; 9,900 lekë në muaj </w:t>
      </w:r>
      <w:r w:rsidRPr="00817921">
        <w:rPr>
          <w:rFonts w:ascii="Times New Roman" w:hAnsi="Times New Roman" w:cs="Times New Roman"/>
          <w:szCs w:val="22"/>
          <w:lang w:val="sq-AL" w:eastAsia="en-GB"/>
        </w:rPr>
        <w:t>për gratë e trafikuara dhe viktimat e dhunës në familje</w:t>
      </w:r>
      <w:r w:rsidR="002307F4" w:rsidRPr="00817921">
        <w:rPr>
          <w:rFonts w:ascii="Times New Roman" w:hAnsi="Times New Roman" w:cs="Times New Roman"/>
          <w:szCs w:val="22"/>
          <w:lang w:val="sq-AL" w:eastAsia="en-GB"/>
        </w:rPr>
        <w:t>; s</w:t>
      </w:r>
      <w:r w:rsidRPr="00817921">
        <w:rPr>
          <w:rFonts w:ascii="Times New Roman" w:hAnsi="Times New Roman" w:cs="Times New Roman"/>
          <w:szCs w:val="22"/>
          <w:lang w:val="sq-AL" w:eastAsia="en-GB"/>
        </w:rPr>
        <w:t xml:space="preserve">hërbime shëndetësore falas në institucionet e kujdesit shëndetësor parësor dhe sekondar; Çerdhe dhe kopshte falas; Shkollim universitar falas; Bursa për studime universitare; Tekstet shkollore falas për arsimin e detyrueshëm; Përfitime nga programet sociale të strehimit; (vii) Përjashtim nga tarifat për regjistrimin e pasurive të paluajtshme. Vlera totale e pagesës së Ndihmës Ekonomike do të ishte më e lartë nëse vlerësoheshin në lek përfitimet </w:t>
      </w:r>
      <w:r w:rsidR="002307F4" w:rsidRPr="00817921">
        <w:rPr>
          <w:rFonts w:ascii="Times New Roman" w:hAnsi="Times New Roman" w:cs="Times New Roman"/>
          <w:szCs w:val="22"/>
          <w:lang w:val="sq-AL" w:eastAsia="en-GB"/>
        </w:rPr>
        <w:t>shtes</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 xml:space="preserve"> n</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 xml:space="preserve"> vler</w:t>
      </w:r>
      <w:r w:rsidR="009A5A0E" w:rsidRPr="00817921">
        <w:rPr>
          <w:rFonts w:ascii="Times New Roman" w:hAnsi="Times New Roman" w:cs="Times New Roman"/>
          <w:szCs w:val="22"/>
          <w:lang w:val="sq-AL" w:eastAsia="en-GB"/>
        </w:rPr>
        <w:t>ë</w:t>
      </w:r>
      <w:r w:rsidR="002307F4" w:rsidRPr="00817921">
        <w:rPr>
          <w:rFonts w:ascii="Times New Roman" w:hAnsi="Times New Roman" w:cs="Times New Roman"/>
          <w:szCs w:val="22"/>
          <w:lang w:val="sq-AL" w:eastAsia="en-GB"/>
        </w:rPr>
        <w:t xml:space="preserve"> dhe </w:t>
      </w:r>
      <w:r w:rsidRPr="00817921">
        <w:rPr>
          <w:rFonts w:ascii="Times New Roman" w:hAnsi="Times New Roman" w:cs="Times New Roman"/>
          <w:szCs w:val="22"/>
          <w:lang w:val="sq-AL" w:eastAsia="en-GB"/>
        </w:rPr>
        <w:t xml:space="preserve">në natyrë. </w:t>
      </w:r>
    </w:p>
    <w:p w14:paraId="043DD0A2" w14:textId="77777777" w:rsidR="0049394A" w:rsidRPr="00817921" w:rsidRDefault="0049394A" w:rsidP="0026230C">
      <w:pPr>
        <w:rPr>
          <w:rFonts w:ascii="Times New Roman" w:hAnsi="Times New Roman" w:cs="Times New Roman"/>
          <w:szCs w:val="22"/>
          <w:lang w:val="sq-AL" w:eastAsia="en-GB"/>
        </w:rPr>
      </w:pPr>
    </w:p>
    <w:p w14:paraId="1844C1F1" w14:textId="77777777" w:rsidR="0026230C" w:rsidRPr="00817921" w:rsidRDefault="0026230C" w:rsidP="0026230C">
      <w:pPr>
        <w:rPr>
          <w:rFonts w:ascii="Times New Roman" w:hAnsi="Times New Roman" w:cs="Times New Roman"/>
          <w:szCs w:val="22"/>
          <w:lang w:val="sq-AL" w:eastAsia="en-GB"/>
        </w:rPr>
      </w:pPr>
      <w:r w:rsidRPr="00817921">
        <w:rPr>
          <w:rFonts w:ascii="Times New Roman" w:hAnsi="Times New Roman" w:cs="Times New Roman"/>
          <w:szCs w:val="22"/>
          <w:lang w:val="sq-AL" w:eastAsia="en-GB"/>
        </w:rPr>
        <w:t>Ndonëse legjislacioni nuk përcakton minimumin e nevojave që duhen plotësuar nëpërmjet NE, ekziston kufiri i varfërisë që përfaqëson minimumin e të ardhurave që një individ duhet të disponojë për të mos u konsideruar në rrezik varfërie. Ky nivel të ardhurash ka rezultuar 191.791 lek/year në vitin 2021 dhe është orientues në vlerësimin se nivelit të NE. Në vlerat e vitit 2022, pagesa e Ndihmës Ekonomike rezulton ende e ulët në raport me kufirin e të ardhurave në rrezik varfërie apo me pagën minimale.</w:t>
      </w:r>
    </w:p>
    <w:p w14:paraId="20D1016F" w14:textId="5CF1505D" w:rsidR="0026230C" w:rsidRPr="00817921" w:rsidRDefault="0026230C" w:rsidP="0026230C">
      <w:pPr>
        <w:rPr>
          <w:rFonts w:ascii="Times New Roman" w:hAnsi="Times New Roman" w:cs="Times New Roman"/>
          <w:b/>
          <w:bCs/>
          <w:szCs w:val="22"/>
          <w:lang w:val="sq-AL" w:eastAsia="en-GB"/>
        </w:rPr>
      </w:pPr>
      <w:r w:rsidRPr="00817921">
        <w:rPr>
          <w:rFonts w:ascii="Times New Roman" w:hAnsi="Times New Roman" w:cs="Times New Roman"/>
          <w:b/>
          <w:bCs/>
          <w:szCs w:val="22"/>
          <w:lang w:val="sq-AL" w:eastAsia="en-GB"/>
        </w:rPr>
        <w:t xml:space="preserve">Dalja nga skema e NE. </w:t>
      </w:r>
      <w:r w:rsidRPr="00817921">
        <w:rPr>
          <w:rFonts w:ascii="Times New Roman" w:hAnsi="Times New Roman" w:cs="Times New Roman"/>
          <w:szCs w:val="22"/>
          <w:lang w:val="sq-AL" w:eastAsia="en-GB"/>
        </w:rPr>
        <w:t>Ligji nr. 57/2019 “Për Asistencën Sociale”</w:t>
      </w:r>
      <w:r w:rsidRPr="00817921">
        <w:rPr>
          <w:rFonts w:ascii="Times New Roman" w:hAnsi="Times New Roman" w:cs="Times New Roman"/>
          <w:szCs w:val="22"/>
          <w:vertAlign w:val="superscript"/>
          <w:lang w:val="sq-AL" w:eastAsia="en-GB"/>
        </w:rPr>
        <w:footnoteReference w:id="126"/>
      </w:r>
      <w:r w:rsidRPr="00817921">
        <w:rPr>
          <w:rFonts w:ascii="Times New Roman" w:hAnsi="Times New Roman" w:cs="Times New Roman"/>
          <w:szCs w:val="22"/>
          <w:vertAlign w:val="superscript"/>
          <w:lang w:val="sq-AL" w:eastAsia="en-GB"/>
        </w:rPr>
        <w:t xml:space="preserve"> </w:t>
      </w:r>
      <w:r w:rsidRPr="00817921">
        <w:rPr>
          <w:rFonts w:ascii="Times New Roman" w:hAnsi="Times New Roman" w:cs="Times New Roman"/>
          <w:szCs w:val="22"/>
          <w:lang w:val="sq-AL" w:eastAsia="en-GB"/>
        </w:rPr>
        <w:t>parashikon që pagesa e Ndihmës Ekonomike kufizohet në kohë për një periudhë jo më shumë se 5 (pesë) vjet, me përjashtim të përfituesve mbi moshën e pensionit dhe nënave me fëmijë në ngarkim. Kjo nënkupton që përfituesit në moshë pune pritet të dalin të pavarur dhe të ri integrohen në tregun e punës brenda kësaj periudhe pesëvjeçare. Në zbatim të ligjit, me një vendim të qeverisë</w:t>
      </w:r>
      <w:r w:rsidRPr="00817921">
        <w:rPr>
          <w:rFonts w:ascii="Times New Roman" w:hAnsi="Times New Roman" w:cs="Times New Roman"/>
          <w:szCs w:val="22"/>
          <w:vertAlign w:val="superscript"/>
          <w:lang w:val="sq-AL" w:eastAsia="en-GB"/>
        </w:rPr>
        <w:footnoteReference w:id="127"/>
      </w:r>
      <w:r w:rsidRPr="00817921">
        <w:rPr>
          <w:rFonts w:ascii="Times New Roman" w:hAnsi="Times New Roman" w:cs="Times New Roman"/>
          <w:szCs w:val="22"/>
          <w:vertAlign w:val="superscript"/>
          <w:lang w:val="sq-AL" w:eastAsia="en-GB"/>
        </w:rPr>
        <w:t xml:space="preserve"> </w:t>
      </w:r>
      <w:r w:rsidRPr="00817921">
        <w:rPr>
          <w:rFonts w:ascii="Times New Roman" w:hAnsi="Times New Roman" w:cs="Times New Roman"/>
          <w:szCs w:val="22"/>
          <w:lang w:val="sq-AL" w:eastAsia="en-GB"/>
        </w:rPr>
        <w:t xml:space="preserve">u përcaktua mekanizmi i bashkërendimit ndërinstitucional të punës për referimin për punësim të individëve dhe anëtarëve në moshë aktive pune të familjeve përfituese të ndihmës ekonomike, i cili parashikonte Programin Kombëtar për Daljen nga skema e Ndihmës Ekonomike për përfituesit në moshë pune. Aktualisht </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sht</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aktivizuar mekanizmi i referimit mbi baz</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n e t</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cilit funksionojnë 12 komisione rajonale vlerësimi</w:t>
      </w:r>
      <w:r w:rsidRPr="00817921">
        <w:rPr>
          <w:rFonts w:ascii="Times New Roman" w:hAnsi="Times New Roman" w:cs="Times New Roman"/>
          <w:szCs w:val="22"/>
          <w:vertAlign w:val="superscript"/>
          <w:lang w:val="sq-AL" w:eastAsia="en-GB"/>
        </w:rPr>
        <w:footnoteReference w:id="128"/>
      </w:r>
      <w:r w:rsidRPr="00817921">
        <w:rPr>
          <w:rFonts w:ascii="Times New Roman" w:hAnsi="Times New Roman" w:cs="Times New Roman"/>
          <w:szCs w:val="22"/>
          <w:lang w:val="sq-AL" w:eastAsia="en-GB"/>
        </w:rPr>
        <w:t xml:space="preserve"> q</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kryejn</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referimin për punësim të përfituesve në moshë pune. Gjatë vitit 2022 komisionet rajonale kanë përgatitur 17,000 profile të përfituesve dhe i kanë referuar pranë Zyrave të Punësimit, janë punësuar 2,501 individë nga skema e NE dhe janë regjistruar në formim profesional 1,077 individë</w:t>
      </w:r>
      <w:r w:rsidRPr="00817921">
        <w:rPr>
          <w:rFonts w:ascii="Times New Roman" w:hAnsi="Times New Roman" w:cs="Times New Roman"/>
          <w:szCs w:val="22"/>
          <w:vertAlign w:val="superscript"/>
          <w:lang w:val="sq-AL" w:eastAsia="en-GB"/>
        </w:rPr>
        <w:footnoteReference w:id="129"/>
      </w:r>
      <w:r w:rsidRPr="00817921">
        <w:rPr>
          <w:rFonts w:ascii="Times New Roman" w:hAnsi="Times New Roman" w:cs="Times New Roman"/>
          <w:szCs w:val="22"/>
          <w:lang w:val="sq-AL" w:eastAsia="en-GB"/>
        </w:rPr>
        <w:t xml:space="preserve">. </w:t>
      </w:r>
    </w:p>
    <w:p w14:paraId="3F8B3D4E" w14:textId="77777777" w:rsidR="0049394A" w:rsidRDefault="0049394A" w:rsidP="0026230C">
      <w:pPr>
        <w:rPr>
          <w:rFonts w:ascii="Times New Roman" w:hAnsi="Times New Roman" w:cs="Times New Roman"/>
          <w:b/>
          <w:bCs/>
          <w:szCs w:val="22"/>
          <w:lang w:val="sq-AL" w:eastAsia="en-GB"/>
        </w:rPr>
      </w:pPr>
    </w:p>
    <w:p w14:paraId="0D30D2B9" w14:textId="30A4DBA6" w:rsidR="0026230C" w:rsidRPr="00817921" w:rsidRDefault="0026230C" w:rsidP="0026230C">
      <w:pPr>
        <w:rPr>
          <w:rFonts w:ascii="Times New Roman" w:hAnsi="Times New Roman" w:cs="Times New Roman"/>
          <w:b/>
          <w:bCs/>
          <w:szCs w:val="22"/>
          <w:lang w:val="sq-AL" w:eastAsia="en-GB"/>
        </w:rPr>
      </w:pPr>
      <w:r w:rsidRPr="00817921">
        <w:rPr>
          <w:rFonts w:ascii="Times New Roman" w:hAnsi="Times New Roman" w:cs="Times New Roman"/>
          <w:b/>
          <w:bCs/>
          <w:szCs w:val="22"/>
          <w:lang w:val="sq-AL" w:eastAsia="en-GB"/>
        </w:rPr>
        <w:t xml:space="preserve">Administrimi i Programit të Ndihmës Ekonomike. </w:t>
      </w:r>
      <w:r w:rsidRPr="00817921">
        <w:rPr>
          <w:rFonts w:ascii="Times New Roman" w:hAnsi="Times New Roman" w:cs="Times New Roman"/>
          <w:szCs w:val="22"/>
          <w:lang w:val="sq-AL" w:eastAsia="en-GB"/>
        </w:rPr>
        <w:t xml:space="preserve">Sipas ligjit nr. 57/2019 “Për Asistencën Sociale”, grupet që përfitojnë nga skema e mbështetjes me ndihmë ekonomike janë: familjet në nevojë me të ardhura të pamjaftueshme; jetimët që nuk janë të sistemuar në institucionet e përkujdesit social; prindërit me më shumë se dy fëmijë të lindur në të njëjtën kohë; viktimat e trafikimit; dhe viktimat e dhunës në familje. </w:t>
      </w:r>
      <w:r w:rsidR="00AB4D37">
        <w:rPr>
          <w:rFonts w:ascii="Times New Roman" w:hAnsi="Times New Roman" w:cs="Times New Roman"/>
          <w:szCs w:val="22"/>
          <w:lang w:val="sq-AL" w:eastAsia="en-GB"/>
        </w:rPr>
        <w:t>Proçes</w:t>
      </w:r>
      <w:r w:rsidRPr="00817921">
        <w:rPr>
          <w:rFonts w:ascii="Times New Roman" w:hAnsi="Times New Roman" w:cs="Times New Roman"/>
          <w:szCs w:val="22"/>
          <w:lang w:val="sq-AL" w:eastAsia="en-GB"/>
        </w:rPr>
        <w:t>i i aplikimit për mbështetje nga programi i ndihmës ekonomike fillon nga kryefamiljari</w:t>
      </w:r>
      <w:r w:rsidR="00E040F2" w:rsidRPr="00817921">
        <w:rPr>
          <w:rFonts w:ascii="Times New Roman" w:hAnsi="Times New Roman" w:cs="Times New Roman"/>
          <w:szCs w:val="22"/>
          <w:lang w:val="sq-AL" w:eastAsia="en-GB"/>
        </w:rPr>
        <w:t>,</w:t>
      </w:r>
      <w:r w:rsidRPr="00817921">
        <w:rPr>
          <w:rFonts w:ascii="Times New Roman" w:hAnsi="Times New Roman" w:cs="Times New Roman"/>
          <w:szCs w:val="22"/>
          <w:lang w:val="sq-AL" w:eastAsia="en-GB"/>
        </w:rPr>
        <w:t xml:space="preserve"> asistohet </w:t>
      </w:r>
      <w:r w:rsidR="00E040F2" w:rsidRPr="00817921">
        <w:rPr>
          <w:rFonts w:ascii="Times New Roman" w:hAnsi="Times New Roman" w:cs="Times New Roman"/>
          <w:szCs w:val="22"/>
          <w:lang w:val="sq-AL" w:eastAsia="en-GB"/>
        </w:rPr>
        <w:t xml:space="preserve">dhe verifikohet </w:t>
      </w:r>
      <w:r w:rsidRPr="00817921">
        <w:rPr>
          <w:rFonts w:ascii="Times New Roman" w:hAnsi="Times New Roman" w:cs="Times New Roman"/>
          <w:szCs w:val="22"/>
          <w:lang w:val="sq-AL" w:eastAsia="en-GB"/>
        </w:rPr>
        <w:t>nga administratori shoqëror</w:t>
      </w:r>
      <w:r w:rsidR="00E040F2" w:rsidRPr="00817921">
        <w:rPr>
          <w:rFonts w:ascii="Times New Roman" w:hAnsi="Times New Roman" w:cs="Times New Roman"/>
          <w:szCs w:val="22"/>
          <w:lang w:val="sq-AL" w:eastAsia="en-GB"/>
        </w:rPr>
        <w:t>, p</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rpunohet </w:t>
      </w:r>
      <w:r w:rsidRPr="00817921">
        <w:rPr>
          <w:rFonts w:ascii="Times New Roman" w:hAnsi="Times New Roman" w:cs="Times New Roman"/>
          <w:szCs w:val="22"/>
          <w:lang w:val="sq-AL" w:eastAsia="en-GB"/>
        </w:rPr>
        <w:t>përmes formulës së pikëzimit</w:t>
      </w:r>
      <w:r w:rsidR="00E040F2" w:rsidRPr="00817921">
        <w:rPr>
          <w:rFonts w:ascii="Times New Roman" w:hAnsi="Times New Roman" w:cs="Times New Roman"/>
          <w:szCs w:val="22"/>
          <w:lang w:val="sq-AL" w:eastAsia="en-GB"/>
        </w:rPr>
        <w:t xml:space="preserve"> nga zyra rajonale e Sh</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rbimit Social. </w:t>
      </w:r>
      <w:r w:rsidRPr="00817921">
        <w:rPr>
          <w:rFonts w:ascii="Times New Roman" w:hAnsi="Times New Roman" w:cs="Times New Roman"/>
          <w:szCs w:val="22"/>
          <w:lang w:val="sq-AL" w:eastAsia="en-GB"/>
        </w:rPr>
        <w:t>Familjet e pa kualifikuara kanë të drejtë të ndjekin sistemin e apelimit të vendimit të Zyrës Rajonale të Shërbimit Social. Këshilli bashkiak është autoriteti që vendos m</w:t>
      </w:r>
      <w:r w:rsidR="00E040F2" w:rsidRPr="00817921">
        <w:rPr>
          <w:rFonts w:ascii="Times New Roman" w:hAnsi="Times New Roman" w:cs="Times New Roman"/>
          <w:szCs w:val="22"/>
          <w:lang w:val="sq-AL" w:eastAsia="en-GB"/>
        </w:rPr>
        <w:t>b</w:t>
      </w:r>
      <w:r w:rsidRPr="00817921">
        <w:rPr>
          <w:rFonts w:ascii="Times New Roman" w:hAnsi="Times New Roman" w:cs="Times New Roman"/>
          <w:szCs w:val="22"/>
          <w:lang w:val="sq-AL" w:eastAsia="en-GB"/>
        </w:rPr>
        <w:t>ështetjen e familjeve të skualifikuara në kuadrin e fondit 6% të vendosur në dispozicion të tij. Në rast refuzimi të aplikantit për shkak të deklarimit të rremë ose mospërmbushjes së kërkesës në lidhje me punën, pagesa pezullohet për 6 ose 12 muaj</w:t>
      </w:r>
      <w:r w:rsidRPr="00817921">
        <w:rPr>
          <w:rFonts w:ascii="Times New Roman" w:hAnsi="Times New Roman" w:cs="Times New Roman"/>
          <w:szCs w:val="22"/>
          <w:vertAlign w:val="superscript"/>
          <w:lang w:eastAsia="en-GB"/>
        </w:rPr>
        <w:footnoteReference w:id="130"/>
      </w:r>
      <w:r w:rsidRPr="00817921">
        <w:rPr>
          <w:rFonts w:ascii="Times New Roman" w:hAnsi="Times New Roman" w:cs="Times New Roman"/>
          <w:szCs w:val="22"/>
          <w:vertAlign w:val="subscript"/>
          <w:lang w:val="sq-AL" w:eastAsia="en-GB"/>
        </w:rPr>
        <w:t>.</w:t>
      </w:r>
    </w:p>
    <w:p w14:paraId="680E8D0A" w14:textId="77777777" w:rsidR="0049394A" w:rsidRDefault="0049394A" w:rsidP="0026230C">
      <w:pPr>
        <w:rPr>
          <w:rFonts w:ascii="Times New Roman" w:hAnsi="Times New Roman" w:cs="Times New Roman"/>
          <w:szCs w:val="22"/>
          <w:lang w:val="sq-AL" w:eastAsia="en-GB"/>
        </w:rPr>
      </w:pPr>
    </w:p>
    <w:p w14:paraId="0E317E42" w14:textId="1145A475" w:rsidR="0026230C" w:rsidRDefault="00AB4D37" w:rsidP="0026230C">
      <w:pPr>
        <w:rPr>
          <w:rFonts w:ascii="Times New Roman" w:hAnsi="Times New Roman" w:cs="Times New Roman"/>
          <w:szCs w:val="22"/>
          <w:lang w:val="sq-AL" w:eastAsia="en-GB"/>
        </w:rPr>
      </w:pPr>
      <w:r>
        <w:rPr>
          <w:rFonts w:ascii="Times New Roman" w:hAnsi="Times New Roman" w:cs="Times New Roman"/>
          <w:szCs w:val="22"/>
          <w:lang w:val="sq-AL" w:eastAsia="en-GB"/>
        </w:rPr>
        <w:t>Proçes</w:t>
      </w:r>
      <w:r w:rsidR="0026230C" w:rsidRPr="00817921">
        <w:rPr>
          <w:rFonts w:ascii="Times New Roman" w:hAnsi="Times New Roman" w:cs="Times New Roman"/>
          <w:szCs w:val="22"/>
          <w:lang w:val="sq-AL" w:eastAsia="en-GB"/>
        </w:rPr>
        <w:t>i i aplikimit, verifikimit dhe kualifikimit/refuzimit është lehtësuar për shkak të dixhitaliz</w:t>
      </w:r>
      <w:r w:rsidR="00E040F2" w:rsidRPr="00817921">
        <w:rPr>
          <w:rFonts w:ascii="Times New Roman" w:hAnsi="Times New Roman" w:cs="Times New Roman"/>
          <w:szCs w:val="22"/>
          <w:lang w:val="sq-AL" w:eastAsia="en-GB"/>
        </w:rPr>
        <w:t>imit</w:t>
      </w:r>
      <w:r w:rsidR="0026230C" w:rsidRPr="00817921">
        <w:rPr>
          <w:rFonts w:ascii="Times New Roman" w:hAnsi="Times New Roman" w:cs="Times New Roman"/>
          <w:szCs w:val="22"/>
          <w:lang w:val="sq-AL" w:eastAsia="en-GB"/>
        </w:rPr>
        <w:t xml:space="preserve">. Dixhitalizimi i skemës së ndihmës ekonomike </w:t>
      </w:r>
      <w:r w:rsidR="00E040F2" w:rsidRPr="00817921">
        <w:rPr>
          <w:rFonts w:ascii="Times New Roman" w:hAnsi="Times New Roman" w:cs="Times New Roman"/>
          <w:szCs w:val="22"/>
          <w:lang w:val="sq-AL" w:eastAsia="en-GB"/>
        </w:rPr>
        <w:t>ka mund</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suar verifikimin n</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koh</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reale t</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informacioneve t</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aplikuesit</w:t>
      </w:r>
      <w:r w:rsidR="0026230C" w:rsidRPr="00817921">
        <w:rPr>
          <w:rFonts w:ascii="Times New Roman" w:hAnsi="Times New Roman" w:cs="Times New Roman"/>
          <w:szCs w:val="22"/>
          <w:lang w:val="sq-AL" w:eastAsia="en-GB"/>
        </w:rPr>
        <w:t xml:space="preserve"> nga komunikimi me sistemet e tjera elektronike duke siguruar shpejtësinë, transparencën e </w:t>
      </w:r>
      <w:r>
        <w:rPr>
          <w:rFonts w:ascii="Times New Roman" w:hAnsi="Times New Roman" w:cs="Times New Roman"/>
          <w:szCs w:val="22"/>
          <w:lang w:val="sq-AL" w:eastAsia="en-GB"/>
        </w:rPr>
        <w:t>proçes</w:t>
      </w:r>
      <w:r w:rsidR="0026230C" w:rsidRPr="00817921">
        <w:rPr>
          <w:rFonts w:ascii="Times New Roman" w:hAnsi="Times New Roman" w:cs="Times New Roman"/>
          <w:szCs w:val="22"/>
          <w:lang w:val="sq-AL" w:eastAsia="en-GB"/>
        </w:rPr>
        <w:t>it dhe raportimet periodike</w:t>
      </w:r>
      <w:r w:rsidR="00E040F2" w:rsidRPr="00817921">
        <w:rPr>
          <w:rFonts w:ascii="Times New Roman" w:hAnsi="Times New Roman" w:cs="Times New Roman"/>
          <w:szCs w:val="22"/>
          <w:lang w:val="sq-AL" w:eastAsia="en-GB"/>
        </w:rPr>
        <w:t xml:space="preserve"> si dhe n</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p</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rmjet nj</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moduli t</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ri t</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shtuar n</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t</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p</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r kontrollin dhe profilin e riskut </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sht</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mund</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suar zbulimi i rasteve t</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mundshme t</w:t>
      </w:r>
      <w:r w:rsidR="009A5A0E" w:rsidRPr="00817921">
        <w:rPr>
          <w:rFonts w:ascii="Times New Roman" w:hAnsi="Times New Roman" w:cs="Times New Roman"/>
          <w:szCs w:val="22"/>
          <w:lang w:val="sq-AL" w:eastAsia="en-GB"/>
        </w:rPr>
        <w:t>ë</w:t>
      </w:r>
      <w:r w:rsidR="00E040F2" w:rsidRPr="00817921">
        <w:rPr>
          <w:rFonts w:ascii="Times New Roman" w:hAnsi="Times New Roman" w:cs="Times New Roman"/>
          <w:szCs w:val="22"/>
          <w:lang w:val="sq-AL" w:eastAsia="en-GB"/>
        </w:rPr>
        <w:t xml:space="preserve"> abuzimit</w:t>
      </w:r>
      <w:r w:rsidR="0026230C" w:rsidRPr="00817921">
        <w:rPr>
          <w:rFonts w:ascii="Times New Roman" w:hAnsi="Times New Roman" w:cs="Times New Roman"/>
          <w:szCs w:val="22"/>
          <w:vertAlign w:val="superscript"/>
          <w:lang w:val="sq-AL" w:eastAsia="en-GB"/>
        </w:rPr>
        <w:footnoteReference w:id="131"/>
      </w:r>
      <w:r w:rsidR="0026230C" w:rsidRPr="00817921">
        <w:rPr>
          <w:rFonts w:ascii="Times New Roman" w:hAnsi="Times New Roman" w:cs="Times New Roman"/>
          <w:szCs w:val="22"/>
          <w:vertAlign w:val="superscript"/>
          <w:lang w:val="sq-AL" w:eastAsia="en-GB"/>
        </w:rPr>
        <w:t>.</w:t>
      </w:r>
      <w:r w:rsidR="00E040F2" w:rsidRPr="00817921">
        <w:rPr>
          <w:rFonts w:ascii="Times New Roman" w:hAnsi="Times New Roman" w:cs="Times New Roman"/>
          <w:szCs w:val="22"/>
          <w:lang w:val="sq-AL" w:eastAsia="en-GB"/>
        </w:rPr>
        <w:t xml:space="preserve">. </w:t>
      </w:r>
      <w:r w:rsidR="0026230C" w:rsidRPr="00817921">
        <w:rPr>
          <w:rFonts w:ascii="Times New Roman" w:hAnsi="Times New Roman" w:cs="Times New Roman"/>
          <w:szCs w:val="22"/>
          <w:lang w:val="sq-AL" w:eastAsia="en-GB"/>
        </w:rPr>
        <w:t xml:space="preserve">Përdorimi i formulës së pikëzimit ka prodhuar një rezultat të rendësishëm lidhur me zvogëlimin e përfitimit të padrejtë të ndihmës ekonomike nga ana e shumë aplikuesve. </w:t>
      </w:r>
    </w:p>
    <w:p w14:paraId="37C2DE97" w14:textId="77777777" w:rsidR="0049394A" w:rsidRPr="00817921" w:rsidRDefault="0049394A" w:rsidP="0026230C">
      <w:pPr>
        <w:rPr>
          <w:rFonts w:ascii="Times New Roman" w:hAnsi="Times New Roman" w:cs="Times New Roman"/>
          <w:szCs w:val="22"/>
          <w:lang w:val="sq-AL" w:eastAsia="en-GB"/>
        </w:rPr>
      </w:pPr>
    </w:p>
    <w:p w14:paraId="4C2BE930" w14:textId="2BAB80C3" w:rsidR="00E60534" w:rsidRPr="00817921" w:rsidRDefault="0026230C" w:rsidP="00D02E9F">
      <w:pPr>
        <w:rPr>
          <w:rFonts w:ascii="Times New Roman" w:hAnsi="Times New Roman" w:cs="Times New Roman"/>
          <w:szCs w:val="22"/>
          <w:lang w:val="sq-AL" w:eastAsia="en-GB"/>
        </w:rPr>
      </w:pPr>
      <w:r w:rsidRPr="00817921">
        <w:rPr>
          <w:rFonts w:ascii="Times New Roman" w:hAnsi="Times New Roman" w:cs="Times New Roman"/>
          <w:szCs w:val="22"/>
          <w:lang w:val="sq-AL" w:eastAsia="en-GB"/>
        </w:rPr>
        <w:t>MSHMS dhe SHSSH kanë punuar me qëllim ngritjen e kapaciteteve duke trajnuar 100% punonjësit për monitorimin dhe vlerësimin e skemës së ndihmës ekonomike në 12 Drejtoritë Rajonale të SHSSH</w:t>
      </w:r>
      <w:r w:rsidRPr="00817921">
        <w:rPr>
          <w:rFonts w:ascii="Times New Roman" w:hAnsi="Times New Roman" w:cs="Times New Roman"/>
          <w:szCs w:val="22"/>
          <w:vertAlign w:val="superscript"/>
          <w:lang w:eastAsia="en-GB"/>
        </w:rPr>
        <w:footnoteReference w:id="132"/>
      </w:r>
      <w:r w:rsidRPr="00817921">
        <w:rPr>
          <w:rFonts w:ascii="Times New Roman" w:hAnsi="Times New Roman" w:cs="Times New Roman"/>
          <w:szCs w:val="22"/>
          <w:vertAlign w:val="superscript"/>
          <w:lang w:val="sq-AL" w:eastAsia="en-GB"/>
        </w:rPr>
        <w:t>.</w:t>
      </w:r>
      <w:r w:rsidR="004E7E1E" w:rsidRPr="00817921">
        <w:rPr>
          <w:rFonts w:ascii="Times New Roman" w:hAnsi="Times New Roman" w:cs="Times New Roman"/>
          <w:szCs w:val="22"/>
          <w:lang w:val="sq-AL" w:eastAsia="en-GB"/>
        </w:rPr>
        <w:t>. Buxheti për pagesat e Ndihmës Ekonomike</w:t>
      </w:r>
      <w:r w:rsidRPr="00817921">
        <w:rPr>
          <w:rFonts w:ascii="Times New Roman" w:hAnsi="Times New Roman" w:cs="Times New Roman"/>
          <w:szCs w:val="22"/>
          <w:lang w:val="sq-AL" w:eastAsia="en-GB"/>
        </w:rPr>
        <w:t>, që nga viti 2010, përcaktohet në bazë të vlerësimeve të nivelit të varfërisë dhe shifrave historike të përfituesve për secilën bashki. Decentralizimi fiskal dhe administrativ pas vitit 2015 i ngarkoi një rol kyç njësive vendore në administrimin e ndihmës ekonomike nëpërmjet administratorëve shoqërorë, si pjesë e Njësive të Vlerësimit të Nevojave dhe Referimit, të cilët duhej të krijoheshin në secilën njësi administrative</w:t>
      </w:r>
      <w:r w:rsidRPr="00817921">
        <w:rPr>
          <w:rFonts w:ascii="Times New Roman" w:hAnsi="Times New Roman" w:cs="Times New Roman"/>
          <w:szCs w:val="22"/>
          <w:vertAlign w:val="superscript"/>
          <w:lang w:eastAsia="en-GB"/>
        </w:rPr>
        <w:footnoteReference w:id="133"/>
      </w:r>
      <w:r w:rsidRPr="00817921">
        <w:rPr>
          <w:rFonts w:ascii="Times New Roman" w:hAnsi="Times New Roman" w:cs="Times New Roman"/>
          <w:szCs w:val="22"/>
          <w:lang w:val="sq-AL" w:eastAsia="en-GB"/>
        </w:rPr>
        <w:t>. Rezulton që këto njësi nuk janë krijuar ende në 37 përqind të njësive administrative dhe detyrat e administratorit në këto njësi kryhet nga punonjësit socialë. Nga rezultatet e një anketimi të kryer në 61 bashkitë rezulton që ka 450 administratorë socialë, por pjesa më e madhe e tyre kryejnë më shumë se një funksion</w:t>
      </w:r>
      <w:r w:rsidR="0050138C" w:rsidRPr="00817921">
        <w:rPr>
          <w:rFonts w:ascii="Times New Roman" w:hAnsi="Times New Roman" w:cs="Times New Roman"/>
          <w:szCs w:val="22"/>
          <w:lang w:val="sq-AL" w:eastAsia="en-GB"/>
        </w:rPr>
        <w:t>, nd</w:t>
      </w:r>
      <w:r w:rsidR="009A5A0E" w:rsidRPr="00817921">
        <w:rPr>
          <w:rFonts w:ascii="Times New Roman" w:hAnsi="Times New Roman" w:cs="Times New Roman"/>
          <w:szCs w:val="22"/>
          <w:lang w:val="sq-AL" w:eastAsia="en-GB"/>
        </w:rPr>
        <w:t>ë</w:t>
      </w:r>
      <w:r w:rsidR="0050138C" w:rsidRPr="00817921">
        <w:rPr>
          <w:rFonts w:ascii="Times New Roman" w:hAnsi="Times New Roman" w:cs="Times New Roman"/>
          <w:szCs w:val="22"/>
          <w:lang w:val="sq-AL" w:eastAsia="en-GB"/>
        </w:rPr>
        <w:t>rsa p</w:t>
      </w:r>
      <w:r w:rsidR="009A5A0E" w:rsidRPr="00817921">
        <w:rPr>
          <w:rFonts w:ascii="Times New Roman" w:hAnsi="Times New Roman" w:cs="Times New Roman"/>
          <w:szCs w:val="22"/>
          <w:lang w:val="sq-AL" w:eastAsia="en-GB"/>
        </w:rPr>
        <w:t>ë</w:t>
      </w:r>
      <w:r w:rsidR="0050138C" w:rsidRPr="00817921">
        <w:rPr>
          <w:rFonts w:ascii="Times New Roman" w:hAnsi="Times New Roman" w:cs="Times New Roman"/>
          <w:szCs w:val="22"/>
          <w:lang w:val="sq-AL" w:eastAsia="en-GB"/>
        </w:rPr>
        <w:t xml:space="preserve">r </w:t>
      </w:r>
      <w:r w:rsidRPr="00817921">
        <w:rPr>
          <w:rFonts w:ascii="Times New Roman" w:hAnsi="Times New Roman" w:cs="Times New Roman"/>
          <w:szCs w:val="22"/>
          <w:lang w:val="sq-AL" w:eastAsia="en-GB"/>
        </w:rPr>
        <w:t xml:space="preserve">80% </w:t>
      </w:r>
      <w:r w:rsidR="0050138C" w:rsidRPr="00817921">
        <w:rPr>
          <w:rFonts w:ascii="Times New Roman" w:hAnsi="Times New Roman" w:cs="Times New Roman"/>
          <w:szCs w:val="22"/>
          <w:lang w:val="sq-AL" w:eastAsia="en-GB"/>
        </w:rPr>
        <w:t>t</w:t>
      </w:r>
      <w:r w:rsidR="009A5A0E" w:rsidRPr="00817921">
        <w:rPr>
          <w:rFonts w:ascii="Times New Roman" w:hAnsi="Times New Roman" w:cs="Times New Roman"/>
          <w:szCs w:val="22"/>
          <w:lang w:val="sq-AL" w:eastAsia="en-GB"/>
        </w:rPr>
        <w:t>ë</w:t>
      </w:r>
      <w:r w:rsidRPr="00817921">
        <w:rPr>
          <w:rFonts w:ascii="Times New Roman" w:hAnsi="Times New Roman" w:cs="Times New Roman"/>
          <w:szCs w:val="22"/>
          <w:lang w:val="sq-AL" w:eastAsia="en-GB"/>
        </w:rPr>
        <w:t xml:space="preserve"> bashkive numri aktual i stafit përgjegjës për administrimin e Ndihmës Ekonomike është i pamjaftueshëm. Sa i përket zhvillimit të stafit, 56 përqind e bashkive nuk ofrojnë asnjë mundësi trajnimi për stafin e tyre</w:t>
      </w:r>
      <w:r w:rsidRPr="00817921">
        <w:rPr>
          <w:rFonts w:ascii="Times New Roman" w:hAnsi="Times New Roman" w:cs="Times New Roman"/>
          <w:szCs w:val="22"/>
          <w:vertAlign w:val="superscript"/>
          <w:lang w:eastAsia="en-GB"/>
        </w:rPr>
        <w:footnoteReference w:id="134"/>
      </w:r>
      <w:r w:rsidRPr="00817921">
        <w:rPr>
          <w:rFonts w:ascii="Times New Roman" w:hAnsi="Times New Roman" w:cs="Times New Roman"/>
          <w:szCs w:val="22"/>
          <w:lang w:val="sq-AL" w:eastAsia="en-GB"/>
        </w:rPr>
        <w:t xml:space="preserve">. </w:t>
      </w:r>
    </w:p>
    <w:p w14:paraId="6D778ACF" w14:textId="0481B274" w:rsidR="007A3AD7" w:rsidRPr="00817921" w:rsidRDefault="007A3AD7" w:rsidP="00D02E9F">
      <w:pPr>
        <w:rPr>
          <w:rFonts w:ascii="Times New Roman" w:hAnsi="Times New Roman" w:cs="Times New Roman"/>
          <w:szCs w:val="22"/>
          <w:lang w:val="sq-AL" w:eastAsia="en-GB"/>
        </w:rPr>
      </w:pPr>
    </w:p>
    <w:p w14:paraId="79E837D3" w14:textId="5CA246B3" w:rsidR="00E60534" w:rsidRPr="00817921" w:rsidRDefault="007A3AD7" w:rsidP="00D02E9F">
      <w:pPr>
        <w:pStyle w:val="Heading2"/>
        <w:numPr>
          <w:ilvl w:val="1"/>
          <w:numId w:val="1"/>
        </w:numPr>
        <w:rPr>
          <w:rFonts w:ascii="Times New Roman" w:hAnsi="Times New Roman" w:cs="Times New Roman"/>
          <w:sz w:val="24"/>
          <w:szCs w:val="24"/>
          <w:lang w:val="sq-AL"/>
        </w:rPr>
      </w:pPr>
      <w:bookmarkStart w:id="24" w:name="_Toc150809620"/>
      <w:bookmarkStart w:id="25" w:name="_Toc150896489"/>
      <w:r w:rsidRPr="00817921">
        <w:rPr>
          <w:rFonts w:ascii="Times New Roman" w:hAnsi="Times New Roman" w:cs="Times New Roman"/>
          <w:sz w:val="24"/>
          <w:szCs w:val="24"/>
          <w:lang w:val="sq-AL"/>
        </w:rPr>
        <w:t>Skemat e mbështetjes për Aftësinë e Kufizuar</w:t>
      </w:r>
      <w:bookmarkEnd w:id="24"/>
      <w:bookmarkEnd w:id="25"/>
      <w:r w:rsidRPr="00817921">
        <w:rPr>
          <w:rFonts w:ascii="Times New Roman" w:hAnsi="Times New Roman" w:cs="Times New Roman"/>
          <w:sz w:val="24"/>
          <w:szCs w:val="24"/>
          <w:lang w:val="sq-AL"/>
        </w:rPr>
        <w:t xml:space="preserve"> </w:t>
      </w:r>
    </w:p>
    <w:p w14:paraId="30D799B7" w14:textId="77777777" w:rsidR="006443B3" w:rsidRDefault="006443B3" w:rsidP="005175AC">
      <w:pPr>
        <w:autoSpaceDE w:val="0"/>
        <w:autoSpaceDN w:val="0"/>
        <w:adjustRightInd w:val="0"/>
        <w:rPr>
          <w:rFonts w:ascii="Times New Roman" w:hAnsi="Times New Roman" w:cs="Times New Roman"/>
          <w:b/>
          <w:bCs/>
          <w:szCs w:val="22"/>
        </w:rPr>
      </w:pPr>
    </w:p>
    <w:p w14:paraId="2A41F537" w14:textId="568E6C25" w:rsidR="005175AC" w:rsidRPr="00817921" w:rsidRDefault="005175AC" w:rsidP="005175AC">
      <w:pPr>
        <w:autoSpaceDE w:val="0"/>
        <w:autoSpaceDN w:val="0"/>
        <w:adjustRightInd w:val="0"/>
        <w:rPr>
          <w:rFonts w:ascii="Times New Roman" w:hAnsi="Times New Roman" w:cs="Times New Roman"/>
          <w:b/>
          <w:bCs/>
          <w:szCs w:val="22"/>
        </w:rPr>
      </w:pPr>
      <w:proofErr w:type="spellStart"/>
      <w:r w:rsidRPr="00817921">
        <w:rPr>
          <w:rFonts w:ascii="Times New Roman" w:hAnsi="Times New Roman" w:cs="Times New Roman"/>
          <w:b/>
          <w:bCs/>
          <w:szCs w:val="22"/>
        </w:rPr>
        <w:t>Mb</w:t>
      </w:r>
      <w:r w:rsidR="009A5A0E" w:rsidRPr="00817921">
        <w:rPr>
          <w:rFonts w:ascii="Times New Roman" w:hAnsi="Times New Roman" w:cs="Times New Roman"/>
          <w:b/>
          <w:bCs/>
          <w:szCs w:val="22"/>
        </w:rPr>
        <w:t>ë</w:t>
      </w:r>
      <w:r w:rsidRPr="00817921">
        <w:rPr>
          <w:rFonts w:ascii="Times New Roman" w:hAnsi="Times New Roman" w:cs="Times New Roman"/>
          <w:b/>
          <w:bCs/>
          <w:szCs w:val="22"/>
        </w:rPr>
        <w:t>shtetja</w:t>
      </w:r>
      <w:proofErr w:type="spellEnd"/>
      <w:r w:rsidRPr="00817921">
        <w:rPr>
          <w:rFonts w:ascii="Times New Roman" w:hAnsi="Times New Roman" w:cs="Times New Roman"/>
          <w:b/>
          <w:bCs/>
          <w:szCs w:val="22"/>
        </w:rPr>
        <w:t xml:space="preserve"> </w:t>
      </w:r>
      <w:proofErr w:type="spellStart"/>
      <w:r w:rsidRPr="00817921">
        <w:rPr>
          <w:rFonts w:ascii="Times New Roman" w:hAnsi="Times New Roman" w:cs="Times New Roman"/>
          <w:b/>
          <w:bCs/>
          <w:szCs w:val="22"/>
        </w:rPr>
        <w:t>financiare</w:t>
      </w:r>
      <w:proofErr w:type="spellEnd"/>
      <w:r w:rsidR="00974E1E" w:rsidRPr="00817921">
        <w:rPr>
          <w:rFonts w:ascii="Times New Roman" w:hAnsi="Times New Roman" w:cs="Times New Roman"/>
          <w:b/>
          <w:bCs/>
          <w:szCs w:val="22"/>
        </w:rPr>
        <w:t xml:space="preserve">. </w:t>
      </w:r>
      <w:proofErr w:type="spellStart"/>
      <w:r w:rsidRPr="00817921">
        <w:rPr>
          <w:rFonts w:ascii="Times New Roman" w:hAnsi="Times New Roman" w:cs="Times New Roman"/>
          <w:szCs w:val="22"/>
        </w:rPr>
        <w:t>Numri</w:t>
      </w:r>
      <w:proofErr w:type="spellEnd"/>
      <w:r w:rsidRPr="00817921">
        <w:rPr>
          <w:rFonts w:ascii="Times New Roman" w:hAnsi="Times New Roman" w:cs="Times New Roman"/>
          <w:szCs w:val="22"/>
        </w:rPr>
        <w:t xml:space="preserve"> i </w:t>
      </w:r>
      <w:proofErr w:type="spellStart"/>
      <w:r w:rsidRPr="00817921">
        <w:rPr>
          <w:rFonts w:ascii="Times New Roman" w:hAnsi="Times New Roman" w:cs="Times New Roman"/>
          <w:szCs w:val="22"/>
        </w:rPr>
        <w:t>personave</w:t>
      </w:r>
      <w:proofErr w:type="spellEnd"/>
      <w:r w:rsidRPr="00817921">
        <w:rPr>
          <w:rFonts w:ascii="Times New Roman" w:hAnsi="Times New Roman" w:cs="Times New Roman"/>
          <w:szCs w:val="22"/>
        </w:rPr>
        <w:t xml:space="preserve"> me </w:t>
      </w:r>
      <w:proofErr w:type="spellStart"/>
      <w:r w:rsidRPr="00817921">
        <w:rPr>
          <w:rFonts w:ascii="Times New Roman" w:hAnsi="Times New Roman" w:cs="Times New Roman"/>
          <w:szCs w:val="22"/>
        </w:rPr>
        <w:t>aftësi</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kufizuara</w:t>
      </w:r>
      <w:proofErr w:type="spellEnd"/>
      <w:r w:rsidRPr="00817921">
        <w:rPr>
          <w:rStyle w:val="FootnoteReference"/>
          <w:rFonts w:ascii="Times New Roman" w:hAnsi="Times New Roman" w:cs="Times New Roman"/>
          <w:szCs w:val="22"/>
        </w:rPr>
        <w:footnoteReference w:id="135"/>
      </w:r>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që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përfituan</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pagesa</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për</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shkak</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aftësisë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kufizuar</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nga</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buxheti</w:t>
      </w:r>
      <w:proofErr w:type="spellEnd"/>
      <w:r w:rsidRPr="00817921">
        <w:rPr>
          <w:rFonts w:ascii="Times New Roman" w:hAnsi="Times New Roman" w:cs="Times New Roman"/>
          <w:szCs w:val="22"/>
        </w:rPr>
        <w:t xml:space="preserve"> shtetit </w:t>
      </w:r>
      <w:proofErr w:type="spellStart"/>
      <w:r w:rsidRPr="00817921">
        <w:rPr>
          <w:rFonts w:ascii="Times New Roman" w:hAnsi="Times New Roman" w:cs="Times New Roman"/>
          <w:szCs w:val="22"/>
        </w:rPr>
        <w:t>për</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vitin</w:t>
      </w:r>
      <w:proofErr w:type="spellEnd"/>
      <w:r w:rsidRPr="00817921">
        <w:rPr>
          <w:rFonts w:ascii="Times New Roman" w:hAnsi="Times New Roman" w:cs="Times New Roman"/>
          <w:szCs w:val="22"/>
        </w:rPr>
        <w:t xml:space="preserve"> 2022 </w:t>
      </w:r>
      <w:proofErr w:type="spellStart"/>
      <w:r w:rsidRPr="00817921">
        <w:rPr>
          <w:rFonts w:ascii="Times New Roman" w:hAnsi="Times New Roman" w:cs="Times New Roman"/>
          <w:szCs w:val="22"/>
        </w:rPr>
        <w:t>ishte</w:t>
      </w:r>
      <w:proofErr w:type="spellEnd"/>
      <w:r w:rsidRPr="00817921">
        <w:rPr>
          <w:rFonts w:ascii="Times New Roman" w:hAnsi="Times New Roman" w:cs="Times New Roman"/>
          <w:szCs w:val="22"/>
        </w:rPr>
        <w:t xml:space="preserve"> 143,973, prej të </w:t>
      </w:r>
      <w:proofErr w:type="spellStart"/>
      <w:r w:rsidRPr="00817921">
        <w:rPr>
          <w:rFonts w:ascii="Times New Roman" w:hAnsi="Times New Roman" w:cs="Times New Roman"/>
          <w:szCs w:val="22"/>
        </w:rPr>
        <w:t>cilëve</w:t>
      </w:r>
      <w:proofErr w:type="spellEnd"/>
      <w:r w:rsidRPr="00817921">
        <w:rPr>
          <w:rFonts w:ascii="Times New Roman" w:hAnsi="Times New Roman" w:cs="Times New Roman"/>
          <w:szCs w:val="22"/>
        </w:rPr>
        <w:t xml:space="preserve"> 72,838 </w:t>
      </w:r>
      <w:proofErr w:type="spellStart"/>
      <w:r w:rsidRPr="00817921">
        <w:rPr>
          <w:rFonts w:ascii="Times New Roman" w:hAnsi="Times New Roman" w:cs="Times New Roman"/>
          <w:szCs w:val="22"/>
        </w:rPr>
        <w:t>invalidë</w:t>
      </w:r>
      <w:proofErr w:type="spellEnd"/>
      <w:r w:rsidRPr="00817921">
        <w:rPr>
          <w:rFonts w:ascii="Times New Roman" w:hAnsi="Times New Roman" w:cs="Times New Roman"/>
          <w:szCs w:val="22"/>
        </w:rPr>
        <w:t xml:space="preserve"> pune dhe 71,135 </w:t>
      </w:r>
      <w:proofErr w:type="spellStart"/>
      <w:r w:rsidRPr="00817921">
        <w:rPr>
          <w:rFonts w:ascii="Times New Roman" w:hAnsi="Times New Roman" w:cs="Times New Roman"/>
          <w:szCs w:val="22"/>
        </w:rPr>
        <w:t>përfitues</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nga</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skemat</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jokontributive</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aftësisë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kufizuar</w:t>
      </w:r>
      <w:proofErr w:type="spellEnd"/>
      <w:r w:rsidRPr="00817921">
        <w:rPr>
          <w:rFonts w:ascii="Times New Roman" w:hAnsi="Times New Roman" w:cs="Times New Roman"/>
          <w:szCs w:val="22"/>
        </w:rPr>
        <w:t xml:space="preserve"> (52,562 </w:t>
      </w:r>
      <w:proofErr w:type="spellStart"/>
      <w:r w:rsidRPr="00817921">
        <w:rPr>
          <w:rFonts w:ascii="Times New Roman" w:hAnsi="Times New Roman" w:cs="Times New Roman"/>
          <w:szCs w:val="22"/>
        </w:rPr>
        <w:t>sipas</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skemës</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vlerësimit</w:t>
      </w:r>
      <w:proofErr w:type="spellEnd"/>
      <w:r w:rsidRPr="00817921">
        <w:rPr>
          <w:rFonts w:ascii="Times New Roman" w:hAnsi="Times New Roman" w:cs="Times New Roman"/>
          <w:szCs w:val="22"/>
        </w:rPr>
        <w:t xml:space="preserve"> bio </w:t>
      </w:r>
      <w:proofErr w:type="spellStart"/>
      <w:r w:rsidRPr="00817921">
        <w:rPr>
          <w:rFonts w:ascii="Times New Roman" w:hAnsi="Times New Roman" w:cs="Times New Roman"/>
          <w:szCs w:val="22"/>
        </w:rPr>
        <w:t>psiko</w:t>
      </w:r>
      <w:proofErr w:type="spellEnd"/>
      <w:r w:rsidRPr="00817921">
        <w:rPr>
          <w:rFonts w:ascii="Times New Roman" w:hAnsi="Times New Roman" w:cs="Times New Roman"/>
          <w:szCs w:val="22"/>
        </w:rPr>
        <w:t xml:space="preserve"> social; 12,696 </w:t>
      </w:r>
      <w:proofErr w:type="spellStart"/>
      <w:r w:rsidRPr="00817921">
        <w:rPr>
          <w:rFonts w:ascii="Times New Roman" w:hAnsi="Times New Roman" w:cs="Times New Roman"/>
          <w:szCs w:val="22"/>
        </w:rPr>
        <w:t>sipas</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statusit</w:t>
      </w:r>
      <w:proofErr w:type="spellEnd"/>
      <w:r w:rsidRPr="00817921">
        <w:rPr>
          <w:rFonts w:ascii="Times New Roman" w:hAnsi="Times New Roman" w:cs="Times New Roman"/>
          <w:szCs w:val="22"/>
        </w:rPr>
        <w:t xml:space="preserve"> të të </w:t>
      </w:r>
      <w:proofErr w:type="spellStart"/>
      <w:r w:rsidRPr="00817921">
        <w:rPr>
          <w:rFonts w:ascii="Times New Roman" w:hAnsi="Times New Roman" w:cs="Times New Roman"/>
          <w:szCs w:val="22"/>
        </w:rPr>
        <w:t>verbërit</w:t>
      </w:r>
      <w:proofErr w:type="spellEnd"/>
      <w:r w:rsidRPr="00817921">
        <w:rPr>
          <w:rFonts w:ascii="Times New Roman" w:hAnsi="Times New Roman" w:cs="Times New Roman"/>
          <w:szCs w:val="22"/>
        </w:rPr>
        <w:t xml:space="preserve">; 5,871 </w:t>
      </w:r>
      <w:proofErr w:type="spellStart"/>
      <w:r w:rsidRPr="00817921">
        <w:rPr>
          <w:rFonts w:ascii="Times New Roman" w:hAnsi="Times New Roman" w:cs="Times New Roman"/>
          <w:szCs w:val="22"/>
        </w:rPr>
        <w:t>sipas</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stasit</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individëve</w:t>
      </w:r>
      <w:proofErr w:type="spellEnd"/>
      <w:r w:rsidRPr="00817921">
        <w:rPr>
          <w:rFonts w:ascii="Times New Roman" w:hAnsi="Times New Roman" w:cs="Times New Roman"/>
          <w:szCs w:val="22"/>
        </w:rPr>
        <w:t xml:space="preserve"> para e </w:t>
      </w:r>
      <w:proofErr w:type="spellStart"/>
      <w:r w:rsidRPr="00817921">
        <w:rPr>
          <w:rFonts w:ascii="Times New Roman" w:hAnsi="Times New Roman" w:cs="Times New Roman"/>
          <w:szCs w:val="22"/>
        </w:rPr>
        <w:t>tetraplegjikë</w:t>
      </w:r>
      <w:proofErr w:type="spellEnd"/>
      <w:r w:rsidRPr="00817921">
        <w:rPr>
          <w:rFonts w:ascii="Times New Roman" w:hAnsi="Times New Roman" w:cs="Times New Roman"/>
          <w:szCs w:val="22"/>
        </w:rPr>
        <w:t xml:space="preserve">). 17,848 </w:t>
      </w:r>
      <w:proofErr w:type="spellStart"/>
      <w:r w:rsidRPr="00817921">
        <w:rPr>
          <w:rFonts w:ascii="Times New Roman" w:hAnsi="Times New Roman" w:cs="Times New Roman"/>
          <w:szCs w:val="22"/>
        </w:rPr>
        <w:t>përfitues</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skemave</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jokontributive</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përfituan</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pagesën</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për</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ndihmësin</w:t>
      </w:r>
      <w:proofErr w:type="spellEnd"/>
      <w:r w:rsidRPr="00817921">
        <w:rPr>
          <w:rFonts w:ascii="Times New Roman" w:hAnsi="Times New Roman" w:cs="Times New Roman"/>
          <w:szCs w:val="22"/>
        </w:rPr>
        <w:t xml:space="preserve"> personal. 19,369 persona me </w:t>
      </w:r>
      <w:proofErr w:type="spellStart"/>
      <w:r w:rsidRPr="00817921">
        <w:rPr>
          <w:rFonts w:ascii="Times New Roman" w:hAnsi="Times New Roman" w:cs="Times New Roman"/>
          <w:szCs w:val="22"/>
        </w:rPr>
        <w:t>aftësi</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kufizuara</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përfituan</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kompensime</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paketës</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higjeno-sanitare</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kompesim</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energjisë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elektrike</w:t>
      </w:r>
      <w:proofErr w:type="spellEnd"/>
      <w:r w:rsidRPr="00817921">
        <w:rPr>
          <w:rFonts w:ascii="Times New Roman" w:hAnsi="Times New Roman" w:cs="Times New Roman"/>
          <w:szCs w:val="22"/>
        </w:rPr>
        <w:t xml:space="preserve"> dhe </w:t>
      </w:r>
      <w:proofErr w:type="spellStart"/>
      <w:r w:rsidRPr="00817921">
        <w:rPr>
          <w:rFonts w:ascii="Times New Roman" w:hAnsi="Times New Roman" w:cs="Times New Roman"/>
          <w:szCs w:val="22"/>
        </w:rPr>
        <w:t>telefonisë</w:t>
      </w:r>
      <w:proofErr w:type="spellEnd"/>
      <w:r w:rsidRPr="00817921">
        <w:rPr>
          <w:rStyle w:val="FootnoteReference"/>
          <w:rFonts w:ascii="Times New Roman" w:hAnsi="Times New Roman" w:cs="Times New Roman"/>
          <w:szCs w:val="22"/>
        </w:rPr>
        <w:footnoteReference w:id="136"/>
      </w:r>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Numri</w:t>
      </w:r>
      <w:proofErr w:type="spellEnd"/>
      <w:r w:rsidRPr="00817921">
        <w:rPr>
          <w:rFonts w:ascii="Times New Roman" w:hAnsi="Times New Roman" w:cs="Times New Roman"/>
          <w:szCs w:val="22"/>
        </w:rPr>
        <w:t xml:space="preserve"> i </w:t>
      </w:r>
      <w:proofErr w:type="spellStart"/>
      <w:r w:rsidRPr="00817921">
        <w:rPr>
          <w:rFonts w:ascii="Times New Roman" w:hAnsi="Times New Roman" w:cs="Times New Roman"/>
          <w:szCs w:val="22"/>
        </w:rPr>
        <w:t>fëmijëve</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që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përfituan</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pagesa</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për</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shkak</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aftësisë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kufizuar</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ishte</w:t>
      </w:r>
      <w:proofErr w:type="spellEnd"/>
      <w:r w:rsidRPr="00817921">
        <w:rPr>
          <w:rFonts w:ascii="Times New Roman" w:hAnsi="Times New Roman" w:cs="Times New Roman"/>
          <w:szCs w:val="22"/>
        </w:rPr>
        <w:t xml:space="preserve"> 14,106.</w:t>
      </w:r>
    </w:p>
    <w:p w14:paraId="3F68F8E7" w14:textId="52797B0B" w:rsidR="005175AC" w:rsidRDefault="00974E1E" w:rsidP="005175AC">
      <w:pPr>
        <w:autoSpaceDE w:val="0"/>
        <w:autoSpaceDN w:val="0"/>
        <w:adjustRightInd w:val="0"/>
        <w:rPr>
          <w:rFonts w:ascii="Times New Roman" w:hAnsi="Times New Roman" w:cs="Times New Roman"/>
          <w:szCs w:val="22"/>
          <w:lang w:val="sq-AL"/>
        </w:rPr>
      </w:pPr>
      <w:r w:rsidRPr="00817921">
        <w:rPr>
          <w:rFonts w:ascii="Times New Roman" w:hAnsi="Times New Roman" w:cs="Times New Roman"/>
          <w:szCs w:val="22"/>
          <w:lang w:val="sq-AL"/>
        </w:rPr>
        <w:t xml:space="preserve">Aplikimi i </w:t>
      </w:r>
      <w:r w:rsidR="005175AC" w:rsidRPr="00817921">
        <w:rPr>
          <w:rFonts w:ascii="Times New Roman" w:hAnsi="Times New Roman" w:cs="Times New Roman"/>
          <w:szCs w:val="22"/>
          <w:lang w:val="sq-AL"/>
        </w:rPr>
        <w:t>modelit bio-psiko-social, ndikoi në përshkallëzim</w:t>
      </w:r>
      <w:r w:rsidRPr="00817921">
        <w:rPr>
          <w:rFonts w:ascii="Times New Roman" w:hAnsi="Times New Roman" w:cs="Times New Roman"/>
          <w:szCs w:val="22"/>
          <w:lang w:val="sq-AL"/>
        </w:rPr>
        <w:t>in e</w:t>
      </w:r>
      <w:r w:rsidR="005175AC" w:rsidRPr="00817921">
        <w:rPr>
          <w:rFonts w:ascii="Times New Roman" w:hAnsi="Times New Roman" w:cs="Times New Roman"/>
          <w:szCs w:val="22"/>
          <w:lang w:val="sq-AL"/>
        </w:rPr>
        <w:t xml:space="preserve"> pagesave të aftësisë së kufizuar në katër nivele dhe ato të ndihmësit personal në dy nivele. Pagesa bazë e përfitimit mujor, sipas këtij modeli, është </w:t>
      </w:r>
      <w:r w:rsidR="00A77C8E" w:rsidRPr="00817921">
        <w:rPr>
          <w:rFonts w:ascii="Times New Roman" w:hAnsi="Times New Roman" w:cs="Times New Roman"/>
          <w:szCs w:val="22"/>
          <w:lang w:val="sq-AL"/>
        </w:rPr>
        <w:t>sa</w:t>
      </w:r>
      <w:r w:rsidR="005175AC" w:rsidRPr="00817921">
        <w:rPr>
          <w:rFonts w:ascii="Times New Roman" w:hAnsi="Times New Roman" w:cs="Times New Roman"/>
          <w:szCs w:val="22"/>
          <w:lang w:val="sq-AL"/>
        </w:rPr>
        <w:t xml:space="preserve"> 150% të pensionit social</w:t>
      </w:r>
      <w:r w:rsidR="005175AC" w:rsidRPr="00817921">
        <w:rPr>
          <w:rFonts w:ascii="Times New Roman" w:hAnsi="Times New Roman" w:cs="Times New Roman"/>
          <w:szCs w:val="22"/>
          <w:vertAlign w:val="superscript"/>
        </w:rPr>
        <w:footnoteReference w:id="137"/>
      </w:r>
      <w:r w:rsidR="005175AC" w:rsidRPr="00817921">
        <w:rPr>
          <w:rFonts w:ascii="Times New Roman" w:hAnsi="Times New Roman" w:cs="Times New Roman"/>
          <w:szCs w:val="22"/>
          <w:lang w:val="sq-AL"/>
        </w:rPr>
        <w:t>. Nisur nga niveli i aftësisë së kufizuar (4 nivele), përfitimet mujore mund të variojnë nga 7,292 lekë për persona me aftësi të kufizuara të lehta deri në 14,584 lekë për ata me aftësi të kufizuara të thella</w:t>
      </w:r>
      <w:r w:rsidR="005175AC" w:rsidRPr="00817921">
        <w:rPr>
          <w:rFonts w:ascii="Times New Roman" w:hAnsi="Times New Roman" w:cs="Times New Roman"/>
          <w:szCs w:val="22"/>
          <w:vertAlign w:val="superscript"/>
        </w:rPr>
        <w:footnoteReference w:id="138"/>
      </w:r>
      <w:r w:rsidR="005175AC" w:rsidRPr="00817921">
        <w:rPr>
          <w:rFonts w:ascii="Times New Roman" w:hAnsi="Times New Roman" w:cs="Times New Roman"/>
          <w:szCs w:val="22"/>
          <w:lang w:val="sq-AL"/>
        </w:rPr>
        <w:t>. Pagesa e ndihmësit personal, zakonisht një anëtar i familjes së personit me aftësi të kufizuara, ofrohet në dy nivele, dhe është përkatësisht 9,723 lekë për shërbime të herëpashershme dhe 14, 584 lekë për shërbime të përherëshme. Personat me aftësi të kufizuara që ndjekin shkollën ose trajnimin profesional p</w:t>
      </w:r>
      <w:r w:rsidR="009A5A0E" w:rsidRPr="00817921">
        <w:rPr>
          <w:rFonts w:ascii="Times New Roman" w:hAnsi="Times New Roman" w:cs="Times New Roman"/>
          <w:szCs w:val="22"/>
          <w:lang w:val="sq-AL"/>
        </w:rPr>
        <w:t>ë</w:t>
      </w:r>
      <w:r w:rsidR="005175AC" w:rsidRPr="00817921">
        <w:rPr>
          <w:rFonts w:ascii="Times New Roman" w:hAnsi="Times New Roman" w:cs="Times New Roman"/>
          <w:szCs w:val="22"/>
          <w:lang w:val="sq-AL"/>
        </w:rPr>
        <w:t>rfitojn</w:t>
      </w:r>
      <w:r w:rsidR="009A5A0E" w:rsidRPr="00817921">
        <w:rPr>
          <w:rFonts w:ascii="Times New Roman" w:hAnsi="Times New Roman" w:cs="Times New Roman"/>
          <w:szCs w:val="22"/>
          <w:lang w:val="sq-AL"/>
        </w:rPr>
        <w:t>ë</w:t>
      </w:r>
      <w:r w:rsidR="005175AC" w:rsidRPr="00817921">
        <w:rPr>
          <w:rFonts w:ascii="Times New Roman" w:hAnsi="Times New Roman" w:cs="Times New Roman"/>
          <w:szCs w:val="22"/>
          <w:lang w:val="sq-AL"/>
        </w:rPr>
        <w:t xml:space="preserve"> 200% të përfitimit bazë të aftësisë së kufizuar, ndërsa ata që ndjekin universitetin p</w:t>
      </w:r>
      <w:r w:rsidR="009A5A0E" w:rsidRPr="00817921">
        <w:rPr>
          <w:rFonts w:ascii="Times New Roman" w:hAnsi="Times New Roman" w:cs="Times New Roman"/>
          <w:szCs w:val="22"/>
          <w:lang w:val="sq-AL"/>
        </w:rPr>
        <w:t>ë</w:t>
      </w:r>
      <w:r w:rsidR="005175AC" w:rsidRPr="00817921">
        <w:rPr>
          <w:rFonts w:ascii="Times New Roman" w:hAnsi="Times New Roman" w:cs="Times New Roman"/>
          <w:szCs w:val="22"/>
          <w:lang w:val="sq-AL"/>
        </w:rPr>
        <w:t>rfitojn</w:t>
      </w:r>
      <w:r w:rsidR="009A5A0E" w:rsidRPr="00817921">
        <w:rPr>
          <w:rFonts w:ascii="Times New Roman" w:hAnsi="Times New Roman" w:cs="Times New Roman"/>
          <w:szCs w:val="22"/>
          <w:lang w:val="sq-AL"/>
        </w:rPr>
        <w:t>ë</w:t>
      </w:r>
      <w:r w:rsidR="005175AC" w:rsidRPr="00817921">
        <w:rPr>
          <w:rFonts w:ascii="Times New Roman" w:hAnsi="Times New Roman" w:cs="Times New Roman"/>
          <w:szCs w:val="22"/>
          <w:lang w:val="sq-AL"/>
        </w:rPr>
        <w:t xml:space="preserve"> 300% të përfitimit bazë. Personat me aftësi të kufizuara i nënshtrohen riekzaminimeve periodike</w:t>
      </w:r>
      <w:r w:rsidR="005175AC" w:rsidRPr="00817921">
        <w:rPr>
          <w:rFonts w:ascii="Times New Roman" w:hAnsi="Times New Roman" w:cs="Times New Roman"/>
          <w:szCs w:val="22"/>
          <w:vertAlign w:val="superscript"/>
        </w:rPr>
        <w:footnoteReference w:id="139"/>
      </w:r>
      <w:r w:rsidR="005175AC" w:rsidRPr="00817921">
        <w:rPr>
          <w:rFonts w:ascii="Times New Roman" w:hAnsi="Times New Roman" w:cs="Times New Roman"/>
          <w:szCs w:val="22"/>
          <w:lang w:val="sq-AL"/>
        </w:rPr>
        <w:t xml:space="preserve"> për të përfituar pagesa nga skema e mbrojtjes sociale. </w:t>
      </w:r>
    </w:p>
    <w:p w14:paraId="19722493" w14:textId="77777777" w:rsidR="0049394A" w:rsidRPr="00817921" w:rsidRDefault="0049394A" w:rsidP="005175AC">
      <w:pPr>
        <w:autoSpaceDE w:val="0"/>
        <w:autoSpaceDN w:val="0"/>
        <w:adjustRightInd w:val="0"/>
        <w:rPr>
          <w:rFonts w:ascii="Times New Roman" w:hAnsi="Times New Roman" w:cs="Times New Roman"/>
          <w:szCs w:val="22"/>
          <w:lang w:val="sq-AL"/>
        </w:rPr>
      </w:pPr>
    </w:p>
    <w:p w14:paraId="7EB75152" w14:textId="4AF1CB22" w:rsidR="005175AC" w:rsidRDefault="005175AC" w:rsidP="005175AC">
      <w:pPr>
        <w:rPr>
          <w:rFonts w:ascii="Times New Roman" w:hAnsi="Times New Roman" w:cs="Times New Roman"/>
          <w:iCs/>
          <w:szCs w:val="22"/>
        </w:rPr>
      </w:pPr>
      <w:proofErr w:type="spellStart"/>
      <w:r w:rsidRPr="00817921">
        <w:rPr>
          <w:rFonts w:ascii="Times New Roman" w:hAnsi="Times New Roman" w:cs="Times New Roman"/>
          <w:b/>
          <w:bCs/>
          <w:szCs w:val="22"/>
        </w:rPr>
        <w:t>P</w:t>
      </w:r>
      <w:r w:rsidR="009A5A0E" w:rsidRPr="00817921">
        <w:rPr>
          <w:rFonts w:ascii="Times New Roman" w:hAnsi="Times New Roman" w:cs="Times New Roman"/>
          <w:b/>
          <w:bCs/>
          <w:szCs w:val="22"/>
        </w:rPr>
        <w:t>ë</w:t>
      </w:r>
      <w:r w:rsidRPr="00817921">
        <w:rPr>
          <w:rFonts w:ascii="Times New Roman" w:hAnsi="Times New Roman" w:cs="Times New Roman"/>
          <w:b/>
          <w:bCs/>
          <w:szCs w:val="22"/>
        </w:rPr>
        <w:t>rfitime</w:t>
      </w:r>
      <w:proofErr w:type="spellEnd"/>
      <w:r w:rsidRPr="00817921">
        <w:rPr>
          <w:rFonts w:ascii="Times New Roman" w:hAnsi="Times New Roman" w:cs="Times New Roman"/>
          <w:b/>
          <w:bCs/>
          <w:szCs w:val="22"/>
        </w:rPr>
        <w:t xml:space="preserve"> t</w:t>
      </w:r>
      <w:r w:rsidR="009A5A0E" w:rsidRPr="00817921">
        <w:rPr>
          <w:rFonts w:ascii="Times New Roman" w:hAnsi="Times New Roman" w:cs="Times New Roman"/>
          <w:b/>
          <w:bCs/>
          <w:szCs w:val="22"/>
        </w:rPr>
        <w:t>ë</w:t>
      </w:r>
      <w:r w:rsidRPr="00817921">
        <w:rPr>
          <w:rFonts w:ascii="Times New Roman" w:hAnsi="Times New Roman" w:cs="Times New Roman"/>
          <w:b/>
          <w:bCs/>
          <w:szCs w:val="22"/>
        </w:rPr>
        <w:t xml:space="preserve"> </w:t>
      </w:r>
      <w:proofErr w:type="spellStart"/>
      <w:r w:rsidRPr="00817921">
        <w:rPr>
          <w:rFonts w:ascii="Times New Roman" w:hAnsi="Times New Roman" w:cs="Times New Roman"/>
          <w:b/>
          <w:bCs/>
          <w:szCs w:val="22"/>
        </w:rPr>
        <w:t>tjera</w:t>
      </w:r>
      <w:proofErr w:type="spellEnd"/>
      <w:r w:rsidR="00A77C8E" w:rsidRPr="00817921">
        <w:rPr>
          <w:rFonts w:ascii="Times New Roman" w:hAnsi="Times New Roman" w:cs="Times New Roman"/>
          <w:b/>
          <w:bCs/>
          <w:szCs w:val="22"/>
        </w:rPr>
        <w:t xml:space="preserve">. </w:t>
      </w:r>
      <w:proofErr w:type="spellStart"/>
      <w:r w:rsidRPr="00817921">
        <w:rPr>
          <w:rFonts w:ascii="Times New Roman" w:hAnsi="Times New Roman" w:cs="Times New Roman"/>
          <w:iCs/>
          <w:szCs w:val="22"/>
        </w:rPr>
        <w:t>Personat</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aftësi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kufizuara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bazë</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statusit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që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ato</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kanë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mbështeten</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edhe</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bonuse</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rimbursime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szCs w:val="22"/>
        </w:rPr>
        <w:t>si</w:t>
      </w:r>
      <w:proofErr w:type="spellEnd"/>
      <w:r w:rsidRPr="00817921">
        <w:rPr>
          <w:rFonts w:ascii="Times New Roman" w:hAnsi="Times New Roman" w:cs="Times New Roman"/>
          <w:szCs w:val="22"/>
        </w:rPr>
        <w:t xml:space="preserve"> me </w:t>
      </w:r>
      <w:proofErr w:type="spellStart"/>
      <w:r w:rsidRPr="00817921">
        <w:rPr>
          <w:rFonts w:ascii="Times New Roman" w:hAnsi="Times New Roman" w:cs="Times New Roman"/>
          <w:szCs w:val="22"/>
        </w:rPr>
        <w:t>pagesën</w:t>
      </w:r>
      <w:proofErr w:type="spellEnd"/>
      <w:r w:rsidRPr="00817921">
        <w:rPr>
          <w:rFonts w:ascii="Times New Roman" w:hAnsi="Times New Roman" w:cs="Times New Roman"/>
          <w:szCs w:val="22"/>
        </w:rPr>
        <w:t xml:space="preserve"> e </w:t>
      </w:r>
      <w:proofErr w:type="spellStart"/>
      <w:r w:rsidRPr="00817921">
        <w:rPr>
          <w:rFonts w:ascii="Times New Roman" w:hAnsi="Times New Roman" w:cs="Times New Roman"/>
          <w:szCs w:val="22"/>
        </w:rPr>
        <w:t>energjisë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elektrike</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telefonisë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ndihmës</w:t>
      </w:r>
      <w:proofErr w:type="spellEnd"/>
      <w:r w:rsidRPr="00817921">
        <w:rPr>
          <w:rFonts w:ascii="Times New Roman" w:hAnsi="Times New Roman" w:cs="Times New Roman"/>
          <w:szCs w:val="22"/>
        </w:rPr>
        <w:t xml:space="preserve"> ekonomike </w:t>
      </w:r>
      <w:proofErr w:type="spellStart"/>
      <w:r w:rsidRPr="00817921">
        <w:rPr>
          <w:rFonts w:ascii="Times New Roman" w:hAnsi="Times New Roman" w:cs="Times New Roman"/>
          <w:szCs w:val="22"/>
        </w:rPr>
        <w:t>për</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invalidët</w:t>
      </w:r>
      <w:proofErr w:type="spellEnd"/>
      <w:r w:rsidRPr="00817921">
        <w:rPr>
          <w:rFonts w:ascii="Times New Roman" w:hAnsi="Times New Roman" w:cs="Times New Roman"/>
          <w:szCs w:val="22"/>
        </w:rPr>
        <w:t xml:space="preserve"> e </w:t>
      </w:r>
      <w:proofErr w:type="spellStart"/>
      <w:r w:rsidRPr="00817921">
        <w:rPr>
          <w:rFonts w:ascii="Times New Roman" w:hAnsi="Times New Roman" w:cs="Times New Roman"/>
          <w:szCs w:val="22"/>
        </w:rPr>
        <w:t>punës</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që</w:t>
      </w:r>
      <w:proofErr w:type="spellEnd"/>
      <w:r w:rsidRPr="00817921">
        <w:rPr>
          <w:rFonts w:ascii="Times New Roman" w:hAnsi="Times New Roman" w:cs="Times New Roman"/>
          <w:szCs w:val="22"/>
        </w:rPr>
        <w:t xml:space="preserve"> i </w:t>
      </w:r>
      <w:proofErr w:type="spellStart"/>
      <w:r w:rsidRPr="00817921">
        <w:rPr>
          <w:rFonts w:ascii="Times New Roman" w:hAnsi="Times New Roman" w:cs="Times New Roman"/>
          <w:szCs w:val="22"/>
        </w:rPr>
        <w:t>përkasin</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skemës</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së</w:t>
      </w:r>
      <w:proofErr w:type="spellEnd"/>
      <w:r w:rsidRPr="00817921">
        <w:rPr>
          <w:rFonts w:ascii="Times New Roman" w:hAnsi="Times New Roman" w:cs="Times New Roman"/>
          <w:szCs w:val="22"/>
        </w:rPr>
        <w:t xml:space="preserve"> ISSH, </w:t>
      </w:r>
      <w:proofErr w:type="spellStart"/>
      <w:r w:rsidRPr="00817921">
        <w:rPr>
          <w:rFonts w:ascii="Times New Roman" w:hAnsi="Times New Roman" w:cs="Times New Roman"/>
          <w:szCs w:val="22"/>
        </w:rPr>
        <w:t>rimbursimin</w:t>
      </w:r>
      <w:proofErr w:type="spellEnd"/>
      <w:r w:rsidRPr="00817921">
        <w:rPr>
          <w:rFonts w:ascii="Times New Roman" w:hAnsi="Times New Roman" w:cs="Times New Roman"/>
          <w:szCs w:val="22"/>
        </w:rPr>
        <w:t xml:space="preserve"> e </w:t>
      </w:r>
      <w:proofErr w:type="spellStart"/>
      <w:r w:rsidRPr="00817921">
        <w:rPr>
          <w:rFonts w:ascii="Times New Roman" w:hAnsi="Times New Roman" w:cs="Times New Roman"/>
          <w:szCs w:val="22"/>
        </w:rPr>
        <w:t>karburantit</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për</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personat</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para</w:t>
      </w:r>
      <w:r w:rsidR="00A77C8E" w:rsidRPr="00817921">
        <w:rPr>
          <w:rFonts w:ascii="Times New Roman" w:hAnsi="Times New Roman" w:cs="Times New Roman"/>
          <w:szCs w:val="22"/>
        </w:rPr>
        <w:t>plegjik</w:t>
      </w:r>
      <w:r w:rsidR="009A5A0E" w:rsidRPr="00817921">
        <w:rPr>
          <w:rFonts w:ascii="Times New Roman" w:hAnsi="Times New Roman" w:cs="Times New Roman"/>
          <w:szCs w:val="22"/>
        </w:rPr>
        <w:t>ë</w:t>
      </w:r>
      <w:proofErr w:type="spellEnd"/>
      <w:r w:rsidRPr="00817921">
        <w:rPr>
          <w:rFonts w:ascii="Times New Roman" w:hAnsi="Times New Roman" w:cs="Times New Roman"/>
          <w:szCs w:val="22"/>
        </w:rPr>
        <w:t xml:space="preserve"> dhe </w:t>
      </w:r>
      <w:proofErr w:type="spellStart"/>
      <w:r w:rsidRPr="00817921">
        <w:rPr>
          <w:rFonts w:ascii="Times New Roman" w:hAnsi="Times New Roman" w:cs="Times New Roman"/>
          <w:szCs w:val="22"/>
        </w:rPr>
        <w:t>tetraplegjikë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që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kan</w:t>
      </w:r>
      <w:r w:rsidR="009A5A0E" w:rsidRPr="00817921">
        <w:rPr>
          <w:rFonts w:ascii="Times New Roman" w:hAnsi="Times New Roman" w:cs="Times New Roman"/>
          <w:szCs w:val="22"/>
        </w:rPr>
        <w:t>ë</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edhe</w:t>
      </w:r>
      <w:proofErr w:type="spellEnd"/>
      <w:r w:rsidRPr="00817921">
        <w:rPr>
          <w:rFonts w:ascii="Times New Roman" w:hAnsi="Times New Roman" w:cs="Times New Roman"/>
          <w:szCs w:val="22"/>
        </w:rPr>
        <w:t xml:space="preserve"> </w:t>
      </w:r>
      <w:proofErr w:type="spellStart"/>
      <w:r w:rsidRPr="00817921">
        <w:rPr>
          <w:rFonts w:ascii="Times New Roman" w:hAnsi="Times New Roman" w:cs="Times New Roman"/>
          <w:szCs w:val="22"/>
        </w:rPr>
        <w:t>statusin</w:t>
      </w:r>
      <w:proofErr w:type="spellEnd"/>
      <w:r w:rsidRPr="00817921">
        <w:rPr>
          <w:rFonts w:ascii="Times New Roman" w:hAnsi="Times New Roman" w:cs="Times New Roman"/>
          <w:szCs w:val="22"/>
        </w:rPr>
        <w:t xml:space="preserve"> e </w:t>
      </w:r>
      <w:proofErr w:type="spellStart"/>
      <w:r w:rsidRPr="00817921">
        <w:rPr>
          <w:rFonts w:ascii="Times New Roman" w:hAnsi="Times New Roman" w:cs="Times New Roman"/>
          <w:szCs w:val="22"/>
        </w:rPr>
        <w:t>invalidit</w:t>
      </w:r>
      <w:proofErr w:type="spellEnd"/>
      <w:r w:rsidRPr="00817921">
        <w:rPr>
          <w:rFonts w:ascii="Times New Roman" w:hAnsi="Times New Roman" w:cs="Times New Roman"/>
          <w:szCs w:val="22"/>
        </w:rPr>
        <w:t xml:space="preserve"> të </w:t>
      </w:r>
      <w:proofErr w:type="spellStart"/>
      <w:r w:rsidRPr="00817921">
        <w:rPr>
          <w:rFonts w:ascii="Times New Roman" w:hAnsi="Times New Roman" w:cs="Times New Roman"/>
          <w:szCs w:val="22"/>
        </w:rPr>
        <w:t>punës</w:t>
      </w:r>
      <w:proofErr w:type="spellEnd"/>
      <w:r w:rsidRPr="00817921">
        <w:rPr>
          <w:rFonts w:ascii="Times New Roman" w:hAnsi="Times New Roman" w:cs="Times New Roman"/>
          <w:szCs w:val="22"/>
        </w:rPr>
        <w:t xml:space="preserve">. </w:t>
      </w:r>
      <w:proofErr w:type="spellStart"/>
      <w:r w:rsidR="00A77C8E" w:rsidRPr="00817921">
        <w:rPr>
          <w:rFonts w:ascii="Times New Roman" w:hAnsi="Times New Roman" w:cs="Times New Roman"/>
          <w:iCs/>
          <w:szCs w:val="22"/>
        </w:rPr>
        <w:t>N</w:t>
      </w:r>
      <w:r w:rsidRPr="00817921">
        <w:rPr>
          <w:rFonts w:ascii="Times New Roman" w:hAnsi="Times New Roman" w:cs="Times New Roman"/>
          <w:iCs/>
          <w:szCs w:val="22"/>
        </w:rPr>
        <w:t>j</w:t>
      </w:r>
      <w:r w:rsidR="009A5A0E" w:rsidRPr="00817921">
        <w:rPr>
          <w:rFonts w:ascii="Times New Roman" w:hAnsi="Times New Roman" w:cs="Times New Roman"/>
          <w:iCs/>
          <w:szCs w:val="22"/>
        </w:rPr>
        <w:t>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mb</w:t>
      </w:r>
      <w:r w:rsidR="009A5A0E" w:rsidRPr="00817921">
        <w:rPr>
          <w:rFonts w:ascii="Times New Roman" w:hAnsi="Times New Roman" w:cs="Times New Roman"/>
          <w:iCs/>
          <w:szCs w:val="22"/>
        </w:rPr>
        <w:t>ë</w:t>
      </w:r>
      <w:r w:rsidRPr="00817921">
        <w:rPr>
          <w:rFonts w:ascii="Times New Roman" w:hAnsi="Times New Roman" w:cs="Times New Roman"/>
          <w:iCs/>
          <w:szCs w:val="22"/>
        </w:rPr>
        <w:t>shtetje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shtes</w:t>
      </w:r>
      <w:r w:rsidR="009A5A0E" w:rsidRPr="00817921">
        <w:rPr>
          <w:rFonts w:ascii="Times New Roman" w:hAnsi="Times New Roman" w:cs="Times New Roman"/>
          <w:iCs/>
          <w:szCs w:val="22"/>
        </w:rPr>
        <w:t>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financiare</w:t>
      </w:r>
      <w:proofErr w:type="spellEnd"/>
      <w:r w:rsidRPr="00817921">
        <w:rPr>
          <w:rFonts w:ascii="Times New Roman" w:hAnsi="Times New Roman" w:cs="Times New Roman"/>
          <w:iCs/>
          <w:szCs w:val="22"/>
        </w:rPr>
        <w:t xml:space="preserve"> u </w:t>
      </w:r>
      <w:proofErr w:type="spellStart"/>
      <w:r w:rsidRPr="00817921">
        <w:rPr>
          <w:rFonts w:ascii="Times New Roman" w:hAnsi="Times New Roman" w:cs="Times New Roman"/>
          <w:iCs/>
          <w:szCs w:val="22"/>
        </w:rPr>
        <w:t>ofrua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gjatë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periudhës</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pandemisë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w:t>
      </w:r>
      <w:r w:rsidR="009A5A0E" w:rsidRPr="00817921">
        <w:rPr>
          <w:rFonts w:ascii="Times New Roman" w:hAnsi="Times New Roman" w:cs="Times New Roman"/>
          <w:iCs/>
          <w:szCs w:val="22"/>
        </w:rPr>
        <w:t>ë</w:t>
      </w:r>
      <w:r w:rsidRPr="00817921">
        <w:rPr>
          <w:rFonts w:ascii="Times New Roman" w:hAnsi="Times New Roman" w:cs="Times New Roman"/>
          <w:iCs/>
          <w:szCs w:val="22"/>
        </w:rPr>
        <w:t>r</w:t>
      </w:r>
      <w:proofErr w:type="spellEnd"/>
      <w:r w:rsidRPr="00817921">
        <w:rPr>
          <w:rFonts w:ascii="Times New Roman" w:hAnsi="Times New Roman" w:cs="Times New Roman"/>
          <w:iCs/>
          <w:szCs w:val="22"/>
        </w:rPr>
        <w:t xml:space="preserve"> t</w:t>
      </w:r>
      <w:r w:rsidR="009A5A0E" w:rsidRPr="00817921">
        <w:rPr>
          <w:rFonts w:ascii="Times New Roman" w:hAnsi="Times New Roman" w:cs="Times New Roman"/>
          <w:iCs/>
          <w:szCs w:val="22"/>
        </w:rPr>
        <w:t>ë</w:t>
      </w:r>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w:t>
      </w:r>
      <w:r w:rsidR="009A5A0E" w:rsidRPr="00817921">
        <w:rPr>
          <w:rFonts w:ascii="Times New Roman" w:hAnsi="Times New Roman" w:cs="Times New Roman"/>
          <w:iCs/>
          <w:szCs w:val="22"/>
        </w:rPr>
        <w:t>ë</w:t>
      </w:r>
      <w:r w:rsidRPr="00817921">
        <w:rPr>
          <w:rFonts w:ascii="Times New Roman" w:hAnsi="Times New Roman" w:cs="Times New Roman"/>
          <w:iCs/>
          <w:szCs w:val="22"/>
        </w:rPr>
        <w:t>rballuar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situat</w:t>
      </w:r>
      <w:r w:rsidR="009A5A0E" w:rsidRPr="00817921">
        <w:rPr>
          <w:rFonts w:ascii="Times New Roman" w:hAnsi="Times New Roman" w:cs="Times New Roman"/>
          <w:iCs/>
          <w:szCs w:val="22"/>
        </w:rPr>
        <w:t>ë</w:t>
      </w:r>
      <w:r w:rsidRPr="00817921">
        <w:rPr>
          <w:rFonts w:ascii="Times New Roman" w:hAnsi="Times New Roman" w:cs="Times New Roman"/>
          <w:iCs/>
          <w:szCs w:val="22"/>
        </w:rPr>
        <w:t>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jasht</w:t>
      </w:r>
      <w:r w:rsidR="009A5A0E" w:rsidRPr="00817921">
        <w:rPr>
          <w:rFonts w:ascii="Times New Roman" w:hAnsi="Times New Roman" w:cs="Times New Roman"/>
          <w:iCs/>
          <w:szCs w:val="22"/>
        </w:rPr>
        <w:t>ë</w:t>
      </w:r>
      <w:r w:rsidRPr="00817921">
        <w:rPr>
          <w:rFonts w:ascii="Times New Roman" w:hAnsi="Times New Roman" w:cs="Times New Roman"/>
          <w:iCs/>
          <w:szCs w:val="22"/>
        </w:rPr>
        <w:t>zakonshme</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m</w:t>
      </w:r>
      <w:r w:rsidR="009A5A0E" w:rsidRPr="00817921">
        <w:rPr>
          <w:rFonts w:ascii="Times New Roman" w:hAnsi="Times New Roman" w:cs="Times New Roman"/>
          <w:iCs/>
          <w:szCs w:val="22"/>
        </w:rPr>
        <w:t>ë</w:t>
      </w:r>
      <w:proofErr w:type="spellEnd"/>
      <w:r w:rsidRPr="00817921">
        <w:rPr>
          <w:rFonts w:ascii="Times New Roman" w:hAnsi="Times New Roman" w:cs="Times New Roman"/>
          <w:iCs/>
          <w:szCs w:val="22"/>
        </w:rPr>
        <w:t xml:space="preserve"> pas, </w:t>
      </w:r>
      <w:proofErr w:type="spellStart"/>
      <w:r w:rsidRPr="00817921">
        <w:rPr>
          <w:rFonts w:ascii="Times New Roman" w:hAnsi="Times New Roman" w:cs="Times New Roman"/>
          <w:iCs/>
          <w:szCs w:val="22"/>
        </w:rPr>
        <w:t>p</w:t>
      </w:r>
      <w:r w:rsidR="009A5A0E" w:rsidRPr="00817921">
        <w:rPr>
          <w:rFonts w:ascii="Times New Roman" w:hAnsi="Times New Roman" w:cs="Times New Roman"/>
          <w:iCs/>
          <w:szCs w:val="22"/>
        </w:rPr>
        <w:t>ë</w:t>
      </w:r>
      <w:r w:rsidRPr="00817921">
        <w:rPr>
          <w:rFonts w:ascii="Times New Roman" w:hAnsi="Times New Roman" w:cs="Times New Roman"/>
          <w:iCs/>
          <w:szCs w:val="22"/>
        </w:rPr>
        <w:t>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zvogëluar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efektet</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krizës</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shkaktuar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nga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lufta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Ukrainë</w:t>
      </w:r>
      <w:proofErr w:type="spellEnd"/>
      <w:r w:rsidRPr="00817921">
        <w:rPr>
          <w:rFonts w:ascii="Times New Roman" w:hAnsi="Times New Roman" w:cs="Times New Roman"/>
          <w:iCs/>
          <w:szCs w:val="22"/>
        </w:rPr>
        <w:t>.</w:t>
      </w:r>
    </w:p>
    <w:p w14:paraId="390AA5E1" w14:textId="77777777" w:rsidR="0049394A" w:rsidRPr="00817921" w:rsidRDefault="0049394A" w:rsidP="005175AC">
      <w:pPr>
        <w:rPr>
          <w:rFonts w:ascii="Times New Roman" w:hAnsi="Times New Roman" w:cs="Times New Roman"/>
          <w:b/>
          <w:bCs/>
          <w:szCs w:val="22"/>
        </w:rPr>
      </w:pPr>
    </w:p>
    <w:p w14:paraId="59B7ACF3" w14:textId="688A6A00" w:rsidR="005175AC" w:rsidRDefault="005175AC" w:rsidP="005175AC">
      <w:pPr>
        <w:rPr>
          <w:rFonts w:ascii="Times New Roman" w:hAnsi="Times New Roman" w:cs="Times New Roman"/>
          <w:iCs/>
          <w:szCs w:val="22"/>
          <w:lang w:val="sq-AL"/>
        </w:rPr>
      </w:pPr>
      <w:r w:rsidRPr="00817921">
        <w:rPr>
          <w:rFonts w:ascii="Times New Roman" w:eastAsia="Calibri" w:hAnsi="Times New Roman" w:cs="Times New Roman"/>
          <w:iCs/>
          <w:szCs w:val="22"/>
          <w:lang w:val="sq-AL"/>
        </w:rPr>
        <w:t>Skema mbështetëse financiare ofrohen për n</w:t>
      </w:r>
      <w:r w:rsidRPr="00817921">
        <w:rPr>
          <w:rFonts w:ascii="Times New Roman" w:eastAsia="Times New Roman" w:hAnsi="Times New Roman" w:cs="Times New Roman"/>
          <w:iCs/>
          <w:szCs w:val="22"/>
          <w:lang w:val="sq-AL"/>
        </w:rPr>
        <w:t xml:space="preserve">xënësit me aftësi të kufizuara në sistemin arsimor, </w:t>
      </w:r>
      <w:r w:rsidRPr="00817921">
        <w:rPr>
          <w:rFonts w:ascii="Times New Roman" w:hAnsi="Times New Roman" w:cs="Times New Roman"/>
          <w:iCs/>
          <w:szCs w:val="22"/>
          <w:lang w:val="sq-AL"/>
        </w:rPr>
        <w:t>si masa lehtësuese të nevojshme për të përshpejtuar apo arritur de facto barazinë, sikurse parashikohet në KDPAK.</w:t>
      </w:r>
      <w:r w:rsidRPr="00817921">
        <w:rPr>
          <w:rFonts w:ascii="Times New Roman" w:hAnsi="Times New Roman" w:cs="Times New Roman"/>
          <w:iCs/>
          <w:szCs w:val="22"/>
        </w:rPr>
        <w:t xml:space="preserve"> </w:t>
      </w:r>
      <w:r w:rsidRPr="00817921">
        <w:rPr>
          <w:rFonts w:ascii="Times New Roman" w:eastAsia="Times New Roman" w:hAnsi="Times New Roman" w:cs="Times New Roman"/>
          <w:iCs/>
          <w:szCs w:val="22"/>
          <w:lang w:val="sq-AL"/>
        </w:rPr>
        <w:t xml:space="preserve">Skemat e mbështetjes </w:t>
      </w:r>
      <w:proofErr w:type="spellStart"/>
      <w:r w:rsidRPr="00817921">
        <w:rPr>
          <w:rFonts w:ascii="Times New Roman" w:hAnsi="Times New Roman" w:cs="Times New Roman"/>
          <w:iCs/>
          <w:szCs w:val="22"/>
        </w:rPr>
        <w:t>garantojnë</w:t>
      </w:r>
      <w:proofErr w:type="spellEnd"/>
      <w:r w:rsidRPr="00817921">
        <w:rPr>
          <w:rFonts w:ascii="Times New Roman" w:hAnsi="Times New Roman" w:cs="Times New Roman"/>
          <w:iCs/>
          <w:szCs w:val="22"/>
        </w:rPr>
        <w:t>: (i) t</w:t>
      </w:r>
      <w:r w:rsidRPr="00817921">
        <w:rPr>
          <w:rFonts w:ascii="Times New Roman" w:eastAsia="Times New Roman" w:hAnsi="Times New Roman" w:cs="Times New Roman"/>
          <w:iCs/>
          <w:szCs w:val="22"/>
          <w:lang w:val="sq-AL"/>
        </w:rPr>
        <w:t>ransport falas</w:t>
      </w:r>
      <w:r w:rsidRPr="00817921">
        <w:rPr>
          <w:rStyle w:val="FootnoteReference"/>
          <w:rFonts w:ascii="Times New Roman" w:eastAsia="Times New Roman" w:hAnsi="Times New Roman" w:cs="Times New Roman"/>
          <w:iCs/>
          <w:szCs w:val="22"/>
          <w:lang w:val="sq-AL"/>
        </w:rPr>
        <w:footnoteReference w:id="140"/>
      </w:r>
      <w:r w:rsidRPr="00817921">
        <w:rPr>
          <w:rFonts w:ascii="Times New Roman" w:eastAsia="Times New Roman" w:hAnsi="Times New Roman" w:cs="Times New Roman"/>
          <w:iCs/>
          <w:szCs w:val="22"/>
          <w:lang w:val="sq-AL"/>
        </w:rPr>
        <w:t>; (ii) trajtim falas në institucionet e arsimit special</w:t>
      </w:r>
      <w:r w:rsidRPr="00817921">
        <w:rPr>
          <w:rStyle w:val="FootnoteReference"/>
          <w:rFonts w:ascii="Times New Roman" w:eastAsia="Times New Roman" w:hAnsi="Times New Roman" w:cs="Times New Roman"/>
          <w:iCs/>
          <w:szCs w:val="22"/>
          <w:lang w:val="sq-AL"/>
        </w:rPr>
        <w:t xml:space="preserve"> </w:t>
      </w:r>
      <w:r w:rsidRPr="00817921">
        <w:rPr>
          <w:rStyle w:val="FootnoteReference"/>
          <w:rFonts w:ascii="Times New Roman" w:eastAsia="Times New Roman" w:hAnsi="Times New Roman" w:cs="Times New Roman"/>
          <w:iCs/>
          <w:szCs w:val="22"/>
          <w:lang w:val="sq-AL"/>
        </w:rPr>
        <w:footnoteReference w:id="141"/>
      </w:r>
      <w:r w:rsidRPr="00817921">
        <w:rPr>
          <w:rFonts w:ascii="Times New Roman" w:eastAsia="Times New Roman" w:hAnsi="Times New Roman" w:cs="Times New Roman"/>
          <w:iCs/>
          <w:szCs w:val="22"/>
          <w:lang w:val="sq-AL"/>
        </w:rPr>
        <w:t>; (iii) tekste falas</w:t>
      </w:r>
      <w:r w:rsidRPr="00817921">
        <w:rPr>
          <w:rStyle w:val="FootnoteReference"/>
          <w:rFonts w:ascii="Times New Roman" w:eastAsia="Times New Roman" w:hAnsi="Times New Roman" w:cs="Times New Roman"/>
          <w:iCs/>
          <w:szCs w:val="22"/>
          <w:lang w:val="sq-AL"/>
        </w:rPr>
        <w:footnoteReference w:id="142"/>
      </w:r>
      <w:r w:rsidRPr="00817921">
        <w:rPr>
          <w:rFonts w:ascii="Times New Roman" w:eastAsia="Times New Roman" w:hAnsi="Times New Roman" w:cs="Times New Roman"/>
          <w:iCs/>
          <w:szCs w:val="22"/>
          <w:lang w:val="sq-AL"/>
        </w:rPr>
        <w:t>; (iv) pagesa për mbështetje për nevojat që lidhen me arsimimin, për fëmijët me aftësi të kufizu</w:t>
      </w:r>
      <w:r w:rsidR="00A77C8E" w:rsidRPr="00817921">
        <w:rPr>
          <w:rFonts w:ascii="Times New Roman" w:eastAsia="Times New Roman" w:hAnsi="Times New Roman" w:cs="Times New Roman"/>
          <w:iCs/>
          <w:szCs w:val="22"/>
          <w:lang w:val="sq-AL"/>
        </w:rPr>
        <w:t>a</w:t>
      </w:r>
      <w:r w:rsidRPr="00817921">
        <w:rPr>
          <w:rFonts w:ascii="Times New Roman" w:eastAsia="Times New Roman" w:hAnsi="Times New Roman" w:cs="Times New Roman"/>
          <w:iCs/>
          <w:szCs w:val="22"/>
          <w:lang w:val="sq-AL"/>
        </w:rPr>
        <w:t>ra në moshë shkollore, që ndjekin arsimin në ciklin e ulët, ciklin e mesëm të ulët, ciklin e mesëm të lartë, arsimin universitar dhe në arsimin pasuniversitar, si shpjeguar në paragrafin më lart; (v)</w:t>
      </w:r>
      <w:r w:rsidRPr="00817921">
        <w:rPr>
          <w:rFonts w:ascii="Times New Roman" w:hAnsi="Times New Roman" w:cs="Times New Roman"/>
          <w:iCs/>
          <w:szCs w:val="22"/>
          <w:lang w:val="sq-AL"/>
        </w:rPr>
        <w:t xml:space="preserve"> përjashtim nga tarifa vjetore e studimit</w:t>
      </w:r>
      <w:r w:rsidRPr="00817921">
        <w:rPr>
          <w:rStyle w:val="FootnoteReference"/>
          <w:rFonts w:ascii="Times New Roman" w:hAnsi="Times New Roman" w:cs="Times New Roman"/>
          <w:iCs/>
          <w:szCs w:val="22"/>
          <w:lang w:val="sq-AL"/>
        </w:rPr>
        <w:footnoteReference w:id="143"/>
      </w:r>
      <w:r w:rsidRPr="00817921">
        <w:rPr>
          <w:rFonts w:ascii="Times New Roman" w:hAnsi="Times New Roman" w:cs="Times New Roman"/>
          <w:iCs/>
          <w:szCs w:val="22"/>
          <w:lang w:val="sq-AL"/>
        </w:rPr>
        <w:t xml:space="preserve"> për studentët, persona me aftësi të kufizuara, të vërtetuar nga ekipet e vlerësimit, si përfitues të pagesës së aftësisë së kufizuar dhe </w:t>
      </w:r>
      <w:r w:rsidRPr="00817921">
        <w:rPr>
          <w:rFonts w:ascii="Times New Roman" w:hAnsi="Times New Roman" w:cs="Times New Roman"/>
          <w:iCs/>
          <w:color w:val="000000"/>
          <w:szCs w:val="22"/>
          <w:lang w:val="sq-AL"/>
        </w:rPr>
        <w:t xml:space="preserve">studentët që kanë të paktën njërin nga të dy prindërit me aftësi të </w:t>
      </w:r>
      <w:r w:rsidRPr="00817921">
        <w:rPr>
          <w:rFonts w:ascii="Times New Roman" w:hAnsi="Times New Roman" w:cs="Times New Roman"/>
          <w:iCs/>
          <w:szCs w:val="22"/>
          <w:lang w:val="sq-AL"/>
        </w:rPr>
        <w:t xml:space="preserve">kufizuara. </w:t>
      </w:r>
    </w:p>
    <w:p w14:paraId="211163DC" w14:textId="77777777" w:rsidR="0049394A" w:rsidRPr="00817921" w:rsidRDefault="0049394A" w:rsidP="005175AC">
      <w:pPr>
        <w:rPr>
          <w:rFonts w:ascii="Times New Roman" w:hAnsi="Times New Roman" w:cs="Times New Roman"/>
          <w:iCs/>
          <w:szCs w:val="22"/>
        </w:rPr>
      </w:pPr>
    </w:p>
    <w:p w14:paraId="2DD632D4" w14:textId="296CF4EE" w:rsidR="005175AC" w:rsidRPr="00817921" w:rsidRDefault="005175AC" w:rsidP="005175AC">
      <w:pPr>
        <w:rPr>
          <w:rFonts w:ascii="Times New Roman" w:hAnsi="Times New Roman" w:cs="Times New Roman"/>
          <w:b/>
          <w:bCs/>
          <w:iCs/>
          <w:szCs w:val="22"/>
        </w:rPr>
      </w:pPr>
      <w:proofErr w:type="spellStart"/>
      <w:r w:rsidRPr="00817921">
        <w:rPr>
          <w:rFonts w:ascii="Times New Roman" w:hAnsi="Times New Roman" w:cs="Times New Roman"/>
          <w:b/>
          <w:bCs/>
          <w:iCs/>
          <w:szCs w:val="22"/>
        </w:rPr>
        <w:t>Mb</w:t>
      </w:r>
      <w:r w:rsidR="009A5A0E" w:rsidRPr="00817921">
        <w:rPr>
          <w:rFonts w:ascii="Times New Roman" w:hAnsi="Times New Roman" w:cs="Times New Roman"/>
          <w:b/>
          <w:bCs/>
          <w:iCs/>
          <w:szCs w:val="22"/>
        </w:rPr>
        <w:t>ë</w:t>
      </w:r>
      <w:r w:rsidRPr="00817921">
        <w:rPr>
          <w:rFonts w:ascii="Times New Roman" w:hAnsi="Times New Roman" w:cs="Times New Roman"/>
          <w:b/>
          <w:bCs/>
          <w:iCs/>
          <w:szCs w:val="22"/>
        </w:rPr>
        <w:t>shtetja</w:t>
      </w:r>
      <w:proofErr w:type="spellEnd"/>
      <w:r w:rsidRPr="00817921">
        <w:rPr>
          <w:rFonts w:ascii="Times New Roman" w:hAnsi="Times New Roman" w:cs="Times New Roman"/>
          <w:b/>
          <w:bCs/>
          <w:iCs/>
          <w:szCs w:val="22"/>
        </w:rPr>
        <w:t xml:space="preserve"> </w:t>
      </w:r>
      <w:proofErr w:type="spellStart"/>
      <w:r w:rsidRPr="00817921">
        <w:rPr>
          <w:rFonts w:ascii="Times New Roman" w:hAnsi="Times New Roman" w:cs="Times New Roman"/>
          <w:b/>
          <w:bCs/>
          <w:iCs/>
          <w:szCs w:val="22"/>
        </w:rPr>
        <w:t>p</w:t>
      </w:r>
      <w:r w:rsidR="009A5A0E" w:rsidRPr="00817921">
        <w:rPr>
          <w:rFonts w:ascii="Times New Roman" w:hAnsi="Times New Roman" w:cs="Times New Roman"/>
          <w:b/>
          <w:bCs/>
          <w:iCs/>
          <w:szCs w:val="22"/>
        </w:rPr>
        <w:t>ë</w:t>
      </w:r>
      <w:r w:rsidRPr="00817921">
        <w:rPr>
          <w:rFonts w:ascii="Times New Roman" w:hAnsi="Times New Roman" w:cs="Times New Roman"/>
          <w:b/>
          <w:bCs/>
          <w:iCs/>
          <w:szCs w:val="22"/>
        </w:rPr>
        <w:t>r</w:t>
      </w:r>
      <w:proofErr w:type="spellEnd"/>
      <w:r w:rsidRPr="00817921">
        <w:rPr>
          <w:rFonts w:ascii="Times New Roman" w:hAnsi="Times New Roman" w:cs="Times New Roman"/>
          <w:b/>
          <w:bCs/>
          <w:iCs/>
          <w:szCs w:val="22"/>
        </w:rPr>
        <w:t xml:space="preserve"> </w:t>
      </w:r>
      <w:proofErr w:type="spellStart"/>
      <w:r w:rsidRPr="00817921">
        <w:rPr>
          <w:rFonts w:ascii="Times New Roman" w:hAnsi="Times New Roman" w:cs="Times New Roman"/>
          <w:b/>
          <w:bCs/>
          <w:iCs/>
          <w:szCs w:val="22"/>
        </w:rPr>
        <w:t>pun</w:t>
      </w:r>
      <w:r w:rsidR="009A5A0E" w:rsidRPr="00817921">
        <w:rPr>
          <w:rFonts w:ascii="Times New Roman" w:hAnsi="Times New Roman" w:cs="Times New Roman"/>
          <w:b/>
          <w:bCs/>
          <w:iCs/>
          <w:szCs w:val="22"/>
        </w:rPr>
        <w:t>ë</w:t>
      </w:r>
      <w:r w:rsidRPr="00817921">
        <w:rPr>
          <w:rFonts w:ascii="Times New Roman" w:hAnsi="Times New Roman" w:cs="Times New Roman"/>
          <w:b/>
          <w:bCs/>
          <w:iCs/>
          <w:szCs w:val="22"/>
        </w:rPr>
        <w:t>sim</w:t>
      </w:r>
      <w:proofErr w:type="spellEnd"/>
      <w:r w:rsidR="00A77C8E" w:rsidRPr="00817921">
        <w:rPr>
          <w:rFonts w:ascii="Times New Roman" w:hAnsi="Times New Roman" w:cs="Times New Roman"/>
          <w:b/>
          <w:bCs/>
          <w:iCs/>
          <w:szCs w:val="22"/>
        </w:rPr>
        <w:t xml:space="preserve">. </w:t>
      </w:r>
      <w:proofErr w:type="spellStart"/>
      <w:r w:rsidRPr="00817921">
        <w:rPr>
          <w:rFonts w:ascii="Times New Roman" w:hAnsi="Times New Roman" w:cs="Times New Roman"/>
          <w:iCs/>
          <w:szCs w:val="22"/>
        </w:rPr>
        <w:t>Personat</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aftësi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kufizuara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punëkërkues</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papunë</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regjistruar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pranë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zyrave</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punësimit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përfitojnë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pagesë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papunësie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Niveli</w:t>
      </w:r>
      <w:proofErr w:type="spellEnd"/>
      <w:r w:rsidRPr="00817921">
        <w:rPr>
          <w:rFonts w:ascii="Times New Roman" w:hAnsi="Times New Roman" w:cs="Times New Roman"/>
          <w:iCs/>
          <w:szCs w:val="22"/>
        </w:rPr>
        <w:t xml:space="preserve"> i </w:t>
      </w:r>
      <w:proofErr w:type="spellStart"/>
      <w:r w:rsidRPr="00817921">
        <w:rPr>
          <w:rFonts w:ascii="Times New Roman" w:hAnsi="Times New Roman" w:cs="Times New Roman"/>
          <w:iCs/>
          <w:szCs w:val="22"/>
        </w:rPr>
        <w:t>përfitimit</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pagesës</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papunësisë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është</w:t>
      </w:r>
      <w:proofErr w:type="spellEnd"/>
      <w:r w:rsidRPr="00817921">
        <w:rPr>
          <w:rFonts w:ascii="Times New Roman" w:hAnsi="Times New Roman" w:cs="Times New Roman"/>
          <w:iCs/>
          <w:szCs w:val="22"/>
        </w:rPr>
        <w:t xml:space="preserve"> i </w:t>
      </w:r>
      <w:proofErr w:type="spellStart"/>
      <w:r w:rsidRPr="00817921">
        <w:rPr>
          <w:rFonts w:ascii="Times New Roman" w:hAnsi="Times New Roman" w:cs="Times New Roman"/>
          <w:iCs/>
          <w:szCs w:val="22"/>
        </w:rPr>
        <w:t>njëjtë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gjithë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punëkërkuesit</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tjerë</w:t>
      </w:r>
      <w:proofErr w:type="spellEnd"/>
      <w:r w:rsidRPr="00817921">
        <w:rPr>
          <w:rFonts w:ascii="Times New Roman" w:hAnsi="Times New Roman" w:cs="Times New Roman"/>
          <w:iCs/>
          <w:szCs w:val="22"/>
          <w:vertAlign w:val="superscript"/>
        </w:rPr>
        <w:footnoteReference w:id="144"/>
      </w:r>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Ndërkohë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përpjekje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zbatimin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Strategjisë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Punësim</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Formim</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Profesional</w:t>
      </w:r>
      <w:proofErr w:type="spellEnd"/>
      <w:r w:rsidRPr="00817921">
        <w:rPr>
          <w:rFonts w:ascii="Times New Roman" w:hAnsi="Times New Roman" w:cs="Times New Roman"/>
          <w:iCs/>
          <w:szCs w:val="22"/>
        </w:rPr>
        <w:t xml:space="preserve"> 2021-2026</w:t>
      </w:r>
      <w:r w:rsidRPr="00817921">
        <w:rPr>
          <w:rFonts w:ascii="Times New Roman" w:hAnsi="Times New Roman" w:cs="Times New Roman"/>
          <w:szCs w:val="22"/>
          <w:vertAlign w:val="superscript"/>
        </w:rPr>
        <w:footnoteReference w:id="145"/>
      </w:r>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Planit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Kombëtar</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Veprimit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Përsonat</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aftësi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Kufizuara</w:t>
      </w:r>
      <w:proofErr w:type="spellEnd"/>
      <w:r w:rsidRPr="00817921">
        <w:rPr>
          <w:rFonts w:ascii="Times New Roman" w:hAnsi="Times New Roman" w:cs="Times New Roman"/>
          <w:iCs/>
          <w:szCs w:val="22"/>
        </w:rPr>
        <w:t xml:space="preserve"> 2021-2030</w:t>
      </w:r>
      <w:r w:rsidRPr="00817921">
        <w:rPr>
          <w:rFonts w:ascii="Times New Roman" w:hAnsi="Times New Roman" w:cs="Times New Roman"/>
          <w:szCs w:val="22"/>
          <w:vertAlign w:val="superscript"/>
        </w:rPr>
        <w:footnoteReference w:id="146"/>
      </w:r>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Ligjit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Nxitjen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Punësimit</w:t>
      </w:r>
      <w:proofErr w:type="spellEnd"/>
      <w:r w:rsidRPr="00817921">
        <w:rPr>
          <w:rFonts w:ascii="Times New Roman" w:hAnsi="Times New Roman" w:cs="Times New Roman"/>
          <w:szCs w:val="22"/>
          <w:vertAlign w:val="superscript"/>
        </w:rPr>
        <w:footnoteReference w:id="147"/>
      </w:r>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si</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edhe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shtrirjes</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efektit</w:t>
      </w:r>
      <w:proofErr w:type="spellEnd"/>
      <w:r w:rsidRPr="00817921">
        <w:rPr>
          <w:rFonts w:ascii="Times New Roman" w:hAnsi="Times New Roman" w:cs="Times New Roman"/>
          <w:iCs/>
          <w:szCs w:val="22"/>
        </w:rPr>
        <w:t xml:space="preserve"> te </w:t>
      </w:r>
      <w:proofErr w:type="spellStart"/>
      <w:r w:rsidRPr="00817921">
        <w:rPr>
          <w:rFonts w:ascii="Times New Roman" w:hAnsi="Times New Roman" w:cs="Times New Roman"/>
          <w:iCs/>
          <w:szCs w:val="22"/>
        </w:rPr>
        <w:t>reformës</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vleresimit</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aftësisë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kufizuar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po</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punohet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krijimin</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zgjerimin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mekanizmit</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vlerësimit</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referimit</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rastit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bashkëpunim</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njësitë</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vlerësimit</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nevojave</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referimit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njësitë</w:t>
      </w:r>
      <w:proofErr w:type="spellEnd"/>
      <w:r w:rsidRPr="00817921">
        <w:rPr>
          <w:rFonts w:ascii="Times New Roman" w:hAnsi="Times New Roman" w:cs="Times New Roman"/>
          <w:iCs/>
          <w:szCs w:val="22"/>
        </w:rPr>
        <w:t xml:space="preserve"> administrative </w:t>
      </w:r>
      <w:proofErr w:type="spellStart"/>
      <w:r w:rsidRPr="00817921">
        <w:rPr>
          <w:rFonts w:ascii="Times New Roman" w:hAnsi="Times New Roman" w:cs="Times New Roman"/>
          <w:iCs/>
          <w:szCs w:val="22"/>
        </w:rPr>
        <w:t>në</w:t>
      </w:r>
      <w:proofErr w:type="spellEnd"/>
      <w:r w:rsidRPr="00817921">
        <w:rPr>
          <w:rFonts w:ascii="Times New Roman" w:hAnsi="Times New Roman" w:cs="Times New Roman"/>
          <w:iCs/>
          <w:szCs w:val="22"/>
        </w:rPr>
        <w:t xml:space="preserve"> nivel vendor, </w:t>
      </w:r>
      <w:proofErr w:type="spellStart"/>
      <w:r w:rsidRPr="00817921">
        <w:rPr>
          <w:rFonts w:ascii="Times New Roman" w:hAnsi="Times New Roman" w:cs="Times New Roman"/>
          <w:iCs/>
          <w:szCs w:val="22"/>
        </w:rPr>
        <w:t>si</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edhe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forcimin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bashkërendimit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institucional</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ofrimin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shërbimeve</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punësimit</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shërbimeve</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tjera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mbështetëse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që</w:t>
      </w:r>
      <w:proofErr w:type="spellEnd"/>
      <w:r w:rsidRPr="00817921">
        <w:rPr>
          <w:rFonts w:ascii="Times New Roman" w:hAnsi="Times New Roman" w:cs="Times New Roman"/>
          <w:iCs/>
          <w:szCs w:val="22"/>
        </w:rPr>
        <w:t xml:space="preserve"> do të </w:t>
      </w:r>
      <w:proofErr w:type="spellStart"/>
      <w:r w:rsidRPr="00817921">
        <w:rPr>
          <w:rFonts w:ascii="Times New Roman" w:hAnsi="Times New Roman" w:cs="Times New Roman"/>
          <w:iCs/>
          <w:szCs w:val="22"/>
        </w:rPr>
        <w:t>mundësonin</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krijimin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kushteve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punësim</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punëkërkuesit</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papunë</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aftësi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kufizuara</w:t>
      </w:r>
      <w:proofErr w:type="spellEnd"/>
      <w:r w:rsidRPr="00817921">
        <w:rPr>
          <w:rFonts w:ascii="Times New Roman" w:hAnsi="Times New Roman" w:cs="Times New Roman"/>
          <w:iCs/>
          <w:szCs w:val="22"/>
        </w:rPr>
        <w:t xml:space="preserve">. Në </w:t>
      </w:r>
      <w:proofErr w:type="spellStart"/>
      <w:r w:rsidRPr="00817921">
        <w:rPr>
          <w:rFonts w:ascii="Times New Roman" w:hAnsi="Times New Roman" w:cs="Times New Roman"/>
          <w:iCs/>
          <w:szCs w:val="22"/>
        </w:rPr>
        <w:t>kuadër</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zbatimit</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reformës</w:t>
      </w:r>
      <w:proofErr w:type="spellEnd"/>
      <w:r w:rsidRPr="00817921">
        <w:rPr>
          <w:rFonts w:ascii="Times New Roman" w:hAnsi="Times New Roman" w:cs="Times New Roman"/>
          <w:iCs/>
          <w:szCs w:val="22"/>
        </w:rPr>
        <w:t xml:space="preserve"> e të </w:t>
      </w:r>
      <w:proofErr w:type="spellStart"/>
      <w:r w:rsidRPr="00817921">
        <w:rPr>
          <w:rFonts w:ascii="Times New Roman" w:hAnsi="Times New Roman" w:cs="Times New Roman"/>
          <w:iCs/>
          <w:szCs w:val="22"/>
        </w:rPr>
        <w:t>modelit</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ri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shërbimeve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në</w:t>
      </w:r>
      <w:proofErr w:type="spellEnd"/>
      <w:r w:rsidRPr="00817921">
        <w:rPr>
          <w:rFonts w:ascii="Times New Roman" w:hAnsi="Times New Roman" w:cs="Times New Roman"/>
          <w:iCs/>
          <w:szCs w:val="22"/>
        </w:rPr>
        <w:t xml:space="preserve"> tre </w:t>
      </w:r>
      <w:proofErr w:type="spellStart"/>
      <w:r w:rsidRPr="00817921">
        <w:rPr>
          <w:rFonts w:ascii="Times New Roman" w:hAnsi="Times New Roman" w:cs="Times New Roman"/>
          <w:iCs/>
          <w:szCs w:val="22"/>
        </w:rPr>
        <w:t>nivele</w:t>
      </w:r>
      <w:proofErr w:type="spellEnd"/>
      <w:r w:rsidRPr="00817921">
        <w:rPr>
          <w:rFonts w:ascii="Times New Roman" w:hAnsi="Times New Roman" w:cs="Times New Roman"/>
          <w:iCs/>
          <w:szCs w:val="22"/>
          <w:vertAlign w:val="superscript"/>
        </w:rPr>
        <w:footnoteReference w:id="148"/>
      </w:r>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ka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filluar</w:t>
      </w:r>
      <w:proofErr w:type="spellEnd"/>
      <w:r w:rsidRPr="00817921">
        <w:rPr>
          <w:rFonts w:ascii="Times New Roman" w:hAnsi="Times New Roman" w:cs="Times New Roman"/>
          <w:iCs/>
          <w:szCs w:val="22"/>
        </w:rPr>
        <w:t xml:space="preserve"> puna </w:t>
      </w:r>
      <w:proofErr w:type="spellStart"/>
      <w:r w:rsidRPr="00817921">
        <w:rPr>
          <w:rFonts w:ascii="Times New Roman" w:hAnsi="Times New Roman" w:cs="Times New Roman"/>
          <w:iCs/>
          <w:szCs w:val="22"/>
        </w:rPr>
        <w:t>edhe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reformuar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sistemin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vlerësimit</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kapaciteteve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profilizimin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punëkërkuesve</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papunë</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aftësi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kufizuara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që</w:t>
      </w:r>
      <w:proofErr w:type="spellEnd"/>
      <w:r w:rsidRPr="00817921">
        <w:rPr>
          <w:rFonts w:ascii="Times New Roman" w:hAnsi="Times New Roman" w:cs="Times New Roman"/>
          <w:iCs/>
          <w:szCs w:val="22"/>
        </w:rPr>
        <w:t xml:space="preserve"> do të </w:t>
      </w:r>
      <w:proofErr w:type="spellStart"/>
      <w:r w:rsidRPr="00817921">
        <w:rPr>
          <w:rFonts w:ascii="Times New Roman" w:hAnsi="Times New Roman" w:cs="Times New Roman"/>
          <w:iCs/>
          <w:szCs w:val="22"/>
        </w:rPr>
        <w:t>vazhdojë</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hartimin</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ndjekjen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planeve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individuale</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punësimit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ofruar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mbështetjen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nevojshme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punëkërkuesit</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papunë</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aftësi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kufizuara</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punëdhënësit</w:t>
      </w:r>
      <w:proofErr w:type="spellEnd"/>
      <w:r w:rsidRPr="00817921">
        <w:rPr>
          <w:rFonts w:ascii="Times New Roman" w:hAnsi="Times New Roman" w:cs="Times New Roman"/>
          <w:iCs/>
          <w:szCs w:val="22"/>
        </w:rPr>
        <w:t xml:space="preserve">. </w:t>
      </w:r>
    </w:p>
    <w:p w14:paraId="0D68AD49" w14:textId="2AD42874" w:rsidR="005175AC" w:rsidRPr="00817921" w:rsidRDefault="005175AC" w:rsidP="005175AC">
      <w:pPr>
        <w:rPr>
          <w:rFonts w:ascii="Times New Roman" w:hAnsi="Times New Roman" w:cs="Times New Roman"/>
          <w:iCs/>
          <w:szCs w:val="22"/>
        </w:rPr>
      </w:pPr>
      <w:proofErr w:type="spellStart"/>
      <w:r w:rsidRPr="00817921">
        <w:rPr>
          <w:rFonts w:ascii="Times New Roman" w:hAnsi="Times New Roman" w:cs="Times New Roman"/>
          <w:iCs/>
          <w:szCs w:val="22"/>
        </w:rPr>
        <w:t>Kuadri</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operacional</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zbatimin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programeve</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nxitjes</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punësimit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është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plotësuar</w:t>
      </w:r>
      <w:proofErr w:type="spellEnd"/>
      <w:r w:rsidRPr="00817921">
        <w:rPr>
          <w:rFonts w:ascii="Times New Roman" w:hAnsi="Times New Roman" w:cs="Times New Roman"/>
          <w:iCs/>
          <w:szCs w:val="22"/>
        </w:rPr>
        <w:t xml:space="preserve"> me programe </w:t>
      </w:r>
      <w:proofErr w:type="spellStart"/>
      <w:r w:rsidRPr="00817921">
        <w:rPr>
          <w:rFonts w:ascii="Times New Roman" w:hAnsi="Times New Roman" w:cs="Times New Roman"/>
          <w:iCs/>
          <w:szCs w:val="22"/>
        </w:rPr>
        <w:t>që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variojnë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nga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mbështetje</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subvencionim</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kostos</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punësimit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trajnim</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vendin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punës</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praktika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profesionale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deri</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w:t>
      </w:r>
      <w:r w:rsidR="009A5A0E" w:rsidRPr="00817921">
        <w:rPr>
          <w:rFonts w:ascii="Times New Roman" w:hAnsi="Times New Roman" w:cs="Times New Roman"/>
          <w:iCs/>
          <w:szCs w:val="22"/>
        </w:rPr>
        <w:t>ë</w:t>
      </w:r>
      <w:proofErr w:type="spellEnd"/>
      <w:r w:rsidRPr="00817921">
        <w:rPr>
          <w:rFonts w:ascii="Times New Roman" w:hAnsi="Times New Roman" w:cs="Times New Roman"/>
          <w:iCs/>
          <w:szCs w:val="22"/>
        </w:rPr>
        <w:t xml:space="preserve"> programe të </w:t>
      </w:r>
      <w:proofErr w:type="spellStart"/>
      <w:r w:rsidRPr="00817921">
        <w:rPr>
          <w:rFonts w:ascii="Times New Roman" w:hAnsi="Times New Roman" w:cs="Times New Roman"/>
          <w:iCs/>
          <w:szCs w:val="22"/>
        </w:rPr>
        <w:t>tilla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si</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vetëpunësimi</w:t>
      </w:r>
      <w:proofErr w:type="spellEnd"/>
      <w:r w:rsidRPr="00817921">
        <w:rPr>
          <w:rFonts w:ascii="Times New Roman" w:hAnsi="Times New Roman" w:cs="Times New Roman"/>
          <w:iCs/>
          <w:szCs w:val="22"/>
        </w:rPr>
        <w:t xml:space="preserve"> dhe puna </w:t>
      </w:r>
      <w:proofErr w:type="spellStart"/>
      <w:r w:rsidRPr="00817921">
        <w:rPr>
          <w:rFonts w:ascii="Times New Roman" w:hAnsi="Times New Roman" w:cs="Times New Roman"/>
          <w:iCs/>
          <w:szCs w:val="22"/>
        </w:rPr>
        <w:t>në</w:t>
      </w:r>
      <w:proofErr w:type="spellEnd"/>
      <w:r w:rsidRPr="00817921">
        <w:rPr>
          <w:rFonts w:ascii="Times New Roman" w:hAnsi="Times New Roman" w:cs="Times New Roman"/>
          <w:iCs/>
          <w:szCs w:val="22"/>
        </w:rPr>
        <w:t xml:space="preserve"> komunitet</w:t>
      </w:r>
      <w:r w:rsidRPr="00817921">
        <w:rPr>
          <w:rFonts w:ascii="Times New Roman" w:hAnsi="Times New Roman" w:cs="Times New Roman"/>
          <w:iCs/>
          <w:szCs w:val="22"/>
          <w:vertAlign w:val="superscript"/>
        </w:rPr>
        <w:footnoteReference w:id="149"/>
      </w:r>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Përpjekje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janë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bërë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nxitur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përfshirjen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personave</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aftësi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kufizuara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në</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gjitha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programet</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nxitjes</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punësimit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Ligji</w:t>
      </w:r>
      <w:proofErr w:type="spellEnd"/>
      <w:r w:rsidRPr="00817921">
        <w:rPr>
          <w:rFonts w:ascii="Times New Roman" w:hAnsi="Times New Roman" w:cs="Times New Roman"/>
          <w:iCs/>
          <w:szCs w:val="22"/>
        </w:rPr>
        <w:t xml:space="preserve"> i </w:t>
      </w:r>
      <w:proofErr w:type="spellStart"/>
      <w:r w:rsidRPr="00817921">
        <w:rPr>
          <w:rFonts w:ascii="Times New Roman" w:hAnsi="Times New Roman" w:cs="Times New Roman"/>
          <w:iCs/>
          <w:szCs w:val="22"/>
        </w:rPr>
        <w:t>ri</w:t>
      </w:r>
      <w:proofErr w:type="spellEnd"/>
      <w:r w:rsidRPr="00817921">
        <w:rPr>
          <w:rFonts w:ascii="Times New Roman" w:hAnsi="Times New Roman" w:cs="Times New Roman"/>
          <w:iCs/>
          <w:szCs w:val="22"/>
        </w:rPr>
        <w:t xml:space="preserve"> nr. 15/2019 "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nxitjen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punësimit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parashikon</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dhënien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shërbimeve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mbështetëse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personat</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aftësi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kufizuara</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aftësimin</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rehabilitimin</w:t>
      </w:r>
      <w:proofErr w:type="spellEnd"/>
      <w:r w:rsidRPr="00817921">
        <w:rPr>
          <w:rFonts w:ascii="Times New Roman" w:hAnsi="Times New Roman" w:cs="Times New Roman"/>
          <w:iCs/>
          <w:szCs w:val="22"/>
        </w:rPr>
        <w:t xml:space="preserve"> e tyre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si</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asistencë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vlerësimin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aftësisë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punë</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personit</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aftësi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kufizuara</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njëkohësisht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mundëson</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krijimin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Fondit</w:t>
      </w:r>
      <w:proofErr w:type="spellEnd"/>
      <w:r w:rsidRPr="00817921">
        <w:rPr>
          <w:rFonts w:ascii="Times New Roman" w:hAnsi="Times New Roman" w:cs="Times New Roman"/>
          <w:iCs/>
          <w:szCs w:val="22"/>
        </w:rPr>
        <w:t xml:space="preserve"> Social të </w:t>
      </w:r>
      <w:proofErr w:type="spellStart"/>
      <w:r w:rsidRPr="00817921">
        <w:rPr>
          <w:rFonts w:ascii="Times New Roman" w:hAnsi="Times New Roman" w:cs="Times New Roman"/>
          <w:iCs/>
          <w:szCs w:val="22"/>
        </w:rPr>
        <w:t>Punësimit</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dedikuar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aftësinë</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kufizuar</w:t>
      </w:r>
      <w:proofErr w:type="spellEnd"/>
      <w:r w:rsidRPr="00817921">
        <w:rPr>
          <w:rFonts w:ascii="Times New Roman" w:hAnsi="Times New Roman" w:cs="Times New Roman"/>
          <w:iCs/>
          <w:szCs w:val="22"/>
        </w:rPr>
        <w:t xml:space="preserve">, i cili do të </w:t>
      </w:r>
      <w:proofErr w:type="spellStart"/>
      <w:r w:rsidRPr="00817921">
        <w:rPr>
          <w:rFonts w:ascii="Times New Roman" w:hAnsi="Times New Roman" w:cs="Times New Roman"/>
          <w:iCs/>
          <w:szCs w:val="22"/>
        </w:rPr>
        <w:t>shërbejë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siguruar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nxitjen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punësimit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integrimin</w:t>
      </w:r>
      <w:proofErr w:type="spellEnd"/>
      <w:r w:rsidRPr="00817921">
        <w:rPr>
          <w:rFonts w:ascii="Times New Roman" w:hAnsi="Times New Roman" w:cs="Times New Roman"/>
          <w:iCs/>
          <w:szCs w:val="22"/>
        </w:rPr>
        <w:t xml:space="preserve"> dhe </w:t>
      </w:r>
      <w:proofErr w:type="spellStart"/>
      <w:r w:rsidRPr="00817921">
        <w:rPr>
          <w:rFonts w:ascii="Times New Roman" w:hAnsi="Times New Roman" w:cs="Times New Roman"/>
          <w:iCs/>
          <w:szCs w:val="22"/>
        </w:rPr>
        <w:t>përfshirjen</w:t>
      </w:r>
      <w:proofErr w:type="spellEnd"/>
      <w:r w:rsidRPr="00817921">
        <w:rPr>
          <w:rFonts w:ascii="Times New Roman" w:hAnsi="Times New Roman" w:cs="Times New Roman"/>
          <w:iCs/>
          <w:szCs w:val="22"/>
        </w:rPr>
        <w:t xml:space="preserve"> sociale të </w:t>
      </w:r>
      <w:proofErr w:type="spellStart"/>
      <w:r w:rsidRPr="00817921">
        <w:rPr>
          <w:rFonts w:ascii="Times New Roman" w:hAnsi="Times New Roman" w:cs="Times New Roman"/>
          <w:iCs/>
          <w:szCs w:val="22"/>
        </w:rPr>
        <w:t>personave</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aftësi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kufizuara</w:t>
      </w:r>
      <w:proofErr w:type="spellEnd"/>
      <w:r w:rsidRPr="00817921">
        <w:rPr>
          <w:rFonts w:ascii="Times New Roman" w:hAnsi="Times New Roman" w:cs="Times New Roman"/>
          <w:iCs/>
          <w:szCs w:val="22"/>
        </w:rPr>
        <w:t xml:space="preserve">. Në </w:t>
      </w:r>
      <w:proofErr w:type="spellStart"/>
      <w:r w:rsidR="00AB4D37">
        <w:rPr>
          <w:rFonts w:ascii="Times New Roman" w:hAnsi="Times New Roman" w:cs="Times New Roman"/>
          <w:iCs/>
          <w:szCs w:val="22"/>
        </w:rPr>
        <w:t>proçes</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reformimi</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është</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edhe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sistemi</w:t>
      </w:r>
      <w:proofErr w:type="spellEnd"/>
      <w:r w:rsidRPr="00817921">
        <w:rPr>
          <w:rFonts w:ascii="Times New Roman" w:hAnsi="Times New Roman" w:cs="Times New Roman"/>
          <w:iCs/>
          <w:szCs w:val="22"/>
        </w:rPr>
        <w:t xml:space="preserve"> i arsimit e </w:t>
      </w:r>
      <w:proofErr w:type="spellStart"/>
      <w:r w:rsidRPr="00817921">
        <w:rPr>
          <w:rFonts w:ascii="Times New Roman" w:hAnsi="Times New Roman" w:cs="Times New Roman"/>
          <w:iCs/>
          <w:szCs w:val="22"/>
        </w:rPr>
        <w:t>formimit</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profesional</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garantuar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mbështetjen</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nevojshme</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aftësimin</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profesional</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aksesueshëm</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gjithëpërfshirës</w:t>
      </w:r>
      <w:proofErr w:type="spellEnd"/>
      <w:r w:rsidRPr="00817921">
        <w:rPr>
          <w:rFonts w:ascii="Times New Roman" w:hAnsi="Times New Roman" w:cs="Times New Roman"/>
          <w:iCs/>
          <w:szCs w:val="22"/>
        </w:rPr>
        <w:t xml:space="preserve"> e </w:t>
      </w:r>
      <w:proofErr w:type="spellStart"/>
      <w:r w:rsidRPr="00817921">
        <w:rPr>
          <w:rFonts w:ascii="Times New Roman" w:hAnsi="Times New Roman" w:cs="Times New Roman"/>
          <w:iCs/>
          <w:szCs w:val="22"/>
        </w:rPr>
        <w:t>cilësor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për</w:t>
      </w:r>
      <w:proofErr w:type="spellEnd"/>
      <w:r w:rsidRPr="00817921">
        <w:rPr>
          <w:rFonts w:ascii="Times New Roman" w:hAnsi="Times New Roman" w:cs="Times New Roman"/>
          <w:iCs/>
          <w:szCs w:val="22"/>
        </w:rPr>
        <w:t xml:space="preserve"> </w:t>
      </w:r>
      <w:proofErr w:type="spellStart"/>
      <w:r w:rsidRPr="00817921">
        <w:rPr>
          <w:rFonts w:ascii="Times New Roman" w:hAnsi="Times New Roman" w:cs="Times New Roman"/>
          <w:iCs/>
          <w:szCs w:val="22"/>
        </w:rPr>
        <w:t>personat</w:t>
      </w:r>
      <w:proofErr w:type="spellEnd"/>
      <w:r w:rsidRPr="00817921">
        <w:rPr>
          <w:rFonts w:ascii="Times New Roman" w:hAnsi="Times New Roman" w:cs="Times New Roman"/>
          <w:iCs/>
          <w:szCs w:val="22"/>
        </w:rPr>
        <w:t xml:space="preserve"> me </w:t>
      </w:r>
      <w:proofErr w:type="spellStart"/>
      <w:r w:rsidRPr="00817921">
        <w:rPr>
          <w:rFonts w:ascii="Times New Roman" w:hAnsi="Times New Roman" w:cs="Times New Roman"/>
          <w:iCs/>
          <w:szCs w:val="22"/>
        </w:rPr>
        <w:t>aftësi</w:t>
      </w:r>
      <w:proofErr w:type="spellEnd"/>
      <w:r w:rsidRPr="00817921">
        <w:rPr>
          <w:rFonts w:ascii="Times New Roman" w:hAnsi="Times New Roman" w:cs="Times New Roman"/>
          <w:iCs/>
          <w:szCs w:val="22"/>
        </w:rPr>
        <w:t xml:space="preserve"> të </w:t>
      </w:r>
      <w:proofErr w:type="spellStart"/>
      <w:r w:rsidRPr="00817921">
        <w:rPr>
          <w:rFonts w:ascii="Times New Roman" w:hAnsi="Times New Roman" w:cs="Times New Roman"/>
          <w:iCs/>
          <w:szCs w:val="22"/>
        </w:rPr>
        <w:t>kufizuara</w:t>
      </w:r>
      <w:proofErr w:type="spellEnd"/>
      <w:r w:rsidRPr="00817921">
        <w:rPr>
          <w:rFonts w:ascii="Times New Roman" w:hAnsi="Times New Roman" w:cs="Times New Roman"/>
          <w:iCs/>
          <w:szCs w:val="22"/>
        </w:rPr>
        <w:t>.</w:t>
      </w:r>
    </w:p>
    <w:p w14:paraId="03CC7AD4" w14:textId="129D9D89" w:rsidR="005175AC" w:rsidRPr="00817921" w:rsidRDefault="005175AC" w:rsidP="005175AC">
      <w:pPr>
        <w:rPr>
          <w:rFonts w:ascii="Times New Roman" w:hAnsi="Times New Roman" w:cs="Times New Roman"/>
          <w:color w:val="222222"/>
          <w:szCs w:val="22"/>
          <w:shd w:val="clear" w:color="auto" w:fill="FFFFFF"/>
        </w:rPr>
      </w:pPr>
      <w:proofErr w:type="spellStart"/>
      <w:r w:rsidRPr="00817921">
        <w:rPr>
          <w:rFonts w:ascii="Times New Roman" w:hAnsi="Times New Roman" w:cs="Times New Roman"/>
          <w:color w:val="222222"/>
          <w:szCs w:val="22"/>
          <w:shd w:val="clear" w:color="auto" w:fill="FFFFFF"/>
        </w:rPr>
        <w:t>Një</w:t>
      </w:r>
      <w:proofErr w:type="spellEnd"/>
      <w:r w:rsidRPr="00817921">
        <w:rPr>
          <w:rFonts w:ascii="Times New Roman" w:hAnsi="Times New Roman" w:cs="Times New Roman"/>
          <w:color w:val="222222"/>
          <w:szCs w:val="22"/>
          <w:shd w:val="clear" w:color="auto" w:fill="FFFFFF"/>
        </w:rPr>
        <w:t xml:space="preserve"> element </w:t>
      </w:r>
      <w:proofErr w:type="spellStart"/>
      <w:r w:rsidRPr="00817921">
        <w:rPr>
          <w:rFonts w:ascii="Times New Roman" w:hAnsi="Times New Roman" w:cs="Times New Roman"/>
          <w:color w:val="222222"/>
          <w:szCs w:val="22"/>
          <w:shd w:val="clear" w:color="auto" w:fill="FFFFFF"/>
        </w:rPr>
        <w:t>mbështetës</w:t>
      </w:r>
      <w:proofErr w:type="spellEnd"/>
      <w:r w:rsidRPr="00817921">
        <w:rPr>
          <w:rFonts w:ascii="Times New Roman" w:hAnsi="Times New Roman" w:cs="Times New Roman"/>
          <w:color w:val="222222"/>
          <w:szCs w:val="22"/>
          <w:shd w:val="clear" w:color="auto" w:fill="FFFFFF"/>
        </w:rPr>
        <w:t xml:space="preserve"> dhe </w:t>
      </w:r>
      <w:proofErr w:type="spellStart"/>
      <w:r w:rsidRPr="00817921">
        <w:rPr>
          <w:rFonts w:ascii="Times New Roman" w:hAnsi="Times New Roman" w:cs="Times New Roman"/>
          <w:color w:val="222222"/>
          <w:szCs w:val="22"/>
          <w:shd w:val="clear" w:color="auto" w:fill="FFFFFF"/>
        </w:rPr>
        <w:t>inkurajues</w:t>
      </w:r>
      <w:proofErr w:type="spellEnd"/>
      <w:r w:rsidRPr="00817921">
        <w:rPr>
          <w:rFonts w:ascii="Times New Roman" w:hAnsi="Times New Roman" w:cs="Times New Roman"/>
          <w:color w:val="222222"/>
          <w:szCs w:val="22"/>
          <w:shd w:val="clear" w:color="auto" w:fill="FFFFFF"/>
        </w:rPr>
        <w:t xml:space="preserve"> i </w:t>
      </w:r>
      <w:proofErr w:type="spellStart"/>
      <w:r w:rsidRPr="00817921">
        <w:rPr>
          <w:rFonts w:ascii="Times New Roman" w:hAnsi="Times New Roman" w:cs="Times New Roman"/>
          <w:color w:val="222222"/>
          <w:szCs w:val="22"/>
          <w:shd w:val="clear" w:color="auto" w:fill="FFFFFF"/>
        </w:rPr>
        <w:t>politikës</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së</w:t>
      </w:r>
      <w:proofErr w:type="spellEnd"/>
      <w:r w:rsidRPr="00817921">
        <w:rPr>
          <w:rFonts w:ascii="Times New Roman" w:hAnsi="Times New Roman" w:cs="Times New Roman"/>
          <w:color w:val="222222"/>
          <w:szCs w:val="22"/>
          <w:shd w:val="clear" w:color="auto" w:fill="FFFFFF"/>
        </w:rPr>
        <w:t xml:space="preserve"> re të </w:t>
      </w:r>
      <w:proofErr w:type="spellStart"/>
      <w:r w:rsidRPr="00817921">
        <w:rPr>
          <w:rFonts w:ascii="Times New Roman" w:hAnsi="Times New Roman" w:cs="Times New Roman"/>
          <w:color w:val="222222"/>
          <w:szCs w:val="22"/>
          <w:shd w:val="clear" w:color="auto" w:fill="FFFFFF"/>
        </w:rPr>
        <w:t>punësimit</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për</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personat</w:t>
      </w:r>
      <w:proofErr w:type="spellEnd"/>
      <w:r w:rsidRPr="00817921">
        <w:rPr>
          <w:rFonts w:ascii="Times New Roman" w:hAnsi="Times New Roman" w:cs="Times New Roman"/>
          <w:color w:val="222222"/>
          <w:szCs w:val="22"/>
          <w:shd w:val="clear" w:color="auto" w:fill="FFFFFF"/>
        </w:rPr>
        <w:t xml:space="preserve"> me </w:t>
      </w:r>
      <w:proofErr w:type="spellStart"/>
      <w:r w:rsidRPr="00817921">
        <w:rPr>
          <w:rFonts w:ascii="Times New Roman" w:hAnsi="Times New Roman" w:cs="Times New Roman"/>
          <w:color w:val="222222"/>
          <w:szCs w:val="22"/>
          <w:shd w:val="clear" w:color="auto" w:fill="FFFFFF"/>
        </w:rPr>
        <w:t>aftësi</w:t>
      </w:r>
      <w:proofErr w:type="spellEnd"/>
      <w:r w:rsidRPr="00817921">
        <w:rPr>
          <w:rFonts w:ascii="Times New Roman" w:hAnsi="Times New Roman" w:cs="Times New Roman"/>
          <w:color w:val="222222"/>
          <w:szCs w:val="22"/>
          <w:shd w:val="clear" w:color="auto" w:fill="FFFFFF"/>
        </w:rPr>
        <w:t xml:space="preserve"> të </w:t>
      </w:r>
      <w:proofErr w:type="spellStart"/>
      <w:r w:rsidRPr="00817921">
        <w:rPr>
          <w:rFonts w:ascii="Times New Roman" w:hAnsi="Times New Roman" w:cs="Times New Roman"/>
          <w:color w:val="222222"/>
          <w:szCs w:val="22"/>
          <w:shd w:val="clear" w:color="auto" w:fill="FFFFFF"/>
        </w:rPr>
        <w:t>kufizuar</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është</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vazhdimi</w:t>
      </w:r>
      <w:proofErr w:type="spellEnd"/>
      <w:r w:rsidRPr="00817921">
        <w:rPr>
          <w:rFonts w:ascii="Times New Roman" w:hAnsi="Times New Roman" w:cs="Times New Roman"/>
          <w:color w:val="222222"/>
          <w:szCs w:val="22"/>
          <w:shd w:val="clear" w:color="auto" w:fill="FFFFFF"/>
        </w:rPr>
        <w:t xml:space="preserve"> i </w:t>
      </w:r>
      <w:proofErr w:type="spellStart"/>
      <w:r w:rsidRPr="00817921">
        <w:rPr>
          <w:rFonts w:ascii="Times New Roman" w:hAnsi="Times New Roman" w:cs="Times New Roman"/>
          <w:color w:val="222222"/>
          <w:szCs w:val="22"/>
          <w:shd w:val="clear" w:color="auto" w:fill="FFFFFF"/>
        </w:rPr>
        <w:t>përfitimit</w:t>
      </w:r>
      <w:proofErr w:type="spellEnd"/>
      <w:r w:rsidRPr="00817921">
        <w:rPr>
          <w:rFonts w:ascii="Times New Roman" w:hAnsi="Times New Roman" w:cs="Times New Roman"/>
          <w:color w:val="222222"/>
          <w:szCs w:val="22"/>
          <w:shd w:val="clear" w:color="auto" w:fill="FFFFFF"/>
        </w:rPr>
        <w:t xml:space="preserve"> të </w:t>
      </w:r>
      <w:proofErr w:type="spellStart"/>
      <w:r w:rsidRPr="00817921">
        <w:rPr>
          <w:rFonts w:ascii="Times New Roman" w:hAnsi="Times New Roman" w:cs="Times New Roman"/>
          <w:color w:val="222222"/>
          <w:szCs w:val="22"/>
          <w:shd w:val="clear" w:color="auto" w:fill="FFFFFF"/>
        </w:rPr>
        <w:t>pagesës</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për</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aftësinë</w:t>
      </w:r>
      <w:proofErr w:type="spellEnd"/>
      <w:r w:rsidRPr="00817921">
        <w:rPr>
          <w:rFonts w:ascii="Times New Roman" w:hAnsi="Times New Roman" w:cs="Times New Roman"/>
          <w:color w:val="222222"/>
          <w:szCs w:val="22"/>
          <w:shd w:val="clear" w:color="auto" w:fill="FFFFFF"/>
        </w:rPr>
        <w:t xml:space="preserve"> e </w:t>
      </w:r>
      <w:proofErr w:type="spellStart"/>
      <w:r w:rsidRPr="00817921">
        <w:rPr>
          <w:rFonts w:ascii="Times New Roman" w:hAnsi="Times New Roman" w:cs="Times New Roman"/>
          <w:color w:val="222222"/>
          <w:szCs w:val="22"/>
          <w:shd w:val="clear" w:color="auto" w:fill="FFFFFF"/>
        </w:rPr>
        <w:t>kufizuar</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edhe</w:t>
      </w:r>
      <w:proofErr w:type="spellEnd"/>
      <w:r w:rsidRPr="00817921">
        <w:rPr>
          <w:rFonts w:ascii="Times New Roman" w:hAnsi="Times New Roman" w:cs="Times New Roman"/>
          <w:color w:val="222222"/>
          <w:szCs w:val="22"/>
          <w:shd w:val="clear" w:color="auto" w:fill="FFFFFF"/>
        </w:rPr>
        <w:t xml:space="preserve"> pas </w:t>
      </w:r>
      <w:proofErr w:type="spellStart"/>
      <w:r w:rsidRPr="00817921">
        <w:rPr>
          <w:rFonts w:ascii="Times New Roman" w:hAnsi="Times New Roman" w:cs="Times New Roman"/>
          <w:color w:val="222222"/>
          <w:szCs w:val="22"/>
          <w:shd w:val="clear" w:color="auto" w:fill="FFFFFF"/>
        </w:rPr>
        <w:t>punësimit</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për</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personat</w:t>
      </w:r>
      <w:proofErr w:type="spellEnd"/>
      <w:r w:rsidRPr="00817921">
        <w:rPr>
          <w:rFonts w:ascii="Times New Roman" w:hAnsi="Times New Roman" w:cs="Times New Roman"/>
          <w:color w:val="222222"/>
          <w:szCs w:val="22"/>
          <w:shd w:val="clear" w:color="auto" w:fill="FFFFFF"/>
        </w:rPr>
        <w:t xml:space="preserve"> me </w:t>
      </w:r>
      <w:proofErr w:type="spellStart"/>
      <w:r w:rsidRPr="00817921">
        <w:rPr>
          <w:rFonts w:ascii="Times New Roman" w:hAnsi="Times New Roman" w:cs="Times New Roman"/>
          <w:color w:val="222222"/>
          <w:szCs w:val="22"/>
          <w:shd w:val="clear" w:color="auto" w:fill="FFFFFF"/>
        </w:rPr>
        <w:t>aftësi</w:t>
      </w:r>
      <w:proofErr w:type="spellEnd"/>
      <w:r w:rsidRPr="00817921">
        <w:rPr>
          <w:rFonts w:ascii="Times New Roman" w:hAnsi="Times New Roman" w:cs="Times New Roman"/>
          <w:color w:val="222222"/>
          <w:szCs w:val="22"/>
          <w:shd w:val="clear" w:color="auto" w:fill="FFFFFF"/>
        </w:rPr>
        <w:t xml:space="preserve"> të </w:t>
      </w:r>
      <w:proofErr w:type="spellStart"/>
      <w:r w:rsidRPr="00817921">
        <w:rPr>
          <w:rFonts w:ascii="Times New Roman" w:hAnsi="Times New Roman" w:cs="Times New Roman"/>
          <w:color w:val="222222"/>
          <w:szCs w:val="22"/>
          <w:shd w:val="clear" w:color="auto" w:fill="FFFFFF"/>
        </w:rPr>
        <w:t>kufizuara</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që</w:t>
      </w:r>
      <w:proofErr w:type="spellEnd"/>
      <w:r w:rsidRPr="00817921">
        <w:rPr>
          <w:rFonts w:ascii="Times New Roman" w:hAnsi="Times New Roman" w:cs="Times New Roman"/>
          <w:color w:val="222222"/>
          <w:szCs w:val="22"/>
          <w:shd w:val="clear" w:color="auto" w:fill="FFFFFF"/>
        </w:rPr>
        <w:t xml:space="preserve"> e </w:t>
      </w:r>
      <w:proofErr w:type="spellStart"/>
      <w:r w:rsidRPr="00817921">
        <w:rPr>
          <w:rFonts w:ascii="Times New Roman" w:hAnsi="Times New Roman" w:cs="Times New Roman"/>
          <w:color w:val="222222"/>
          <w:szCs w:val="22"/>
          <w:shd w:val="clear" w:color="auto" w:fill="FFFFFF"/>
        </w:rPr>
        <w:t>marrin</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këtë</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pagesë</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nga</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skema</w:t>
      </w:r>
      <w:proofErr w:type="spellEnd"/>
      <w:r w:rsidRPr="00817921">
        <w:rPr>
          <w:rFonts w:ascii="Times New Roman" w:hAnsi="Times New Roman" w:cs="Times New Roman"/>
          <w:color w:val="222222"/>
          <w:szCs w:val="22"/>
          <w:shd w:val="clear" w:color="auto" w:fill="FFFFFF"/>
        </w:rPr>
        <w:t xml:space="preserve"> </w:t>
      </w:r>
      <w:proofErr w:type="spellStart"/>
      <w:r w:rsidRPr="00817921">
        <w:rPr>
          <w:rFonts w:ascii="Times New Roman" w:hAnsi="Times New Roman" w:cs="Times New Roman"/>
          <w:color w:val="222222"/>
          <w:szCs w:val="22"/>
          <w:shd w:val="clear" w:color="auto" w:fill="FFFFFF"/>
        </w:rPr>
        <w:t>jokontributive</w:t>
      </w:r>
      <w:proofErr w:type="spellEnd"/>
      <w:r w:rsidRPr="00817921">
        <w:rPr>
          <w:rFonts w:ascii="Times New Roman" w:hAnsi="Times New Roman" w:cs="Times New Roman"/>
          <w:color w:val="222222"/>
          <w:szCs w:val="22"/>
          <w:shd w:val="clear" w:color="auto" w:fill="FFFFFF"/>
        </w:rPr>
        <w:t>.</w:t>
      </w:r>
    </w:p>
    <w:p w14:paraId="6D1AA5FB" w14:textId="77777777" w:rsidR="0049394A" w:rsidRDefault="0049394A" w:rsidP="005175AC">
      <w:pPr>
        <w:rPr>
          <w:rFonts w:ascii="Times New Roman" w:hAnsi="Times New Roman" w:cs="Times New Roman"/>
          <w:color w:val="242424"/>
          <w:szCs w:val="22"/>
          <w:bdr w:val="none" w:sz="0" w:space="0" w:color="auto" w:frame="1"/>
          <w:lang w:val="fr-FR"/>
        </w:rPr>
      </w:pPr>
    </w:p>
    <w:p w14:paraId="5690B80F" w14:textId="3330AAF1" w:rsidR="005175AC" w:rsidRPr="00817921" w:rsidRDefault="005175AC" w:rsidP="005175AC">
      <w:pPr>
        <w:rPr>
          <w:rFonts w:ascii="Times New Roman" w:hAnsi="Times New Roman" w:cs="Times New Roman"/>
          <w:szCs w:val="22"/>
          <w:lang w:val="pt-BR"/>
        </w:rPr>
      </w:pPr>
      <w:r w:rsidRPr="00817921">
        <w:rPr>
          <w:rFonts w:ascii="Times New Roman" w:hAnsi="Times New Roman" w:cs="Times New Roman"/>
          <w:color w:val="242424"/>
          <w:szCs w:val="22"/>
          <w:bdr w:val="none" w:sz="0" w:space="0" w:color="auto" w:frame="1"/>
          <w:lang w:val="fr-FR"/>
        </w:rPr>
        <w:t xml:space="preserve">MSHMS </w:t>
      </w:r>
      <w:proofErr w:type="spellStart"/>
      <w:r w:rsidRPr="00817921">
        <w:rPr>
          <w:rFonts w:ascii="Times New Roman" w:hAnsi="Times New Roman" w:cs="Times New Roman"/>
          <w:color w:val="242424"/>
          <w:szCs w:val="22"/>
          <w:bdr w:val="none" w:sz="0" w:space="0" w:color="auto" w:frame="1"/>
          <w:lang w:val="fr-FR"/>
        </w:rPr>
        <w:t>raporton</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ketë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lidhur</w:t>
      </w:r>
      <w:proofErr w:type="spellEnd"/>
      <w:r w:rsidRPr="00817921">
        <w:rPr>
          <w:rFonts w:ascii="Times New Roman" w:hAnsi="Times New Roman" w:cs="Times New Roman"/>
          <w:color w:val="242424"/>
          <w:szCs w:val="22"/>
          <w:bdr w:val="none" w:sz="0" w:space="0" w:color="auto" w:frame="1"/>
          <w:lang w:val="fr-FR"/>
        </w:rPr>
        <w:t xml:space="preserve"> 72 </w:t>
      </w:r>
      <w:proofErr w:type="spellStart"/>
      <w:r w:rsidRPr="00817921">
        <w:rPr>
          <w:rFonts w:ascii="Times New Roman" w:hAnsi="Times New Roman" w:cs="Times New Roman"/>
          <w:color w:val="242424"/>
          <w:szCs w:val="22"/>
          <w:bdr w:val="none" w:sz="0" w:space="0" w:color="auto" w:frame="1"/>
          <w:lang w:val="fr-FR"/>
        </w:rPr>
        <w:t>marëveshje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bashkëpunimi</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fokus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menaxhimin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rastit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personave</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referuar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nga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ekipet</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vlerësimit</w:t>
      </w:r>
      <w:proofErr w:type="spellEnd"/>
      <w:r w:rsidRPr="00817921">
        <w:rPr>
          <w:rFonts w:ascii="Times New Roman" w:hAnsi="Times New Roman" w:cs="Times New Roman"/>
          <w:color w:val="242424"/>
          <w:szCs w:val="22"/>
          <w:bdr w:val="none" w:sz="0" w:space="0" w:color="auto" w:frame="1"/>
          <w:lang w:val="fr-FR"/>
        </w:rPr>
        <w:t xml:space="preserve"> bio </w:t>
      </w:r>
      <w:proofErr w:type="spellStart"/>
      <w:r w:rsidRPr="00817921">
        <w:rPr>
          <w:rFonts w:ascii="Times New Roman" w:hAnsi="Times New Roman" w:cs="Times New Roman"/>
          <w:color w:val="242424"/>
          <w:szCs w:val="22"/>
          <w:bdr w:val="none" w:sz="0" w:space="0" w:color="auto" w:frame="1"/>
          <w:lang w:val="fr-FR"/>
        </w:rPr>
        <w:t>psiko</w:t>
      </w:r>
      <w:proofErr w:type="spellEnd"/>
      <w:r w:rsidRPr="00817921">
        <w:rPr>
          <w:rFonts w:ascii="Times New Roman" w:hAnsi="Times New Roman" w:cs="Times New Roman"/>
          <w:color w:val="242424"/>
          <w:szCs w:val="22"/>
          <w:bdr w:val="none" w:sz="0" w:space="0" w:color="auto" w:frame="1"/>
          <w:lang w:val="fr-FR"/>
        </w:rPr>
        <w:t xml:space="preserve"> social të </w:t>
      </w:r>
      <w:proofErr w:type="spellStart"/>
      <w:r w:rsidRPr="00817921">
        <w:rPr>
          <w:rFonts w:ascii="Times New Roman" w:hAnsi="Times New Roman" w:cs="Times New Roman"/>
          <w:color w:val="242424"/>
          <w:szCs w:val="22"/>
          <w:bdr w:val="none" w:sz="0" w:space="0" w:color="auto" w:frame="1"/>
          <w:lang w:val="fr-FR"/>
        </w:rPr>
        <w:t>aftësisë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kufizuar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përfshirë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edhe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ato</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institucione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fushën</w:t>
      </w:r>
      <w:proofErr w:type="spellEnd"/>
      <w:r w:rsidRPr="00817921">
        <w:rPr>
          <w:rFonts w:ascii="Times New Roman" w:hAnsi="Times New Roman" w:cs="Times New Roman"/>
          <w:color w:val="242424"/>
          <w:szCs w:val="22"/>
          <w:bdr w:val="none" w:sz="0" w:space="0" w:color="auto" w:frame="1"/>
          <w:lang w:val="fr-FR"/>
        </w:rPr>
        <w:t xml:space="preserve"> e arsimit, </w:t>
      </w:r>
      <w:proofErr w:type="spellStart"/>
      <w:r w:rsidRPr="00817921">
        <w:rPr>
          <w:rFonts w:ascii="Times New Roman" w:hAnsi="Times New Roman" w:cs="Times New Roman"/>
          <w:color w:val="242424"/>
          <w:szCs w:val="22"/>
          <w:bdr w:val="none" w:sz="0" w:space="0" w:color="auto" w:frame="1"/>
          <w:lang w:val="fr-FR"/>
        </w:rPr>
        <w:t>formimit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profesional</w:t>
      </w:r>
      <w:proofErr w:type="spellEnd"/>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punësimit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Marrëveshjet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janë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lidhur</w:t>
      </w:r>
      <w:proofErr w:type="spellEnd"/>
      <w:r w:rsidRPr="00817921">
        <w:rPr>
          <w:rFonts w:ascii="Times New Roman" w:hAnsi="Times New Roman" w:cs="Times New Roman"/>
          <w:color w:val="242424"/>
          <w:szCs w:val="22"/>
          <w:bdr w:val="none" w:sz="0" w:space="0" w:color="auto" w:frame="1"/>
          <w:lang w:val="fr-FR"/>
        </w:rPr>
        <w:t xml:space="preserve"> mes </w:t>
      </w:r>
      <w:proofErr w:type="spellStart"/>
      <w:r w:rsidRPr="00817921">
        <w:rPr>
          <w:rFonts w:ascii="Times New Roman" w:hAnsi="Times New Roman" w:cs="Times New Roman"/>
          <w:color w:val="242424"/>
          <w:szCs w:val="22"/>
          <w:bdr w:val="none" w:sz="0" w:space="0" w:color="auto" w:frame="1"/>
          <w:lang w:val="fr-FR"/>
        </w:rPr>
        <w:t>Shërbimi</w:t>
      </w:r>
      <w:proofErr w:type="spellEnd"/>
      <w:r w:rsidRPr="00817921">
        <w:rPr>
          <w:rFonts w:ascii="Times New Roman" w:hAnsi="Times New Roman" w:cs="Times New Roman"/>
          <w:color w:val="242424"/>
          <w:szCs w:val="22"/>
          <w:bdr w:val="none" w:sz="0" w:space="0" w:color="auto" w:frame="1"/>
          <w:lang w:val="fr-FR"/>
        </w:rPr>
        <w:t xml:space="preserve"> Social </w:t>
      </w:r>
      <w:proofErr w:type="spellStart"/>
      <w:r w:rsidRPr="00817921">
        <w:rPr>
          <w:rFonts w:ascii="Times New Roman" w:hAnsi="Times New Roman" w:cs="Times New Roman"/>
          <w:color w:val="242424"/>
          <w:szCs w:val="22"/>
          <w:bdr w:val="none" w:sz="0" w:space="0" w:color="auto" w:frame="1"/>
          <w:lang w:val="fr-FR"/>
        </w:rPr>
        <w:t>Shtetëror</w:t>
      </w:r>
      <w:proofErr w:type="spellEnd"/>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Shërbimit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Kombëtar</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Punësimit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Drejtoritë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Rajonale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Punësimit</w:t>
      </w:r>
      <w:proofErr w:type="spellEnd"/>
      <w:r w:rsidRPr="00817921">
        <w:rPr>
          <w:rFonts w:ascii="Times New Roman" w:hAnsi="Times New Roman" w:cs="Times New Roman"/>
          <w:color w:val="242424"/>
          <w:szCs w:val="22"/>
          <w:bdr w:val="none" w:sz="0" w:space="0" w:color="auto" w:frame="1"/>
          <w:lang w:val="fr-FR"/>
        </w:rPr>
        <w:t xml:space="preserve"> e Arsimit dhe </w:t>
      </w:r>
      <w:proofErr w:type="spellStart"/>
      <w:r w:rsidRPr="00817921">
        <w:rPr>
          <w:rFonts w:ascii="Times New Roman" w:hAnsi="Times New Roman" w:cs="Times New Roman"/>
          <w:color w:val="242424"/>
          <w:szCs w:val="22"/>
          <w:bdr w:val="none" w:sz="0" w:space="0" w:color="auto" w:frame="1"/>
          <w:lang w:val="fr-FR"/>
        </w:rPr>
        <w:t>Formimit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Profesional</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Bashkitë</w:t>
      </w:r>
      <w:proofErr w:type="spellEnd"/>
      <w:r w:rsidRPr="00817921">
        <w:rPr>
          <w:rStyle w:val="FootnoteReference"/>
          <w:rFonts w:ascii="Times New Roman" w:hAnsi="Times New Roman" w:cs="Times New Roman"/>
          <w:color w:val="242424"/>
          <w:szCs w:val="22"/>
          <w:bdr w:val="none" w:sz="0" w:space="0" w:color="auto" w:frame="1"/>
          <w:lang w:val="fr-FR"/>
        </w:rPr>
        <w:footnoteReference w:id="150"/>
      </w:r>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synojn</w:t>
      </w:r>
      <w:r w:rsidR="009A5A0E" w:rsidRPr="00817921">
        <w:rPr>
          <w:rFonts w:ascii="Times New Roman" w:hAnsi="Times New Roman" w:cs="Times New Roman"/>
          <w:color w:val="242424"/>
          <w:szCs w:val="22"/>
          <w:bdr w:val="none" w:sz="0" w:space="0" w:color="auto" w:frame="1"/>
          <w:lang w:val="fr-FR"/>
        </w:rPr>
        <w: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ngritjen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mekanizmit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referimit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punësimin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personave</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koordinimin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përpjekjeve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arsimin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formimin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profesional</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gjithëpërfshirës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orientimin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drejt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mbështetëse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punësim</w:t>
      </w:r>
      <w:proofErr w:type="spellEnd"/>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atyre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komunitet.</w:t>
      </w:r>
      <w:r w:rsidRPr="00817921">
        <w:rPr>
          <w:rFonts w:ascii="Times New Roman" w:hAnsi="Times New Roman" w:cs="Times New Roman"/>
          <w:szCs w:val="22"/>
          <w:lang w:val="fr-FR"/>
        </w:rPr>
        <w:t xml:space="preserve"> </w:t>
      </w:r>
    </w:p>
    <w:p w14:paraId="637BA8AB" w14:textId="45DB08F8" w:rsidR="005175AC" w:rsidRPr="00817921" w:rsidRDefault="005175AC" w:rsidP="005175AC">
      <w:pPr>
        <w:rPr>
          <w:rFonts w:ascii="Times New Roman" w:hAnsi="Times New Roman" w:cs="Times New Roman"/>
          <w:b/>
          <w:bCs/>
          <w:color w:val="242424"/>
          <w:szCs w:val="22"/>
          <w:bdr w:val="none" w:sz="0" w:space="0" w:color="auto" w:frame="1"/>
          <w:lang w:val="fr-FR"/>
        </w:rPr>
      </w:pPr>
      <w:proofErr w:type="spellStart"/>
      <w:r w:rsidRPr="00817921">
        <w:rPr>
          <w:rFonts w:ascii="Times New Roman" w:hAnsi="Times New Roman" w:cs="Times New Roman"/>
          <w:b/>
          <w:bCs/>
          <w:color w:val="242424"/>
          <w:szCs w:val="22"/>
          <w:bdr w:val="none" w:sz="0" w:space="0" w:color="auto" w:frame="1"/>
          <w:lang w:val="fr-FR"/>
        </w:rPr>
        <w:t>Zgjerimi</w:t>
      </w:r>
      <w:proofErr w:type="spellEnd"/>
      <w:r w:rsidRPr="00817921">
        <w:rPr>
          <w:rFonts w:ascii="Times New Roman" w:hAnsi="Times New Roman" w:cs="Times New Roman"/>
          <w:b/>
          <w:bCs/>
          <w:color w:val="242424"/>
          <w:szCs w:val="22"/>
          <w:bdr w:val="none" w:sz="0" w:space="0" w:color="auto" w:frame="1"/>
          <w:lang w:val="fr-FR"/>
        </w:rPr>
        <w:t xml:space="preserve"> i </w:t>
      </w:r>
      <w:proofErr w:type="spellStart"/>
      <w:r w:rsidRPr="00817921">
        <w:rPr>
          <w:rFonts w:ascii="Times New Roman" w:hAnsi="Times New Roman" w:cs="Times New Roman"/>
          <w:b/>
          <w:bCs/>
          <w:color w:val="242424"/>
          <w:szCs w:val="22"/>
          <w:bdr w:val="none" w:sz="0" w:space="0" w:color="auto" w:frame="1"/>
          <w:lang w:val="fr-FR"/>
        </w:rPr>
        <w:t>sh</w:t>
      </w:r>
      <w:r w:rsidR="009A5A0E" w:rsidRPr="00817921">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rbimeve</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deinstitucionalizimi</w:t>
      </w:r>
      <w:proofErr w:type="spellEnd"/>
      <w:r w:rsidRPr="00817921">
        <w:rPr>
          <w:rFonts w:ascii="Times New Roman" w:hAnsi="Times New Roman" w:cs="Times New Roman"/>
          <w:b/>
          <w:bCs/>
          <w:color w:val="242424"/>
          <w:szCs w:val="22"/>
          <w:bdr w:val="none" w:sz="0" w:space="0" w:color="auto" w:frame="1"/>
          <w:lang w:val="fr-FR"/>
        </w:rPr>
        <w:t xml:space="preserve"> dhe </w:t>
      </w:r>
      <w:proofErr w:type="spellStart"/>
      <w:r w:rsidRPr="00817921">
        <w:rPr>
          <w:rFonts w:ascii="Times New Roman" w:hAnsi="Times New Roman" w:cs="Times New Roman"/>
          <w:b/>
          <w:bCs/>
          <w:color w:val="242424"/>
          <w:szCs w:val="22"/>
          <w:bdr w:val="none" w:sz="0" w:space="0" w:color="auto" w:frame="1"/>
          <w:lang w:val="fr-FR"/>
        </w:rPr>
        <w:t>krijimi</w:t>
      </w:r>
      <w:proofErr w:type="spellEnd"/>
      <w:r w:rsidRPr="00817921">
        <w:rPr>
          <w:rFonts w:ascii="Times New Roman" w:hAnsi="Times New Roman" w:cs="Times New Roman"/>
          <w:b/>
          <w:bCs/>
          <w:color w:val="242424"/>
          <w:szCs w:val="22"/>
          <w:bdr w:val="none" w:sz="0" w:space="0" w:color="auto" w:frame="1"/>
          <w:lang w:val="fr-FR"/>
        </w:rPr>
        <w:t xml:space="preserve"> i </w:t>
      </w:r>
      <w:proofErr w:type="spellStart"/>
      <w:r w:rsidRPr="00817921">
        <w:rPr>
          <w:rFonts w:ascii="Times New Roman" w:hAnsi="Times New Roman" w:cs="Times New Roman"/>
          <w:b/>
          <w:bCs/>
          <w:color w:val="242424"/>
          <w:szCs w:val="22"/>
          <w:bdr w:val="none" w:sz="0" w:space="0" w:color="auto" w:frame="1"/>
          <w:lang w:val="fr-FR"/>
        </w:rPr>
        <w:t>sh</w:t>
      </w:r>
      <w:r w:rsidR="009A5A0E" w:rsidRPr="00817921">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rbimeve</w:t>
      </w:r>
      <w:proofErr w:type="spellEnd"/>
      <w:r w:rsidRPr="00817921">
        <w:rPr>
          <w:rFonts w:ascii="Times New Roman" w:hAnsi="Times New Roman" w:cs="Times New Roman"/>
          <w:b/>
          <w:bCs/>
          <w:color w:val="242424"/>
          <w:szCs w:val="22"/>
          <w:bdr w:val="none" w:sz="0" w:space="0" w:color="auto" w:frame="1"/>
          <w:lang w:val="fr-FR"/>
        </w:rPr>
        <w:t xml:space="preserve"> t</w:t>
      </w:r>
      <w:r w:rsidR="009A5A0E" w:rsidRPr="00817921">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 xml:space="preserve"> reja</w:t>
      </w:r>
      <w:r w:rsidR="00A77C8E"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Personat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kanë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nevojë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përgjatë</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gjithë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ciklit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jetës</w:t>
      </w:r>
      <w:proofErr w:type="spellEnd"/>
      <w:r w:rsidRPr="00817921">
        <w:rPr>
          <w:rFonts w:ascii="Times New Roman" w:hAnsi="Times New Roman" w:cs="Times New Roman"/>
          <w:color w:val="242424"/>
          <w:szCs w:val="22"/>
          <w:vertAlign w:val="superscript"/>
        </w:rPr>
        <w:footnoteReference w:id="151"/>
      </w:r>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Gjatë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shtrirjes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reformës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lang w:val="fr-FR"/>
        </w:rPr>
        <w:t xml:space="preserve">, MSHMS </w:t>
      </w:r>
      <w:proofErr w:type="spellStart"/>
      <w:r w:rsidRPr="00817921">
        <w:rPr>
          <w:rFonts w:ascii="Times New Roman" w:hAnsi="Times New Roman" w:cs="Times New Roman"/>
          <w:color w:val="242424"/>
          <w:szCs w:val="22"/>
          <w:bdr w:val="none" w:sz="0" w:space="0" w:color="auto" w:frame="1"/>
          <w:lang w:val="fr-FR"/>
        </w:rPr>
        <w:t>ka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pasur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vëmendje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që</w:t>
      </w:r>
      <w:proofErr w:type="spellEnd"/>
      <w:r w:rsidRPr="00817921">
        <w:rPr>
          <w:rFonts w:ascii="Times New Roman" w:hAnsi="Times New Roman" w:cs="Times New Roman"/>
          <w:color w:val="242424"/>
          <w:szCs w:val="22"/>
          <w:bdr w:val="none" w:sz="0" w:space="0" w:color="auto" w:frame="1"/>
          <w:lang w:val="fr-FR"/>
        </w:rPr>
        <w:t xml:space="preserve"> të të </w:t>
      </w:r>
      <w:proofErr w:type="spellStart"/>
      <w:r w:rsidRPr="00817921">
        <w:rPr>
          <w:rFonts w:ascii="Times New Roman" w:hAnsi="Times New Roman" w:cs="Times New Roman"/>
          <w:color w:val="242424"/>
          <w:szCs w:val="22"/>
          <w:bdr w:val="none" w:sz="0" w:space="0" w:color="auto" w:frame="1"/>
          <w:lang w:val="fr-FR"/>
        </w:rPr>
        <w:t>jenë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përfitues</w:t>
      </w:r>
      <w:proofErr w:type="spellEnd"/>
      <w:r w:rsidRPr="00817921">
        <w:rPr>
          <w:rFonts w:ascii="Times New Roman" w:hAnsi="Times New Roman" w:cs="Times New Roman"/>
          <w:color w:val="242424"/>
          <w:szCs w:val="22"/>
          <w:bdr w:val="none" w:sz="0" w:space="0" w:color="auto" w:frame="1"/>
          <w:lang w:val="fr-FR"/>
        </w:rPr>
        <w:t xml:space="preserve"> t</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gjith</w:t>
      </w:r>
      <w:r w:rsidR="009A5A0E" w:rsidRPr="00817921">
        <w:rPr>
          <w:rFonts w:ascii="Times New Roman" w:hAnsi="Times New Roman" w:cs="Times New Roman"/>
          <w:color w:val="242424"/>
          <w:szCs w:val="22"/>
          <w:bdr w:val="none" w:sz="0" w:space="0" w:color="auto" w:frame="1"/>
          <w:lang w:val="fr-FR"/>
        </w:rPr>
        <w: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grupmoshat</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personave</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Fëmijet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përbëjnë</w:t>
      </w:r>
      <w:proofErr w:type="spellEnd"/>
      <w:r w:rsidRPr="00817921">
        <w:rPr>
          <w:rFonts w:ascii="Times New Roman" w:hAnsi="Times New Roman" w:cs="Times New Roman"/>
          <w:color w:val="242424"/>
          <w:szCs w:val="22"/>
          <w:bdr w:val="none" w:sz="0" w:space="0" w:color="auto" w:frame="1"/>
          <w:lang w:val="fr-FR"/>
        </w:rPr>
        <w:t xml:space="preserve"> 9% të </w:t>
      </w:r>
      <w:proofErr w:type="spellStart"/>
      <w:r w:rsidRPr="00817921">
        <w:rPr>
          <w:rFonts w:ascii="Times New Roman" w:hAnsi="Times New Roman" w:cs="Times New Roman"/>
          <w:color w:val="242424"/>
          <w:szCs w:val="22"/>
          <w:bdr w:val="none" w:sz="0" w:space="0" w:color="auto" w:frame="1"/>
          <w:lang w:val="fr-FR"/>
        </w:rPr>
        <w:t>numrit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përfituesve</w:t>
      </w:r>
      <w:proofErr w:type="spellEnd"/>
      <w:r w:rsidRPr="00817921">
        <w:rPr>
          <w:rFonts w:ascii="Times New Roman" w:hAnsi="Times New Roman" w:cs="Times New Roman"/>
          <w:color w:val="242424"/>
          <w:szCs w:val="22"/>
          <w:bdr w:val="none" w:sz="0" w:space="0" w:color="auto" w:frame="1"/>
          <w:lang w:val="fr-FR"/>
        </w:rPr>
        <w:t xml:space="preserve"> (n=3819) </w:t>
      </w:r>
      <w:proofErr w:type="spellStart"/>
      <w:r w:rsidRPr="00817921">
        <w:rPr>
          <w:rFonts w:ascii="Times New Roman" w:hAnsi="Times New Roman" w:cs="Times New Roman"/>
          <w:color w:val="242424"/>
          <w:szCs w:val="22"/>
          <w:bdr w:val="none" w:sz="0" w:space="0" w:color="auto" w:frame="1"/>
          <w:lang w:val="fr-FR"/>
        </w:rPr>
        <w:t>nga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shkallë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vendi</w:t>
      </w:r>
      <w:proofErr w:type="spellEnd"/>
      <w:r w:rsidRPr="00817921">
        <w:rPr>
          <w:rFonts w:ascii="Times New Roman" w:hAnsi="Times New Roman" w:cs="Times New Roman"/>
          <w:color w:val="242424"/>
          <w:szCs w:val="22"/>
          <w:vertAlign w:val="superscript"/>
        </w:rPr>
        <w:footnoteReference w:id="152"/>
      </w:r>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Funksionojnë</w:t>
      </w:r>
      <w:proofErr w:type="spellEnd"/>
      <w:r w:rsidRPr="00817921">
        <w:rPr>
          <w:rFonts w:ascii="Times New Roman" w:hAnsi="Times New Roman" w:cs="Times New Roman"/>
          <w:color w:val="242424"/>
          <w:szCs w:val="22"/>
          <w:bdr w:val="none" w:sz="0" w:space="0" w:color="auto" w:frame="1"/>
          <w:lang w:val="fr-FR"/>
        </w:rPr>
        <w:t xml:space="preserve"> 87 </w:t>
      </w:r>
      <w:proofErr w:type="spellStart"/>
      <w:r w:rsidRPr="00817921">
        <w:rPr>
          <w:rFonts w:ascii="Times New Roman" w:hAnsi="Times New Roman" w:cs="Times New Roman"/>
          <w:color w:val="242424"/>
          <w:szCs w:val="22"/>
          <w:bdr w:val="none" w:sz="0" w:space="0" w:color="auto" w:frame="1"/>
          <w:lang w:val="fr-FR"/>
        </w:rPr>
        <w:t>shërbime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fëmijët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gjithë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vendin</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cilat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përbëjnë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rreth</w:t>
      </w:r>
      <w:proofErr w:type="spellEnd"/>
      <w:r w:rsidRPr="00817921">
        <w:rPr>
          <w:rFonts w:ascii="Times New Roman" w:hAnsi="Times New Roman" w:cs="Times New Roman"/>
          <w:color w:val="242424"/>
          <w:szCs w:val="22"/>
          <w:bdr w:val="none" w:sz="0" w:space="0" w:color="auto" w:frame="1"/>
          <w:lang w:val="fr-FR"/>
        </w:rPr>
        <w:t xml:space="preserve"> 17.6% të </w:t>
      </w:r>
      <w:proofErr w:type="spellStart"/>
      <w:r w:rsidRPr="00817921">
        <w:rPr>
          <w:rFonts w:ascii="Times New Roman" w:hAnsi="Times New Roman" w:cs="Times New Roman"/>
          <w:color w:val="242424"/>
          <w:szCs w:val="22"/>
          <w:bdr w:val="none" w:sz="0" w:space="0" w:color="auto" w:frame="1"/>
          <w:lang w:val="fr-FR"/>
        </w:rPr>
        <w:t>numrit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përgjithshëm</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ofruara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vend (493).</w:t>
      </w:r>
    </w:p>
    <w:p w14:paraId="65C05767" w14:textId="77777777" w:rsidR="005175AC" w:rsidRPr="00817921" w:rsidRDefault="005175AC" w:rsidP="005175AC">
      <w:pPr>
        <w:rPr>
          <w:rFonts w:ascii="Times New Roman" w:hAnsi="Times New Roman" w:cs="Times New Roman"/>
          <w:color w:val="242424"/>
          <w:szCs w:val="22"/>
          <w:bdr w:val="none" w:sz="0" w:space="0" w:color="auto" w:frame="1"/>
          <w:lang w:val="fr-FR"/>
        </w:rPr>
      </w:pPr>
      <w:r w:rsidRPr="00817921">
        <w:rPr>
          <w:rFonts w:ascii="Times New Roman" w:hAnsi="Times New Roman" w:cs="Times New Roman"/>
          <w:color w:val="242424"/>
          <w:szCs w:val="22"/>
          <w:bdr w:val="none" w:sz="0" w:space="0" w:color="auto" w:frame="1"/>
          <w:lang w:val="fr-FR"/>
        </w:rPr>
        <w:t xml:space="preserve">Të </w:t>
      </w:r>
      <w:proofErr w:type="spellStart"/>
      <w:r w:rsidRPr="00817921">
        <w:rPr>
          <w:rFonts w:ascii="Times New Roman" w:hAnsi="Times New Roman" w:cs="Times New Roman"/>
          <w:color w:val="242424"/>
          <w:szCs w:val="22"/>
          <w:bdr w:val="none" w:sz="0" w:space="0" w:color="auto" w:frame="1"/>
          <w:lang w:val="fr-FR"/>
        </w:rPr>
        <w:t>rriturit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përbëjnë</w:t>
      </w:r>
      <w:proofErr w:type="spellEnd"/>
      <w:r w:rsidRPr="00817921">
        <w:rPr>
          <w:rFonts w:ascii="Times New Roman" w:hAnsi="Times New Roman" w:cs="Times New Roman"/>
          <w:color w:val="242424"/>
          <w:szCs w:val="22"/>
          <w:bdr w:val="none" w:sz="0" w:space="0" w:color="auto" w:frame="1"/>
          <w:lang w:val="fr-FR"/>
        </w:rPr>
        <w:t xml:space="preserve"> 4% të </w:t>
      </w:r>
      <w:proofErr w:type="spellStart"/>
      <w:r w:rsidRPr="00817921">
        <w:rPr>
          <w:rFonts w:ascii="Times New Roman" w:hAnsi="Times New Roman" w:cs="Times New Roman"/>
          <w:color w:val="242424"/>
          <w:szCs w:val="22"/>
          <w:bdr w:val="none" w:sz="0" w:space="0" w:color="auto" w:frame="1"/>
          <w:lang w:val="fr-FR"/>
        </w:rPr>
        <w:t>numrit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përfituesve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nga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shërbimet</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shkallë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vendi</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Numri</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dedikuara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ta </w:t>
      </w:r>
      <w:proofErr w:type="spellStart"/>
      <w:r w:rsidRPr="00817921">
        <w:rPr>
          <w:rFonts w:ascii="Times New Roman" w:hAnsi="Times New Roman" w:cs="Times New Roman"/>
          <w:color w:val="242424"/>
          <w:szCs w:val="22"/>
          <w:bdr w:val="none" w:sz="0" w:space="0" w:color="auto" w:frame="1"/>
          <w:lang w:val="fr-FR"/>
        </w:rPr>
        <w:t>është</w:t>
      </w:r>
      <w:proofErr w:type="spellEnd"/>
      <w:r w:rsidRPr="00817921">
        <w:rPr>
          <w:rFonts w:ascii="Times New Roman" w:hAnsi="Times New Roman" w:cs="Times New Roman"/>
          <w:color w:val="242424"/>
          <w:szCs w:val="22"/>
          <w:bdr w:val="none" w:sz="0" w:space="0" w:color="auto" w:frame="1"/>
          <w:lang w:val="fr-FR"/>
        </w:rPr>
        <w:t xml:space="preserve"> 29 ose 5.8% e </w:t>
      </w:r>
      <w:proofErr w:type="spellStart"/>
      <w:r w:rsidRPr="00817921">
        <w:rPr>
          <w:rFonts w:ascii="Times New Roman" w:hAnsi="Times New Roman" w:cs="Times New Roman"/>
          <w:color w:val="242424"/>
          <w:szCs w:val="22"/>
          <w:bdr w:val="none" w:sz="0" w:space="0" w:color="auto" w:frame="1"/>
          <w:lang w:val="fr-FR"/>
        </w:rPr>
        <w:t>numrit</w:t>
      </w:r>
      <w:proofErr w:type="spellEnd"/>
      <w:r w:rsidRPr="00817921">
        <w:rPr>
          <w:rFonts w:ascii="Times New Roman" w:hAnsi="Times New Roman" w:cs="Times New Roman"/>
          <w:color w:val="242424"/>
          <w:szCs w:val="22"/>
          <w:bdr w:val="none" w:sz="0" w:space="0" w:color="auto" w:frame="1"/>
          <w:lang w:val="fr-FR"/>
        </w:rPr>
        <w:t xml:space="preserve"> total të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ofruara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vend, </w:t>
      </w:r>
      <w:proofErr w:type="spellStart"/>
      <w:r w:rsidRPr="00817921">
        <w:rPr>
          <w:rFonts w:ascii="Times New Roman" w:hAnsi="Times New Roman" w:cs="Times New Roman"/>
          <w:color w:val="242424"/>
          <w:szCs w:val="22"/>
          <w:bdr w:val="none" w:sz="0" w:space="0" w:color="auto" w:frame="1"/>
          <w:lang w:val="fr-FR"/>
        </w:rPr>
        <w:t>nga</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cilat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përfitojnë</w:t>
      </w:r>
      <w:proofErr w:type="spellEnd"/>
      <w:r w:rsidRPr="00817921">
        <w:rPr>
          <w:rFonts w:ascii="Times New Roman" w:hAnsi="Times New Roman" w:cs="Times New Roman"/>
          <w:color w:val="242424"/>
          <w:szCs w:val="22"/>
          <w:bdr w:val="none" w:sz="0" w:space="0" w:color="auto" w:frame="1"/>
          <w:lang w:val="fr-FR"/>
        </w:rPr>
        <w:t xml:space="preserve"> 1,524 të </w:t>
      </w:r>
      <w:proofErr w:type="spellStart"/>
      <w:r w:rsidRPr="00817921">
        <w:rPr>
          <w:rFonts w:ascii="Times New Roman" w:hAnsi="Times New Roman" w:cs="Times New Roman"/>
          <w:color w:val="242424"/>
          <w:szCs w:val="22"/>
          <w:bdr w:val="none" w:sz="0" w:space="0" w:color="auto" w:frame="1"/>
          <w:lang w:val="fr-FR"/>
        </w:rPr>
        <w:t>rritur</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w:t>
      </w:r>
    </w:p>
    <w:p w14:paraId="6F0DCEC8" w14:textId="77777777" w:rsidR="0049394A" w:rsidRDefault="0049394A" w:rsidP="005175AC">
      <w:pPr>
        <w:rPr>
          <w:rFonts w:ascii="Times New Roman" w:hAnsi="Times New Roman" w:cs="Times New Roman"/>
          <w:color w:val="242424"/>
          <w:szCs w:val="22"/>
          <w:bdr w:val="none" w:sz="0" w:space="0" w:color="auto" w:frame="1"/>
          <w:lang w:val="fr-FR"/>
        </w:rPr>
      </w:pPr>
    </w:p>
    <w:p w14:paraId="659FE44A" w14:textId="325E847F" w:rsidR="005175AC" w:rsidRPr="00817921" w:rsidRDefault="001D463B" w:rsidP="005175AC">
      <w:pPr>
        <w:rPr>
          <w:rFonts w:ascii="Times New Roman" w:hAnsi="Times New Roman" w:cs="Times New Roman"/>
          <w:color w:val="242424"/>
          <w:szCs w:val="22"/>
          <w:bdr w:val="none" w:sz="0" w:space="0" w:color="auto" w:frame="1"/>
          <w:lang w:val="fr-FR"/>
        </w:rPr>
      </w:pPr>
      <w:proofErr w:type="spellStart"/>
      <w:r w:rsidRPr="00817921">
        <w:rPr>
          <w:rFonts w:ascii="Times New Roman" w:hAnsi="Times New Roman" w:cs="Times New Roman"/>
          <w:color w:val="242424"/>
          <w:szCs w:val="22"/>
          <w:bdr w:val="none" w:sz="0" w:space="0" w:color="auto" w:frame="1"/>
          <w:lang w:val="fr-FR"/>
        </w:rPr>
        <w:t>Aktualisht</w:t>
      </w:r>
      <w:proofErr w:type="spellEnd"/>
      <w:r w:rsidRPr="00817921">
        <w:rPr>
          <w:rFonts w:ascii="Times New Roman" w:hAnsi="Times New Roman" w:cs="Times New Roman"/>
          <w:color w:val="242424"/>
          <w:szCs w:val="22"/>
          <w:bdr w:val="none" w:sz="0" w:space="0" w:color="auto" w:frame="1"/>
          <w:lang w:val="fr-FR"/>
        </w:rPr>
        <w:t>,</w:t>
      </w:r>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ka</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ende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shumë</w:t>
      </w:r>
      <w:proofErr w:type="spellEnd"/>
      <w:r w:rsidR="005175AC" w:rsidRPr="00817921">
        <w:rPr>
          <w:rFonts w:ascii="Times New Roman" w:hAnsi="Times New Roman" w:cs="Times New Roman"/>
          <w:color w:val="242424"/>
          <w:szCs w:val="22"/>
          <w:bdr w:val="none" w:sz="0" w:space="0" w:color="auto" w:frame="1"/>
          <w:lang w:val="fr-FR"/>
        </w:rPr>
        <w:t xml:space="preserve"> bashki, </w:t>
      </w:r>
      <w:proofErr w:type="spellStart"/>
      <w:r w:rsidR="005175AC" w:rsidRPr="00817921">
        <w:rPr>
          <w:rFonts w:ascii="Times New Roman" w:hAnsi="Times New Roman" w:cs="Times New Roman"/>
          <w:color w:val="242424"/>
          <w:szCs w:val="22"/>
          <w:bdr w:val="none" w:sz="0" w:space="0" w:color="auto" w:frame="1"/>
          <w:lang w:val="fr-FR"/>
        </w:rPr>
        <w:t>në</w:t>
      </w:r>
      <w:proofErr w:type="spellEnd"/>
      <w:r w:rsidR="005175AC" w:rsidRPr="00817921">
        <w:rPr>
          <w:rFonts w:ascii="Times New Roman" w:hAnsi="Times New Roman" w:cs="Times New Roman"/>
          <w:color w:val="242424"/>
          <w:szCs w:val="22"/>
          <w:bdr w:val="none" w:sz="0" w:space="0" w:color="auto" w:frame="1"/>
          <w:lang w:val="fr-FR"/>
        </w:rPr>
        <w:t xml:space="preserve"> të </w:t>
      </w:r>
      <w:proofErr w:type="spellStart"/>
      <w:r w:rsidR="005175AC" w:rsidRPr="00817921">
        <w:rPr>
          <w:rFonts w:ascii="Times New Roman" w:hAnsi="Times New Roman" w:cs="Times New Roman"/>
          <w:color w:val="242424"/>
          <w:szCs w:val="22"/>
          <w:bdr w:val="none" w:sz="0" w:space="0" w:color="auto" w:frame="1"/>
          <w:lang w:val="fr-FR"/>
        </w:rPr>
        <w:t>cilat</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shërbimet</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për</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personat</w:t>
      </w:r>
      <w:proofErr w:type="spellEnd"/>
      <w:r w:rsidR="005175AC" w:rsidRPr="00817921">
        <w:rPr>
          <w:rFonts w:ascii="Times New Roman" w:hAnsi="Times New Roman" w:cs="Times New Roman"/>
          <w:color w:val="242424"/>
          <w:szCs w:val="22"/>
          <w:bdr w:val="none" w:sz="0" w:space="0" w:color="auto" w:frame="1"/>
          <w:lang w:val="fr-FR"/>
        </w:rPr>
        <w:t xml:space="preserve"> me </w:t>
      </w:r>
      <w:proofErr w:type="spellStart"/>
      <w:r w:rsidR="005175AC" w:rsidRPr="00817921">
        <w:rPr>
          <w:rFonts w:ascii="Times New Roman" w:hAnsi="Times New Roman" w:cs="Times New Roman"/>
          <w:color w:val="242424"/>
          <w:szCs w:val="22"/>
          <w:bdr w:val="none" w:sz="0" w:space="0" w:color="auto" w:frame="1"/>
          <w:lang w:val="fr-FR"/>
        </w:rPr>
        <w:t>aftësi</w:t>
      </w:r>
      <w:proofErr w:type="spellEnd"/>
      <w:r w:rsidR="005175AC" w:rsidRPr="00817921">
        <w:rPr>
          <w:rFonts w:ascii="Times New Roman" w:hAnsi="Times New Roman" w:cs="Times New Roman"/>
          <w:color w:val="242424"/>
          <w:szCs w:val="22"/>
          <w:bdr w:val="none" w:sz="0" w:space="0" w:color="auto" w:frame="1"/>
          <w:lang w:val="fr-FR"/>
        </w:rPr>
        <w:t xml:space="preserve"> të </w:t>
      </w:r>
      <w:proofErr w:type="spellStart"/>
      <w:r w:rsidR="005175AC" w:rsidRPr="00817921">
        <w:rPr>
          <w:rFonts w:ascii="Times New Roman" w:hAnsi="Times New Roman" w:cs="Times New Roman"/>
          <w:color w:val="242424"/>
          <w:szCs w:val="22"/>
          <w:bdr w:val="none" w:sz="0" w:space="0" w:color="auto" w:frame="1"/>
          <w:lang w:val="fr-FR"/>
        </w:rPr>
        <w:t>kufizuara</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mungojnë</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krejtësisht</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qofshin</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ata</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fëmijë</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apo</w:t>
      </w:r>
      <w:proofErr w:type="spellEnd"/>
      <w:r w:rsidR="005175AC" w:rsidRPr="00817921">
        <w:rPr>
          <w:rFonts w:ascii="Times New Roman" w:hAnsi="Times New Roman" w:cs="Times New Roman"/>
          <w:color w:val="242424"/>
          <w:szCs w:val="22"/>
          <w:bdr w:val="none" w:sz="0" w:space="0" w:color="auto" w:frame="1"/>
          <w:lang w:val="fr-FR"/>
        </w:rPr>
        <w:t xml:space="preserve"> të </w:t>
      </w:r>
      <w:proofErr w:type="spellStart"/>
      <w:r w:rsidR="005175AC" w:rsidRPr="00817921">
        <w:rPr>
          <w:rFonts w:ascii="Times New Roman" w:hAnsi="Times New Roman" w:cs="Times New Roman"/>
          <w:color w:val="242424"/>
          <w:szCs w:val="22"/>
          <w:bdr w:val="none" w:sz="0" w:space="0" w:color="auto" w:frame="1"/>
          <w:lang w:val="fr-FR"/>
        </w:rPr>
        <w:t>rritur</w:t>
      </w:r>
      <w:proofErr w:type="spellEnd"/>
      <w:r w:rsidR="005175AC" w:rsidRPr="00817921">
        <w:rPr>
          <w:rFonts w:ascii="Times New Roman" w:hAnsi="Times New Roman" w:cs="Times New Roman"/>
          <w:color w:val="242424"/>
          <w:szCs w:val="22"/>
          <w:bdr w:val="none" w:sz="0" w:space="0" w:color="auto" w:frame="1"/>
          <w:lang w:val="fr-FR"/>
        </w:rPr>
        <w:t xml:space="preserve">. 47 bashki </w:t>
      </w:r>
      <w:proofErr w:type="spellStart"/>
      <w:r w:rsidR="005175AC" w:rsidRPr="00817921">
        <w:rPr>
          <w:rFonts w:ascii="Times New Roman" w:hAnsi="Times New Roman" w:cs="Times New Roman"/>
          <w:color w:val="242424"/>
          <w:szCs w:val="22"/>
          <w:bdr w:val="none" w:sz="0" w:space="0" w:color="auto" w:frame="1"/>
          <w:lang w:val="fr-FR"/>
        </w:rPr>
        <w:t>nuk</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kanë</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asnjë</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shërbim</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për</w:t>
      </w:r>
      <w:proofErr w:type="spellEnd"/>
      <w:r w:rsidR="005175AC" w:rsidRPr="00817921">
        <w:rPr>
          <w:rFonts w:ascii="Times New Roman" w:hAnsi="Times New Roman" w:cs="Times New Roman"/>
          <w:color w:val="242424"/>
          <w:szCs w:val="22"/>
          <w:bdr w:val="none" w:sz="0" w:space="0" w:color="auto" w:frame="1"/>
          <w:lang w:val="fr-FR"/>
        </w:rPr>
        <w:t xml:space="preserve"> të </w:t>
      </w:r>
      <w:proofErr w:type="spellStart"/>
      <w:r w:rsidR="005175AC" w:rsidRPr="00817921">
        <w:rPr>
          <w:rFonts w:ascii="Times New Roman" w:hAnsi="Times New Roman" w:cs="Times New Roman"/>
          <w:color w:val="242424"/>
          <w:szCs w:val="22"/>
          <w:bdr w:val="none" w:sz="0" w:space="0" w:color="auto" w:frame="1"/>
          <w:lang w:val="fr-FR"/>
        </w:rPr>
        <w:t>rriturit</w:t>
      </w:r>
      <w:proofErr w:type="spellEnd"/>
      <w:r w:rsidR="005175AC" w:rsidRPr="00817921">
        <w:rPr>
          <w:rFonts w:ascii="Times New Roman" w:hAnsi="Times New Roman" w:cs="Times New Roman"/>
          <w:color w:val="242424"/>
          <w:szCs w:val="22"/>
          <w:bdr w:val="none" w:sz="0" w:space="0" w:color="auto" w:frame="1"/>
          <w:lang w:val="fr-FR"/>
        </w:rPr>
        <w:t xml:space="preserve"> me </w:t>
      </w:r>
      <w:proofErr w:type="spellStart"/>
      <w:r w:rsidR="005175AC" w:rsidRPr="00817921">
        <w:rPr>
          <w:rFonts w:ascii="Times New Roman" w:hAnsi="Times New Roman" w:cs="Times New Roman"/>
          <w:color w:val="242424"/>
          <w:szCs w:val="22"/>
          <w:bdr w:val="none" w:sz="0" w:space="0" w:color="auto" w:frame="1"/>
          <w:lang w:val="fr-FR"/>
        </w:rPr>
        <w:t>aftësi</w:t>
      </w:r>
      <w:proofErr w:type="spellEnd"/>
      <w:r w:rsidR="005175AC" w:rsidRPr="00817921">
        <w:rPr>
          <w:rFonts w:ascii="Times New Roman" w:hAnsi="Times New Roman" w:cs="Times New Roman"/>
          <w:color w:val="242424"/>
          <w:szCs w:val="22"/>
          <w:bdr w:val="none" w:sz="0" w:space="0" w:color="auto" w:frame="1"/>
          <w:lang w:val="fr-FR"/>
        </w:rPr>
        <w:t xml:space="preserve"> të </w:t>
      </w:r>
      <w:proofErr w:type="spellStart"/>
      <w:r w:rsidR="005175AC" w:rsidRPr="00817921">
        <w:rPr>
          <w:rFonts w:ascii="Times New Roman" w:hAnsi="Times New Roman" w:cs="Times New Roman"/>
          <w:color w:val="242424"/>
          <w:szCs w:val="22"/>
          <w:bdr w:val="none" w:sz="0" w:space="0" w:color="auto" w:frame="1"/>
          <w:lang w:val="fr-FR"/>
        </w:rPr>
        <w:t>kufizuara</w:t>
      </w:r>
      <w:proofErr w:type="spellEnd"/>
      <w:r w:rsidR="005175AC" w:rsidRPr="00817921">
        <w:rPr>
          <w:rFonts w:ascii="Times New Roman" w:hAnsi="Times New Roman" w:cs="Times New Roman"/>
          <w:color w:val="242424"/>
          <w:szCs w:val="22"/>
          <w:bdr w:val="none" w:sz="0" w:space="0" w:color="auto" w:frame="1"/>
          <w:lang w:val="fr-FR"/>
        </w:rPr>
        <w:t xml:space="preserve"> dhe 27 bashki </w:t>
      </w:r>
      <w:proofErr w:type="spellStart"/>
      <w:r w:rsidR="005175AC" w:rsidRPr="00817921">
        <w:rPr>
          <w:rFonts w:ascii="Times New Roman" w:hAnsi="Times New Roman" w:cs="Times New Roman"/>
          <w:color w:val="242424"/>
          <w:szCs w:val="22"/>
          <w:bdr w:val="none" w:sz="0" w:space="0" w:color="auto" w:frame="1"/>
          <w:lang w:val="fr-FR"/>
        </w:rPr>
        <w:t>nuk</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kanë</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asnjë</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shërbim</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për</w:t>
      </w:r>
      <w:proofErr w:type="spellEnd"/>
      <w:r w:rsidR="005175AC" w:rsidRPr="00817921">
        <w:rPr>
          <w:rFonts w:ascii="Times New Roman" w:hAnsi="Times New Roman" w:cs="Times New Roman"/>
          <w:color w:val="242424"/>
          <w:szCs w:val="22"/>
          <w:bdr w:val="none" w:sz="0" w:space="0" w:color="auto" w:frame="1"/>
          <w:lang w:val="fr-FR"/>
        </w:rPr>
        <w:t xml:space="preserve"> </w:t>
      </w:r>
      <w:proofErr w:type="spellStart"/>
      <w:r w:rsidR="005175AC" w:rsidRPr="00817921">
        <w:rPr>
          <w:rFonts w:ascii="Times New Roman" w:hAnsi="Times New Roman" w:cs="Times New Roman"/>
          <w:color w:val="242424"/>
          <w:szCs w:val="22"/>
          <w:bdr w:val="none" w:sz="0" w:space="0" w:color="auto" w:frame="1"/>
          <w:lang w:val="fr-FR"/>
        </w:rPr>
        <w:t>fëmijët</w:t>
      </w:r>
      <w:proofErr w:type="spellEnd"/>
      <w:r w:rsidR="005175AC" w:rsidRPr="00817921">
        <w:rPr>
          <w:rFonts w:ascii="Times New Roman" w:hAnsi="Times New Roman" w:cs="Times New Roman"/>
          <w:color w:val="242424"/>
          <w:szCs w:val="22"/>
          <w:bdr w:val="none" w:sz="0" w:space="0" w:color="auto" w:frame="1"/>
          <w:lang w:val="fr-FR"/>
        </w:rPr>
        <w:t xml:space="preserve"> me </w:t>
      </w:r>
      <w:proofErr w:type="spellStart"/>
      <w:r w:rsidR="005175AC" w:rsidRPr="00817921">
        <w:rPr>
          <w:rFonts w:ascii="Times New Roman" w:hAnsi="Times New Roman" w:cs="Times New Roman"/>
          <w:color w:val="242424"/>
          <w:szCs w:val="22"/>
          <w:bdr w:val="none" w:sz="0" w:space="0" w:color="auto" w:frame="1"/>
          <w:lang w:val="fr-FR"/>
        </w:rPr>
        <w:t>aftësi</w:t>
      </w:r>
      <w:proofErr w:type="spellEnd"/>
      <w:r w:rsidR="005175AC" w:rsidRPr="00817921">
        <w:rPr>
          <w:rFonts w:ascii="Times New Roman" w:hAnsi="Times New Roman" w:cs="Times New Roman"/>
          <w:color w:val="242424"/>
          <w:szCs w:val="22"/>
          <w:bdr w:val="none" w:sz="0" w:space="0" w:color="auto" w:frame="1"/>
          <w:lang w:val="fr-FR"/>
        </w:rPr>
        <w:t xml:space="preserve"> të </w:t>
      </w:r>
      <w:proofErr w:type="spellStart"/>
      <w:r w:rsidR="005175AC" w:rsidRPr="00817921">
        <w:rPr>
          <w:rFonts w:ascii="Times New Roman" w:hAnsi="Times New Roman" w:cs="Times New Roman"/>
          <w:color w:val="242424"/>
          <w:szCs w:val="22"/>
          <w:bdr w:val="none" w:sz="0" w:space="0" w:color="auto" w:frame="1"/>
          <w:lang w:val="fr-FR"/>
        </w:rPr>
        <w:t>kufizuara</w:t>
      </w:r>
      <w:proofErr w:type="spellEnd"/>
      <w:r w:rsidR="005175AC" w:rsidRPr="00817921">
        <w:rPr>
          <w:rFonts w:ascii="Times New Roman" w:hAnsi="Times New Roman" w:cs="Times New Roman"/>
          <w:color w:val="242424"/>
          <w:szCs w:val="22"/>
          <w:bdr w:val="none" w:sz="0" w:space="0" w:color="auto" w:frame="1"/>
          <w:vertAlign w:val="superscript"/>
          <w:lang w:val="fr-FR"/>
        </w:rPr>
        <w:footnoteReference w:id="153"/>
      </w:r>
      <w:r w:rsidR="005175AC" w:rsidRPr="00817921">
        <w:rPr>
          <w:rFonts w:ascii="Times New Roman" w:hAnsi="Times New Roman" w:cs="Times New Roman"/>
          <w:color w:val="242424"/>
          <w:szCs w:val="22"/>
          <w:bdr w:val="none" w:sz="0" w:space="0" w:color="auto" w:frame="1"/>
          <w:lang w:val="fr-FR"/>
        </w:rPr>
        <w:t>.</w:t>
      </w:r>
      <w:r w:rsidRPr="00817921">
        <w:rPr>
          <w:rFonts w:ascii="Times New Roman" w:hAnsi="Times New Roman" w:cs="Times New Roman"/>
          <w:color w:val="242424"/>
          <w:szCs w:val="22"/>
          <w:bdr w:val="none" w:sz="0" w:space="0" w:color="auto" w:frame="1"/>
          <w:lang w:val="fr-FR"/>
        </w:rPr>
        <w:t xml:space="preserve"> Fondi social </w:t>
      </w:r>
      <w:proofErr w:type="spellStart"/>
      <w:r w:rsidRPr="00817921">
        <w:rPr>
          <w:rFonts w:ascii="Times New Roman" w:hAnsi="Times New Roman" w:cs="Times New Roman"/>
          <w:color w:val="242424"/>
          <w:szCs w:val="22"/>
          <w:bdr w:val="none" w:sz="0" w:space="0" w:color="auto" w:frame="1"/>
          <w:lang w:val="fr-FR"/>
        </w:rPr>
        <w:t>ka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rbyer</w:t>
      </w:r>
      <w:proofErr w:type="spellEnd"/>
      <w:r w:rsidRPr="00817921">
        <w:rPr>
          <w:rFonts w:ascii="Times New Roman" w:hAnsi="Times New Roman" w:cs="Times New Roman"/>
          <w:color w:val="242424"/>
          <w:szCs w:val="22"/>
          <w:bdr w:val="none" w:sz="0" w:space="0" w:color="auto" w:frame="1"/>
          <w:lang w:val="fr-FR"/>
        </w:rPr>
        <w:t xml:space="preserve"> si </w:t>
      </w:r>
      <w:proofErr w:type="spellStart"/>
      <w:r w:rsidRPr="00817921">
        <w:rPr>
          <w:rFonts w:ascii="Times New Roman" w:hAnsi="Times New Roman" w:cs="Times New Roman"/>
          <w:color w:val="242424"/>
          <w:szCs w:val="22"/>
          <w:bdr w:val="none" w:sz="0" w:space="0" w:color="auto" w:frame="1"/>
          <w:lang w:val="fr-FR"/>
        </w:rPr>
        <w:t>nj</w:t>
      </w:r>
      <w:r w:rsidR="009A5A0E" w:rsidRPr="00817921">
        <w:rPr>
          <w:rFonts w:ascii="Times New Roman" w:hAnsi="Times New Roman" w:cs="Times New Roman"/>
          <w:color w:val="242424"/>
          <w:szCs w:val="22"/>
          <w:bdr w:val="none" w:sz="0" w:space="0" w:color="auto" w:frame="1"/>
          <w:lang w:val="fr-FR"/>
        </w:rPr>
        <w: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mund</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si</w:t>
      </w:r>
      <w:proofErr w:type="spellEnd"/>
      <w:r w:rsidRPr="00817921">
        <w:rPr>
          <w:rFonts w:ascii="Times New Roman" w:hAnsi="Times New Roman" w:cs="Times New Roman"/>
          <w:color w:val="242424"/>
          <w:szCs w:val="22"/>
          <w:bdr w:val="none" w:sz="0" w:space="0" w:color="auto" w:frame="1"/>
          <w:lang w:val="fr-FR"/>
        </w:rPr>
        <w:t xml:space="preserve"> modeste </w:t>
      </w:r>
      <w:proofErr w:type="spellStart"/>
      <w:r w:rsidRPr="00817921">
        <w:rPr>
          <w:rFonts w:ascii="Times New Roman" w:hAnsi="Times New Roman" w:cs="Times New Roman"/>
          <w:color w:val="242424"/>
          <w:szCs w:val="22"/>
          <w:bdr w:val="none" w:sz="0" w:space="0" w:color="auto" w:frame="1"/>
          <w:lang w:val="fr-FR"/>
        </w:rPr>
        <w:t>p</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zhvillimin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k</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tyre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rbimeve</w:t>
      </w:r>
      <w:proofErr w:type="spellEnd"/>
      <w:r w:rsidRPr="00817921">
        <w:rPr>
          <w:rFonts w:ascii="Times New Roman" w:hAnsi="Times New Roman" w:cs="Times New Roman"/>
          <w:color w:val="242424"/>
          <w:szCs w:val="22"/>
          <w:bdr w:val="none" w:sz="0" w:space="0" w:color="auto" w:frame="1"/>
          <w:lang w:val="fr-FR"/>
        </w:rPr>
        <w:t xml:space="preserve">. 9.3% e fondit social </w:t>
      </w:r>
      <w:r w:rsidRPr="00817921">
        <w:rPr>
          <w:rFonts w:ascii="Times New Roman" w:hAnsi="Times New Roman" w:cs="Times New Roman"/>
          <w:color w:val="242424"/>
          <w:szCs w:val="22"/>
          <w:bdr w:val="none" w:sz="0" w:space="0" w:color="auto" w:frame="1"/>
          <w:vertAlign w:val="superscript"/>
          <w:lang w:val="fr-FR"/>
        </w:rPr>
        <w:footnoteReference w:id="154"/>
      </w:r>
      <w:r w:rsidRPr="00817921">
        <w:rPr>
          <w:rFonts w:ascii="Times New Roman" w:hAnsi="Times New Roman" w:cs="Times New Roman"/>
          <w:color w:val="242424"/>
          <w:szCs w:val="22"/>
          <w:bdr w:val="none" w:sz="0" w:space="0" w:color="auto" w:frame="1"/>
          <w:vertAlign w:val="superscript"/>
          <w:lang w:val="fr-FR"/>
        </w:rPr>
        <w:t xml:space="preserve"> </w:t>
      </w:r>
      <w:r w:rsidRPr="00817921">
        <w:rPr>
          <w:rFonts w:ascii="Times New Roman" w:hAnsi="Times New Roman" w:cs="Times New Roman"/>
          <w:color w:val="242424"/>
          <w:szCs w:val="22"/>
          <w:bdr w:val="none" w:sz="0" w:space="0" w:color="auto" w:frame="1"/>
          <w:lang w:val="fr-FR"/>
        </w:rPr>
        <w:t xml:space="preserve">të </w:t>
      </w:r>
      <w:proofErr w:type="spellStart"/>
      <w:r w:rsidRPr="00817921">
        <w:rPr>
          <w:rFonts w:ascii="Times New Roman" w:hAnsi="Times New Roman" w:cs="Times New Roman"/>
          <w:color w:val="242424"/>
          <w:szCs w:val="22"/>
          <w:bdr w:val="none" w:sz="0" w:space="0" w:color="auto" w:frame="1"/>
          <w:lang w:val="fr-FR"/>
        </w:rPr>
        <w:t>vitit</w:t>
      </w:r>
      <w:proofErr w:type="spellEnd"/>
      <w:r w:rsidRPr="00817921">
        <w:rPr>
          <w:rFonts w:ascii="Times New Roman" w:hAnsi="Times New Roman" w:cs="Times New Roman"/>
          <w:color w:val="242424"/>
          <w:szCs w:val="22"/>
          <w:bdr w:val="none" w:sz="0" w:space="0" w:color="auto" w:frame="1"/>
          <w:lang w:val="fr-FR"/>
        </w:rPr>
        <w:t xml:space="preserve"> 2022 u </w:t>
      </w:r>
      <w:proofErr w:type="spellStart"/>
      <w:r w:rsidRPr="00817921">
        <w:rPr>
          <w:rFonts w:ascii="Times New Roman" w:hAnsi="Times New Roman" w:cs="Times New Roman"/>
          <w:color w:val="242424"/>
          <w:szCs w:val="22"/>
          <w:bdr w:val="none" w:sz="0" w:space="0" w:color="auto" w:frame="1"/>
          <w:lang w:val="fr-FR"/>
        </w:rPr>
        <w:t>alokua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personat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katër</w:t>
      </w:r>
      <w:proofErr w:type="spellEnd"/>
      <w:r w:rsidRPr="00817921">
        <w:rPr>
          <w:rFonts w:ascii="Times New Roman" w:hAnsi="Times New Roman" w:cs="Times New Roman"/>
          <w:color w:val="242424"/>
          <w:szCs w:val="22"/>
          <w:bdr w:val="none" w:sz="0" w:space="0" w:color="auto" w:frame="1"/>
          <w:lang w:val="fr-FR"/>
        </w:rPr>
        <w:t xml:space="preserve"> bashki të vendit </w:t>
      </w:r>
      <w:proofErr w:type="spellStart"/>
      <w:r w:rsidRPr="00817921">
        <w:rPr>
          <w:rFonts w:ascii="Times New Roman" w:hAnsi="Times New Roman" w:cs="Times New Roman"/>
          <w:color w:val="242424"/>
          <w:szCs w:val="22"/>
          <w:bdr w:val="none" w:sz="0" w:space="0" w:color="auto" w:frame="1"/>
          <w:lang w:val="fr-FR"/>
        </w:rPr>
        <w:t>nga</w:t>
      </w:r>
      <w:proofErr w:type="spellEnd"/>
      <w:r w:rsidRPr="00817921">
        <w:rPr>
          <w:rFonts w:ascii="Times New Roman" w:hAnsi="Times New Roman" w:cs="Times New Roman"/>
          <w:color w:val="242424"/>
          <w:szCs w:val="22"/>
          <w:bdr w:val="none" w:sz="0" w:space="0" w:color="auto" w:frame="1"/>
          <w:lang w:val="fr-FR"/>
        </w:rPr>
        <w:t xml:space="preserve"> t</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cilat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mor</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rbime</w:t>
      </w:r>
      <w:proofErr w:type="spellEnd"/>
      <w:r w:rsidRPr="00817921">
        <w:rPr>
          <w:rFonts w:ascii="Times New Roman" w:hAnsi="Times New Roman" w:cs="Times New Roman"/>
          <w:color w:val="242424"/>
          <w:szCs w:val="22"/>
          <w:bdr w:val="none" w:sz="0" w:space="0" w:color="auto" w:frame="1"/>
          <w:lang w:val="fr-FR"/>
        </w:rPr>
        <w:t xml:space="preserve"> 1,048 persona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(ose 14% e </w:t>
      </w:r>
      <w:proofErr w:type="spellStart"/>
      <w:r w:rsidRPr="00817921">
        <w:rPr>
          <w:rFonts w:ascii="Times New Roman" w:hAnsi="Times New Roman" w:cs="Times New Roman"/>
          <w:color w:val="242424"/>
          <w:szCs w:val="22"/>
          <w:bdr w:val="none" w:sz="0" w:space="0" w:color="auto" w:frame="1"/>
          <w:lang w:val="fr-FR"/>
        </w:rPr>
        <w:t>numrit</w:t>
      </w:r>
      <w:proofErr w:type="spellEnd"/>
      <w:r w:rsidRPr="00817921">
        <w:rPr>
          <w:rFonts w:ascii="Times New Roman" w:hAnsi="Times New Roman" w:cs="Times New Roman"/>
          <w:color w:val="242424"/>
          <w:szCs w:val="22"/>
          <w:bdr w:val="none" w:sz="0" w:space="0" w:color="auto" w:frame="1"/>
          <w:lang w:val="fr-FR"/>
        </w:rPr>
        <w:t xml:space="preserve"> t</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rgjithsh</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m</w:t>
      </w:r>
      <w:proofErr w:type="spellEnd"/>
      <w:r w:rsidRPr="00817921">
        <w:rPr>
          <w:rFonts w:ascii="Times New Roman" w:hAnsi="Times New Roman" w:cs="Times New Roman"/>
          <w:color w:val="242424"/>
          <w:szCs w:val="22"/>
          <w:bdr w:val="none" w:sz="0" w:space="0" w:color="auto" w:frame="1"/>
          <w:lang w:val="fr-FR"/>
        </w:rPr>
        <w:t xml:space="preserve"> t</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personave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q</w:t>
      </w:r>
      <w:r w:rsidR="009A5A0E" w:rsidRPr="00817921">
        <w:rPr>
          <w:rFonts w:ascii="Times New Roman" w:hAnsi="Times New Roman" w:cs="Times New Roman"/>
          <w:color w:val="242424"/>
          <w:szCs w:val="22"/>
          <w:bdr w:val="none" w:sz="0" w:space="0" w:color="auto" w:frame="1"/>
          <w:lang w:val="fr-FR"/>
        </w:rPr>
        <w: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morr</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rbime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nga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rbimet</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krijuara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w:t>
      </w:r>
      <w:r w:rsidR="009A5A0E" w:rsidRPr="00817921">
        <w:rPr>
          <w:rFonts w:ascii="Times New Roman" w:hAnsi="Times New Roman" w:cs="Times New Roman"/>
          <w:color w:val="242424"/>
          <w:szCs w:val="22"/>
          <w:bdr w:val="none" w:sz="0" w:space="0" w:color="auto" w:frame="1"/>
          <w:lang w:val="fr-FR"/>
        </w:rPr>
        <w: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kuadrin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k</w:t>
      </w:r>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tij</w:t>
      </w:r>
      <w:proofErr w:type="spellEnd"/>
      <w:r w:rsidRPr="00817921">
        <w:rPr>
          <w:rFonts w:ascii="Times New Roman" w:hAnsi="Times New Roman" w:cs="Times New Roman"/>
          <w:color w:val="242424"/>
          <w:szCs w:val="22"/>
          <w:bdr w:val="none" w:sz="0" w:space="0" w:color="auto" w:frame="1"/>
          <w:lang w:val="fr-FR"/>
        </w:rPr>
        <w:t xml:space="preserve"> Fondi).</w:t>
      </w:r>
    </w:p>
    <w:p w14:paraId="62B833E0" w14:textId="77777777" w:rsidR="007A3AD7" w:rsidRPr="00817921" w:rsidRDefault="007A3AD7" w:rsidP="005175AC">
      <w:pPr>
        <w:rPr>
          <w:rFonts w:ascii="Times New Roman" w:hAnsi="Times New Roman" w:cs="Times New Roman"/>
          <w:b/>
          <w:bCs/>
          <w:color w:val="242424"/>
          <w:szCs w:val="22"/>
          <w:bdr w:val="none" w:sz="0" w:space="0" w:color="auto" w:frame="1"/>
          <w:lang w:val="fr-FR"/>
        </w:rPr>
      </w:pPr>
    </w:p>
    <w:p w14:paraId="78A25142" w14:textId="5BD5AD2F" w:rsidR="005175AC" w:rsidRDefault="005175AC" w:rsidP="005175AC">
      <w:pPr>
        <w:rPr>
          <w:rFonts w:ascii="Times New Roman" w:hAnsi="Times New Roman" w:cs="Times New Roman"/>
          <w:color w:val="242424"/>
          <w:szCs w:val="22"/>
          <w:bdr w:val="none" w:sz="0" w:space="0" w:color="auto" w:frame="1"/>
          <w:lang w:val="fr-FR"/>
        </w:rPr>
      </w:pPr>
      <w:proofErr w:type="spellStart"/>
      <w:r w:rsidRPr="00817921">
        <w:rPr>
          <w:rFonts w:ascii="Times New Roman" w:hAnsi="Times New Roman" w:cs="Times New Roman"/>
          <w:b/>
          <w:bCs/>
          <w:color w:val="242424"/>
          <w:szCs w:val="22"/>
          <w:bdr w:val="none" w:sz="0" w:space="0" w:color="auto" w:frame="1"/>
          <w:lang w:val="fr-FR"/>
        </w:rPr>
        <w:t>Deinstucionalizimi</w:t>
      </w:r>
      <w:proofErr w:type="spellEnd"/>
      <w:r w:rsidRPr="00817921">
        <w:rPr>
          <w:rFonts w:ascii="Times New Roman" w:hAnsi="Times New Roman" w:cs="Times New Roman"/>
          <w:b/>
          <w:bCs/>
          <w:color w:val="242424"/>
          <w:szCs w:val="22"/>
          <w:bdr w:val="none" w:sz="0" w:space="0" w:color="auto" w:frame="1"/>
          <w:lang w:val="fr-FR"/>
        </w:rPr>
        <w:t xml:space="preserve"> i </w:t>
      </w:r>
      <w:proofErr w:type="spellStart"/>
      <w:r w:rsidRPr="00817921">
        <w:rPr>
          <w:rFonts w:ascii="Times New Roman" w:hAnsi="Times New Roman" w:cs="Times New Roman"/>
          <w:b/>
          <w:bCs/>
          <w:color w:val="242424"/>
          <w:szCs w:val="22"/>
          <w:bdr w:val="none" w:sz="0" w:space="0" w:color="auto" w:frame="1"/>
          <w:lang w:val="fr-FR"/>
        </w:rPr>
        <w:t>shërbimeve</w:t>
      </w:r>
      <w:proofErr w:type="spellEnd"/>
      <w:r w:rsidRPr="00817921">
        <w:rPr>
          <w:rFonts w:ascii="Times New Roman" w:hAnsi="Times New Roman" w:cs="Times New Roman"/>
          <w:b/>
          <w:bCs/>
          <w:color w:val="242424"/>
          <w:szCs w:val="22"/>
          <w:bdr w:val="none" w:sz="0" w:space="0" w:color="auto" w:frame="1"/>
          <w:lang w:val="fr-FR"/>
        </w:rPr>
        <w:t xml:space="preserve"> të </w:t>
      </w:r>
      <w:proofErr w:type="spellStart"/>
      <w:r w:rsidRPr="00817921">
        <w:rPr>
          <w:rFonts w:ascii="Times New Roman" w:hAnsi="Times New Roman" w:cs="Times New Roman"/>
          <w:b/>
          <w:bCs/>
          <w:color w:val="242424"/>
          <w:szCs w:val="22"/>
          <w:bdr w:val="none" w:sz="0" w:space="0" w:color="auto" w:frame="1"/>
          <w:lang w:val="fr-FR"/>
        </w:rPr>
        <w:t>përkujdesit</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qenë</w:t>
      </w:r>
      <w:proofErr w:type="spellEnd"/>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vazhdon</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jetë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një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nga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objektivat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prioritarë</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reformës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personat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të të </w:t>
      </w:r>
      <w:proofErr w:type="spellStart"/>
      <w:r w:rsidRPr="00817921">
        <w:rPr>
          <w:rFonts w:ascii="Times New Roman" w:hAnsi="Times New Roman" w:cs="Times New Roman"/>
          <w:color w:val="242424"/>
          <w:szCs w:val="22"/>
          <w:bdr w:val="none" w:sz="0" w:space="0" w:color="auto" w:frame="1"/>
          <w:lang w:val="fr-FR"/>
        </w:rPr>
        <w:t>gjitha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moshave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qofshin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ato</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gjithëpërfshirëse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apo</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specifike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kontribuojnë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perfshirjen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pjesëmarrjen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tyre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duke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synuar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parandalimin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institucionalizimit</w:t>
      </w:r>
      <w:proofErr w:type="spellEnd"/>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ofrimin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mbështetëse</w:t>
      </w:r>
      <w:proofErr w:type="spellEnd"/>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ndihmës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nevojshme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komunitet. Në </w:t>
      </w:r>
      <w:proofErr w:type="spellStart"/>
      <w:r w:rsidRPr="00817921">
        <w:rPr>
          <w:rFonts w:ascii="Times New Roman" w:hAnsi="Times New Roman" w:cs="Times New Roman"/>
          <w:color w:val="242424"/>
          <w:szCs w:val="22"/>
          <w:bdr w:val="none" w:sz="0" w:space="0" w:color="auto" w:frame="1"/>
          <w:lang w:val="fr-FR"/>
        </w:rPr>
        <w:t>rastin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fëmijëve</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fokusi</w:t>
      </w:r>
      <w:proofErr w:type="spellEnd"/>
      <w:r w:rsidRPr="00817921">
        <w:rPr>
          <w:rFonts w:ascii="Times New Roman" w:hAnsi="Times New Roman" w:cs="Times New Roman"/>
          <w:color w:val="242424"/>
          <w:szCs w:val="22"/>
          <w:bdr w:val="none" w:sz="0" w:space="0" w:color="auto" w:frame="1"/>
          <w:lang w:val="fr-FR"/>
        </w:rPr>
        <w:t xml:space="preserve"> i </w:t>
      </w:r>
      <w:proofErr w:type="spellStart"/>
      <w:r w:rsidRPr="00817921">
        <w:rPr>
          <w:rFonts w:ascii="Times New Roman" w:hAnsi="Times New Roman" w:cs="Times New Roman"/>
          <w:color w:val="242424"/>
          <w:szCs w:val="22"/>
          <w:bdr w:val="none" w:sz="0" w:space="0" w:color="auto" w:frame="1"/>
          <w:lang w:val="fr-FR"/>
        </w:rPr>
        <w:t>mbështetjes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është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familja</w:t>
      </w:r>
      <w:proofErr w:type="spellEnd"/>
      <w:r w:rsidRPr="00817921">
        <w:rPr>
          <w:rFonts w:ascii="Times New Roman" w:hAnsi="Times New Roman" w:cs="Times New Roman"/>
          <w:color w:val="242424"/>
          <w:szCs w:val="22"/>
          <w:bdr w:val="none" w:sz="0" w:space="0" w:color="auto" w:frame="1"/>
          <w:lang w:val="fr-FR"/>
        </w:rPr>
        <w:t xml:space="preserve">, me të </w:t>
      </w:r>
      <w:proofErr w:type="spellStart"/>
      <w:r w:rsidRPr="00817921">
        <w:rPr>
          <w:rFonts w:ascii="Times New Roman" w:hAnsi="Times New Roman" w:cs="Times New Roman"/>
          <w:color w:val="242424"/>
          <w:szCs w:val="22"/>
          <w:bdr w:val="none" w:sz="0" w:space="0" w:color="auto" w:frame="1"/>
          <w:lang w:val="fr-FR"/>
        </w:rPr>
        <w:t>gjitha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tipologjitë</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cilat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ajo</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nevojë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parandaluar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ndarjen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fëmijës</w:t>
      </w:r>
      <w:proofErr w:type="spellEnd"/>
      <w:r w:rsidRPr="00817921">
        <w:rPr>
          <w:rFonts w:ascii="Times New Roman" w:hAnsi="Times New Roman" w:cs="Times New Roman"/>
          <w:color w:val="242424"/>
          <w:szCs w:val="22"/>
          <w:bdr w:val="none" w:sz="0" w:space="0" w:color="auto" w:frame="1"/>
          <w:lang w:val="fr-FR"/>
        </w:rPr>
        <w:t xml:space="preserve"> prej </w:t>
      </w:r>
      <w:proofErr w:type="spellStart"/>
      <w:r w:rsidRPr="00817921">
        <w:rPr>
          <w:rFonts w:ascii="Times New Roman" w:hAnsi="Times New Roman" w:cs="Times New Roman"/>
          <w:color w:val="242424"/>
          <w:szCs w:val="22"/>
          <w:bdr w:val="none" w:sz="0" w:space="0" w:color="auto" w:frame="1"/>
          <w:lang w:val="fr-FR"/>
        </w:rPr>
        <w:t>saj</w:t>
      </w:r>
      <w:proofErr w:type="spellEnd"/>
      <w:r w:rsidRPr="00817921">
        <w:rPr>
          <w:rFonts w:ascii="Times New Roman" w:hAnsi="Times New Roman" w:cs="Times New Roman"/>
          <w:color w:val="242424"/>
          <w:szCs w:val="22"/>
          <w:bdr w:val="none" w:sz="0" w:space="0" w:color="auto" w:frame="1"/>
          <w:lang w:val="fr-FR"/>
        </w:rPr>
        <w:t>.</w:t>
      </w:r>
    </w:p>
    <w:p w14:paraId="6BC96ACF" w14:textId="77777777" w:rsidR="0049394A" w:rsidRDefault="0049394A" w:rsidP="005175AC">
      <w:pPr>
        <w:rPr>
          <w:rFonts w:ascii="Times New Roman" w:hAnsi="Times New Roman" w:cs="Times New Roman"/>
          <w:color w:val="242424"/>
          <w:szCs w:val="22"/>
          <w:bdr w:val="none" w:sz="0" w:space="0" w:color="auto" w:frame="1"/>
          <w:lang w:val="fr-FR"/>
        </w:rPr>
      </w:pPr>
    </w:p>
    <w:p w14:paraId="061443D8" w14:textId="7FC2B5E7" w:rsidR="005175AC" w:rsidRPr="00817921" w:rsidRDefault="005175AC" w:rsidP="005175AC">
      <w:pPr>
        <w:rPr>
          <w:rFonts w:ascii="Times New Roman" w:hAnsi="Times New Roman" w:cs="Times New Roman"/>
          <w:color w:val="242424"/>
          <w:szCs w:val="22"/>
          <w:bdr w:val="none" w:sz="0" w:space="0" w:color="auto" w:frame="1"/>
          <w:lang w:val="fr-FR"/>
        </w:rPr>
      </w:pPr>
      <w:proofErr w:type="spellStart"/>
      <w:r w:rsidRPr="00817921">
        <w:rPr>
          <w:rFonts w:ascii="Times New Roman" w:hAnsi="Times New Roman" w:cs="Times New Roman"/>
          <w:color w:val="242424"/>
          <w:szCs w:val="22"/>
          <w:bdr w:val="none" w:sz="0" w:space="0" w:color="auto" w:frame="1"/>
          <w:lang w:val="fr-FR"/>
        </w:rPr>
        <w:t>Reformimi</w:t>
      </w:r>
      <w:proofErr w:type="spellEnd"/>
      <w:r w:rsidRPr="00817921">
        <w:rPr>
          <w:rFonts w:ascii="Times New Roman" w:hAnsi="Times New Roman" w:cs="Times New Roman"/>
          <w:color w:val="242424"/>
          <w:szCs w:val="22"/>
          <w:bdr w:val="none" w:sz="0" w:space="0" w:color="auto" w:frame="1"/>
          <w:lang w:val="fr-FR"/>
        </w:rPr>
        <w:t xml:space="preserve"> i </w:t>
      </w:r>
      <w:proofErr w:type="spellStart"/>
      <w:r w:rsidRPr="00817921">
        <w:rPr>
          <w:rFonts w:ascii="Times New Roman" w:hAnsi="Times New Roman" w:cs="Times New Roman"/>
          <w:color w:val="242424"/>
          <w:szCs w:val="22"/>
          <w:bdr w:val="none" w:sz="0" w:space="0" w:color="auto" w:frame="1"/>
          <w:lang w:val="fr-FR"/>
        </w:rPr>
        <w:t>sistemit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pasur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një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vëmendje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shtuar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zbatimin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planit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deinstitucionalizimit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rezidenciale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vertAlign w:val="superscript"/>
          <w:lang w:val="fr-FR"/>
        </w:rPr>
        <w:footnoteReference w:id="155"/>
      </w:r>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sidomos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fëmijët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kujdes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prindëror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përfshirë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fëmijët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vendosur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institucionet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rezidenciale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zbatim</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planit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deinstucionalizimit</w:t>
      </w:r>
      <w:proofErr w:type="spellEnd"/>
      <w:r w:rsidRPr="00817921">
        <w:rPr>
          <w:rFonts w:ascii="Times New Roman" w:hAnsi="Times New Roman" w:cs="Times New Roman"/>
          <w:color w:val="242424"/>
          <w:szCs w:val="22"/>
          <w:bdr w:val="none" w:sz="0" w:space="0" w:color="auto" w:frame="1"/>
          <w:lang w:val="fr-FR"/>
        </w:rPr>
        <w:t xml:space="preserve">, 143 </w:t>
      </w:r>
      <w:proofErr w:type="spellStart"/>
      <w:r w:rsidRPr="00817921">
        <w:rPr>
          <w:rFonts w:ascii="Times New Roman" w:hAnsi="Times New Roman" w:cs="Times New Roman"/>
          <w:color w:val="242424"/>
          <w:szCs w:val="22"/>
          <w:bdr w:val="none" w:sz="0" w:space="0" w:color="auto" w:frame="1"/>
          <w:lang w:val="fr-FR"/>
        </w:rPr>
        <w:t>fëmijë</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u </w:t>
      </w:r>
      <w:proofErr w:type="spellStart"/>
      <w:r w:rsidRPr="00817921">
        <w:rPr>
          <w:rFonts w:ascii="Times New Roman" w:hAnsi="Times New Roman" w:cs="Times New Roman"/>
          <w:color w:val="242424"/>
          <w:szCs w:val="22"/>
          <w:bdr w:val="none" w:sz="0" w:space="0" w:color="auto" w:frame="1"/>
          <w:lang w:val="fr-FR"/>
        </w:rPr>
        <w:t>mbështetën</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shërbime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specializuara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lëvizëse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parandaluar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vendosjen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tyre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institucionet</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lang w:val="fr-FR"/>
        </w:rPr>
        <w:t xml:space="preserve">, si </w:t>
      </w:r>
      <w:proofErr w:type="spellStart"/>
      <w:r w:rsidRPr="00817921">
        <w:rPr>
          <w:rFonts w:ascii="Times New Roman" w:hAnsi="Times New Roman" w:cs="Times New Roman"/>
          <w:color w:val="242424"/>
          <w:szCs w:val="22"/>
          <w:bdr w:val="none" w:sz="0" w:space="0" w:color="auto" w:frame="1"/>
          <w:lang w:val="fr-FR"/>
        </w:rPr>
        <w:t>edhe</w:t>
      </w:r>
      <w:proofErr w:type="spellEnd"/>
      <w:r w:rsidRPr="00817921">
        <w:rPr>
          <w:rFonts w:ascii="Times New Roman" w:hAnsi="Times New Roman" w:cs="Times New Roman"/>
          <w:color w:val="242424"/>
          <w:szCs w:val="22"/>
          <w:bdr w:val="none" w:sz="0" w:space="0" w:color="auto" w:frame="1"/>
          <w:lang w:val="fr-FR"/>
        </w:rPr>
        <w:t xml:space="preserve"> 46 </w:t>
      </w:r>
      <w:proofErr w:type="spellStart"/>
      <w:r w:rsidRPr="00817921">
        <w:rPr>
          <w:rFonts w:ascii="Times New Roman" w:hAnsi="Times New Roman" w:cs="Times New Roman"/>
          <w:color w:val="242424"/>
          <w:szCs w:val="22"/>
          <w:bdr w:val="none" w:sz="0" w:space="0" w:color="auto" w:frame="1"/>
          <w:lang w:val="fr-FR"/>
        </w:rPr>
        <w:t>fëmijë</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(4.2% e </w:t>
      </w:r>
      <w:proofErr w:type="spellStart"/>
      <w:r w:rsidRPr="00817921">
        <w:rPr>
          <w:rFonts w:ascii="Times New Roman" w:hAnsi="Times New Roman" w:cs="Times New Roman"/>
          <w:color w:val="242424"/>
          <w:szCs w:val="22"/>
          <w:bdr w:val="none" w:sz="0" w:space="0" w:color="auto" w:frame="1"/>
          <w:lang w:val="fr-FR"/>
        </w:rPr>
        <w:t>numrit</w:t>
      </w:r>
      <w:proofErr w:type="spellEnd"/>
      <w:r w:rsidRPr="00817921">
        <w:rPr>
          <w:rFonts w:ascii="Times New Roman" w:hAnsi="Times New Roman" w:cs="Times New Roman"/>
          <w:color w:val="242424"/>
          <w:szCs w:val="22"/>
          <w:bdr w:val="none" w:sz="0" w:space="0" w:color="auto" w:frame="1"/>
          <w:lang w:val="fr-FR"/>
        </w:rPr>
        <w:t xml:space="preserve"> total të </w:t>
      </w:r>
      <w:proofErr w:type="spellStart"/>
      <w:r w:rsidRPr="00817921">
        <w:rPr>
          <w:rFonts w:ascii="Times New Roman" w:hAnsi="Times New Roman" w:cs="Times New Roman"/>
          <w:color w:val="242424"/>
          <w:szCs w:val="22"/>
          <w:bdr w:val="none" w:sz="0" w:space="0" w:color="auto" w:frame="1"/>
          <w:lang w:val="fr-FR"/>
        </w:rPr>
        <w:t>fëmijevë</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vendosur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familje </w:t>
      </w:r>
      <w:proofErr w:type="spellStart"/>
      <w:r w:rsidRPr="00817921">
        <w:rPr>
          <w:rFonts w:ascii="Times New Roman" w:hAnsi="Times New Roman" w:cs="Times New Roman"/>
          <w:color w:val="242424"/>
          <w:szCs w:val="22"/>
          <w:bdr w:val="none" w:sz="0" w:space="0" w:color="auto" w:frame="1"/>
          <w:lang w:val="fr-FR"/>
        </w:rPr>
        <w:t>kujdestare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njëjtën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periudhë</w:t>
      </w:r>
      <w:proofErr w:type="spellEnd"/>
      <w:r w:rsidRPr="00817921">
        <w:rPr>
          <w:rFonts w:ascii="Times New Roman" w:hAnsi="Times New Roman" w:cs="Times New Roman"/>
          <w:color w:val="242424"/>
          <w:szCs w:val="22"/>
          <w:bdr w:val="none" w:sz="0" w:space="0" w:color="auto" w:frame="1"/>
          <w:lang w:val="fr-FR"/>
        </w:rPr>
        <w:t xml:space="preserve">) u </w:t>
      </w:r>
      <w:proofErr w:type="spellStart"/>
      <w:r w:rsidRPr="00817921">
        <w:rPr>
          <w:rFonts w:ascii="Times New Roman" w:hAnsi="Times New Roman" w:cs="Times New Roman"/>
          <w:color w:val="242424"/>
          <w:szCs w:val="22"/>
          <w:bdr w:val="none" w:sz="0" w:space="0" w:color="auto" w:frame="1"/>
          <w:lang w:val="fr-FR"/>
        </w:rPr>
        <w:t>vendosën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familje </w:t>
      </w:r>
      <w:proofErr w:type="spellStart"/>
      <w:r w:rsidRPr="00817921">
        <w:rPr>
          <w:rFonts w:ascii="Times New Roman" w:hAnsi="Times New Roman" w:cs="Times New Roman"/>
          <w:color w:val="242424"/>
          <w:szCs w:val="22"/>
          <w:bdr w:val="none" w:sz="0" w:space="0" w:color="auto" w:frame="1"/>
          <w:lang w:val="fr-FR"/>
        </w:rPr>
        <w:t>kujdestare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gjatë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periudhës</w:t>
      </w:r>
      <w:proofErr w:type="spellEnd"/>
      <w:r w:rsidRPr="00817921">
        <w:rPr>
          <w:rFonts w:ascii="Times New Roman" w:hAnsi="Times New Roman" w:cs="Times New Roman"/>
          <w:color w:val="242424"/>
          <w:szCs w:val="22"/>
          <w:bdr w:val="none" w:sz="0" w:space="0" w:color="auto" w:frame="1"/>
          <w:lang w:val="fr-FR"/>
        </w:rPr>
        <w:t xml:space="preserve"> 2020-2023.</w:t>
      </w:r>
    </w:p>
    <w:p w14:paraId="527B7A7A" w14:textId="77777777" w:rsidR="005175AC" w:rsidRPr="00817921" w:rsidRDefault="005175AC" w:rsidP="005175AC">
      <w:pPr>
        <w:rPr>
          <w:rFonts w:ascii="Times New Roman" w:hAnsi="Times New Roman" w:cs="Times New Roman"/>
          <w:color w:val="242424"/>
          <w:szCs w:val="22"/>
          <w:bdr w:val="none" w:sz="0" w:space="0" w:color="auto" w:frame="1"/>
          <w:lang w:val="fr-FR"/>
        </w:rPr>
      </w:pPr>
      <w:proofErr w:type="spellStart"/>
      <w:r w:rsidRPr="00817921">
        <w:rPr>
          <w:rFonts w:ascii="Times New Roman" w:hAnsi="Times New Roman" w:cs="Times New Roman"/>
          <w:color w:val="242424"/>
          <w:szCs w:val="22"/>
          <w:bdr w:val="none" w:sz="0" w:space="0" w:color="auto" w:frame="1"/>
          <w:lang w:val="fr-FR"/>
        </w:rPr>
        <w:t>Fëmijët</w:t>
      </w:r>
      <w:proofErr w:type="spellEnd"/>
      <w:r w:rsidRPr="00817921">
        <w:rPr>
          <w:rFonts w:ascii="Times New Roman" w:hAnsi="Times New Roman" w:cs="Times New Roman"/>
          <w:color w:val="242424"/>
          <w:szCs w:val="22"/>
          <w:bdr w:val="none" w:sz="0" w:space="0" w:color="auto" w:frame="1"/>
          <w:lang w:val="fr-FR"/>
        </w:rPr>
        <w:t xml:space="preserve"> e të </w:t>
      </w:r>
      <w:proofErr w:type="spellStart"/>
      <w:r w:rsidRPr="00817921">
        <w:rPr>
          <w:rFonts w:ascii="Times New Roman" w:hAnsi="Times New Roman" w:cs="Times New Roman"/>
          <w:color w:val="242424"/>
          <w:szCs w:val="22"/>
          <w:bdr w:val="none" w:sz="0" w:space="0" w:color="auto" w:frame="1"/>
          <w:lang w:val="fr-FR"/>
        </w:rPr>
        <w:t>rriturit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Shqipëri</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marrin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edhe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nga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qëndra</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cilat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funksionojnë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gjithë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territorin</w:t>
      </w:r>
      <w:proofErr w:type="spellEnd"/>
      <w:r w:rsidRPr="00817921">
        <w:rPr>
          <w:rFonts w:ascii="Times New Roman" w:hAnsi="Times New Roman" w:cs="Times New Roman"/>
          <w:color w:val="242424"/>
          <w:szCs w:val="22"/>
          <w:bdr w:val="none" w:sz="0" w:space="0" w:color="auto" w:frame="1"/>
          <w:lang w:val="fr-FR"/>
        </w:rPr>
        <w:t xml:space="preserve"> e vendit. </w:t>
      </w:r>
      <w:proofErr w:type="spellStart"/>
      <w:r w:rsidRPr="00817921">
        <w:rPr>
          <w:rFonts w:ascii="Times New Roman" w:hAnsi="Times New Roman" w:cs="Times New Roman"/>
          <w:color w:val="242424"/>
          <w:szCs w:val="22"/>
          <w:bdr w:val="none" w:sz="0" w:space="0" w:color="auto" w:frame="1"/>
          <w:lang w:val="fr-FR"/>
        </w:rPr>
        <w:t>Shërbimet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tradicionale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qendra të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personat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kanë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ardhur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duke</w:t>
      </w:r>
      <w:proofErr w:type="spellEnd"/>
      <w:r w:rsidRPr="00817921">
        <w:rPr>
          <w:rFonts w:ascii="Times New Roman" w:hAnsi="Times New Roman" w:cs="Times New Roman"/>
          <w:color w:val="242424"/>
          <w:szCs w:val="22"/>
          <w:bdr w:val="none" w:sz="0" w:space="0" w:color="auto" w:frame="1"/>
          <w:lang w:val="fr-FR"/>
        </w:rPr>
        <w:t xml:space="preserve"> u </w:t>
      </w:r>
      <w:proofErr w:type="spellStart"/>
      <w:r w:rsidRPr="00817921">
        <w:rPr>
          <w:rFonts w:ascii="Times New Roman" w:hAnsi="Times New Roman" w:cs="Times New Roman"/>
          <w:color w:val="242424"/>
          <w:szCs w:val="22"/>
          <w:bdr w:val="none" w:sz="0" w:space="0" w:color="auto" w:frame="1"/>
          <w:lang w:val="fr-FR"/>
        </w:rPr>
        <w:t>zgjeruar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Qendrat</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janë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rezidenciale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apo</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ditore</w:t>
      </w:r>
      <w:proofErr w:type="spellEnd"/>
      <w:r w:rsidRPr="00817921">
        <w:rPr>
          <w:rFonts w:ascii="Times New Roman" w:hAnsi="Times New Roman" w:cs="Times New Roman"/>
          <w:color w:val="242424"/>
          <w:szCs w:val="22"/>
          <w:bdr w:val="none" w:sz="0" w:space="0" w:color="auto" w:frame="1"/>
          <w:lang w:val="fr-FR"/>
        </w:rPr>
        <w:t xml:space="preserve"> e komunitare, me </w:t>
      </w:r>
      <w:proofErr w:type="spellStart"/>
      <w:r w:rsidRPr="00817921">
        <w:rPr>
          <w:rFonts w:ascii="Times New Roman" w:hAnsi="Times New Roman" w:cs="Times New Roman"/>
          <w:color w:val="242424"/>
          <w:szCs w:val="22"/>
          <w:bdr w:val="none" w:sz="0" w:space="0" w:color="auto" w:frame="1"/>
          <w:lang w:val="fr-FR"/>
        </w:rPr>
        <w:t>financim</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publik</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apo</w:t>
      </w:r>
      <w:proofErr w:type="spellEnd"/>
      <w:r w:rsidRPr="00817921">
        <w:rPr>
          <w:rFonts w:ascii="Times New Roman" w:hAnsi="Times New Roman" w:cs="Times New Roman"/>
          <w:color w:val="242424"/>
          <w:szCs w:val="22"/>
          <w:bdr w:val="none" w:sz="0" w:space="0" w:color="auto" w:frame="1"/>
          <w:lang w:val="fr-FR"/>
        </w:rPr>
        <w:t xml:space="preserve"> privat.  Në </w:t>
      </w:r>
      <w:proofErr w:type="spellStart"/>
      <w:r w:rsidRPr="00817921">
        <w:rPr>
          <w:rFonts w:ascii="Times New Roman" w:hAnsi="Times New Roman" w:cs="Times New Roman"/>
          <w:color w:val="242424"/>
          <w:szCs w:val="22"/>
          <w:bdr w:val="none" w:sz="0" w:space="0" w:color="auto" w:frame="1"/>
          <w:lang w:val="fr-FR"/>
        </w:rPr>
        <w:t>vitin</w:t>
      </w:r>
      <w:proofErr w:type="spellEnd"/>
      <w:r w:rsidRPr="00817921">
        <w:rPr>
          <w:rFonts w:ascii="Times New Roman" w:hAnsi="Times New Roman" w:cs="Times New Roman"/>
          <w:color w:val="242424"/>
          <w:szCs w:val="22"/>
          <w:bdr w:val="none" w:sz="0" w:space="0" w:color="auto" w:frame="1"/>
          <w:lang w:val="fr-FR"/>
        </w:rPr>
        <w:t xml:space="preserve"> 2022 </w:t>
      </w:r>
      <w:proofErr w:type="spellStart"/>
      <w:r w:rsidRPr="00817921">
        <w:rPr>
          <w:rFonts w:ascii="Times New Roman" w:hAnsi="Times New Roman" w:cs="Times New Roman"/>
          <w:color w:val="242424"/>
          <w:szCs w:val="22"/>
          <w:bdr w:val="none" w:sz="0" w:space="0" w:color="auto" w:frame="1"/>
          <w:lang w:val="fr-FR"/>
        </w:rPr>
        <w:t>numri</w:t>
      </w:r>
      <w:proofErr w:type="spellEnd"/>
      <w:r w:rsidRPr="00817921">
        <w:rPr>
          <w:rFonts w:ascii="Times New Roman" w:hAnsi="Times New Roman" w:cs="Times New Roman"/>
          <w:color w:val="242424"/>
          <w:szCs w:val="22"/>
          <w:bdr w:val="none" w:sz="0" w:space="0" w:color="auto" w:frame="1"/>
          <w:lang w:val="fr-FR"/>
        </w:rPr>
        <w:t xml:space="preserve"> i qendrave </w:t>
      </w:r>
      <w:proofErr w:type="spellStart"/>
      <w:r w:rsidRPr="00817921">
        <w:rPr>
          <w:rFonts w:ascii="Times New Roman" w:hAnsi="Times New Roman" w:cs="Times New Roman"/>
          <w:color w:val="242424"/>
          <w:szCs w:val="22"/>
          <w:bdr w:val="none" w:sz="0" w:space="0" w:color="auto" w:frame="1"/>
          <w:lang w:val="fr-FR"/>
        </w:rPr>
        <w:t>që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ofronin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vend </w:t>
      </w:r>
      <w:proofErr w:type="spellStart"/>
      <w:r w:rsidRPr="00817921">
        <w:rPr>
          <w:rFonts w:ascii="Times New Roman" w:hAnsi="Times New Roman" w:cs="Times New Roman"/>
          <w:color w:val="242424"/>
          <w:szCs w:val="22"/>
          <w:bdr w:val="none" w:sz="0" w:space="0" w:color="auto" w:frame="1"/>
          <w:lang w:val="fr-FR"/>
        </w:rPr>
        <w:t>ishte</w:t>
      </w:r>
      <w:proofErr w:type="spellEnd"/>
      <w:r w:rsidRPr="00817921">
        <w:rPr>
          <w:rFonts w:ascii="Times New Roman" w:hAnsi="Times New Roman" w:cs="Times New Roman"/>
          <w:color w:val="242424"/>
          <w:szCs w:val="22"/>
          <w:bdr w:val="none" w:sz="0" w:space="0" w:color="auto" w:frame="1"/>
          <w:lang w:val="fr-FR"/>
        </w:rPr>
        <w:t xml:space="preserve"> 250, me </w:t>
      </w:r>
      <w:proofErr w:type="spellStart"/>
      <w:r w:rsidRPr="00817921">
        <w:rPr>
          <w:rFonts w:ascii="Times New Roman" w:hAnsi="Times New Roman" w:cs="Times New Roman"/>
          <w:color w:val="242424"/>
          <w:szCs w:val="22"/>
          <w:bdr w:val="none" w:sz="0" w:space="0" w:color="auto" w:frame="1"/>
          <w:lang w:val="fr-FR"/>
        </w:rPr>
        <w:t>një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numër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përfituesish</w:t>
      </w:r>
      <w:proofErr w:type="spellEnd"/>
      <w:r w:rsidRPr="00817921">
        <w:rPr>
          <w:rFonts w:ascii="Times New Roman" w:hAnsi="Times New Roman" w:cs="Times New Roman"/>
          <w:color w:val="242424"/>
          <w:szCs w:val="22"/>
          <w:bdr w:val="none" w:sz="0" w:space="0" w:color="auto" w:frame="1"/>
          <w:lang w:val="fr-FR"/>
        </w:rPr>
        <w:t xml:space="preserve"> 15,177 persona</w:t>
      </w:r>
      <w:r w:rsidRPr="00817921">
        <w:rPr>
          <w:rFonts w:ascii="Times New Roman" w:hAnsi="Times New Roman" w:cs="Times New Roman"/>
          <w:color w:val="242424"/>
          <w:szCs w:val="22"/>
          <w:bdr w:val="none" w:sz="0" w:space="0" w:color="auto" w:frame="1"/>
          <w:vertAlign w:val="superscript"/>
          <w:lang w:val="fr-FR"/>
        </w:rPr>
        <w:footnoteReference w:id="156"/>
      </w:r>
      <w:r w:rsidRPr="00817921">
        <w:rPr>
          <w:rFonts w:ascii="Times New Roman" w:hAnsi="Times New Roman" w:cs="Times New Roman"/>
          <w:color w:val="242424"/>
          <w:szCs w:val="22"/>
          <w:bdr w:val="none" w:sz="0" w:space="0" w:color="auto" w:frame="1"/>
          <w:lang w:val="fr-FR"/>
        </w:rPr>
        <w:t xml:space="preserve">. 62 prej </w:t>
      </w:r>
      <w:proofErr w:type="spellStart"/>
      <w:r w:rsidRPr="00817921">
        <w:rPr>
          <w:rFonts w:ascii="Times New Roman" w:hAnsi="Times New Roman" w:cs="Times New Roman"/>
          <w:color w:val="242424"/>
          <w:szCs w:val="22"/>
          <w:bdr w:val="none" w:sz="0" w:space="0" w:color="auto" w:frame="1"/>
          <w:lang w:val="fr-FR"/>
        </w:rPr>
        <w:t>këtyre</w:t>
      </w:r>
      <w:proofErr w:type="spellEnd"/>
      <w:r w:rsidRPr="00817921">
        <w:rPr>
          <w:rFonts w:ascii="Times New Roman" w:hAnsi="Times New Roman" w:cs="Times New Roman"/>
          <w:color w:val="242424"/>
          <w:szCs w:val="22"/>
          <w:bdr w:val="none" w:sz="0" w:space="0" w:color="auto" w:frame="1"/>
          <w:lang w:val="fr-FR"/>
        </w:rPr>
        <w:t xml:space="preserve"> qendrave (24.8%), </w:t>
      </w:r>
      <w:proofErr w:type="spellStart"/>
      <w:r w:rsidRPr="00817921">
        <w:rPr>
          <w:rFonts w:ascii="Times New Roman" w:hAnsi="Times New Roman" w:cs="Times New Roman"/>
          <w:color w:val="242424"/>
          <w:szCs w:val="22"/>
          <w:bdr w:val="none" w:sz="0" w:space="0" w:color="auto" w:frame="1"/>
          <w:lang w:val="fr-FR"/>
        </w:rPr>
        <w:t>ofruan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2,503 </w:t>
      </w:r>
      <w:proofErr w:type="spellStart"/>
      <w:r w:rsidRPr="00817921">
        <w:rPr>
          <w:rFonts w:ascii="Times New Roman" w:hAnsi="Times New Roman" w:cs="Times New Roman"/>
          <w:color w:val="242424"/>
          <w:szCs w:val="22"/>
          <w:bdr w:val="none" w:sz="0" w:space="0" w:color="auto" w:frame="1"/>
          <w:lang w:val="fr-FR"/>
        </w:rPr>
        <w:t>përfitues</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(16.4% e </w:t>
      </w:r>
      <w:proofErr w:type="spellStart"/>
      <w:r w:rsidRPr="00817921">
        <w:rPr>
          <w:rFonts w:ascii="Times New Roman" w:hAnsi="Times New Roman" w:cs="Times New Roman"/>
          <w:color w:val="242424"/>
          <w:szCs w:val="22"/>
          <w:bdr w:val="none" w:sz="0" w:space="0" w:color="auto" w:frame="1"/>
          <w:lang w:val="fr-FR"/>
        </w:rPr>
        <w:t>numrit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përgjithshëm</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përfituesve</w:t>
      </w:r>
      <w:proofErr w:type="spellEnd"/>
      <w:r w:rsidRPr="00817921">
        <w:rPr>
          <w:rFonts w:ascii="Times New Roman" w:hAnsi="Times New Roman" w:cs="Times New Roman"/>
          <w:color w:val="242424"/>
          <w:szCs w:val="22"/>
          <w:bdr w:val="none" w:sz="0" w:space="0" w:color="auto" w:frame="1"/>
          <w:lang w:val="fr-FR"/>
        </w:rPr>
        <w:t xml:space="preserve">). </w:t>
      </w:r>
    </w:p>
    <w:p w14:paraId="66167F52" w14:textId="278B2F74" w:rsidR="005175AC" w:rsidRPr="00817921" w:rsidRDefault="005175AC" w:rsidP="005175AC">
      <w:pPr>
        <w:rPr>
          <w:rFonts w:ascii="Times New Roman" w:hAnsi="Times New Roman" w:cs="Times New Roman"/>
          <w:color w:val="242424"/>
          <w:szCs w:val="22"/>
          <w:bdr w:val="none" w:sz="0" w:space="0" w:color="auto" w:frame="1"/>
          <w:lang w:val="fr-FR"/>
        </w:rPr>
      </w:pPr>
      <w:proofErr w:type="spellStart"/>
      <w:r w:rsidRPr="00817921">
        <w:rPr>
          <w:rFonts w:ascii="Times New Roman" w:hAnsi="Times New Roman" w:cs="Times New Roman"/>
          <w:color w:val="242424"/>
          <w:szCs w:val="22"/>
          <w:bdr w:val="none" w:sz="0" w:space="0" w:color="auto" w:frame="1"/>
          <w:lang w:val="fr-FR"/>
        </w:rPr>
        <w:t>Janë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bërë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përparime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drejt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ofrimit</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shtëpi</w:t>
      </w:r>
      <w:proofErr w:type="spellEnd"/>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komunitet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fëmijët</w:t>
      </w:r>
      <w:proofErr w:type="spellEnd"/>
      <w:r w:rsidRPr="00817921">
        <w:rPr>
          <w:rFonts w:ascii="Times New Roman" w:hAnsi="Times New Roman" w:cs="Times New Roman"/>
          <w:color w:val="242424"/>
          <w:szCs w:val="22"/>
          <w:bdr w:val="none" w:sz="0" w:space="0" w:color="auto" w:frame="1"/>
          <w:lang w:val="fr-FR"/>
        </w:rPr>
        <w:t xml:space="preserve"> dhe të </w:t>
      </w:r>
      <w:proofErr w:type="spellStart"/>
      <w:r w:rsidRPr="00817921">
        <w:rPr>
          <w:rFonts w:ascii="Times New Roman" w:hAnsi="Times New Roman" w:cs="Times New Roman"/>
          <w:color w:val="242424"/>
          <w:szCs w:val="22"/>
          <w:bdr w:val="none" w:sz="0" w:space="0" w:color="auto" w:frame="1"/>
          <w:lang w:val="fr-FR"/>
        </w:rPr>
        <w:t>rriturit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Në </w:t>
      </w:r>
      <w:proofErr w:type="spellStart"/>
      <w:r w:rsidRPr="00817921">
        <w:rPr>
          <w:rFonts w:ascii="Times New Roman" w:hAnsi="Times New Roman" w:cs="Times New Roman"/>
          <w:color w:val="242424"/>
          <w:szCs w:val="22"/>
          <w:bdr w:val="none" w:sz="0" w:space="0" w:color="auto" w:frame="1"/>
          <w:lang w:val="fr-FR"/>
        </w:rPr>
        <w:t>disa</w:t>
      </w:r>
      <w:proofErr w:type="spellEnd"/>
      <w:r w:rsidRPr="00817921">
        <w:rPr>
          <w:rFonts w:ascii="Times New Roman" w:hAnsi="Times New Roman" w:cs="Times New Roman"/>
          <w:color w:val="242424"/>
          <w:szCs w:val="22"/>
          <w:bdr w:val="none" w:sz="0" w:space="0" w:color="auto" w:frame="1"/>
          <w:lang w:val="fr-FR"/>
        </w:rPr>
        <w:t xml:space="preserve"> bashki të vendit po </w:t>
      </w:r>
      <w:proofErr w:type="spellStart"/>
      <w:r w:rsidRPr="00817921">
        <w:rPr>
          <w:rFonts w:ascii="Times New Roman" w:hAnsi="Times New Roman" w:cs="Times New Roman"/>
          <w:color w:val="242424"/>
          <w:szCs w:val="22"/>
          <w:bdr w:val="none" w:sz="0" w:space="0" w:color="auto" w:frame="1"/>
          <w:lang w:val="fr-FR"/>
        </w:rPr>
        <w:t>zbatohen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disa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projekte</w:t>
      </w:r>
      <w:proofErr w:type="spellEnd"/>
      <w:r w:rsidRPr="00817921">
        <w:rPr>
          <w:rFonts w:ascii="Times New Roman" w:hAnsi="Times New Roman" w:cs="Times New Roman"/>
          <w:color w:val="242424"/>
          <w:szCs w:val="22"/>
          <w:bdr w:val="none" w:sz="0" w:space="0" w:color="auto" w:frame="1"/>
          <w:lang w:val="fr-FR"/>
        </w:rPr>
        <w:t xml:space="preserve"> pilot të </w:t>
      </w:r>
      <w:proofErr w:type="spellStart"/>
      <w:r w:rsidRPr="00817921">
        <w:rPr>
          <w:rFonts w:ascii="Times New Roman" w:hAnsi="Times New Roman" w:cs="Times New Roman"/>
          <w:color w:val="242424"/>
          <w:szCs w:val="22"/>
          <w:bdr w:val="none" w:sz="0" w:space="0" w:color="auto" w:frame="1"/>
          <w:lang w:val="fr-FR"/>
        </w:rPr>
        <w:t>fokusuara</w:t>
      </w:r>
      <w:proofErr w:type="spellEnd"/>
      <w:r w:rsidRPr="00817921">
        <w:rPr>
          <w:rFonts w:ascii="Times New Roman" w:hAnsi="Times New Roman" w:cs="Times New Roman"/>
          <w:color w:val="242424"/>
          <w:szCs w:val="22"/>
          <w:bdr w:val="none" w:sz="0" w:space="0" w:color="auto" w:frame="1"/>
          <w:lang w:val="fr-FR"/>
        </w:rPr>
        <w:t xml:space="preserve"> tek </w:t>
      </w:r>
      <w:proofErr w:type="spellStart"/>
      <w:r w:rsidRPr="00817921">
        <w:rPr>
          <w:rFonts w:ascii="Times New Roman" w:hAnsi="Times New Roman" w:cs="Times New Roman"/>
          <w:color w:val="242424"/>
          <w:szCs w:val="22"/>
          <w:bdr w:val="none" w:sz="0" w:space="0" w:color="auto" w:frame="1"/>
          <w:lang w:val="fr-FR"/>
        </w:rPr>
        <w:t>ndërhyrja</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hershme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fëmijët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nga</w:t>
      </w:r>
      <w:proofErr w:type="spellEnd"/>
      <w:r w:rsidRPr="00817921">
        <w:rPr>
          <w:rFonts w:ascii="Times New Roman" w:hAnsi="Times New Roman" w:cs="Times New Roman"/>
          <w:color w:val="242424"/>
          <w:szCs w:val="22"/>
          <w:bdr w:val="none" w:sz="0" w:space="0" w:color="auto" w:frame="1"/>
          <w:lang w:val="fr-FR"/>
        </w:rPr>
        <w:t xml:space="preserve"> 0-8 </w:t>
      </w:r>
      <w:proofErr w:type="spellStart"/>
      <w:r w:rsidRPr="00817921">
        <w:rPr>
          <w:rFonts w:ascii="Times New Roman" w:hAnsi="Times New Roman" w:cs="Times New Roman"/>
          <w:color w:val="242424"/>
          <w:szCs w:val="22"/>
          <w:bdr w:val="none" w:sz="0" w:space="0" w:color="auto" w:frame="1"/>
          <w:lang w:val="fr-FR"/>
        </w:rPr>
        <w:t>vjeç</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rehabilitimi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ofruara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familje ose komunitet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persona </w:t>
      </w:r>
      <w:proofErr w:type="spellStart"/>
      <w:r w:rsidRPr="00817921">
        <w:rPr>
          <w:rFonts w:ascii="Times New Roman" w:hAnsi="Times New Roman" w:cs="Times New Roman"/>
          <w:color w:val="242424"/>
          <w:szCs w:val="22"/>
          <w:bdr w:val="none" w:sz="0" w:space="0" w:color="auto" w:frame="1"/>
          <w:lang w:val="fr-FR"/>
        </w:rPr>
        <w:t>që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jetojnë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zona të </w:t>
      </w:r>
      <w:proofErr w:type="spellStart"/>
      <w:r w:rsidRPr="00817921">
        <w:rPr>
          <w:rFonts w:ascii="Times New Roman" w:hAnsi="Times New Roman" w:cs="Times New Roman"/>
          <w:color w:val="242424"/>
          <w:szCs w:val="22"/>
          <w:bdr w:val="none" w:sz="0" w:space="0" w:color="auto" w:frame="1"/>
          <w:lang w:val="fr-FR"/>
        </w:rPr>
        <w:t>largëta</w:t>
      </w:r>
      <w:proofErr w:type="spellEnd"/>
      <w:r w:rsidRPr="00817921">
        <w:rPr>
          <w:rFonts w:ascii="Times New Roman" w:hAnsi="Times New Roman" w:cs="Times New Roman"/>
          <w:color w:val="242424"/>
          <w:szCs w:val="22"/>
          <w:bdr w:val="none" w:sz="0" w:space="0" w:color="auto" w:frame="1"/>
          <w:lang w:val="fr-FR"/>
        </w:rPr>
        <w:t xml:space="preserve">, si </w:t>
      </w:r>
      <w:proofErr w:type="spellStart"/>
      <w:r w:rsidRPr="00817921">
        <w:rPr>
          <w:rFonts w:ascii="Times New Roman" w:hAnsi="Times New Roman" w:cs="Times New Roman"/>
          <w:color w:val="242424"/>
          <w:szCs w:val="22"/>
          <w:bdr w:val="none" w:sz="0" w:space="0" w:color="auto" w:frame="1"/>
          <w:lang w:val="fr-FR"/>
        </w:rPr>
        <w:t>edhe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shërbimet</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jetesës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pavaruar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rinjtë</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
    <w:p w14:paraId="081F674D" w14:textId="39DE8F6E" w:rsidR="005175AC" w:rsidRPr="00817921" w:rsidRDefault="005175AC" w:rsidP="005175AC">
      <w:pPr>
        <w:rPr>
          <w:rFonts w:ascii="Times New Roman" w:hAnsi="Times New Roman" w:cs="Times New Roman"/>
          <w:color w:val="242424"/>
          <w:szCs w:val="22"/>
          <w:bdr w:val="none" w:sz="0" w:space="0" w:color="auto" w:frame="1"/>
          <w:lang w:val="fr-FR"/>
        </w:rPr>
      </w:pPr>
      <w:proofErr w:type="spellStart"/>
      <w:r w:rsidRPr="00817921">
        <w:rPr>
          <w:rFonts w:ascii="Times New Roman" w:hAnsi="Times New Roman" w:cs="Times New Roman"/>
          <w:color w:val="242424"/>
          <w:szCs w:val="22"/>
          <w:bdr w:val="none" w:sz="0" w:space="0" w:color="auto" w:frame="1"/>
          <w:lang w:val="fr-FR"/>
        </w:rPr>
        <w:t>Numri</w:t>
      </w:r>
      <w:proofErr w:type="spellEnd"/>
      <w:r w:rsidRPr="00817921">
        <w:rPr>
          <w:rFonts w:ascii="Times New Roman" w:hAnsi="Times New Roman" w:cs="Times New Roman"/>
          <w:color w:val="242424"/>
          <w:szCs w:val="22"/>
          <w:bdr w:val="none" w:sz="0" w:space="0" w:color="auto" w:frame="1"/>
          <w:lang w:val="fr-FR"/>
        </w:rPr>
        <w:t xml:space="preserve"> i qendrave komunitare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personat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009A5A0E" w:rsidRPr="00817921">
        <w:rPr>
          <w:rFonts w:ascii="Times New Roman" w:hAnsi="Times New Roman" w:cs="Times New Roman"/>
          <w:color w:val="242424"/>
          <w:szCs w:val="22"/>
          <w:bdr w:val="none" w:sz="0" w:space="0" w:color="auto" w:frame="1"/>
          <w:lang w:val="fr-FR"/>
        </w:rPr>
        <w:t>ë</w:t>
      </w:r>
      <w:r w:rsidRPr="00817921">
        <w:rPr>
          <w:rFonts w:ascii="Times New Roman" w:hAnsi="Times New Roman" w:cs="Times New Roman"/>
          <w:color w:val="242424"/>
          <w:szCs w:val="22"/>
          <w:bdr w:val="none" w:sz="0" w:space="0" w:color="auto" w:frame="1"/>
          <w:lang w:val="fr-FR"/>
        </w:rPr>
        <w:t>sht</w:t>
      </w:r>
      <w:r w:rsidR="009A5A0E" w:rsidRPr="00817921">
        <w:rPr>
          <w:rFonts w:ascii="Times New Roman" w:hAnsi="Times New Roman" w:cs="Times New Roman"/>
          <w:color w:val="242424"/>
          <w:szCs w:val="22"/>
          <w:bdr w:val="none" w:sz="0" w:space="0" w:color="auto" w:frame="1"/>
          <w:lang w:val="fr-FR"/>
        </w:rPr>
        <w: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w:t>
      </w:r>
      <w:r w:rsidR="009A5A0E" w:rsidRPr="00817921">
        <w:rPr>
          <w:rFonts w:ascii="Times New Roman" w:hAnsi="Times New Roman" w:cs="Times New Roman"/>
          <w:color w:val="242424"/>
          <w:szCs w:val="22"/>
          <w:bdr w:val="none" w:sz="0" w:space="0" w:color="auto" w:frame="1"/>
          <w:lang w:val="fr-FR"/>
        </w:rPr>
        <w:t>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rritje</w:t>
      </w:r>
      <w:proofErr w:type="spellEnd"/>
      <w:r w:rsidRPr="00817921">
        <w:rPr>
          <w:rFonts w:ascii="Times New Roman" w:hAnsi="Times New Roman" w:cs="Times New Roman"/>
          <w:color w:val="242424"/>
          <w:szCs w:val="22"/>
          <w:bdr w:val="none" w:sz="0" w:space="0" w:color="auto" w:frame="1"/>
          <w:lang w:val="fr-FR"/>
        </w:rPr>
        <w:t xml:space="preserve"> si </w:t>
      </w:r>
      <w:proofErr w:type="spellStart"/>
      <w:r w:rsidRPr="00817921">
        <w:rPr>
          <w:rFonts w:ascii="Times New Roman" w:hAnsi="Times New Roman" w:cs="Times New Roman"/>
          <w:color w:val="242424"/>
          <w:szCs w:val="22"/>
          <w:bdr w:val="none" w:sz="0" w:space="0" w:color="auto" w:frame="1"/>
          <w:lang w:val="fr-FR"/>
        </w:rPr>
        <w:t>pasojë</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bashkëpunimit</w:t>
      </w:r>
      <w:proofErr w:type="spellEnd"/>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mbështetjes</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partnerë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ndërkombëtarë</w:t>
      </w:r>
      <w:proofErr w:type="spellEnd"/>
      <w:r w:rsidR="00FF7F54">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përmes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dhënies</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granteve</w:t>
      </w:r>
      <w:proofErr w:type="spellEnd"/>
      <w:r w:rsidRPr="00817921">
        <w:rPr>
          <w:rFonts w:ascii="Times New Roman" w:hAnsi="Times New Roman" w:cs="Times New Roman"/>
          <w:color w:val="242424"/>
          <w:szCs w:val="22"/>
          <w:bdr w:val="none" w:sz="0" w:space="0" w:color="auto" w:frame="1"/>
          <w:lang w:val="fr-FR"/>
        </w:rPr>
        <w:t xml:space="preserve">, si </w:t>
      </w:r>
      <w:proofErr w:type="spellStart"/>
      <w:r w:rsidRPr="00817921">
        <w:rPr>
          <w:rFonts w:ascii="Times New Roman" w:hAnsi="Times New Roman" w:cs="Times New Roman"/>
          <w:color w:val="242424"/>
          <w:szCs w:val="22"/>
          <w:bdr w:val="none" w:sz="0" w:space="0" w:color="auto" w:frame="1"/>
          <w:lang w:val="fr-FR"/>
        </w:rPr>
        <w:t>një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formë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financimi</w:t>
      </w:r>
      <w:proofErr w:type="spellEnd"/>
      <w:r w:rsidRPr="00817921">
        <w:rPr>
          <w:rFonts w:ascii="Times New Roman" w:hAnsi="Times New Roman" w:cs="Times New Roman"/>
          <w:color w:val="242424"/>
          <w:szCs w:val="22"/>
          <w:bdr w:val="none" w:sz="0" w:space="0" w:color="auto" w:frame="1"/>
          <w:lang w:val="fr-FR"/>
        </w:rPr>
        <w:t xml:space="preserve"> e Fondit Social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pushtetin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vendor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Rreth</w:t>
      </w:r>
      <w:proofErr w:type="spellEnd"/>
      <w:r w:rsidRPr="00817921">
        <w:rPr>
          <w:rFonts w:ascii="Times New Roman" w:hAnsi="Times New Roman" w:cs="Times New Roman"/>
          <w:color w:val="242424"/>
          <w:szCs w:val="22"/>
          <w:bdr w:val="none" w:sz="0" w:space="0" w:color="auto" w:frame="1"/>
          <w:lang w:val="fr-FR"/>
        </w:rPr>
        <w:t xml:space="preserve"> 190 </w:t>
      </w:r>
      <w:proofErr w:type="spellStart"/>
      <w:r w:rsidRPr="00817921">
        <w:rPr>
          <w:rFonts w:ascii="Times New Roman" w:hAnsi="Times New Roman" w:cs="Times New Roman"/>
          <w:color w:val="242424"/>
          <w:szCs w:val="22"/>
          <w:bdr w:val="none" w:sz="0" w:space="0" w:color="auto" w:frame="1"/>
          <w:lang w:val="fr-FR"/>
        </w:rPr>
        <w:t>fëmijë</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kanë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marrë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këto</w:t>
      </w:r>
      <w:proofErr w:type="spellEnd"/>
      <w:r w:rsidRPr="00817921">
        <w:rPr>
          <w:rFonts w:ascii="Times New Roman" w:hAnsi="Times New Roman" w:cs="Times New Roman"/>
          <w:color w:val="242424"/>
          <w:szCs w:val="22"/>
          <w:bdr w:val="none" w:sz="0" w:space="0" w:color="auto" w:frame="1"/>
          <w:lang w:val="fr-FR"/>
        </w:rPr>
        <w:t xml:space="preserve"> qendra komunitare</w:t>
      </w:r>
      <w:r w:rsidRPr="00817921">
        <w:rPr>
          <w:rFonts w:ascii="Times New Roman" w:hAnsi="Times New Roman" w:cs="Times New Roman"/>
          <w:color w:val="242424"/>
          <w:szCs w:val="22"/>
          <w:bdr w:val="none" w:sz="0" w:space="0" w:color="auto" w:frame="1"/>
          <w:vertAlign w:val="superscript"/>
          <w:lang w:val="fr-FR"/>
        </w:rPr>
        <w:footnoteReference w:id="157"/>
      </w:r>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Këto</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janë</w:t>
      </w:r>
      <w:proofErr w:type="spellEnd"/>
      <w:r w:rsidRPr="00817921">
        <w:rPr>
          <w:rFonts w:ascii="Times New Roman" w:hAnsi="Times New Roman" w:cs="Times New Roman"/>
          <w:color w:val="242424"/>
          <w:szCs w:val="22"/>
          <w:bdr w:val="none" w:sz="0" w:space="0" w:color="auto" w:frame="1"/>
          <w:lang w:val="fr-FR"/>
        </w:rPr>
        <w:t xml:space="preserve"> modele </w:t>
      </w:r>
      <w:proofErr w:type="spellStart"/>
      <w:r w:rsidRPr="00817921">
        <w:rPr>
          <w:rFonts w:ascii="Times New Roman" w:hAnsi="Times New Roman" w:cs="Times New Roman"/>
          <w:color w:val="242424"/>
          <w:szCs w:val="22"/>
          <w:bdr w:val="none" w:sz="0" w:space="0" w:color="auto" w:frame="1"/>
          <w:lang w:val="fr-FR"/>
        </w:rPr>
        <w:t>shumë</w:t>
      </w:r>
      <w:proofErr w:type="spellEnd"/>
      <w:r w:rsidRPr="00817921">
        <w:rPr>
          <w:rFonts w:ascii="Times New Roman" w:hAnsi="Times New Roman" w:cs="Times New Roman"/>
          <w:color w:val="242424"/>
          <w:szCs w:val="22"/>
          <w:bdr w:val="none" w:sz="0" w:space="0" w:color="auto" w:frame="1"/>
          <w:lang w:val="fr-FR"/>
        </w:rPr>
        <w:t xml:space="preserve"> të mira </w:t>
      </w:r>
      <w:proofErr w:type="spellStart"/>
      <w:r w:rsidRPr="00817921">
        <w:rPr>
          <w:rFonts w:ascii="Times New Roman" w:hAnsi="Times New Roman" w:cs="Times New Roman"/>
          <w:color w:val="242424"/>
          <w:szCs w:val="22"/>
          <w:bdr w:val="none" w:sz="0" w:space="0" w:color="auto" w:frame="1"/>
          <w:lang w:val="fr-FR"/>
        </w:rPr>
        <w:t>që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mund</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zgjerohen</w:t>
      </w:r>
      <w:proofErr w:type="spellEnd"/>
      <w:r w:rsidR="00FF7F54">
        <w:rPr>
          <w:rFonts w:ascii="Times New Roman" w:hAnsi="Times New Roman" w:cs="Times New Roman"/>
          <w:color w:val="242424"/>
          <w:szCs w:val="22"/>
          <w:bdr w:val="none" w:sz="0" w:space="0" w:color="auto" w:frame="1"/>
          <w:lang w:val="fr-FR"/>
        </w:rPr>
        <w:t xml:space="preserve"> </w:t>
      </w:r>
      <w:proofErr w:type="spellStart"/>
      <w:r w:rsidR="00FF7F54">
        <w:rPr>
          <w:rFonts w:ascii="Times New Roman" w:hAnsi="Times New Roman" w:cs="Times New Roman"/>
          <w:color w:val="242424"/>
          <w:szCs w:val="22"/>
          <w:bdr w:val="none" w:sz="0" w:space="0" w:color="auto" w:frame="1"/>
          <w:lang w:val="fr-FR"/>
        </w:rPr>
        <w:t>m</w:t>
      </w:r>
      <w:r w:rsidR="00FF7F54" w:rsidRPr="002C0D3E">
        <w:rPr>
          <w:rFonts w:ascii="Times New Roman" w:hAnsi="Times New Roman" w:cs="Times New Roman"/>
          <w:color w:val="242424"/>
          <w:szCs w:val="22"/>
          <w:bdr w:val="none" w:sz="0" w:space="0" w:color="auto" w:frame="1"/>
          <w:lang w:val="fr-FR"/>
        </w:rPr>
        <w:t>ë</w:t>
      </w:r>
      <w:proofErr w:type="spellEnd"/>
      <w:r w:rsidR="00FF7F54">
        <w:rPr>
          <w:rFonts w:ascii="Times New Roman" w:hAnsi="Times New Roman" w:cs="Times New Roman"/>
          <w:color w:val="242424"/>
          <w:szCs w:val="22"/>
          <w:bdr w:val="none" w:sz="0" w:space="0" w:color="auto" w:frame="1"/>
          <w:lang w:val="fr-FR"/>
        </w:rPr>
        <w:t xml:space="preserve"> </w:t>
      </w:r>
      <w:proofErr w:type="spellStart"/>
      <w:r w:rsidR="00FF7F54">
        <w:rPr>
          <w:rFonts w:ascii="Times New Roman" w:hAnsi="Times New Roman" w:cs="Times New Roman"/>
          <w:color w:val="242424"/>
          <w:szCs w:val="22"/>
          <w:bdr w:val="none" w:sz="0" w:space="0" w:color="auto" w:frame="1"/>
          <w:lang w:val="fr-FR"/>
        </w:rPr>
        <w:t>tej</w:t>
      </w:r>
      <w:proofErr w:type="spellEnd"/>
      <w:r w:rsidR="00FF7F54">
        <w:rPr>
          <w:rFonts w:ascii="Times New Roman" w:hAnsi="Times New Roman" w:cs="Times New Roman"/>
          <w:color w:val="242424"/>
          <w:szCs w:val="22"/>
          <w:bdr w:val="none" w:sz="0" w:space="0" w:color="auto" w:frame="1"/>
          <w:lang w:val="fr-FR"/>
        </w:rPr>
        <w:t>.</w:t>
      </w:r>
    </w:p>
    <w:p w14:paraId="37CAA7C6" w14:textId="4CD08C4A" w:rsidR="005175AC" w:rsidRDefault="005175AC" w:rsidP="005175AC">
      <w:pPr>
        <w:rPr>
          <w:rFonts w:ascii="Times New Roman" w:hAnsi="Times New Roman" w:cs="Times New Roman"/>
          <w:color w:val="242424"/>
          <w:szCs w:val="22"/>
          <w:bdr w:val="none" w:sz="0" w:space="0" w:color="auto" w:frame="1"/>
          <w:lang w:val="fr-FR"/>
        </w:rPr>
      </w:pPr>
      <w:proofErr w:type="spellStart"/>
      <w:r w:rsidRPr="00817921">
        <w:rPr>
          <w:rFonts w:ascii="Times New Roman" w:hAnsi="Times New Roman" w:cs="Times New Roman"/>
          <w:color w:val="242424"/>
          <w:szCs w:val="22"/>
          <w:bdr w:val="none" w:sz="0" w:space="0" w:color="auto" w:frame="1"/>
          <w:lang w:val="fr-FR"/>
        </w:rPr>
        <w:t>Gjithashtu</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vazhdën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përpjekjeve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diversifikuar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gamën</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shërbimeve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përkujdesit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shoqëror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personat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tre modele të reja </w:t>
      </w:r>
      <w:proofErr w:type="spellStart"/>
      <w:r w:rsidRPr="00817921">
        <w:rPr>
          <w:rFonts w:ascii="Times New Roman" w:hAnsi="Times New Roman" w:cs="Times New Roman"/>
          <w:color w:val="242424"/>
          <w:szCs w:val="22"/>
          <w:bdr w:val="none" w:sz="0" w:space="0" w:color="auto" w:frame="1"/>
          <w:lang w:val="fr-FR"/>
        </w:rPr>
        <w:t>shërbimesh</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iu</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shtuan</w:t>
      </w:r>
      <w:proofErr w:type="spellEnd"/>
      <w:r w:rsidRPr="00817921">
        <w:rPr>
          <w:rFonts w:ascii="Times New Roman" w:hAnsi="Times New Roman" w:cs="Times New Roman"/>
          <w:color w:val="242424"/>
          <w:szCs w:val="22"/>
          <w:bdr w:val="none" w:sz="0" w:space="0" w:color="auto" w:frame="1"/>
          <w:lang w:val="fr-FR"/>
        </w:rPr>
        <w:t xml:space="preserve"> Fondit Social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vitin</w:t>
      </w:r>
      <w:proofErr w:type="spellEnd"/>
      <w:r w:rsidRPr="00817921">
        <w:rPr>
          <w:rFonts w:ascii="Times New Roman" w:hAnsi="Times New Roman" w:cs="Times New Roman"/>
          <w:color w:val="242424"/>
          <w:szCs w:val="22"/>
          <w:bdr w:val="none" w:sz="0" w:space="0" w:color="auto" w:frame="1"/>
          <w:lang w:val="fr-FR"/>
        </w:rPr>
        <w:t xml:space="preserve"> 2022, </w:t>
      </w:r>
      <w:proofErr w:type="spellStart"/>
      <w:r w:rsidRPr="00817921">
        <w:rPr>
          <w:rFonts w:ascii="Times New Roman" w:hAnsi="Times New Roman" w:cs="Times New Roman"/>
          <w:color w:val="242424"/>
          <w:szCs w:val="22"/>
          <w:bdr w:val="none" w:sz="0" w:space="0" w:color="auto" w:frame="1"/>
          <w:lang w:val="fr-FR"/>
        </w:rPr>
        <w:t>nga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aplikimi</w:t>
      </w:r>
      <w:proofErr w:type="spellEnd"/>
      <w:r w:rsidRPr="00817921">
        <w:rPr>
          <w:rFonts w:ascii="Times New Roman" w:hAnsi="Times New Roman" w:cs="Times New Roman"/>
          <w:color w:val="242424"/>
          <w:szCs w:val="22"/>
          <w:bdr w:val="none" w:sz="0" w:space="0" w:color="auto" w:frame="1"/>
          <w:lang w:val="fr-FR"/>
        </w:rPr>
        <w:t xml:space="preserve"> i </w:t>
      </w:r>
      <w:proofErr w:type="spellStart"/>
      <w:r w:rsidRPr="00817921">
        <w:rPr>
          <w:rFonts w:ascii="Times New Roman" w:hAnsi="Times New Roman" w:cs="Times New Roman"/>
          <w:color w:val="242424"/>
          <w:szCs w:val="22"/>
          <w:bdr w:val="none" w:sz="0" w:space="0" w:color="auto" w:frame="1"/>
          <w:lang w:val="fr-FR"/>
        </w:rPr>
        <w:t>dy</w:t>
      </w:r>
      <w:proofErr w:type="spellEnd"/>
      <w:r w:rsidRPr="00817921">
        <w:rPr>
          <w:rFonts w:ascii="Times New Roman" w:hAnsi="Times New Roman" w:cs="Times New Roman"/>
          <w:color w:val="242424"/>
          <w:szCs w:val="22"/>
          <w:bdr w:val="none" w:sz="0" w:space="0" w:color="auto" w:frame="1"/>
          <w:lang w:val="fr-FR"/>
        </w:rPr>
        <w:t xml:space="preserve"> prej të </w:t>
      </w:r>
      <w:proofErr w:type="spellStart"/>
      <w:r w:rsidRPr="00817921">
        <w:rPr>
          <w:rFonts w:ascii="Times New Roman" w:hAnsi="Times New Roman" w:cs="Times New Roman"/>
          <w:color w:val="242424"/>
          <w:szCs w:val="22"/>
          <w:bdr w:val="none" w:sz="0" w:space="0" w:color="auto" w:frame="1"/>
          <w:lang w:val="fr-FR"/>
        </w:rPr>
        <w:t>cilave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përfituesit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kryesorë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janë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personat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familjet</w:t>
      </w:r>
      <w:proofErr w:type="spellEnd"/>
      <w:r w:rsidRPr="00817921">
        <w:rPr>
          <w:rFonts w:ascii="Times New Roman" w:hAnsi="Times New Roman" w:cs="Times New Roman"/>
          <w:color w:val="242424"/>
          <w:szCs w:val="22"/>
          <w:bdr w:val="none" w:sz="0" w:space="0" w:color="auto" w:frame="1"/>
          <w:lang w:val="fr-FR"/>
        </w:rPr>
        <w:t xml:space="preserve"> e </w:t>
      </w:r>
      <w:proofErr w:type="spellStart"/>
      <w:r w:rsidRPr="00817921">
        <w:rPr>
          <w:rFonts w:ascii="Times New Roman" w:hAnsi="Times New Roman" w:cs="Times New Roman"/>
          <w:color w:val="242424"/>
          <w:szCs w:val="22"/>
          <w:bdr w:val="none" w:sz="0" w:space="0" w:color="auto" w:frame="1"/>
          <w:lang w:val="fr-FR"/>
        </w:rPr>
        <w:t>tyre</w:t>
      </w:r>
      <w:proofErr w:type="spellEnd"/>
      <w:r w:rsidRPr="00817921">
        <w:rPr>
          <w:rFonts w:ascii="Times New Roman" w:hAnsi="Times New Roman" w:cs="Times New Roman"/>
          <w:color w:val="242424"/>
          <w:szCs w:val="22"/>
          <w:bdr w:val="none" w:sz="0" w:space="0" w:color="auto" w:frame="1"/>
          <w:lang w:val="fr-FR"/>
        </w:rPr>
        <w:t xml:space="preserve">: (i) </w:t>
      </w:r>
      <w:proofErr w:type="spellStart"/>
      <w:r w:rsidRPr="00817921">
        <w:rPr>
          <w:rFonts w:ascii="Times New Roman" w:hAnsi="Times New Roman" w:cs="Times New Roman"/>
          <w:color w:val="242424"/>
          <w:szCs w:val="22"/>
          <w:bdr w:val="none" w:sz="0" w:space="0" w:color="auto" w:frame="1"/>
          <w:lang w:val="fr-FR"/>
        </w:rPr>
        <w:t>shërbimet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lëvizëse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familje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fëmijët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moshuarit</w:t>
      </w:r>
      <w:proofErr w:type="spellEnd"/>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personat</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çrregullime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psiko</w:t>
      </w:r>
      <w:proofErr w:type="spellEnd"/>
      <w:r w:rsidRPr="00817921">
        <w:rPr>
          <w:rFonts w:ascii="Times New Roman" w:hAnsi="Times New Roman" w:cs="Times New Roman"/>
          <w:color w:val="242424"/>
          <w:szCs w:val="22"/>
          <w:bdr w:val="none" w:sz="0" w:space="0" w:color="auto" w:frame="1"/>
          <w:lang w:val="fr-FR"/>
        </w:rPr>
        <w:t xml:space="preserve"> sociale; (ii) </w:t>
      </w:r>
      <w:proofErr w:type="spellStart"/>
      <w:r w:rsidRPr="00817921">
        <w:rPr>
          <w:rFonts w:ascii="Times New Roman" w:hAnsi="Times New Roman" w:cs="Times New Roman"/>
          <w:color w:val="242424"/>
          <w:szCs w:val="22"/>
          <w:bdr w:val="none" w:sz="0" w:space="0" w:color="auto" w:frame="1"/>
          <w:lang w:val="fr-FR"/>
        </w:rPr>
        <w:t>shërbimet</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multidisiplinare</w:t>
      </w:r>
      <w:proofErr w:type="spellEnd"/>
      <w:r w:rsidRPr="00817921">
        <w:rPr>
          <w:rFonts w:ascii="Times New Roman" w:hAnsi="Times New Roman" w:cs="Times New Roman"/>
          <w:color w:val="242424"/>
          <w:szCs w:val="22"/>
          <w:bdr w:val="none" w:sz="0" w:space="0" w:color="auto" w:frame="1"/>
          <w:lang w:val="fr-FR"/>
        </w:rPr>
        <w:t xml:space="preserve"> komunitare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fëmijët</w:t>
      </w:r>
      <w:proofErr w:type="spellEnd"/>
      <w:r w:rsidRPr="00817921">
        <w:rPr>
          <w:rFonts w:ascii="Times New Roman" w:hAnsi="Times New Roman" w:cs="Times New Roman"/>
          <w:color w:val="242424"/>
          <w:szCs w:val="22"/>
          <w:bdr w:val="none" w:sz="0" w:space="0" w:color="auto" w:frame="1"/>
          <w:lang w:val="fr-FR"/>
        </w:rPr>
        <w:t xml:space="preserve"> dhe </w:t>
      </w:r>
      <w:proofErr w:type="spellStart"/>
      <w:r w:rsidRPr="00817921">
        <w:rPr>
          <w:rFonts w:ascii="Times New Roman" w:hAnsi="Times New Roman" w:cs="Times New Roman"/>
          <w:color w:val="242424"/>
          <w:szCs w:val="22"/>
          <w:bdr w:val="none" w:sz="0" w:space="0" w:color="auto" w:frame="1"/>
          <w:lang w:val="fr-FR"/>
        </w:rPr>
        <w:t>familjet</w:t>
      </w:r>
      <w:proofErr w:type="spellEnd"/>
      <w:r w:rsidRPr="00817921">
        <w:rPr>
          <w:rFonts w:ascii="Times New Roman" w:hAnsi="Times New Roman" w:cs="Times New Roman"/>
          <w:color w:val="242424"/>
          <w:szCs w:val="22"/>
          <w:bdr w:val="none" w:sz="0" w:space="0" w:color="auto" w:frame="1"/>
          <w:lang w:val="fr-FR"/>
        </w:rPr>
        <w:t xml:space="preserve">. Po </w:t>
      </w:r>
      <w:proofErr w:type="spellStart"/>
      <w:r w:rsidRPr="00817921">
        <w:rPr>
          <w:rFonts w:ascii="Times New Roman" w:hAnsi="Times New Roman" w:cs="Times New Roman"/>
          <w:color w:val="242424"/>
          <w:szCs w:val="22"/>
          <w:bdr w:val="none" w:sz="0" w:space="0" w:color="auto" w:frame="1"/>
          <w:lang w:val="fr-FR"/>
        </w:rPr>
        <w:t>ashtu</w:t>
      </w:r>
      <w:proofErr w:type="spellEnd"/>
      <w:r w:rsidRPr="00817921">
        <w:rPr>
          <w:rFonts w:ascii="Times New Roman" w:hAnsi="Times New Roman" w:cs="Times New Roman"/>
          <w:color w:val="242424"/>
          <w:szCs w:val="22"/>
          <w:bdr w:val="none" w:sz="0" w:space="0" w:color="auto" w:frame="1"/>
          <w:lang w:val="fr-FR"/>
        </w:rPr>
        <w:t xml:space="preserve">, 5 </w:t>
      </w:r>
      <w:proofErr w:type="spellStart"/>
      <w:r w:rsidRPr="00817921">
        <w:rPr>
          <w:rFonts w:ascii="Times New Roman" w:hAnsi="Times New Roman" w:cs="Times New Roman"/>
          <w:color w:val="242424"/>
          <w:szCs w:val="22"/>
          <w:bdr w:val="none" w:sz="0" w:space="0" w:color="auto" w:frame="1"/>
          <w:lang w:val="fr-FR"/>
        </w:rPr>
        <w:t>ekipe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lëvizëse</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specializuara</w:t>
      </w:r>
      <w:proofErr w:type="spellEnd"/>
      <w:r w:rsidRPr="00817921">
        <w:rPr>
          <w:rFonts w:ascii="Times New Roman" w:hAnsi="Times New Roman" w:cs="Times New Roman"/>
          <w:color w:val="242424"/>
          <w:szCs w:val="22"/>
          <w:bdr w:val="none" w:sz="0" w:space="0" w:color="auto" w:frame="1"/>
          <w:lang w:val="fr-FR"/>
        </w:rPr>
        <w:t xml:space="preserve"> u </w:t>
      </w:r>
      <w:proofErr w:type="spellStart"/>
      <w:r w:rsidRPr="00817921">
        <w:rPr>
          <w:rFonts w:ascii="Times New Roman" w:hAnsi="Times New Roman" w:cs="Times New Roman"/>
          <w:color w:val="242424"/>
          <w:szCs w:val="22"/>
          <w:bdr w:val="none" w:sz="0" w:space="0" w:color="auto" w:frame="1"/>
          <w:lang w:val="fr-FR"/>
        </w:rPr>
        <w:t>krijuan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për</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herë</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parë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vend dhe </w:t>
      </w:r>
      <w:proofErr w:type="spellStart"/>
      <w:r w:rsidRPr="00817921">
        <w:rPr>
          <w:rFonts w:ascii="Times New Roman" w:hAnsi="Times New Roman" w:cs="Times New Roman"/>
          <w:color w:val="242424"/>
          <w:szCs w:val="22"/>
          <w:bdr w:val="none" w:sz="0" w:space="0" w:color="auto" w:frame="1"/>
          <w:lang w:val="fr-FR"/>
        </w:rPr>
        <w:t>iu</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ofruan</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shërbime</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rreth</w:t>
      </w:r>
      <w:proofErr w:type="spellEnd"/>
      <w:r w:rsidRPr="00817921">
        <w:rPr>
          <w:rFonts w:ascii="Times New Roman" w:hAnsi="Times New Roman" w:cs="Times New Roman"/>
          <w:color w:val="242424"/>
          <w:szCs w:val="22"/>
          <w:bdr w:val="none" w:sz="0" w:space="0" w:color="auto" w:frame="1"/>
          <w:lang w:val="fr-FR"/>
        </w:rPr>
        <w:t xml:space="preserve"> 600 </w:t>
      </w:r>
      <w:proofErr w:type="spellStart"/>
      <w:r w:rsidRPr="00817921">
        <w:rPr>
          <w:rFonts w:ascii="Times New Roman" w:hAnsi="Times New Roman" w:cs="Times New Roman"/>
          <w:color w:val="242424"/>
          <w:szCs w:val="22"/>
          <w:bdr w:val="none" w:sz="0" w:space="0" w:color="auto" w:frame="1"/>
          <w:lang w:val="fr-FR"/>
        </w:rPr>
        <w:t>personave</w:t>
      </w:r>
      <w:proofErr w:type="spellEnd"/>
      <w:r w:rsidRPr="00817921">
        <w:rPr>
          <w:rFonts w:ascii="Times New Roman" w:hAnsi="Times New Roman" w:cs="Times New Roman"/>
          <w:color w:val="242424"/>
          <w:szCs w:val="22"/>
          <w:bdr w:val="none" w:sz="0" w:space="0" w:color="auto" w:frame="1"/>
          <w:lang w:val="fr-FR"/>
        </w:rPr>
        <w:t xml:space="preserve"> me </w:t>
      </w:r>
      <w:proofErr w:type="spellStart"/>
      <w:r w:rsidRPr="00817921">
        <w:rPr>
          <w:rFonts w:ascii="Times New Roman" w:hAnsi="Times New Roman" w:cs="Times New Roman"/>
          <w:color w:val="242424"/>
          <w:szCs w:val="22"/>
          <w:bdr w:val="none" w:sz="0" w:space="0" w:color="auto" w:frame="1"/>
          <w:lang w:val="fr-FR"/>
        </w:rPr>
        <w:t>aftësi</w:t>
      </w:r>
      <w:proofErr w:type="spellEnd"/>
      <w:r w:rsidRPr="00817921">
        <w:rPr>
          <w:rFonts w:ascii="Times New Roman" w:hAnsi="Times New Roman" w:cs="Times New Roman"/>
          <w:color w:val="242424"/>
          <w:szCs w:val="22"/>
          <w:bdr w:val="none" w:sz="0" w:space="0" w:color="auto" w:frame="1"/>
          <w:lang w:val="fr-FR"/>
        </w:rPr>
        <w:t xml:space="preserve"> të </w:t>
      </w:r>
      <w:proofErr w:type="spellStart"/>
      <w:r w:rsidRPr="00817921">
        <w:rPr>
          <w:rFonts w:ascii="Times New Roman" w:hAnsi="Times New Roman" w:cs="Times New Roman"/>
          <w:color w:val="242424"/>
          <w:szCs w:val="22"/>
          <w:bdr w:val="none" w:sz="0" w:space="0" w:color="auto" w:frame="1"/>
          <w:lang w:val="fr-FR"/>
        </w:rPr>
        <w:t>kufizuara</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në</w:t>
      </w:r>
      <w:proofErr w:type="spellEnd"/>
      <w:r w:rsidRPr="00817921">
        <w:rPr>
          <w:rFonts w:ascii="Times New Roman" w:hAnsi="Times New Roman" w:cs="Times New Roman"/>
          <w:color w:val="242424"/>
          <w:szCs w:val="22"/>
          <w:bdr w:val="none" w:sz="0" w:space="0" w:color="auto" w:frame="1"/>
          <w:lang w:val="fr-FR"/>
        </w:rPr>
        <w:t xml:space="preserve"> </w:t>
      </w:r>
      <w:proofErr w:type="spellStart"/>
      <w:r w:rsidRPr="00817921">
        <w:rPr>
          <w:rFonts w:ascii="Times New Roman" w:hAnsi="Times New Roman" w:cs="Times New Roman"/>
          <w:color w:val="242424"/>
          <w:szCs w:val="22"/>
          <w:bdr w:val="none" w:sz="0" w:space="0" w:color="auto" w:frame="1"/>
          <w:lang w:val="fr-FR"/>
        </w:rPr>
        <w:t>pesë</w:t>
      </w:r>
      <w:proofErr w:type="spellEnd"/>
      <w:r w:rsidRPr="00817921">
        <w:rPr>
          <w:rFonts w:ascii="Times New Roman" w:hAnsi="Times New Roman" w:cs="Times New Roman"/>
          <w:color w:val="242424"/>
          <w:szCs w:val="22"/>
          <w:bdr w:val="none" w:sz="0" w:space="0" w:color="auto" w:frame="1"/>
          <w:lang w:val="fr-FR"/>
        </w:rPr>
        <w:t xml:space="preserve"> bashki të vendit</w:t>
      </w:r>
      <w:r w:rsidRPr="00817921">
        <w:rPr>
          <w:rFonts w:ascii="Times New Roman" w:hAnsi="Times New Roman" w:cs="Times New Roman"/>
          <w:color w:val="242424"/>
          <w:szCs w:val="22"/>
          <w:bdr w:val="none" w:sz="0" w:space="0" w:color="auto" w:frame="1"/>
          <w:vertAlign w:val="superscript"/>
          <w:lang w:val="fr-FR"/>
        </w:rPr>
        <w:footnoteReference w:id="158"/>
      </w:r>
      <w:r w:rsidRPr="00817921">
        <w:rPr>
          <w:rFonts w:ascii="Times New Roman" w:hAnsi="Times New Roman" w:cs="Times New Roman"/>
          <w:color w:val="242424"/>
          <w:szCs w:val="22"/>
          <w:bdr w:val="none" w:sz="0" w:space="0" w:color="auto" w:frame="1"/>
          <w:lang w:val="fr-FR"/>
        </w:rPr>
        <w:t xml:space="preserve">. </w:t>
      </w:r>
    </w:p>
    <w:p w14:paraId="3CA54DB0" w14:textId="7EBCB228" w:rsidR="007B3957" w:rsidRDefault="005175AC" w:rsidP="00E14B65">
      <w:pPr>
        <w:rPr>
          <w:rFonts w:ascii="Times New Roman" w:hAnsi="Times New Roman" w:cs="Times New Roman"/>
          <w:szCs w:val="22"/>
          <w:bdr w:val="none" w:sz="0" w:space="0" w:color="auto" w:frame="1"/>
          <w:lang w:val="fr-FR"/>
        </w:rPr>
      </w:pPr>
      <w:proofErr w:type="spellStart"/>
      <w:r w:rsidRPr="00817921">
        <w:rPr>
          <w:rFonts w:ascii="Times New Roman" w:hAnsi="Times New Roman" w:cs="Times New Roman"/>
          <w:b/>
          <w:bCs/>
          <w:szCs w:val="22"/>
          <w:bdr w:val="none" w:sz="0" w:space="0" w:color="auto" w:frame="1"/>
          <w:lang w:val="fr-FR"/>
        </w:rPr>
        <w:t>P</w:t>
      </w:r>
      <w:r w:rsidR="009A5A0E" w:rsidRPr="00817921">
        <w:rPr>
          <w:rFonts w:ascii="Times New Roman" w:hAnsi="Times New Roman" w:cs="Times New Roman"/>
          <w:b/>
          <w:bCs/>
          <w:szCs w:val="22"/>
          <w:bdr w:val="none" w:sz="0" w:space="0" w:color="auto" w:frame="1"/>
          <w:lang w:val="fr-FR"/>
        </w:rPr>
        <w:t>ë</w:t>
      </w:r>
      <w:r w:rsidRPr="00817921">
        <w:rPr>
          <w:rFonts w:ascii="Times New Roman" w:hAnsi="Times New Roman" w:cs="Times New Roman"/>
          <w:b/>
          <w:bCs/>
          <w:szCs w:val="22"/>
          <w:bdr w:val="none" w:sz="0" w:space="0" w:color="auto" w:frame="1"/>
          <w:lang w:val="fr-FR"/>
        </w:rPr>
        <w:t>rmir</w:t>
      </w:r>
      <w:r w:rsidR="009A5A0E" w:rsidRPr="00817921">
        <w:rPr>
          <w:rFonts w:ascii="Times New Roman" w:hAnsi="Times New Roman" w:cs="Times New Roman"/>
          <w:b/>
          <w:bCs/>
          <w:szCs w:val="22"/>
          <w:bdr w:val="none" w:sz="0" w:space="0" w:color="auto" w:frame="1"/>
          <w:lang w:val="fr-FR"/>
        </w:rPr>
        <w:t>ë</w:t>
      </w:r>
      <w:r w:rsidRPr="00817921">
        <w:rPr>
          <w:rFonts w:ascii="Times New Roman" w:hAnsi="Times New Roman" w:cs="Times New Roman"/>
          <w:b/>
          <w:bCs/>
          <w:szCs w:val="22"/>
          <w:bdr w:val="none" w:sz="0" w:space="0" w:color="auto" w:frame="1"/>
          <w:lang w:val="fr-FR"/>
        </w:rPr>
        <w:t>simi</w:t>
      </w:r>
      <w:proofErr w:type="spellEnd"/>
      <w:r w:rsidRPr="00817921">
        <w:rPr>
          <w:rFonts w:ascii="Times New Roman" w:hAnsi="Times New Roman" w:cs="Times New Roman"/>
          <w:b/>
          <w:bCs/>
          <w:szCs w:val="22"/>
          <w:bdr w:val="none" w:sz="0" w:space="0" w:color="auto" w:frame="1"/>
          <w:lang w:val="fr-FR"/>
        </w:rPr>
        <w:t xml:space="preserve"> i </w:t>
      </w:r>
      <w:proofErr w:type="spellStart"/>
      <w:r w:rsidRPr="00817921">
        <w:rPr>
          <w:rFonts w:ascii="Times New Roman" w:hAnsi="Times New Roman" w:cs="Times New Roman"/>
          <w:b/>
          <w:bCs/>
          <w:szCs w:val="22"/>
          <w:bdr w:val="none" w:sz="0" w:space="0" w:color="auto" w:frame="1"/>
          <w:lang w:val="fr-FR"/>
        </w:rPr>
        <w:t>standardeve</w:t>
      </w:r>
      <w:proofErr w:type="spellEnd"/>
      <w:r w:rsidRPr="00817921">
        <w:rPr>
          <w:rFonts w:ascii="Times New Roman" w:hAnsi="Times New Roman" w:cs="Times New Roman"/>
          <w:b/>
          <w:bCs/>
          <w:szCs w:val="22"/>
          <w:bdr w:val="none" w:sz="0" w:space="0" w:color="auto" w:frame="1"/>
          <w:lang w:val="fr-FR"/>
        </w:rPr>
        <w:t xml:space="preserve"> t</w:t>
      </w:r>
      <w:r w:rsidR="009A5A0E" w:rsidRPr="00817921">
        <w:rPr>
          <w:rFonts w:ascii="Times New Roman" w:hAnsi="Times New Roman" w:cs="Times New Roman"/>
          <w:b/>
          <w:bCs/>
          <w:szCs w:val="22"/>
          <w:bdr w:val="none" w:sz="0" w:space="0" w:color="auto" w:frame="1"/>
          <w:lang w:val="fr-FR"/>
        </w:rPr>
        <w:t>ë</w:t>
      </w:r>
      <w:r w:rsidRPr="00817921">
        <w:rPr>
          <w:rFonts w:ascii="Times New Roman" w:hAnsi="Times New Roman" w:cs="Times New Roman"/>
          <w:b/>
          <w:bCs/>
          <w:szCs w:val="22"/>
          <w:bdr w:val="none" w:sz="0" w:space="0" w:color="auto" w:frame="1"/>
          <w:lang w:val="fr-FR"/>
        </w:rPr>
        <w:t xml:space="preserve"> </w:t>
      </w:r>
      <w:proofErr w:type="spellStart"/>
      <w:r w:rsidRPr="00817921">
        <w:rPr>
          <w:rFonts w:ascii="Times New Roman" w:hAnsi="Times New Roman" w:cs="Times New Roman"/>
          <w:b/>
          <w:bCs/>
          <w:szCs w:val="22"/>
          <w:bdr w:val="none" w:sz="0" w:space="0" w:color="auto" w:frame="1"/>
          <w:lang w:val="fr-FR"/>
        </w:rPr>
        <w:t>sh</w:t>
      </w:r>
      <w:r w:rsidR="009A5A0E" w:rsidRPr="00817921">
        <w:rPr>
          <w:rFonts w:ascii="Times New Roman" w:hAnsi="Times New Roman" w:cs="Times New Roman"/>
          <w:b/>
          <w:bCs/>
          <w:szCs w:val="22"/>
          <w:bdr w:val="none" w:sz="0" w:space="0" w:color="auto" w:frame="1"/>
          <w:lang w:val="fr-FR"/>
        </w:rPr>
        <w:t>ë</w:t>
      </w:r>
      <w:r w:rsidRPr="00817921">
        <w:rPr>
          <w:rFonts w:ascii="Times New Roman" w:hAnsi="Times New Roman" w:cs="Times New Roman"/>
          <w:b/>
          <w:bCs/>
          <w:szCs w:val="22"/>
          <w:bdr w:val="none" w:sz="0" w:space="0" w:color="auto" w:frame="1"/>
          <w:lang w:val="fr-FR"/>
        </w:rPr>
        <w:t>rbimeve</w:t>
      </w:r>
      <w:proofErr w:type="spellEnd"/>
      <w:r w:rsidR="006D7E2C" w:rsidRPr="00817921">
        <w:rPr>
          <w:rFonts w:ascii="Times New Roman" w:hAnsi="Times New Roman" w:cs="Times New Roman"/>
          <w:b/>
          <w:bCs/>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Zgjerimi</w:t>
      </w:r>
      <w:proofErr w:type="spellEnd"/>
      <w:r w:rsidRPr="00817921">
        <w:rPr>
          <w:rFonts w:ascii="Times New Roman" w:hAnsi="Times New Roman" w:cs="Times New Roman"/>
          <w:szCs w:val="22"/>
          <w:bdr w:val="none" w:sz="0" w:space="0" w:color="auto" w:frame="1"/>
          <w:lang w:val="fr-FR"/>
        </w:rPr>
        <w:t xml:space="preserve"> i </w:t>
      </w:r>
      <w:proofErr w:type="spellStart"/>
      <w:r w:rsidRPr="00817921">
        <w:rPr>
          <w:rFonts w:ascii="Times New Roman" w:hAnsi="Times New Roman" w:cs="Times New Roman"/>
          <w:szCs w:val="22"/>
          <w:bdr w:val="none" w:sz="0" w:space="0" w:color="auto" w:frame="1"/>
          <w:lang w:val="fr-FR"/>
        </w:rPr>
        <w:t>reformës</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së</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shërbimeve</w:t>
      </w:r>
      <w:proofErr w:type="spellEnd"/>
      <w:r w:rsidRPr="00817921">
        <w:rPr>
          <w:rFonts w:ascii="Times New Roman" w:hAnsi="Times New Roman" w:cs="Times New Roman"/>
          <w:szCs w:val="22"/>
          <w:bdr w:val="none" w:sz="0" w:space="0" w:color="auto" w:frame="1"/>
          <w:lang w:val="fr-FR"/>
        </w:rPr>
        <w:t xml:space="preserve"> sociale, </w:t>
      </w:r>
      <w:proofErr w:type="spellStart"/>
      <w:r w:rsidRPr="00817921">
        <w:rPr>
          <w:rFonts w:ascii="Times New Roman" w:hAnsi="Times New Roman" w:cs="Times New Roman"/>
          <w:szCs w:val="22"/>
          <w:bdr w:val="none" w:sz="0" w:space="0" w:color="auto" w:frame="1"/>
          <w:lang w:val="fr-FR"/>
        </w:rPr>
        <w:t>zhvillimi</w:t>
      </w:r>
      <w:proofErr w:type="spellEnd"/>
      <w:r w:rsidRPr="00817921">
        <w:rPr>
          <w:rFonts w:ascii="Times New Roman" w:hAnsi="Times New Roman" w:cs="Times New Roman"/>
          <w:szCs w:val="22"/>
          <w:bdr w:val="none" w:sz="0" w:space="0" w:color="auto" w:frame="1"/>
          <w:lang w:val="fr-FR"/>
        </w:rPr>
        <w:t xml:space="preserve"> i </w:t>
      </w:r>
      <w:proofErr w:type="spellStart"/>
      <w:r w:rsidRPr="00817921">
        <w:rPr>
          <w:rFonts w:ascii="Times New Roman" w:hAnsi="Times New Roman" w:cs="Times New Roman"/>
          <w:szCs w:val="22"/>
          <w:bdr w:val="none" w:sz="0" w:space="0" w:color="auto" w:frame="1"/>
          <w:lang w:val="fr-FR"/>
        </w:rPr>
        <w:t>tipologjive</w:t>
      </w:r>
      <w:proofErr w:type="spellEnd"/>
      <w:r w:rsidRPr="00817921">
        <w:rPr>
          <w:rFonts w:ascii="Times New Roman" w:hAnsi="Times New Roman" w:cs="Times New Roman"/>
          <w:szCs w:val="22"/>
          <w:bdr w:val="none" w:sz="0" w:space="0" w:color="auto" w:frame="1"/>
          <w:lang w:val="fr-FR"/>
        </w:rPr>
        <w:t xml:space="preserve"> të reja dhe </w:t>
      </w:r>
      <w:proofErr w:type="spellStart"/>
      <w:r w:rsidRPr="00817921">
        <w:rPr>
          <w:rFonts w:ascii="Times New Roman" w:hAnsi="Times New Roman" w:cs="Times New Roman"/>
          <w:szCs w:val="22"/>
          <w:bdr w:val="none" w:sz="0" w:space="0" w:color="auto" w:frame="1"/>
          <w:lang w:val="fr-FR"/>
        </w:rPr>
        <w:t>zgjerimi</w:t>
      </w:r>
      <w:proofErr w:type="spellEnd"/>
      <w:r w:rsidRPr="00817921">
        <w:rPr>
          <w:rFonts w:ascii="Times New Roman" w:hAnsi="Times New Roman" w:cs="Times New Roman"/>
          <w:szCs w:val="22"/>
          <w:bdr w:val="none" w:sz="0" w:space="0" w:color="auto" w:frame="1"/>
          <w:lang w:val="fr-FR"/>
        </w:rPr>
        <w:t xml:space="preserve"> i </w:t>
      </w:r>
      <w:proofErr w:type="spellStart"/>
      <w:r w:rsidRPr="00817921">
        <w:rPr>
          <w:rFonts w:ascii="Times New Roman" w:hAnsi="Times New Roman" w:cs="Times New Roman"/>
          <w:szCs w:val="22"/>
          <w:bdr w:val="none" w:sz="0" w:space="0" w:color="auto" w:frame="1"/>
          <w:lang w:val="fr-FR"/>
        </w:rPr>
        <w:t>shtrirjes</w:t>
      </w:r>
      <w:proofErr w:type="spellEnd"/>
      <w:r w:rsidRPr="00817921">
        <w:rPr>
          <w:rFonts w:ascii="Times New Roman" w:hAnsi="Times New Roman" w:cs="Times New Roman"/>
          <w:szCs w:val="22"/>
          <w:bdr w:val="none" w:sz="0" w:space="0" w:color="auto" w:frame="1"/>
          <w:lang w:val="fr-FR"/>
        </w:rPr>
        <w:t xml:space="preserve">, </w:t>
      </w:r>
      <w:proofErr w:type="spellStart"/>
      <w:r w:rsidR="009A5A0E" w:rsidRPr="00817921">
        <w:rPr>
          <w:rFonts w:ascii="Times New Roman" w:hAnsi="Times New Roman" w:cs="Times New Roman"/>
          <w:szCs w:val="22"/>
          <w:bdr w:val="none" w:sz="0" w:space="0" w:color="auto" w:frame="1"/>
          <w:lang w:val="fr-FR"/>
        </w:rPr>
        <w:t>ë</w:t>
      </w:r>
      <w:r w:rsidRPr="00817921">
        <w:rPr>
          <w:rFonts w:ascii="Times New Roman" w:hAnsi="Times New Roman" w:cs="Times New Roman"/>
          <w:szCs w:val="22"/>
          <w:bdr w:val="none" w:sz="0" w:space="0" w:color="auto" w:frame="1"/>
          <w:lang w:val="fr-FR"/>
        </w:rPr>
        <w:t>sht</w:t>
      </w:r>
      <w:r w:rsidR="009A5A0E" w:rsidRPr="00817921">
        <w:rPr>
          <w:rFonts w:ascii="Times New Roman" w:hAnsi="Times New Roman" w:cs="Times New Roman"/>
          <w:szCs w:val="22"/>
          <w:bdr w:val="none" w:sz="0" w:space="0" w:color="auto" w:frame="1"/>
          <w:lang w:val="fr-FR"/>
        </w:rPr>
        <w:t>ë</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kryer</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paralelisht</w:t>
      </w:r>
      <w:proofErr w:type="spellEnd"/>
      <w:r w:rsidRPr="00817921">
        <w:rPr>
          <w:rFonts w:ascii="Times New Roman" w:hAnsi="Times New Roman" w:cs="Times New Roman"/>
          <w:szCs w:val="22"/>
          <w:bdr w:val="none" w:sz="0" w:space="0" w:color="auto" w:frame="1"/>
          <w:lang w:val="fr-FR"/>
        </w:rPr>
        <w:t xml:space="preserve"> me </w:t>
      </w:r>
      <w:proofErr w:type="spellStart"/>
      <w:r w:rsidRPr="00817921">
        <w:rPr>
          <w:rFonts w:ascii="Times New Roman" w:hAnsi="Times New Roman" w:cs="Times New Roman"/>
          <w:szCs w:val="22"/>
          <w:bdr w:val="none" w:sz="0" w:space="0" w:color="auto" w:frame="1"/>
          <w:lang w:val="fr-FR"/>
        </w:rPr>
        <w:t>përmirësime</w:t>
      </w:r>
      <w:proofErr w:type="spellEnd"/>
      <w:r w:rsidRPr="00817921">
        <w:rPr>
          <w:rFonts w:ascii="Times New Roman" w:hAnsi="Times New Roman" w:cs="Times New Roman"/>
          <w:szCs w:val="22"/>
          <w:bdr w:val="none" w:sz="0" w:space="0" w:color="auto" w:frame="1"/>
          <w:lang w:val="fr-FR"/>
        </w:rPr>
        <w:t xml:space="preserve"> të </w:t>
      </w:r>
      <w:proofErr w:type="spellStart"/>
      <w:r w:rsidRPr="00817921">
        <w:rPr>
          <w:rFonts w:ascii="Times New Roman" w:hAnsi="Times New Roman" w:cs="Times New Roman"/>
          <w:szCs w:val="22"/>
          <w:bdr w:val="none" w:sz="0" w:space="0" w:color="auto" w:frame="1"/>
          <w:lang w:val="fr-FR"/>
        </w:rPr>
        <w:t>standar</w:t>
      </w:r>
      <w:r w:rsidR="00FA5222" w:rsidRPr="00817921">
        <w:rPr>
          <w:rFonts w:ascii="Times New Roman" w:hAnsi="Times New Roman" w:cs="Times New Roman"/>
          <w:szCs w:val="22"/>
          <w:bdr w:val="none" w:sz="0" w:space="0" w:color="auto" w:frame="1"/>
          <w:lang w:val="fr-FR"/>
        </w:rPr>
        <w:t>d</w:t>
      </w:r>
      <w:r w:rsidRPr="00817921">
        <w:rPr>
          <w:rFonts w:ascii="Times New Roman" w:hAnsi="Times New Roman" w:cs="Times New Roman"/>
          <w:szCs w:val="22"/>
          <w:bdr w:val="none" w:sz="0" w:space="0" w:color="auto" w:frame="1"/>
          <w:lang w:val="fr-FR"/>
        </w:rPr>
        <w:t>eve</w:t>
      </w:r>
      <w:proofErr w:type="spellEnd"/>
      <w:r w:rsidRPr="00817921">
        <w:rPr>
          <w:rFonts w:ascii="Times New Roman" w:hAnsi="Times New Roman" w:cs="Times New Roman"/>
          <w:szCs w:val="22"/>
          <w:bdr w:val="none" w:sz="0" w:space="0" w:color="auto" w:frame="1"/>
          <w:lang w:val="fr-FR"/>
        </w:rPr>
        <w:t xml:space="preserve"> të </w:t>
      </w:r>
      <w:proofErr w:type="spellStart"/>
      <w:r w:rsidRPr="00817921">
        <w:rPr>
          <w:rFonts w:ascii="Times New Roman" w:hAnsi="Times New Roman" w:cs="Times New Roman"/>
          <w:szCs w:val="22"/>
          <w:bdr w:val="none" w:sz="0" w:space="0" w:color="auto" w:frame="1"/>
          <w:lang w:val="fr-FR"/>
        </w:rPr>
        <w:t>shërbimeve</w:t>
      </w:r>
      <w:proofErr w:type="spellEnd"/>
      <w:r w:rsidRPr="00817921">
        <w:rPr>
          <w:rFonts w:ascii="Times New Roman" w:hAnsi="Times New Roman" w:cs="Times New Roman"/>
          <w:szCs w:val="22"/>
          <w:bdr w:val="none" w:sz="0" w:space="0" w:color="auto" w:frame="1"/>
          <w:lang w:val="fr-FR"/>
        </w:rPr>
        <w:t xml:space="preserve"> të </w:t>
      </w:r>
      <w:proofErr w:type="spellStart"/>
      <w:r w:rsidRPr="00817921">
        <w:rPr>
          <w:rFonts w:ascii="Times New Roman" w:hAnsi="Times New Roman" w:cs="Times New Roman"/>
          <w:szCs w:val="22"/>
          <w:bdr w:val="none" w:sz="0" w:space="0" w:color="auto" w:frame="1"/>
          <w:lang w:val="fr-FR"/>
        </w:rPr>
        <w:t>kujdesit</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shoqëror</w:t>
      </w:r>
      <w:proofErr w:type="spellEnd"/>
      <w:r w:rsidR="00FA5222" w:rsidRPr="00817921">
        <w:rPr>
          <w:rFonts w:ascii="Times New Roman" w:hAnsi="Times New Roman" w:cs="Times New Roman"/>
          <w:szCs w:val="22"/>
          <w:bdr w:val="none" w:sz="0" w:space="0" w:color="auto" w:frame="1"/>
          <w:lang w:val="fr-FR"/>
        </w:rPr>
        <w:t>.</w:t>
      </w:r>
      <w:r w:rsidR="00FA5222" w:rsidRPr="00817921">
        <w:rPr>
          <w:rFonts w:ascii="Times New Roman" w:hAnsi="Times New Roman" w:cs="Times New Roman"/>
          <w:i/>
          <w:iCs/>
          <w:szCs w:val="22"/>
          <w:bdr w:val="none" w:sz="0" w:space="0" w:color="auto" w:frame="1"/>
          <w:lang w:val="fr-FR"/>
        </w:rPr>
        <w:t xml:space="preserve"> </w:t>
      </w:r>
      <w:proofErr w:type="spellStart"/>
      <w:r w:rsidR="00FA5222" w:rsidRPr="00817921">
        <w:rPr>
          <w:rFonts w:ascii="Times New Roman" w:hAnsi="Times New Roman" w:cs="Times New Roman"/>
          <w:szCs w:val="22"/>
          <w:bdr w:val="none" w:sz="0" w:space="0" w:color="auto" w:frame="1"/>
          <w:lang w:val="fr-FR"/>
        </w:rPr>
        <w:t>G</w:t>
      </w:r>
      <w:r w:rsidRPr="00817921">
        <w:rPr>
          <w:rFonts w:ascii="Times New Roman" w:hAnsi="Times New Roman" w:cs="Times New Roman"/>
          <w:szCs w:val="22"/>
          <w:bdr w:val="none" w:sz="0" w:space="0" w:color="auto" w:frame="1"/>
          <w:lang w:val="fr-FR"/>
        </w:rPr>
        <w:t>jatë</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vitit</w:t>
      </w:r>
      <w:proofErr w:type="spellEnd"/>
      <w:r w:rsidRPr="00817921">
        <w:rPr>
          <w:rFonts w:ascii="Times New Roman" w:hAnsi="Times New Roman" w:cs="Times New Roman"/>
          <w:szCs w:val="22"/>
          <w:bdr w:val="none" w:sz="0" w:space="0" w:color="auto" w:frame="1"/>
          <w:lang w:val="fr-FR"/>
        </w:rPr>
        <w:t xml:space="preserve"> 2022</w:t>
      </w:r>
      <w:r w:rsidR="00FA5222" w:rsidRPr="00817921">
        <w:rPr>
          <w:rFonts w:ascii="Times New Roman" w:hAnsi="Times New Roman" w:cs="Times New Roman"/>
          <w:szCs w:val="22"/>
          <w:bdr w:val="none" w:sz="0" w:space="0" w:color="auto" w:frame="1"/>
          <w:lang w:val="fr-FR"/>
        </w:rPr>
        <w:t xml:space="preserve">, </w:t>
      </w:r>
      <w:proofErr w:type="spellStart"/>
      <w:r w:rsidR="00FA5222" w:rsidRPr="00817921">
        <w:rPr>
          <w:rFonts w:ascii="Times New Roman" w:hAnsi="Times New Roman" w:cs="Times New Roman"/>
          <w:szCs w:val="22"/>
          <w:bdr w:val="none" w:sz="0" w:space="0" w:color="auto" w:frame="1"/>
          <w:lang w:val="fr-FR"/>
        </w:rPr>
        <w:t>nd</w:t>
      </w:r>
      <w:r w:rsidR="009A5A0E" w:rsidRPr="00817921">
        <w:rPr>
          <w:rFonts w:ascii="Times New Roman" w:hAnsi="Times New Roman" w:cs="Times New Roman"/>
          <w:szCs w:val="22"/>
          <w:bdr w:val="none" w:sz="0" w:space="0" w:color="auto" w:frame="1"/>
          <w:lang w:val="fr-FR"/>
        </w:rPr>
        <w:t>ë</w:t>
      </w:r>
      <w:r w:rsidR="00FA5222" w:rsidRPr="00817921">
        <w:rPr>
          <w:rFonts w:ascii="Times New Roman" w:hAnsi="Times New Roman" w:cs="Times New Roman"/>
          <w:szCs w:val="22"/>
          <w:bdr w:val="none" w:sz="0" w:space="0" w:color="auto" w:frame="1"/>
          <w:lang w:val="fr-FR"/>
        </w:rPr>
        <w:t>r</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katër</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standarde</w:t>
      </w:r>
      <w:proofErr w:type="spellEnd"/>
      <w:r w:rsidRPr="00817921">
        <w:rPr>
          <w:rFonts w:ascii="Times New Roman" w:hAnsi="Times New Roman" w:cs="Times New Roman"/>
          <w:szCs w:val="22"/>
          <w:bdr w:val="none" w:sz="0" w:space="0" w:color="auto" w:frame="1"/>
          <w:lang w:val="fr-FR"/>
        </w:rPr>
        <w:t xml:space="preserve"> të reja të </w:t>
      </w:r>
      <w:proofErr w:type="spellStart"/>
      <w:r w:rsidRPr="00817921">
        <w:rPr>
          <w:rFonts w:ascii="Times New Roman" w:hAnsi="Times New Roman" w:cs="Times New Roman"/>
          <w:szCs w:val="22"/>
          <w:bdr w:val="none" w:sz="0" w:space="0" w:color="auto" w:frame="1"/>
          <w:lang w:val="fr-FR"/>
        </w:rPr>
        <w:t>shërbimeve</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shoqërore</w:t>
      </w:r>
      <w:proofErr w:type="spellEnd"/>
      <w:r w:rsidRPr="00817921">
        <w:rPr>
          <w:rFonts w:ascii="Times New Roman" w:hAnsi="Times New Roman" w:cs="Times New Roman"/>
          <w:szCs w:val="22"/>
          <w:bdr w:val="none" w:sz="0" w:space="0" w:color="auto" w:frame="1"/>
          <w:lang w:val="fr-FR"/>
        </w:rPr>
        <w:t xml:space="preserve">. </w:t>
      </w:r>
      <w:proofErr w:type="spellStart"/>
      <w:r w:rsidR="00FA5222" w:rsidRPr="00817921">
        <w:rPr>
          <w:rFonts w:ascii="Times New Roman" w:hAnsi="Times New Roman" w:cs="Times New Roman"/>
          <w:szCs w:val="22"/>
          <w:bdr w:val="none" w:sz="0" w:space="0" w:color="auto" w:frame="1"/>
          <w:lang w:val="fr-FR"/>
        </w:rPr>
        <w:t>n</w:t>
      </w:r>
      <w:r w:rsidRPr="00817921">
        <w:rPr>
          <w:rFonts w:ascii="Times New Roman" w:hAnsi="Times New Roman" w:cs="Times New Roman"/>
          <w:szCs w:val="22"/>
          <w:bdr w:val="none" w:sz="0" w:space="0" w:color="auto" w:frame="1"/>
          <w:lang w:val="fr-FR"/>
        </w:rPr>
        <w:t>jëri</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ishte</w:t>
      </w:r>
      <w:proofErr w:type="spellEnd"/>
      <w:r w:rsidRPr="00817921">
        <w:rPr>
          <w:rFonts w:ascii="Times New Roman" w:hAnsi="Times New Roman" w:cs="Times New Roman"/>
          <w:szCs w:val="22"/>
          <w:bdr w:val="none" w:sz="0" w:space="0" w:color="auto" w:frame="1"/>
          <w:lang w:val="fr-FR"/>
        </w:rPr>
        <w:t xml:space="preserve"> i </w:t>
      </w:r>
      <w:proofErr w:type="spellStart"/>
      <w:r w:rsidRPr="00817921">
        <w:rPr>
          <w:rFonts w:ascii="Times New Roman" w:hAnsi="Times New Roman" w:cs="Times New Roman"/>
          <w:szCs w:val="22"/>
          <w:bdr w:val="none" w:sz="0" w:space="0" w:color="auto" w:frame="1"/>
          <w:lang w:val="fr-FR"/>
        </w:rPr>
        <w:t>fokusuar</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në</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shërbimet</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për</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personat</w:t>
      </w:r>
      <w:proofErr w:type="spellEnd"/>
      <w:r w:rsidRPr="00817921">
        <w:rPr>
          <w:rFonts w:ascii="Times New Roman" w:hAnsi="Times New Roman" w:cs="Times New Roman"/>
          <w:szCs w:val="22"/>
          <w:bdr w:val="none" w:sz="0" w:space="0" w:color="auto" w:frame="1"/>
          <w:lang w:val="fr-FR"/>
        </w:rPr>
        <w:t xml:space="preserve"> me </w:t>
      </w:r>
      <w:proofErr w:type="spellStart"/>
      <w:r w:rsidRPr="00817921">
        <w:rPr>
          <w:rFonts w:ascii="Times New Roman" w:hAnsi="Times New Roman" w:cs="Times New Roman"/>
          <w:szCs w:val="22"/>
          <w:bdr w:val="none" w:sz="0" w:space="0" w:color="auto" w:frame="1"/>
          <w:lang w:val="fr-FR"/>
        </w:rPr>
        <w:t>aftësi</w:t>
      </w:r>
      <w:proofErr w:type="spellEnd"/>
      <w:r w:rsidRPr="00817921">
        <w:rPr>
          <w:rFonts w:ascii="Times New Roman" w:hAnsi="Times New Roman" w:cs="Times New Roman"/>
          <w:szCs w:val="22"/>
          <w:bdr w:val="none" w:sz="0" w:space="0" w:color="auto" w:frame="1"/>
          <w:lang w:val="fr-FR"/>
        </w:rPr>
        <w:t xml:space="preserve"> të </w:t>
      </w:r>
      <w:proofErr w:type="spellStart"/>
      <w:r w:rsidRPr="00817921">
        <w:rPr>
          <w:rFonts w:ascii="Times New Roman" w:hAnsi="Times New Roman" w:cs="Times New Roman"/>
          <w:szCs w:val="22"/>
          <w:bdr w:val="none" w:sz="0" w:space="0" w:color="auto" w:frame="1"/>
          <w:lang w:val="fr-FR"/>
        </w:rPr>
        <w:t>kufizuara</w:t>
      </w:r>
      <w:proofErr w:type="spellEnd"/>
      <w:r w:rsidRPr="00817921">
        <w:rPr>
          <w:rFonts w:ascii="Times New Roman" w:hAnsi="Times New Roman" w:cs="Times New Roman"/>
          <w:szCs w:val="22"/>
          <w:lang w:val="pt-BR"/>
        </w:rPr>
        <w:t>, specifikisht në shërbimet e specializuara lëvizëse për fëmijët me aftësi të kufizuara</w:t>
      </w:r>
      <w:r w:rsidRPr="00817921">
        <w:rPr>
          <w:rStyle w:val="FootnoteReference"/>
          <w:rFonts w:ascii="Times New Roman" w:hAnsi="Times New Roman" w:cs="Times New Roman"/>
          <w:szCs w:val="22"/>
          <w:lang w:val="pt-BR"/>
        </w:rPr>
        <w:footnoteReference w:id="159"/>
      </w:r>
      <w:r w:rsidRPr="00817921">
        <w:rPr>
          <w:rFonts w:ascii="Times New Roman" w:hAnsi="Times New Roman" w:cs="Times New Roman"/>
          <w:szCs w:val="22"/>
          <w:lang w:val="pt-BR"/>
        </w:rPr>
        <w:t xml:space="preserve">. </w:t>
      </w:r>
      <w:r w:rsidRPr="00817921">
        <w:rPr>
          <w:rFonts w:ascii="Times New Roman" w:hAnsi="Times New Roman" w:cs="Times New Roman"/>
          <w:szCs w:val="22"/>
          <w:bdr w:val="none" w:sz="0" w:space="0" w:color="auto" w:frame="1"/>
          <w:lang w:val="fr-FR"/>
        </w:rPr>
        <w:t xml:space="preserve">MSHMS </w:t>
      </w:r>
      <w:proofErr w:type="spellStart"/>
      <w:r w:rsidRPr="00817921">
        <w:rPr>
          <w:rFonts w:ascii="Times New Roman" w:hAnsi="Times New Roman" w:cs="Times New Roman"/>
          <w:szCs w:val="22"/>
          <w:bdr w:val="none" w:sz="0" w:space="0" w:color="auto" w:frame="1"/>
          <w:lang w:val="fr-FR"/>
        </w:rPr>
        <w:t>është</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në</w:t>
      </w:r>
      <w:proofErr w:type="spellEnd"/>
      <w:r w:rsidRPr="00817921">
        <w:rPr>
          <w:rFonts w:ascii="Times New Roman" w:hAnsi="Times New Roman" w:cs="Times New Roman"/>
          <w:szCs w:val="22"/>
          <w:bdr w:val="none" w:sz="0" w:space="0" w:color="auto" w:frame="1"/>
          <w:lang w:val="fr-FR"/>
        </w:rPr>
        <w:t xml:space="preserve"> </w:t>
      </w:r>
      <w:proofErr w:type="spellStart"/>
      <w:r w:rsidR="00AB4D37">
        <w:rPr>
          <w:rFonts w:ascii="Times New Roman" w:hAnsi="Times New Roman" w:cs="Times New Roman"/>
          <w:szCs w:val="22"/>
          <w:bdr w:val="none" w:sz="0" w:space="0" w:color="auto" w:frame="1"/>
          <w:lang w:val="fr-FR"/>
        </w:rPr>
        <w:t>proçes</w:t>
      </w:r>
      <w:r w:rsidRPr="00817921">
        <w:rPr>
          <w:rFonts w:ascii="Times New Roman" w:hAnsi="Times New Roman" w:cs="Times New Roman"/>
          <w:szCs w:val="22"/>
          <w:bdr w:val="none" w:sz="0" w:space="0" w:color="auto" w:frame="1"/>
          <w:lang w:val="fr-FR"/>
        </w:rPr>
        <w:t>in</w:t>
      </w:r>
      <w:proofErr w:type="spellEnd"/>
      <w:r w:rsidRPr="00817921">
        <w:rPr>
          <w:rFonts w:ascii="Times New Roman" w:hAnsi="Times New Roman" w:cs="Times New Roman"/>
          <w:szCs w:val="22"/>
          <w:bdr w:val="none" w:sz="0" w:space="0" w:color="auto" w:frame="1"/>
          <w:lang w:val="fr-FR"/>
        </w:rPr>
        <w:t xml:space="preserve"> e </w:t>
      </w:r>
      <w:proofErr w:type="spellStart"/>
      <w:r w:rsidRPr="00817921">
        <w:rPr>
          <w:rFonts w:ascii="Times New Roman" w:hAnsi="Times New Roman" w:cs="Times New Roman"/>
          <w:szCs w:val="22"/>
          <w:bdr w:val="none" w:sz="0" w:space="0" w:color="auto" w:frame="1"/>
          <w:lang w:val="fr-FR"/>
        </w:rPr>
        <w:t>p</w:t>
      </w:r>
      <w:r w:rsidR="009A5A0E" w:rsidRPr="00817921">
        <w:rPr>
          <w:rFonts w:ascii="Times New Roman" w:hAnsi="Times New Roman" w:cs="Times New Roman"/>
          <w:szCs w:val="22"/>
          <w:bdr w:val="none" w:sz="0" w:space="0" w:color="auto" w:frame="1"/>
          <w:lang w:val="fr-FR"/>
        </w:rPr>
        <w:t>ë</w:t>
      </w:r>
      <w:r w:rsidRPr="00817921">
        <w:rPr>
          <w:rFonts w:ascii="Times New Roman" w:hAnsi="Times New Roman" w:cs="Times New Roman"/>
          <w:szCs w:val="22"/>
          <w:bdr w:val="none" w:sz="0" w:space="0" w:color="auto" w:frame="1"/>
          <w:lang w:val="fr-FR"/>
        </w:rPr>
        <w:t>rmir</w:t>
      </w:r>
      <w:r w:rsidR="009A5A0E" w:rsidRPr="00817921">
        <w:rPr>
          <w:rFonts w:ascii="Times New Roman" w:hAnsi="Times New Roman" w:cs="Times New Roman"/>
          <w:szCs w:val="22"/>
          <w:bdr w:val="none" w:sz="0" w:space="0" w:color="auto" w:frame="1"/>
          <w:lang w:val="fr-FR"/>
        </w:rPr>
        <w:t>ë</w:t>
      </w:r>
      <w:r w:rsidRPr="00817921">
        <w:rPr>
          <w:rFonts w:ascii="Times New Roman" w:hAnsi="Times New Roman" w:cs="Times New Roman"/>
          <w:szCs w:val="22"/>
          <w:bdr w:val="none" w:sz="0" w:space="0" w:color="auto" w:frame="1"/>
          <w:lang w:val="fr-FR"/>
        </w:rPr>
        <w:t>simit</w:t>
      </w:r>
      <w:proofErr w:type="spellEnd"/>
      <w:r w:rsidRPr="00817921">
        <w:rPr>
          <w:rFonts w:ascii="Times New Roman" w:hAnsi="Times New Roman" w:cs="Times New Roman"/>
          <w:szCs w:val="22"/>
          <w:bdr w:val="none" w:sz="0" w:space="0" w:color="auto" w:frame="1"/>
          <w:lang w:val="fr-FR"/>
        </w:rPr>
        <w:t xml:space="preserve"> t</w:t>
      </w:r>
      <w:r w:rsidR="009A5A0E" w:rsidRPr="00817921">
        <w:rPr>
          <w:rFonts w:ascii="Times New Roman" w:hAnsi="Times New Roman" w:cs="Times New Roman"/>
          <w:szCs w:val="22"/>
          <w:bdr w:val="none" w:sz="0" w:space="0" w:color="auto" w:frame="1"/>
          <w:lang w:val="fr-FR"/>
        </w:rPr>
        <w:t>ë</w:t>
      </w:r>
      <w:r w:rsidRPr="00817921">
        <w:rPr>
          <w:rFonts w:ascii="Times New Roman" w:hAnsi="Times New Roman" w:cs="Times New Roman"/>
          <w:szCs w:val="22"/>
          <w:bdr w:val="none" w:sz="0" w:space="0" w:color="auto" w:frame="1"/>
          <w:lang w:val="fr-FR"/>
        </w:rPr>
        <w:t xml:space="preserve"> 21 </w:t>
      </w:r>
      <w:proofErr w:type="spellStart"/>
      <w:r w:rsidRPr="00817921">
        <w:rPr>
          <w:rFonts w:ascii="Times New Roman" w:hAnsi="Times New Roman" w:cs="Times New Roman"/>
          <w:szCs w:val="22"/>
          <w:bdr w:val="none" w:sz="0" w:space="0" w:color="auto" w:frame="1"/>
          <w:lang w:val="fr-FR"/>
        </w:rPr>
        <w:t>standardeve</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ekzistuese</w:t>
      </w:r>
      <w:proofErr w:type="spellEnd"/>
      <w:r w:rsidRPr="00817921">
        <w:rPr>
          <w:rFonts w:ascii="Times New Roman" w:hAnsi="Times New Roman" w:cs="Times New Roman"/>
          <w:szCs w:val="22"/>
          <w:bdr w:val="none" w:sz="0" w:space="0" w:color="auto" w:frame="1"/>
          <w:lang w:val="fr-FR"/>
        </w:rPr>
        <w:t xml:space="preserve"> të </w:t>
      </w:r>
      <w:proofErr w:type="spellStart"/>
      <w:r w:rsidRPr="00817921">
        <w:rPr>
          <w:rFonts w:ascii="Times New Roman" w:hAnsi="Times New Roman" w:cs="Times New Roman"/>
          <w:szCs w:val="22"/>
          <w:bdr w:val="none" w:sz="0" w:space="0" w:color="auto" w:frame="1"/>
          <w:lang w:val="fr-FR"/>
        </w:rPr>
        <w:t>shërbimeve</w:t>
      </w:r>
      <w:proofErr w:type="spellEnd"/>
      <w:r w:rsidRPr="00817921">
        <w:rPr>
          <w:rFonts w:ascii="Times New Roman" w:hAnsi="Times New Roman" w:cs="Times New Roman"/>
          <w:szCs w:val="22"/>
          <w:bdr w:val="none" w:sz="0" w:space="0" w:color="auto" w:frame="1"/>
          <w:lang w:val="fr-FR"/>
        </w:rPr>
        <w:t xml:space="preserve"> të </w:t>
      </w:r>
      <w:proofErr w:type="spellStart"/>
      <w:r w:rsidRPr="00817921">
        <w:rPr>
          <w:rFonts w:ascii="Times New Roman" w:hAnsi="Times New Roman" w:cs="Times New Roman"/>
          <w:szCs w:val="22"/>
          <w:bdr w:val="none" w:sz="0" w:space="0" w:color="auto" w:frame="1"/>
          <w:lang w:val="fr-FR"/>
        </w:rPr>
        <w:t>përkujdesit</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shoqëror</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përfshirë</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edhe</w:t>
      </w:r>
      <w:proofErr w:type="spellEnd"/>
      <w:r w:rsidRPr="00817921">
        <w:rPr>
          <w:rFonts w:ascii="Times New Roman" w:hAnsi="Times New Roman" w:cs="Times New Roman"/>
          <w:szCs w:val="22"/>
          <w:bdr w:val="none" w:sz="0" w:space="0" w:color="auto" w:frame="1"/>
          <w:lang w:val="fr-FR"/>
        </w:rPr>
        <w:t xml:space="preserve"> </w:t>
      </w:r>
      <w:proofErr w:type="spellStart"/>
      <w:r w:rsidRPr="00817921">
        <w:rPr>
          <w:rFonts w:ascii="Times New Roman" w:hAnsi="Times New Roman" w:cs="Times New Roman"/>
          <w:szCs w:val="22"/>
          <w:bdr w:val="none" w:sz="0" w:space="0" w:color="auto" w:frame="1"/>
          <w:lang w:val="fr-FR"/>
        </w:rPr>
        <w:t>kostimin</w:t>
      </w:r>
      <w:proofErr w:type="spellEnd"/>
      <w:r w:rsidRPr="00817921">
        <w:rPr>
          <w:rFonts w:ascii="Times New Roman" w:hAnsi="Times New Roman" w:cs="Times New Roman"/>
          <w:szCs w:val="22"/>
          <w:bdr w:val="none" w:sz="0" w:space="0" w:color="auto" w:frame="1"/>
          <w:lang w:val="fr-FR"/>
        </w:rPr>
        <w:t xml:space="preserve">. </w:t>
      </w:r>
    </w:p>
    <w:p w14:paraId="436A9291" w14:textId="180E9EF6" w:rsidR="00D31E19" w:rsidRDefault="00D31E19" w:rsidP="00E14B65">
      <w:pPr>
        <w:rPr>
          <w:rFonts w:ascii="Times New Roman" w:hAnsi="Times New Roman" w:cs="Times New Roman"/>
          <w:b/>
          <w:bCs/>
          <w:szCs w:val="22"/>
          <w:bdr w:val="none" w:sz="0" w:space="0" w:color="auto" w:frame="1"/>
          <w:lang w:val="fr-FR"/>
        </w:rPr>
      </w:pPr>
    </w:p>
    <w:p w14:paraId="03F4FA1B" w14:textId="77777777" w:rsidR="00CA15B6" w:rsidRPr="00817921" w:rsidRDefault="00CA15B6" w:rsidP="00E14B65">
      <w:pPr>
        <w:rPr>
          <w:rFonts w:ascii="Times New Roman" w:hAnsi="Times New Roman" w:cs="Times New Roman"/>
          <w:b/>
          <w:bCs/>
          <w:szCs w:val="22"/>
          <w:bdr w:val="none" w:sz="0" w:space="0" w:color="auto" w:frame="1"/>
          <w:lang w:val="fr-FR"/>
        </w:rPr>
      </w:pPr>
    </w:p>
    <w:p w14:paraId="6BD8C90C" w14:textId="1A0EDC95" w:rsidR="0046080B" w:rsidRPr="00817921" w:rsidRDefault="00832C3A" w:rsidP="00817921">
      <w:pPr>
        <w:pStyle w:val="Heading2"/>
        <w:numPr>
          <w:ilvl w:val="1"/>
          <w:numId w:val="1"/>
        </w:numPr>
        <w:jc w:val="left"/>
        <w:rPr>
          <w:rFonts w:ascii="Times New Roman" w:hAnsi="Times New Roman" w:cs="Times New Roman"/>
          <w:sz w:val="24"/>
          <w:szCs w:val="24"/>
          <w:lang w:val="sq-AL"/>
        </w:rPr>
      </w:pPr>
      <w:bookmarkStart w:id="26" w:name="_Toc150809621"/>
      <w:bookmarkStart w:id="27" w:name="_Toc150896490"/>
      <w:r w:rsidRPr="00817921">
        <w:rPr>
          <w:rFonts w:ascii="Times New Roman" w:hAnsi="Times New Roman" w:cs="Times New Roman"/>
          <w:sz w:val="24"/>
          <w:szCs w:val="24"/>
          <w:lang w:val="sq-AL"/>
        </w:rPr>
        <w:t>Sh</w:t>
      </w:r>
      <w:r w:rsidR="00D31E19" w:rsidRPr="00817921">
        <w:rPr>
          <w:rFonts w:ascii="Times New Roman" w:hAnsi="Times New Roman" w:cs="Times New Roman"/>
          <w:bCs/>
          <w:iCs/>
          <w:lang w:val="sq-AL"/>
        </w:rPr>
        <w:t>ë</w:t>
      </w:r>
      <w:r w:rsidRPr="00817921">
        <w:rPr>
          <w:rFonts w:ascii="Times New Roman" w:hAnsi="Times New Roman" w:cs="Times New Roman"/>
          <w:sz w:val="24"/>
          <w:szCs w:val="24"/>
          <w:lang w:val="sq-AL"/>
        </w:rPr>
        <w:t>rbimet</w:t>
      </w:r>
      <w:r w:rsidR="007A3AD7" w:rsidRPr="00817921">
        <w:rPr>
          <w:rFonts w:ascii="Times New Roman" w:hAnsi="Times New Roman" w:cs="Times New Roman"/>
          <w:sz w:val="24"/>
          <w:szCs w:val="24"/>
          <w:lang w:val="sq-AL"/>
        </w:rPr>
        <w:t xml:space="preserve"> e Kujdesit</w:t>
      </w:r>
      <w:r w:rsidRPr="00817921">
        <w:rPr>
          <w:rFonts w:ascii="Times New Roman" w:hAnsi="Times New Roman" w:cs="Times New Roman"/>
          <w:sz w:val="24"/>
          <w:szCs w:val="24"/>
          <w:lang w:val="sq-AL"/>
        </w:rPr>
        <w:t xml:space="preserve"> </w:t>
      </w:r>
      <w:r w:rsidR="007A3AD7" w:rsidRPr="00817921">
        <w:rPr>
          <w:rFonts w:ascii="Times New Roman" w:hAnsi="Times New Roman" w:cs="Times New Roman"/>
          <w:sz w:val="24"/>
          <w:szCs w:val="24"/>
          <w:lang w:val="sq-AL"/>
        </w:rPr>
        <w:t>S</w:t>
      </w:r>
      <w:r w:rsidRPr="00817921">
        <w:rPr>
          <w:rFonts w:ascii="Times New Roman" w:hAnsi="Times New Roman" w:cs="Times New Roman"/>
          <w:sz w:val="24"/>
          <w:szCs w:val="24"/>
          <w:lang w:val="sq-AL"/>
        </w:rPr>
        <w:t>ocial</w:t>
      </w:r>
      <w:r w:rsidR="00DA2563">
        <w:rPr>
          <w:rFonts w:ascii="Times New Roman" w:hAnsi="Times New Roman" w:cs="Times New Roman"/>
          <w:sz w:val="24"/>
          <w:szCs w:val="24"/>
          <w:lang w:val="sq-AL"/>
        </w:rPr>
        <w:t xml:space="preserve"> drejt decentralizimit, diversifikimit dhe deinsitucionalizimit</w:t>
      </w:r>
      <w:bookmarkEnd w:id="26"/>
      <w:bookmarkEnd w:id="27"/>
    </w:p>
    <w:p w14:paraId="24E15831" w14:textId="46F94890" w:rsidR="0046080B" w:rsidRPr="00817921" w:rsidRDefault="0046080B" w:rsidP="0046080B">
      <w:pPr>
        <w:pStyle w:val="NormalWeb"/>
        <w:rPr>
          <w:b/>
          <w:iCs/>
          <w:lang w:val="sq-AL"/>
        </w:rPr>
      </w:pPr>
      <w:r w:rsidRPr="00817921">
        <w:rPr>
          <w:b/>
          <w:iCs/>
          <w:lang w:val="sq-AL"/>
        </w:rPr>
        <w:t xml:space="preserve">Mbulimi me shërbime. </w:t>
      </w:r>
      <w:r w:rsidRPr="00817921">
        <w:rPr>
          <w:iCs/>
          <w:lang w:val="sq-AL"/>
        </w:rPr>
        <w:t xml:space="preserve">Mbulimi i popullsisë me shërbime sociale </w:t>
      </w:r>
      <w:r w:rsidR="004C62C5" w:rsidRPr="00817921">
        <w:rPr>
          <w:iCs/>
          <w:lang w:val="sq-AL"/>
        </w:rPr>
        <w:t>ka p</w:t>
      </w:r>
      <w:r w:rsidR="009A5A0E" w:rsidRPr="00817921">
        <w:rPr>
          <w:iCs/>
          <w:lang w:val="sq-AL"/>
        </w:rPr>
        <w:t>ë</w:t>
      </w:r>
      <w:r w:rsidR="004C62C5" w:rsidRPr="00817921">
        <w:rPr>
          <w:iCs/>
          <w:lang w:val="sq-AL"/>
        </w:rPr>
        <w:t>suar rritje</w:t>
      </w:r>
      <w:r w:rsidR="00DA2563">
        <w:rPr>
          <w:iCs/>
          <w:lang w:val="sq-AL"/>
        </w:rPr>
        <w:t xml:space="preserve"> p</w:t>
      </w:r>
      <w:r w:rsidR="00DA2563" w:rsidRPr="002C0D3E">
        <w:rPr>
          <w:szCs w:val="22"/>
        </w:rPr>
        <w:t>ë</w:t>
      </w:r>
      <w:r w:rsidR="00DA2563">
        <w:rPr>
          <w:iCs/>
          <w:lang w:val="sq-AL"/>
        </w:rPr>
        <w:t>rgjat</w:t>
      </w:r>
      <w:r w:rsidR="00DA2563" w:rsidRPr="002C0D3E">
        <w:rPr>
          <w:szCs w:val="22"/>
        </w:rPr>
        <w:t>ë</w:t>
      </w:r>
      <w:r w:rsidR="00DA2563">
        <w:rPr>
          <w:iCs/>
          <w:lang w:val="sq-AL"/>
        </w:rPr>
        <w:t xml:space="preserve"> viteve si nga pik</w:t>
      </w:r>
      <w:r w:rsidR="00DA2563" w:rsidRPr="002C0D3E">
        <w:rPr>
          <w:szCs w:val="22"/>
        </w:rPr>
        <w:t>ë</w:t>
      </w:r>
      <w:r w:rsidR="00DA2563">
        <w:rPr>
          <w:iCs/>
          <w:lang w:val="sq-AL"/>
        </w:rPr>
        <w:t>pamja e p</w:t>
      </w:r>
      <w:r w:rsidR="00DA2563" w:rsidRPr="002C0D3E">
        <w:rPr>
          <w:szCs w:val="22"/>
        </w:rPr>
        <w:t>ë</w:t>
      </w:r>
      <w:r w:rsidR="00DA2563">
        <w:rPr>
          <w:iCs/>
          <w:lang w:val="sq-AL"/>
        </w:rPr>
        <w:t>rfituesve dhe nga pik</w:t>
      </w:r>
      <w:r w:rsidR="00DA2563" w:rsidRPr="002C0D3E">
        <w:rPr>
          <w:szCs w:val="22"/>
        </w:rPr>
        <w:t>ë</w:t>
      </w:r>
      <w:r w:rsidR="00DA2563">
        <w:rPr>
          <w:iCs/>
          <w:lang w:val="sq-AL"/>
        </w:rPr>
        <w:t xml:space="preserve">pamja gjeografike </w:t>
      </w:r>
      <w:r w:rsidR="004C62C5" w:rsidRPr="00817921">
        <w:rPr>
          <w:iCs/>
          <w:lang w:val="sq-AL"/>
        </w:rPr>
        <w:t>. N</w:t>
      </w:r>
      <w:r w:rsidRPr="00817921">
        <w:rPr>
          <w:iCs/>
          <w:lang w:val="sq-AL"/>
        </w:rPr>
        <w:t xml:space="preserve">ga 10,000 përfitues në vitin 2019 </w:t>
      </w:r>
      <w:r w:rsidR="004C62C5" w:rsidRPr="00817921">
        <w:rPr>
          <w:iCs/>
          <w:lang w:val="sq-AL"/>
        </w:rPr>
        <w:t>ose</w:t>
      </w:r>
      <w:r w:rsidRPr="00817921">
        <w:rPr>
          <w:iCs/>
          <w:lang w:val="sq-AL"/>
        </w:rPr>
        <w:t xml:space="preserve"> 0.35% e popullsisë në 42,553 përfitues në vitin 2022, </w:t>
      </w:r>
      <w:r w:rsidR="004C62C5" w:rsidRPr="00817921">
        <w:rPr>
          <w:iCs/>
          <w:lang w:val="sq-AL"/>
        </w:rPr>
        <w:t>ose</w:t>
      </w:r>
      <w:r w:rsidRPr="00817921">
        <w:rPr>
          <w:iCs/>
          <w:lang w:val="sq-AL"/>
        </w:rPr>
        <w:t xml:space="preserve"> 1.5% e popullsisë</w:t>
      </w:r>
      <w:r w:rsidR="004C62C5" w:rsidRPr="00817921">
        <w:rPr>
          <w:iCs/>
          <w:lang w:val="sq-AL"/>
        </w:rPr>
        <w:t xml:space="preserve"> (objektivi i strategjis</w:t>
      </w:r>
      <w:r w:rsidR="009A5A0E" w:rsidRPr="00817921">
        <w:rPr>
          <w:iCs/>
          <w:lang w:val="sq-AL"/>
        </w:rPr>
        <w:t>ë</w:t>
      </w:r>
      <w:r w:rsidR="004C62C5" w:rsidRPr="00817921">
        <w:rPr>
          <w:iCs/>
          <w:lang w:val="sq-AL"/>
        </w:rPr>
        <w:t xml:space="preserve"> s</w:t>
      </w:r>
      <w:r w:rsidR="009A5A0E" w:rsidRPr="00817921">
        <w:rPr>
          <w:iCs/>
          <w:lang w:val="sq-AL"/>
        </w:rPr>
        <w:t>ë</w:t>
      </w:r>
      <w:r w:rsidR="004C62C5" w:rsidRPr="00817921">
        <w:rPr>
          <w:iCs/>
          <w:lang w:val="sq-AL"/>
        </w:rPr>
        <w:t xml:space="preserve"> mbrijtjes sociale 2023 ishte nj</w:t>
      </w:r>
      <w:r w:rsidR="009A5A0E" w:rsidRPr="00817921">
        <w:rPr>
          <w:iCs/>
          <w:lang w:val="sq-AL"/>
        </w:rPr>
        <w:t>ë</w:t>
      </w:r>
      <w:r w:rsidR="004C62C5" w:rsidRPr="00817921">
        <w:rPr>
          <w:iCs/>
          <w:lang w:val="sq-AL"/>
        </w:rPr>
        <w:t xml:space="preserve"> nivel mbulimi </w:t>
      </w:r>
      <w:r w:rsidRPr="00817921">
        <w:rPr>
          <w:iCs/>
          <w:lang w:val="sq-AL"/>
        </w:rPr>
        <w:t>0.5% të popullsisë për vitin 2022</w:t>
      </w:r>
      <w:r w:rsidR="004C62C5" w:rsidRPr="00817921">
        <w:rPr>
          <w:iCs/>
          <w:lang w:val="sq-AL"/>
        </w:rPr>
        <w:t>)</w:t>
      </w:r>
      <w:r w:rsidRPr="00817921">
        <w:rPr>
          <w:iCs/>
          <w:vertAlign w:val="superscript"/>
          <w:lang w:val="sq-AL"/>
        </w:rPr>
        <w:footnoteReference w:id="160"/>
      </w:r>
      <w:r w:rsidRPr="00817921">
        <w:rPr>
          <w:iCs/>
          <w:lang w:val="sq-AL"/>
        </w:rPr>
        <w:t>. Është rritur gjithashtu numri i bashkive (25 në 2022, pra 41% e totalit) që sigurojnë shërbime sociale komunitare për të paktën 3 kategori përfituesish (PAK, fëmijë, të moshuar)</w:t>
      </w:r>
      <w:r w:rsidR="004C62C5" w:rsidRPr="00817921">
        <w:rPr>
          <w:iCs/>
          <w:lang w:val="sq-AL"/>
        </w:rPr>
        <w:t xml:space="preserve">, por </w:t>
      </w:r>
      <w:r w:rsidRPr="00817921">
        <w:rPr>
          <w:iCs/>
          <w:lang w:val="sq-AL"/>
        </w:rPr>
        <w:t>mbulimi në zonat rurale mbetet i ulët</w:t>
      </w:r>
      <w:r w:rsidR="004C62C5" w:rsidRPr="00817921">
        <w:rPr>
          <w:iCs/>
          <w:lang w:val="sq-AL"/>
        </w:rPr>
        <w:t xml:space="preserve">. </w:t>
      </w:r>
      <w:r w:rsidRPr="00817921">
        <w:rPr>
          <w:iCs/>
          <w:lang w:val="sq-AL"/>
        </w:rPr>
        <w:t>Shërbimet lëvizëse për të mbështetur zonat periferike e rurale</w:t>
      </w:r>
      <w:r w:rsidR="00DA2563">
        <w:rPr>
          <w:iCs/>
          <w:lang w:val="sq-AL"/>
        </w:rPr>
        <w:t>, sh</w:t>
      </w:r>
      <w:proofErr w:type="spellStart"/>
      <w:r w:rsidR="00DA2563" w:rsidRPr="002C0D3E">
        <w:rPr>
          <w:szCs w:val="22"/>
        </w:rPr>
        <w:t>ë</w:t>
      </w:r>
      <w:r w:rsidR="00DA2563">
        <w:rPr>
          <w:szCs w:val="22"/>
        </w:rPr>
        <w:t>rbimet</w:t>
      </w:r>
      <w:proofErr w:type="spellEnd"/>
      <w:r w:rsidR="00DA2563">
        <w:rPr>
          <w:szCs w:val="22"/>
        </w:rPr>
        <w:t xml:space="preserve"> </w:t>
      </w:r>
      <w:proofErr w:type="spellStart"/>
      <w:r w:rsidR="00DA2563">
        <w:rPr>
          <w:szCs w:val="22"/>
        </w:rPr>
        <w:t>n</w:t>
      </w:r>
      <w:r w:rsidR="00A71248">
        <w:rPr>
          <w:szCs w:val="22"/>
        </w:rPr>
        <w:t>ë</w:t>
      </w:r>
      <w:proofErr w:type="spellEnd"/>
      <w:r w:rsidR="00DA2563">
        <w:rPr>
          <w:szCs w:val="22"/>
        </w:rPr>
        <w:t xml:space="preserve"> familje</w:t>
      </w:r>
      <w:r w:rsidRPr="00817921">
        <w:rPr>
          <w:iCs/>
          <w:lang w:val="sq-AL"/>
        </w:rPr>
        <w:t xml:space="preserve"> janë ende të </w:t>
      </w:r>
      <w:r w:rsidR="00DA2563">
        <w:rPr>
          <w:iCs/>
          <w:lang w:val="sq-AL"/>
        </w:rPr>
        <w:t>pa</w:t>
      </w:r>
      <w:r w:rsidR="00DA2563" w:rsidRPr="00817921">
        <w:rPr>
          <w:iCs/>
          <w:lang w:val="sq-AL"/>
        </w:rPr>
        <w:t>zhvilluara</w:t>
      </w:r>
      <w:r w:rsidR="00DA2563">
        <w:rPr>
          <w:iCs/>
          <w:lang w:val="sq-AL"/>
        </w:rPr>
        <w:t xml:space="preserve"> dhe t</w:t>
      </w:r>
      <w:r w:rsidR="00DA2563" w:rsidRPr="002C0D3E">
        <w:rPr>
          <w:szCs w:val="22"/>
        </w:rPr>
        <w:t>ë</w:t>
      </w:r>
      <w:r w:rsidR="00DA2563">
        <w:rPr>
          <w:iCs/>
          <w:lang w:val="sq-AL"/>
        </w:rPr>
        <w:t xml:space="preserve"> pamjaftueshme. </w:t>
      </w:r>
    </w:p>
    <w:p w14:paraId="468BC09D" w14:textId="36AD5664" w:rsidR="0046080B" w:rsidRPr="00817921" w:rsidRDefault="0046080B" w:rsidP="0046080B">
      <w:pPr>
        <w:pStyle w:val="NormalWeb"/>
        <w:rPr>
          <w:iCs/>
          <w:lang w:val="sq-AL"/>
        </w:rPr>
      </w:pPr>
      <w:r w:rsidRPr="00817921">
        <w:rPr>
          <w:b/>
          <w:iCs/>
          <w:lang w:val="sq-AL"/>
        </w:rPr>
        <w:t>Hartëzimi i shërbimeve.</w:t>
      </w:r>
      <w:r w:rsidRPr="00817921">
        <w:rPr>
          <w:iCs/>
          <w:lang w:val="sq-AL"/>
        </w:rPr>
        <w:t xml:space="preserve"> Sipas një vlerësimi të vitit 2021</w:t>
      </w:r>
      <w:r w:rsidRPr="00817921">
        <w:rPr>
          <w:iCs/>
          <w:vertAlign w:val="superscript"/>
          <w:lang w:val="sq-AL"/>
        </w:rPr>
        <w:footnoteReference w:id="161"/>
      </w:r>
      <w:r w:rsidRPr="00817921">
        <w:rPr>
          <w:iCs/>
          <w:lang w:val="sq-AL"/>
        </w:rPr>
        <w:t xml:space="preserve">, në Shqipëri ofrohen 493 shërbime sociale nga 339 institucione: (a) 46% e shërbimeve nga institucione publike; (b) 42% nga institucione jopublike; dhe (c) vetëm 12% nga institucione të formës së përzier (publike dhe jopublike). Nga totali i shërbimeve të ofruara në bazë vendi, sipas tipologjisë, hartëzimi provoi se: (a) 21% janë shërbime komunitare; (b) 17% shërbime parashoqërore; (c) 14% shërbime të emergjencës; (d) 14% shërbime rezidenciale; (e) 11% shërbime në familje; (f) më pak se 10% shërbime të kujdesit alternativ; (g) më pak se 10% shërbime të këshillimit online; dhe (h) më pak së 10% shërbime të specializuara. Sipas përfituesve, shërbimet sociale mbështesin kryesisht familjet në nevojë (rreth 20% e totalit) dhe fëmijët me AK (17% e totalit). </w:t>
      </w:r>
    </w:p>
    <w:p w14:paraId="7A6918EE" w14:textId="646197A6" w:rsidR="0046080B" w:rsidRDefault="008C453D" w:rsidP="0046080B">
      <w:pPr>
        <w:pStyle w:val="NormalWeb"/>
        <w:rPr>
          <w:iCs/>
          <w:lang w:val="sq-AL"/>
        </w:rPr>
      </w:pPr>
      <w:r w:rsidRPr="00817921">
        <w:rPr>
          <w:iCs/>
          <w:lang w:val="sq-AL"/>
        </w:rPr>
        <w:t>Hartëzimi i vitit 202</w:t>
      </w:r>
      <w:r w:rsidR="00DA2563">
        <w:rPr>
          <w:iCs/>
          <w:lang w:val="sq-AL"/>
        </w:rPr>
        <w:t>3</w:t>
      </w:r>
      <w:r w:rsidRPr="00817921">
        <w:rPr>
          <w:iCs/>
          <w:lang w:val="sq-AL"/>
        </w:rPr>
        <w:t xml:space="preserve"> evidenton</w:t>
      </w:r>
      <w:r w:rsidR="00DA2563">
        <w:rPr>
          <w:iCs/>
          <w:lang w:val="sq-AL"/>
        </w:rPr>
        <w:t xml:space="preserve"> se pavar</w:t>
      </w:r>
      <w:r w:rsidR="00DA2563" w:rsidRPr="002C0D3E">
        <w:rPr>
          <w:szCs w:val="22"/>
        </w:rPr>
        <w:t>ë</w:t>
      </w:r>
      <w:r w:rsidR="00DA2563">
        <w:rPr>
          <w:iCs/>
          <w:lang w:val="sq-AL"/>
        </w:rPr>
        <w:t>sisht p</w:t>
      </w:r>
      <w:r w:rsidR="00DA2563" w:rsidRPr="002C0D3E">
        <w:rPr>
          <w:szCs w:val="22"/>
        </w:rPr>
        <w:t>ë</w:t>
      </w:r>
      <w:r w:rsidR="00DA2563">
        <w:rPr>
          <w:iCs/>
          <w:lang w:val="sq-AL"/>
        </w:rPr>
        <w:t>rmir</w:t>
      </w:r>
      <w:r w:rsidR="00DA2563" w:rsidRPr="002C0D3E">
        <w:rPr>
          <w:szCs w:val="22"/>
        </w:rPr>
        <w:t>ë</w:t>
      </w:r>
      <w:r w:rsidR="00DA2563">
        <w:rPr>
          <w:iCs/>
          <w:lang w:val="sq-AL"/>
        </w:rPr>
        <w:t>simeve</w:t>
      </w:r>
      <w:r w:rsidRPr="00817921">
        <w:rPr>
          <w:iCs/>
          <w:lang w:val="sq-AL"/>
        </w:rPr>
        <w:t xml:space="preserve"> një mbulim dhe akses të pabarabartë të shërbimeve të kujdesit shoqëror, bazuar në numrat dhe kategoritë e shërbimeve dhe përfituesve, që ndryshojnë ndjeshëm në të gjithë vendin. K</w:t>
      </w:r>
      <w:r w:rsidR="009A5A0E" w:rsidRPr="00817921">
        <w:rPr>
          <w:iCs/>
          <w:lang w:val="sq-AL"/>
        </w:rPr>
        <w:t>ë</w:t>
      </w:r>
      <w:r w:rsidRPr="00817921">
        <w:rPr>
          <w:iCs/>
          <w:lang w:val="sq-AL"/>
        </w:rPr>
        <w:t>shtu</w:t>
      </w:r>
      <w:r w:rsidR="0046080B" w:rsidRPr="00817921">
        <w:rPr>
          <w:iCs/>
          <w:lang w:val="sq-AL"/>
        </w:rPr>
        <w:t xml:space="preserve">, </w:t>
      </w:r>
      <w:r w:rsidR="004C62C5" w:rsidRPr="00817921">
        <w:rPr>
          <w:iCs/>
          <w:lang w:val="sq-AL"/>
        </w:rPr>
        <w:t>rreth 60% e bashkive ofronin deri në 3 tipologji shërbimesh, dmth më pak se 40% të tipologjive të përcaktuara në ligj. Nd</w:t>
      </w:r>
      <w:r w:rsidR="009A5A0E" w:rsidRPr="00817921">
        <w:rPr>
          <w:iCs/>
          <w:lang w:val="sq-AL"/>
        </w:rPr>
        <w:t>ë</w:t>
      </w:r>
      <w:r w:rsidR="004C62C5" w:rsidRPr="00817921">
        <w:rPr>
          <w:iCs/>
          <w:lang w:val="sq-AL"/>
        </w:rPr>
        <w:t>rkoh</w:t>
      </w:r>
      <w:r w:rsidR="009A5A0E" w:rsidRPr="00817921">
        <w:rPr>
          <w:iCs/>
          <w:lang w:val="sq-AL"/>
        </w:rPr>
        <w:t>ë</w:t>
      </w:r>
      <w:r w:rsidR="004C62C5" w:rsidRPr="00817921">
        <w:rPr>
          <w:iCs/>
          <w:lang w:val="sq-AL"/>
        </w:rPr>
        <w:t xml:space="preserve">, 5 bashki </w:t>
      </w:r>
      <w:r w:rsidR="0046080B" w:rsidRPr="00817921">
        <w:rPr>
          <w:iCs/>
          <w:lang w:val="sq-AL"/>
        </w:rPr>
        <w:t xml:space="preserve">nuk </w:t>
      </w:r>
      <w:r w:rsidR="004C62C5" w:rsidRPr="00817921">
        <w:rPr>
          <w:iCs/>
          <w:lang w:val="sq-AL"/>
        </w:rPr>
        <w:t>ofronin</w:t>
      </w:r>
      <w:r w:rsidR="0046080B" w:rsidRPr="00817921">
        <w:rPr>
          <w:iCs/>
          <w:lang w:val="sq-AL"/>
        </w:rPr>
        <w:t xml:space="preserve"> asnjë shërbim; gjysma e bashkive (31) </w:t>
      </w:r>
      <w:r w:rsidR="004C62C5" w:rsidRPr="00817921">
        <w:rPr>
          <w:iCs/>
          <w:lang w:val="sq-AL"/>
        </w:rPr>
        <w:t>ofronin</w:t>
      </w:r>
      <w:r w:rsidR="0046080B" w:rsidRPr="00817921">
        <w:rPr>
          <w:iCs/>
          <w:lang w:val="sq-AL"/>
        </w:rPr>
        <w:t xml:space="preserve"> shërbime për 2-4 grupe në nevojë; dhe vetëm 3 bashki </w:t>
      </w:r>
      <w:r w:rsidR="004C62C5" w:rsidRPr="00817921">
        <w:rPr>
          <w:iCs/>
          <w:lang w:val="sq-AL"/>
        </w:rPr>
        <w:t>ofronin</w:t>
      </w:r>
      <w:r w:rsidR="0046080B" w:rsidRPr="00817921">
        <w:rPr>
          <w:iCs/>
          <w:lang w:val="sq-AL"/>
        </w:rPr>
        <w:t xml:space="preserve"> shërbime për 10-11 grupe në nevojë. </w:t>
      </w:r>
      <w:r w:rsidRPr="00817921">
        <w:rPr>
          <w:iCs/>
          <w:lang w:val="sq-AL"/>
        </w:rPr>
        <w:t xml:space="preserve">Ka një variacion të lartë të përfituesve sipas qarqeve, pasi në vetëm 3 qarqe gjenden rreth 75% e totalit të përfituesve në rang vendi, nga të cilët gjysma (35%) vetëm në Tiranë. Në total, 63% e përfituesve marrin shërbime parashoqërore dhe vetëm 9% shërbim në familje. Më shumë se gjysma e tyre (53%) marrin shërbime sociale nga institucionet publike; 27% nga institucione jopublike dhe pjesa tjetër (20%) nga institucione të formës së përzier. </w:t>
      </w:r>
      <w:r w:rsidR="004C62C5" w:rsidRPr="00817921">
        <w:rPr>
          <w:iCs/>
          <w:lang w:val="sq-AL"/>
        </w:rPr>
        <w:t>Në qarkun e Tiranës ofrohet numri më i madh i shërbimeve, duke qenë i vetmi qark që ofron të gjitha tipologjitë e tyre (bashkia Tiranë), për të gjith</w:t>
      </w:r>
      <w:r w:rsidR="009A5A0E" w:rsidRPr="00817921">
        <w:rPr>
          <w:iCs/>
          <w:lang w:val="sq-AL"/>
        </w:rPr>
        <w:t>ë</w:t>
      </w:r>
      <w:r w:rsidR="004C62C5" w:rsidRPr="00817921">
        <w:rPr>
          <w:iCs/>
          <w:lang w:val="sq-AL"/>
        </w:rPr>
        <w:t xml:space="preserve"> kategorit</w:t>
      </w:r>
      <w:r w:rsidR="009A5A0E" w:rsidRPr="00817921">
        <w:rPr>
          <w:iCs/>
          <w:lang w:val="sq-AL"/>
        </w:rPr>
        <w:t>ë</w:t>
      </w:r>
      <w:r w:rsidR="004C62C5" w:rsidRPr="00817921">
        <w:rPr>
          <w:iCs/>
          <w:lang w:val="sq-AL"/>
        </w:rPr>
        <w:t xml:space="preserve"> e përfituesve.</w:t>
      </w:r>
      <w:r w:rsidRPr="00817921">
        <w:rPr>
          <w:iCs/>
          <w:lang w:val="sq-AL"/>
        </w:rPr>
        <w:t xml:space="preserve"> </w:t>
      </w:r>
    </w:p>
    <w:p w14:paraId="34E37C29" w14:textId="3228E4E5" w:rsidR="008114A3" w:rsidRPr="00DD2638" w:rsidRDefault="008114A3" w:rsidP="008114A3">
      <w:pPr>
        <w:tabs>
          <w:tab w:val="left" w:pos="1680"/>
        </w:tabs>
        <w:spacing w:after="0"/>
        <w:rPr>
          <w:rFonts w:ascii="Times New Roman" w:hAnsi="Times New Roman"/>
          <w:szCs w:val="22"/>
          <w:lang w:val="pt-BR"/>
        </w:rPr>
      </w:pPr>
      <w:r w:rsidRPr="00DD2638">
        <w:rPr>
          <w:rFonts w:ascii="Times New Roman" w:hAnsi="Times New Roman"/>
          <w:szCs w:val="22"/>
          <w:lang w:val="pt-BR"/>
        </w:rPr>
        <w:t xml:space="preserve">Një hap shumë pozitiv ka qënë ngritja e shërbimeve të integruara socio-shëndetësore në 50 qendra shëndetësore të shtrira në gjithë territorin. 19 nga këto qendra janë të klasifikuara në kategorinë e qendrave socio-shëndetësore, ndërsa të tjerat 24/7 janë qendra që kanë në strukturën e tyre punonjës socialë dhe/ose psikologë për ofrimin e shërbimit social krahas shërbimit shëndetësor. </w:t>
      </w:r>
    </w:p>
    <w:p w14:paraId="5F214FB6" w14:textId="77777777" w:rsidR="008114A3" w:rsidRPr="00DD2638" w:rsidRDefault="008114A3" w:rsidP="008114A3">
      <w:pPr>
        <w:tabs>
          <w:tab w:val="left" w:pos="1680"/>
        </w:tabs>
        <w:spacing w:after="0"/>
        <w:rPr>
          <w:rFonts w:ascii="Times New Roman" w:hAnsi="Times New Roman" w:cs="Times New Roman"/>
          <w:b/>
          <w:iCs/>
          <w:szCs w:val="22"/>
          <w:lang w:val="pt-BR"/>
        </w:rPr>
      </w:pPr>
    </w:p>
    <w:p w14:paraId="438A1CAD" w14:textId="19E78250" w:rsidR="0046080B" w:rsidRPr="00DD2638" w:rsidRDefault="0046080B" w:rsidP="00817921">
      <w:pPr>
        <w:tabs>
          <w:tab w:val="left" w:pos="1680"/>
        </w:tabs>
        <w:spacing w:after="0"/>
        <w:rPr>
          <w:rFonts w:ascii="Times New Roman" w:hAnsi="Times New Roman"/>
          <w:szCs w:val="22"/>
          <w:lang w:val="pt-BR"/>
        </w:rPr>
      </w:pPr>
      <w:r w:rsidRPr="00DD2638">
        <w:rPr>
          <w:rFonts w:ascii="Times New Roman" w:hAnsi="Times New Roman" w:cs="Times New Roman"/>
          <w:b/>
          <w:iCs/>
          <w:szCs w:val="22"/>
          <w:lang w:val="pt-BR"/>
        </w:rPr>
        <w:t>Standardet</w:t>
      </w:r>
      <w:r w:rsidR="008114A3" w:rsidRPr="00DD2638">
        <w:rPr>
          <w:rFonts w:ascii="Times New Roman" w:hAnsi="Times New Roman" w:cs="Times New Roman"/>
          <w:b/>
          <w:iCs/>
          <w:szCs w:val="22"/>
          <w:lang w:val="pt-BR"/>
        </w:rPr>
        <w:t xml:space="preserve"> e sh</w:t>
      </w:r>
      <w:r w:rsidR="008114A3" w:rsidRPr="00DD2638">
        <w:rPr>
          <w:rFonts w:ascii="Times New Roman" w:hAnsi="Times New Roman" w:cs="Times New Roman"/>
          <w:b/>
          <w:bCs/>
          <w:iCs/>
          <w:szCs w:val="22"/>
          <w:lang w:val="sq-AL"/>
        </w:rPr>
        <w:t>ë</w:t>
      </w:r>
      <w:r w:rsidR="008114A3" w:rsidRPr="00DD2638">
        <w:rPr>
          <w:rFonts w:ascii="Times New Roman" w:hAnsi="Times New Roman" w:cs="Times New Roman"/>
          <w:b/>
          <w:iCs/>
          <w:szCs w:val="22"/>
          <w:lang w:val="pt-BR"/>
        </w:rPr>
        <w:t>rbimeve sociale.</w:t>
      </w:r>
      <w:r w:rsidRPr="00DD2638">
        <w:rPr>
          <w:rFonts w:ascii="Times New Roman" w:hAnsi="Times New Roman" w:cs="Times New Roman"/>
          <w:b/>
          <w:iCs/>
          <w:szCs w:val="22"/>
          <w:lang w:val="pt-BR"/>
        </w:rPr>
        <w:t xml:space="preserve"> </w:t>
      </w:r>
      <w:r w:rsidR="008114A3" w:rsidRPr="00DD2638">
        <w:rPr>
          <w:rFonts w:ascii="Times New Roman" w:eastAsia="Times New Roman" w:hAnsi="Times New Roman" w:cs="Times New Roman"/>
          <w:iCs/>
          <w:szCs w:val="22"/>
          <w:lang w:val="sq-AL" w:eastAsia="en-GB"/>
        </w:rPr>
        <w:t xml:space="preserve">Ligji nr. 121/2016 “Mbi shërbimet e Kujdesit Shoqëror në Republikën e Shqipërisë” , neni 8 , përshkruan 7 kategoritë ë shërbimeve të kujdesit shoqëror të cilat kërkojnë standarte . Shërbime parashoqërore; Shërbime në qendrat komunitare; Shërbime në qendrat rezidenciale; Shërbimet në situata emergjente;Shërbimet e kujdesit alternativ për fëmijët pa kujdes prindëror; Shërbimet e specializuara; Shërbime të telefonisë /online( pa nen, por një përkufizim sipas nenit 3) të Ligjit “Për Shërbimet Shoqërore në RSH”. </w:t>
      </w:r>
      <w:r w:rsidR="00756254" w:rsidRPr="00DD2638">
        <w:rPr>
          <w:rFonts w:ascii="Times New Roman" w:hAnsi="Times New Roman" w:cs="Times New Roman"/>
          <w:iCs/>
          <w:szCs w:val="22"/>
          <w:lang w:val="sq-AL"/>
        </w:rPr>
        <w:t xml:space="preserve">Deri më tani, nuk ka pasur një vlerësim </w:t>
      </w:r>
      <w:r w:rsidR="008114A3" w:rsidRPr="00DD2638">
        <w:rPr>
          <w:rFonts w:ascii="Times New Roman" w:hAnsi="Times New Roman" w:cs="Times New Roman"/>
          <w:iCs/>
          <w:szCs w:val="22"/>
          <w:lang w:val="sq-AL"/>
        </w:rPr>
        <w:t>t</w:t>
      </w:r>
      <w:r w:rsidR="00E9006B" w:rsidRPr="00DD2638">
        <w:rPr>
          <w:rFonts w:ascii="Times New Roman" w:hAnsi="Times New Roman" w:cs="Times New Roman"/>
          <w:iCs/>
          <w:szCs w:val="22"/>
          <w:lang w:val="sq-AL"/>
        </w:rPr>
        <w:t>ë</w:t>
      </w:r>
      <w:r w:rsidR="008114A3" w:rsidRPr="00DD2638">
        <w:rPr>
          <w:rFonts w:ascii="Times New Roman" w:hAnsi="Times New Roman" w:cs="Times New Roman"/>
          <w:iCs/>
          <w:szCs w:val="22"/>
          <w:lang w:val="sq-AL"/>
        </w:rPr>
        <w:t xml:space="preserve"> plot</w:t>
      </w:r>
      <w:r w:rsidR="00E9006B" w:rsidRPr="00DD2638">
        <w:rPr>
          <w:rFonts w:ascii="Times New Roman" w:hAnsi="Times New Roman" w:cs="Times New Roman"/>
          <w:iCs/>
          <w:szCs w:val="22"/>
          <w:lang w:val="sq-AL"/>
        </w:rPr>
        <w:t>ë</w:t>
      </w:r>
      <w:r w:rsidR="008114A3" w:rsidRPr="00DD2638">
        <w:rPr>
          <w:rFonts w:ascii="Times New Roman" w:hAnsi="Times New Roman" w:cs="Times New Roman"/>
          <w:iCs/>
          <w:szCs w:val="22"/>
          <w:lang w:val="sq-AL"/>
        </w:rPr>
        <w:t xml:space="preserve"> </w:t>
      </w:r>
      <w:r w:rsidR="00756254" w:rsidRPr="00DD2638">
        <w:rPr>
          <w:rFonts w:ascii="Times New Roman" w:hAnsi="Times New Roman" w:cs="Times New Roman"/>
          <w:iCs/>
          <w:szCs w:val="22"/>
          <w:lang w:val="sq-AL"/>
        </w:rPr>
        <w:t xml:space="preserve">në 61 bashkitë e vendit se sa prej shërbimeve të ngritura kanë qenë në përputhje me standardet në fuqi. </w:t>
      </w:r>
      <w:r w:rsidRPr="00DD2638">
        <w:rPr>
          <w:rFonts w:ascii="Times New Roman" w:hAnsi="Times New Roman" w:cs="Times New Roman"/>
          <w:iCs/>
          <w:szCs w:val="22"/>
          <w:lang w:val="pt-BR"/>
        </w:rPr>
        <w:t xml:space="preserve">Gjatë vitit të fundit, ka pasur një sërë përpjekjesh nga ana e MSHMS për rishikim të akteve ligjore dhe nënligjore për përmirësimin e standardeve të shërbimeve, duke miratuar gjithashtu 4 modele të reja </w:t>
      </w:r>
      <w:r w:rsidR="00756254" w:rsidRPr="00DD2638">
        <w:rPr>
          <w:rFonts w:ascii="Times New Roman" w:hAnsi="Times New Roman" w:cs="Times New Roman"/>
          <w:iCs/>
          <w:szCs w:val="22"/>
          <w:lang w:val="pt-BR"/>
        </w:rPr>
        <w:t xml:space="preserve">standardesh </w:t>
      </w:r>
      <w:r w:rsidRPr="00DD2638">
        <w:rPr>
          <w:rFonts w:ascii="Times New Roman" w:hAnsi="Times New Roman" w:cs="Times New Roman"/>
          <w:iCs/>
          <w:szCs w:val="22"/>
          <w:lang w:val="pt-BR"/>
        </w:rPr>
        <w:t xml:space="preserve">dhe metodologji për zbatimin e tyre. </w:t>
      </w:r>
    </w:p>
    <w:p w14:paraId="1B21E298" w14:textId="1A34CB55" w:rsidR="0046080B" w:rsidRPr="00817921" w:rsidRDefault="0046080B" w:rsidP="0046080B">
      <w:pPr>
        <w:pStyle w:val="NormalWeb"/>
        <w:rPr>
          <w:iCs/>
          <w:lang w:val="sq-AL"/>
        </w:rPr>
      </w:pPr>
      <w:r w:rsidRPr="00DD2638">
        <w:rPr>
          <w:iCs/>
          <w:szCs w:val="22"/>
          <w:lang w:val="pt-BR"/>
        </w:rPr>
        <w:t xml:space="preserve">Aktualisht, </w:t>
      </w:r>
      <w:r w:rsidR="00DD2638" w:rsidRPr="00DD2638">
        <w:rPr>
          <w:iCs/>
          <w:szCs w:val="22"/>
          <w:lang w:val="pt-BR"/>
        </w:rPr>
        <w:t>po punohet</w:t>
      </w:r>
      <w:r w:rsidRPr="00DD2638">
        <w:rPr>
          <w:iCs/>
          <w:szCs w:val="22"/>
          <w:lang w:val="pt-BR"/>
        </w:rPr>
        <w:t xml:space="preserve"> për të hartuar </w:t>
      </w:r>
      <w:r w:rsidR="008114A3" w:rsidRPr="00DD2638">
        <w:rPr>
          <w:iCs/>
          <w:szCs w:val="22"/>
          <w:lang w:val="pt-BR"/>
        </w:rPr>
        <w:t>nj</w:t>
      </w:r>
      <w:r w:rsidR="00E9006B" w:rsidRPr="00DD2638">
        <w:rPr>
          <w:iCs/>
          <w:szCs w:val="22"/>
          <w:lang w:val="pt-BR"/>
        </w:rPr>
        <w:t>ë</w:t>
      </w:r>
      <w:r w:rsidR="008114A3" w:rsidRPr="00DD2638">
        <w:rPr>
          <w:iCs/>
          <w:szCs w:val="22"/>
          <w:lang w:val="pt-BR"/>
        </w:rPr>
        <w:t xml:space="preserve"> </w:t>
      </w:r>
      <w:r w:rsidRPr="00DD2638">
        <w:rPr>
          <w:iCs/>
          <w:szCs w:val="22"/>
          <w:lang w:val="pt-BR"/>
        </w:rPr>
        <w:t xml:space="preserve">metodologji të </w:t>
      </w:r>
      <w:r w:rsidRPr="00DD2638">
        <w:rPr>
          <w:iCs/>
          <w:szCs w:val="22"/>
          <w:lang w:val="sq-AL"/>
        </w:rPr>
        <w:t>përcaktimit të kostos për njësi për shërbimet e kujdesit social</w:t>
      </w:r>
      <w:r w:rsidRPr="00817921">
        <w:rPr>
          <w:iCs/>
          <w:lang w:val="sq-AL"/>
        </w:rPr>
        <w:t xml:space="preserve"> bazuar në standardet minimale strukturore dhe standardet minimale funksionale.</w:t>
      </w:r>
      <w:r w:rsidR="00756254" w:rsidRPr="00817921">
        <w:rPr>
          <w:iCs/>
          <w:lang w:val="sq-AL"/>
        </w:rPr>
        <w:t xml:space="preserve"> </w:t>
      </w:r>
      <w:r w:rsidR="00756254" w:rsidRPr="00817921">
        <w:rPr>
          <w:iCs/>
          <w:lang w:val="pt-BR"/>
        </w:rPr>
        <w:t>Vlerësohet se nevojitet: (a) vendosje e standardeve minimale për të gjithë shërbimet, bazuar në kategorizimin e tyre</w:t>
      </w:r>
      <w:r w:rsidR="00756254" w:rsidRPr="00817921">
        <w:rPr>
          <w:iCs/>
          <w:vertAlign w:val="superscript"/>
        </w:rPr>
        <w:footnoteReference w:id="162"/>
      </w:r>
      <w:r w:rsidR="00756254" w:rsidRPr="00817921">
        <w:rPr>
          <w:iCs/>
          <w:lang w:val="pt-BR"/>
        </w:rPr>
        <w:t xml:space="preserve">; (b) </w:t>
      </w:r>
      <w:r w:rsidR="00756254" w:rsidRPr="00817921">
        <w:rPr>
          <w:iCs/>
          <w:lang w:val="sq-AL"/>
        </w:rPr>
        <w:t>rishikimin nga ana e MSHMS të standardeve minimale ekzistuese për 21 shërbime të kujdesit social; dhe (c) identifikimin e standardeve të reja funksionale dhe strukturore sipas rastit dhe tipologjive t</w:t>
      </w:r>
      <w:r w:rsidR="00756254" w:rsidRPr="00817921">
        <w:rPr>
          <w:iCs/>
          <w:lang w:val="pt-BR"/>
        </w:rPr>
        <w:t>ë</w:t>
      </w:r>
      <w:r w:rsidR="00756254" w:rsidRPr="00817921">
        <w:rPr>
          <w:iCs/>
          <w:lang w:val="sq-AL"/>
        </w:rPr>
        <w:t xml:space="preserve"> sh</w:t>
      </w:r>
      <w:r w:rsidR="00756254" w:rsidRPr="00817921">
        <w:rPr>
          <w:iCs/>
          <w:lang w:val="pt-BR"/>
        </w:rPr>
        <w:t>ë</w:t>
      </w:r>
      <w:r w:rsidR="00756254" w:rsidRPr="00817921">
        <w:rPr>
          <w:iCs/>
          <w:lang w:val="sq-AL"/>
        </w:rPr>
        <w:t>rbimit</w:t>
      </w:r>
      <w:r w:rsidR="00756254" w:rsidRPr="00817921">
        <w:rPr>
          <w:iCs/>
          <w:lang w:val="pt-BR"/>
        </w:rPr>
        <w:t>, përfshirë këtu standartet e shërbimeve të integruara të kujdesit shoqëror</w:t>
      </w:r>
      <w:r w:rsidR="00756254" w:rsidRPr="00817921">
        <w:rPr>
          <w:iCs/>
          <w:vertAlign w:val="superscript"/>
          <w:lang w:val="pt-BR"/>
        </w:rPr>
        <w:footnoteReference w:id="163"/>
      </w:r>
      <w:r w:rsidR="00756254" w:rsidRPr="00817921">
        <w:rPr>
          <w:iCs/>
          <w:lang w:val="pt-BR"/>
        </w:rPr>
        <w:t>.</w:t>
      </w:r>
    </w:p>
    <w:p w14:paraId="4EAF4C9A" w14:textId="617EE66A" w:rsidR="003A776D" w:rsidRPr="00817921" w:rsidRDefault="003A776D" w:rsidP="003A776D">
      <w:pPr>
        <w:pStyle w:val="NormalWeb"/>
        <w:rPr>
          <w:iCs/>
          <w:lang w:val="pt-BR"/>
        </w:rPr>
      </w:pPr>
      <w:r w:rsidRPr="00817921">
        <w:rPr>
          <w:b/>
          <w:iCs/>
          <w:lang w:val="sq-AL"/>
        </w:rPr>
        <w:t xml:space="preserve">Planifikimi i shërbimeve sociale. </w:t>
      </w:r>
      <w:r w:rsidRPr="00817921">
        <w:rPr>
          <w:iCs/>
          <w:lang w:val="pt-BR"/>
        </w:rPr>
        <w:t xml:space="preserve">NJQV kanë krijuar eksperiencat e para për hartimin e planeve sociale lokale si baza e planifikimit vjetor të shërbimeve sociale. </w:t>
      </w:r>
      <w:r w:rsidR="00756254" w:rsidRPr="00817921">
        <w:rPr>
          <w:iCs/>
          <w:lang w:val="pt-BR"/>
        </w:rPr>
        <w:t>T</w:t>
      </w:r>
      <w:r w:rsidR="009A5A0E" w:rsidRPr="00817921">
        <w:rPr>
          <w:iCs/>
          <w:lang w:val="pt-BR"/>
        </w:rPr>
        <w:t>ë</w:t>
      </w:r>
      <w:r w:rsidR="00756254" w:rsidRPr="00817921">
        <w:rPr>
          <w:iCs/>
          <w:lang w:val="pt-BR"/>
        </w:rPr>
        <w:t xml:space="preserve"> gjith</w:t>
      </w:r>
      <w:r w:rsidR="009A5A0E" w:rsidRPr="00817921">
        <w:rPr>
          <w:iCs/>
          <w:lang w:val="pt-BR"/>
        </w:rPr>
        <w:t>ë</w:t>
      </w:r>
      <w:r w:rsidR="00756254" w:rsidRPr="00817921">
        <w:rPr>
          <w:iCs/>
          <w:lang w:val="pt-BR"/>
        </w:rPr>
        <w:t xml:space="preserve"> bashkit</w:t>
      </w:r>
      <w:r w:rsidR="009A5A0E" w:rsidRPr="00817921">
        <w:rPr>
          <w:iCs/>
          <w:lang w:val="pt-BR"/>
        </w:rPr>
        <w:t>ë</w:t>
      </w:r>
      <w:r w:rsidR="00756254" w:rsidRPr="00817921">
        <w:rPr>
          <w:iCs/>
          <w:lang w:val="pt-BR"/>
        </w:rPr>
        <w:t xml:space="preserve"> kan</w:t>
      </w:r>
      <w:r w:rsidR="009A5A0E" w:rsidRPr="00817921">
        <w:rPr>
          <w:iCs/>
          <w:lang w:val="pt-BR"/>
        </w:rPr>
        <w:t>ë</w:t>
      </w:r>
      <w:r w:rsidR="00756254" w:rsidRPr="00817921">
        <w:rPr>
          <w:iCs/>
          <w:lang w:val="pt-BR"/>
        </w:rPr>
        <w:t xml:space="preserve"> plane sociale, nd</w:t>
      </w:r>
      <w:r w:rsidR="009A5A0E" w:rsidRPr="00817921">
        <w:rPr>
          <w:iCs/>
          <w:lang w:val="pt-BR"/>
        </w:rPr>
        <w:t>ë</w:t>
      </w:r>
      <w:r w:rsidR="00756254" w:rsidRPr="00817921">
        <w:rPr>
          <w:iCs/>
          <w:lang w:val="pt-BR"/>
        </w:rPr>
        <w:t>rsa nj</w:t>
      </w:r>
      <w:r w:rsidR="009A5A0E" w:rsidRPr="00817921">
        <w:rPr>
          <w:iCs/>
          <w:lang w:val="pt-BR"/>
        </w:rPr>
        <w:t>ë</w:t>
      </w:r>
      <w:r w:rsidR="00756254" w:rsidRPr="00817921">
        <w:rPr>
          <w:iCs/>
          <w:lang w:val="pt-BR"/>
        </w:rPr>
        <w:t xml:space="preserve"> pjes</w:t>
      </w:r>
      <w:r w:rsidR="009A5A0E" w:rsidRPr="00817921">
        <w:rPr>
          <w:iCs/>
          <w:lang w:val="pt-BR"/>
        </w:rPr>
        <w:t>ë</w:t>
      </w:r>
      <w:r w:rsidR="00756254" w:rsidRPr="00817921">
        <w:rPr>
          <w:iCs/>
          <w:lang w:val="pt-BR"/>
        </w:rPr>
        <w:t xml:space="preserve"> e tyre i kan</w:t>
      </w:r>
      <w:r w:rsidR="009A5A0E" w:rsidRPr="00817921">
        <w:rPr>
          <w:iCs/>
          <w:lang w:val="pt-BR"/>
        </w:rPr>
        <w:t>ë</w:t>
      </w:r>
      <w:r w:rsidR="00756254" w:rsidRPr="00817921">
        <w:rPr>
          <w:iCs/>
          <w:lang w:val="pt-BR"/>
        </w:rPr>
        <w:t xml:space="preserve"> rihartuar ato. Pas krijimit t</w:t>
      </w:r>
      <w:r w:rsidR="009A5A0E" w:rsidRPr="00817921">
        <w:rPr>
          <w:iCs/>
          <w:lang w:val="pt-BR"/>
        </w:rPr>
        <w:t>ë</w:t>
      </w:r>
      <w:r w:rsidR="00756254" w:rsidRPr="00817921">
        <w:rPr>
          <w:iCs/>
          <w:lang w:val="pt-BR"/>
        </w:rPr>
        <w:t xml:space="preserve"> eksperienc</w:t>
      </w:r>
      <w:r w:rsidR="009A5A0E" w:rsidRPr="00817921">
        <w:rPr>
          <w:iCs/>
          <w:lang w:val="pt-BR"/>
        </w:rPr>
        <w:t>ë</w:t>
      </w:r>
      <w:r w:rsidR="00756254" w:rsidRPr="00817921">
        <w:rPr>
          <w:iCs/>
          <w:lang w:val="pt-BR"/>
        </w:rPr>
        <w:t>s s</w:t>
      </w:r>
      <w:r w:rsidR="009A5A0E" w:rsidRPr="00817921">
        <w:rPr>
          <w:iCs/>
          <w:lang w:val="pt-BR"/>
        </w:rPr>
        <w:t>ë</w:t>
      </w:r>
      <w:r w:rsidR="00756254" w:rsidRPr="00817921">
        <w:rPr>
          <w:iCs/>
          <w:lang w:val="pt-BR"/>
        </w:rPr>
        <w:t xml:space="preserve"> par</w:t>
      </w:r>
      <w:r w:rsidR="009A5A0E" w:rsidRPr="00817921">
        <w:rPr>
          <w:iCs/>
          <w:lang w:val="pt-BR"/>
        </w:rPr>
        <w:t>ë</w:t>
      </w:r>
      <w:r w:rsidR="00756254" w:rsidRPr="00817921">
        <w:rPr>
          <w:iCs/>
          <w:lang w:val="pt-BR"/>
        </w:rPr>
        <w:t>, planet e re</w:t>
      </w:r>
      <w:r w:rsidR="00D31E19">
        <w:rPr>
          <w:iCs/>
          <w:lang w:val="pt-BR"/>
        </w:rPr>
        <w:t>j</w:t>
      </w:r>
      <w:r w:rsidR="00756254" w:rsidRPr="00817921">
        <w:rPr>
          <w:iCs/>
          <w:lang w:val="pt-BR"/>
        </w:rPr>
        <w:t>a jan</w:t>
      </w:r>
      <w:r w:rsidR="009A5A0E" w:rsidRPr="00817921">
        <w:rPr>
          <w:iCs/>
          <w:lang w:val="pt-BR"/>
        </w:rPr>
        <w:t>ë</w:t>
      </w:r>
      <w:r w:rsidR="00756254" w:rsidRPr="00817921">
        <w:rPr>
          <w:iCs/>
          <w:lang w:val="pt-BR"/>
        </w:rPr>
        <w:t xml:space="preserve"> m</w:t>
      </w:r>
      <w:r w:rsidR="009A5A0E" w:rsidRPr="00817921">
        <w:rPr>
          <w:iCs/>
          <w:lang w:val="pt-BR"/>
        </w:rPr>
        <w:t>ë</w:t>
      </w:r>
      <w:r w:rsidR="00756254" w:rsidRPr="00817921">
        <w:rPr>
          <w:iCs/>
          <w:lang w:val="pt-BR"/>
        </w:rPr>
        <w:t xml:space="preserve"> cil</w:t>
      </w:r>
      <w:r w:rsidR="009A5A0E" w:rsidRPr="00817921">
        <w:rPr>
          <w:iCs/>
          <w:lang w:val="pt-BR"/>
        </w:rPr>
        <w:t>ë</w:t>
      </w:r>
      <w:r w:rsidR="00756254" w:rsidRPr="00817921">
        <w:rPr>
          <w:iCs/>
          <w:lang w:val="pt-BR"/>
        </w:rPr>
        <w:t>sore n</w:t>
      </w:r>
      <w:r w:rsidR="009A5A0E" w:rsidRPr="00817921">
        <w:rPr>
          <w:iCs/>
          <w:lang w:val="pt-BR"/>
        </w:rPr>
        <w:t>ë</w:t>
      </w:r>
      <w:r w:rsidR="00756254" w:rsidRPr="00817921">
        <w:rPr>
          <w:iCs/>
          <w:lang w:val="pt-BR"/>
        </w:rPr>
        <w:t xml:space="preserve"> planifikimin e nevojave dhe m</w:t>
      </w:r>
      <w:r w:rsidR="009A5A0E" w:rsidRPr="00817921">
        <w:rPr>
          <w:iCs/>
          <w:lang w:val="pt-BR"/>
        </w:rPr>
        <w:t>ë</w:t>
      </w:r>
      <w:r w:rsidR="00756254" w:rsidRPr="00817921">
        <w:rPr>
          <w:iCs/>
          <w:lang w:val="pt-BR"/>
        </w:rPr>
        <w:t xml:space="preserve"> realiste n</w:t>
      </w:r>
      <w:r w:rsidR="009A5A0E" w:rsidRPr="00817921">
        <w:rPr>
          <w:iCs/>
          <w:lang w:val="pt-BR"/>
        </w:rPr>
        <w:t>ë</w:t>
      </w:r>
      <w:r w:rsidR="00756254" w:rsidRPr="00817921">
        <w:rPr>
          <w:iCs/>
          <w:lang w:val="pt-BR"/>
        </w:rPr>
        <w:t xml:space="preserve"> financimin e tyre. </w:t>
      </w:r>
      <w:r w:rsidR="00D31E19">
        <w:rPr>
          <w:iCs/>
          <w:lang w:val="pt-BR"/>
        </w:rPr>
        <w:t>Megjithat</w:t>
      </w:r>
      <w:r w:rsidR="00156FFE">
        <w:rPr>
          <w:iCs/>
          <w:lang w:val="pt-BR"/>
        </w:rPr>
        <w:t>ë</w:t>
      </w:r>
      <w:r w:rsidR="00D31E19">
        <w:rPr>
          <w:iCs/>
          <w:lang w:val="pt-BR"/>
        </w:rPr>
        <w:t>, bashkit</w:t>
      </w:r>
      <w:r w:rsidR="00156FFE">
        <w:rPr>
          <w:iCs/>
          <w:lang w:val="pt-BR"/>
        </w:rPr>
        <w:t>ë</w:t>
      </w:r>
      <w:r w:rsidR="00D31E19">
        <w:rPr>
          <w:iCs/>
          <w:lang w:val="pt-BR"/>
        </w:rPr>
        <w:t xml:space="preserve"> vazhdojn</w:t>
      </w:r>
      <w:r w:rsidR="00156FFE">
        <w:rPr>
          <w:iCs/>
          <w:lang w:val="pt-BR"/>
        </w:rPr>
        <w:t>ë</w:t>
      </w:r>
      <w:r w:rsidR="00D31E19">
        <w:rPr>
          <w:iCs/>
          <w:lang w:val="pt-BR"/>
        </w:rPr>
        <w:t xml:space="preserve"> t</w:t>
      </w:r>
      <w:r w:rsidR="00156FFE">
        <w:rPr>
          <w:iCs/>
          <w:lang w:val="pt-BR"/>
        </w:rPr>
        <w:t>ë</w:t>
      </w:r>
      <w:r w:rsidR="00D31E19">
        <w:rPr>
          <w:iCs/>
          <w:lang w:val="pt-BR"/>
        </w:rPr>
        <w:t xml:space="preserve"> ken</w:t>
      </w:r>
      <w:r w:rsidR="00156FFE">
        <w:rPr>
          <w:iCs/>
          <w:lang w:val="pt-BR"/>
        </w:rPr>
        <w:t>ë</w:t>
      </w:r>
      <w:r w:rsidR="00D31E19">
        <w:rPr>
          <w:iCs/>
          <w:lang w:val="pt-BR"/>
        </w:rPr>
        <w:t xml:space="preserve"> nevoj</w:t>
      </w:r>
      <w:r w:rsidR="00156FFE">
        <w:rPr>
          <w:iCs/>
          <w:lang w:val="pt-BR"/>
        </w:rPr>
        <w:t>ë</w:t>
      </w:r>
      <w:r w:rsidR="00D31E19">
        <w:rPr>
          <w:iCs/>
          <w:lang w:val="pt-BR"/>
        </w:rPr>
        <w:t xml:space="preserve"> p</w:t>
      </w:r>
      <w:r w:rsidR="00156FFE">
        <w:rPr>
          <w:iCs/>
          <w:lang w:val="pt-BR"/>
        </w:rPr>
        <w:t>ë</w:t>
      </w:r>
      <w:r w:rsidR="00D31E19">
        <w:rPr>
          <w:iCs/>
          <w:lang w:val="pt-BR"/>
        </w:rPr>
        <w:t>r rritje kapacitetesh p</w:t>
      </w:r>
      <w:r w:rsidR="00156FFE">
        <w:rPr>
          <w:iCs/>
          <w:lang w:val="pt-BR"/>
        </w:rPr>
        <w:t>ë</w:t>
      </w:r>
      <w:r w:rsidR="00D31E19">
        <w:rPr>
          <w:iCs/>
          <w:lang w:val="pt-BR"/>
        </w:rPr>
        <w:t>r vler</w:t>
      </w:r>
      <w:r w:rsidR="00156FFE">
        <w:rPr>
          <w:iCs/>
          <w:lang w:val="pt-BR"/>
        </w:rPr>
        <w:t>ë</w:t>
      </w:r>
      <w:r w:rsidR="00D31E19">
        <w:rPr>
          <w:iCs/>
          <w:lang w:val="pt-BR"/>
        </w:rPr>
        <w:t>simin e vazhduesh</w:t>
      </w:r>
      <w:r w:rsidR="00156FFE">
        <w:rPr>
          <w:iCs/>
          <w:lang w:val="pt-BR"/>
        </w:rPr>
        <w:t>ë</w:t>
      </w:r>
      <w:r w:rsidR="00D31E19">
        <w:rPr>
          <w:iCs/>
          <w:lang w:val="pt-BR"/>
        </w:rPr>
        <w:t>m t</w:t>
      </w:r>
      <w:r w:rsidR="00156FFE">
        <w:rPr>
          <w:iCs/>
          <w:lang w:val="pt-BR"/>
        </w:rPr>
        <w:t>ë</w:t>
      </w:r>
      <w:r w:rsidR="00D31E19">
        <w:rPr>
          <w:iCs/>
          <w:lang w:val="pt-BR"/>
        </w:rPr>
        <w:t xml:space="preserve"> nevojave t</w:t>
      </w:r>
      <w:r w:rsidR="00156FFE">
        <w:rPr>
          <w:iCs/>
          <w:lang w:val="pt-BR"/>
        </w:rPr>
        <w:t>ë</w:t>
      </w:r>
      <w:r w:rsidR="00D31E19">
        <w:rPr>
          <w:iCs/>
          <w:lang w:val="pt-BR"/>
        </w:rPr>
        <w:t xml:space="preserve"> qytetar</w:t>
      </w:r>
      <w:r w:rsidR="00156FFE">
        <w:rPr>
          <w:iCs/>
          <w:lang w:val="pt-BR"/>
        </w:rPr>
        <w:t>ë</w:t>
      </w:r>
      <w:r w:rsidR="00D31E19">
        <w:rPr>
          <w:iCs/>
          <w:lang w:val="pt-BR"/>
        </w:rPr>
        <w:t>ve, t</w:t>
      </w:r>
      <w:r w:rsidR="00156FFE">
        <w:rPr>
          <w:iCs/>
          <w:lang w:val="pt-BR"/>
        </w:rPr>
        <w:t>ë</w:t>
      </w:r>
      <w:r w:rsidR="00D31E19">
        <w:rPr>
          <w:iCs/>
          <w:lang w:val="pt-BR"/>
        </w:rPr>
        <w:t xml:space="preserve"> hartojn</w:t>
      </w:r>
      <w:r w:rsidR="00156FFE">
        <w:rPr>
          <w:iCs/>
          <w:lang w:val="pt-BR"/>
        </w:rPr>
        <w:t>ë</w:t>
      </w:r>
      <w:r w:rsidR="00D31E19">
        <w:rPr>
          <w:iCs/>
          <w:lang w:val="pt-BR"/>
        </w:rPr>
        <w:t xml:space="preserve"> plane t</w:t>
      </w:r>
      <w:r w:rsidR="00156FFE">
        <w:rPr>
          <w:iCs/>
          <w:lang w:val="pt-BR"/>
        </w:rPr>
        <w:t>ë</w:t>
      </w:r>
      <w:r w:rsidR="00D31E19">
        <w:rPr>
          <w:iCs/>
          <w:lang w:val="pt-BR"/>
        </w:rPr>
        <w:t xml:space="preserve"> vazhdueshme si dhe t</w:t>
      </w:r>
      <w:r w:rsidR="00156FFE">
        <w:rPr>
          <w:iCs/>
          <w:lang w:val="pt-BR"/>
        </w:rPr>
        <w:t>ë</w:t>
      </w:r>
      <w:r w:rsidR="00D31E19">
        <w:rPr>
          <w:iCs/>
          <w:lang w:val="pt-BR"/>
        </w:rPr>
        <w:t xml:space="preserve"> krijojn</w:t>
      </w:r>
      <w:r w:rsidR="00156FFE">
        <w:rPr>
          <w:iCs/>
          <w:lang w:val="pt-BR"/>
        </w:rPr>
        <w:t>ë</w:t>
      </w:r>
      <w:r w:rsidR="00D31E19">
        <w:rPr>
          <w:iCs/>
          <w:lang w:val="pt-BR"/>
        </w:rPr>
        <w:t xml:space="preserve"> fondin social lokal p</w:t>
      </w:r>
      <w:r w:rsidR="00156FFE">
        <w:rPr>
          <w:iCs/>
          <w:lang w:val="pt-BR"/>
        </w:rPr>
        <w:t>ë</w:t>
      </w:r>
      <w:r w:rsidR="00D31E19">
        <w:rPr>
          <w:iCs/>
          <w:lang w:val="pt-BR"/>
        </w:rPr>
        <w:t>r t</w:t>
      </w:r>
      <w:r w:rsidR="00156FFE">
        <w:rPr>
          <w:iCs/>
          <w:lang w:val="pt-BR"/>
        </w:rPr>
        <w:t>ë</w:t>
      </w:r>
      <w:r w:rsidR="00D31E19">
        <w:rPr>
          <w:iCs/>
          <w:lang w:val="pt-BR"/>
        </w:rPr>
        <w:t xml:space="preserve"> garantuar financimin e tyre n</w:t>
      </w:r>
      <w:r w:rsidR="00156FFE">
        <w:rPr>
          <w:iCs/>
          <w:lang w:val="pt-BR"/>
        </w:rPr>
        <w:t>ë</w:t>
      </w:r>
      <w:r w:rsidR="00D31E19">
        <w:rPr>
          <w:iCs/>
          <w:lang w:val="pt-BR"/>
        </w:rPr>
        <w:t xml:space="preserve"> vazhdim</w:t>
      </w:r>
      <w:r w:rsidR="00156FFE">
        <w:rPr>
          <w:iCs/>
          <w:lang w:val="pt-BR"/>
        </w:rPr>
        <w:t>ë</w:t>
      </w:r>
      <w:r w:rsidR="00D31E19">
        <w:rPr>
          <w:iCs/>
          <w:lang w:val="pt-BR"/>
        </w:rPr>
        <w:t>si. Nj</w:t>
      </w:r>
      <w:r w:rsidR="00156FFE">
        <w:rPr>
          <w:iCs/>
          <w:lang w:val="pt-BR"/>
        </w:rPr>
        <w:t>ë</w:t>
      </w:r>
      <w:r w:rsidR="00D31E19">
        <w:rPr>
          <w:iCs/>
          <w:lang w:val="pt-BR"/>
        </w:rPr>
        <w:t>koh</w:t>
      </w:r>
      <w:r w:rsidR="00156FFE">
        <w:rPr>
          <w:iCs/>
          <w:lang w:val="pt-BR"/>
        </w:rPr>
        <w:t>ë</w:t>
      </w:r>
      <w:r w:rsidR="00D31E19">
        <w:rPr>
          <w:iCs/>
          <w:lang w:val="pt-BR"/>
        </w:rPr>
        <w:t>sisht, Sh</w:t>
      </w:r>
      <w:r w:rsidR="00156FFE">
        <w:rPr>
          <w:iCs/>
          <w:lang w:val="pt-BR"/>
        </w:rPr>
        <w:t>ë</w:t>
      </w:r>
      <w:r w:rsidR="00D31E19">
        <w:rPr>
          <w:iCs/>
          <w:lang w:val="pt-BR"/>
        </w:rPr>
        <w:t>rbimi Social Shtet</w:t>
      </w:r>
      <w:r w:rsidR="00156FFE">
        <w:rPr>
          <w:iCs/>
          <w:lang w:val="pt-BR"/>
        </w:rPr>
        <w:t>ë</w:t>
      </w:r>
      <w:r w:rsidR="00D31E19">
        <w:rPr>
          <w:iCs/>
          <w:lang w:val="pt-BR"/>
        </w:rPr>
        <w:t>ror ka nevoj</w:t>
      </w:r>
      <w:r w:rsidR="00156FFE">
        <w:rPr>
          <w:iCs/>
          <w:lang w:val="pt-BR"/>
        </w:rPr>
        <w:t>ë</w:t>
      </w:r>
      <w:r w:rsidR="00D31E19">
        <w:rPr>
          <w:iCs/>
          <w:lang w:val="pt-BR"/>
        </w:rPr>
        <w:t xml:space="preserve"> t</w:t>
      </w:r>
      <w:r w:rsidR="00156FFE">
        <w:rPr>
          <w:iCs/>
          <w:lang w:val="pt-BR"/>
        </w:rPr>
        <w:t>ë</w:t>
      </w:r>
      <w:r w:rsidR="00D31E19">
        <w:rPr>
          <w:iCs/>
          <w:lang w:val="pt-BR"/>
        </w:rPr>
        <w:t xml:space="preserve"> zhvilloj</w:t>
      </w:r>
      <w:r w:rsidR="00156FFE">
        <w:rPr>
          <w:iCs/>
          <w:lang w:val="pt-BR"/>
        </w:rPr>
        <w:t>ë</w:t>
      </w:r>
      <w:r w:rsidR="00D31E19">
        <w:rPr>
          <w:iCs/>
          <w:lang w:val="pt-BR"/>
        </w:rPr>
        <w:t xml:space="preserve"> m</w:t>
      </w:r>
      <w:r w:rsidR="00156FFE">
        <w:rPr>
          <w:iCs/>
          <w:lang w:val="pt-BR"/>
        </w:rPr>
        <w:t>ë</w:t>
      </w:r>
      <w:r w:rsidR="00D31E19">
        <w:rPr>
          <w:iCs/>
          <w:lang w:val="pt-BR"/>
        </w:rPr>
        <w:t xml:space="preserve"> tej kapacitetet p</w:t>
      </w:r>
      <w:r w:rsidR="00156FFE">
        <w:rPr>
          <w:iCs/>
          <w:lang w:val="pt-BR"/>
        </w:rPr>
        <w:t>ë</w:t>
      </w:r>
      <w:r w:rsidR="00D31E19">
        <w:rPr>
          <w:iCs/>
          <w:lang w:val="pt-BR"/>
        </w:rPr>
        <w:t>r t</w:t>
      </w:r>
      <w:r w:rsidR="00156FFE">
        <w:rPr>
          <w:iCs/>
          <w:lang w:val="pt-BR"/>
        </w:rPr>
        <w:t>ë</w:t>
      </w:r>
      <w:r w:rsidR="00D31E19">
        <w:rPr>
          <w:iCs/>
          <w:lang w:val="pt-BR"/>
        </w:rPr>
        <w:t xml:space="preserve"> mb</w:t>
      </w:r>
      <w:r w:rsidR="00156FFE">
        <w:rPr>
          <w:iCs/>
          <w:lang w:val="pt-BR"/>
        </w:rPr>
        <w:t>ë</w:t>
      </w:r>
      <w:r w:rsidR="00D31E19">
        <w:rPr>
          <w:iCs/>
          <w:lang w:val="pt-BR"/>
        </w:rPr>
        <w:t>shtetur dhe udh</w:t>
      </w:r>
      <w:r w:rsidR="00156FFE">
        <w:rPr>
          <w:iCs/>
          <w:lang w:val="pt-BR"/>
        </w:rPr>
        <w:t>ë</w:t>
      </w:r>
      <w:r w:rsidR="00D31E19">
        <w:rPr>
          <w:iCs/>
          <w:lang w:val="pt-BR"/>
        </w:rPr>
        <w:t>zuar nj</w:t>
      </w:r>
      <w:r w:rsidR="00156FFE">
        <w:rPr>
          <w:iCs/>
          <w:lang w:val="pt-BR"/>
        </w:rPr>
        <w:t>ë</w:t>
      </w:r>
      <w:r w:rsidR="00D31E19">
        <w:rPr>
          <w:iCs/>
          <w:lang w:val="pt-BR"/>
        </w:rPr>
        <w:t>sit</w:t>
      </w:r>
      <w:r w:rsidR="00156FFE">
        <w:rPr>
          <w:iCs/>
          <w:lang w:val="pt-BR"/>
        </w:rPr>
        <w:t>ë</w:t>
      </w:r>
      <w:r w:rsidR="00D31E19">
        <w:rPr>
          <w:iCs/>
          <w:lang w:val="pt-BR"/>
        </w:rPr>
        <w:t xml:space="preserve"> e pushtetit vendor n</w:t>
      </w:r>
      <w:r w:rsidR="00156FFE">
        <w:rPr>
          <w:iCs/>
          <w:lang w:val="pt-BR"/>
        </w:rPr>
        <w:t>ë</w:t>
      </w:r>
      <w:r w:rsidR="00D31E19">
        <w:rPr>
          <w:iCs/>
          <w:lang w:val="pt-BR"/>
        </w:rPr>
        <w:t xml:space="preserve"> hartimin e planeve lokale sociale. </w:t>
      </w:r>
    </w:p>
    <w:p w14:paraId="055391A2" w14:textId="0C6F7CA6" w:rsidR="002373C8" w:rsidRPr="00817921" w:rsidRDefault="002373C8" w:rsidP="002373C8">
      <w:pPr>
        <w:pStyle w:val="NormalWeb"/>
        <w:rPr>
          <w:iCs/>
          <w:lang w:val="pt-BR"/>
        </w:rPr>
      </w:pPr>
      <w:r w:rsidRPr="00817921">
        <w:rPr>
          <w:b/>
          <w:iCs/>
          <w:lang w:val="pt-BR"/>
        </w:rPr>
        <w:t>Fondi Social</w:t>
      </w:r>
      <w:r w:rsidR="00156FFE">
        <w:rPr>
          <w:b/>
          <w:iCs/>
          <w:lang w:val="pt-BR"/>
        </w:rPr>
        <w:t xml:space="preserve"> Kombëtar</w:t>
      </w:r>
      <w:r w:rsidRPr="00817921">
        <w:rPr>
          <w:b/>
          <w:iCs/>
          <w:lang w:val="pt-BR"/>
        </w:rPr>
        <w:t xml:space="preserve">, si mekanizëm financimi. </w:t>
      </w:r>
      <w:r w:rsidRPr="00817921">
        <w:rPr>
          <w:lang w:val="sq-AL"/>
        </w:rPr>
        <w:t xml:space="preserve">Fondi Social, vlerësohet të jetë një mekanizëm i rëndësishëm financimi i shërbimeve sociale në nivel rajonal dhe lokal, në përputhje me qasjen decentralizuese. </w:t>
      </w:r>
      <w:r w:rsidRPr="00817921">
        <w:rPr>
          <w:iCs/>
          <w:lang w:val="pt-BR"/>
        </w:rPr>
        <w:t xml:space="preserve">Çdo financim tjetër në nivel lokal vjen si rezultat i projekteve të caktuara të donatorëve, e kësisoj nuk shkon në financimin e përbashkët të shërbimeve të qëndrueshme të kujdesit shoqëror për këto komunitete në nivel lokal, gjë që do të plotësonte dhe përmirësonte përdorimin dhe ndikimin e këtij fondi për këto komunitete në nevojë.  </w:t>
      </w:r>
    </w:p>
    <w:p w14:paraId="01AD7174" w14:textId="0AA9B112" w:rsidR="002373C8" w:rsidRPr="00817921" w:rsidRDefault="002373C8" w:rsidP="002373C8">
      <w:pPr>
        <w:rPr>
          <w:rFonts w:ascii="Times New Roman" w:hAnsi="Times New Roman" w:cs="Times New Roman"/>
          <w:szCs w:val="22"/>
          <w:lang w:val="sq-AL"/>
        </w:rPr>
      </w:pPr>
      <w:r w:rsidRPr="00817921">
        <w:rPr>
          <w:rFonts w:ascii="Times New Roman" w:hAnsi="Times New Roman" w:cs="Times New Roman"/>
          <w:iCs/>
          <w:lang w:val="sq-AL"/>
        </w:rPr>
        <w:t>Me një rritje të disbursimit të fondit për vitin 2022, fondi total i disbursuar për pushtetin vendor nga Fondi Social gjatë viteve 2019-2022 është 539 milionë lekë. Në partneritet me OJF vendase dhe ndërkombëtare, Fondi ka mbështetur ngritjen e 40 shërbimeve të kujdesit shoqëror (indikatori i synuar në SKMS ka qenë 45, pra arritur në masën 88%), prej tyre 27 shërbime shoqërore në nivel bashkie dhe 13 shërbime të specializuara në 6 qarqe, të ofruara për 10,744 përfitues</w:t>
      </w:r>
      <w:r w:rsidRPr="00817921">
        <w:rPr>
          <w:rFonts w:ascii="Times New Roman" w:hAnsi="Times New Roman" w:cs="Times New Roman"/>
          <w:iCs/>
        </w:rPr>
        <w:t>,</w:t>
      </w:r>
      <w:r w:rsidRPr="00817921">
        <w:rPr>
          <w:rFonts w:ascii="Times New Roman" w:hAnsi="Times New Roman" w:cs="Times New Roman"/>
          <w:iCs/>
          <w:lang w:val="pt-BR"/>
        </w:rPr>
        <w:t xml:space="preserve"> duke përfshirë këtu fëmijë në situatë rreziku, persona me aftësi të kufizuara, të moshuar,</w:t>
      </w:r>
      <w:r w:rsidR="00156FFE">
        <w:rPr>
          <w:rFonts w:ascii="Times New Roman" w:hAnsi="Times New Roman" w:cs="Times New Roman"/>
          <w:iCs/>
          <w:lang w:val="pt-BR"/>
        </w:rPr>
        <w:t xml:space="preserve"> fëmijët në nevojë për mbrojtje,</w:t>
      </w:r>
      <w:r w:rsidRPr="00817921">
        <w:rPr>
          <w:rFonts w:ascii="Times New Roman" w:hAnsi="Times New Roman" w:cs="Times New Roman"/>
          <w:iCs/>
          <w:lang w:val="pt-BR"/>
        </w:rPr>
        <w:t xml:space="preserve"> viktima dhune dhe trafikimi, familje në nevojë Rome dhe Egjiptiane, si dhe individë</w:t>
      </w:r>
      <w:r w:rsidR="00156FFE">
        <w:rPr>
          <w:rFonts w:ascii="Times New Roman" w:hAnsi="Times New Roman" w:cs="Times New Roman"/>
          <w:iCs/>
          <w:lang w:val="pt-BR"/>
        </w:rPr>
        <w:t>t e komunitetit</w:t>
      </w:r>
      <w:r w:rsidRPr="00817921">
        <w:rPr>
          <w:rFonts w:ascii="Times New Roman" w:hAnsi="Times New Roman" w:cs="Times New Roman"/>
          <w:iCs/>
          <w:lang w:val="pt-BR"/>
        </w:rPr>
        <w:t xml:space="preserve"> LGBTI+</w:t>
      </w:r>
      <w:r w:rsidRPr="00817921">
        <w:rPr>
          <w:rFonts w:ascii="Times New Roman" w:hAnsi="Times New Roman" w:cs="Times New Roman"/>
          <w:iCs/>
          <w:vertAlign w:val="superscript"/>
        </w:rPr>
        <w:footnoteReference w:id="164"/>
      </w:r>
      <w:r w:rsidRPr="00817921">
        <w:rPr>
          <w:rFonts w:ascii="Times New Roman" w:hAnsi="Times New Roman" w:cs="Times New Roman"/>
          <w:iCs/>
        </w:rPr>
        <w:t>.</w:t>
      </w:r>
    </w:p>
    <w:p w14:paraId="17140243" w14:textId="77777777" w:rsidR="002373C8" w:rsidRPr="00817921" w:rsidRDefault="002373C8" w:rsidP="002373C8">
      <w:pPr>
        <w:pStyle w:val="NormalWeb"/>
        <w:rPr>
          <w:iCs/>
          <w:lang w:val="sq-AL"/>
        </w:rPr>
      </w:pPr>
      <w:r w:rsidRPr="00817921">
        <w:rPr>
          <w:lang w:val="sq-AL"/>
        </w:rPr>
        <w:t>Janë nxjerrë disa mësime nga eksperienca e deritanishme me projektet dhe modelet e shërbimeve të ofruara si rezultat i financimit të tij, të reflektuara në disa raporte vlerësuese. Efikasiteti i përdorimit të këtij fondi mbetet aktualisht i kufizuar dhe varet kryesisht nga 2 faktorë kryesorë</w:t>
      </w:r>
      <w:r w:rsidRPr="00817921">
        <w:rPr>
          <w:vertAlign w:val="superscript"/>
          <w:lang w:val="sq-AL"/>
        </w:rPr>
        <w:footnoteReference w:id="165"/>
      </w:r>
      <w:r w:rsidRPr="00817921">
        <w:rPr>
          <w:lang w:val="sq-AL"/>
        </w:rPr>
        <w:t xml:space="preserve">: (a) kapacitetet e NJQV-ve për ushtrimin e funksioneve të shërbimeve sociale, që prej aplikimit për projekte deri te zbatimi dhe manaxhimi i tyre në territor; dhe (b) modalitetet e rregullimit dhe përdorimit të këtij fondi, sipas përcaktimeve në nivel qëndror, përfshirë këtu pamjaftueshmërinë e tij në raport me nevojat e parashikuara në planet sociale lokale. </w:t>
      </w:r>
      <w:r w:rsidRPr="00817921">
        <w:rPr>
          <w:iCs/>
          <w:lang w:val="sq-AL"/>
        </w:rPr>
        <w:t xml:space="preserve">Përdorimi i një mekanizmi shpërndarës që garanton përmbushjen e synimeve strategjike në përdorimin e Fondit Social (veçanërisht deinstitucionalizimin, qëndrueshmërinë e shërbimeve, qasjen e integruar dhe harmonizimin e shërbimeve shoqërore me ato shëndetësore, si dhe mbështetjen me shërbime të skemës së reformuar të vlerësimit të aftësisë së kufizuar) është domosdoshmëri. </w:t>
      </w:r>
    </w:p>
    <w:p w14:paraId="508DE845" w14:textId="373ADE9F" w:rsidR="0046080B" w:rsidRDefault="003A776D" w:rsidP="00C7107F">
      <w:pPr>
        <w:pStyle w:val="NormalWeb"/>
        <w:rPr>
          <w:iCs/>
          <w:lang w:val="sq-AL"/>
        </w:rPr>
      </w:pPr>
      <w:r w:rsidRPr="00817921">
        <w:rPr>
          <w:b/>
          <w:iCs/>
          <w:lang w:val="pt-BR"/>
        </w:rPr>
        <w:t xml:space="preserve">Hapësira fiskale </w:t>
      </w:r>
      <w:r w:rsidR="002373C8" w:rsidRPr="00817921">
        <w:rPr>
          <w:b/>
          <w:iCs/>
          <w:lang w:val="pt-BR"/>
        </w:rPr>
        <w:t>lokale</w:t>
      </w:r>
      <w:r w:rsidRPr="00817921">
        <w:rPr>
          <w:b/>
          <w:iCs/>
          <w:lang w:val="pt-BR"/>
        </w:rPr>
        <w:t xml:space="preserve">. </w:t>
      </w:r>
      <w:r w:rsidR="00C7107F" w:rsidRPr="00817921">
        <w:rPr>
          <w:iCs/>
          <w:lang w:val="pt-BR"/>
        </w:rPr>
        <w:t xml:space="preserve">NJQV kanë një hapësirë fiskale të shtrënguar për të siguruar një rritje të qënësishme të financimit të shërbimeve sociale vit pas viti. Analizat provojnë se kjo hapësire fiskale do të vijojë të jetë e ngushtë, pavarësisht tendencës së rritjes së taksave, përsa kohë pritet vetëm një rritje e lehtë e të ardhurave me 0.21% të PBB nga rritja me 2% e taksave lokale, apo </w:t>
      </w:r>
      <w:r w:rsidR="00C7107F" w:rsidRPr="00817921">
        <w:rPr>
          <w:iCs/>
          <w:lang w:val="sq-AL"/>
        </w:rPr>
        <w:t>vetëm 0.8% e PBB rritje në të ardhura lokale, si rezultat i futjes së taksës së pronës</w:t>
      </w:r>
      <w:r w:rsidR="00C7107F" w:rsidRPr="00817921">
        <w:rPr>
          <w:iCs/>
          <w:vertAlign w:val="superscript"/>
          <w:lang w:val="sq-AL"/>
        </w:rPr>
        <w:footnoteReference w:id="166"/>
      </w:r>
      <w:r w:rsidR="00C7107F" w:rsidRPr="00817921">
        <w:rPr>
          <w:iCs/>
          <w:lang w:val="sq-AL"/>
        </w:rPr>
        <w:t xml:space="preserve">. </w:t>
      </w:r>
      <w:r w:rsidRPr="00817921">
        <w:rPr>
          <w:iCs/>
          <w:lang w:val="pt-BR"/>
        </w:rPr>
        <w:t xml:space="preserve">Të ardhurat totale të qeverisjes lokale u rritën nga 2.4% e PBB në 2015 në 3.7% të PBB në 2021, ku transfertat nga qeverisja qëndrore mbeten zëri më i rëndësishëm i tyre (60% e totalit). Kapaciteti i bashkive për të krijuar të ardhurat e veta ndryshon shumë nga njëra bashki te tjetra, duke mbetur në çdo rast, tejet i ulët dhe i pamjaftueshëm. Ndërkohë që, përkushtimi i bashkive për të përdorur të ardhurat e veta për financimin e shërbimeve shoqërore është shpesh i kufizuar. Përgjatë viteve 2019-2021, rezulton se përqindja e të ardhurave të veta të bashkive e përdorur për të financuar aktivitetet e planit social është rritur përkatësisht </w:t>
      </w:r>
      <w:r w:rsidR="00C7107F" w:rsidRPr="00817921">
        <w:rPr>
          <w:iCs/>
          <w:lang w:val="sq-AL"/>
        </w:rPr>
        <w:t>nga</w:t>
      </w:r>
      <w:r w:rsidRPr="00817921">
        <w:rPr>
          <w:iCs/>
          <w:lang w:val="sq-AL"/>
        </w:rPr>
        <w:t xml:space="preserve"> 4.8% në vitin 2019, </w:t>
      </w:r>
      <w:r w:rsidR="00C7107F" w:rsidRPr="00817921">
        <w:rPr>
          <w:iCs/>
          <w:lang w:val="sq-AL"/>
        </w:rPr>
        <w:t>n</w:t>
      </w:r>
      <w:r w:rsidR="009A5A0E" w:rsidRPr="00817921">
        <w:rPr>
          <w:iCs/>
          <w:lang w:val="sq-AL"/>
        </w:rPr>
        <w:t>ë</w:t>
      </w:r>
      <w:r w:rsidRPr="00817921">
        <w:rPr>
          <w:iCs/>
          <w:lang w:val="sq-AL"/>
        </w:rPr>
        <w:t xml:space="preserve"> 6.1 % në vitin 2021. Megjithatë ende në vitin 2021, 65% e bashkive i kishin të ardhurat e veta për të financuar planin social më pak se 2%</w:t>
      </w:r>
      <w:r w:rsidRPr="00817921">
        <w:rPr>
          <w:iCs/>
          <w:vertAlign w:val="superscript"/>
          <w:lang w:val="sq-AL"/>
        </w:rPr>
        <w:footnoteReference w:id="167"/>
      </w:r>
      <w:r w:rsidRPr="00817921">
        <w:rPr>
          <w:iCs/>
          <w:lang w:val="sq-AL"/>
        </w:rPr>
        <w:t>. Bashkitë jan</w:t>
      </w:r>
      <w:r w:rsidR="00AB4DDE">
        <w:rPr>
          <w:iCs/>
          <w:lang w:val="sq-AL"/>
        </w:rPr>
        <w:t>ë</w:t>
      </w:r>
      <w:r w:rsidRPr="00817921">
        <w:rPr>
          <w:iCs/>
          <w:lang w:val="sq-AL"/>
        </w:rPr>
        <w:t xml:space="preserve"> financuesit kryesor</w:t>
      </w:r>
      <w:r w:rsidR="00AB4DDE">
        <w:rPr>
          <w:iCs/>
          <w:lang w:val="sq-AL"/>
        </w:rPr>
        <w:t>ë</w:t>
      </w:r>
      <w:r w:rsidRPr="00817921">
        <w:rPr>
          <w:iCs/>
          <w:lang w:val="sq-AL"/>
        </w:rPr>
        <w:t xml:space="preserve"> t</w:t>
      </w:r>
      <w:r w:rsidR="00AB4DDE">
        <w:rPr>
          <w:iCs/>
          <w:lang w:val="sq-AL"/>
        </w:rPr>
        <w:t>ë</w:t>
      </w:r>
      <w:r w:rsidRPr="00817921">
        <w:rPr>
          <w:iCs/>
          <w:lang w:val="sq-AL"/>
        </w:rPr>
        <w:t xml:space="preserve"> sh</w:t>
      </w:r>
      <w:r w:rsidR="00AB4DDE">
        <w:rPr>
          <w:iCs/>
          <w:lang w:val="sq-AL"/>
        </w:rPr>
        <w:t>ë</w:t>
      </w:r>
      <w:r w:rsidRPr="00817921">
        <w:rPr>
          <w:iCs/>
          <w:lang w:val="sq-AL"/>
        </w:rPr>
        <w:t>rbimeve publike (54% e totalit), t</w:t>
      </w:r>
      <w:r w:rsidR="00AB4DDE">
        <w:rPr>
          <w:iCs/>
          <w:lang w:val="sq-AL"/>
        </w:rPr>
        <w:t>ë</w:t>
      </w:r>
      <w:r w:rsidRPr="00817921">
        <w:rPr>
          <w:iCs/>
          <w:lang w:val="sq-AL"/>
        </w:rPr>
        <w:t xml:space="preserve"> pasuara nga format “mikse” t</w:t>
      </w:r>
      <w:r w:rsidR="00AB4DDE">
        <w:rPr>
          <w:iCs/>
          <w:lang w:val="sq-AL"/>
        </w:rPr>
        <w:t>ë</w:t>
      </w:r>
      <w:r w:rsidRPr="00817921">
        <w:rPr>
          <w:iCs/>
          <w:lang w:val="sq-AL"/>
        </w:rPr>
        <w:t xml:space="preserve"> financimit (24%), MSHMS (19%) dhe në fund, qarqet (3%). Sa i përket financimit të shërbimeve jopublike, 55% mbështeten nga OJF, 21% nga fondacionet, 16% nga organizatat ndërkombëtare dhe 8% nga forma “mikse” (më shumë se një burim)</w:t>
      </w:r>
      <w:r w:rsidRPr="00817921">
        <w:rPr>
          <w:iCs/>
          <w:vertAlign w:val="superscript"/>
          <w:lang w:val="sq-AL"/>
        </w:rPr>
        <w:footnoteReference w:id="168"/>
      </w:r>
      <w:r w:rsidRPr="00817921">
        <w:rPr>
          <w:iCs/>
          <w:lang w:val="sq-AL"/>
        </w:rPr>
        <w:t>.</w:t>
      </w:r>
    </w:p>
    <w:p w14:paraId="58ED8B6C" w14:textId="4253E517" w:rsidR="00F643DC" w:rsidRPr="008C6700" w:rsidRDefault="00F643DC" w:rsidP="00F643DC">
      <w:pPr>
        <w:spacing w:after="0"/>
        <w:rPr>
          <w:rFonts w:ascii="Times New Roman" w:eastAsia="Times New Roman" w:hAnsi="Times New Roman" w:cs="Times New Roman"/>
          <w:iCs/>
          <w:lang w:val="pt-BR" w:eastAsia="en-GB"/>
        </w:rPr>
      </w:pPr>
      <w:r w:rsidRPr="008C6700">
        <w:rPr>
          <w:rFonts w:ascii="Times New Roman" w:eastAsia="Times New Roman" w:hAnsi="Times New Roman" w:cs="Times New Roman"/>
          <w:b/>
          <w:bCs/>
          <w:iCs/>
          <w:lang w:val="pt-BR" w:eastAsia="en-GB"/>
        </w:rPr>
        <w:t>Forcimi i statusit t</w:t>
      </w:r>
      <w:r w:rsidR="00E9006B" w:rsidRPr="008C6700">
        <w:rPr>
          <w:rFonts w:ascii="Times New Roman" w:eastAsia="Times New Roman" w:hAnsi="Times New Roman" w:cs="Times New Roman"/>
          <w:b/>
          <w:bCs/>
          <w:iCs/>
          <w:lang w:val="pt-BR" w:eastAsia="en-GB"/>
        </w:rPr>
        <w:t>ë</w:t>
      </w:r>
      <w:r w:rsidRPr="008C6700">
        <w:rPr>
          <w:rFonts w:ascii="Times New Roman" w:eastAsia="Times New Roman" w:hAnsi="Times New Roman" w:cs="Times New Roman"/>
          <w:b/>
          <w:bCs/>
          <w:iCs/>
          <w:lang w:val="pt-BR" w:eastAsia="en-GB"/>
        </w:rPr>
        <w:t xml:space="preserve"> personelit t</w:t>
      </w:r>
      <w:r w:rsidR="00E9006B" w:rsidRPr="008C6700">
        <w:rPr>
          <w:rFonts w:ascii="Times New Roman" w:eastAsia="Times New Roman" w:hAnsi="Times New Roman" w:cs="Times New Roman"/>
          <w:b/>
          <w:bCs/>
          <w:iCs/>
          <w:lang w:val="pt-BR" w:eastAsia="en-GB"/>
        </w:rPr>
        <w:t>ë</w:t>
      </w:r>
      <w:r w:rsidRPr="008C6700">
        <w:rPr>
          <w:rFonts w:ascii="Times New Roman" w:eastAsia="Times New Roman" w:hAnsi="Times New Roman" w:cs="Times New Roman"/>
          <w:b/>
          <w:bCs/>
          <w:iCs/>
          <w:lang w:val="pt-BR" w:eastAsia="en-GB"/>
        </w:rPr>
        <w:t xml:space="preserve"> sh</w:t>
      </w:r>
      <w:r w:rsidR="00E9006B" w:rsidRPr="008C6700">
        <w:rPr>
          <w:rFonts w:ascii="Times New Roman" w:eastAsia="Times New Roman" w:hAnsi="Times New Roman" w:cs="Times New Roman"/>
          <w:b/>
          <w:bCs/>
          <w:iCs/>
          <w:lang w:val="pt-BR" w:eastAsia="en-GB"/>
        </w:rPr>
        <w:t>ë</w:t>
      </w:r>
      <w:r w:rsidRPr="008C6700">
        <w:rPr>
          <w:rFonts w:ascii="Times New Roman" w:eastAsia="Times New Roman" w:hAnsi="Times New Roman" w:cs="Times New Roman"/>
          <w:b/>
          <w:bCs/>
          <w:iCs/>
          <w:lang w:val="pt-BR" w:eastAsia="en-GB"/>
        </w:rPr>
        <w:t>rbimeve t</w:t>
      </w:r>
      <w:r w:rsidR="00E9006B" w:rsidRPr="008C6700">
        <w:rPr>
          <w:rFonts w:ascii="Times New Roman" w:eastAsia="Times New Roman" w:hAnsi="Times New Roman" w:cs="Times New Roman"/>
          <w:b/>
          <w:bCs/>
          <w:iCs/>
          <w:lang w:val="pt-BR" w:eastAsia="en-GB"/>
        </w:rPr>
        <w:t>ë</w:t>
      </w:r>
      <w:r w:rsidRPr="008C6700">
        <w:rPr>
          <w:rFonts w:ascii="Times New Roman" w:eastAsia="Times New Roman" w:hAnsi="Times New Roman" w:cs="Times New Roman"/>
          <w:b/>
          <w:bCs/>
          <w:iCs/>
          <w:lang w:val="pt-BR" w:eastAsia="en-GB"/>
        </w:rPr>
        <w:t xml:space="preserve"> kujdesit social dhe </w:t>
      </w:r>
      <w:r w:rsidR="0049394A" w:rsidRPr="008C6700">
        <w:rPr>
          <w:rFonts w:ascii="Times New Roman" w:eastAsia="Times New Roman" w:hAnsi="Times New Roman" w:cs="Times New Roman"/>
          <w:b/>
          <w:bCs/>
          <w:iCs/>
          <w:lang w:val="pt-BR" w:eastAsia="en-GB"/>
        </w:rPr>
        <w:t>profesionalizimi i</w:t>
      </w:r>
      <w:r w:rsidRPr="008C6700">
        <w:rPr>
          <w:rFonts w:ascii="Times New Roman" w:eastAsia="Times New Roman" w:hAnsi="Times New Roman" w:cs="Times New Roman"/>
          <w:b/>
          <w:bCs/>
          <w:iCs/>
          <w:lang w:val="pt-BR" w:eastAsia="en-GB"/>
        </w:rPr>
        <w:t xml:space="preserve"> personelit. </w:t>
      </w:r>
      <w:r w:rsidRPr="008C6700">
        <w:rPr>
          <w:rFonts w:ascii="Times New Roman" w:eastAsia="Times New Roman" w:hAnsi="Times New Roman" w:cs="Times New Roman"/>
          <w:iCs/>
          <w:lang w:val="pt-BR" w:eastAsia="en-GB"/>
        </w:rPr>
        <w:t>Ligji nr. 40/2016 “Për urdhërin e psikologut në Republikën e Shqipërisë “Ligji nr. 163/2014 i ndryshuar në vitin 2020 “Për urdhërin e punonjësit social në Republikën e Shqipërisë”, kanë bërë të mundur fillimin e proçesit të licensimit të profesionistëve të fushës së përkujdesit shoqëror</w:t>
      </w:r>
      <w:r w:rsidR="00E13F8E" w:rsidRPr="008C6700">
        <w:rPr>
          <w:rFonts w:ascii="Times New Roman" w:eastAsia="Times New Roman" w:hAnsi="Times New Roman" w:cs="Times New Roman"/>
          <w:iCs/>
          <w:lang w:val="pt-BR" w:eastAsia="en-GB"/>
        </w:rPr>
        <w:t xml:space="preserve">. </w:t>
      </w:r>
      <w:r w:rsidRPr="008C6700">
        <w:rPr>
          <w:rFonts w:ascii="Times New Roman" w:eastAsia="Times New Roman" w:hAnsi="Times New Roman" w:cs="Times New Roman"/>
          <w:iCs/>
          <w:lang w:val="pt-BR" w:eastAsia="en-GB"/>
        </w:rPr>
        <w:t xml:space="preserve"> </w:t>
      </w:r>
      <w:r w:rsidR="00E13F8E" w:rsidRPr="008C6700">
        <w:rPr>
          <w:rFonts w:ascii="Times New Roman" w:eastAsia="Times New Roman" w:hAnsi="Times New Roman" w:cs="Times New Roman"/>
          <w:iCs/>
          <w:lang w:val="pt-BR" w:eastAsia="en-GB"/>
        </w:rPr>
        <w:t xml:space="preserve"> Rreth </w:t>
      </w:r>
      <w:r w:rsidRPr="008C6700">
        <w:rPr>
          <w:rFonts w:ascii="Times New Roman" w:eastAsia="Times New Roman" w:hAnsi="Times New Roman" w:cs="Times New Roman"/>
          <w:iCs/>
          <w:lang w:val="pt-BR" w:eastAsia="en-GB"/>
        </w:rPr>
        <w:t>5</w:t>
      </w:r>
      <w:r w:rsidR="00E13F8E" w:rsidRPr="008C6700">
        <w:rPr>
          <w:rFonts w:ascii="Times New Roman" w:eastAsia="Times New Roman" w:hAnsi="Times New Roman" w:cs="Times New Roman"/>
          <w:iCs/>
          <w:lang w:val="pt-BR" w:eastAsia="en-GB"/>
        </w:rPr>
        <w:t>00</w:t>
      </w:r>
      <w:r w:rsidRPr="008C6700">
        <w:rPr>
          <w:rFonts w:ascii="Times New Roman" w:eastAsia="Times New Roman" w:hAnsi="Times New Roman" w:cs="Times New Roman"/>
          <w:iCs/>
          <w:lang w:val="pt-BR" w:eastAsia="en-GB"/>
        </w:rPr>
        <w:t xml:space="preserve"> punonjës socialë</w:t>
      </w:r>
      <w:r w:rsidR="00E13F8E" w:rsidRPr="008C6700">
        <w:rPr>
          <w:rFonts w:ascii="Times New Roman" w:eastAsia="Times New Roman" w:hAnsi="Times New Roman" w:cs="Times New Roman"/>
          <w:iCs/>
          <w:lang w:val="pt-BR" w:eastAsia="en-GB"/>
        </w:rPr>
        <w:t xml:space="preserve"> janë licensuar</w:t>
      </w:r>
      <w:r w:rsidRPr="008C6700">
        <w:rPr>
          <w:rFonts w:ascii="Times New Roman" w:eastAsia="Times New Roman" w:hAnsi="Times New Roman" w:cs="Times New Roman"/>
          <w:iCs/>
          <w:lang w:val="pt-BR" w:eastAsia="en-GB"/>
        </w:rPr>
        <w:t>, duke i dhënë kështu mundësinë strukturave në nivel qendror dhe vendor, si dhe institucioneve të përkujdesit shoqëror të punësimit të profesionistëve të kualifikuar të fushës. Megjithat</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trajnimi i personelit t</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sh</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rbimeve t</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kujdesit social mbetet i fragmentuar dhe mungon nj</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korniz</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e plot</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e edukimit n</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vazhdim</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si dhe zhvillimit n</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karrier</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Nj</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koh</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sisht nevojitet t</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nd</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rtohet nj</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lidhje mes kualifikimit akademik, </w:t>
      </w:r>
      <w:r w:rsidR="00AB4D37" w:rsidRPr="008C6700">
        <w:rPr>
          <w:rFonts w:ascii="Times New Roman" w:eastAsia="Times New Roman" w:hAnsi="Times New Roman" w:cs="Times New Roman"/>
          <w:iCs/>
          <w:lang w:val="pt-BR" w:eastAsia="en-GB"/>
        </w:rPr>
        <w:t>proçes</w:t>
      </w:r>
      <w:r w:rsidRPr="008C6700">
        <w:rPr>
          <w:rFonts w:ascii="Times New Roman" w:eastAsia="Times New Roman" w:hAnsi="Times New Roman" w:cs="Times New Roman"/>
          <w:iCs/>
          <w:lang w:val="pt-BR" w:eastAsia="en-GB"/>
        </w:rPr>
        <w:t>it t</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licensimit t</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profesionist</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ve dhe edukimit</w:t>
      </w:r>
      <w:r w:rsidR="00536CD5" w:rsidRPr="008C6700">
        <w:rPr>
          <w:rFonts w:ascii="Times New Roman" w:eastAsia="Times New Roman" w:hAnsi="Times New Roman" w:cs="Times New Roman"/>
          <w:iCs/>
          <w:lang w:val="pt-BR" w:eastAsia="en-GB"/>
        </w:rPr>
        <w:t xml:space="preserve"> e trajnimit</w:t>
      </w:r>
      <w:r w:rsidRPr="008C6700">
        <w:rPr>
          <w:rFonts w:ascii="Times New Roman" w:eastAsia="Times New Roman" w:hAnsi="Times New Roman" w:cs="Times New Roman"/>
          <w:iCs/>
          <w:lang w:val="pt-BR" w:eastAsia="en-GB"/>
        </w:rPr>
        <w:t xml:space="preserve"> n</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 xml:space="preserve"> vazhdim</w:t>
      </w:r>
      <w:r w:rsidR="00E9006B" w:rsidRPr="008C6700">
        <w:rPr>
          <w:rFonts w:ascii="Times New Roman" w:eastAsia="Times New Roman" w:hAnsi="Times New Roman" w:cs="Times New Roman"/>
          <w:iCs/>
          <w:lang w:val="pt-BR" w:eastAsia="en-GB"/>
        </w:rPr>
        <w:t>ë</w:t>
      </w:r>
      <w:r w:rsidRPr="008C6700">
        <w:rPr>
          <w:rFonts w:ascii="Times New Roman" w:eastAsia="Times New Roman" w:hAnsi="Times New Roman" w:cs="Times New Roman"/>
          <w:iCs/>
          <w:lang w:val="pt-BR" w:eastAsia="en-GB"/>
        </w:rPr>
        <w:t>si</w:t>
      </w:r>
      <w:r w:rsidR="009109FD" w:rsidRPr="008C6700">
        <w:rPr>
          <w:rFonts w:ascii="Times New Roman" w:eastAsia="Times New Roman" w:hAnsi="Times New Roman" w:cs="Times New Roman"/>
          <w:iCs/>
          <w:lang w:val="pt-BR" w:eastAsia="en-GB"/>
        </w:rPr>
        <w:t>.</w:t>
      </w:r>
      <w:r w:rsidR="00536CD5" w:rsidRPr="008C6700">
        <w:rPr>
          <w:rFonts w:ascii="Times New Roman" w:eastAsia="Times New Roman" w:hAnsi="Times New Roman" w:cs="Times New Roman"/>
          <w:iCs/>
          <w:lang w:val="pt-BR" w:eastAsia="en-GB"/>
        </w:rPr>
        <w:t xml:space="preserve"> </w:t>
      </w:r>
      <w:r w:rsidR="009109FD" w:rsidRPr="008C6700">
        <w:rPr>
          <w:rFonts w:ascii="Times New Roman" w:eastAsia="Times New Roman" w:hAnsi="Times New Roman" w:cs="Times New Roman"/>
          <w:iCs/>
          <w:lang w:val="pt-BR" w:eastAsia="en-GB"/>
        </w:rPr>
        <w:t>Partner</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t</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ndrysh</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m strategjik dhe organizatat e shoq</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ris</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civile kan</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hartuar programe t</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ndryshme trajnimi per aspekte t</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ofrimit t</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sh</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rbimeve, praktik</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n e pun</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s, p</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r zhvillimin modeleve t</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sh</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rbimeve t</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integruara dhe menaxhimin e rastit, megjithat</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mungon nj</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vler</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sim i plot</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i personelit t</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sh</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rbimeve sociale, profileve t</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tyre, si dhe nj</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korniz</w:t>
      </w:r>
      <w:r w:rsidR="00AB4DDE" w:rsidRPr="008C6700">
        <w:rPr>
          <w:rFonts w:ascii="Times New Roman" w:eastAsia="Times New Roman" w:hAnsi="Times New Roman" w:cs="Times New Roman"/>
          <w:iCs/>
          <w:lang w:val="pt-BR" w:eastAsia="en-GB"/>
        </w:rPr>
        <w:t>ë e plotë</w:t>
      </w:r>
      <w:r w:rsidR="009109FD" w:rsidRPr="008C6700">
        <w:rPr>
          <w:rFonts w:ascii="Times New Roman" w:eastAsia="Times New Roman" w:hAnsi="Times New Roman" w:cs="Times New Roman"/>
          <w:iCs/>
          <w:lang w:val="pt-BR" w:eastAsia="en-GB"/>
        </w:rPr>
        <w:t xml:space="preserve"> p</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r zhvillimin e aft</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sive baz</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 xml:space="preserve"> thelb</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sore p</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r ofrimin e sh</w:t>
      </w:r>
      <w:r w:rsidR="00AB4DDE" w:rsidRPr="008C6700">
        <w:rPr>
          <w:rFonts w:ascii="Times New Roman" w:eastAsia="Times New Roman" w:hAnsi="Times New Roman" w:cs="Times New Roman"/>
          <w:iCs/>
          <w:lang w:val="pt-BR" w:eastAsia="en-GB"/>
        </w:rPr>
        <w:t>ë</w:t>
      </w:r>
      <w:r w:rsidR="009109FD" w:rsidRPr="008C6700">
        <w:rPr>
          <w:rFonts w:ascii="Times New Roman" w:eastAsia="Times New Roman" w:hAnsi="Times New Roman" w:cs="Times New Roman"/>
          <w:iCs/>
          <w:lang w:val="pt-BR" w:eastAsia="en-GB"/>
        </w:rPr>
        <w:t>rbim</w:t>
      </w:r>
      <w:r w:rsidR="00AB4DDE" w:rsidRPr="008C6700">
        <w:rPr>
          <w:rFonts w:ascii="Times New Roman" w:eastAsia="Times New Roman" w:hAnsi="Times New Roman" w:cs="Times New Roman"/>
          <w:iCs/>
          <w:lang w:val="pt-BR" w:eastAsia="en-GB"/>
        </w:rPr>
        <w:t>e</w:t>
      </w:r>
      <w:r w:rsidR="009109FD" w:rsidRPr="008C6700">
        <w:rPr>
          <w:rFonts w:ascii="Times New Roman" w:eastAsia="Times New Roman" w:hAnsi="Times New Roman" w:cs="Times New Roman"/>
          <w:iCs/>
          <w:lang w:val="pt-BR" w:eastAsia="en-GB"/>
        </w:rPr>
        <w:t xml:space="preserve">ve </w:t>
      </w:r>
      <w:r w:rsidR="00AB4DDE" w:rsidRPr="008C6700">
        <w:rPr>
          <w:rFonts w:ascii="Times New Roman" w:eastAsia="Times New Roman" w:hAnsi="Times New Roman" w:cs="Times New Roman"/>
          <w:iCs/>
          <w:lang w:val="pt-BR" w:eastAsia="en-GB"/>
        </w:rPr>
        <w:t>sociale</w:t>
      </w:r>
      <w:r w:rsidR="00536CD5" w:rsidRPr="008C6700">
        <w:rPr>
          <w:rFonts w:ascii="Times New Roman" w:eastAsia="Times New Roman" w:hAnsi="Times New Roman" w:cs="Times New Roman"/>
          <w:iCs/>
          <w:lang w:val="pt-BR" w:eastAsia="en-GB"/>
        </w:rPr>
        <w:t>. N</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vitin 2021, Ministria e Sh</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ndet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sis</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dhe Mbrojtjes Sociale krijoi Agjencin</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e e Sigurimit 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Cil</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sis</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s</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Kujdesit Sh</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ndet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sor dhe Shoq</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ror, agjenci e cila ka nj</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rol 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r</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nd</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sish</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m n</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hartimin e kornizave kualifikuese si dhe n</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akreditimin e programeve 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edukimit n</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vazhdim</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si p</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r profesionist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t e k</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saj fushe, si dhe 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ngrej</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mekanizma p</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r vler</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simin e cil</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sis</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s</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sh</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rbimeve shoq</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rore n</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cdo nivel. Si nj</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Agjenci e re, del domosdoshm</w:t>
      </w:r>
      <w:r w:rsidR="008C6700">
        <w:rPr>
          <w:rFonts w:ascii="Times New Roman" w:eastAsia="Times New Roman" w:hAnsi="Times New Roman" w:cs="Times New Roman"/>
          <w:iCs/>
          <w:lang w:val="pt-BR" w:eastAsia="en-GB"/>
        </w:rPr>
        <w:t>ëri q</w:t>
      </w:r>
      <w:r w:rsidR="008C6700" w:rsidRP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nd</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rmerret nj</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vler</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sim i plot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n</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nivel komb</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tar p</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r nevojat dhe mund</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sit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p</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r 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hartuar nj</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korniz</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plot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edukimit n</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vazhdim</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si p</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r personelin e sh</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bimeve sociale si dhe 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kostohet kjo nevoj</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dhe t</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parashikohet si pjes</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integrale e reform</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s s</w:t>
      </w:r>
      <w:r w:rsidR="008C6700">
        <w:rPr>
          <w:rFonts w:ascii="Times New Roman" w:eastAsia="Times New Roman" w:hAnsi="Times New Roman" w:cs="Times New Roman"/>
          <w:iCs/>
          <w:lang w:val="pt-BR" w:eastAsia="en-GB"/>
        </w:rPr>
        <w:t>ë</w:t>
      </w:r>
      <w:r w:rsidR="00536CD5" w:rsidRPr="008C6700">
        <w:rPr>
          <w:rFonts w:ascii="Times New Roman" w:eastAsia="Times New Roman" w:hAnsi="Times New Roman" w:cs="Times New Roman"/>
          <w:iCs/>
          <w:lang w:val="pt-BR" w:eastAsia="en-GB"/>
        </w:rPr>
        <w:t xml:space="preserve"> sh</w:t>
      </w:r>
      <w:r w:rsidR="008C6700">
        <w:rPr>
          <w:rFonts w:ascii="Times New Roman" w:eastAsia="Times New Roman" w:hAnsi="Times New Roman" w:cs="Times New Roman"/>
          <w:iCs/>
          <w:lang w:val="pt-BR" w:eastAsia="en-GB"/>
        </w:rPr>
        <w:t>ërbi</w:t>
      </w:r>
      <w:r w:rsidR="00536CD5" w:rsidRPr="008C6700">
        <w:rPr>
          <w:rFonts w:ascii="Times New Roman" w:eastAsia="Times New Roman" w:hAnsi="Times New Roman" w:cs="Times New Roman"/>
          <w:iCs/>
          <w:lang w:val="pt-BR" w:eastAsia="en-GB"/>
        </w:rPr>
        <w:t>meve shoq</w:t>
      </w:r>
      <w:r w:rsidR="008C6700">
        <w:rPr>
          <w:rFonts w:ascii="Times New Roman" w:eastAsia="Times New Roman" w:hAnsi="Times New Roman" w:cs="Times New Roman"/>
          <w:iCs/>
          <w:lang w:val="pt-BR" w:eastAsia="en-GB"/>
        </w:rPr>
        <w:t>ërore.</w:t>
      </w:r>
    </w:p>
    <w:p w14:paraId="34471B11" w14:textId="0BE9A346" w:rsidR="00F643DC" w:rsidRDefault="00F643DC" w:rsidP="00F643DC">
      <w:pPr>
        <w:spacing w:after="0"/>
        <w:rPr>
          <w:rFonts w:ascii="Times New Roman" w:eastAsia="Times New Roman" w:hAnsi="Times New Roman" w:cs="Times New Roman"/>
          <w:iCs/>
          <w:lang w:val="pt-BR" w:eastAsia="en-GB"/>
        </w:rPr>
      </w:pPr>
    </w:p>
    <w:p w14:paraId="5C007909" w14:textId="646A60A4" w:rsidR="00F643DC" w:rsidRPr="00817921" w:rsidRDefault="0049394A" w:rsidP="00F643DC">
      <w:pPr>
        <w:rPr>
          <w:rFonts w:ascii="Times New Roman" w:eastAsia="Times New Roman" w:hAnsi="Times New Roman" w:cs="Times New Roman"/>
          <w:iCs/>
          <w:lang w:val="pt-BR" w:eastAsia="en-GB"/>
        </w:rPr>
      </w:pPr>
      <w:r>
        <w:rPr>
          <w:rFonts w:ascii="Times New Roman" w:eastAsia="Times New Roman" w:hAnsi="Times New Roman" w:cs="Times New Roman"/>
          <w:b/>
          <w:bCs/>
          <w:iCs/>
          <w:lang w:val="pt-BR" w:eastAsia="en-GB"/>
        </w:rPr>
        <w:t>Funksionimi i</w:t>
      </w:r>
      <w:r w:rsidR="00F643DC" w:rsidRPr="00817921">
        <w:rPr>
          <w:rFonts w:ascii="Times New Roman" w:eastAsia="Times New Roman" w:hAnsi="Times New Roman" w:cs="Times New Roman"/>
          <w:b/>
          <w:bCs/>
          <w:iCs/>
          <w:lang w:val="pt-BR" w:eastAsia="en-GB"/>
        </w:rPr>
        <w:t xml:space="preserve"> Rregjistri</w:t>
      </w:r>
      <w:r>
        <w:rPr>
          <w:rFonts w:ascii="Times New Roman" w:eastAsia="Times New Roman" w:hAnsi="Times New Roman" w:cs="Times New Roman"/>
          <w:b/>
          <w:bCs/>
          <w:iCs/>
          <w:lang w:val="pt-BR" w:eastAsia="en-GB"/>
        </w:rPr>
        <w:t>t</w:t>
      </w:r>
      <w:r w:rsidR="00F643DC" w:rsidRPr="00817921">
        <w:rPr>
          <w:rFonts w:ascii="Times New Roman" w:eastAsia="Times New Roman" w:hAnsi="Times New Roman" w:cs="Times New Roman"/>
          <w:b/>
          <w:bCs/>
          <w:iCs/>
          <w:lang w:val="pt-BR" w:eastAsia="en-GB"/>
        </w:rPr>
        <w:t xml:space="preserve"> komb</w:t>
      </w:r>
      <w:r w:rsidR="00E9006B">
        <w:rPr>
          <w:rFonts w:ascii="Times New Roman" w:eastAsia="Times New Roman" w:hAnsi="Times New Roman" w:cs="Times New Roman"/>
          <w:b/>
          <w:bCs/>
          <w:iCs/>
          <w:lang w:val="pt-BR" w:eastAsia="en-GB"/>
        </w:rPr>
        <w:t>ë</w:t>
      </w:r>
      <w:r w:rsidR="00F643DC" w:rsidRPr="00817921">
        <w:rPr>
          <w:rFonts w:ascii="Times New Roman" w:eastAsia="Times New Roman" w:hAnsi="Times New Roman" w:cs="Times New Roman"/>
          <w:b/>
          <w:bCs/>
          <w:iCs/>
          <w:lang w:val="pt-BR" w:eastAsia="en-GB"/>
        </w:rPr>
        <w:t xml:space="preserve">tar </w:t>
      </w:r>
      <w:r>
        <w:rPr>
          <w:rFonts w:ascii="Times New Roman" w:eastAsia="Times New Roman" w:hAnsi="Times New Roman" w:cs="Times New Roman"/>
          <w:b/>
          <w:bCs/>
          <w:iCs/>
          <w:lang w:val="pt-BR" w:eastAsia="en-GB"/>
        </w:rPr>
        <w:t>të</w:t>
      </w:r>
      <w:r w:rsidR="00F643DC" w:rsidRPr="00817921">
        <w:rPr>
          <w:rFonts w:ascii="Times New Roman" w:eastAsia="Times New Roman" w:hAnsi="Times New Roman" w:cs="Times New Roman"/>
          <w:b/>
          <w:bCs/>
          <w:iCs/>
          <w:lang w:val="pt-BR" w:eastAsia="en-GB"/>
        </w:rPr>
        <w:t xml:space="preserve"> sh</w:t>
      </w:r>
      <w:r w:rsidR="00E9006B">
        <w:rPr>
          <w:rFonts w:ascii="Times New Roman" w:eastAsia="Times New Roman" w:hAnsi="Times New Roman" w:cs="Times New Roman"/>
          <w:b/>
          <w:bCs/>
          <w:iCs/>
          <w:lang w:val="pt-BR" w:eastAsia="en-GB"/>
        </w:rPr>
        <w:t>ë</w:t>
      </w:r>
      <w:r w:rsidR="00F643DC" w:rsidRPr="00817921">
        <w:rPr>
          <w:rFonts w:ascii="Times New Roman" w:eastAsia="Times New Roman" w:hAnsi="Times New Roman" w:cs="Times New Roman"/>
          <w:b/>
          <w:bCs/>
          <w:iCs/>
          <w:lang w:val="pt-BR" w:eastAsia="en-GB"/>
        </w:rPr>
        <w:t xml:space="preserve">rbimeve </w:t>
      </w:r>
      <w:r>
        <w:rPr>
          <w:rFonts w:ascii="Times New Roman" w:eastAsia="Times New Roman" w:hAnsi="Times New Roman" w:cs="Times New Roman"/>
          <w:b/>
          <w:bCs/>
          <w:iCs/>
          <w:lang w:val="pt-BR" w:eastAsia="en-GB"/>
        </w:rPr>
        <w:t>s</w:t>
      </w:r>
      <w:r w:rsidR="00F643DC" w:rsidRPr="00817921">
        <w:rPr>
          <w:rFonts w:ascii="Times New Roman" w:eastAsia="Times New Roman" w:hAnsi="Times New Roman" w:cs="Times New Roman"/>
          <w:b/>
          <w:bCs/>
          <w:iCs/>
          <w:lang w:val="pt-BR" w:eastAsia="en-GB"/>
        </w:rPr>
        <w:t>ociale dhe</w:t>
      </w:r>
      <w:r>
        <w:rPr>
          <w:rFonts w:ascii="Times New Roman" w:eastAsia="Times New Roman" w:hAnsi="Times New Roman" w:cs="Times New Roman"/>
          <w:b/>
          <w:bCs/>
          <w:iCs/>
          <w:lang w:val="pt-BR" w:eastAsia="en-GB"/>
        </w:rPr>
        <w:t xml:space="preserve"> i</w:t>
      </w:r>
      <w:r w:rsidR="00F643DC" w:rsidRPr="00817921">
        <w:rPr>
          <w:rFonts w:ascii="Times New Roman" w:eastAsia="Times New Roman" w:hAnsi="Times New Roman" w:cs="Times New Roman"/>
          <w:b/>
          <w:bCs/>
          <w:iCs/>
          <w:lang w:val="pt-BR" w:eastAsia="en-GB"/>
        </w:rPr>
        <w:t xml:space="preserve"> Nj</w:t>
      </w:r>
      <w:r w:rsidR="00E9006B">
        <w:rPr>
          <w:rFonts w:ascii="Times New Roman" w:eastAsia="Times New Roman" w:hAnsi="Times New Roman" w:cs="Times New Roman"/>
          <w:b/>
          <w:bCs/>
          <w:iCs/>
          <w:lang w:val="pt-BR" w:eastAsia="en-GB"/>
        </w:rPr>
        <w:t>ë</w:t>
      </w:r>
      <w:r w:rsidR="00F643DC" w:rsidRPr="00817921">
        <w:rPr>
          <w:rFonts w:ascii="Times New Roman" w:eastAsia="Times New Roman" w:hAnsi="Times New Roman" w:cs="Times New Roman"/>
          <w:b/>
          <w:bCs/>
          <w:iCs/>
          <w:lang w:val="pt-BR" w:eastAsia="en-GB"/>
        </w:rPr>
        <w:t>sit</w:t>
      </w:r>
      <w:r w:rsidR="00E9006B">
        <w:rPr>
          <w:rFonts w:ascii="Times New Roman" w:eastAsia="Times New Roman" w:hAnsi="Times New Roman" w:cs="Times New Roman"/>
          <w:b/>
          <w:bCs/>
          <w:iCs/>
          <w:lang w:val="pt-BR" w:eastAsia="en-GB"/>
        </w:rPr>
        <w:t>ë</w:t>
      </w:r>
      <w:r w:rsidR="00F643DC" w:rsidRPr="00817921">
        <w:rPr>
          <w:rFonts w:ascii="Times New Roman" w:eastAsia="Times New Roman" w:hAnsi="Times New Roman" w:cs="Times New Roman"/>
          <w:b/>
          <w:bCs/>
          <w:iCs/>
          <w:lang w:val="pt-BR" w:eastAsia="en-GB"/>
        </w:rPr>
        <w:t xml:space="preserve"> e Vler</w:t>
      </w:r>
      <w:r w:rsidR="00E9006B">
        <w:rPr>
          <w:rFonts w:ascii="Times New Roman" w:eastAsia="Times New Roman" w:hAnsi="Times New Roman" w:cs="Times New Roman"/>
          <w:b/>
          <w:bCs/>
          <w:iCs/>
          <w:lang w:val="pt-BR" w:eastAsia="en-GB"/>
        </w:rPr>
        <w:t>ë</w:t>
      </w:r>
      <w:r w:rsidR="00F643DC" w:rsidRPr="00817921">
        <w:rPr>
          <w:rFonts w:ascii="Times New Roman" w:eastAsia="Times New Roman" w:hAnsi="Times New Roman" w:cs="Times New Roman"/>
          <w:b/>
          <w:bCs/>
          <w:iCs/>
          <w:lang w:val="pt-BR" w:eastAsia="en-GB"/>
        </w:rPr>
        <w:t>simit dhe Referimit t</w:t>
      </w:r>
      <w:r w:rsidR="00E9006B">
        <w:rPr>
          <w:rFonts w:ascii="Times New Roman" w:eastAsia="Times New Roman" w:hAnsi="Times New Roman" w:cs="Times New Roman"/>
          <w:b/>
          <w:bCs/>
          <w:iCs/>
          <w:lang w:val="pt-BR" w:eastAsia="en-GB"/>
        </w:rPr>
        <w:t>ë</w:t>
      </w:r>
      <w:r w:rsidR="00F643DC" w:rsidRPr="00817921">
        <w:rPr>
          <w:rFonts w:ascii="Times New Roman" w:eastAsia="Times New Roman" w:hAnsi="Times New Roman" w:cs="Times New Roman"/>
          <w:b/>
          <w:bCs/>
          <w:iCs/>
          <w:lang w:val="pt-BR" w:eastAsia="en-GB"/>
        </w:rPr>
        <w:t xml:space="preserve"> rasteve.</w:t>
      </w:r>
      <w:r w:rsidR="00F643DC">
        <w:rPr>
          <w:rFonts w:ascii="Times New Roman" w:eastAsia="Times New Roman" w:hAnsi="Times New Roman" w:cs="Times New Roman"/>
          <w:iCs/>
          <w:lang w:val="pt-BR" w:eastAsia="en-GB"/>
        </w:rPr>
        <w:t xml:space="preserve">  </w:t>
      </w:r>
      <w:r w:rsidR="00F643DC" w:rsidRPr="00817921">
        <w:rPr>
          <w:rFonts w:ascii="Times New Roman" w:eastAsia="Times New Roman" w:hAnsi="Times New Roman" w:cs="Times New Roman"/>
          <w:iCs/>
          <w:lang w:val="pt-BR" w:eastAsia="en-GB"/>
        </w:rPr>
        <w:t>Reforma e shërbimeve sociale lidhet ngushtësisht me sistemin e manaxhimit të informacionit, i cili siguron transparencën dhe sigurinë e informacionit.</w:t>
      </w:r>
      <w:r w:rsidR="00536CD5">
        <w:rPr>
          <w:rFonts w:ascii="Times New Roman" w:eastAsia="Times New Roman" w:hAnsi="Times New Roman" w:cs="Times New Roman"/>
          <w:iCs/>
          <w:lang w:val="pt-BR" w:eastAsia="en-GB"/>
        </w:rPr>
        <w:t xml:space="preserve"> </w:t>
      </w:r>
      <w:r w:rsidR="00F643DC" w:rsidRPr="00817921">
        <w:rPr>
          <w:rFonts w:ascii="Times New Roman" w:eastAsia="Times New Roman" w:hAnsi="Times New Roman" w:cs="Times New Roman"/>
          <w:iCs/>
          <w:lang w:val="pt-BR" w:eastAsia="en-GB"/>
        </w:rPr>
        <w:t>Në nivel vendor ngritja dhe funksionimi i Njësisë së Vlerësimit të Nevojave dhe Referimit të Rastit është e lidhur direkt me funksionimin e sistemit. Kjo strukturë është përgjegjëse për: a) identifikimin e nevojave për shërbimet shoqërore; b) vlerësimin e nevojave në bazë të hartës së vulnerabiliteti; c) hartimin e planit social vendor të kostuar; ç) kontraktimin e ofruesit të shërbimeve të kujdesit shoqëror me anë të proedurave të prokurimit, sipas legjislacionit në fuqi për prokurimin publik; d) grumbullimin e informacioneve për rrjete e shërbimeve publike dhe jopublike që veprojnë në territorin e bashkisë. Ndon</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se ka patur progress n</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drejtim t</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ngritjes s</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rregjistrit elektronik t</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manaxhimit t</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rasteve, ky system nuk p</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rdoret n</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t</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gjith</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territorin, si dhe nga t</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gjitha sh</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rbimet sociale ( publike dhe jo publike). Nj</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koh</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sisht </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sht</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e nevojshme q</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ky s</w:t>
      </w:r>
      <w:r w:rsidR="00E9006B">
        <w:rPr>
          <w:rFonts w:ascii="Times New Roman" w:eastAsia="Times New Roman" w:hAnsi="Times New Roman" w:cs="Times New Roman"/>
          <w:iCs/>
          <w:lang w:val="pt-BR" w:eastAsia="en-GB"/>
        </w:rPr>
        <w:t>i</w:t>
      </w:r>
      <w:r w:rsidR="00F643DC" w:rsidRPr="00817921">
        <w:rPr>
          <w:rFonts w:ascii="Times New Roman" w:eastAsia="Times New Roman" w:hAnsi="Times New Roman" w:cs="Times New Roman"/>
          <w:iCs/>
          <w:lang w:val="pt-BR" w:eastAsia="en-GB"/>
        </w:rPr>
        <w:t>stem t</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komunikoj</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n</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m</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nyr</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t</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integruar me systemin e pagesave t</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ndihm</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s ekonomike dhe systemin e vler</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simit bio-psiko-social t</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aft</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sis</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s</w:t>
      </w:r>
      <w:r w:rsidR="00E9006B">
        <w:rPr>
          <w:rFonts w:ascii="Times New Roman" w:eastAsia="Times New Roman" w:hAnsi="Times New Roman" w:cs="Times New Roman"/>
          <w:iCs/>
          <w:lang w:val="pt-BR" w:eastAsia="en-GB"/>
        </w:rPr>
        <w:t>ë</w:t>
      </w:r>
      <w:r w:rsidR="00F643DC" w:rsidRPr="00817921">
        <w:rPr>
          <w:rFonts w:ascii="Times New Roman" w:eastAsia="Times New Roman" w:hAnsi="Times New Roman" w:cs="Times New Roman"/>
          <w:iCs/>
          <w:lang w:val="pt-BR" w:eastAsia="en-GB"/>
        </w:rPr>
        <w:t xml:space="preserve"> kufizuar. </w:t>
      </w:r>
    </w:p>
    <w:p w14:paraId="2BD6EAEB" w14:textId="5C5A68EB" w:rsidR="003A776D" w:rsidRPr="00817921" w:rsidRDefault="003A776D" w:rsidP="003A776D">
      <w:pPr>
        <w:pStyle w:val="NormalWeb"/>
        <w:rPr>
          <w:iCs/>
          <w:lang w:val="sq-AL"/>
        </w:rPr>
      </w:pPr>
      <w:r w:rsidRPr="00817921">
        <w:rPr>
          <w:b/>
          <w:iCs/>
          <w:lang w:val="sq-AL"/>
        </w:rPr>
        <w:t>Fleksibiliteti në përgjigjen ndaj emergjencave/krizave</w:t>
      </w:r>
      <w:r w:rsidR="00B830E0">
        <w:rPr>
          <w:b/>
          <w:iCs/>
          <w:lang w:val="sq-AL"/>
        </w:rPr>
        <w:t xml:space="preserve"> p</w:t>
      </w:r>
      <w:r w:rsidR="00E9006B">
        <w:rPr>
          <w:b/>
          <w:iCs/>
          <w:lang w:val="sq-AL"/>
        </w:rPr>
        <w:t>ë</w:t>
      </w:r>
      <w:r w:rsidR="00B830E0">
        <w:rPr>
          <w:b/>
          <w:iCs/>
          <w:lang w:val="sq-AL"/>
        </w:rPr>
        <w:t>rmes skemave financiare dhe sh</w:t>
      </w:r>
      <w:r w:rsidR="00E9006B">
        <w:rPr>
          <w:b/>
          <w:iCs/>
          <w:lang w:val="sq-AL"/>
        </w:rPr>
        <w:t>ë</w:t>
      </w:r>
      <w:r w:rsidR="00B830E0">
        <w:rPr>
          <w:b/>
          <w:iCs/>
          <w:lang w:val="sq-AL"/>
        </w:rPr>
        <w:t>rbimeve t</w:t>
      </w:r>
      <w:r w:rsidR="00E9006B">
        <w:rPr>
          <w:b/>
          <w:iCs/>
          <w:lang w:val="sq-AL"/>
        </w:rPr>
        <w:t>ë</w:t>
      </w:r>
      <w:r w:rsidR="00B830E0">
        <w:rPr>
          <w:b/>
          <w:iCs/>
          <w:lang w:val="sq-AL"/>
        </w:rPr>
        <w:t xml:space="preserve"> kujdesit social. </w:t>
      </w:r>
      <w:r w:rsidRPr="00817921">
        <w:rPr>
          <w:b/>
          <w:iCs/>
          <w:lang w:val="sq-AL"/>
        </w:rPr>
        <w:t xml:space="preserve"> </w:t>
      </w:r>
      <w:r w:rsidR="00E55B54" w:rsidRPr="00817921">
        <w:rPr>
          <w:iCs/>
          <w:lang w:val="pt-BR"/>
        </w:rPr>
        <w:t>B</w:t>
      </w:r>
      <w:r w:rsidRPr="00817921">
        <w:rPr>
          <w:iCs/>
          <w:lang w:val="pt-BR"/>
        </w:rPr>
        <w:t>uxhetet lokale aktualisht janë shumë të varura nga transfertat kombëtare si dhe të papërgatitura për të përballuar situata të emergjencës, duke mos pasur fleksibilitetin e nevojshëm lidhur me burimet njerëzore dhe financiare</w:t>
      </w:r>
      <w:r w:rsidRPr="00817921">
        <w:rPr>
          <w:iCs/>
          <w:vertAlign w:val="superscript"/>
          <w:lang w:val="pt-BR"/>
        </w:rPr>
        <w:footnoteReference w:id="169"/>
      </w:r>
      <w:r w:rsidRPr="00817921">
        <w:rPr>
          <w:iCs/>
          <w:lang w:val="pt-BR"/>
        </w:rPr>
        <w:t xml:space="preserve">. Fondi i kontigjencës për financimin e emergjencave dhe përshtatjen e sistemit të mbrojtjes sociale, me skema shtesë të mbështetjes financiare dhe/apo me shërbime, aktualisht mungon, në të dy nivelet e qeverisjes, për të reaguar shpejt dhe në mënyrë </w:t>
      </w:r>
      <w:r w:rsidRPr="00817921">
        <w:rPr>
          <w:iCs/>
          <w:lang w:val="sq-AL"/>
        </w:rPr>
        <w:t xml:space="preserve">efektive. </w:t>
      </w:r>
    </w:p>
    <w:p w14:paraId="323C73F3" w14:textId="5860C51B" w:rsidR="008114A3" w:rsidRDefault="003A776D" w:rsidP="00C92987">
      <w:pPr>
        <w:rPr>
          <w:rFonts w:ascii="Times New Roman" w:hAnsi="Times New Roman" w:cs="Times New Roman"/>
          <w:iCs/>
          <w:lang w:val="sq-AL"/>
        </w:rPr>
      </w:pPr>
      <w:r w:rsidRPr="00817921">
        <w:rPr>
          <w:rFonts w:ascii="Times New Roman" w:hAnsi="Times New Roman" w:cs="Times New Roman"/>
          <w:iCs/>
          <w:lang w:val="sq-AL"/>
        </w:rPr>
        <w:t>Indeksi i lartë në risqet natyrore dhe aksesi i ulët në financë janë dy nga faktorët kryesorë të nevojës për sisteme të mbrojtjes sociale që mbrojnë nga çdo goditje, individët në nevojë dhe ata të disavantazhuar</w:t>
      </w:r>
      <w:r w:rsidRPr="00817921">
        <w:rPr>
          <w:rFonts w:ascii="Times New Roman" w:hAnsi="Times New Roman" w:cs="Times New Roman"/>
          <w:iCs/>
          <w:vertAlign w:val="superscript"/>
          <w:lang w:val="sq-AL"/>
        </w:rPr>
        <w:footnoteReference w:id="170"/>
      </w:r>
      <w:r w:rsidRPr="00817921">
        <w:rPr>
          <w:rFonts w:ascii="Times New Roman" w:hAnsi="Times New Roman" w:cs="Times New Roman"/>
          <w:iCs/>
          <w:lang w:val="sq-AL"/>
        </w:rPr>
        <w:t>. Aktualisht, sistemi i mbrojtjes sociale në Shqipëri vuan nga: (a) pamundësia për të identifikuar shpejt njerëzit në nevojë; (b) mungesa e qartësisë së roleve të strukturave dhe punonjësve për rastet e emergjencave, (c) mungesa e një harte të ofrimit të shërbimeve në raste emergjencash dhe/apo krizash; (d) mungesa e kapaciteteve të punonjësve për veprim në raste emergjencash; dhe (e) nivel i ulët i vullnetarizmit dhe si rrjedhim, i përdorimit të vullnetarëve në këto situata.</w:t>
      </w:r>
    </w:p>
    <w:p w14:paraId="6836861A" w14:textId="77777777" w:rsidR="0049394A" w:rsidRDefault="0049394A" w:rsidP="004C22C3">
      <w:pPr>
        <w:tabs>
          <w:tab w:val="left" w:pos="1680"/>
        </w:tabs>
        <w:spacing w:after="0"/>
        <w:rPr>
          <w:rFonts w:ascii="Times New Roman" w:hAnsi="Times New Roman" w:cs="Times New Roman"/>
          <w:b/>
          <w:bCs/>
          <w:color w:val="242424"/>
          <w:szCs w:val="22"/>
          <w:bdr w:val="none" w:sz="0" w:space="0" w:color="auto" w:frame="1"/>
          <w:lang w:val="fr-FR"/>
        </w:rPr>
      </w:pPr>
    </w:p>
    <w:p w14:paraId="21E8954A" w14:textId="4860320D" w:rsidR="004C22C3" w:rsidRDefault="004C22C3" w:rsidP="004C22C3">
      <w:pPr>
        <w:tabs>
          <w:tab w:val="left" w:pos="1680"/>
        </w:tabs>
        <w:spacing w:after="0"/>
        <w:rPr>
          <w:rFonts w:ascii="Times New Roman" w:eastAsia="Times New Roman" w:hAnsi="Times New Roman" w:cs="Times New Roman"/>
          <w:iCs/>
          <w:szCs w:val="22"/>
          <w:lang w:val="sq-AL" w:eastAsia="en-GB"/>
        </w:rPr>
      </w:pPr>
      <w:proofErr w:type="spellStart"/>
      <w:r w:rsidRPr="00817921">
        <w:rPr>
          <w:rFonts w:ascii="Times New Roman" w:hAnsi="Times New Roman" w:cs="Times New Roman"/>
          <w:b/>
          <w:bCs/>
          <w:color w:val="242424"/>
          <w:szCs w:val="22"/>
          <w:bdr w:val="none" w:sz="0" w:space="0" w:color="auto" w:frame="1"/>
          <w:lang w:val="fr-FR"/>
        </w:rPr>
        <w:t>Deinstitucioalizimi</w:t>
      </w:r>
      <w:proofErr w:type="spellEnd"/>
      <w:r w:rsidRPr="00817921">
        <w:rPr>
          <w:rFonts w:ascii="Times New Roman" w:hAnsi="Times New Roman" w:cs="Times New Roman"/>
          <w:b/>
          <w:bCs/>
          <w:color w:val="242424"/>
          <w:szCs w:val="22"/>
          <w:bdr w:val="none" w:sz="0" w:space="0" w:color="auto" w:frame="1"/>
          <w:lang w:val="fr-FR"/>
        </w:rPr>
        <w:t xml:space="preserve"> i </w:t>
      </w:r>
      <w:proofErr w:type="spellStart"/>
      <w:r w:rsidRPr="00817921">
        <w:rPr>
          <w:rFonts w:ascii="Times New Roman" w:hAnsi="Times New Roman" w:cs="Times New Roman"/>
          <w:b/>
          <w:bCs/>
          <w:color w:val="242424"/>
          <w:szCs w:val="22"/>
          <w:bdr w:val="none" w:sz="0" w:space="0" w:color="auto" w:frame="1"/>
          <w:lang w:val="fr-FR"/>
        </w:rPr>
        <w:t>kujdesit</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rezidecial</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p</w:t>
      </w:r>
      <w:r w:rsidR="00AD20C7">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r</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f</w:t>
      </w:r>
      <w:r w:rsidR="00AD20C7">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mij</w:t>
      </w:r>
      <w:r w:rsidR="00AD20C7">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t</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pa</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kujdes</w:t>
      </w:r>
      <w:proofErr w:type="spellEnd"/>
      <w:r w:rsidRPr="00817921">
        <w:rPr>
          <w:rFonts w:ascii="Times New Roman" w:hAnsi="Times New Roman" w:cs="Times New Roman"/>
          <w:b/>
          <w:bCs/>
          <w:color w:val="242424"/>
          <w:szCs w:val="22"/>
          <w:bdr w:val="none" w:sz="0" w:space="0" w:color="auto" w:frame="1"/>
          <w:lang w:val="fr-FR"/>
        </w:rPr>
        <w:t xml:space="preserve"> </w:t>
      </w:r>
      <w:proofErr w:type="spellStart"/>
      <w:r w:rsidRPr="00817921">
        <w:rPr>
          <w:rFonts w:ascii="Times New Roman" w:hAnsi="Times New Roman" w:cs="Times New Roman"/>
          <w:b/>
          <w:bCs/>
          <w:color w:val="242424"/>
          <w:szCs w:val="22"/>
          <w:bdr w:val="none" w:sz="0" w:space="0" w:color="auto" w:frame="1"/>
          <w:lang w:val="fr-FR"/>
        </w:rPr>
        <w:t>prind</w:t>
      </w:r>
      <w:r w:rsidR="00AD20C7">
        <w:rPr>
          <w:rFonts w:ascii="Times New Roman" w:hAnsi="Times New Roman" w:cs="Times New Roman"/>
          <w:b/>
          <w:bCs/>
          <w:color w:val="242424"/>
          <w:szCs w:val="22"/>
          <w:bdr w:val="none" w:sz="0" w:space="0" w:color="auto" w:frame="1"/>
          <w:lang w:val="fr-FR"/>
        </w:rPr>
        <w:t>ë</w:t>
      </w:r>
      <w:r w:rsidRPr="00817921">
        <w:rPr>
          <w:rFonts w:ascii="Times New Roman" w:hAnsi="Times New Roman" w:cs="Times New Roman"/>
          <w:b/>
          <w:bCs/>
          <w:color w:val="242424"/>
          <w:szCs w:val="22"/>
          <w:bdr w:val="none" w:sz="0" w:space="0" w:color="auto" w:frame="1"/>
          <w:lang w:val="fr-FR"/>
        </w:rPr>
        <w:t>ror</w:t>
      </w:r>
      <w:proofErr w:type="spellEnd"/>
      <w:r w:rsidRPr="00817921">
        <w:rPr>
          <w:rFonts w:ascii="Times New Roman" w:hAnsi="Times New Roman" w:cs="Times New Roman"/>
          <w:b/>
          <w:bCs/>
          <w:color w:val="242424"/>
          <w:szCs w:val="22"/>
          <w:bdr w:val="none" w:sz="0" w:space="0" w:color="auto" w:frame="1"/>
          <w:lang w:val="fr-FR"/>
        </w:rPr>
        <w:t xml:space="preserve"> 0-18 </w:t>
      </w:r>
      <w:proofErr w:type="spellStart"/>
      <w:r w:rsidRPr="00817921">
        <w:rPr>
          <w:rFonts w:ascii="Times New Roman" w:hAnsi="Times New Roman" w:cs="Times New Roman"/>
          <w:b/>
          <w:bCs/>
          <w:color w:val="242424"/>
          <w:szCs w:val="22"/>
          <w:bdr w:val="none" w:sz="0" w:space="0" w:color="auto" w:frame="1"/>
          <w:lang w:val="fr-FR"/>
        </w:rPr>
        <w:t>vjec</w:t>
      </w:r>
      <w:proofErr w:type="spellEnd"/>
      <w:r w:rsidRPr="00817921">
        <w:rPr>
          <w:rFonts w:ascii="Times New Roman" w:hAnsi="Times New Roman" w:cs="Times New Roman"/>
          <w:b/>
          <w:bCs/>
          <w:color w:val="242424"/>
          <w:szCs w:val="22"/>
          <w:bdr w:val="none" w:sz="0" w:space="0" w:color="auto" w:frame="1"/>
          <w:lang w:val="fr-FR"/>
        </w:rPr>
        <w:t xml:space="preserve">. </w:t>
      </w:r>
      <w:r w:rsidRPr="00817921">
        <w:rPr>
          <w:rFonts w:ascii="Times New Roman" w:hAnsi="Times New Roman" w:cs="Times New Roman"/>
          <w:iCs/>
          <w:lang w:val="sq-AL"/>
        </w:rPr>
        <w:t xml:space="preserve">Në drejtim të </w:t>
      </w:r>
      <w:r w:rsidRPr="00817921">
        <w:rPr>
          <w:rFonts w:ascii="Times New Roman" w:eastAsia="Times New Roman" w:hAnsi="Times New Roman" w:cs="Times New Roman"/>
          <w:iCs/>
          <w:szCs w:val="22"/>
          <w:lang w:val="sq-AL" w:eastAsia="en-GB"/>
        </w:rPr>
        <w:t>deinstitucionalizmit të shërbimit rezidencial për fëmijët 0-16 vjec ka pësuar progres. Është ngritur dhe funksionon Komiteti Drejtues për zbatimin e Planit Kombëtar të Deinstitucionalizimit 2020-2022 dhe komiteti teknik, me Urdhërin e Ministrit të Shëndetësisë dhe Mbrojtjes Sociale nr.548, datë 01.20.2020 “Për ngritjen dhe funksionimin e Komitetit Drejtues për zbatimin e Planit Kombëtar të Deinstitucionalizimit 2020-2022”. Janë vlerësuar dhe hartuar planet individuale 185 fëmijë; 35 fëmijë janë kthyer në familjet biologjike; të birësuar 24 fëmijë; 2 në foster care dhe 30 fëmijë jetesë të pavarur . Konsiderohet si mjaft e rëndësishme monitorimi në vazhdimësi i fëmijëve dhe të rinjve që kanë dalë nga institucionet përmes bashkëpunimit e njësitë e mbrojtjes së fëmijëve në nivel vendor dhe nxitja e parandalimit t</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f</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mij</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ve n</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situt</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rreziku p</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 institucionalizim, mb</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shtetja dhe fuqizimi i prind</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rve p</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 mir</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rritjen e f</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mij</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ve, nxitja e sh</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rbimit t</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kujdestaris</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profesionale, si dhe format e tjera alternative p</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 kujdesin ndaj f</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mij</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ve, p</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rfshir</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 jetes</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n e pavarur p</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r f</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mij</w:t>
      </w:r>
      <w:r w:rsidR="00AD20C7" w:rsidRPr="00817921">
        <w:rPr>
          <w:rFonts w:ascii="Times New Roman" w:eastAsia="Times New Roman" w:hAnsi="Times New Roman" w:cs="Times New Roman"/>
          <w:iCs/>
          <w:szCs w:val="22"/>
          <w:lang w:val="sq-AL" w:eastAsia="en-GB"/>
        </w:rPr>
        <w:t>ë</w:t>
      </w:r>
      <w:r w:rsidRPr="00817921">
        <w:rPr>
          <w:rFonts w:ascii="Times New Roman" w:eastAsia="Times New Roman" w:hAnsi="Times New Roman" w:cs="Times New Roman"/>
          <w:iCs/>
          <w:szCs w:val="22"/>
          <w:lang w:val="sq-AL" w:eastAsia="en-GB"/>
        </w:rPr>
        <w:t xml:space="preserve">t mbi 16 vjec. </w:t>
      </w:r>
    </w:p>
    <w:p w14:paraId="13767E5E" w14:textId="77777777" w:rsidR="004C22C3" w:rsidRDefault="004C22C3" w:rsidP="00C92987">
      <w:pPr>
        <w:rPr>
          <w:rFonts w:ascii="Times New Roman" w:hAnsi="Times New Roman" w:cs="Times New Roman"/>
          <w:iCs/>
          <w:lang w:val="sq-AL"/>
        </w:rPr>
      </w:pPr>
    </w:p>
    <w:p w14:paraId="49594D9F" w14:textId="77777777" w:rsidR="008114A3" w:rsidRDefault="008114A3" w:rsidP="00C92987">
      <w:pPr>
        <w:rPr>
          <w:rFonts w:ascii="Times New Roman" w:hAnsi="Times New Roman" w:cs="Times New Roman"/>
          <w:iCs/>
          <w:lang w:val="sq-AL"/>
        </w:rPr>
      </w:pPr>
    </w:p>
    <w:p w14:paraId="49004855" w14:textId="1563C66F" w:rsidR="00714845" w:rsidRPr="00817921" w:rsidRDefault="009E2AF0" w:rsidP="00C92987">
      <w:pPr>
        <w:rPr>
          <w:rFonts w:ascii="Times New Roman" w:hAnsi="Times New Roman" w:cs="Times New Roman"/>
          <w:szCs w:val="22"/>
          <w:lang w:val="sq-AL"/>
        </w:rPr>
      </w:pPr>
      <w:r w:rsidRPr="00817921">
        <w:rPr>
          <w:rFonts w:ascii="Times New Roman" w:hAnsi="Times New Roman" w:cs="Times New Roman"/>
          <w:szCs w:val="22"/>
          <w:lang w:val="sq-AL"/>
        </w:rPr>
        <w:br w:type="page"/>
      </w:r>
    </w:p>
    <w:p w14:paraId="337D4883" w14:textId="2134AE7E" w:rsidR="006B559E" w:rsidRDefault="006B559E" w:rsidP="00E14B65">
      <w:pPr>
        <w:pStyle w:val="Heading1"/>
        <w:rPr>
          <w:rFonts w:ascii="Times New Roman" w:hAnsi="Times New Roman" w:cs="Times New Roman"/>
          <w:sz w:val="24"/>
          <w:szCs w:val="24"/>
          <w:lang w:val="sq-AL"/>
        </w:rPr>
      </w:pPr>
      <w:bookmarkStart w:id="28" w:name="_Toc119598194"/>
      <w:bookmarkStart w:id="29" w:name="_Toc150809622"/>
      <w:bookmarkStart w:id="30" w:name="_Toc150896491"/>
      <w:r w:rsidRPr="00817921">
        <w:rPr>
          <w:rFonts w:ascii="Times New Roman" w:hAnsi="Times New Roman" w:cs="Times New Roman"/>
          <w:sz w:val="24"/>
          <w:szCs w:val="24"/>
          <w:lang w:val="sq-AL"/>
        </w:rPr>
        <w:t>Vizioni, Shtyllat ose Fushat Strategjike dhe Qëllimet e Politikave</w:t>
      </w:r>
      <w:bookmarkEnd w:id="28"/>
      <w:bookmarkEnd w:id="29"/>
      <w:bookmarkEnd w:id="30"/>
    </w:p>
    <w:p w14:paraId="7D16E5C5" w14:textId="77777777" w:rsidR="00B830E0" w:rsidRPr="00B830E0" w:rsidRDefault="00B830E0" w:rsidP="00817921">
      <w:pPr>
        <w:rPr>
          <w:lang w:val="sq-AL"/>
        </w:rPr>
      </w:pPr>
    </w:p>
    <w:p w14:paraId="685394BE" w14:textId="77777777" w:rsidR="006B559E" w:rsidRPr="00817921" w:rsidRDefault="006B559E" w:rsidP="008D0175">
      <w:pPr>
        <w:pStyle w:val="Heading2"/>
        <w:numPr>
          <w:ilvl w:val="1"/>
          <w:numId w:val="2"/>
        </w:numPr>
        <w:rPr>
          <w:rFonts w:ascii="Times New Roman" w:hAnsi="Times New Roman" w:cs="Times New Roman"/>
          <w:sz w:val="24"/>
          <w:szCs w:val="24"/>
          <w:lang w:val="sq-AL"/>
        </w:rPr>
      </w:pPr>
      <w:bookmarkStart w:id="31" w:name="_Toc119598195"/>
      <w:bookmarkStart w:id="32" w:name="_Toc150809623"/>
      <w:bookmarkStart w:id="33" w:name="_Toc150896492"/>
      <w:r w:rsidRPr="00817921">
        <w:rPr>
          <w:rFonts w:ascii="Times New Roman" w:hAnsi="Times New Roman" w:cs="Times New Roman"/>
          <w:sz w:val="24"/>
          <w:szCs w:val="24"/>
          <w:lang w:val="sq-AL"/>
        </w:rPr>
        <w:t>Vizioni</w:t>
      </w:r>
      <w:bookmarkEnd w:id="31"/>
      <w:bookmarkEnd w:id="32"/>
      <w:bookmarkEnd w:id="33"/>
    </w:p>
    <w:p w14:paraId="5272757C" w14:textId="77777777" w:rsidR="00B830E0" w:rsidRDefault="00B830E0" w:rsidP="00212ED3">
      <w:pPr>
        <w:pStyle w:val="Heading2"/>
        <w:numPr>
          <w:ilvl w:val="0"/>
          <w:numId w:val="0"/>
        </w:numPr>
        <w:rPr>
          <w:rFonts w:ascii="Times New Roman" w:eastAsiaTheme="minorHAnsi" w:hAnsi="Times New Roman" w:cs="Times New Roman"/>
          <w:b/>
          <w:bCs/>
          <w:color w:val="auto"/>
          <w:sz w:val="22"/>
          <w:szCs w:val="22"/>
          <w:lang w:val="sq-AL"/>
        </w:rPr>
      </w:pPr>
      <w:bookmarkStart w:id="34" w:name="_Toc119598196"/>
    </w:p>
    <w:p w14:paraId="3021129F" w14:textId="7840365D" w:rsidR="00212ED3" w:rsidRDefault="00212ED3" w:rsidP="00212ED3">
      <w:pPr>
        <w:pStyle w:val="Heading2"/>
        <w:numPr>
          <w:ilvl w:val="0"/>
          <w:numId w:val="0"/>
        </w:numPr>
        <w:rPr>
          <w:rFonts w:ascii="Times New Roman" w:eastAsiaTheme="minorHAnsi" w:hAnsi="Times New Roman" w:cs="Times New Roman"/>
          <w:b/>
          <w:bCs/>
          <w:color w:val="auto"/>
          <w:sz w:val="22"/>
          <w:szCs w:val="22"/>
          <w:lang w:val="sq-AL"/>
        </w:rPr>
      </w:pPr>
      <w:bookmarkStart w:id="35" w:name="_Toc150809624"/>
      <w:bookmarkStart w:id="36" w:name="_Toc150896493"/>
      <w:r w:rsidRPr="00817921">
        <w:rPr>
          <w:rFonts w:ascii="Times New Roman" w:eastAsiaTheme="minorHAnsi" w:hAnsi="Times New Roman" w:cs="Times New Roman"/>
          <w:b/>
          <w:bCs/>
          <w:color w:val="auto"/>
          <w:sz w:val="22"/>
          <w:szCs w:val="22"/>
          <w:lang w:val="sq-AL"/>
        </w:rPr>
        <w:t>“Mbrojtje sociale në një mjedis mundësues dhe fuqizues për çdo individ në nevojë, duke garantuar jetesë dinjitoze përgjatë ciklit të jetës”.</w:t>
      </w:r>
      <w:bookmarkEnd w:id="35"/>
      <w:bookmarkEnd w:id="36"/>
      <w:r w:rsidRPr="00817921">
        <w:rPr>
          <w:rFonts w:ascii="Times New Roman" w:eastAsiaTheme="minorHAnsi" w:hAnsi="Times New Roman" w:cs="Times New Roman"/>
          <w:b/>
          <w:bCs/>
          <w:color w:val="auto"/>
          <w:sz w:val="22"/>
          <w:szCs w:val="22"/>
          <w:lang w:val="sq-AL"/>
        </w:rPr>
        <w:t xml:space="preserve"> </w:t>
      </w:r>
    </w:p>
    <w:p w14:paraId="44320887" w14:textId="77777777" w:rsidR="008114A3" w:rsidRPr="008114A3" w:rsidRDefault="008114A3" w:rsidP="00817921">
      <w:pPr>
        <w:rPr>
          <w:lang w:val="sq-AL"/>
        </w:rPr>
      </w:pPr>
    </w:p>
    <w:p w14:paraId="265101AC" w14:textId="7FD42E02" w:rsidR="006B559E" w:rsidRPr="00817921" w:rsidRDefault="006B559E" w:rsidP="00212ED3">
      <w:pPr>
        <w:pStyle w:val="Heading2"/>
        <w:numPr>
          <w:ilvl w:val="1"/>
          <w:numId w:val="2"/>
        </w:numPr>
        <w:rPr>
          <w:rFonts w:ascii="Times New Roman" w:hAnsi="Times New Roman" w:cs="Times New Roman"/>
          <w:sz w:val="24"/>
          <w:szCs w:val="24"/>
          <w:lang w:val="sq-AL"/>
        </w:rPr>
      </w:pPr>
      <w:bookmarkStart w:id="37" w:name="_Toc150809625"/>
      <w:bookmarkStart w:id="38" w:name="_Toc150896494"/>
      <w:r w:rsidRPr="00817921">
        <w:rPr>
          <w:rFonts w:ascii="Times New Roman" w:hAnsi="Times New Roman" w:cs="Times New Roman"/>
          <w:sz w:val="24"/>
          <w:szCs w:val="24"/>
          <w:lang w:val="sq-AL"/>
        </w:rPr>
        <w:t>Qëllimet e politikës</w:t>
      </w:r>
      <w:bookmarkEnd w:id="34"/>
      <w:bookmarkEnd w:id="37"/>
      <w:bookmarkEnd w:id="38"/>
    </w:p>
    <w:p w14:paraId="43659F26" w14:textId="77777777" w:rsidR="007A3AD7" w:rsidRPr="00817921" w:rsidRDefault="007A3AD7" w:rsidP="008D5279">
      <w:pPr>
        <w:rPr>
          <w:rFonts w:ascii="Times New Roman" w:eastAsiaTheme="majorEastAsia" w:hAnsi="Times New Roman" w:cs="Times New Roman"/>
          <w:b/>
          <w:color w:val="1F3763" w:themeColor="accent1" w:themeShade="7F"/>
          <w:szCs w:val="22"/>
          <w:lang w:val="sq-AL"/>
        </w:rPr>
      </w:pPr>
      <w:bookmarkStart w:id="39" w:name="_Toc119598197"/>
    </w:p>
    <w:p w14:paraId="0CB9F503" w14:textId="42E02F27" w:rsidR="006B559E" w:rsidRPr="00817921" w:rsidRDefault="006B559E" w:rsidP="00817921">
      <w:pPr>
        <w:pStyle w:val="Heading3"/>
        <w:rPr>
          <w:rFonts w:ascii="Times New Roman" w:hAnsi="Times New Roman" w:cs="Times New Roman"/>
          <w:color w:val="auto"/>
          <w:lang w:val="sq-AL"/>
        </w:rPr>
      </w:pPr>
      <w:bookmarkStart w:id="40" w:name="_Toc150809626"/>
      <w:bookmarkStart w:id="41" w:name="_Toc150896495"/>
      <w:r w:rsidRPr="00817921">
        <w:rPr>
          <w:rFonts w:ascii="Times New Roman" w:hAnsi="Times New Roman" w:cs="Times New Roman"/>
          <w:b/>
          <w:bCs/>
          <w:color w:val="auto"/>
          <w:lang w:val="sq-AL"/>
        </w:rPr>
        <w:t xml:space="preserve">Qëllimi i politikës </w:t>
      </w:r>
      <w:r w:rsidR="00817921" w:rsidRPr="00817921">
        <w:rPr>
          <w:rFonts w:ascii="Times New Roman" w:hAnsi="Times New Roman" w:cs="Times New Roman"/>
          <w:b/>
          <w:bCs/>
          <w:color w:val="auto"/>
          <w:lang w:val="sq-AL"/>
        </w:rPr>
        <w:t>A</w:t>
      </w:r>
      <w:r w:rsidRPr="00817921">
        <w:rPr>
          <w:rFonts w:ascii="Times New Roman" w:hAnsi="Times New Roman" w:cs="Times New Roman"/>
          <w:b/>
          <w:bCs/>
          <w:color w:val="auto"/>
          <w:lang w:val="sq-AL"/>
        </w:rPr>
        <w:t>:</w:t>
      </w:r>
      <w:r w:rsidRPr="00817921">
        <w:rPr>
          <w:rFonts w:ascii="Times New Roman" w:hAnsi="Times New Roman" w:cs="Times New Roman"/>
          <w:color w:val="auto"/>
          <w:lang w:val="sq-AL"/>
        </w:rPr>
        <w:t xml:space="preserve"> </w:t>
      </w:r>
      <w:bookmarkEnd w:id="39"/>
      <w:r w:rsidR="00267598" w:rsidRPr="00817921">
        <w:rPr>
          <w:rFonts w:ascii="Times New Roman" w:hAnsi="Times New Roman" w:cs="Times New Roman"/>
          <w:color w:val="auto"/>
          <w:lang w:val="sq-AL"/>
        </w:rPr>
        <w:t xml:space="preserve">Zbutja e varfërisë për </w:t>
      </w:r>
      <w:r w:rsidR="00AB4D37" w:rsidRPr="00817921">
        <w:rPr>
          <w:rFonts w:ascii="Times New Roman" w:hAnsi="Times New Roman" w:cs="Times New Roman"/>
          <w:color w:val="auto"/>
          <w:lang w:val="sq-AL"/>
        </w:rPr>
        <w:t>çdo</w:t>
      </w:r>
      <w:r w:rsidR="00267598" w:rsidRPr="00817921">
        <w:rPr>
          <w:rFonts w:ascii="Times New Roman" w:hAnsi="Times New Roman" w:cs="Times New Roman"/>
          <w:color w:val="auto"/>
          <w:lang w:val="sq-AL"/>
        </w:rPr>
        <w:t xml:space="preserve"> individ në nevojë dhe përmirësimi i jetesës për personat me Aftësi të Kufizuara nëpërmjet skemave financiare të përshtatshme, të përgjegjshme gjinore,  transparente për fuqizim dhe integrim, të afta për përballimin e rreziqeve e krizave.</w:t>
      </w:r>
      <w:bookmarkEnd w:id="40"/>
      <w:bookmarkEnd w:id="41"/>
    </w:p>
    <w:p w14:paraId="0F6B5C83" w14:textId="77777777" w:rsidR="00817921" w:rsidRPr="00817921" w:rsidRDefault="00817921" w:rsidP="008D5279">
      <w:pPr>
        <w:rPr>
          <w:rFonts w:ascii="Times New Roman" w:eastAsiaTheme="majorEastAsia" w:hAnsi="Times New Roman" w:cs="Times New Roman"/>
          <w:b/>
          <w:szCs w:val="22"/>
          <w:lang w:val="sq-AL"/>
        </w:rPr>
      </w:pPr>
    </w:p>
    <w:p w14:paraId="54F9192E" w14:textId="769802B9" w:rsidR="006B559E" w:rsidRPr="00817921" w:rsidRDefault="006B559E" w:rsidP="00817921">
      <w:pPr>
        <w:pStyle w:val="Heading4"/>
        <w:rPr>
          <w:rFonts w:ascii="Times New Roman" w:hAnsi="Times New Roman" w:cs="Times New Roman"/>
          <w:color w:val="auto"/>
          <w:lang w:val="sq-AL"/>
        </w:rPr>
      </w:pPr>
      <w:bookmarkStart w:id="42" w:name="_Toc150809627"/>
      <w:bookmarkStart w:id="43" w:name="_Toc150896496"/>
      <w:r w:rsidRPr="00817921">
        <w:rPr>
          <w:rFonts w:ascii="Times New Roman" w:hAnsi="Times New Roman" w:cs="Times New Roman"/>
          <w:color w:val="auto"/>
          <w:u w:val="single"/>
          <w:lang w:val="sq-AL"/>
        </w:rPr>
        <w:t xml:space="preserve">Objektivi specifik/strategjik </w:t>
      </w:r>
      <w:r w:rsidR="00F37FFE">
        <w:rPr>
          <w:rFonts w:ascii="Times New Roman" w:hAnsi="Times New Roman" w:cs="Times New Roman"/>
          <w:color w:val="auto"/>
          <w:u w:val="single"/>
          <w:lang w:val="sq-AL"/>
        </w:rPr>
        <w:t>A</w:t>
      </w:r>
      <w:r w:rsidRPr="00817921">
        <w:rPr>
          <w:rFonts w:ascii="Times New Roman" w:hAnsi="Times New Roman" w:cs="Times New Roman"/>
          <w:color w:val="auto"/>
          <w:u w:val="single"/>
          <w:lang w:val="sq-AL"/>
        </w:rPr>
        <w:t>1:</w:t>
      </w:r>
      <w:r w:rsidRPr="00817921">
        <w:rPr>
          <w:rFonts w:ascii="Times New Roman" w:hAnsi="Times New Roman" w:cs="Times New Roman"/>
          <w:color w:val="auto"/>
          <w:lang w:val="sq-AL"/>
        </w:rPr>
        <w:t xml:space="preserve"> </w:t>
      </w:r>
      <w:r w:rsidR="00267598" w:rsidRPr="00817921">
        <w:rPr>
          <w:rFonts w:ascii="Times New Roman" w:hAnsi="Times New Roman" w:cs="Times New Roman"/>
          <w:color w:val="auto"/>
          <w:lang w:val="sq-AL"/>
        </w:rPr>
        <w:t>Të përmirësohet performanca, përshtatshmëria dhe përgjigjja ndaj krizave e skemave financiare për individët (burra, gra, djem dhe vajza) në skemën e ndihmës ekonomike.</w:t>
      </w:r>
      <w:bookmarkEnd w:id="42"/>
      <w:bookmarkEnd w:id="43"/>
    </w:p>
    <w:p w14:paraId="7347D02D" w14:textId="7E1A9EC9" w:rsidR="006B559E" w:rsidRPr="00817921" w:rsidRDefault="006B559E" w:rsidP="00817921">
      <w:pPr>
        <w:pStyle w:val="Heading4"/>
        <w:rPr>
          <w:rFonts w:ascii="Times New Roman" w:hAnsi="Times New Roman" w:cs="Times New Roman"/>
          <w:color w:val="auto"/>
          <w:u w:val="single"/>
          <w:lang w:val="sq-AL"/>
        </w:rPr>
      </w:pPr>
      <w:bookmarkStart w:id="44" w:name="_Toc150809628"/>
      <w:bookmarkStart w:id="45" w:name="_Toc150896497"/>
      <w:r w:rsidRPr="00817921">
        <w:rPr>
          <w:rFonts w:ascii="Times New Roman" w:hAnsi="Times New Roman" w:cs="Times New Roman"/>
          <w:color w:val="auto"/>
          <w:u w:val="single"/>
          <w:lang w:val="sq-AL"/>
        </w:rPr>
        <w:t xml:space="preserve">Objektivi specifik/strategjik </w:t>
      </w:r>
      <w:r w:rsidR="00F37FFE">
        <w:rPr>
          <w:rFonts w:ascii="Times New Roman" w:hAnsi="Times New Roman" w:cs="Times New Roman"/>
          <w:color w:val="auto"/>
          <w:u w:val="single"/>
          <w:lang w:val="sq-AL"/>
        </w:rPr>
        <w:t>A</w:t>
      </w:r>
      <w:r w:rsidRPr="00817921">
        <w:rPr>
          <w:rFonts w:ascii="Times New Roman" w:hAnsi="Times New Roman" w:cs="Times New Roman"/>
          <w:color w:val="auto"/>
          <w:u w:val="single"/>
          <w:lang w:val="sq-AL"/>
        </w:rPr>
        <w:t xml:space="preserve">2: </w:t>
      </w:r>
      <w:r w:rsidR="00267598" w:rsidRPr="00817921">
        <w:rPr>
          <w:rFonts w:ascii="Times New Roman" w:hAnsi="Times New Roman" w:cs="Times New Roman"/>
          <w:color w:val="auto"/>
          <w:lang w:val="sq-AL"/>
        </w:rPr>
        <w:t>Konsolidimi i vlerësimit bio-psikosocial dhe një sistem i qëndrueshëm dhe i mirëshënjestruar për Personat me Aftësi të Kufizuara.</w:t>
      </w:r>
      <w:bookmarkEnd w:id="44"/>
      <w:bookmarkEnd w:id="45"/>
      <w:r w:rsidR="00267598" w:rsidRPr="00817921">
        <w:rPr>
          <w:rFonts w:ascii="Times New Roman" w:hAnsi="Times New Roman" w:cs="Times New Roman"/>
          <w:color w:val="auto"/>
          <w:u w:val="single"/>
          <w:lang w:val="sq-AL"/>
        </w:rPr>
        <w:t xml:space="preserve"> </w:t>
      </w:r>
    </w:p>
    <w:p w14:paraId="250A3FB7" w14:textId="1AC63526" w:rsidR="006B559E" w:rsidRPr="00817921" w:rsidRDefault="006B559E" w:rsidP="00817921">
      <w:pPr>
        <w:pStyle w:val="Heading4"/>
        <w:rPr>
          <w:rFonts w:ascii="Times New Roman" w:hAnsi="Times New Roman" w:cs="Times New Roman"/>
          <w:color w:val="auto"/>
          <w:lang w:val="sq-AL"/>
        </w:rPr>
      </w:pPr>
      <w:bookmarkStart w:id="46" w:name="_Toc150809629"/>
      <w:bookmarkStart w:id="47" w:name="_Toc150896498"/>
      <w:r w:rsidRPr="00817921">
        <w:rPr>
          <w:rFonts w:ascii="Times New Roman" w:hAnsi="Times New Roman" w:cs="Times New Roman"/>
          <w:color w:val="auto"/>
          <w:u w:val="single"/>
          <w:lang w:val="sq-AL"/>
        </w:rPr>
        <w:t xml:space="preserve">Objektivi specifik/strategjik </w:t>
      </w:r>
      <w:r w:rsidR="00F37FFE">
        <w:rPr>
          <w:rFonts w:ascii="Times New Roman" w:hAnsi="Times New Roman" w:cs="Times New Roman"/>
          <w:color w:val="auto"/>
          <w:u w:val="single"/>
          <w:lang w:val="sq-AL"/>
        </w:rPr>
        <w:t>A</w:t>
      </w:r>
      <w:r w:rsidRPr="00817921">
        <w:rPr>
          <w:rFonts w:ascii="Times New Roman" w:hAnsi="Times New Roman" w:cs="Times New Roman"/>
          <w:color w:val="auto"/>
          <w:u w:val="single"/>
          <w:lang w:val="sq-AL"/>
        </w:rPr>
        <w:t>3:</w:t>
      </w:r>
      <w:r w:rsidRPr="00817921">
        <w:rPr>
          <w:rFonts w:ascii="Times New Roman" w:hAnsi="Times New Roman" w:cs="Times New Roman"/>
          <w:color w:val="auto"/>
          <w:lang w:val="sq-AL"/>
        </w:rPr>
        <w:t xml:space="preserve"> </w:t>
      </w:r>
      <w:r w:rsidR="00267598" w:rsidRPr="00817921">
        <w:rPr>
          <w:rFonts w:ascii="Times New Roman" w:hAnsi="Times New Roman" w:cs="Times New Roman"/>
          <w:color w:val="auto"/>
          <w:lang w:val="sq-AL"/>
        </w:rPr>
        <w:t>Përmirësimi i shënjestrimit të fëmijëve, vajza dhe djem përmes skemave financare të ndjeshme gjinore dhe një programi mbrojtje sociale me fokus fëmijët.</w:t>
      </w:r>
      <w:bookmarkEnd w:id="46"/>
      <w:bookmarkEnd w:id="47"/>
      <w:r w:rsidR="00267598" w:rsidRPr="00817921">
        <w:rPr>
          <w:rFonts w:ascii="Times New Roman" w:hAnsi="Times New Roman" w:cs="Times New Roman"/>
          <w:color w:val="auto"/>
          <w:lang w:val="sq-AL"/>
        </w:rPr>
        <w:t xml:space="preserve"> </w:t>
      </w:r>
    </w:p>
    <w:p w14:paraId="1CF699F6" w14:textId="77777777" w:rsidR="00817921" w:rsidRDefault="00817921" w:rsidP="00E14B65">
      <w:pPr>
        <w:rPr>
          <w:rFonts w:ascii="Times New Roman" w:hAnsi="Times New Roman" w:cs="Times New Roman"/>
          <w:b/>
          <w:bCs/>
          <w:szCs w:val="22"/>
          <w:lang w:val="sq-AL"/>
        </w:rPr>
      </w:pPr>
    </w:p>
    <w:p w14:paraId="153B2294" w14:textId="29FAFE32" w:rsidR="006B559E" w:rsidRDefault="006B559E" w:rsidP="00E14B65">
      <w:pPr>
        <w:rPr>
          <w:rFonts w:ascii="Times New Roman" w:hAnsi="Times New Roman" w:cs="Times New Roman"/>
          <w:szCs w:val="22"/>
          <w:lang w:val="sq-AL"/>
        </w:rPr>
      </w:pPr>
      <w:r w:rsidRPr="00817921">
        <w:rPr>
          <w:rFonts w:ascii="Times New Roman" w:hAnsi="Times New Roman" w:cs="Times New Roman"/>
          <w:b/>
          <w:bCs/>
          <w:szCs w:val="22"/>
          <w:lang w:val="sq-AL"/>
        </w:rPr>
        <w:t>Masat prioritare</w:t>
      </w:r>
      <w:r w:rsidRPr="00817921">
        <w:rPr>
          <w:rStyle w:val="apple-converted-space"/>
          <w:rFonts w:ascii="Times New Roman" w:hAnsi="Times New Roman" w:cs="Times New Roman"/>
          <w:szCs w:val="22"/>
          <w:lang w:val="sq-AL"/>
        </w:rPr>
        <w:t xml:space="preserve"> </w:t>
      </w:r>
      <w:r w:rsidRPr="00817921">
        <w:rPr>
          <w:rFonts w:ascii="Times New Roman" w:hAnsi="Times New Roman" w:cs="Times New Roman"/>
          <w:szCs w:val="22"/>
          <w:lang w:val="sq-AL"/>
        </w:rPr>
        <w:t>që do të kontribuojnë në arritjen e objektivave specifike/strategjike janë:</w:t>
      </w:r>
    </w:p>
    <w:p w14:paraId="24E145F0" w14:textId="77777777" w:rsidR="00CE1867" w:rsidRPr="00817921" w:rsidRDefault="00CE1867" w:rsidP="00E14B65">
      <w:pPr>
        <w:rPr>
          <w:rFonts w:ascii="Times New Roman" w:hAnsi="Times New Roman" w:cs="Times New Roman"/>
          <w:szCs w:val="22"/>
          <w:lang w:val="sq-AL"/>
        </w:rPr>
      </w:pPr>
    </w:p>
    <w:p w14:paraId="07EB352B" w14:textId="4FCB7EEC" w:rsidR="000B4B6D" w:rsidRPr="00F37FFE" w:rsidRDefault="000B4B6D" w:rsidP="00F37FFE">
      <w:pPr>
        <w:pStyle w:val="Normal0"/>
        <w:rPr>
          <w:color w:val="4472C4" w:themeColor="accent1"/>
          <w:lang w:val="sq-AL"/>
        </w:rPr>
      </w:pPr>
      <w:bookmarkStart w:id="48" w:name="_Toc119598199"/>
      <w:r w:rsidRPr="00F37FFE">
        <w:rPr>
          <w:color w:val="4472C4" w:themeColor="accent1"/>
          <w:lang w:val="sq-AL"/>
        </w:rPr>
        <w:t xml:space="preserve">Përmirësimi i performancës dhe transparencës së skemës së ndihmës ekonomike dhe përfitimeve të tjera për adresimin efektiv dhe të ndjeshëm gjinor të nevojave të </w:t>
      </w:r>
      <w:r w:rsidR="00276B6A" w:rsidRPr="00F37FFE">
        <w:rPr>
          <w:color w:val="4472C4" w:themeColor="accent1"/>
          <w:lang w:val="sq-AL"/>
        </w:rPr>
        <w:t>ç</w:t>
      </w:r>
      <w:r w:rsidRPr="00F37FFE">
        <w:rPr>
          <w:color w:val="4472C4" w:themeColor="accent1"/>
          <w:lang w:val="sq-AL"/>
        </w:rPr>
        <w:t>do individi, të mirëadministruar në të gjitha nivelet</w:t>
      </w:r>
      <w:r w:rsidR="0062322E" w:rsidRPr="00F37FFE">
        <w:rPr>
          <w:color w:val="4472C4" w:themeColor="accent1"/>
          <w:lang w:val="sq-AL"/>
        </w:rPr>
        <w:t>.</w:t>
      </w:r>
    </w:p>
    <w:p w14:paraId="656356CF" w14:textId="2FAB3A06" w:rsidR="000B4B6D" w:rsidRPr="007A3AD7" w:rsidRDefault="000B4B6D" w:rsidP="000B4B6D">
      <w:pPr>
        <w:pStyle w:val="NormalWeb"/>
        <w:rPr>
          <w:szCs w:val="22"/>
          <w:lang w:val="sq-AL"/>
        </w:rPr>
      </w:pPr>
      <w:r w:rsidRPr="007A3AD7">
        <w:rPr>
          <w:szCs w:val="22"/>
          <w:lang w:val="sq-AL"/>
        </w:rPr>
        <w:t>Pas zbatimit komb</w:t>
      </w:r>
      <w:r w:rsidR="009A5A0E" w:rsidRPr="007A3AD7">
        <w:rPr>
          <w:szCs w:val="22"/>
          <w:lang w:val="sq-AL"/>
        </w:rPr>
        <w:t>ë</w:t>
      </w:r>
      <w:r w:rsidRPr="007A3AD7">
        <w:rPr>
          <w:szCs w:val="22"/>
          <w:lang w:val="sq-AL"/>
        </w:rPr>
        <w:t>tar t</w:t>
      </w:r>
      <w:r w:rsidR="009A5A0E" w:rsidRPr="007A3AD7">
        <w:rPr>
          <w:szCs w:val="22"/>
          <w:lang w:val="sq-AL"/>
        </w:rPr>
        <w:t>ë</w:t>
      </w:r>
      <w:r w:rsidRPr="007A3AD7">
        <w:rPr>
          <w:szCs w:val="22"/>
          <w:lang w:val="sq-AL"/>
        </w:rPr>
        <w:t xml:space="preserve"> reform</w:t>
      </w:r>
      <w:r w:rsidR="009A5A0E" w:rsidRPr="007A3AD7">
        <w:rPr>
          <w:szCs w:val="22"/>
          <w:lang w:val="sq-AL"/>
        </w:rPr>
        <w:t>ë</w:t>
      </w:r>
      <w:r w:rsidRPr="007A3AD7">
        <w:rPr>
          <w:szCs w:val="22"/>
          <w:lang w:val="sq-AL"/>
        </w:rPr>
        <w:t>s s</w:t>
      </w:r>
      <w:r w:rsidR="009A5A0E" w:rsidRPr="007A3AD7">
        <w:rPr>
          <w:szCs w:val="22"/>
          <w:lang w:val="sq-AL"/>
        </w:rPr>
        <w:t>ë</w:t>
      </w:r>
      <w:r w:rsidRPr="007A3AD7">
        <w:rPr>
          <w:szCs w:val="22"/>
          <w:lang w:val="sq-AL"/>
        </w:rPr>
        <w:t xml:space="preserve"> programit t</w:t>
      </w:r>
      <w:r w:rsidR="009A5A0E" w:rsidRPr="007A3AD7">
        <w:rPr>
          <w:szCs w:val="22"/>
          <w:lang w:val="sq-AL"/>
        </w:rPr>
        <w:t>ë</w:t>
      </w:r>
      <w:r w:rsidRPr="007A3AD7">
        <w:rPr>
          <w:szCs w:val="22"/>
          <w:lang w:val="sq-AL"/>
        </w:rPr>
        <w:t xml:space="preserve"> ndihm</w:t>
      </w:r>
      <w:r w:rsidR="009A5A0E" w:rsidRPr="007A3AD7">
        <w:rPr>
          <w:szCs w:val="22"/>
          <w:lang w:val="sq-AL"/>
        </w:rPr>
        <w:t>ë</w:t>
      </w:r>
      <w:r w:rsidRPr="007A3AD7">
        <w:rPr>
          <w:szCs w:val="22"/>
          <w:lang w:val="sq-AL"/>
        </w:rPr>
        <w:t>s ekonomike, nevojitet t</w:t>
      </w:r>
      <w:r w:rsidR="009A5A0E" w:rsidRPr="007A3AD7">
        <w:rPr>
          <w:szCs w:val="22"/>
          <w:lang w:val="sq-AL"/>
        </w:rPr>
        <w:t>ë</w:t>
      </w:r>
      <w:r w:rsidRPr="007A3AD7">
        <w:rPr>
          <w:szCs w:val="22"/>
          <w:lang w:val="sq-AL"/>
        </w:rPr>
        <w:t xml:space="preserve"> kalohet në një fazë të re p</w:t>
      </w:r>
      <w:r w:rsidR="009A5A0E" w:rsidRPr="007A3AD7">
        <w:rPr>
          <w:szCs w:val="22"/>
          <w:lang w:val="sq-AL"/>
        </w:rPr>
        <w:t>ë</w:t>
      </w:r>
      <w:r w:rsidRPr="007A3AD7">
        <w:rPr>
          <w:szCs w:val="22"/>
          <w:lang w:val="sq-AL"/>
        </w:rPr>
        <w:t>r t</w:t>
      </w:r>
      <w:r w:rsidR="009A5A0E" w:rsidRPr="007A3AD7">
        <w:rPr>
          <w:szCs w:val="22"/>
          <w:lang w:val="sq-AL"/>
        </w:rPr>
        <w:t>ë</w:t>
      </w:r>
      <w:r w:rsidRPr="007A3AD7">
        <w:rPr>
          <w:szCs w:val="22"/>
          <w:lang w:val="sq-AL"/>
        </w:rPr>
        <w:t xml:space="preserve"> adresuar ineficiencat e v</w:t>
      </w:r>
      <w:r w:rsidR="009A5A0E" w:rsidRPr="007A3AD7">
        <w:rPr>
          <w:szCs w:val="22"/>
          <w:lang w:val="sq-AL"/>
        </w:rPr>
        <w:t>ë</w:t>
      </w:r>
      <w:r w:rsidRPr="007A3AD7">
        <w:rPr>
          <w:szCs w:val="22"/>
          <w:lang w:val="sq-AL"/>
        </w:rPr>
        <w:t>rejtura si dhe probleme të mjaftueshmërisë të ndih</w:t>
      </w:r>
      <w:r w:rsidR="00276B6A" w:rsidRPr="007A3AD7">
        <w:rPr>
          <w:szCs w:val="22"/>
          <w:lang w:val="sq-AL"/>
        </w:rPr>
        <w:t>m</w:t>
      </w:r>
      <w:r w:rsidR="009A5A0E" w:rsidRPr="007A3AD7">
        <w:rPr>
          <w:szCs w:val="22"/>
          <w:lang w:val="sq-AL"/>
        </w:rPr>
        <w:t>ë</w:t>
      </w:r>
      <w:r w:rsidRPr="007A3AD7">
        <w:rPr>
          <w:szCs w:val="22"/>
          <w:lang w:val="sq-AL"/>
        </w:rPr>
        <w:t xml:space="preserve">s. Vlerësimet tregojnë që formula e pikëzimit nuk i përgjigjet sa duhet kontekstit ekonomik dhe social aktual duke u paraqitur e vjetëruar për sa i përket kritereve të kualifikueshmërisë të parashikuara në të. Përdorimi i formulës së pikëzimit ka prodhuar një rezultat të rendësishëm lidhur me zvogëlimin e përfitimit të padrejtë të ndihmës ekonomike, por administratorët shoqërorë konfirmojnë që ajo ka funksionuar mirë për zonat urbane, por </w:t>
      </w:r>
      <w:r w:rsidR="00E9006B">
        <w:rPr>
          <w:szCs w:val="22"/>
          <w:lang w:val="sq-AL"/>
        </w:rPr>
        <w:t>ë</w:t>
      </w:r>
      <w:r w:rsidR="00276B6A" w:rsidRPr="007A3AD7">
        <w:rPr>
          <w:szCs w:val="22"/>
          <w:lang w:val="sq-AL"/>
        </w:rPr>
        <w:t>sht</w:t>
      </w:r>
      <w:r w:rsidR="00E9006B">
        <w:rPr>
          <w:szCs w:val="22"/>
          <w:lang w:val="sq-AL"/>
        </w:rPr>
        <w:t>ë</w:t>
      </w:r>
      <w:r w:rsidR="00276B6A" w:rsidRPr="007A3AD7">
        <w:rPr>
          <w:szCs w:val="22"/>
          <w:lang w:val="sq-AL"/>
        </w:rPr>
        <w:t xml:space="preserve"> evidentuar</w:t>
      </w:r>
      <w:r w:rsidRPr="007A3AD7">
        <w:rPr>
          <w:szCs w:val="22"/>
          <w:lang w:val="sq-AL"/>
        </w:rPr>
        <w:t xml:space="preserve"> që ekziston mundësia e përjashtimit të familjeve të varfëra, ve</w:t>
      </w:r>
      <w:r w:rsidR="00276B6A" w:rsidRPr="007A3AD7">
        <w:rPr>
          <w:szCs w:val="22"/>
          <w:lang w:val="sq-AL"/>
        </w:rPr>
        <w:t>ç</w:t>
      </w:r>
      <w:r w:rsidRPr="007A3AD7">
        <w:rPr>
          <w:szCs w:val="22"/>
          <w:lang w:val="sq-AL"/>
        </w:rPr>
        <w:t>anërisht në zona rurale, familje me një person dhe ato që kanë në përbërje të tyre anëtarë të grupmoshës 50-55 vjeç që hasin vështirësi për t’u punësuar. Moszbulimi i formës së qartë të formulës së pikëzimit krijon probleme p</w:t>
      </w:r>
      <w:r w:rsidR="009A5A0E" w:rsidRPr="007A3AD7">
        <w:rPr>
          <w:szCs w:val="22"/>
          <w:lang w:val="sq-AL"/>
        </w:rPr>
        <w:t>ë</w:t>
      </w:r>
      <w:r w:rsidRPr="007A3AD7">
        <w:rPr>
          <w:szCs w:val="22"/>
          <w:lang w:val="sq-AL"/>
        </w:rPr>
        <w:t>r transparenc</w:t>
      </w:r>
      <w:r w:rsidR="009A5A0E" w:rsidRPr="007A3AD7">
        <w:rPr>
          <w:szCs w:val="22"/>
          <w:lang w:val="sq-AL"/>
        </w:rPr>
        <w:t>ë</w:t>
      </w:r>
      <w:r w:rsidRPr="007A3AD7">
        <w:rPr>
          <w:szCs w:val="22"/>
          <w:lang w:val="sq-AL"/>
        </w:rPr>
        <w:t>n si dhe ndikon q</w:t>
      </w:r>
      <w:r w:rsidR="009A5A0E" w:rsidRPr="007A3AD7">
        <w:rPr>
          <w:szCs w:val="22"/>
          <w:lang w:val="sq-AL"/>
        </w:rPr>
        <w:t>ë</w:t>
      </w:r>
      <w:r w:rsidRPr="007A3AD7">
        <w:rPr>
          <w:szCs w:val="22"/>
          <w:lang w:val="sq-AL"/>
        </w:rPr>
        <w:t xml:space="preserve"> vler</w:t>
      </w:r>
      <w:r w:rsidR="009A5A0E" w:rsidRPr="007A3AD7">
        <w:rPr>
          <w:szCs w:val="22"/>
          <w:lang w:val="sq-AL"/>
        </w:rPr>
        <w:t>ë</w:t>
      </w:r>
      <w:r w:rsidRPr="007A3AD7">
        <w:rPr>
          <w:szCs w:val="22"/>
          <w:lang w:val="sq-AL"/>
        </w:rPr>
        <w:t>simi i efektshm</w:t>
      </w:r>
      <w:r w:rsidR="009A5A0E" w:rsidRPr="007A3AD7">
        <w:rPr>
          <w:szCs w:val="22"/>
          <w:lang w:val="sq-AL"/>
        </w:rPr>
        <w:t>ë</w:t>
      </w:r>
      <w:r w:rsidRPr="007A3AD7">
        <w:rPr>
          <w:szCs w:val="22"/>
          <w:lang w:val="sq-AL"/>
        </w:rPr>
        <w:t>ris</w:t>
      </w:r>
      <w:r w:rsidR="009A5A0E" w:rsidRPr="007A3AD7">
        <w:rPr>
          <w:szCs w:val="22"/>
          <w:lang w:val="sq-AL"/>
        </w:rPr>
        <w:t>ë</w:t>
      </w:r>
      <w:r w:rsidRPr="007A3AD7">
        <w:rPr>
          <w:szCs w:val="22"/>
          <w:lang w:val="sq-AL"/>
        </w:rPr>
        <w:t xml:space="preserve"> s</w:t>
      </w:r>
      <w:r w:rsidR="009A5A0E" w:rsidRPr="007A3AD7">
        <w:rPr>
          <w:szCs w:val="22"/>
          <w:lang w:val="sq-AL"/>
        </w:rPr>
        <w:t>ë</w:t>
      </w:r>
      <w:r w:rsidRPr="007A3AD7">
        <w:rPr>
          <w:szCs w:val="22"/>
          <w:lang w:val="sq-AL"/>
        </w:rPr>
        <w:t xml:space="preserve"> formul</w:t>
      </w:r>
      <w:r w:rsidR="009A5A0E" w:rsidRPr="007A3AD7">
        <w:rPr>
          <w:szCs w:val="22"/>
          <w:lang w:val="sq-AL"/>
        </w:rPr>
        <w:t>ë</w:t>
      </w:r>
      <w:r w:rsidRPr="007A3AD7">
        <w:rPr>
          <w:szCs w:val="22"/>
          <w:lang w:val="sq-AL"/>
        </w:rPr>
        <w:t>s s</w:t>
      </w:r>
      <w:r w:rsidR="009A5A0E" w:rsidRPr="007A3AD7">
        <w:rPr>
          <w:szCs w:val="22"/>
          <w:lang w:val="sq-AL"/>
        </w:rPr>
        <w:t>ë</w:t>
      </w:r>
      <w:r w:rsidRPr="007A3AD7">
        <w:rPr>
          <w:szCs w:val="22"/>
          <w:lang w:val="sq-AL"/>
        </w:rPr>
        <w:t xml:space="preserve"> pik</w:t>
      </w:r>
      <w:r w:rsidR="009A5A0E" w:rsidRPr="007A3AD7">
        <w:rPr>
          <w:szCs w:val="22"/>
          <w:lang w:val="sq-AL"/>
        </w:rPr>
        <w:t>ë</w:t>
      </w:r>
      <w:r w:rsidRPr="007A3AD7">
        <w:rPr>
          <w:szCs w:val="22"/>
          <w:lang w:val="sq-AL"/>
        </w:rPr>
        <w:t>zimit t</w:t>
      </w:r>
      <w:r w:rsidR="009A5A0E" w:rsidRPr="007A3AD7">
        <w:rPr>
          <w:szCs w:val="22"/>
          <w:lang w:val="sq-AL"/>
        </w:rPr>
        <w:t>ë</w:t>
      </w:r>
      <w:r w:rsidRPr="007A3AD7">
        <w:rPr>
          <w:szCs w:val="22"/>
          <w:lang w:val="sq-AL"/>
        </w:rPr>
        <w:t xml:space="preserve"> jet</w:t>
      </w:r>
      <w:r w:rsidR="009A5A0E" w:rsidRPr="007A3AD7">
        <w:rPr>
          <w:szCs w:val="22"/>
          <w:lang w:val="sq-AL"/>
        </w:rPr>
        <w:t>ë</w:t>
      </w:r>
      <w:r w:rsidRPr="007A3AD7">
        <w:rPr>
          <w:szCs w:val="22"/>
          <w:lang w:val="sq-AL"/>
        </w:rPr>
        <w:t xml:space="preserve"> i cunguar në aspektin e shënjestrimit. Gjykohet që pas pesë vitesh aplikim, formula e pik</w:t>
      </w:r>
      <w:r w:rsidR="009A5A0E" w:rsidRPr="007A3AD7">
        <w:rPr>
          <w:szCs w:val="22"/>
          <w:lang w:val="sq-AL"/>
        </w:rPr>
        <w:t>ë</w:t>
      </w:r>
      <w:r w:rsidRPr="007A3AD7">
        <w:rPr>
          <w:szCs w:val="22"/>
          <w:lang w:val="sq-AL"/>
        </w:rPr>
        <w:t>zimit nuk është plotësisht e panjohur për administratorët shoqërorë dhe ekziston mund</w:t>
      </w:r>
      <w:r w:rsidR="009A5A0E" w:rsidRPr="007A3AD7">
        <w:rPr>
          <w:szCs w:val="22"/>
          <w:lang w:val="sq-AL"/>
        </w:rPr>
        <w:t>ë</w:t>
      </w:r>
      <w:r w:rsidRPr="007A3AD7">
        <w:rPr>
          <w:szCs w:val="22"/>
          <w:lang w:val="sq-AL"/>
        </w:rPr>
        <w:t>sia p</w:t>
      </w:r>
      <w:r w:rsidR="009A5A0E" w:rsidRPr="007A3AD7">
        <w:rPr>
          <w:szCs w:val="22"/>
          <w:lang w:val="sq-AL"/>
        </w:rPr>
        <w:t>ë</w:t>
      </w:r>
      <w:r w:rsidRPr="007A3AD7">
        <w:rPr>
          <w:szCs w:val="22"/>
          <w:lang w:val="sq-AL"/>
        </w:rPr>
        <w:t>r ndikim subjektiv tek aplikant</w:t>
      </w:r>
      <w:r w:rsidR="009A5A0E" w:rsidRPr="007A3AD7">
        <w:rPr>
          <w:szCs w:val="22"/>
          <w:lang w:val="sq-AL"/>
        </w:rPr>
        <w:t>ë</w:t>
      </w:r>
      <w:r w:rsidRPr="007A3AD7">
        <w:rPr>
          <w:szCs w:val="22"/>
          <w:lang w:val="sq-AL"/>
        </w:rPr>
        <w:t>t p</w:t>
      </w:r>
      <w:r w:rsidR="009A5A0E" w:rsidRPr="007A3AD7">
        <w:rPr>
          <w:szCs w:val="22"/>
          <w:lang w:val="sq-AL"/>
        </w:rPr>
        <w:t>ë</w:t>
      </w:r>
      <w:r w:rsidRPr="007A3AD7">
        <w:rPr>
          <w:szCs w:val="22"/>
          <w:lang w:val="sq-AL"/>
        </w:rPr>
        <w:t>r t</w:t>
      </w:r>
      <w:r w:rsidR="009A5A0E" w:rsidRPr="007A3AD7">
        <w:rPr>
          <w:szCs w:val="22"/>
          <w:lang w:val="sq-AL"/>
        </w:rPr>
        <w:t>ë</w:t>
      </w:r>
      <w:r w:rsidRPr="007A3AD7">
        <w:rPr>
          <w:szCs w:val="22"/>
          <w:lang w:val="sq-AL"/>
        </w:rPr>
        <w:t xml:space="preserve"> deklaruar kushte që i bëjnë ata fitues. Koeficientët e formul</w:t>
      </w:r>
      <w:r w:rsidR="009A5A0E" w:rsidRPr="007A3AD7">
        <w:rPr>
          <w:szCs w:val="22"/>
          <w:lang w:val="sq-AL"/>
        </w:rPr>
        <w:t>ë</w:t>
      </w:r>
      <w:r w:rsidRPr="007A3AD7">
        <w:rPr>
          <w:szCs w:val="22"/>
          <w:lang w:val="sq-AL"/>
        </w:rPr>
        <w:t>s s</w:t>
      </w:r>
      <w:r w:rsidR="009A5A0E" w:rsidRPr="007A3AD7">
        <w:rPr>
          <w:szCs w:val="22"/>
          <w:lang w:val="sq-AL"/>
        </w:rPr>
        <w:t>ë</w:t>
      </w:r>
      <w:r w:rsidRPr="007A3AD7">
        <w:rPr>
          <w:szCs w:val="22"/>
          <w:lang w:val="sq-AL"/>
        </w:rPr>
        <w:t xml:space="preserve"> pik</w:t>
      </w:r>
      <w:r w:rsidR="009A5A0E" w:rsidRPr="007A3AD7">
        <w:rPr>
          <w:szCs w:val="22"/>
          <w:lang w:val="sq-AL"/>
        </w:rPr>
        <w:t>ë</w:t>
      </w:r>
      <w:r w:rsidRPr="007A3AD7">
        <w:rPr>
          <w:szCs w:val="22"/>
          <w:lang w:val="sq-AL"/>
        </w:rPr>
        <w:t>zimit vler</w:t>
      </w:r>
      <w:r w:rsidR="009A5A0E" w:rsidRPr="007A3AD7">
        <w:rPr>
          <w:szCs w:val="22"/>
          <w:lang w:val="sq-AL"/>
        </w:rPr>
        <w:t>ë</w:t>
      </w:r>
      <w:r w:rsidRPr="007A3AD7">
        <w:rPr>
          <w:szCs w:val="22"/>
          <w:lang w:val="sq-AL"/>
        </w:rPr>
        <w:t>sohen t</w:t>
      </w:r>
      <w:r w:rsidR="009A5A0E" w:rsidRPr="007A3AD7">
        <w:rPr>
          <w:szCs w:val="22"/>
          <w:lang w:val="sq-AL"/>
        </w:rPr>
        <w:t>ë</w:t>
      </w:r>
      <w:r w:rsidRPr="007A3AD7">
        <w:rPr>
          <w:szCs w:val="22"/>
          <w:lang w:val="sq-AL"/>
        </w:rPr>
        <w:t xml:space="preserve"> jen</w:t>
      </w:r>
      <w:r w:rsidR="009A5A0E" w:rsidRPr="007A3AD7">
        <w:rPr>
          <w:szCs w:val="22"/>
          <w:lang w:val="sq-AL"/>
        </w:rPr>
        <w:t>ë</w:t>
      </w:r>
      <w:r w:rsidRPr="007A3AD7">
        <w:rPr>
          <w:szCs w:val="22"/>
          <w:lang w:val="sq-AL"/>
        </w:rPr>
        <w:t xml:space="preserve"> t</w:t>
      </w:r>
      <w:r w:rsidR="009A5A0E" w:rsidRPr="007A3AD7">
        <w:rPr>
          <w:szCs w:val="22"/>
          <w:lang w:val="sq-AL"/>
        </w:rPr>
        <w:t>ë</w:t>
      </w:r>
      <w:r w:rsidRPr="007A3AD7">
        <w:rPr>
          <w:szCs w:val="22"/>
          <w:lang w:val="sq-AL"/>
        </w:rPr>
        <w:t xml:space="preserve"> vjetëruar për shkak t</w:t>
      </w:r>
      <w:r w:rsidR="009A5A0E" w:rsidRPr="007A3AD7">
        <w:rPr>
          <w:szCs w:val="22"/>
          <w:lang w:val="sq-AL"/>
        </w:rPr>
        <w:t>ë</w:t>
      </w:r>
      <w:r w:rsidRPr="007A3AD7">
        <w:rPr>
          <w:szCs w:val="22"/>
          <w:lang w:val="sq-AL"/>
        </w:rPr>
        <w:t xml:space="preserve"> ndryshimit t</w:t>
      </w:r>
      <w:r w:rsidR="009A5A0E" w:rsidRPr="007A3AD7">
        <w:rPr>
          <w:szCs w:val="22"/>
          <w:lang w:val="sq-AL"/>
        </w:rPr>
        <w:t>ë</w:t>
      </w:r>
      <w:r w:rsidRPr="007A3AD7">
        <w:rPr>
          <w:szCs w:val="22"/>
          <w:lang w:val="sq-AL"/>
        </w:rPr>
        <w:t xml:space="preserve"> kushteve materiale dhe sociale krahasuar me kohën kur u aprovua ky instrument. Ekziston nj</w:t>
      </w:r>
      <w:r w:rsidR="009A5A0E" w:rsidRPr="007A3AD7">
        <w:rPr>
          <w:szCs w:val="22"/>
          <w:lang w:val="sq-AL"/>
        </w:rPr>
        <w:t>ë</w:t>
      </w:r>
      <w:r w:rsidRPr="007A3AD7">
        <w:rPr>
          <w:szCs w:val="22"/>
          <w:lang w:val="sq-AL"/>
        </w:rPr>
        <w:t xml:space="preserve"> sistem ankimimi dhe apelimi p</w:t>
      </w:r>
      <w:r w:rsidR="009A5A0E" w:rsidRPr="007A3AD7">
        <w:rPr>
          <w:szCs w:val="22"/>
          <w:lang w:val="sq-AL"/>
        </w:rPr>
        <w:t>ë</w:t>
      </w:r>
      <w:r w:rsidRPr="007A3AD7">
        <w:rPr>
          <w:szCs w:val="22"/>
          <w:lang w:val="sq-AL"/>
        </w:rPr>
        <w:t>r familjet e pakualifikuara p</w:t>
      </w:r>
      <w:r w:rsidR="009A5A0E" w:rsidRPr="007A3AD7">
        <w:rPr>
          <w:szCs w:val="22"/>
          <w:lang w:val="sq-AL"/>
        </w:rPr>
        <w:t>ë</w:t>
      </w:r>
      <w:r w:rsidRPr="007A3AD7">
        <w:rPr>
          <w:szCs w:val="22"/>
          <w:lang w:val="sq-AL"/>
        </w:rPr>
        <w:t>r t</w:t>
      </w:r>
      <w:r w:rsidR="009A5A0E" w:rsidRPr="007A3AD7">
        <w:rPr>
          <w:szCs w:val="22"/>
          <w:lang w:val="sq-AL"/>
        </w:rPr>
        <w:t>ë</w:t>
      </w:r>
      <w:r w:rsidRPr="007A3AD7">
        <w:rPr>
          <w:szCs w:val="22"/>
          <w:lang w:val="sq-AL"/>
        </w:rPr>
        <w:t xml:space="preserve"> p</w:t>
      </w:r>
      <w:r w:rsidR="009A5A0E" w:rsidRPr="007A3AD7">
        <w:rPr>
          <w:szCs w:val="22"/>
          <w:lang w:val="sq-AL"/>
        </w:rPr>
        <w:t>ë</w:t>
      </w:r>
      <w:r w:rsidRPr="007A3AD7">
        <w:rPr>
          <w:szCs w:val="22"/>
          <w:lang w:val="sq-AL"/>
        </w:rPr>
        <w:t>rfituar ndihm</w:t>
      </w:r>
      <w:r w:rsidR="009A5A0E" w:rsidRPr="007A3AD7">
        <w:rPr>
          <w:szCs w:val="22"/>
          <w:lang w:val="sq-AL"/>
        </w:rPr>
        <w:t>ë</w:t>
      </w:r>
      <w:r w:rsidR="00276B6A" w:rsidRPr="007A3AD7">
        <w:rPr>
          <w:szCs w:val="22"/>
          <w:lang w:val="sq-AL"/>
        </w:rPr>
        <w:t>, i cili nuk p</w:t>
      </w:r>
      <w:r w:rsidR="00E9006B">
        <w:rPr>
          <w:szCs w:val="22"/>
          <w:lang w:val="sq-AL"/>
        </w:rPr>
        <w:t>ë</w:t>
      </w:r>
      <w:r w:rsidR="00276B6A" w:rsidRPr="007A3AD7">
        <w:rPr>
          <w:szCs w:val="22"/>
          <w:lang w:val="sq-AL"/>
        </w:rPr>
        <w:t>rdoret formalisht n</w:t>
      </w:r>
      <w:r w:rsidR="00E9006B">
        <w:rPr>
          <w:szCs w:val="22"/>
          <w:lang w:val="sq-AL"/>
        </w:rPr>
        <w:t>ë</w:t>
      </w:r>
      <w:r w:rsidR="00276B6A" w:rsidRPr="007A3AD7">
        <w:rPr>
          <w:szCs w:val="22"/>
          <w:lang w:val="sq-AL"/>
        </w:rPr>
        <w:t xml:space="preserve"> </w:t>
      </w:r>
      <w:r w:rsidR="00AB4D37">
        <w:rPr>
          <w:szCs w:val="22"/>
          <w:lang w:val="sq-AL"/>
        </w:rPr>
        <w:t>çdo</w:t>
      </w:r>
      <w:r w:rsidR="00276B6A" w:rsidRPr="007A3AD7">
        <w:rPr>
          <w:szCs w:val="22"/>
          <w:lang w:val="sq-AL"/>
        </w:rPr>
        <w:t xml:space="preserve"> rast nga ana e aplikant</w:t>
      </w:r>
      <w:r w:rsidR="00E9006B">
        <w:rPr>
          <w:szCs w:val="22"/>
          <w:lang w:val="sq-AL"/>
        </w:rPr>
        <w:t>ë</w:t>
      </w:r>
      <w:r w:rsidR="00276B6A" w:rsidRPr="007A3AD7">
        <w:rPr>
          <w:szCs w:val="22"/>
          <w:lang w:val="sq-AL"/>
        </w:rPr>
        <w:t>ve t</w:t>
      </w:r>
      <w:r w:rsidR="00E9006B">
        <w:rPr>
          <w:szCs w:val="22"/>
          <w:lang w:val="sq-AL"/>
        </w:rPr>
        <w:t>ë</w:t>
      </w:r>
      <w:r w:rsidR="00276B6A" w:rsidRPr="007A3AD7">
        <w:rPr>
          <w:szCs w:val="22"/>
          <w:lang w:val="sq-AL"/>
        </w:rPr>
        <w:t xml:space="preserve"> refuzuar</w:t>
      </w:r>
      <w:r w:rsidRPr="007A3AD7">
        <w:rPr>
          <w:szCs w:val="22"/>
          <w:lang w:val="sq-AL"/>
        </w:rPr>
        <w:t>. Gjithashtu, pushteti vendor ka n</w:t>
      </w:r>
      <w:r w:rsidR="009A5A0E" w:rsidRPr="007A3AD7">
        <w:rPr>
          <w:szCs w:val="22"/>
          <w:lang w:val="sq-AL"/>
        </w:rPr>
        <w:t>ë</w:t>
      </w:r>
      <w:r w:rsidRPr="007A3AD7">
        <w:rPr>
          <w:szCs w:val="22"/>
          <w:lang w:val="sq-AL"/>
        </w:rPr>
        <w:t xml:space="preserve"> dispozicion fondin 6% dhe t</w:t>
      </w:r>
      <w:r w:rsidR="009A5A0E" w:rsidRPr="007A3AD7">
        <w:rPr>
          <w:szCs w:val="22"/>
          <w:lang w:val="sq-AL"/>
        </w:rPr>
        <w:t>ë</w:t>
      </w:r>
      <w:r w:rsidRPr="007A3AD7">
        <w:rPr>
          <w:szCs w:val="22"/>
          <w:lang w:val="sq-AL"/>
        </w:rPr>
        <w:t xml:space="preserve"> ardhurat e veta p</w:t>
      </w:r>
      <w:r w:rsidR="009A5A0E" w:rsidRPr="007A3AD7">
        <w:rPr>
          <w:szCs w:val="22"/>
          <w:lang w:val="sq-AL"/>
        </w:rPr>
        <w:t>ë</w:t>
      </w:r>
      <w:r w:rsidRPr="007A3AD7">
        <w:rPr>
          <w:szCs w:val="22"/>
          <w:lang w:val="sq-AL"/>
        </w:rPr>
        <w:t>r t</w:t>
      </w:r>
      <w:r w:rsidR="009A5A0E" w:rsidRPr="007A3AD7">
        <w:rPr>
          <w:szCs w:val="22"/>
          <w:lang w:val="sq-AL"/>
        </w:rPr>
        <w:t>ë</w:t>
      </w:r>
      <w:r w:rsidRPr="007A3AD7">
        <w:rPr>
          <w:szCs w:val="22"/>
          <w:lang w:val="sq-AL"/>
        </w:rPr>
        <w:t xml:space="preserve"> trajtuar familje t</w:t>
      </w:r>
      <w:r w:rsidR="009A5A0E" w:rsidRPr="007A3AD7">
        <w:rPr>
          <w:szCs w:val="22"/>
          <w:lang w:val="sq-AL"/>
        </w:rPr>
        <w:t>ë</w:t>
      </w:r>
      <w:r w:rsidRPr="007A3AD7">
        <w:rPr>
          <w:szCs w:val="22"/>
          <w:lang w:val="sq-AL"/>
        </w:rPr>
        <w:t xml:space="preserve"> tjera n</w:t>
      </w:r>
      <w:r w:rsidR="009A5A0E" w:rsidRPr="007A3AD7">
        <w:rPr>
          <w:szCs w:val="22"/>
          <w:lang w:val="sq-AL"/>
        </w:rPr>
        <w:t>ë</w:t>
      </w:r>
      <w:r w:rsidRPr="007A3AD7">
        <w:rPr>
          <w:szCs w:val="22"/>
          <w:lang w:val="sq-AL"/>
        </w:rPr>
        <w:t xml:space="preserve"> nevoj</w:t>
      </w:r>
      <w:r w:rsidR="009A5A0E" w:rsidRPr="007A3AD7">
        <w:rPr>
          <w:szCs w:val="22"/>
          <w:lang w:val="sq-AL"/>
        </w:rPr>
        <w:t>ë</w:t>
      </w:r>
      <w:r w:rsidRPr="007A3AD7">
        <w:rPr>
          <w:szCs w:val="22"/>
          <w:lang w:val="sq-AL"/>
        </w:rPr>
        <w:t>, sipas vendimeve t</w:t>
      </w:r>
      <w:r w:rsidR="009A5A0E" w:rsidRPr="007A3AD7">
        <w:rPr>
          <w:szCs w:val="22"/>
          <w:lang w:val="sq-AL"/>
        </w:rPr>
        <w:t>ë</w:t>
      </w:r>
      <w:r w:rsidRPr="007A3AD7">
        <w:rPr>
          <w:szCs w:val="22"/>
          <w:lang w:val="sq-AL"/>
        </w:rPr>
        <w:t xml:space="preserve"> tij. P</w:t>
      </w:r>
      <w:r w:rsidR="009A5A0E" w:rsidRPr="007A3AD7">
        <w:rPr>
          <w:szCs w:val="22"/>
          <w:lang w:val="sq-AL"/>
        </w:rPr>
        <w:t>ë</w:t>
      </w:r>
      <w:r w:rsidRPr="007A3AD7">
        <w:rPr>
          <w:szCs w:val="22"/>
          <w:lang w:val="sq-AL"/>
        </w:rPr>
        <w:t>rqendrimi rajonal i varf</w:t>
      </w:r>
      <w:r w:rsidR="009A5A0E" w:rsidRPr="007A3AD7">
        <w:rPr>
          <w:szCs w:val="22"/>
          <w:lang w:val="sq-AL"/>
        </w:rPr>
        <w:t>ë</w:t>
      </w:r>
      <w:r w:rsidRPr="007A3AD7">
        <w:rPr>
          <w:szCs w:val="22"/>
          <w:lang w:val="sq-AL"/>
        </w:rPr>
        <w:t>ris</w:t>
      </w:r>
      <w:r w:rsidR="009A5A0E" w:rsidRPr="007A3AD7">
        <w:rPr>
          <w:szCs w:val="22"/>
          <w:lang w:val="sq-AL"/>
        </w:rPr>
        <w:t>ë</w:t>
      </w:r>
      <w:r w:rsidRPr="007A3AD7">
        <w:rPr>
          <w:szCs w:val="22"/>
          <w:lang w:val="sq-AL"/>
        </w:rPr>
        <w:t xml:space="preserve"> n</w:t>
      </w:r>
      <w:r w:rsidR="009A5A0E" w:rsidRPr="007A3AD7">
        <w:rPr>
          <w:szCs w:val="22"/>
          <w:lang w:val="sq-AL"/>
        </w:rPr>
        <w:t>ë</w:t>
      </w:r>
      <w:r w:rsidRPr="007A3AD7">
        <w:rPr>
          <w:szCs w:val="22"/>
          <w:lang w:val="sq-AL"/>
        </w:rPr>
        <w:t xml:space="preserve"> zona ku pushteti lokal ka munges</w:t>
      </w:r>
      <w:r w:rsidR="009A5A0E" w:rsidRPr="007A3AD7">
        <w:rPr>
          <w:szCs w:val="22"/>
          <w:lang w:val="sq-AL"/>
        </w:rPr>
        <w:t>ë</w:t>
      </w:r>
      <w:r w:rsidRPr="007A3AD7">
        <w:rPr>
          <w:szCs w:val="22"/>
          <w:lang w:val="sq-AL"/>
        </w:rPr>
        <w:t xml:space="preserve"> t</w:t>
      </w:r>
      <w:r w:rsidR="009A5A0E" w:rsidRPr="007A3AD7">
        <w:rPr>
          <w:szCs w:val="22"/>
          <w:lang w:val="sq-AL"/>
        </w:rPr>
        <w:t>ë</w:t>
      </w:r>
      <w:r w:rsidRPr="007A3AD7">
        <w:rPr>
          <w:szCs w:val="22"/>
          <w:lang w:val="sq-AL"/>
        </w:rPr>
        <w:t xml:space="preserve"> hap</w:t>
      </w:r>
      <w:r w:rsidR="009A5A0E" w:rsidRPr="007A3AD7">
        <w:rPr>
          <w:szCs w:val="22"/>
          <w:lang w:val="sq-AL"/>
        </w:rPr>
        <w:t>ë</w:t>
      </w:r>
      <w:r w:rsidRPr="007A3AD7">
        <w:rPr>
          <w:szCs w:val="22"/>
          <w:lang w:val="sq-AL"/>
        </w:rPr>
        <w:t>sirave fiskale p</w:t>
      </w:r>
      <w:r w:rsidR="009A5A0E" w:rsidRPr="007A3AD7">
        <w:rPr>
          <w:szCs w:val="22"/>
          <w:lang w:val="sq-AL"/>
        </w:rPr>
        <w:t>ë</w:t>
      </w:r>
      <w:r w:rsidRPr="007A3AD7">
        <w:rPr>
          <w:szCs w:val="22"/>
          <w:lang w:val="sq-AL"/>
        </w:rPr>
        <w:t>r mb</w:t>
      </w:r>
      <w:r w:rsidR="009A5A0E" w:rsidRPr="007A3AD7">
        <w:rPr>
          <w:szCs w:val="22"/>
          <w:lang w:val="sq-AL"/>
        </w:rPr>
        <w:t>ë</w:t>
      </w:r>
      <w:r w:rsidRPr="007A3AD7">
        <w:rPr>
          <w:szCs w:val="22"/>
          <w:lang w:val="sq-AL"/>
        </w:rPr>
        <w:t>shtetje me fonde t</w:t>
      </w:r>
      <w:r w:rsidR="009A5A0E" w:rsidRPr="007A3AD7">
        <w:rPr>
          <w:szCs w:val="22"/>
          <w:lang w:val="sq-AL"/>
        </w:rPr>
        <w:t>ë</w:t>
      </w:r>
      <w:r w:rsidRPr="007A3AD7">
        <w:rPr>
          <w:szCs w:val="22"/>
          <w:lang w:val="sq-AL"/>
        </w:rPr>
        <w:t xml:space="preserve"> veta si dhe mund</w:t>
      </w:r>
      <w:r w:rsidR="009A5A0E" w:rsidRPr="007A3AD7">
        <w:rPr>
          <w:szCs w:val="22"/>
          <w:lang w:val="sq-AL"/>
        </w:rPr>
        <w:t>ë</w:t>
      </w:r>
      <w:r w:rsidRPr="007A3AD7">
        <w:rPr>
          <w:szCs w:val="22"/>
          <w:lang w:val="sq-AL"/>
        </w:rPr>
        <w:t>si t</w:t>
      </w:r>
      <w:r w:rsidR="009A5A0E" w:rsidRPr="007A3AD7">
        <w:rPr>
          <w:szCs w:val="22"/>
          <w:lang w:val="sq-AL"/>
        </w:rPr>
        <w:t>ë</w:t>
      </w:r>
      <w:r w:rsidRPr="007A3AD7">
        <w:rPr>
          <w:szCs w:val="22"/>
          <w:lang w:val="sq-AL"/>
        </w:rPr>
        <w:t xml:space="preserve"> ulta pun</w:t>
      </w:r>
      <w:r w:rsidR="009A5A0E" w:rsidRPr="007A3AD7">
        <w:rPr>
          <w:szCs w:val="22"/>
          <w:lang w:val="sq-AL"/>
        </w:rPr>
        <w:t>ë</w:t>
      </w:r>
      <w:r w:rsidRPr="007A3AD7">
        <w:rPr>
          <w:szCs w:val="22"/>
          <w:lang w:val="sq-AL"/>
        </w:rPr>
        <w:t>simi dhe sh</w:t>
      </w:r>
      <w:r w:rsidR="009A5A0E" w:rsidRPr="007A3AD7">
        <w:rPr>
          <w:szCs w:val="22"/>
          <w:lang w:val="sq-AL"/>
        </w:rPr>
        <w:t>ë</w:t>
      </w:r>
      <w:r w:rsidRPr="007A3AD7">
        <w:rPr>
          <w:szCs w:val="22"/>
          <w:lang w:val="sq-AL"/>
        </w:rPr>
        <w:t>rbimesh k</w:t>
      </w:r>
      <w:r w:rsidR="009A5A0E" w:rsidRPr="007A3AD7">
        <w:rPr>
          <w:szCs w:val="22"/>
          <w:lang w:val="sq-AL"/>
        </w:rPr>
        <w:t>ë</w:t>
      </w:r>
      <w:r w:rsidRPr="007A3AD7">
        <w:rPr>
          <w:szCs w:val="22"/>
          <w:lang w:val="sq-AL"/>
        </w:rPr>
        <w:t>rkojn</w:t>
      </w:r>
      <w:r w:rsidR="009A5A0E" w:rsidRPr="007A3AD7">
        <w:rPr>
          <w:szCs w:val="22"/>
          <w:lang w:val="sq-AL"/>
        </w:rPr>
        <w:t>ë</w:t>
      </w:r>
      <w:r w:rsidRPr="007A3AD7">
        <w:rPr>
          <w:szCs w:val="22"/>
          <w:lang w:val="sq-AL"/>
        </w:rPr>
        <w:t xml:space="preserve"> nj</w:t>
      </w:r>
      <w:r w:rsidR="009A5A0E" w:rsidRPr="007A3AD7">
        <w:rPr>
          <w:szCs w:val="22"/>
          <w:lang w:val="sq-AL"/>
        </w:rPr>
        <w:t>ë</w:t>
      </w:r>
      <w:r w:rsidRPr="007A3AD7">
        <w:rPr>
          <w:szCs w:val="22"/>
          <w:lang w:val="sq-AL"/>
        </w:rPr>
        <w:t xml:space="preserve"> sistem t</w:t>
      </w:r>
      <w:r w:rsidR="009A5A0E" w:rsidRPr="007A3AD7">
        <w:rPr>
          <w:szCs w:val="22"/>
          <w:lang w:val="sq-AL"/>
        </w:rPr>
        <w:t>ë</w:t>
      </w:r>
      <w:r w:rsidRPr="007A3AD7">
        <w:rPr>
          <w:szCs w:val="22"/>
          <w:lang w:val="sq-AL"/>
        </w:rPr>
        <w:t xml:space="preserve"> diferencuar mb</w:t>
      </w:r>
      <w:r w:rsidR="009A5A0E" w:rsidRPr="007A3AD7">
        <w:rPr>
          <w:szCs w:val="22"/>
          <w:lang w:val="sq-AL"/>
        </w:rPr>
        <w:t>ë</w:t>
      </w:r>
      <w:r w:rsidRPr="007A3AD7">
        <w:rPr>
          <w:szCs w:val="22"/>
          <w:lang w:val="sq-AL"/>
        </w:rPr>
        <w:t>shtetjeje mb</w:t>
      </w:r>
      <w:r w:rsidR="009A5A0E" w:rsidRPr="007A3AD7">
        <w:rPr>
          <w:szCs w:val="22"/>
          <w:lang w:val="sq-AL"/>
        </w:rPr>
        <w:t>ë</w:t>
      </w:r>
      <w:r w:rsidRPr="007A3AD7">
        <w:rPr>
          <w:szCs w:val="22"/>
          <w:lang w:val="sq-AL"/>
        </w:rPr>
        <w:t>shtetur n</w:t>
      </w:r>
      <w:r w:rsidR="009A5A0E" w:rsidRPr="007A3AD7">
        <w:rPr>
          <w:szCs w:val="22"/>
          <w:lang w:val="sq-AL"/>
        </w:rPr>
        <w:t>ë</w:t>
      </w:r>
      <w:r w:rsidRPr="007A3AD7">
        <w:rPr>
          <w:szCs w:val="22"/>
          <w:lang w:val="sq-AL"/>
        </w:rPr>
        <w:t xml:space="preserve"> kontekstin lokal.</w:t>
      </w:r>
    </w:p>
    <w:p w14:paraId="1399C22A" w14:textId="77777777" w:rsidR="00676F48" w:rsidRDefault="000B4B6D" w:rsidP="000B4B6D">
      <w:pPr>
        <w:pStyle w:val="NormalWeb"/>
        <w:rPr>
          <w:szCs w:val="22"/>
          <w:lang w:val="sq-AL"/>
        </w:rPr>
      </w:pPr>
      <w:r w:rsidRPr="007A3AD7">
        <w:rPr>
          <w:szCs w:val="22"/>
          <w:lang w:val="sq-AL"/>
        </w:rPr>
        <w:t>Masa e pagesës së ndihmës, ndonëse ka pësuar rritje të vijueshme përgjatë dekadës së fundit përfshirë dhe rritjet e bëra në kuadrin e masave për të përballuar efektet negative t</w:t>
      </w:r>
      <w:r w:rsidR="009A5A0E" w:rsidRPr="007A3AD7">
        <w:rPr>
          <w:szCs w:val="22"/>
          <w:lang w:val="sq-AL"/>
        </w:rPr>
        <w:t>ë</w:t>
      </w:r>
      <w:r w:rsidRPr="007A3AD7">
        <w:rPr>
          <w:szCs w:val="22"/>
          <w:lang w:val="sq-AL"/>
        </w:rPr>
        <w:t xml:space="preserve"> pandemisë apo p</w:t>
      </w:r>
      <w:r w:rsidR="009A5A0E" w:rsidRPr="007A3AD7">
        <w:rPr>
          <w:szCs w:val="22"/>
          <w:lang w:val="sq-AL"/>
        </w:rPr>
        <w:t>ë</w:t>
      </w:r>
      <w:r w:rsidRPr="007A3AD7">
        <w:rPr>
          <w:szCs w:val="22"/>
          <w:lang w:val="sq-AL"/>
        </w:rPr>
        <w:t>r mb</w:t>
      </w:r>
      <w:r w:rsidR="009A5A0E" w:rsidRPr="007A3AD7">
        <w:rPr>
          <w:szCs w:val="22"/>
          <w:lang w:val="sq-AL"/>
        </w:rPr>
        <w:t>ë</w:t>
      </w:r>
      <w:r w:rsidRPr="007A3AD7">
        <w:rPr>
          <w:szCs w:val="22"/>
          <w:lang w:val="sq-AL"/>
        </w:rPr>
        <w:t>shtetjen e grupeve t</w:t>
      </w:r>
      <w:r w:rsidR="009A5A0E" w:rsidRPr="007A3AD7">
        <w:rPr>
          <w:szCs w:val="22"/>
          <w:lang w:val="sq-AL"/>
        </w:rPr>
        <w:t>ë</w:t>
      </w:r>
      <w:r w:rsidRPr="007A3AD7">
        <w:rPr>
          <w:szCs w:val="22"/>
          <w:lang w:val="sq-AL"/>
        </w:rPr>
        <w:t xml:space="preserve"> caktuara me nj</w:t>
      </w:r>
      <w:r w:rsidR="009A5A0E" w:rsidRPr="007A3AD7">
        <w:rPr>
          <w:szCs w:val="22"/>
          <w:lang w:val="sq-AL"/>
        </w:rPr>
        <w:t>ë</w:t>
      </w:r>
      <w:r w:rsidRPr="007A3AD7">
        <w:rPr>
          <w:szCs w:val="22"/>
          <w:lang w:val="sq-AL"/>
        </w:rPr>
        <w:t xml:space="preserve"> shkall</w:t>
      </w:r>
      <w:r w:rsidR="009A5A0E" w:rsidRPr="007A3AD7">
        <w:rPr>
          <w:szCs w:val="22"/>
          <w:lang w:val="sq-AL"/>
        </w:rPr>
        <w:t>ë</w:t>
      </w:r>
      <w:r w:rsidRPr="007A3AD7">
        <w:rPr>
          <w:szCs w:val="22"/>
          <w:lang w:val="sq-AL"/>
        </w:rPr>
        <w:t xml:space="preserve"> vulnerabiliteti t</w:t>
      </w:r>
      <w:r w:rsidR="009A5A0E" w:rsidRPr="007A3AD7">
        <w:rPr>
          <w:szCs w:val="22"/>
          <w:lang w:val="sq-AL"/>
        </w:rPr>
        <w:t>ë</w:t>
      </w:r>
      <w:r w:rsidRPr="007A3AD7">
        <w:rPr>
          <w:szCs w:val="22"/>
          <w:lang w:val="sq-AL"/>
        </w:rPr>
        <w:t xml:space="preserve"> rritur si n</w:t>
      </w:r>
      <w:r w:rsidR="009A5A0E" w:rsidRPr="007A3AD7">
        <w:rPr>
          <w:szCs w:val="22"/>
          <w:lang w:val="sq-AL"/>
        </w:rPr>
        <w:t>ë</w:t>
      </w:r>
      <w:r w:rsidRPr="007A3AD7">
        <w:rPr>
          <w:szCs w:val="22"/>
          <w:lang w:val="sq-AL"/>
        </w:rPr>
        <w:t>nat me shum</w:t>
      </w:r>
      <w:r w:rsidR="009A5A0E" w:rsidRPr="007A3AD7">
        <w:rPr>
          <w:szCs w:val="22"/>
          <w:lang w:val="sq-AL"/>
        </w:rPr>
        <w:t>ë</w:t>
      </w:r>
      <w:r w:rsidRPr="007A3AD7">
        <w:rPr>
          <w:szCs w:val="22"/>
          <w:lang w:val="sq-AL"/>
        </w:rPr>
        <w:t xml:space="preserve"> f</w:t>
      </w:r>
      <w:r w:rsidR="009A5A0E" w:rsidRPr="007A3AD7">
        <w:rPr>
          <w:szCs w:val="22"/>
          <w:lang w:val="sq-AL"/>
        </w:rPr>
        <w:t>ë</w:t>
      </w:r>
      <w:r w:rsidRPr="007A3AD7">
        <w:rPr>
          <w:szCs w:val="22"/>
          <w:lang w:val="sq-AL"/>
        </w:rPr>
        <w:t>mij</w:t>
      </w:r>
      <w:r w:rsidR="009A5A0E" w:rsidRPr="007A3AD7">
        <w:rPr>
          <w:szCs w:val="22"/>
          <w:lang w:val="sq-AL"/>
        </w:rPr>
        <w:t>ë</w:t>
      </w:r>
      <w:r w:rsidRPr="007A3AD7">
        <w:rPr>
          <w:szCs w:val="22"/>
          <w:lang w:val="sq-AL"/>
        </w:rPr>
        <w:t xml:space="preserve"> apo viktimat e dhun</w:t>
      </w:r>
      <w:r w:rsidR="009A5A0E" w:rsidRPr="007A3AD7">
        <w:rPr>
          <w:szCs w:val="22"/>
          <w:lang w:val="sq-AL"/>
        </w:rPr>
        <w:t>ë</w:t>
      </w:r>
      <w:r w:rsidRPr="007A3AD7">
        <w:rPr>
          <w:szCs w:val="22"/>
          <w:lang w:val="sq-AL"/>
        </w:rPr>
        <w:t>s n</w:t>
      </w:r>
      <w:r w:rsidR="009A5A0E" w:rsidRPr="007A3AD7">
        <w:rPr>
          <w:szCs w:val="22"/>
          <w:lang w:val="sq-AL"/>
        </w:rPr>
        <w:t>ë</w:t>
      </w:r>
      <w:r w:rsidRPr="007A3AD7">
        <w:rPr>
          <w:szCs w:val="22"/>
          <w:lang w:val="sq-AL"/>
        </w:rPr>
        <w:t xml:space="preserve"> familje, është ende e ulët. Megjithat</w:t>
      </w:r>
      <w:r w:rsidR="009A5A0E" w:rsidRPr="007A3AD7">
        <w:rPr>
          <w:szCs w:val="22"/>
          <w:lang w:val="sq-AL"/>
        </w:rPr>
        <w:t>ë</w:t>
      </w:r>
      <w:r w:rsidRPr="007A3AD7">
        <w:rPr>
          <w:szCs w:val="22"/>
          <w:lang w:val="sq-AL"/>
        </w:rPr>
        <w:t>, pagesa e Ndihmës Ekonomike rezulton ende e ulët në raport me kufirin e të ardhurave në rrezik varfërie apo me pagën minimale. Ndikimi i programit të ndihmës ekonomike në reduktimin e rrezikut nga varfëria është i kufizuar, nd</w:t>
      </w:r>
      <w:r w:rsidR="009A5A0E" w:rsidRPr="007A3AD7">
        <w:rPr>
          <w:szCs w:val="22"/>
          <w:lang w:val="sq-AL"/>
        </w:rPr>
        <w:t>ë</w:t>
      </w:r>
      <w:r w:rsidRPr="007A3AD7">
        <w:rPr>
          <w:szCs w:val="22"/>
          <w:lang w:val="sq-AL"/>
        </w:rPr>
        <w:t>rsa t</w:t>
      </w:r>
      <w:r w:rsidR="009A5A0E" w:rsidRPr="007A3AD7">
        <w:rPr>
          <w:szCs w:val="22"/>
          <w:lang w:val="sq-AL"/>
        </w:rPr>
        <w:t>ë</w:t>
      </w:r>
      <w:r w:rsidRPr="007A3AD7">
        <w:rPr>
          <w:szCs w:val="22"/>
          <w:lang w:val="sq-AL"/>
        </w:rPr>
        <w:t xml:space="preserve"> dh</w:t>
      </w:r>
      <w:r w:rsidR="009A5A0E" w:rsidRPr="007A3AD7">
        <w:rPr>
          <w:szCs w:val="22"/>
          <w:lang w:val="sq-AL"/>
        </w:rPr>
        <w:t>ë</w:t>
      </w:r>
      <w:r w:rsidRPr="007A3AD7">
        <w:rPr>
          <w:szCs w:val="22"/>
          <w:lang w:val="sq-AL"/>
        </w:rPr>
        <w:t>nat provojn</w:t>
      </w:r>
      <w:r w:rsidR="009A5A0E" w:rsidRPr="007A3AD7">
        <w:rPr>
          <w:szCs w:val="22"/>
          <w:lang w:val="sq-AL"/>
        </w:rPr>
        <w:t>ë</w:t>
      </w:r>
      <w:r w:rsidRPr="007A3AD7">
        <w:rPr>
          <w:szCs w:val="22"/>
          <w:lang w:val="sq-AL"/>
        </w:rPr>
        <w:t xml:space="preserve"> q</w:t>
      </w:r>
      <w:r w:rsidR="009A5A0E" w:rsidRPr="007A3AD7">
        <w:rPr>
          <w:szCs w:val="22"/>
          <w:lang w:val="sq-AL"/>
        </w:rPr>
        <w:t>ë</w:t>
      </w:r>
      <w:r w:rsidRPr="007A3AD7">
        <w:rPr>
          <w:szCs w:val="22"/>
          <w:lang w:val="sq-AL"/>
        </w:rPr>
        <w:t xml:space="preserve"> individ</w:t>
      </w:r>
      <w:r w:rsidR="009A5A0E" w:rsidRPr="007A3AD7">
        <w:rPr>
          <w:szCs w:val="22"/>
          <w:lang w:val="sq-AL"/>
        </w:rPr>
        <w:t>ë</w:t>
      </w:r>
      <w:r w:rsidRPr="007A3AD7">
        <w:rPr>
          <w:szCs w:val="22"/>
          <w:lang w:val="sq-AL"/>
        </w:rPr>
        <w:t>t e papun</w:t>
      </w:r>
      <w:r w:rsidR="009A5A0E" w:rsidRPr="007A3AD7">
        <w:rPr>
          <w:szCs w:val="22"/>
          <w:lang w:val="sq-AL"/>
        </w:rPr>
        <w:t>ë</w:t>
      </w:r>
      <w:r w:rsidRPr="007A3AD7">
        <w:rPr>
          <w:szCs w:val="22"/>
          <w:lang w:val="sq-AL"/>
        </w:rPr>
        <w:t>, familjet me shum</w:t>
      </w:r>
      <w:r w:rsidR="009A5A0E" w:rsidRPr="007A3AD7">
        <w:rPr>
          <w:szCs w:val="22"/>
          <w:lang w:val="sq-AL"/>
        </w:rPr>
        <w:t>ë</w:t>
      </w:r>
      <w:r w:rsidRPr="007A3AD7">
        <w:rPr>
          <w:szCs w:val="22"/>
          <w:lang w:val="sq-AL"/>
        </w:rPr>
        <w:t xml:space="preserve"> f</w:t>
      </w:r>
      <w:r w:rsidR="009A5A0E" w:rsidRPr="007A3AD7">
        <w:rPr>
          <w:szCs w:val="22"/>
          <w:lang w:val="sq-AL"/>
        </w:rPr>
        <w:t>ë</w:t>
      </w:r>
      <w:r w:rsidRPr="007A3AD7">
        <w:rPr>
          <w:szCs w:val="22"/>
          <w:lang w:val="sq-AL"/>
        </w:rPr>
        <w:t>mij</w:t>
      </w:r>
      <w:r w:rsidR="009A5A0E" w:rsidRPr="007A3AD7">
        <w:rPr>
          <w:szCs w:val="22"/>
          <w:lang w:val="sq-AL"/>
        </w:rPr>
        <w:t>ë</w:t>
      </w:r>
      <w:r w:rsidRPr="007A3AD7">
        <w:rPr>
          <w:szCs w:val="22"/>
          <w:lang w:val="sq-AL"/>
        </w:rPr>
        <w:t xml:space="preserve"> n</w:t>
      </w:r>
      <w:r w:rsidR="009A5A0E" w:rsidRPr="007A3AD7">
        <w:rPr>
          <w:szCs w:val="22"/>
          <w:lang w:val="sq-AL"/>
        </w:rPr>
        <w:t>ë</w:t>
      </w:r>
      <w:r w:rsidRPr="007A3AD7">
        <w:rPr>
          <w:szCs w:val="22"/>
          <w:lang w:val="sq-AL"/>
        </w:rPr>
        <w:t xml:space="preserve"> ngarkim dhe familjet me në krye gra ekonomikisht joaktive, për shkak edhe të angazhimit të tyre në punë të papaguar në familje jan</w:t>
      </w:r>
      <w:r w:rsidR="009A5A0E" w:rsidRPr="007A3AD7">
        <w:rPr>
          <w:szCs w:val="22"/>
          <w:lang w:val="sq-AL"/>
        </w:rPr>
        <w:t>ë</w:t>
      </w:r>
      <w:r w:rsidRPr="007A3AD7">
        <w:rPr>
          <w:szCs w:val="22"/>
          <w:lang w:val="sq-AL"/>
        </w:rPr>
        <w:t xml:space="preserve"> m</w:t>
      </w:r>
      <w:r w:rsidR="009A5A0E" w:rsidRPr="007A3AD7">
        <w:rPr>
          <w:szCs w:val="22"/>
          <w:lang w:val="sq-AL"/>
        </w:rPr>
        <w:t>ë</w:t>
      </w:r>
      <w:r w:rsidRPr="007A3AD7">
        <w:rPr>
          <w:szCs w:val="22"/>
          <w:lang w:val="sq-AL"/>
        </w:rPr>
        <w:t xml:space="preserve"> t</w:t>
      </w:r>
      <w:r w:rsidR="009A5A0E" w:rsidRPr="007A3AD7">
        <w:rPr>
          <w:szCs w:val="22"/>
          <w:lang w:val="sq-AL"/>
        </w:rPr>
        <w:t>ë</w:t>
      </w:r>
      <w:r w:rsidRPr="007A3AD7">
        <w:rPr>
          <w:szCs w:val="22"/>
          <w:lang w:val="sq-AL"/>
        </w:rPr>
        <w:t xml:space="preserve"> rrezikuar p</w:t>
      </w:r>
      <w:r w:rsidR="009A5A0E" w:rsidRPr="007A3AD7">
        <w:rPr>
          <w:szCs w:val="22"/>
          <w:lang w:val="sq-AL"/>
        </w:rPr>
        <w:t>ë</w:t>
      </w:r>
      <w:r w:rsidRPr="007A3AD7">
        <w:rPr>
          <w:szCs w:val="22"/>
          <w:lang w:val="sq-AL"/>
        </w:rPr>
        <w:t>r t</w:t>
      </w:r>
      <w:r w:rsidR="009A5A0E" w:rsidRPr="007A3AD7">
        <w:rPr>
          <w:szCs w:val="22"/>
          <w:lang w:val="sq-AL"/>
        </w:rPr>
        <w:t>ë</w:t>
      </w:r>
      <w:r w:rsidRPr="007A3AD7">
        <w:rPr>
          <w:szCs w:val="22"/>
          <w:lang w:val="sq-AL"/>
        </w:rPr>
        <w:t xml:space="preserve"> ren</w:t>
      </w:r>
      <w:r w:rsidR="009A5A0E" w:rsidRPr="007A3AD7">
        <w:rPr>
          <w:szCs w:val="22"/>
          <w:lang w:val="sq-AL"/>
        </w:rPr>
        <w:t>ë</w:t>
      </w:r>
      <w:r w:rsidRPr="007A3AD7">
        <w:rPr>
          <w:szCs w:val="22"/>
          <w:lang w:val="sq-AL"/>
        </w:rPr>
        <w:t xml:space="preserve"> n</w:t>
      </w:r>
      <w:r w:rsidR="009A5A0E" w:rsidRPr="007A3AD7">
        <w:rPr>
          <w:szCs w:val="22"/>
          <w:lang w:val="sq-AL"/>
        </w:rPr>
        <w:t>ë</w:t>
      </w:r>
      <w:r w:rsidRPr="007A3AD7">
        <w:rPr>
          <w:szCs w:val="22"/>
          <w:lang w:val="sq-AL"/>
        </w:rPr>
        <w:t xml:space="preserve"> varf</w:t>
      </w:r>
      <w:r w:rsidR="009A5A0E" w:rsidRPr="007A3AD7">
        <w:rPr>
          <w:szCs w:val="22"/>
          <w:lang w:val="sq-AL"/>
        </w:rPr>
        <w:t>ë</w:t>
      </w:r>
      <w:r w:rsidRPr="007A3AD7">
        <w:rPr>
          <w:szCs w:val="22"/>
          <w:lang w:val="sq-AL"/>
        </w:rPr>
        <w:t xml:space="preserve">ri. </w:t>
      </w:r>
    </w:p>
    <w:p w14:paraId="2F063923" w14:textId="743ACB64" w:rsidR="000B4B6D" w:rsidRPr="007A3AD7" w:rsidRDefault="000B4B6D" w:rsidP="000B4B6D">
      <w:pPr>
        <w:pStyle w:val="NormalWeb"/>
        <w:rPr>
          <w:szCs w:val="22"/>
          <w:lang w:val="sq-AL"/>
        </w:rPr>
      </w:pPr>
      <w:r w:rsidRPr="007A3AD7">
        <w:rPr>
          <w:szCs w:val="22"/>
          <w:lang w:val="sq-AL"/>
        </w:rPr>
        <w:t>Aktualisht, nuk ka nj</w:t>
      </w:r>
      <w:r w:rsidR="009A5A0E" w:rsidRPr="007A3AD7">
        <w:rPr>
          <w:szCs w:val="22"/>
          <w:lang w:val="sq-AL"/>
        </w:rPr>
        <w:t>ë</w:t>
      </w:r>
      <w:r w:rsidRPr="007A3AD7">
        <w:rPr>
          <w:szCs w:val="22"/>
          <w:lang w:val="sq-AL"/>
        </w:rPr>
        <w:t xml:space="preserve"> mekaniz</w:t>
      </w:r>
      <w:r w:rsidR="009A5A0E" w:rsidRPr="007A3AD7">
        <w:rPr>
          <w:szCs w:val="22"/>
          <w:lang w:val="sq-AL"/>
        </w:rPr>
        <w:t>ë</w:t>
      </w:r>
      <w:r w:rsidRPr="007A3AD7">
        <w:rPr>
          <w:szCs w:val="22"/>
          <w:lang w:val="sq-AL"/>
        </w:rPr>
        <w:t>m t</w:t>
      </w:r>
      <w:r w:rsidR="009A5A0E" w:rsidRPr="007A3AD7">
        <w:rPr>
          <w:szCs w:val="22"/>
          <w:lang w:val="sq-AL"/>
        </w:rPr>
        <w:t>ë</w:t>
      </w:r>
      <w:r w:rsidRPr="007A3AD7">
        <w:rPr>
          <w:szCs w:val="22"/>
          <w:lang w:val="sq-AL"/>
        </w:rPr>
        <w:t xml:space="preserve"> rishikimit periodik t</w:t>
      </w:r>
      <w:r w:rsidR="009A5A0E" w:rsidRPr="007A3AD7">
        <w:rPr>
          <w:szCs w:val="22"/>
          <w:lang w:val="sq-AL"/>
        </w:rPr>
        <w:t>ë</w:t>
      </w:r>
      <w:r w:rsidRPr="007A3AD7">
        <w:rPr>
          <w:szCs w:val="22"/>
          <w:lang w:val="sq-AL"/>
        </w:rPr>
        <w:t xml:space="preserve"> mas</w:t>
      </w:r>
      <w:r w:rsidR="009A5A0E" w:rsidRPr="007A3AD7">
        <w:rPr>
          <w:szCs w:val="22"/>
          <w:lang w:val="sq-AL"/>
        </w:rPr>
        <w:t>ë</w:t>
      </w:r>
      <w:r w:rsidRPr="007A3AD7">
        <w:rPr>
          <w:szCs w:val="22"/>
          <w:lang w:val="sq-AL"/>
        </w:rPr>
        <w:t>s s</w:t>
      </w:r>
      <w:r w:rsidR="009A5A0E" w:rsidRPr="007A3AD7">
        <w:rPr>
          <w:szCs w:val="22"/>
          <w:lang w:val="sq-AL"/>
        </w:rPr>
        <w:t>ë</w:t>
      </w:r>
      <w:r w:rsidRPr="007A3AD7">
        <w:rPr>
          <w:szCs w:val="22"/>
          <w:lang w:val="sq-AL"/>
        </w:rPr>
        <w:t xml:space="preserve"> ndihm</w:t>
      </w:r>
      <w:r w:rsidR="009A5A0E" w:rsidRPr="007A3AD7">
        <w:rPr>
          <w:szCs w:val="22"/>
          <w:lang w:val="sq-AL"/>
        </w:rPr>
        <w:t>ë</w:t>
      </w:r>
      <w:r w:rsidRPr="007A3AD7">
        <w:rPr>
          <w:szCs w:val="22"/>
          <w:lang w:val="sq-AL"/>
        </w:rPr>
        <w:t>s ekonomike dhe nuk ekziston nj</w:t>
      </w:r>
      <w:r w:rsidR="009A5A0E" w:rsidRPr="007A3AD7">
        <w:rPr>
          <w:szCs w:val="22"/>
          <w:lang w:val="sq-AL"/>
        </w:rPr>
        <w:t>ë</w:t>
      </w:r>
      <w:r w:rsidRPr="007A3AD7">
        <w:rPr>
          <w:szCs w:val="22"/>
          <w:lang w:val="sq-AL"/>
        </w:rPr>
        <w:t xml:space="preserve"> fond rezerv</w:t>
      </w:r>
      <w:r w:rsidR="009A5A0E" w:rsidRPr="007A3AD7">
        <w:rPr>
          <w:szCs w:val="22"/>
          <w:lang w:val="sq-AL"/>
        </w:rPr>
        <w:t>ë</w:t>
      </w:r>
      <w:r w:rsidRPr="007A3AD7">
        <w:rPr>
          <w:szCs w:val="22"/>
          <w:lang w:val="sq-AL"/>
        </w:rPr>
        <w:t xml:space="preserve"> apo mekaniz</w:t>
      </w:r>
      <w:r w:rsidR="009A5A0E" w:rsidRPr="007A3AD7">
        <w:rPr>
          <w:szCs w:val="22"/>
          <w:lang w:val="sq-AL"/>
        </w:rPr>
        <w:t>ë</w:t>
      </w:r>
      <w:r w:rsidRPr="007A3AD7">
        <w:rPr>
          <w:szCs w:val="22"/>
          <w:lang w:val="sq-AL"/>
        </w:rPr>
        <w:t>m t</w:t>
      </w:r>
      <w:r w:rsidR="009A5A0E" w:rsidRPr="007A3AD7">
        <w:rPr>
          <w:szCs w:val="22"/>
          <w:lang w:val="sq-AL"/>
        </w:rPr>
        <w:t>ë</w:t>
      </w:r>
      <w:r w:rsidRPr="007A3AD7">
        <w:rPr>
          <w:szCs w:val="22"/>
          <w:lang w:val="sq-AL"/>
        </w:rPr>
        <w:t xml:space="preserve"> p</w:t>
      </w:r>
      <w:r w:rsidR="009A5A0E" w:rsidRPr="007A3AD7">
        <w:rPr>
          <w:szCs w:val="22"/>
          <w:lang w:val="sq-AL"/>
        </w:rPr>
        <w:t>ë</w:t>
      </w:r>
      <w:r w:rsidRPr="007A3AD7">
        <w:rPr>
          <w:szCs w:val="22"/>
          <w:lang w:val="sq-AL"/>
        </w:rPr>
        <w:t>rgjigjes s</w:t>
      </w:r>
      <w:r w:rsidR="009A5A0E" w:rsidRPr="007A3AD7">
        <w:rPr>
          <w:szCs w:val="22"/>
          <w:lang w:val="sq-AL"/>
        </w:rPr>
        <w:t>ë</w:t>
      </w:r>
      <w:r w:rsidRPr="007A3AD7">
        <w:rPr>
          <w:szCs w:val="22"/>
          <w:lang w:val="sq-AL"/>
        </w:rPr>
        <w:t xml:space="preserve"> shpejt</w:t>
      </w:r>
      <w:r w:rsidR="009A5A0E" w:rsidRPr="007A3AD7">
        <w:rPr>
          <w:szCs w:val="22"/>
          <w:lang w:val="sq-AL"/>
        </w:rPr>
        <w:t>ë</w:t>
      </w:r>
      <w:r w:rsidRPr="007A3AD7">
        <w:rPr>
          <w:szCs w:val="22"/>
          <w:lang w:val="sq-AL"/>
        </w:rPr>
        <w:t>, i gatsh</w:t>
      </w:r>
      <w:r w:rsidR="009A5A0E" w:rsidRPr="007A3AD7">
        <w:rPr>
          <w:szCs w:val="22"/>
          <w:lang w:val="sq-AL"/>
        </w:rPr>
        <w:t>ë</w:t>
      </w:r>
      <w:r w:rsidRPr="007A3AD7">
        <w:rPr>
          <w:szCs w:val="22"/>
          <w:lang w:val="sq-AL"/>
        </w:rPr>
        <w:t>m p</w:t>
      </w:r>
      <w:r w:rsidR="009A5A0E" w:rsidRPr="007A3AD7">
        <w:rPr>
          <w:szCs w:val="22"/>
          <w:lang w:val="sq-AL"/>
        </w:rPr>
        <w:t>ë</w:t>
      </w:r>
      <w:r w:rsidRPr="007A3AD7">
        <w:rPr>
          <w:szCs w:val="22"/>
          <w:lang w:val="sq-AL"/>
        </w:rPr>
        <w:t>r t’u p</w:t>
      </w:r>
      <w:r w:rsidR="009A5A0E" w:rsidRPr="007A3AD7">
        <w:rPr>
          <w:szCs w:val="22"/>
          <w:lang w:val="sq-AL"/>
        </w:rPr>
        <w:t>ë</w:t>
      </w:r>
      <w:r w:rsidRPr="007A3AD7">
        <w:rPr>
          <w:szCs w:val="22"/>
          <w:lang w:val="sq-AL"/>
        </w:rPr>
        <w:t>rdorur n</w:t>
      </w:r>
      <w:r w:rsidR="009A5A0E" w:rsidRPr="007A3AD7">
        <w:rPr>
          <w:szCs w:val="22"/>
          <w:lang w:val="sq-AL"/>
        </w:rPr>
        <w:t>ë</w:t>
      </w:r>
      <w:r w:rsidRPr="007A3AD7">
        <w:rPr>
          <w:szCs w:val="22"/>
          <w:lang w:val="sq-AL"/>
        </w:rPr>
        <w:t xml:space="preserve"> raste t</w:t>
      </w:r>
      <w:r w:rsidR="009A5A0E" w:rsidRPr="007A3AD7">
        <w:rPr>
          <w:szCs w:val="22"/>
          <w:lang w:val="sq-AL"/>
        </w:rPr>
        <w:t>ë</w:t>
      </w:r>
      <w:r w:rsidRPr="007A3AD7">
        <w:rPr>
          <w:szCs w:val="22"/>
          <w:lang w:val="sq-AL"/>
        </w:rPr>
        <w:t xml:space="preserve"> krizave t</w:t>
      </w:r>
      <w:r w:rsidR="009A5A0E" w:rsidRPr="007A3AD7">
        <w:rPr>
          <w:szCs w:val="22"/>
          <w:lang w:val="sq-AL"/>
        </w:rPr>
        <w:t>ë</w:t>
      </w:r>
      <w:r w:rsidRPr="007A3AD7">
        <w:rPr>
          <w:szCs w:val="22"/>
          <w:lang w:val="sq-AL"/>
        </w:rPr>
        <w:t xml:space="preserve"> paparashikuara. Familjet n</w:t>
      </w:r>
      <w:r w:rsidR="009A5A0E" w:rsidRPr="007A3AD7">
        <w:rPr>
          <w:szCs w:val="22"/>
          <w:lang w:val="sq-AL"/>
        </w:rPr>
        <w:t>ë</w:t>
      </w:r>
      <w:r w:rsidRPr="007A3AD7">
        <w:rPr>
          <w:szCs w:val="22"/>
          <w:lang w:val="sq-AL"/>
        </w:rPr>
        <w:t xml:space="preserve"> ndihm</w:t>
      </w:r>
      <w:r w:rsidR="009A5A0E" w:rsidRPr="007A3AD7">
        <w:rPr>
          <w:szCs w:val="22"/>
          <w:lang w:val="sq-AL"/>
        </w:rPr>
        <w:t>ë</w:t>
      </w:r>
      <w:r w:rsidRPr="007A3AD7">
        <w:rPr>
          <w:szCs w:val="22"/>
          <w:lang w:val="sq-AL"/>
        </w:rPr>
        <w:t xml:space="preserve"> ekonomike, mb</w:t>
      </w:r>
      <w:r w:rsidR="009A5A0E" w:rsidRPr="007A3AD7">
        <w:rPr>
          <w:szCs w:val="22"/>
          <w:lang w:val="sq-AL"/>
        </w:rPr>
        <w:t>ë</w:t>
      </w:r>
      <w:r w:rsidRPr="007A3AD7">
        <w:rPr>
          <w:szCs w:val="22"/>
          <w:lang w:val="sq-AL"/>
        </w:rPr>
        <w:t>shteten me nj</w:t>
      </w:r>
      <w:r w:rsidR="009A5A0E" w:rsidRPr="007A3AD7">
        <w:rPr>
          <w:szCs w:val="22"/>
          <w:lang w:val="sq-AL"/>
        </w:rPr>
        <w:t>ë</w:t>
      </w:r>
      <w:r w:rsidRPr="007A3AD7">
        <w:rPr>
          <w:szCs w:val="22"/>
          <w:lang w:val="sq-AL"/>
        </w:rPr>
        <w:t xml:space="preserve"> num</w:t>
      </w:r>
      <w:r w:rsidR="009A5A0E" w:rsidRPr="007A3AD7">
        <w:rPr>
          <w:szCs w:val="22"/>
          <w:lang w:val="sq-AL"/>
        </w:rPr>
        <w:t>ë</w:t>
      </w:r>
      <w:r w:rsidRPr="007A3AD7">
        <w:rPr>
          <w:szCs w:val="22"/>
          <w:lang w:val="sq-AL"/>
        </w:rPr>
        <w:t>r t</w:t>
      </w:r>
      <w:r w:rsidR="009A5A0E" w:rsidRPr="007A3AD7">
        <w:rPr>
          <w:szCs w:val="22"/>
          <w:lang w:val="sq-AL"/>
        </w:rPr>
        <w:t>ë</w:t>
      </w:r>
      <w:r w:rsidRPr="007A3AD7">
        <w:rPr>
          <w:szCs w:val="22"/>
          <w:lang w:val="sq-AL"/>
        </w:rPr>
        <w:t xml:space="preserve"> konsideruesh</w:t>
      </w:r>
      <w:r w:rsidR="009A5A0E" w:rsidRPr="007A3AD7">
        <w:rPr>
          <w:szCs w:val="22"/>
          <w:lang w:val="sq-AL"/>
        </w:rPr>
        <w:t>ë</w:t>
      </w:r>
      <w:r w:rsidRPr="007A3AD7">
        <w:rPr>
          <w:szCs w:val="22"/>
          <w:lang w:val="sq-AL"/>
        </w:rPr>
        <w:t>m leht</w:t>
      </w:r>
      <w:r w:rsidR="009A5A0E" w:rsidRPr="007A3AD7">
        <w:rPr>
          <w:szCs w:val="22"/>
          <w:lang w:val="sq-AL"/>
        </w:rPr>
        <w:t>ë</w:t>
      </w:r>
      <w:r w:rsidRPr="007A3AD7">
        <w:rPr>
          <w:szCs w:val="22"/>
          <w:lang w:val="sq-AL"/>
        </w:rPr>
        <w:t>sirash financiare apo subvencionimesh. Nuk ekziston nj</w:t>
      </w:r>
      <w:r w:rsidR="009A5A0E" w:rsidRPr="007A3AD7">
        <w:rPr>
          <w:szCs w:val="22"/>
          <w:lang w:val="sq-AL"/>
        </w:rPr>
        <w:t>ë</w:t>
      </w:r>
      <w:r w:rsidRPr="007A3AD7">
        <w:rPr>
          <w:szCs w:val="22"/>
          <w:lang w:val="sq-AL"/>
        </w:rPr>
        <w:t xml:space="preserve"> </w:t>
      </w:r>
      <w:r w:rsidR="004F4045" w:rsidRPr="007A3AD7">
        <w:rPr>
          <w:szCs w:val="22"/>
          <w:lang w:val="sq-AL"/>
        </w:rPr>
        <w:t>vler</w:t>
      </w:r>
      <w:r w:rsidR="00E9006B">
        <w:rPr>
          <w:szCs w:val="22"/>
          <w:lang w:val="sq-AL"/>
        </w:rPr>
        <w:t>ë</w:t>
      </w:r>
      <w:r w:rsidR="004F4045" w:rsidRPr="007A3AD7">
        <w:rPr>
          <w:szCs w:val="22"/>
          <w:lang w:val="sq-AL"/>
        </w:rPr>
        <w:t>sim financiar</w:t>
      </w:r>
      <w:r w:rsidRPr="007A3AD7">
        <w:rPr>
          <w:szCs w:val="22"/>
          <w:lang w:val="sq-AL"/>
        </w:rPr>
        <w:t xml:space="preserve"> i k</w:t>
      </w:r>
      <w:r w:rsidR="009A5A0E" w:rsidRPr="007A3AD7">
        <w:rPr>
          <w:szCs w:val="22"/>
          <w:lang w:val="sq-AL"/>
        </w:rPr>
        <w:t>ë</w:t>
      </w:r>
      <w:r w:rsidRPr="007A3AD7">
        <w:rPr>
          <w:szCs w:val="22"/>
          <w:lang w:val="sq-AL"/>
        </w:rPr>
        <w:t>saj mb</w:t>
      </w:r>
      <w:r w:rsidR="009A5A0E" w:rsidRPr="007A3AD7">
        <w:rPr>
          <w:szCs w:val="22"/>
          <w:lang w:val="sq-AL"/>
        </w:rPr>
        <w:t>ë</w:t>
      </w:r>
      <w:r w:rsidRPr="007A3AD7">
        <w:rPr>
          <w:szCs w:val="22"/>
          <w:lang w:val="sq-AL"/>
        </w:rPr>
        <w:t xml:space="preserve">shtetjeje sipas </w:t>
      </w:r>
      <w:r w:rsidR="004F4045" w:rsidRPr="007A3AD7">
        <w:rPr>
          <w:szCs w:val="22"/>
          <w:lang w:val="sq-AL"/>
        </w:rPr>
        <w:t>p</w:t>
      </w:r>
      <w:r w:rsidR="00E9006B">
        <w:rPr>
          <w:szCs w:val="22"/>
          <w:lang w:val="sq-AL"/>
        </w:rPr>
        <w:t>ë</w:t>
      </w:r>
      <w:r w:rsidR="004F4045" w:rsidRPr="007A3AD7">
        <w:rPr>
          <w:szCs w:val="22"/>
          <w:lang w:val="sq-AL"/>
        </w:rPr>
        <w:t>rfitimit p</w:t>
      </w:r>
      <w:r w:rsidR="00E9006B">
        <w:rPr>
          <w:szCs w:val="22"/>
          <w:lang w:val="sq-AL"/>
        </w:rPr>
        <w:t>ë</w:t>
      </w:r>
      <w:r w:rsidR="004F4045" w:rsidRPr="007A3AD7">
        <w:rPr>
          <w:szCs w:val="22"/>
          <w:lang w:val="sq-AL"/>
        </w:rPr>
        <w:t xml:space="preserve">r </w:t>
      </w:r>
      <w:r w:rsidRPr="007A3AD7">
        <w:rPr>
          <w:szCs w:val="22"/>
          <w:lang w:val="sq-AL"/>
        </w:rPr>
        <w:t>secili</w:t>
      </w:r>
      <w:r w:rsidR="004F4045" w:rsidRPr="007A3AD7">
        <w:rPr>
          <w:szCs w:val="22"/>
          <w:lang w:val="sq-AL"/>
        </w:rPr>
        <w:t>n</w:t>
      </w:r>
      <w:r w:rsidRPr="007A3AD7">
        <w:rPr>
          <w:szCs w:val="22"/>
          <w:lang w:val="sq-AL"/>
        </w:rPr>
        <w:t xml:space="preserve"> an</w:t>
      </w:r>
      <w:r w:rsidR="009A5A0E" w:rsidRPr="007A3AD7">
        <w:rPr>
          <w:szCs w:val="22"/>
          <w:lang w:val="sq-AL"/>
        </w:rPr>
        <w:t>ë</w:t>
      </w:r>
      <w:r w:rsidRPr="007A3AD7">
        <w:rPr>
          <w:szCs w:val="22"/>
          <w:lang w:val="sq-AL"/>
        </w:rPr>
        <w:t>tar t</w:t>
      </w:r>
      <w:r w:rsidR="009A5A0E" w:rsidRPr="007A3AD7">
        <w:rPr>
          <w:szCs w:val="22"/>
          <w:lang w:val="sq-AL"/>
        </w:rPr>
        <w:t>ë</w:t>
      </w:r>
      <w:r w:rsidRPr="007A3AD7">
        <w:rPr>
          <w:szCs w:val="22"/>
          <w:lang w:val="sq-AL"/>
        </w:rPr>
        <w:t xml:space="preserve"> familjes n</w:t>
      </w:r>
      <w:r w:rsidR="009A5A0E" w:rsidRPr="007A3AD7">
        <w:rPr>
          <w:szCs w:val="22"/>
          <w:lang w:val="sq-AL"/>
        </w:rPr>
        <w:t>ë</w:t>
      </w:r>
      <w:r w:rsidRPr="007A3AD7">
        <w:rPr>
          <w:szCs w:val="22"/>
          <w:lang w:val="sq-AL"/>
        </w:rPr>
        <w:t xml:space="preserve"> ndihm</w:t>
      </w:r>
      <w:r w:rsidR="009A5A0E" w:rsidRPr="007A3AD7">
        <w:rPr>
          <w:szCs w:val="22"/>
          <w:lang w:val="sq-AL"/>
        </w:rPr>
        <w:t>ë</w:t>
      </w:r>
      <w:r w:rsidRPr="007A3AD7">
        <w:rPr>
          <w:szCs w:val="22"/>
          <w:lang w:val="sq-AL"/>
        </w:rPr>
        <w:t xml:space="preserve"> ekonomike dhe Regjistri Komb</w:t>
      </w:r>
      <w:r w:rsidR="009A5A0E" w:rsidRPr="007A3AD7">
        <w:rPr>
          <w:szCs w:val="22"/>
          <w:lang w:val="sq-AL"/>
        </w:rPr>
        <w:t>ë</w:t>
      </w:r>
      <w:r w:rsidRPr="007A3AD7">
        <w:rPr>
          <w:szCs w:val="22"/>
          <w:lang w:val="sq-AL"/>
        </w:rPr>
        <w:t>tar i Ndihm</w:t>
      </w:r>
      <w:r w:rsidR="009A5A0E" w:rsidRPr="007A3AD7">
        <w:rPr>
          <w:szCs w:val="22"/>
          <w:lang w:val="sq-AL"/>
        </w:rPr>
        <w:t>ë</w:t>
      </w:r>
      <w:r w:rsidRPr="007A3AD7">
        <w:rPr>
          <w:szCs w:val="22"/>
          <w:lang w:val="sq-AL"/>
        </w:rPr>
        <w:t>s nuk i reflekton p</w:t>
      </w:r>
      <w:r w:rsidR="009A5A0E" w:rsidRPr="007A3AD7">
        <w:rPr>
          <w:szCs w:val="22"/>
          <w:lang w:val="sq-AL"/>
        </w:rPr>
        <w:t>ë</w:t>
      </w:r>
      <w:r w:rsidRPr="007A3AD7">
        <w:rPr>
          <w:szCs w:val="22"/>
          <w:lang w:val="sq-AL"/>
        </w:rPr>
        <w:t>rfitimet p</w:t>
      </w:r>
      <w:r w:rsidR="009A5A0E" w:rsidRPr="007A3AD7">
        <w:rPr>
          <w:szCs w:val="22"/>
          <w:lang w:val="sq-AL"/>
        </w:rPr>
        <w:t>ë</w:t>
      </w:r>
      <w:r w:rsidRPr="007A3AD7">
        <w:rPr>
          <w:szCs w:val="22"/>
          <w:lang w:val="sq-AL"/>
        </w:rPr>
        <w:t xml:space="preserve">r </w:t>
      </w:r>
      <w:r w:rsidR="00AB4D37">
        <w:rPr>
          <w:szCs w:val="22"/>
          <w:lang w:val="sq-AL"/>
        </w:rPr>
        <w:t>çdo</w:t>
      </w:r>
      <w:r w:rsidRPr="007A3AD7">
        <w:rPr>
          <w:szCs w:val="22"/>
          <w:lang w:val="sq-AL"/>
        </w:rPr>
        <w:t xml:space="preserve"> familje, cka ndikon dhe n</w:t>
      </w:r>
      <w:r w:rsidR="009A5A0E" w:rsidRPr="007A3AD7">
        <w:rPr>
          <w:szCs w:val="22"/>
          <w:lang w:val="sq-AL"/>
        </w:rPr>
        <w:t>ë</w:t>
      </w:r>
      <w:r w:rsidRPr="007A3AD7">
        <w:rPr>
          <w:szCs w:val="22"/>
          <w:lang w:val="sq-AL"/>
        </w:rPr>
        <w:t xml:space="preserve"> pamund</w:t>
      </w:r>
      <w:r w:rsidR="009A5A0E" w:rsidRPr="007A3AD7">
        <w:rPr>
          <w:szCs w:val="22"/>
          <w:lang w:val="sq-AL"/>
        </w:rPr>
        <w:t>ë</w:t>
      </w:r>
      <w:r w:rsidRPr="007A3AD7">
        <w:rPr>
          <w:szCs w:val="22"/>
          <w:lang w:val="sq-AL"/>
        </w:rPr>
        <w:t>sin</w:t>
      </w:r>
      <w:r w:rsidR="009A5A0E" w:rsidRPr="007A3AD7">
        <w:rPr>
          <w:szCs w:val="22"/>
          <w:lang w:val="sq-AL"/>
        </w:rPr>
        <w:t>ë</w:t>
      </w:r>
      <w:r w:rsidRPr="007A3AD7">
        <w:rPr>
          <w:szCs w:val="22"/>
          <w:lang w:val="sq-AL"/>
        </w:rPr>
        <w:t xml:space="preserve"> e vler</w:t>
      </w:r>
      <w:r w:rsidR="009A5A0E" w:rsidRPr="007A3AD7">
        <w:rPr>
          <w:szCs w:val="22"/>
          <w:lang w:val="sq-AL"/>
        </w:rPr>
        <w:t>ë</w:t>
      </w:r>
      <w:r w:rsidRPr="007A3AD7">
        <w:rPr>
          <w:szCs w:val="22"/>
          <w:lang w:val="sq-AL"/>
        </w:rPr>
        <w:t>simit t</w:t>
      </w:r>
      <w:r w:rsidR="009A5A0E" w:rsidRPr="007A3AD7">
        <w:rPr>
          <w:szCs w:val="22"/>
          <w:lang w:val="sq-AL"/>
        </w:rPr>
        <w:t>ë</w:t>
      </w:r>
      <w:r w:rsidRPr="007A3AD7">
        <w:rPr>
          <w:szCs w:val="22"/>
          <w:lang w:val="sq-AL"/>
        </w:rPr>
        <w:t xml:space="preserve"> mb</w:t>
      </w:r>
      <w:r w:rsidR="009A5A0E" w:rsidRPr="007A3AD7">
        <w:rPr>
          <w:szCs w:val="22"/>
          <w:lang w:val="sq-AL"/>
        </w:rPr>
        <w:t>ë</w:t>
      </w:r>
      <w:r w:rsidRPr="007A3AD7">
        <w:rPr>
          <w:szCs w:val="22"/>
          <w:lang w:val="sq-AL"/>
        </w:rPr>
        <w:t>shtetjes s</w:t>
      </w:r>
      <w:r w:rsidR="009A5A0E" w:rsidRPr="007A3AD7">
        <w:rPr>
          <w:szCs w:val="22"/>
          <w:lang w:val="sq-AL"/>
        </w:rPr>
        <w:t>ë</w:t>
      </w:r>
      <w:r w:rsidRPr="007A3AD7">
        <w:rPr>
          <w:szCs w:val="22"/>
          <w:lang w:val="sq-AL"/>
        </w:rPr>
        <w:t xml:space="preserve"> plot</w:t>
      </w:r>
      <w:r w:rsidR="009A5A0E" w:rsidRPr="007A3AD7">
        <w:rPr>
          <w:szCs w:val="22"/>
          <w:lang w:val="sq-AL"/>
        </w:rPr>
        <w:t>ë</w:t>
      </w:r>
      <w:r w:rsidRPr="007A3AD7">
        <w:rPr>
          <w:szCs w:val="22"/>
          <w:lang w:val="sq-AL"/>
        </w:rPr>
        <w:t xml:space="preserve"> financiare q</w:t>
      </w:r>
      <w:r w:rsidR="009A5A0E" w:rsidRPr="007A3AD7">
        <w:rPr>
          <w:szCs w:val="22"/>
          <w:lang w:val="sq-AL"/>
        </w:rPr>
        <w:t>ë</w:t>
      </w:r>
      <w:r w:rsidRPr="007A3AD7">
        <w:rPr>
          <w:szCs w:val="22"/>
          <w:lang w:val="sq-AL"/>
        </w:rPr>
        <w:t xml:space="preserve"> p</w:t>
      </w:r>
      <w:r w:rsidR="009A5A0E" w:rsidRPr="007A3AD7">
        <w:rPr>
          <w:szCs w:val="22"/>
          <w:lang w:val="sq-AL"/>
        </w:rPr>
        <w:t>ë</w:t>
      </w:r>
      <w:r w:rsidRPr="007A3AD7">
        <w:rPr>
          <w:szCs w:val="22"/>
          <w:lang w:val="sq-AL"/>
        </w:rPr>
        <w:t>rfitojn</w:t>
      </w:r>
      <w:r w:rsidR="009A5A0E" w:rsidRPr="007A3AD7">
        <w:rPr>
          <w:szCs w:val="22"/>
          <w:lang w:val="sq-AL"/>
        </w:rPr>
        <w:t>ë</w:t>
      </w:r>
      <w:r w:rsidRPr="007A3AD7">
        <w:rPr>
          <w:szCs w:val="22"/>
          <w:lang w:val="sq-AL"/>
        </w:rPr>
        <w:t xml:space="preserve"> familjet n</w:t>
      </w:r>
      <w:r w:rsidR="009A5A0E" w:rsidRPr="007A3AD7">
        <w:rPr>
          <w:szCs w:val="22"/>
          <w:lang w:val="sq-AL"/>
        </w:rPr>
        <w:t>ë</w:t>
      </w:r>
      <w:r w:rsidRPr="007A3AD7">
        <w:rPr>
          <w:szCs w:val="22"/>
          <w:lang w:val="sq-AL"/>
        </w:rPr>
        <w:t xml:space="preserve"> ndihm</w:t>
      </w:r>
      <w:r w:rsidR="009A5A0E" w:rsidRPr="007A3AD7">
        <w:rPr>
          <w:szCs w:val="22"/>
          <w:lang w:val="sq-AL"/>
        </w:rPr>
        <w:t>ë</w:t>
      </w:r>
      <w:r w:rsidRPr="007A3AD7">
        <w:rPr>
          <w:szCs w:val="22"/>
          <w:lang w:val="sq-AL"/>
        </w:rPr>
        <w:t xml:space="preserve"> ekonomike dhe efektit t</w:t>
      </w:r>
      <w:r w:rsidR="009A5A0E" w:rsidRPr="007A3AD7">
        <w:rPr>
          <w:szCs w:val="22"/>
          <w:lang w:val="sq-AL"/>
        </w:rPr>
        <w:t>ë</w:t>
      </w:r>
      <w:r w:rsidRPr="007A3AD7">
        <w:rPr>
          <w:szCs w:val="22"/>
          <w:lang w:val="sq-AL"/>
        </w:rPr>
        <w:t xml:space="preserve"> k</w:t>
      </w:r>
      <w:r w:rsidR="009A5A0E" w:rsidRPr="007A3AD7">
        <w:rPr>
          <w:szCs w:val="22"/>
          <w:lang w:val="sq-AL"/>
        </w:rPr>
        <w:t>ë</w:t>
      </w:r>
      <w:r w:rsidRPr="007A3AD7">
        <w:rPr>
          <w:szCs w:val="22"/>
          <w:lang w:val="sq-AL"/>
        </w:rPr>
        <w:t>saj mb</w:t>
      </w:r>
      <w:r w:rsidR="009A5A0E" w:rsidRPr="007A3AD7">
        <w:rPr>
          <w:szCs w:val="22"/>
          <w:lang w:val="sq-AL"/>
        </w:rPr>
        <w:t>ë</w:t>
      </w:r>
      <w:r w:rsidRPr="007A3AD7">
        <w:rPr>
          <w:szCs w:val="22"/>
          <w:lang w:val="sq-AL"/>
        </w:rPr>
        <w:t>shtetje p</w:t>
      </w:r>
      <w:r w:rsidR="009A5A0E" w:rsidRPr="007A3AD7">
        <w:rPr>
          <w:szCs w:val="22"/>
          <w:lang w:val="sq-AL"/>
        </w:rPr>
        <w:t>ë</w:t>
      </w:r>
      <w:r w:rsidRPr="007A3AD7">
        <w:rPr>
          <w:szCs w:val="22"/>
          <w:lang w:val="sq-AL"/>
        </w:rPr>
        <w:t>r leht</w:t>
      </w:r>
      <w:r w:rsidR="009A5A0E" w:rsidRPr="007A3AD7">
        <w:rPr>
          <w:szCs w:val="22"/>
          <w:lang w:val="sq-AL"/>
        </w:rPr>
        <w:t>ë</w:t>
      </w:r>
      <w:r w:rsidRPr="007A3AD7">
        <w:rPr>
          <w:szCs w:val="22"/>
          <w:lang w:val="sq-AL"/>
        </w:rPr>
        <w:t>simin e varf</w:t>
      </w:r>
      <w:r w:rsidR="009A5A0E" w:rsidRPr="007A3AD7">
        <w:rPr>
          <w:szCs w:val="22"/>
          <w:lang w:val="sq-AL"/>
        </w:rPr>
        <w:t>ë</w:t>
      </w:r>
      <w:r w:rsidRPr="007A3AD7">
        <w:rPr>
          <w:szCs w:val="22"/>
          <w:lang w:val="sq-AL"/>
        </w:rPr>
        <w:t>ris</w:t>
      </w:r>
      <w:r w:rsidR="009A5A0E" w:rsidRPr="007A3AD7">
        <w:rPr>
          <w:szCs w:val="22"/>
          <w:lang w:val="sq-AL"/>
        </w:rPr>
        <w:t>ë</w:t>
      </w:r>
      <w:r w:rsidRPr="007A3AD7">
        <w:rPr>
          <w:szCs w:val="22"/>
          <w:lang w:val="sq-AL"/>
        </w:rPr>
        <w:t xml:space="preserve"> dhe integrim</w:t>
      </w:r>
      <w:r w:rsidR="004F4045" w:rsidRPr="007A3AD7">
        <w:rPr>
          <w:szCs w:val="22"/>
          <w:lang w:val="sq-AL"/>
        </w:rPr>
        <w:t>in</w:t>
      </w:r>
      <w:r w:rsidRPr="007A3AD7">
        <w:rPr>
          <w:szCs w:val="22"/>
          <w:lang w:val="sq-AL"/>
        </w:rPr>
        <w:t xml:space="preserve">. </w:t>
      </w:r>
    </w:p>
    <w:p w14:paraId="43D4B2AE" w14:textId="76D684E9" w:rsidR="000B4B6D" w:rsidRPr="007A3AD7" w:rsidRDefault="000B4B6D" w:rsidP="003432EB">
      <w:pPr>
        <w:pStyle w:val="NormalWeb"/>
        <w:rPr>
          <w:szCs w:val="22"/>
          <w:lang w:val="sq-AL"/>
        </w:rPr>
      </w:pPr>
      <w:r w:rsidRPr="007A3AD7">
        <w:rPr>
          <w:szCs w:val="22"/>
          <w:lang w:val="sq-AL"/>
        </w:rPr>
        <w:t>Decentralizimi administrativ dhe fiskal i vitit 2015 i ka besuar nj</w:t>
      </w:r>
      <w:r w:rsidR="009A5A0E" w:rsidRPr="007A3AD7">
        <w:rPr>
          <w:szCs w:val="22"/>
          <w:lang w:val="sq-AL"/>
        </w:rPr>
        <w:t>ë</w:t>
      </w:r>
      <w:r w:rsidRPr="007A3AD7">
        <w:rPr>
          <w:szCs w:val="22"/>
          <w:lang w:val="sq-AL"/>
        </w:rPr>
        <w:t xml:space="preserve"> rol ky</w:t>
      </w:r>
      <w:r w:rsidR="004F4045" w:rsidRPr="007A3AD7">
        <w:rPr>
          <w:szCs w:val="22"/>
          <w:lang w:val="sq-AL"/>
        </w:rPr>
        <w:t>ç</w:t>
      </w:r>
      <w:r w:rsidRPr="007A3AD7">
        <w:rPr>
          <w:szCs w:val="22"/>
          <w:lang w:val="sq-AL"/>
        </w:rPr>
        <w:t xml:space="preserve"> pushtetit vendor lidhur me administrimin e ndihm</w:t>
      </w:r>
      <w:r w:rsidR="009A5A0E" w:rsidRPr="007A3AD7">
        <w:rPr>
          <w:szCs w:val="22"/>
          <w:lang w:val="sq-AL"/>
        </w:rPr>
        <w:t>ë</w:t>
      </w:r>
      <w:r w:rsidRPr="007A3AD7">
        <w:rPr>
          <w:szCs w:val="22"/>
          <w:lang w:val="sq-AL"/>
        </w:rPr>
        <w:t>s ekonomike n</w:t>
      </w:r>
      <w:r w:rsidR="009A5A0E" w:rsidRPr="007A3AD7">
        <w:rPr>
          <w:szCs w:val="22"/>
          <w:lang w:val="sq-AL"/>
        </w:rPr>
        <w:t>ë</w:t>
      </w:r>
      <w:r w:rsidRPr="007A3AD7">
        <w:rPr>
          <w:szCs w:val="22"/>
          <w:lang w:val="sq-AL"/>
        </w:rPr>
        <w:t>p</w:t>
      </w:r>
      <w:r w:rsidR="009A5A0E" w:rsidRPr="007A3AD7">
        <w:rPr>
          <w:szCs w:val="22"/>
          <w:lang w:val="sq-AL"/>
        </w:rPr>
        <w:t>ë</w:t>
      </w:r>
      <w:r w:rsidRPr="007A3AD7">
        <w:rPr>
          <w:szCs w:val="22"/>
          <w:lang w:val="sq-AL"/>
        </w:rPr>
        <w:t>rmjet krijimit dhe funksionimit t</w:t>
      </w:r>
      <w:r w:rsidR="009A5A0E" w:rsidRPr="007A3AD7">
        <w:rPr>
          <w:szCs w:val="22"/>
          <w:lang w:val="sq-AL"/>
        </w:rPr>
        <w:t>ë</w:t>
      </w:r>
      <w:r w:rsidRPr="007A3AD7">
        <w:rPr>
          <w:szCs w:val="22"/>
          <w:lang w:val="sq-AL"/>
        </w:rPr>
        <w:t xml:space="preserve"> Nj</w:t>
      </w:r>
      <w:r w:rsidR="009A5A0E" w:rsidRPr="007A3AD7">
        <w:rPr>
          <w:szCs w:val="22"/>
          <w:lang w:val="sq-AL"/>
        </w:rPr>
        <w:t>ë</w:t>
      </w:r>
      <w:r w:rsidRPr="007A3AD7">
        <w:rPr>
          <w:szCs w:val="22"/>
          <w:lang w:val="sq-AL"/>
        </w:rPr>
        <w:t>sive t</w:t>
      </w:r>
      <w:r w:rsidR="009A5A0E" w:rsidRPr="007A3AD7">
        <w:rPr>
          <w:szCs w:val="22"/>
          <w:lang w:val="sq-AL"/>
        </w:rPr>
        <w:t>ë</w:t>
      </w:r>
      <w:r w:rsidRPr="007A3AD7">
        <w:rPr>
          <w:szCs w:val="22"/>
          <w:lang w:val="sq-AL"/>
        </w:rPr>
        <w:t xml:space="preserve"> Vler</w:t>
      </w:r>
      <w:r w:rsidR="009A5A0E" w:rsidRPr="007A3AD7">
        <w:rPr>
          <w:szCs w:val="22"/>
          <w:lang w:val="sq-AL"/>
        </w:rPr>
        <w:t>ë</w:t>
      </w:r>
      <w:r w:rsidRPr="007A3AD7">
        <w:rPr>
          <w:szCs w:val="22"/>
          <w:lang w:val="sq-AL"/>
        </w:rPr>
        <w:t>simit t</w:t>
      </w:r>
      <w:r w:rsidR="009A5A0E" w:rsidRPr="007A3AD7">
        <w:rPr>
          <w:szCs w:val="22"/>
          <w:lang w:val="sq-AL"/>
        </w:rPr>
        <w:t>ë</w:t>
      </w:r>
      <w:r w:rsidRPr="007A3AD7">
        <w:rPr>
          <w:szCs w:val="22"/>
          <w:lang w:val="sq-AL"/>
        </w:rPr>
        <w:t xml:space="preserve"> Nevojave dhe t</w:t>
      </w:r>
      <w:r w:rsidR="009A5A0E" w:rsidRPr="007A3AD7">
        <w:rPr>
          <w:szCs w:val="22"/>
          <w:lang w:val="sq-AL"/>
        </w:rPr>
        <w:t>ë</w:t>
      </w:r>
      <w:r w:rsidRPr="007A3AD7">
        <w:rPr>
          <w:szCs w:val="22"/>
          <w:lang w:val="sq-AL"/>
        </w:rPr>
        <w:t xml:space="preserve"> Referimit. Nd</w:t>
      </w:r>
      <w:r w:rsidR="009A5A0E" w:rsidRPr="007A3AD7">
        <w:rPr>
          <w:szCs w:val="22"/>
          <w:lang w:val="sq-AL"/>
        </w:rPr>
        <w:t>ë</w:t>
      </w:r>
      <w:r w:rsidRPr="007A3AD7">
        <w:rPr>
          <w:szCs w:val="22"/>
          <w:lang w:val="sq-AL"/>
        </w:rPr>
        <w:t>rkoh</w:t>
      </w:r>
      <w:r w:rsidR="009A5A0E" w:rsidRPr="007A3AD7">
        <w:rPr>
          <w:szCs w:val="22"/>
          <w:lang w:val="sq-AL"/>
        </w:rPr>
        <w:t>ë</w:t>
      </w:r>
      <w:r w:rsidRPr="007A3AD7">
        <w:rPr>
          <w:szCs w:val="22"/>
          <w:lang w:val="sq-AL"/>
        </w:rPr>
        <w:t xml:space="preserve"> q</w:t>
      </w:r>
      <w:r w:rsidR="009A5A0E" w:rsidRPr="007A3AD7">
        <w:rPr>
          <w:szCs w:val="22"/>
          <w:lang w:val="sq-AL"/>
        </w:rPr>
        <w:t>ë</w:t>
      </w:r>
      <w:r w:rsidRPr="007A3AD7">
        <w:rPr>
          <w:szCs w:val="22"/>
          <w:lang w:val="sq-AL"/>
        </w:rPr>
        <w:t xml:space="preserve"> vlen t</w:t>
      </w:r>
      <w:r w:rsidR="009A5A0E" w:rsidRPr="007A3AD7">
        <w:rPr>
          <w:szCs w:val="22"/>
          <w:lang w:val="sq-AL"/>
        </w:rPr>
        <w:t>ë</w:t>
      </w:r>
      <w:r w:rsidRPr="007A3AD7">
        <w:rPr>
          <w:szCs w:val="22"/>
          <w:lang w:val="sq-AL"/>
        </w:rPr>
        <w:t xml:space="preserve"> forcohet roli monitorues i strukturave t</w:t>
      </w:r>
      <w:r w:rsidR="009A5A0E" w:rsidRPr="007A3AD7">
        <w:rPr>
          <w:szCs w:val="22"/>
          <w:lang w:val="sq-AL"/>
        </w:rPr>
        <w:t>ë</w:t>
      </w:r>
      <w:r w:rsidRPr="007A3AD7">
        <w:rPr>
          <w:szCs w:val="22"/>
          <w:lang w:val="sq-AL"/>
        </w:rPr>
        <w:t xml:space="preserve"> SHSSH rajonal, ngritja e nj</w:t>
      </w:r>
      <w:r w:rsidR="009A5A0E" w:rsidRPr="007A3AD7">
        <w:rPr>
          <w:szCs w:val="22"/>
          <w:lang w:val="sq-AL"/>
        </w:rPr>
        <w:t>ë</w:t>
      </w:r>
      <w:r w:rsidRPr="007A3AD7">
        <w:rPr>
          <w:szCs w:val="22"/>
          <w:lang w:val="sq-AL"/>
        </w:rPr>
        <w:t>sive n</w:t>
      </w:r>
      <w:r w:rsidR="009A5A0E" w:rsidRPr="007A3AD7">
        <w:rPr>
          <w:szCs w:val="22"/>
          <w:lang w:val="sq-AL"/>
        </w:rPr>
        <w:t>ë</w:t>
      </w:r>
      <w:r w:rsidRPr="007A3AD7">
        <w:rPr>
          <w:szCs w:val="22"/>
          <w:lang w:val="sq-AL"/>
        </w:rPr>
        <w:t xml:space="preserve"> t</w:t>
      </w:r>
      <w:r w:rsidR="009A5A0E" w:rsidRPr="007A3AD7">
        <w:rPr>
          <w:szCs w:val="22"/>
          <w:lang w:val="sq-AL"/>
        </w:rPr>
        <w:t>ë</w:t>
      </w:r>
      <w:r w:rsidRPr="007A3AD7">
        <w:rPr>
          <w:szCs w:val="22"/>
          <w:lang w:val="sq-AL"/>
        </w:rPr>
        <w:t xml:space="preserve"> gjith</w:t>
      </w:r>
      <w:r w:rsidR="009A5A0E" w:rsidRPr="007A3AD7">
        <w:rPr>
          <w:szCs w:val="22"/>
          <w:lang w:val="sq-AL"/>
        </w:rPr>
        <w:t>ë</w:t>
      </w:r>
      <w:r w:rsidRPr="007A3AD7">
        <w:rPr>
          <w:szCs w:val="22"/>
          <w:lang w:val="sq-AL"/>
        </w:rPr>
        <w:t xml:space="preserve"> nj</w:t>
      </w:r>
      <w:r w:rsidR="009A5A0E" w:rsidRPr="007A3AD7">
        <w:rPr>
          <w:szCs w:val="22"/>
          <w:lang w:val="sq-AL"/>
        </w:rPr>
        <w:t>ë</w:t>
      </w:r>
      <w:r w:rsidRPr="007A3AD7">
        <w:rPr>
          <w:szCs w:val="22"/>
          <w:lang w:val="sq-AL"/>
        </w:rPr>
        <w:t>sit</w:t>
      </w:r>
      <w:r w:rsidR="009A5A0E" w:rsidRPr="007A3AD7">
        <w:rPr>
          <w:szCs w:val="22"/>
          <w:lang w:val="sq-AL"/>
        </w:rPr>
        <w:t>ë</w:t>
      </w:r>
      <w:r w:rsidRPr="007A3AD7">
        <w:rPr>
          <w:szCs w:val="22"/>
          <w:lang w:val="sq-AL"/>
        </w:rPr>
        <w:t xml:space="preserve"> administrative mbetet imediate. P</w:t>
      </w:r>
      <w:r w:rsidR="009A5A0E" w:rsidRPr="007A3AD7">
        <w:rPr>
          <w:szCs w:val="22"/>
          <w:lang w:val="sq-AL"/>
        </w:rPr>
        <w:t>ë</w:t>
      </w:r>
      <w:r w:rsidRPr="007A3AD7">
        <w:rPr>
          <w:szCs w:val="22"/>
          <w:lang w:val="sq-AL"/>
        </w:rPr>
        <w:t>r administrator</w:t>
      </w:r>
      <w:r w:rsidR="009A5A0E" w:rsidRPr="007A3AD7">
        <w:rPr>
          <w:szCs w:val="22"/>
          <w:lang w:val="sq-AL"/>
        </w:rPr>
        <w:t>ë</w:t>
      </w:r>
      <w:r w:rsidRPr="007A3AD7">
        <w:rPr>
          <w:szCs w:val="22"/>
          <w:lang w:val="sq-AL"/>
        </w:rPr>
        <w:t>t shoq</w:t>
      </w:r>
      <w:r w:rsidR="009A5A0E" w:rsidRPr="007A3AD7">
        <w:rPr>
          <w:szCs w:val="22"/>
          <w:lang w:val="sq-AL"/>
        </w:rPr>
        <w:t>ë</w:t>
      </w:r>
      <w:r w:rsidRPr="007A3AD7">
        <w:rPr>
          <w:szCs w:val="22"/>
          <w:lang w:val="sq-AL"/>
        </w:rPr>
        <w:t>ror</w:t>
      </w:r>
      <w:r w:rsidR="009A5A0E" w:rsidRPr="007A3AD7">
        <w:rPr>
          <w:szCs w:val="22"/>
          <w:lang w:val="sq-AL"/>
        </w:rPr>
        <w:t>ë</w:t>
      </w:r>
      <w:r w:rsidRPr="007A3AD7">
        <w:rPr>
          <w:szCs w:val="22"/>
          <w:lang w:val="sq-AL"/>
        </w:rPr>
        <w:t>, pjes</w:t>
      </w:r>
      <w:r w:rsidR="009A5A0E" w:rsidRPr="007A3AD7">
        <w:rPr>
          <w:szCs w:val="22"/>
          <w:lang w:val="sq-AL"/>
        </w:rPr>
        <w:t>ë</w:t>
      </w:r>
      <w:r w:rsidRPr="007A3AD7">
        <w:rPr>
          <w:szCs w:val="22"/>
          <w:lang w:val="sq-AL"/>
        </w:rPr>
        <w:t xml:space="preserve"> e k</w:t>
      </w:r>
      <w:r w:rsidR="009A5A0E" w:rsidRPr="007A3AD7">
        <w:rPr>
          <w:szCs w:val="22"/>
          <w:lang w:val="sq-AL"/>
        </w:rPr>
        <w:t>ë</w:t>
      </w:r>
      <w:r w:rsidRPr="007A3AD7">
        <w:rPr>
          <w:szCs w:val="22"/>
          <w:lang w:val="sq-AL"/>
        </w:rPr>
        <w:t>tyre strukturave, k</w:t>
      </w:r>
      <w:r w:rsidR="009A5A0E" w:rsidRPr="007A3AD7">
        <w:rPr>
          <w:szCs w:val="22"/>
          <w:lang w:val="sq-AL"/>
        </w:rPr>
        <w:t>ë</w:t>
      </w:r>
      <w:r w:rsidRPr="007A3AD7">
        <w:rPr>
          <w:szCs w:val="22"/>
          <w:lang w:val="sq-AL"/>
        </w:rPr>
        <w:t>rkohet t</w:t>
      </w:r>
      <w:r w:rsidR="009A5A0E" w:rsidRPr="007A3AD7">
        <w:rPr>
          <w:szCs w:val="22"/>
          <w:lang w:val="sq-AL"/>
        </w:rPr>
        <w:t>ë</w:t>
      </w:r>
      <w:r w:rsidRPr="007A3AD7">
        <w:rPr>
          <w:szCs w:val="22"/>
          <w:lang w:val="sq-AL"/>
        </w:rPr>
        <w:t xml:space="preserve"> p</w:t>
      </w:r>
      <w:r w:rsidR="009A5A0E" w:rsidRPr="007A3AD7">
        <w:rPr>
          <w:szCs w:val="22"/>
          <w:lang w:val="sq-AL"/>
        </w:rPr>
        <w:t>ë</w:t>
      </w:r>
      <w:r w:rsidRPr="007A3AD7">
        <w:rPr>
          <w:szCs w:val="22"/>
          <w:lang w:val="sq-AL"/>
        </w:rPr>
        <w:t>rmir</w:t>
      </w:r>
      <w:r w:rsidR="009A5A0E" w:rsidRPr="007A3AD7">
        <w:rPr>
          <w:szCs w:val="22"/>
          <w:lang w:val="sq-AL"/>
        </w:rPr>
        <w:t>ë</w:t>
      </w:r>
      <w:r w:rsidRPr="007A3AD7">
        <w:rPr>
          <w:szCs w:val="22"/>
          <w:lang w:val="sq-AL"/>
        </w:rPr>
        <w:t>sohet roli i tyre vler</w:t>
      </w:r>
      <w:r w:rsidR="009A5A0E" w:rsidRPr="007A3AD7">
        <w:rPr>
          <w:szCs w:val="22"/>
          <w:lang w:val="sq-AL"/>
        </w:rPr>
        <w:t>ë</w:t>
      </w:r>
      <w:r w:rsidRPr="007A3AD7">
        <w:rPr>
          <w:szCs w:val="22"/>
          <w:lang w:val="sq-AL"/>
        </w:rPr>
        <w:t>sues p</w:t>
      </w:r>
      <w:r w:rsidR="009A5A0E" w:rsidRPr="007A3AD7">
        <w:rPr>
          <w:szCs w:val="22"/>
          <w:lang w:val="sq-AL"/>
        </w:rPr>
        <w:t>ë</w:t>
      </w:r>
      <w:r w:rsidRPr="007A3AD7">
        <w:rPr>
          <w:szCs w:val="22"/>
          <w:lang w:val="sq-AL"/>
        </w:rPr>
        <w:t>r familjet n</w:t>
      </w:r>
      <w:r w:rsidR="009A5A0E" w:rsidRPr="007A3AD7">
        <w:rPr>
          <w:szCs w:val="22"/>
          <w:lang w:val="sq-AL"/>
        </w:rPr>
        <w:t>ë</w:t>
      </w:r>
      <w:r w:rsidRPr="007A3AD7">
        <w:rPr>
          <w:szCs w:val="22"/>
          <w:lang w:val="sq-AL"/>
        </w:rPr>
        <w:t xml:space="preserve"> nevoj</w:t>
      </w:r>
      <w:r w:rsidR="009A5A0E" w:rsidRPr="007A3AD7">
        <w:rPr>
          <w:szCs w:val="22"/>
          <w:lang w:val="sq-AL"/>
        </w:rPr>
        <w:t>ë</w:t>
      </w:r>
      <w:r w:rsidRPr="007A3AD7">
        <w:rPr>
          <w:szCs w:val="22"/>
          <w:lang w:val="sq-AL"/>
        </w:rPr>
        <w:t xml:space="preserve"> p</w:t>
      </w:r>
      <w:r w:rsidR="009A5A0E" w:rsidRPr="007A3AD7">
        <w:rPr>
          <w:szCs w:val="22"/>
          <w:lang w:val="sq-AL"/>
        </w:rPr>
        <w:t>ë</w:t>
      </w:r>
      <w:r w:rsidRPr="007A3AD7">
        <w:rPr>
          <w:szCs w:val="22"/>
          <w:lang w:val="sq-AL"/>
        </w:rPr>
        <w:t>r ndihm</w:t>
      </w:r>
      <w:r w:rsidR="009A5A0E" w:rsidRPr="007A3AD7">
        <w:rPr>
          <w:szCs w:val="22"/>
          <w:lang w:val="sq-AL"/>
        </w:rPr>
        <w:t>ë</w:t>
      </w:r>
      <w:r w:rsidRPr="007A3AD7">
        <w:rPr>
          <w:szCs w:val="22"/>
          <w:lang w:val="sq-AL"/>
        </w:rPr>
        <w:t xml:space="preserve"> dhe leht</w:t>
      </w:r>
      <w:r w:rsidR="009A5A0E" w:rsidRPr="007A3AD7">
        <w:rPr>
          <w:szCs w:val="22"/>
          <w:lang w:val="sq-AL"/>
        </w:rPr>
        <w:t>ë</w:t>
      </w:r>
      <w:r w:rsidRPr="007A3AD7">
        <w:rPr>
          <w:szCs w:val="22"/>
          <w:lang w:val="sq-AL"/>
        </w:rPr>
        <w:t>simi maksimal i kontakteve me to, si dhe t</w:t>
      </w:r>
      <w:r w:rsidR="009A5A0E" w:rsidRPr="007A3AD7">
        <w:rPr>
          <w:szCs w:val="22"/>
          <w:lang w:val="sq-AL"/>
        </w:rPr>
        <w:t>ë</w:t>
      </w:r>
      <w:r w:rsidRPr="007A3AD7">
        <w:rPr>
          <w:szCs w:val="22"/>
          <w:lang w:val="sq-AL"/>
        </w:rPr>
        <w:t xml:space="preserve"> jet</w:t>
      </w:r>
      <w:r w:rsidR="009A5A0E" w:rsidRPr="007A3AD7">
        <w:rPr>
          <w:szCs w:val="22"/>
          <w:lang w:val="sq-AL"/>
        </w:rPr>
        <w:t>ë</w:t>
      </w:r>
      <w:r w:rsidRPr="007A3AD7">
        <w:rPr>
          <w:szCs w:val="22"/>
          <w:lang w:val="sq-AL"/>
        </w:rPr>
        <w:t xml:space="preserve"> operacional roli referues i tyre p</w:t>
      </w:r>
      <w:r w:rsidR="009A5A0E" w:rsidRPr="007A3AD7">
        <w:rPr>
          <w:szCs w:val="22"/>
          <w:lang w:val="sq-AL"/>
        </w:rPr>
        <w:t>ë</w:t>
      </w:r>
      <w:r w:rsidRPr="007A3AD7">
        <w:rPr>
          <w:szCs w:val="22"/>
          <w:lang w:val="sq-AL"/>
        </w:rPr>
        <w:t>r pun</w:t>
      </w:r>
      <w:r w:rsidR="009A5A0E" w:rsidRPr="007A3AD7">
        <w:rPr>
          <w:szCs w:val="22"/>
          <w:lang w:val="sq-AL"/>
        </w:rPr>
        <w:t>ë</w:t>
      </w:r>
      <w:r w:rsidRPr="007A3AD7">
        <w:rPr>
          <w:szCs w:val="22"/>
          <w:lang w:val="sq-AL"/>
        </w:rPr>
        <w:t>sim dhe/ose p</w:t>
      </w:r>
      <w:r w:rsidR="009A5A0E" w:rsidRPr="007A3AD7">
        <w:rPr>
          <w:szCs w:val="22"/>
          <w:lang w:val="sq-AL"/>
        </w:rPr>
        <w:t>ë</w:t>
      </w:r>
      <w:r w:rsidRPr="007A3AD7">
        <w:rPr>
          <w:szCs w:val="22"/>
          <w:lang w:val="sq-AL"/>
        </w:rPr>
        <w:t>r sh</w:t>
      </w:r>
      <w:r w:rsidR="009A5A0E" w:rsidRPr="007A3AD7">
        <w:rPr>
          <w:szCs w:val="22"/>
          <w:lang w:val="sq-AL"/>
        </w:rPr>
        <w:t>ë</w:t>
      </w:r>
      <w:r w:rsidRPr="007A3AD7">
        <w:rPr>
          <w:szCs w:val="22"/>
          <w:lang w:val="sq-AL"/>
        </w:rPr>
        <w:t>rbime t</w:t>
      </w:r>
      <w:r w:rsidR="009A5A0E" w:rsidRPr="007A3AD7">
        <w:rPr>
          <w:szCs w:val="22"/>
          <w:lang w:val="sq-AL"/>
        </w:rPr>
        <w:t>ë</w:t>
      </w:r>
      <w:r w:rsidRPr="007A3AD7">
        <w:rPr>
          <w:szCs w:val="22"/>
          <w:lang w:val="sq-AL"/>
        </w:rPr>
        <w:t xml:space="preserve"> an</w:t>
      </w:r>
      <w:r w:rsidR="009A5A0E" w:rsidRPr="007A3AD7">
        <w:rPr>
          <w:szCs w:val="22"/>
          <w:lang w:val="sq-AL"/>
        </w:rPr>
        <w:t>ë</w:t>
      </w:r>
      <w:r w:rsidRPr="007A3AD7">
        <w:rPr>
          <w:szCs w:val="22"/>
          <w:lang w:val="sq-AL"/>
        </w:rPr>
        <w:t>tar</w:t>
      </w:r>
      <w:r w:rsidR="009A5A0E" w:rsidRPr="007A3AD7">
        <w:rPr>
          <w:szCs w:val="22"/>
          <w:lang w:val="sq-AL"/>
        </w:rPr>
        <w:t>ë</w:t>
      </w:r>
      <w:r w:rsidRPr="007A3AD7">
        <w:rPr>
          <w:szCs w:val="22"/>
          <w:lang w:val="sq-AL"/>
        </w:rPr>
        <w:t>ve t</w:t>
      </w:r>
      <w:r w:rsidR="009A5A0E" w:rsidRPr="007A3AD7">
        <w:rPr>
          <w:szCs w:val="22"/>
          <w:lang w:val="sq-AL"/>
        </w:rPr>
        <w:t>ë</w:t>
      </w:r>
      <w:r w:rsidRPr="007A3AD7">
        <w:rPr>
          <w:szCs w:val="22"/>
          <w:lang w:val="sq-AL"/>
        </w:rPr>
        <w:t xml:space="preserve"> familjeve n</w:t>
      </w:r>
      <w:r w:rsidR="009A5A0E" w:rsidRPr="007A3AD7">
        <w:rPr>
          <w:szCs w:val="22"/>
          <w:lang w:val="sq-AL"/>
        </w:rPr>
        <w:t>ë</w:t>
      </w:r>
      <w:r w:rsidRPr="007A3AD7">
        <w:rPr>
          <w:szCs w:val="22"/>
          <w:lang w:val="sq-AL"/>
        </w:rPr>
        <w:t xml:space="preserve"> ndihm</w:t>
      </w:r>
      <w:r w:rsidR="009A5A0E" w:rsidRPr="007A3AD7">
        <w:rPr>
          <w:szCs w:val="22"/>
          <w:lang w:val="sq-AL"/>
        </w:rPr>
        <w:t>ë</w:t>
      </w:r>
      <w:r w:rsidRPr="007A3AD7">
        <w:rPr>
          <w:szCs w:val="22"/>
          <w:lang w:val="sq-AL"/>
        </w:rPr>
        <w:t xml:space="preserve"> ekonomike. P</w:t>
      </w:r>
      <w:r w:rsidR="009A5A0E" w:rsidRPr="007A3AD7">
        <w:rPr>
          <w:szCs w:val="22"/>
          <w:lang w:val="sq-AL"/>
        </w:rPr>
        <w:t>ë</w:t>
      </w:r>
      <w:r w:rsidRPr="007A3AD7">
        <w:rPr>
          <w:szCs w:val="22"/>
          <w:lang w:val="sq-AL"/>
        </w:rPr>
        <w:t>r k</w:t>
      </w:r>
      <w:r w:rsidR="009A5A0E" w:rsidRPr="007A3AD7">
        <w:rPr>
          <w:szCs w:val="22"/>
          <w:lang w:val="sq-AL"/>
        </w:rPr>
        <w:t>ë</w:t>
      </w:r>
      <w:r w:rsidRPr="007A3AD7">
        <w:rPr>
          <w:szCs w:val="22"/>
          <w:lang w:val="sq-AL"/>
        </w:rPr>
        <w:t>t</w:t>
      </w:r>
      <w:r w:rsidR="009A5A0E" w:rsidRPr="007A3AD7">
        <w:rPr>
          <w:szCs w:val="22"/>
          <w:lang w:val="sq-AL"/>
        </w:rPr>
        <w:t>ë</w:t>
      </w:r>
      <w:r w:rsidRPr="007A3AD7">
        <w:rPr>
          <w:szCs w:val="22"/>
          <w:lang w:val="sq-AL"/>
        </w:rPr>
        <w:t>,</w:t>
      </w:r>
      <w:r w:rsidR="00DC52B0" w:rsidRPr="007A3AD7">
        <w:rPr>
          <w:szCs w:val="22"/>
          <w:lang w:val="sq-AL"/>
        </w:rPr>
        <w:t xml:space="preserve"> </w:t>
      </w:r>
      <w:r w:rsidRPr="007A3AD7">
        <w:rPr>
          <w:szCs w:val="22"/>
          <w:lang w:val="sq-AL"/>
        </w:rPr>
        <w:t>ndërtimi i një modeli proaktiv të menaxhimit të integruar të familjes dhe individëve në ndihmë ekonomike dhe shtrirja në të gjitha njësitë vendore mbetet sfid</w:t>
      </w:r>
      <w:r w:rsidR="009A5A0E" w:rsidRPr="007A3AD7">
        <w:rPr>
          <w:szCs w:val="22"/>
          <w:lang w:val="sq-AL"/>
        </w:rPr>
        <w:t>ë</w:t>
      </w:r>
      <w:r w:rsidRPr="007A3AD7">
        <w:rPr>
          <w:szCs w:val="22"/>
          <w:lang w:val="sq-AL"/>
        </w:rPr>
        <w:t>. Gjithashtu, vler</w:t>
      </w:r>
      <w:r w:rsidR="009A5A0E" w:rsidRPr="007A3AD7">
        <w:rPr>
          <w:szCs w:val="22"/>
          <w:lang w:val="sq-AL"/>
        </w:rPr>
        <w:t>ë</w:t>
      </w:r>
      <w:r w:rsidRPr="007A3AD7">
        <w:rPr>
          <w:szCs w:val="22"/>
          <w:lang w:val="sq-AL"/>
        </w:rPr>
        <w:t>simi i vijuesh</w:t>
      </w:r>
      <w:r w:rsidR="009A5A0E" w:rsidRPr="007A3AD7">
        <w:rPr>
          <w:szCs w:val="22"/>
          <w:lang w:val="sq-AL"/>
        </w:rPr>
        <w:t>ë</w:t>
      </w:r>
      <w:r w:rsidRPr="007A3AD7">
        <w:rPr>
          <w:szCs w:val="22"/>
          <w:lang w:val="sq-AL"/>
        </w:rPr>
        <w:t>m i performanc</w:t>
      </w:r>
      <w:r w:rsidR="009A5A0E" w:rsidRPr="007A3AD7">
        <w:rPr>
          <w:szCs w:val="22"/>
          <w:lang w:val="sq-AL"/>
        </w:rPr>
        <w:t>ë</w:t>
      </w:r>
      <w:r w:rsidRPr="007A3AD7">
        <w:rPr>
          <w:szCs w:val="22"/>
          <w:lang w:val="sq-AL"/>
        </w:rPr>
        <w:t>s t</w:t>
      </w:r>
      <w:r w:rsidR="009A5A0E" w:rsidRPr="007A3AD7">
        <w:rPr>
          <w:szCs w:val="22"/>
          <w:lang w:val="sq-AL"/>
        </w:rPr>
        <w:t>ë</w:t>
      </w:r>
      <w:r w:rsidRPr="007A3AD7">
        <w:rPr>
          <w:szCs w:val="22"/>
          <w:lang w:val="sq-AL"/>
        </w:rPr>
        <w:t xml:space="preserve"> sistemit t</w:t>
      </w:r>
      <w:r w:rsidR="009A5A0E" w:rsidRPr="007A3AD7">
        <w:rPr>
          <w:szCs w:val="22"/>
          <w:lang w:val="sq-AL"/>
        </w:rPr>
        <w:t>ë</w:t>
      </w:r>
      <w:r w:rsidRPr="007A3AD7">
        <w:rPr>
          <w:szCs w:val="22"/>
          <w:lang w:val="sq-AL"/>
        </w:rPr>
        <w:t xml:space="preserve"> ndihm</w:t>
      </w:r>
      <w:r w:rsidR="009A5A0E" w:rsidRPr="007A3AD7">
        <w:rPr>
          <w:szCs w:val="22"/>
          <w:lang w:val="sq-AL"/>
        </w:rPr>
        <w:t>ë</w:t>
      </w:r>
      <w:r w:rsidRPr="007A3AD7">
        <w:rPr>
          <w:szCs w:val="22"/>
          <w:lang w:val="sq-AL"/>
        </w:rPr>
        <w:t>s ekonomike pazgjithshm</w:t>
      </w:r>
      <w:r w:rsidR="009A5A0E" w:rsidRPr="007A3AD7">
        <w:rPr>
          <w:szCs w:val="22"/>
          <w:lang w:val="sq-AL"/>
        </w:rPr>
        <w:t>ë</w:t>
      </w:r>
      <w:r w:rsidRPr="007A3AD7">
        <w:rPr>
          <w:szCs w:val="22"/>
          <w:lang w:val="sq-AL"/>
        </w:rPr>
        <w:t>risht me sistemin e mbrojtjes shoq</w:t>
      </w:r>
      <w:r w:rsidR="009A5A0E" w:rsidRPr="007A3AD7">
        <w:rPr>
          <w:szCs w:val="22"/>
          <w:lang w:val="sq-AL"/>
        </w:rPr>
        <w:t>ë</w:t>
      </w:r>
      <w:r w:rsidRPr="007A3AD7">
        <w:rPr>
          <w:szCs w:val="22"/>
          <w:lang w:val="sq-AL"/>
        </w:rPr>
        <w:t>rore n</w:t>
      </w:r>
      <w:r w:rsidR="009A5A0E" w:rsidRPr="007A3AD7">
        <w:rPr>
          <w:szCs w:val="22"/>
          <w:lang w:val="sq-AL"/>
        </w:rPr>
        <w:t>ë</w:t>
      </w:r>
      <w:r w:rsidRPr="007A3AD7">
        <w:rPr>
          <w:szCs w:val="22"/>
          <w:lang w:val="sq-AL"/>
        </w:rPr>
        <w:t xml:space="preserve"> t</w:t>
      </w:r>
      <w:r w:rsidR="009A5A0E" w:rsidRPr="007A3AD7">
        <w:rPr>
          <w:szCs w:val="22"/>
          <w:lang w:val="sq-AL"/>
        </w:rPr>
        <w:t>ë</w:t>
      </w:r>
      <w:r w:rsidRPr="007A3AD7">
        <w:rPr>
          <w:szCs w:val="22"/>
          <w:lang w:val="sq-AL"/>
        </w:rPr>
        <w:t xml:space="preserve"> gjith</w:t>
      </w:r>
      <w:r w:rsidR="009A5A0E" w:rsidRPr="007A3AD7">
        <w:rPr>
          <w:szCs w:val="22"/>
          <w:lang w:val="sq-AL"/>
        </w:rPr>
        <w:t>ë</w:t>
      </w:r>
      <w:r w:rsidRPr="007A3AD7">
        <w:rPr>
          <w:szCs w:val="22"/>
          <w:lang w:val="sq-AL"/>
        </w:rPr>
        <w:t xml:space="preserve"> nivelet duhet shoq</w:t>
      </w:r>
      <w:r w:rsidR="009A5A0E" w:rsidRPr="007A3AD7">
        <w:rPr>
          <w:szCs w:val="22"/>
          <w:lang w:val="sq-AL"/>
        </w:rPr>
        <w:t>ë</w:t>
      </w:r>
      <w:r w:rsidRPr="007A3AD7">
        <w:rPr>
          <w:szCs w:val="22"/>
          <w:lang w:val="sq-AL"/>
        </w:rPr>
        <w:t>ruar me nd</w:t>
      </w:r>
      <w:r w:rsidR="009A5A0E" w:rsidRPr="007A3AD7">
        <w:rPr>
          <w:szCs w:val="22"/>
          <w:lang w:val="sq-AL"/>
        </w:rPr>
        <w:t>ë</w:t>
      </w:r>
      <w:r w:rsidRPr="007A3AD7">
        <w:rPr>
          <w:szCs w:val="22"/>
          <w:lang w:val="sq-AL"/>
        </w:rPr>
        <w:t>rmarrjen e ndryshimeve t</w:t>
      </w:r>
      <w:r w:rsidR="009A5A0E" w:rsidRPr="007A3AD7">
        <w:rPr>
          <w:szCs w:val="22"/>
          <w:lang w:val="sq-AL"/>
        </w:rPr>
        <w:t>ë</w:t>
      </w:r>
      <w:r w:rsidRPr="007A3AD7">
        <w:rPr>
          <w:szCs w:val="22"/>
          <w:lang w:val="sq-AL"/>
        </w:rPr>
        <w:t xml:space="preserve"> nevojshme rregullatore, institucionale si dhe t</w:t>
      </w:r>
      <w:r w:rsidR="009A5A0E" w:rsidRPr="007A3AD7">
        <w:rPr>
          <w:szCs w:val="22"/>
          <w:lang w:val="sq-AL"/>
        </w:rPr>
        <w:t>ë</w:t>
      </w:r>
      <w:r w:rsidRPr="007A3AD7">
        <w:rPr>
          <w:szCs w:val="22"/>
          <w:lang w:val="sq-AL"/>
        </w:rPr>
        <w:t xml:space="preserve"> ofrimit t</w:t>
      </w:r>
      <w:r w:rsidR="009A5A0E" w:rsidRPr="007A3AD7">
        <w:rPr>
          <w:szCs w:val="22"/>
          <w:lang w:val="sq-AL"/>
        </w:rPr>
        <w:t>ë</w:t>
      </w:r>
      <w:r w:rsidRPr="007A3AD7">
        <w:rPr>
          <w:szCs w:val="22"/>
          <w:lang w:val="sq-AL"/>
        </w:rPr>
        <w:t xml:space="preserve"> </w:t>
      </w:r>
      <w:r w:rsidR="00DC52B0" w:rsidRPr="007A3AD7">
        <w:rPr>
          <w:szCs w:val="22"/>
          <w:lang w:val="sq-AL"/>
        </w:rPr>
        <w:t>ç</w:t>
      </w:r>
      <w:r w:rsidRPr="007A3AD7">
        <w:rPr>
          <w:szCs w:val="22"/>
          <w:lang w:val="sq-AL"/>
        </w:rPr>
        <w:t>do lloj asistence t</w:t>
      </w:r>
      <w:r w:rsidR="009A5A0E" w:rsidRPr="007A3AD7">
        <w:rPr>
          <w:szCs w:val="22"/>
          <w:lang w:val="sq-AL"/>
        </w:rPr>
        <w:t>ë</w:t>
      </w:r>
      <w:r w:rsidRPr="007A3AD7">
        <w:rPr>
          <w:szCs w:val="22"/>
          <w:lang w:val="sq-AL"/>
        </w:rPr>
        <w:t xml:space="preserve"> nevojshme n</w:t>
      </w:r>
      <w:r w:rsidR="009A5A0E" w:rsidRPr="007A3AD7">
        <w:rPr>
          <w:szCs w:val="22"/>
          <w:lang w:val="sq-AL"/>
        </w:rPr>
        <w:t>ë</w:t>
      </w:r>
      <w:r w:rsidRPr="007A3AD7">
        <w:rPr>
          <w:szCs w:val="22"/>
          <w:lang w:val="sq-AL"/>
        </w:rPr>
        <w:t xml:space="preserve"> k</w:t>
      </w:r>
      <w:r w:rsidR="009A5A0E" w:rsidRPr="007A3AD7">
        <w:rPr>
          <w:szCs w:val="22"/>
          <w:lang w:val="sq-AL"/>
        </w:rPr>
        <w:t>ë</w:t>
      </w:r>
      <w:r w:rsidRPr="007A3AD7">
        <w:rPr>
          <w:szCs w:val="22"/>
          <w:lang w:val="sq-AL"/>
        </w:rPr>
        <w:t>t</w:t>
      </w:r>
      <w:r w:rsidR="009A5A0E" w:rsidRPr="007A3AD7">
        <w:rPr>
          <w:szCs w:val="22"/>
          <w:lang w:val="sq-AL"/>
        </w:rPr>
        <w:t>ë</w:t>
      </w:r>
      <w:r w:rsidRPr="007A3AD7">
        <w:rPr>
          <w:szCs w:val="22"/>
          <w:lang w:val="sq-AL"/>
        </w:rPr>
        <w:t xml:space="preserve"> drejtim.</w:t>
      </w:r>
      <w:r w:rsidR="00C9042D">
        <w:rPr>
          <w:szCs w:val="22"/>
          <w:lang w:val="sq-AL"/>
        </w:rPr>
        <w:t xml:space="preserve"> Ndërkohë paralelisht me këto procese do të realizohen rishikimet e kuadrit ligjor dhe normativ për të reflektuar ndryshimet dhe rishikimet e nevojshme .</w:t>
      </w:r>
    </w:p>
    <w:p w14:paraId="3F3645F7" w14:textId="09FE522C" w:rsidR="000B4B6D" w:rsidRPr="00F37FFE" w:rsidRDefault="000B4B6D" w:rsidP="00F37FFE">
      <w:pPr>
        <w:pStyle w:val="Normal0"/>
        <w:rPr>
          <w:color w:val="4472C4" w:themeColor="accent1"/>
          <w:lang w:val="sq-AL"/>
        </w:rPr>
      </w:pPr>
      <w:bookmarkStart w:id="49" w:name="_Toc119598200"/>
      <w:bookmarkEnd w:id="48"/>
      <w:r w:rsidRPr="00F37FFE">
        <w:rPr>
          <w:color w:val="4472C4" w:themeColor="accent1"/>
          <w:lang w:val="sq-AL"/>
        </w:rPr>
        <w:t>Të përmirësohet ri integrimi social- ekonomik i individëve, burra dhe gra pjesë e skemës së Ndihmës Ekonomike, përmes lidhjes me punësimin dhe promovimi i ndërmarrjeve sociale</w:t>
      </w:r>
      <w:r w:rsidR="0062322E" w:rsidRPr="00F37FFE">
        <w:rPr>
          <w:color w:val="4472C4" w:themeColor="accent1"/>
          <w:lang w:val="sq-AL"/>
        </w:rPr>
        <w:t>.</w:t>
      </w:r>
    </w:p>
    <w:p w14:paraId="16739536" w14:textId="77777777" w:rsidR="00EC5DA2" w:rsidRDefault="000B4B6D" w:rsidP="000B4B6D">
      <w:pPr>
        <w:pStyle w:val="NormalWeb"/>
        <w:rPr>
          <w:szCs w:val="22"/>
          <w:lang w:val="it-IT"/>
        </w:rPr>
      </w:pPr>
      <w:r w:rsidRPr="007A3AD7">
        <w:rPr>
          <w:szCs w:val="22"/>
          <w:lang w:val="it-IT"/>
        </w:rPr>
        <w:t>Realizimi i daljes nga skema e NE t</w:t>
      </w:r>
      <w:r w:rsidR="009A5A0E" w:rsidRPr="007A3AD7">
        <w:rPr>
          <w:szCs w:val="22"/>
          <w:lang w:val="it-IT"/>
        </w:rPr>
        <w:t>ë</w:t>
      </w:r>
      <w:r w:rsidRPr="007A3AD7">
        <w:rPr>
          <w:szCs w:val="22"/>
          <w:lang w:val="it-IT"/>
        </w:rPr>
        <w:t xml:space="preserve"> an</w:t>
      </w:r>
      <w:r w:rsidR="009A5A0E" w:rsidRPr="007A3AD7">
        <w:rPr>
          <w:szCs w:val="22"/>
          <w:lang w:val="it-IT"/>
        </w:rPr>
        <w:t>ë</w:t>
      </w:r>
      <w:r w:rsidRPr="007A3AD7">
        <w:rPr>
          <w:szCs w:val="22"/>
          <w:lang w:val="it-IT"/>
        </w:rPr>
        <w:t>tar</w:t>
      </w:r>
      <w:r w:rsidR="009A5A0E" w:rsidRPr="007A3AD7">
        <w:rPr>
          <w:szCs w:val="22"/>
          <w:lang w:val="it-IT"/>
        </w:rPr>
        <w:t>ë</w:t>
      </w:r>
      <w:r w:rsidRPr="007A3AD7">
        <w:rPr>
          <w:szCs w:val="22"/>
          <w:lang w:val="it-IT"/>
        </w:rPr>
        <w:t>ve n</w:t>
      </w:r>
      <w:r w:rsidR="009A5A0E" w:rsidRPr="007A3AD7">
        <w:rPr>
          <w:szCs w:val="22"/>
          <w:lang w:val="it-IT"/>
        </w:rPr>
        <w:t>ë</w:t>
      </w:r>
      <w:r w:rsidRPr="007A3AD7">
        <w:rPr>
          <w:szCs w:val="22"/>
          <w:lang w:val="it-IT"/>
        </w:rPr>
        <w:t xml:space="preserve"> mosh</w:t>
      </w:r>
      <w:r w:rsidR="009A5A0E" w:rsidRPr="007A3AD7">
        <w:rPr>
          <w:szCs w:val="22"/>
          <w:lang w:val="it-IT"/>
        </w:rPr>
        <w:t>ë</w:t>
      </w:r>
      <w:r w:rsidRPr="007A3AD7">
        <w:rPr>
          <w:szCs w:val="22"/>
          <w:lang w:val="it-IT"/>
        </w:rPr>
        <w:t xml:space="preserve"> pune t</w:t>
      </w:r>
      <w:r w:rsidR="009A5A0E" w:rsidRPr="007A3AD7">
        <w:rPr>
          <w:szCs w:val="22"/>
          <w:lang w:val="it-IT"/>
        </w:rPr>
        <w:t>ë</w:t>
      </w:r>
      <w:r w:rsidRPr="007A3AD7">
        <w:rPr>
          <w:szCs w:val="22"/>
          <w:lang w:val="it-IT"/>
        </w:rPr>
        <w:t xml:space="preserve"> familjeve p</w:t>
      </w:r>
      <w:r w:rsidR="009A5A0E" w:rsidRPr="007A3AD7">
        <w:rPr>
          <w:szCs w:val="22"/>
          <w:lang w:val="it-IT"/>
        </w:rPr>
        <w:t>ë</w:t>
      </w:r>
      <w:r w:rsidRPr="007A3AD7">
        <w:rPr>
          <w:szCs w:val="22"/>
          <w:lang w:val="it-IT"/>
        </w:rPr>
        <w:t>rfituese, n</w:t>
      </w:r>
      <w:r w:rsidR="009A5A0E" w:rsidRPr="007A3AD7">
        <w:rPr>
          <w:szCs w:val="22"/>
          <w:lang w:val="it-IT"/>
        </w:rPr>
        <w:t>ë</w:t>
      </w:r>
      <w:r w:rsidRPr="007A3AD7">
        <w:rPr>
          <w:szCs w:val="22"/>
          <w:lang w:val="it-IT"/>
        </w:rPr>
        <w:t xml:space="preserve"> p</w:t>
      </w:r>
      <w:r w:rsidR="009A5A0E" w:rsidRPr="007A3AD7">
        <w:rPr>
          <w:szCs w:val="22"/>
          <w:lang w:val="it-IT"/>
        </w:rPr>
        <w:t>ë</w:t>
      </w:r>
      <w:r w:rsidRPr="007A3AD7">
        <w:rPr>
          <w:szCs w:val="22"/>
          <w:lang w:val="it-IT"/>
        </w:rPr>
        <w:t>rmbushje t</w:t>
      </w:r>
      <w:r w:rsidR="009A5A0E" w:rsidRPr="007A3AD7">
        <w:rPr>
          <w:szCs w:val="22"/>
          <w:lang w:val="it-IT"/>
        </w:rPr>
        <w:t>ë</w:t>
      </w:r>
      <w:r w:rsidRPr="007A3AD7">
        <w:rPr>
          <w:szCs w:val="22"/>
          <w:lang w:val="it-IT"/>
        </w:rPr>
        <w:t xml:space="preserve"> p</w:t>
      </w:r>
      <w:r w:rsidR="009A5A0E" w:rsidRPr="007A3AD7">
        <w:rPr>
          <w:szCs w:val="22"/>
          <w:lang w:val="it-IT"/>
        </w:rPr>
        <w:t>ë</w:t>
      </w:r>
      <w:r w:rsidRPr="007A3AD7">
        <w:rPr>
          <w:szCs w:val="22"/>
          <w:lang w:val="it-IT"/>
        </w:rPr>
        <w:t>rcaktimit ligjor (2019) q</w:t>
      </w:r>
      <w:r w:rsidR="009A5A0E" w:rsidRPr="007A3AD7">
        <w:rPr>
          <w:szCs w:val="22"/>
          <w:lang w:val="it-IT"/>
        </w:rPr>
        <w:t>ë</w:t>
      </w:r>
      <w:r w:rsidRPr="007A3AD7">
        <w:rPr>
          <w:szCs w:val="22"/>
          <w:lang w:val="it-IT"/>
        </w:rPr>
        <w:t xml:space="preserve"> parashikon që pagesa e Ndihmës Ekonomike t</w:t>
      </w:r>
      <w:r w:rsidR="009A5A0E" w:rsidRPr="007A3AD7">
        <w:rPr>
          <w:szCs w:val="22"/>
          <w:lang w:val="it-IT"/>
        </w:rPr>
        <w:t>ë</w:t>
      </w:r>
      <w:r w:rsidRPr="007A3AD7">
        <w:rPr>
          <w:szCs w:val="22"/>
          <w:lang w:val="it-IT"/>
        </w:rPr>
        <w:t xml:space="preserve"> jet</w:t>
      </w:r>
      <w:r w:rsidR="009A5A0E" w:rsidRPr="007A3AD7">
        <w:rPr>
          <w:szCs w:val="22"/>
          <w:lang w:val="it-IT"/>
        </w:rPr>
        <w:t>ë</w:t>
      </w:r>
      <w:r w:rsidRPr="007A3AD7">
        <w:rPr>
          <w:szCs w:val="22"/>
          <w:lang w:val="it-IT"/>
        </w:rPr>
        <w:t xml:space="preserve"> për një periudhë jo më shumë se 5 (pesë) vjet (me përjashtim të përfituesve mbi moshën e pensionit dhe nënave me fëmijë në ngarkim) </w:t>
      </w:r>
      <w:r w:rsidR="009A5A0E" w:rsidRPr="007A3AD7">
        <w:rPr>
          <w:szCs w:val="22"/>
          <w:lang w:val="it-IT"/>
        </w:rPr>
        <w:t>ë</w:t>
      </w:r>
      <w:r w:rsidRPr="007A3AD7">
        <w:rPr>
          <w:szCs w:val="22"/>
          <w:lang w:val="it-IT"/>
        </w:rPr>
        <w:t>sht</w:t>
      </w:r>
      <w:r w:rsidR="009A5A0E" w:rsidRPr="007A3AD7">
        <w:rPr>
          <w:szCs w:val="22"/>
          <w:lang w:val="it-IT"/>
        </w:rPr>
        <w:t>ë</w:t>
      </w:r>
      <w:r w:rsidRPr="007A3AD7">
        <w:rPr>
          <w:szCs w:val="22"/>
          <w:lang w:val="it-IT"/>
        </w:rPr>
        <w:t xml:space="preserve"> nj</w:t>
      </w:r>
      <w:r w:rsidR="009A5A0E" w:rsidRPr="007A3AD7">
        <w:rPr>
          <w:szCs w:val="22"/>
          <w:lang w:val="it-IT"/>
        </w:rPr>
        <w:t>ë</w:t>
      </w:r>
      <w:r w:rsidRPr="007A3AD7">
        <w:rPr>
          <w:szCs w:val="22"/>
          <w:lang w:val="it-IT"/>
        </w:rPr>
        <w:t xml:space="preserve"> nevoj</w:t>
      </w:r>
      <w:r w:rsidR="009A5A0E" w:rsidRPr="007A3AD7">
        <w:rPr>
          <w:szCs w:val="22"/>
          <w:lang w:val="it-IT"/>
        </w:rPr>
        <w:t>ë</w:t>
      </w:r>
      <w:r w:rsidRPr="007A3AD7">
        <w:rPr>
          <w:szCs w:val="22"/>
          <w:lang w:val="it-IT"/>
        </w:rPr>
        <w:t xml:space="preserve"> imediate p</w:t>
      </w:r>
      <w:r w:rsidR="009A5A0E" w:rsidRPr="007A3AD7">
        <w:rPr>
          <w:szCs w:val="22"/>
          <w:lang w:val="it-IT"/>
        </w:rPr>
        <w:t>ë</w:t>
      </w:r>
      <w:r w:rsidRPr="007A3AD7">
        <w:rPr>
          <w:szCs w:val="22"/>
          <w:lang w:val="it-IT"/>
        </w:rPr>
        <w:t>r shkak t</w:t>
      </w:r>
      <w:r w:rsidR="009A5A0E" w:rsidRPr="007A3AD7">
        <w:rPr>
          <w:szCs w:val="22"/>
          <w:lang w:val="it-IT"/>
        </w:rPr>
        <w:t>ë</w:t>
      </w:r>
      <w:r w:rsidRPr="007A3AD7">
        <w:rPr>
          <w:szCs w:val="22"/>
          <w:lang w:val="it-IT"/>
        </w:rPr>
        <w:t xml:space="preserve"> afrimit t</w:t>
      </w:r>
      <w:r w:rsidR="009A5A0E" w:rsidRPr="007A3AD7">
        <w:rPr>
          <w:szCs w:val="22"/>
          <w:lang w:val="it-IT"/>
        </w:rPr>
        <w:t>ë</w:t>
      </w:r>
      <w:r w:rsidRPr="007A3AD7">
        <w:rPr>
          <w:szCs w:val="22"/>
          <w:lang w:val="it-IT"/>
        </w:rPr>
        <w:t xml:space="preserve"> koh</w:t>
      </w:r>
      <w:r w:rsidR="009A5A0E" w:rsidRPr="007A3AD7">
        <w:rPr>
          <w:szCs w:val="22"/>
          <w:lang w:val="it-IT"/>
        </w:rPr>
        <w:t>ë</w:t>
      </w:r>
      <w:r w:rsidRPr="007A3AD7">
        <w:rPr>
          <w:szCs w:val="22"/>
          <w:lang w:val="it-IT"/>
        </w:rPr>
        <w:t>s s</w:t>
      </w:r>
      <w:r w:rsidR="009A5A0E" w:rsidRPr="007A3AD7">
        <w:rPr>
          <w:szCs w:val="22"/>
          <w:lang w:val="it-IT"/>
        </w:rPr>
        <w:t>ë</w:t>
      </w:r>
      <w:r w:rsidRPr="007A3AD7">
        <w:rPr>
          <w:szCs w:val="22"/>
          <w:lang w:val="it-IT"/>
        </w:rPr>
        <w:t xml:space="preserve"> p</w:t>
      </w:r>
      <w:r w:rsidR="009A5A0E" w:rsidRPr="007A3AD7">
        <w:rPr>
          <w:szCs w:val="22"/>
          <w:lang w:val="it-IT"/>
        </w:rPr>
        <w:t>ë</w:t>
      </w:r>
      <w:r w:rsidRPr="007A3AD7">
        <w:rPr>
          <w:szCs w:val="22"/>
          <w:lang w:val="it-IT"/>
        </w:rPr>
        <w:t>rfundimit t</w:t>
      </w:r>
      <w:r w:rsidR="009A5A0E" w:rsidRPr="007A3AD7">
        <w:rPr>
          <w:szCs w:val="22"/>
          <w:lang w:val="it-IT"/>
        </w:rPr>
        <w:t>ë</w:t>
      </w:r>
      <w:r w:rsidRPr="007A3AD7">
        <w:rPr>
          <w:szCs w:val="22"/>
          <w:lang w:val="it-IT"/>
        </w:rPr>
        <w:t xml:space="preserve"> k</w:t>
      </w:r>
      <w:r w:rsidR="009A5A0E" w:rsidRPr="007A3AD7">
        <w:rPr>
          <w:szCs w:val="22"/>
          <w:lang w:val="it-IT"/>
        </w:rPr>
        <w:t>ë</w:t>
      </w:r>
      <w:r w:rsidRPr="007A3AD7">
        <w:rPr>
          <w:szCs w:val="22"/>
          <w:lang w:val="it-IT"/>
        </w:rPr>
        <w:t>tij afati. Integrimi në tregun e punës të individëve në moshë pune është një sfidë e vështirë për shkak të një kompleksi arësyesh të tilla si vështirësitë në kordinim të zyrave të punës dhe organeve të pushtetit vendor, motivimit të ulët të individëve për t’u punësuar, nevojave për shërbime të personave të tjerë në familje</w:t>
      </w:r>
      <w:r w:rsidR="00027580" w:rsidRPr="007A3AD7">
        <w:rPr>
          <w:szCs w:val="22"/>
          <w:lang w:val="it-IT"/>
        </w:rPr>
        <w:t xml:space="preserve"> </w:t>
      </w:r>
      <w:r w:rsidRPr="007A3AD7">
        <w:rPr>
          <w:szCs w:val="22"/>
          <w:lang w:val="it-IT"/>
        </w:rPr>
        <w:t>si të moshuar, fëmijë etj. Administrator</w:t>
      </w:r>
      <w:r w:rsidR="009A5A0E" w:rsidRPr="007A3AD7">
        <w:rPr>
          <w:szCs w:val="22"/>
          <w:lang w:val="it-IT"/>
        </w:rPr>
        <w:t>ë</w:t>
      </w:r>
      <w:r w:rsidRPr="007A3AD7">
        <w:rPr>
          <w:szCs w:val="22"/>
          <w:lang w:val="it-IT"/>
        </w:rPr>
        <w:t>t shoq</w:t>
      </w:r>
      <w:r w:rsidR="009A5A0E" w:rsidRPr="007A3AD7">
        <w:rPr>
          <w:szCs w:val="22"/>
          <w:lang w:val="it-IT"/>
        </w:rPr>
        <w:t>ë</w:t>
      </w:r>
      <w:r w:rsidRPr="007A3AD7">
        <w:rPr>
          <w:szCs w:val="22"/>
          <w:lang w:val="it-IT"/>
        </w:rPr>
        <w:t>ror</w:t>
      </w:r>
      <w:r w:rsidR="009A5A0E" w:rsidRPr="007A3AD7">
        <w:rPr>
          <w:szCs w:val="22"/>
          <w:lang w:val="it-IT"/>
        </w:rPr>
        <w:t>ë</w:t>
      </w:r>
      <w:r w:rsidRPr="007A3AD7">
        <w:rPr>
          <w:szCs w:val="22"/>
          <w:lang w:val="it-IT"/>
        </w:rPr>
        <w:t xml:space="preserve"> dhe strukturat lokale nevojitet t</w:t>
      </w:r>
      <w:r w:rsidR="009A5A0E" w:rsidRPr="007A3AD7">
        <w:rPr>
          <w:szCs w:val="22"/>
          <w:lang w:val="it-IT"/>
        </w:rPr>
        <w:t>ë</w:t>
      </w:r>
      <w:r w:rsidRPr="007A3AD7">
        <w:rPr>
          <w:szCs w:val="22"/>
          <w:lang w:val="it-IT"/>
        </w:rPr>
        <w:t xml:space="preserve"> jen</w:t>
      </w:r>
      <w:r w:rsidR="009A5A0E" w:rsidRPr="007A3AD7">
        <w:rPr>
          <w:szCs w:val="22"/>
          <w:lang w:val="it-IT"/>
        </w:rPr>
        <w:t>ë</w:t>
      </w:r>
      <w:r w:rsidRPr="007A3AD7">
        <w:rPr>
          <w:szCs w:val="22"/>
          <w:lang w:val="it-IT"/>
        </w:rPr>
        <w:t xml:space="preserve"> aktiv</w:t>
      </w:r>
      <w:r w:rsidR="009A5A0E" w:rsidRPr="007A3AD7">
        <w:rPr>
          <w:szCs w:val="22"/>
          <w:lang w:val="it-IT"/>
        </w:rPr>
        <w:t>ë</w:t>
      </w:r>
      <w:r w:rsidRPr="007A3AD7">
        <w:rPr>
          <w:szCs w:val="22"/>
          <w:lang w:val="it-IT"/>
        </w:rPr>
        <w:t xml:space="preserve"> n</w:t>
      </w:r>
      <w:r w:rsidR="009A5A0E" w:rsidRPr="007A3AD7">
        <w:rPr>
          <w:szCs w:val="22"/>
          <w:lang w:val="it-IT"/>
        </w:rPr>
        <w:t>ë</w:t>
      </w:r>
      <w:r w:rsidRPr="007A3AD7">
        <w:rPr>
          <w:szCs w:val="22"/>
          <w:lang w:val="it-IT"/>
        </w:rPr>
        <w:t xml:space="preserve"> referimin p</w:t>
      </w:r>
      <w:r w:rsidR="009A5A0E" w:rsidRPr="007A3AD7">
        <w:rPr>
          <w:szCs w:val="22"/>
          <w:lang w:val="it-IT"/>
        </w:rPr>
        <w:t>ë</w:t>
      </w:r>
      <w:r w:rsidRPr="007A3AD7">
        <w:rPr>
          <w:szCs w:val="22"/>
          <w:lang w:val="it-IT"/>
        </w:rPr>
        <w:t>r pun</w:t>
      </w:r>
      <w:r w:rsidR="009A5A0E" w:rsidRPr="007A3AD7">
        <w:rPr>
          <w:szCs w:val="22"/>
          <w:lang w:val="it-IT"/>
        </w:rPr>
        <w:t>ë</w:t>
      </w:r>
      <w:r w:rsidRPr="007A3AD7">
        <w:rPr>
          <w:szCs w:val="22"/>
          <w:lang w:val="it-IT"/>
        </w:rPr>
        <w:t>sim dhe sh</w:t>
      </w:r>
      <w:r w:rsidR="009A5A0E" w:rsidRPr="007A3AD7">
        <w:rPr>
          <w:szCs w:val="22"/>
          <w:lang w:val="it-IT"/>
        </w:rPr>
        <w:t>ë</w:t>
      </w:r>
      <w:r w:rsidRPr="007A3AD7">
        <w:rPr>
          <w:szCs w:val="22"/>
          <w:lang w:val="it-IT"/>
        </w:rPr>
        <w:t>rbime shoq</w:t>
      </w:r>
      <w:r w:rsidR="009A5A0E" w:rsidRPr="007A3AD7">
        <w:rPr>
          <w:szCs w:val="22"/>
          <w:lang w:val="it-IT"/>
        </w:rPr>
        <w:t>ë</w:t>
      </w:r>
      <w:r w:rsidRPr="007A3AD7">
        <w:rPr>
          <w:szCs w:val="22"/>
          <w:lang w:val="it-IT"/>
        </w:rPr>
        <w:t>rore sipas nevojave/mund</w:t>
      </w:r>
      <w:r w:rsidR="009A5A0E" w:rsidRPr="007A3AD7">
        <w:rPr>
          <w:szCs w:val="22"/>
          <w:lang w:val="it-IT"/>
        </w:rPr>
        <w:t>ë</w:t>
      </w:r>
      <w:r w:rsidRPr="007A3AD7">
        <w:rPr>
          <w:szCs w:val="22"/>
          <w:lang w:val="it-IT"/>
        </w:rPr>
        <w:t>sive t</w:t>
      </w:r>
      <w:r w:rsidR="009A5A0E" w:rsidRPr="007A3AD7">
        <w:rPr>
          <w:szCs w:val="22"/>
          <w:lang w:val="it-IT"/>
        </w:rPr>
        <w:t>ë</w:t>
      </w:r>
      <w:r w:rsidRPr="007A3AD7">
        <w:rPr>
          <w:szCs w:val="22"/>
          <w:lang w:val="it-IT"/>
        </w:rPr>
        <w:t xml:space="preserve"> an</w:t>
      </w:r>
      <w:r w:rsidR="009A5A0E" w:rsidRPr="007A3AD7">
        <w:rPr>
          <w:szCs w:val="22"/>
          <w:lang w:val="it-IT"/>
        </w:rPr>
        <w:t>ë</w:t>
      </w:r>
      <w:r w:rsidRPr="007A3AD7">
        <w:rPr>
          <w:szCs w:val="22"/>
          <w:lang w:val="it-IT"/>
        </w:rPr>
        <w:t>tar</w:t>
      </w:r>
      <w:r w:rsidR="009A5A0E" w:rsidRPr="007A3AD7">
        <w:rPr>
          <w:szCs w:val="22"/>
          <w:lang w:val="it-IT"/>
        </w:rPr>
        <w:t>ë</w:t>
      </w:r>
      <w:r w:rsidRPr="007A3AD7">
        <w:rPr>
          <w:szCs w:val="22"/>
          <w:lang w:val="it-IT"/>
        </w:rPr>
        <w:t>ve t</w:t>
      </w:r>
      <w:r w:rsidR="009A5A0E" w:rsidRPr="007A3AD7">
        <w:rPr>
          <w:szCs w:val="22"/>
          <w:lang w:val="it-IT"/>
        </w:rPr>
        <w:t>ë</w:t>
      </w:r>
      <w:r w:rsidRPr="007A3AD7">
        <w:rPr>
          <w:szCs w:val="22"/>
          <w:lang w:val="it-IT"/>
        </w:rPr>
        <w:t xml:space="preserve"> familjeve. Bashk</w:t>
      </w:r>
      <w:r w:rsidR="009A5A0E" w:rsidRPr="007A3AD7">
        <w:rPr>
          <w:szCs w:val="22"/>
          <w:lang w:val="it-IT"/>
        </w:rPr>
        <w:t>ë</w:t>
      </w:r>
      <w:r w:rsidRPr="007A3AD7">
        <w:rPr>
          <w:szCs w:val="22"/>
          <w:lang w:val="it-IT"/>
        </w:rPr>
        <w:t>punimi i institucioneve n</w:t>
      </w:r>
      <w:r w:rsidR="009A5A0E" w:rsidRPr="007A3AD7">
        <w:rPr>
          <w:szCs w:val="22"/>
          <w:lang w:val="it-IT"/>
        </w:rPr>
        <w:t>ë</w:t>
      </w:r>
      <w:r w:rsidRPr="007A3AD7">
        <w:rPr>
          <w:szCs w:val="22"/>
          <w:lang w:val="it-IT"/>
        </w:rPr>
        <w:t xml:space="preserve"> nivel qendror, rajonal dhe vendor </w:t>
      </w:r>
      <w:r w:rsidR="009A5A0E" w:rsidRPr="007A3AD7">
        <w:rPr>
          <w:szCs w:val="22"/>
          <w:lang w:val="it-IT"/>
        </w:rPr>
        <w:t>ë</w:t>
      </w:r>
      <w:r w:rsidRPr="007A3AD7">
        <w:rPr>
          <w:szCs w:val="22"/>
          <w:lang w:val="it-IT"/>
        </w:rPr>
        <w:t>sht</w:t>
      </w:r>
      <w:r w:rsidR="009A5A0E" w:rsidRPr="007A3AD7">
        <w:rPr>
          <w:szCs w:val="22"/>
          <w:lang w:val="it-IT"/>
        </w:rPr>
        <w:t>ë</w:t>
      </w:r>
      <w:r w:rsidRPr="007A3AD7">
        <w:rPr>
          <w:szCs w:val="22"/>
          <w:lang w:val="it-IT"/>
        </w:rPr>
        <w:t xml:space="preserve"> thelb</w:t>
      </w:r>
      <w:r w:rsidR="009A5A0E" w:rsidRPr="007A3AD7">
        <w:rPr>
          <w:szCs w:val="22"/>
          <w:lang w:val="it-IT"/>
        </w:rPr>
        <w:t>ë</w:t>
      </w:r>
      <w:r w:rsidRPr="007A3AD7">
        <w:rPr>
          <w:szCs w:val="22"/>
          <w:lang w:val="it-IT"/>
        </w:rPr>
        <w:t>sor p</w:t>
      </w:r>
      <w:r w:rsidR="009A5A0E" w:rsidRPr="007A3AD7">
        <w:rPr>
          <w:szCs w:val="22"/>
          <w:lang w:val="it-IT"/>
        </w:rPr>
        <w:t>ë</w:t>
      </w:r>
      <w:r w:rsidRPr="007A3AD7">
        <w:rPr>
          <w:szCs w:val="22"/>
          <w:lang w:val="it-IT"/>
        </w:rPr>
        <w:t>r t</w:t>
      </w:r>
      <w:r w:rsidR="009A5A0E" w:rsidRPr="007A3AD7">
        <w:rPr>
          <w:szCs w:val="22"/>
          <w:lang w:val="it-IT"/>
        </w:rPr>
        <w:t>ë</w:t>
      </w:r>
      <w:r w:rsidRPr="007A3AD7">
        <w:rPr>
          <w:szCs w:val="22"/>
          <w:lang w:val="it-IT"/>
        </w:rPr>
        <w:t xml:space="preserve"> rishikuar/ zgjidhur problematik</w:t>
      </w:r>
      <w:r w:rsidR="009A5A0E" w:rsidRPr="007A3AD7">
        <w:rPr>
          <w:szCs w:val="22"/>
          <w:lang w:val="it-IT"/>
        </w:rPr>
        <w:t>ë</w:t>
      </w:r>
      <w:r w:rsidRPr="007A3AD7">
        <w:rPr>
          <w:szCs w:val="22"/>
          <w:lang w:val="it-IT"/>
        </w:rPr>
        <w:t>n dhe b</w:t>
      </w:r>
      <w:r w:rsidR="009A5A0E" w:rsidRPr="007A3AD7">
        <w:rPr>
          <w:szCs w:val="22"/>
          <w:lang w:val="it-IT"/>
        </w:rPr>
        <w:t>ë</w:t>
      </w:r>
      <w:r w:rsidRPr="007A3AD7">
        <w:rPr>
          <w:szCs w:val="22"/>
          <w:lang w:val="it-IT"/>
        </w:rPr>
        <w:t>r</w:t>
      </w:r>
      <w:r w:rsidR="009A5A0E" w:rsidRPr="007A3AD7">
        <w:rPr>
          <w:szCs w:val="22"/>
          <w:lang w:val="it-IT"/>
        </w:rPr>
        <w:t>ë</w:t>
      </w:r>
      <w:r w:rsidRPr="007A3AD7">
        <w:rPr>
          <w:szCs w:val="22"/>
          <w:lang w:val="it-IT"/>
        </w:rPr>
        <w:t xml:space="preserve"> efektive t</w:t>
      </w:r>
      <w:r w:rsidR="009A5A0E" w:rsidRPr="007A3AD7">
        <w:rPr>
          <w:szCs w:val="22"/>
          <w:lang w:val="it-IT"/>
        </w:rPr>
        <w:t>ë</w:t>
      </w:r>
      <w:r w:rsidRPr="007A3AD7">
        <w:rPr>
          <w:szCs w:val="22"/>
          <w:lang w:val="it-IT"/>
        </w:rPr>
        <w:t xml:space="preserve"> gjith</w:t>
      </w:r>
      <w:r w:rsidR="009A5A0E" w:rsidRPr="007A3AD7">
        <w:rPr>
          <w:szCs w:val="22"/>
          <w:lang w:val="it-IT"/>
        </w:rPr>
        <w:t>ë</w:t>
      </w:r>
      <w:r w:rsidRPr="007A3AD7">
        <w:rPr>
          <w:szCs w:val="22"/>
          <w:lang w:val="it-IT"/>
        </w:rPr>
        <w:t xml:space="preserve"> instrumentet ekzistues n</w:t>
      </w:r>
      <w:r w:rsidR="009A5A0E" w:rsidRPr="007A3AD7">
        <w:rPr>
          <w:szCs w:val="22"/>
          <w:lang w:val="it-IT"/>
        </w:rPr>
        <w:t>ë</w:t>
      </w:r>
      <w:r w:rsidRPr="007A3AD7">
        <w:rPr>
          <w:szCs w:val="22"/>
          <w:lang w:val="it-IT"/>
        </w:rPr>
        <w:t xml:space="preserve"> funksion t</w:t>
      </w:r>
      <w:r w:rsidR="009A5A0E" w:rsidRPr="007A3AD7">
        <w:rPr>
          <w:szCs w:val="22"/>
          <w:lang w:val="it-IT"/>
        </w:rPr>
        <w:t>ë</w:t>
      </w:r>
      <w:r w:rsidRPr="007A3AD7">
        <w:rPr>
          <w:szCs w:val="22"/>
          <w:lang w:val="it-IT"/>
        </w:rPr>
        <w:t xml:space="preserve"> pun</w:t>
      </w:r>
      <w:r w:rsidR="009A5A0E" w:rsidRPr="007A3AD7">
        <w:rPr>
          <w:szCs w:val="22"/>
          <w:lang w:val="it-IT"/>
        </w:rPr>
        <w:t>ë</w:t>
      </w:r>
      <w:r w:rsidRPr="007A3AD7">
        <w:rPr>
          <w:szCs w:val="22"/>
          <w:lang w:val="it-IT"/>
        </w:rPr>
        <w:t>simit dhe sh</w:t>
      </w:r>
      <w:r w:rsidR="009A5A0E" w:rsidRPr="007A3AD7">
        <w:rPr>
          <w:szCs w:val="22"/>
          <w:lang w:val="it-IT"/>
        </w:rPr>
        <w:t>ë</w:t>
      </w:r>
      <w:r w:rsidRPr="007A3AD7">
        <w:rPr>
          <w:szCs w:val="22"/>
          <w:lang w:val="it-IT"/>
        </w:rPr>
        <w:t>rbimeve si nd</w:t>
      </w:r>
      <w:r w:rsidR="009A5A0E" w:rsidRPr="007A3AD7">
        <w:rPr>
          <w:szCs w:val="22"/>
          <w:lang w:val="it-IT"/>
        </w:rPr>
        <w:t>ë</w:t>
      </w:r>
      <w:r w:rsidRPr="007A3AD7">
        <w:rPr>
          <w:szCs w:val="22"/>
          <w:lang w:val="it-IT"/>
        </w:rPr>
        <w:t>rmarrjet sociale, fondin social t</w:t>
      </w:r>
      <w:r w:rsidR="009A5A0E" w:rsidRPr="007A3AD7">
        <w:rPr>
          <w:szCs w:val="22"/>
          <w:lang w:val="it-IT"/>
        </w:rPr>
        <w:t>ë</w:t>
      </w:r>
      <w:r w:rsidRPr="007A3AD7">
        <w:rPr>
          <w:szCs w:val="22"/>
          <w:lang w:val="it-IT"/>
        </w:rPr>
        <w:t xml:space="preserve"> pun</w:t>
      </w:r>
      <w:r w:rsidR="009A5A0E" w:rsidRPr="007A3AD7">
        <w:rPr>
          <w:szCs w:val="22"/>
          <w:lang w:val="it-IT"/>
        </w:rPr>
        <w:t>ë</w:t>
      </w:r>
      <w:r w:rsidRPr="007A3AD7">
        <w:rPr>
          <w:szCs w:val="22"/>
          <w:lang w:val="it-IT"/>
        </w:rPr>
        <w:t>simit, fondin social, garancin</w:t>
      </w:r>
      <w:r w:rsidR="009A5A0E" w:rsidRPr="007A3AD7">
        <w:rPr>
          <w:szCs w:val="22"/>
          <w:lang w:val="it-IT"/>
        </w:rPr>
        <w:t>ë</w:t>
      </w:r>
      <w:r w:rsidRPr="007A3AD7">
        <w:rPr>
          <w:szCs w:val="22"/>
          <w:lang w:val="it-IT"/>
        </w:rPr>
        <w:t xml:space="preserve"> rinore, etj. </w:t>
      </w:r>
    </w:p>
    <w:p w14:paraId="2026F983" w14:textId="0E99AE1F" w:rsidR="000B4B6D" w:rsidRPr="007A3AD7" w:rsidRDefault="000B4B6D" w:rsidP="000B4B6D">
      <w:pPr>
        <w:pStyle w:val="NormalWeb"/>
        <w:rPr>
          <w:szCs w:val="22"/>
          <w:lang w:val="it-IT"/>
        </w:rPr>
      </w:pPr>
      <w:r w:rsidRPr="007A3AD7">
        <w:rPr>
          <w:szCs w:val="22"/>
          <w:lang w:val="it-IT"/>
        </w:rPr>
        <w:t>Vler</w:t>
      </w:r>
      <w:r w:rsidR="009A5A0E" w:rsidRPr="007A3AD7">
        <w:rPr>
          <w:szCs w:val="22"/>
          <w:lang w:val="it-IT"/>
        </w:rPr>
        <w:t>ë</w:t>
      </w:r>
      <w:r w:rsidRPr="007A3AD7">
        <w:rPr>
          <w:szCs w:val="22"/>
          <w:lang w:val="it-IT"/>
        </w:rPr>
        <w:t>simi i vijuesh</w:t>
      </w:r>
      <w:r w:rsidR="009A5A0E" w:rsidRPr="007A3AD7">
        <w:rPr>
          <w:szCs w:val="22"/>
          <w:lang w:val="it-IT"/>
        </w:rPr>
        <w:t>ë</w:t>
      </w:r>
      <w:r w:rsidRPr="007A3AD7">
        <w:rPr>
          <w:szCs w:val="22"/>
          <w:lang w:val="it-IT"/>
        </w:rPr>
        <w:t>m i skem</w:t>
      </w:r>
      <w:r w:rsidR="009A5A0E" w:rsidRPr="007A3AD7">
        <w:rPr>
          <w:szCs w:val="22"/>
          <w:lang w:val="it-IT"/>
        </w:rPr>
        <w:t>ë</w:t>
      </w:r>
      <w:r w:rsidRPr="007A3AD7">
        <w:rPr>
          <w:szCs w:val="22"/>
          <w:lang w:val="it-IT"/>
        </w:rPr>
        <w:t>s s</w:t>
      </w:r>
      <w:r w:rsidR="009A5A0E" w:rsidRPr="007A3AD7">
        <w:rPr>
          <w:szCs w:val="22"/>
          <w:lang w:val="it-IT"/>
        </w:rPr>
        <w:t>ë</w:t>
      </w:r>
      <w:r w:rsidRPr="007A3AD7">
        <w:rPr>
          <w:szCs w:val="22"/>
          <w:lang w:val="it-IT"/>
        </w:rPr>
        <w:t xml:space="preserve"> daljes nga NE dhe i mekanizmit referues p</w:t>
      </w:r>
      <w:r w:rsidR="009A5A0E" w:rsidRPr="007A3AD7">
        <w:rPr>
          <w:szCs w:val="22"/>
          <w:lang w:val="it-IT"/>
        </w:rPr>
        <w:t>ë</w:t>
      </w:r>
      <w:r w:rsidRPr="007A3AD7">
        <w:rPr>
          <w:szCs w:val="22"/>
          <w:lang w:val="it-IT"/>
        </w:rPr>
        <w:t>r pun</w:t>
      </w:r>
      <w:r w:rsidR="009A5A0E" w:rsidRPr="007A3AD7">
        <w:rPr>
          <w:szCs w:val="22"/>
          <w:lang w:val="it-IT"/>
        </w:rPr>
        <w:t>ë</w:t>
      </w:r>
      <w:r w:rsidRPr="007A3AD7">
        <w:rPr>
          <w:szCs w:val="22"/>
          <w:lang w:val="it-IT"/>
        </w:rPr>
        <w:t>sim n</w:t>
      </w:r>
      <w:r w:rsidR="009A5A0E" w:rsidRPr="007A3AD7">
        <w:rPr>
          <w:szCs w:val="22"/>
          <w:lang w:val="it-IT"/>
        </w:rPr>
        <w:t>ë</w:t>
      </w:r>
      <w:r w:rsidRPr="007A3AD7">
        <w:rPr>
          <w:szCs w:val="22"/>
          <w:lang w:val="it-IT"/>
        </w:rPr>
        <w:t>p</w:t>
      </w:r>
      <w:r w:rsidR="009A5A0E" w:rsidRPr="007A3AD7">
        <w:rPr>
          <w:szCs w:val="22"/>
          <w:lang w:val="it-IT"/>
        </w:rPr>
        <w:t>ë</w:t>
      </w:r>
      <w:r w:rsidRPr="007A3AD7">
        <w:rPr>
          <w:szCs w:val="22"/>
          <w:lang w:val="it-IT"/>
        </w:rPr>
        <w:t>rmjet komunikimit digjital t</w:t>
      </w:r>
      <w:r w:rsidR="009A5A0E" w:rsidRPr="007A3AD7">
        <w:rPr>
          <w:szCs w:val="22"/>
          <w:lang w:val="it-IT"/>
        </w:rPr>
        <w:t>ë</w:t>
      </w:r>
      <w:r w:rsidRPr="007A3AD7">
        <w:rPr>
          <w:szCs w:val="22"/>
          <w:lang w:val="it-IT"/>
        </w:rPr>
        <w:t xml:space="preserve"> sistemeve p</w:t>
      </w:r>
      <w:r w:rsidR="009A5A0E" w:rsidRPr="007A3AD7">
        <w:rPr>
          <w:szCs w:val="22"/>
          <w:lang w:val="it-IT"/>
        </w:rPr>
        <w:t>ë</w:t>
      </w:r>
      <w:r w:rsidRPr="007A3AD7">
        <w:rPr>
          <w:szCs w:val="22"/>
          <w:lang w:val="it-IT"/>
        </w:rPr>
        <w:t>rmir</w:t>
      </w:r>
      <w:r w:rsidR="009A5A0E" w:rsidRPr="007A3AD7">
        <w:rPr>
          <w:szCs w:val="22"/>
          <w:lang w:val="it-IT"/>
        </w:rPr>
        <w:t>ë</w:t>
      </w:r>
      <w:r w:rsidRPr="007A3AD7">
        <w:rPr>
          <w:szCs w:val="22"/>
          <w:lang w:val="it-IT"/>
        </w:rPr>
        <w:t>suara t</w:t>
      </w:r>
      <w:r w:rsidR="009A5A0E" w:rsidRPr="007A3AD7">
        <w:rPr>
          <w:szCs w:val="22"/>
          <w:lang w:val="it-IT"/>
        </w:rPr>
        <w:t>ë</w:t>
      </w:r>
      <w:r w:rsidRPr="007A3AD7">
        <w:rPr>
          <w:szCs w:val="22"/>
          <w:lang w:val="it-IT"/>
        </w:rPr>
        <w:t xml:space="preserve"> informacionit t</w:t>
      </w:r>
      <w:r w:rsidR="009A5A0E" w:rsidRPr="007A3AD7">
        <w:rPr>
          <w:szCs w:val="22"/>
          <w:lang w:val="it-IT"/>
        </w:rPr>
        <w:t>ë</w:t>
      </w:r>
      <w:r w:rsidRPr="007A3AD7">
        <w:rPr>
          <w:szCs w:val="22"/>
          <w:lang w:val="it-IT"/>
        </w:rPr>
        <w:t xml:space="preserve"> populluara me profilin p</w:t>
      </w:r>
      <w:r w:rsidR="009A5A0E" w:rsidRPr="007A3AD7">
        <w:rPr>
          <w:szCs w:val="22"/>
          <w:lang w:val="it-IT"/>
        </w:rPr>
        <w:t>ë</w:t>
      </w:r>
      <w:r w:rsidRPr="007A3AD7">
        <w:rPr>
          <w:szCs w:val="22"/>
          <w:lang w:val="it-IT"/>
        </w:rPr>
        <w:t>rkat</w:t>
      </w:r>
      <w:r w:rsidR="009A5A0E" w:rsidRPr="007A3AD7">
        <w:rPr>
          <w:szCs w:val="22"/>
          <w:lang w:val="it-IT"/>
        </w:rPr>
        <w:t>ë</w:t>
      </w:r>
      <w:r w:rsidRPr="007A3AD7">
        <w:rPr>
          <w:szCs w:val="22"/>
          <w:lang w:val="it-IT"/>
        </w:rPr>
        <w:t>s t</w:t>
      </w:r>
      <w:r w:rsidR="009A5A0E" w:rsidRPr="007A3AD7">
        <w:rPr>
          <w:szCs w:val="22"/>
          <w:lang w:val="it-IT"/>
        </w:rPr>
        <w:t>ë</w:t>
      </w:r>
      <w:r w:rsidRPr="007A3AD7">
        <w:rPr>
          <w:szCs w:val="22"/>
          <w:lang w:val="it-IT"/>
        </w:rPr>
        <w:t xml:space="preserve"> secilit an</w:t>
      </w:r>
      <w:r w:rsidR="009A5A0E" w:rsidRPr="007A3AD7">
        <w:rPr>
          <w:szCs w:val="22"/>
          <w:lang w:val="it-IT"/>
        </w:rPr>
        <w:t>ë</w:t>
      </w:r>
      <w:r w:rsidRPr="007A3AD7">
        <w:rPr>
          <w:szCs w:val="22"/>
          <w:lang w:val="it-IT"/>
        </w:rPr>
        <w:t>tar duhet t</w:t>
      </w:r>
      <w:r w:rsidR="009A5A0E" w:rsidRPr="007A3AD7">
        <w:rPr>
          <w:szCs w:val="22"/>
          <w:lang w:val="it-IT"/>
        </w:rPr>
        <w:t>ë</w:t>
      </w:r>
      <w:r w:rsidRPr="007A3AD7">
        <w:rPr>
          <w:szCs w:val="22"/>
          <w:lang w:val="it-IT"/>
        </w:rPr>
        <w:t xml:space="preserve"> reflektoj</w:t>
      </w:r>
      <w:r w:rsidR="009A5A0E" w:rsidRPr="007A3AD7">
        <w:rPr>
          <w:szCs w:val="22"/>
          <w:lang w:val="it-IT"/>
        </w:rPr>
        <w:t>ë</w:t>
      </w:r>
      <w:r w:rsidRPr="007A3AD7">
        <w:rPr>
          <w:szCs w:val="22"/>
          <w:lang w:val="it-IT"/>
        </w:rPr>
        <w:t xml:space="preserve"> rezultatin e numrit t</w:t>
      </w:r>
      <w:r w:rsidR="009A5A0E" w:rsidRPr="007A3AD7">
        <w:rPr>
          <w:szCs w:val="22"/>
          <w:lang w:val="it-IT"/>
        </w:rPr>
        <w:t>ë</w:t>
      </w:r>
      <w:r w:rsidRPr="007A3AD7">
        <w:rPr>
          <w:szCs w:val="22"/>
          <w:lang w:val="it-IT"/>
        </w:rPr>
        <w:t xml:space="preserve"> individ</w:t>
      </w:r>
      <w:r w:rsidR="009A5A0E" w:rsidRPr="007A3AD7">
        <w:rPr>
          <w:szCs w:val="22"/>
          <w:lang w:val="it-IT"/>
        </w:rPr>
        <w:t>ë</w:t>
      </w:r>
      <w:r w:rsidRPr="007A3AD7">
        <w:rPr>
          <w:szCs w:val="22"/>
          <w:lang w:val="it-IT"/>
        </w:rPr>
        <w:t>ve t</w:t>
      </w:r>
      <w:r w:rsidR="009A5A0E" w:rsidRPr="007A3AD7">
        <w:rPr>
          <w:szCs w:val="22"/>
          <w:lang w:val="it-IT"/>
        </w:rPr>
        <w:t>ë</w:t>
      </w:r>
      <w:r w:rsidRPr="007A3AD7">
        <w:rPr>
          <w:szCs w:val="22"/>
          <w:lang w:val="it-IT"/>
        </w:rPr>
        <w:t xml:space="preserve"> pun</w:t>
      </w:r>
      <w:r w:rsidR="009A5A0E" w:rsidRPr="007A3AD7">
        <w:rPr>
          <w:szCs w:val="22"/>
          <w:lang w:val="it-IT"/>
        </w:rPr>
        <w:t>ë</w:t>
      </w:r>
      <w:r w:rsidRPr="007A3AD7">
        <w:rPr>
          <w:szCs w:val="22"/>
          <w:lang w:val="it-IT"/>
        </w:rPr>
        <w:t>suar dhe numrin e familjeve q</w:t>
      </w:r>
      <w:r w:rsidR="009A5A0E" w:rsidRPr="007A3AD7">
        <w:rPr>
          <w:szCs w:val="22"/>
          <w:lang w:val="it-IT"/>
        </w:rPr>
        <w:t>ë</w:t>
      </w:r>
      <w:r w:rsidRPr="007A3AD7">
        <w:rPr>
          <w:szCs w:val="22"/>
          <w:lang w:val="it-IT"/>
        </w:rPr>
        <w:t xml:space="preserve"> dalin p</w:t>
      </w:r>
      <w:r w:rsidR="009A5A0E" w:rsidRPr="007A3AD7">
        <w:rPr>
          <w:szCs w:val="22"/>
          <w:lang w:val="it-IT"/>
        </w:rPr>
        <w:t>ë</w:t>
      </w:r>
      <w:r w:rsidRPr="007A3AD7">
        <w:rPr>
          <w:szCs w:val="22"/>
          <w:lang w:val="it-IT"/>
        </w:rPr>
        <w:t>rfundimisht nga skema. Pun</w:t>
      </w:r>
      <w:r w:rsidR="009A5A0E" w:rsidRPr="007A3AD7">
        <w:rPr>
          <w:szCs w:val="22"/>
          <w:lang w:val="it-IT"/>
        </w:rPr>
        <w:t>ë</w:t>
      </w:r>
      <w:r w:rsidRPr="007A3AD7">
        <w:rPr>
          <w:szCs w:val="22"/>
          <w:lang w:val="it-IT"/>
        </w:rPr>
        <w:t>simi i an</w:t>
      </w:r>
      <w:r w:rsidR="009A5A0E" w:rsidRPr="007A3AD7">
        <w:rPr>
          <w:szCs w:val="22"/>
          <w:lang w:val="it-IT"/>
        </w:rPr>
        <w:t>ë</w:t>
      </w:r>
      <w:r w:rsidRPr="007A3AD7">
        <w:rPr>
          <w:szCs w:val="22"/>
          <w:lang w:val="it-IT"/>
        </w:rPr>
        <w:t>tar</w:t>
      </w:r>
      <w:r w:rsidR="009A5A0E" w:rsidRPr="007A3AD7">
        <w:rPr>
          <w:szCs w:val="22"/>
          <w:lang w:val="it-IT"/>
        </w:rPr>
        <w:t>ë</w:t>
      </w:r>
      <w:r w:rsidRPr="007A3AD7">
        <w:rPr>
          <w:szCs w:val="22"/>
          <w:lang w:val="it-IT"/>
        </w:rPr>
        <w:t>ve t</w:t>
      </w:r>
      <w:r w:rsidR="009A5A0E" w:rsidRPr="007A3AD7">
        <w:rPr>
          <w:szCs w:val="22"/>
          <w:lang w:val="it-IT"/>
        </w:rPr>
        <w:t>ë</w:t>
      </w:r>
      <w:r w:rsidRPr="007A3AD7">
        <w:rPr>
          <w:szCs w:val="22"/>
          <w:lang w:val="it-IT"/>
        </w:rPr>
        <w:t xml:space="preserve"> familjeve n</w:t>
      </w:r>
      <w:r w:rsidR="009A5A0E" w:rsidRPr="007A3AD7">
        <w:rPr>
          <w:szCs w:val="22"/>
          <w:lang w:val="it-IT"/>
        </w:rPr>
        <w:t>ë</w:t>
      </w:r>
      <w:r w:rsidRPr="007A3AD7">
        <w:rPr>
          <w:szCs w:val="22"/>
          <w:lang w:val="it-IT"/>
        </w:rPr>
        <w:t xml:space="preserve"> zonat rurale ku </w:t>
      </w:r>
      <w:r w:rsidR="009A5A0E" w:rsidRPr="007A3AD7">
        <w:rPr>
          <w:szCs w:val="22"/>
          <w:lang w:val="it-IT"/>
        </w:rPr>
        <w:t>ë</w:t>
      </w:r>
      <w:r w:rsidRPr="007A3AD7">
        <w:rPr>
          <w:szCs w:val="22"/>
          <w:lang w:val="it-IT"/>
        </w:rPr>
        <w:t>sht</w:t>
      </w:r>
      <w:r w:rsidR="009A5A0E" w:rsidRPr="007A3AD7">
        <w:rPr>
          <w:szCs w:val="22"/>
          <w:lang w:val="it-IT"/>
        </w:rPr>
        <w:t>ë</w:t>
      </w:r>
      <w:r w:rsidRPr="007A3AD7">
        <w:rPr>
          <w:szCs w:val="22"/>
          <w:lang w:val="it-IT"/>
        </w:rPr>
        <w:t xml:space="preserve"> dhe numri m</w:t>
      </w:r>
      <w:r w:rsidR="009A5A0E" w:rsidRPr="007A3AD7">
        <w:rPr>
          <w:szCs w:val="22"/>
          <w:lang w:val="it-IT"/>
        </w:rPr>
        <w:t>ë</w:t>
      </w:r>
      <w:r w:rsidRPr="007A3AD7">
        <w:rPr>
          <w:szCs w:val="22"/>
          <w:lang w:val="it-IT"/>
        </w:rPr>
        <w:t xml:space="preserve"> i madh i familjeve t</w:t>
      </w:r>
      <w:r w:rsidR="009A5A0E" w:rsidRPr="007A3AD7">
        <w:rPr>
          <w:szCs w:val="22"/>
          <w:lang w:val="it-IT"/>
        </w:rPr>
        <w:t>ë</w:t>
      </w:r>
      <w:r w:rsidRPr="007A3AD7">
        <w:rPr>
          <w:szCs w:val="22"/>
          <w:lang w:val="it-IT"/>
        </w:rPr>
        <w:t xml:space="preserve"> mb</w:t>
      </w:r>
      <w:r w:rsidR="009A5A0E" w:rsidRPr="007A3AD7">
        <w:rPr>
          <w:szCs w:val="22"/>
          <w:lang w:val="it-IT"/>
        </w:rPr>
        <w:t>ë</w:t>
      </w:r>
      <w:r w:rsidRPr="007A3AD7">
        <w:rPr>
          <w:szCs w:val="22"/>
          <w:lang w:val="it-IT"/>
        </w:rPr>
        <w:t>shtetura me NE mbetet sfida m</w:t>
      </w:r>
      <w:r w:rsidR="009A5A0E" w:rsidRPr="007A3AD7">
        <w:rPr>
          <w:szCs w:val="22"/>
          <w:lang w:val="it-IT"/>
        </w:rPr>
        <w:t>ë</w:t>
      </w:r>
      <w:r w:rsidRPr="007A3AD7">
        <w:rPr>
          <w:szCs w:val="22"/>
          <w:lang w:val="it-IT"/>
        </w:rPr>
        <w:t xml:space="preserve"> e v</w:t>
      </w:r>
      <w:r w:rsidR="009A5A0E" w:rsidRPr="007A3AD7">
        <w:rPr>
          <w:szCs w:val="22"/>
          <w:lang w:val="it-IT"/>
        </w:rPr>
        <w:t>ë</w:t>
      </w:r>
      <w:r w:rsidRPr="007A3AD7">
        <w:rPr>
          <w:szCs w:val="22"/>
          <w:lang w:val="it-IT"/>
        </w:rPr>
        <w:t>shtir</w:t>
      </w:r>
      <w:r w:rsidR="009A5A0E" w:rsidRPr="007A3AD7">
        <w:rPr>
          <w:szCs w:val="22"/>
          <w:lang w:val="it-IT"/>
        </w:rPr>
        <w:t>ë</w:t>
      </w:r>
      <w:r w:rsidRPr="007A3AD7">
        <w:rPr>
          <w:szCs w:val="22"/>
          <w:lang w:val="it-IT"/>
        </w:rPr>
        <w:t xml:space="preserve"> e k</w:t>
      </w:r>
      <w:r w:rsidR="009A5A0E" w:rsidRPr="007A3AD7">
        <w:rPr>
          <w:szCs w:val="22"/>
          <w:lang w:val="it-IT"/>
        </w:rPr>
        <w:t>ë</w:t>
      </w:r>
      <w:r w:rsidRPr="007A3AD7">
        <w:rPr>
          <w:szCs w:val="22"/>
          <w:lang w:val="it-IT"/>
        </w:rPr>
        <w:t>saj strategjie. Gjithashtu, mb</w:t>
      </w:r>
      <w:r w:rsidR="009A5A0E" w:rsidRPr="007A3AD7">
        <w:rPr>
          <w:szCs w:val="22"/>
          <w:lang w:val="it-IT"/>
        </w:rPr>
        <w:t>ë</w:t>
      </w:r>
      <w:r w:rsidRPr="007A3AD7">
        <w:rPr>
          <w:szCs w:val="22"/>
          <w:lang w:val="it-IT"/>
        </w:rPr>
        <w:t>shtetja e f</w:t>
      </w:r>
      <w:r w:rsidR="009A5A0E" w:rsidRPr="007A3AD7">
        <w:rPr>
          <w:szCs w:val="22"/>
          <w:lang w:val="it-IT"/>
        </w:rPr>
        <w:t>ë</w:t>
      </w:r>
      <w:r w:rsidRPr="007A3AD7">
        <w:rPr>
          <w:szCs w:val="22"/>
          <w:lang w:val="it-IT"/>
        </w:rPr>
        <w:t>mijve t</w:t>
      </w:r>
      <w:r w:rsidR="009A5A0E" w:rsidRPr="007A3AD7">
        <w:rPr>
          <w:szCs w:val="22"/>
          <w:lang w:val="it-IT"/>
        </w:rPr>
        <w:t>ë</w:t>
      </w:r>
      <w:r w:rsidRPr="007A3AD7">
        <w:rPr>
          <w:szCs w:val="22"/>
          <w:lang w:val="it-IT"/>
        </w:rPr>
        <w:t xml:space="preserve"> familjeve n</w:t>
      </w:r>
      <w:r w:rsidR="009A5A0E" w:rsidRPr="007A3AD7">
        <w:rPr>
          <w:szCs w:val="22"/>
          <w:lang w:val="it-IT"/>
        </w:rPr>
        <w:t>ë</w:t>
      </w:r>
      <w:r w:rsidRPr="007A3AD7">
        <w:rPr>
          <w:szCs w:val="22"/>
          <w:lang w:val="it-IT"/>
        </w:rPr>
        <w:t xml:space="preserve"> NE me arsim dhe e t</w:t>
      </w:r>
      <w:r w:rsidR="009A5A0E" w:rsidRPr="007A3AD7">
        <w:rPr>
          <w:szCs w:val="22"/>
          <w:lang w:val="it-IT"/>
        </w:rPr>
        <w:t>ë</w:t>
      </w:r>
      <w:r w:rsidRPr="007A3AD7">
        <w:rPr>
          <w:szCs w:val="22"/>
          <w:lang w:val="it-IT"/>
        </w:rPr>
        <w:t xml:space="preserve"> rinjve t</w:t>
      </w:r>
      <w:r w:rsidR="009A5A0E" w:rsidRPr="007A3AD7">
        <w:rPr>
          <w:szCs w:val="22"/>
          <w:lang w:val="it-IT"/>
        </w:rPr>
        <w:t>ë</w:t>
      </w:r>
      <w:r w:rsidRPr="007A3AD7">
        <w:rPr>
          <w:szCs w:val="22"/>
          <w:lang w:val="it-IT"/>
        </w:rPr>
        <w:t xml:space="preserve"> k</w:t>
      </w:r>
      <w:r w:rsidR="009A5A0E" w:rsidRPr="007A3AD7">
        <w:rPr>
          <w:szCs w:val="22"/>
          <w:lang w:val="it-IT"/>
        </w:rPr>
        <w:t>ë</w:t>
      </w:r>
      <w:r w:rsidRPr="007A3AD7">
        <w:rPr>
          <w:szCs w:val="22"/>
          <w:lang w:val="it-IT"/>
        </w:rPr>
        <w:t>tyre familjeve p</w:t>
      </w:r>
      <w:r w:rsidR="009A5A0E" w:rsidRPr="007A3AD7">
        <w:rPr>
          <w:szCs w:val="22"/>
          <w:lang w:val="it-IT"/>
        </w:rPr>
        <w:t>ë</w:t>
      </w:r>
      <w:r w:rsidRPr="007A3AD7">
        <w:rPr>
          <w:szCs w:val="22"/>
          <w:lang w:val="it-IT"/>
        </w:rPr>
        <w:t>r pun</w:t>
      </w:r>
      <w:r w:rsidR="009A5A0E" w:rsidRPr="007A3AD7">
        <w:rPr>
          <w:szCs w:val="22"/>
          <w:lang w:val="it-IT"/>
        </w:rPr>
        <w:t>ë</w:t>
      </w:r>
      <w:r w:rsidRPr="007A3AD7">
        <w:rPr>
          <w:szCs w:val="22"/>
          <w:lang w:val="it-IT"/>
        </w:rPr>
        <w:t xml:space="preserve">sim </w:t>
      </w:r>
      <w:r w:rsidR="009A5A0E" w:rsidRPr="007A3AD7">
        <w:rPr>
          <w:szCs w:val="22"/>
          <w:lang w:val="it-IT"/>
        </w:rPr>
        <w:t>ë</w:t>
      </w:r>
      <w:r w:rsidRPr="007A3AD7">
        <w:rPr>
          <w:szCs w:val="22"/>
          <w:lang w:val="it-IT"/>
        </w:rPr>
        <w:t>sht</w:t>
      </w:r>
      <w:r w:rsidR="009A5A0E" w:rsidRPr="007A3AD7">
        <w:rPr>
          <w:szCs w:val="22"/>
          <w:lang w:val="it-IT"/>
        </w:rPr>
        <w:t>ë</w:t>
      </w:r>
      <w:r w:rsidRPr="007A3AD7">
        <w:rPr>
          <w:szCs w:val="22"/>
          <w:lang w:val="it-IT"/>
        </w:rPr>
        <w:t xml:space="preserve"> sfid</w:t>
      </w:r>
      <w:r w:rsidR="009A5A0E" w:rsidRPr="007A3AD7">
        <w:rPr>
          <w:szCs w:val="22"/>
          <w:lang w:val="it-IT"/>
        </w:rPr>
        <w:t>ë</w:t>
      </w:r>
      <w:r w:rsidRPr="007A3AD7">
        <w:rPr>
          <w:szCs w:val="22"/>
          <w:lang w:val="it-IT"/>
        </w:rPr>
        <w:t xml:space="preserve"> e rend</w:t>
      </w:r>
      <w:r w:rsidR="009A5A0E" w:rsidRPr="007A3AD7">
        <w:rPr>
          <w:szCs w:val="22"/>
          <w:lang w:val="it-IT"/>
        </w:rPr>
        <w:t>ë</w:t>
      </w:r>
      <w:r w:rsidRPr="007A3AD7">
        <w:rPr>
          <w:szCs w:val="22"/>
          <w:lang w:val="it-IT"/>
        </w:rPr>
        <w:t>sishme p</w:t>
      </w:r>
      <w:r w:rsidR="009A5A0E" w:rsidRPr="007A3AD7">
        <w:rPr>
          <w:szCs w:val="22"/>
          <w:lang w:val="it-IT"/>
        </w:rPr>
        <w:t>ë</w:t>
      </w:r>
      <w:r w:rsidRPr="007A3AD7">
        <w:rPr>
          <w:szCs w:val="22"/>
          <w:lang w:val="it-IT"/>
        </w:rPr>
        <w:t>r t</w:t>
      </w:r>
      <w:r w:rsidR="009A5A0E" w:rsidRPr="007A3AD7">
        <w:rPr>
          <w:szCs w:val="22"/>
          <w:lang w:val="it-IT"/>
        </w:rPr>
        <w:t>ë</w:t>
      </w:r>
      <w:r w:rsidRPr="007A3AD7">
        <w:rPr>
          <w:szCs w:val="22"/>
          <w:lang w:val="it-IT"/>
        </w:rPr>
        <w:t xml:space="preserve"> mund</w:t>
      </w:r>
      <w:r w:rsidR="009A5A0E" w:rsidRPr="007A3AD7">
        <w:rPr>
          <w:szCs w:val="22"/>
          <w:lang w:val="it-IT"/>
        </w:rPr>
        <w:t>ë</w:t>
      </w:r>
      <w:r w:rsidRPr="007A3AD7">
        <w:rPr>
          <w:szCs w:val="22"/>
          <w:lang w:val="it-IT"/>
        </w:rPr>
        <w:t>suar k</w:t>
      </w:r>
      <w:r w:rsidR="009A5A0E" w:rsidRPr="007A3AD7">
        <w:rPr>
          <w:szCs w:val="22"/>
          <w:lang w:val="it-IT"/>
        </w:rPr>
        <w:t>ë</w:t>
      </w:r>
      <w:r w:rsidRPr="007A3AD7">
        <w:rPr>
          <w:szCs w:val="22"/>
          <w:lang w:val="it-IT"/>
        </w:rPr>
        <w:t>putjen e zinxhirit t</w:t>
      </w:r>
      <w:r w:rsidR="009A5A0E" w:rsidRPr="007A3AD7">
        <w:rPr>
          <w:szCs w:val="22"/>
          <w:lang w:val="it-IT"/>
        </w:rPr>
        <w:t>ë</w:t>
      </w:r>
      <w:r w:rsidRPr="007A3AD7">
        <w:rPr>
          <w:szCs w:val="22"/>
          <w:lang w:val="it-IT"/>
        </w:rPr>
        <w:t xml:space="preserve"> varf</w:t>
      </w:r>
      <w:r w:rsidR="009A5A0E" w:rsidRPr="007A3AD7">
        <w:rPr>
          <w:szCs w:val="22"/>
          <w:lang w:val="it-IT"/>
        </w:rPr>
        <w:t>ë</w:t>
      </w:r>
      <w:r w:rsidRPr="007A3AD7">
        <w:rPr>
          <w:szCs w:val="22"/>
          <w:lang w:val="it-IT"/>
        </w:rPr>
        <w:t>ris</w:t>
      </w:r>
      <w:r w:rsidR="009A5A0E" w:rsidRPr="007A3AD7">
        <w:rPr>
          <w:szCs w:val="22"/>
          <w:lang w:val="it-IT"/>
        </w:rPr>
        <w:t>ë</w:t>
      </w:r>
      <w:r w:rsidRPr="007A3AD7">
        <w:rPr>
          <w:szCs w:val="22"/>
          <w:lang w:val="it-IT"/>
        </w:rPr>
        <w:t xml:space="preserve"> dhe p</w:t>
      </w:r>
      <w:r w:rsidR="009A5A0E" w:rsidRPr="007A3AD7">
        <w:rPr>
          <w:szCs w:val="22"/>
          <w:lang w:val="it-IT"/>
        </w:rPr>
        <w:t>ë</w:t>
      </w:r>
      <w:r w:rsidRPr="007A3AD7">
        <w:rPr>
          <w:szCs w:val="22"/>
          <w:lang w:val="it-IT"/>
        </w:rPr>
        <w:t>r t</w:t>
      </w:r>
      <w:r w:rsidR="009A5A0E" w:rsidRPr="007A3AD7">
        <w:rPr>
          <w:szCs w:val="22"/>
          <w:lang w:val="it-IT"/>
        </w:rPr>
        <w:t>ë</w:t>
      </w:r>
      <w:r w:rsidRPr="007A3AD7">
        <w:rPr>
          <w:szCs w:val="22"/>
          <w:lang w:val="it-IT"/>
        </w:rPr>
        <w:t xml:space="preserve"> mos lejuar trash</w:t>
      </w:r>
      <w:r w:rsidR="009A5A0E" w:rsidRPr="007A3AD7">
        <w:rPr>
          <w:szCs w:val="22"/>
          <w:lang w:val="it-IT"/>
        </w:rPr>
        <w:t>ë</w:t>
      </w:r>
      <w:r w:rsidRPr="007A3AD7">
        <w:rPr>
          <w:szCs w:val="22"/>
          <w:lang w:val="it-IT"/>
        </w:rPr>
        <w:t>gimin</w:t>
      </w:r>
      <w:r w:rsidR="00676F48" w:rsidRPr="007A3AD7">
        <w:rPr>
          <w:szCs w:val="22"/>
          <w:lang w:val="it-IT"/>
        </w:rPr>
        <w:t>ë</w:t>
      </w:r>
      <w:r w:rsidRPr="007A3AD7">
        <w:rPr>
          <w:szCs w:val="22"/>
          <w:lang w:val="it-IT"/>
        </w:rPr>
        <w:t xml:space="preserve"> e varf</w:t>
      </w:r>
      <w:r w:rsidR="009A5A0E" w:rsidRPr="007A3AD7">
        <w:rPr>
          <w:szCs w:val="22"/>
          <w:lang w:val="it-IT"/>
        </w:rPr>
        <w:t>ë</w:t>
      </w:r>
      <w:r w:rsidRPr="007A3AD7">
        <w:rPr>
          <w:szCs w:val="22"/>
          <w:lang w:val="it-IT"/>
        </w:rPr>
        <w:t>ris</w:t>
      </w:r>
      <w:r w:rsidR="009A5A0E" w:rsidRPr="007A3AD7">
        <w:rPr>
          <w:szCs w:val="22"/>
          <w:lang w:val="it-IT"/>
        </w:rPr>
        <w:t>ë</w:t>
      </w:r>
      <w:r w:rsidRPr="007A3AD7">
        <w:rPr>
          <w:szCs w:val="22"/>
          <w:lang w:val="it-IT"/>
        </w:rPr>
        <w:t xml:space="preserve"> nd</w:t>
      </w:r>
      <w:r w:rsidR="009A5A0E" w:rsidRPr="007A3AD7">
        <w:rPr>
          <w:szCs w:val="22"/>
          <w:lang w:val="it-IT"/>
        </w:rPr>
        <w:t>ë</w:t>
      </w:r>
      <w:r w:rsidRPr="007A3AD7">
        <w:rPr>
          <w:szCs w:val="22"/>
          <w:lang w:val="it-IT"/>
        </w:rPr>
        <w:t>r brez</w:t>
      </w:r>
      <w:r w:rsidR="00676F48">
        <w:rPr>
          <w:szCs w:val="22"/>
          <w:lang w:val="it-IT"/>
        </w:rPr>
        <w:t>a dhe n</w:t>
      </w:r>
      <w:r w:rsidR="00AC2E9D">
        <w:rPr>
          <w:szCs w:val="22"/>
          <w:lang w:val="it-IT"/>
        </w:rPr>
        <w:t>ë</w:t>
      </w:r>
      <w:r w:rsidR="00676F48">
        <w:rPr>
          <w:szCs w:val="22"/>
          <w:lang w:val="it-IT"/>
        </w:rPr>
        <w:t xml:space="preserve"> vecanti reduktimin e varf</w:t>
      </w:r>
      <w:r w:rsidR="00676F48" w:rsidRPr="007A3AD7">
        <w:rPr>
          <w:szCs w:val="22"/>
          <w:lang w:val="it-IT"/>
        </w:rPr>
        <w:t>ë</w:t>
      </w:r>
      <w:r w:rsidR="00676F48">
        <w:rPr>
          <w:szCs w:val="22"/>
          <w:lang w:val="it-IT"/>
        </w:rPr>
        <w:t>ris</w:t>
      </w:r>
      <w:r w:rsidR="00676F48" w:rsidRPr="007A3AD7">
        <w:rPr>
          <w:szCs w:val="22"/>
          <w:lang w:val="it-IT"/>
        </w:rPr>
        <w:t>ë</w:t>
      </w:r>
      <w:r w:rsidR="00676F48">
        <w:rPr>
          <w:szCs w:val="22"/>
          <w:lang w:val="it-IT"/>
        </w:rPr>
        <w:t xml:space="preserve"> s</w:t>
      </w:r>
      <w:r w:rsidR="00676F48" w:rsidRPr="007A3AD7">
        <w:rPr>
          <w:szCs w:val="22"/>
          <w:lang w:val="it-IT"/>
        </w:rPr>
        <w:t>ë</w:t>
      </w:r>
      <w:r w:rsidR="00676F48">
        <w:rPr>
          <w:szCs w:val="22"/>
          <w:lang w:val="it-IT"/>
        </w:rPr>
        <w:t xml:space="preserve"> f</w:t>
      </w:r>
      <w:r w:rsidR="00676F48" w:rsidRPr="007A3AD7">
        <w:rPr>
          <w:szCs w:val="22"/>
          <w:lang w:val="it-IT"/>
        </w:rPr>
        <w:t>ë</w:t>
      </w:r>
      <w:r w:rsidR="00676F48">
        <w:rPr>
          <w:szCs w:val="22"/>
          <w:lang w:val="it-IT"/>
        </w:rPr>
        <w:t>mij</w:t>
      </w:r>
      <w:r w:rsidR="00676F48" w:rsidRPr="007A3AD7">
        <w:rPr>
          <w:szCs w:val="22"/>
          <w:lang w:val="it-IT"/>
        </w:rPr>
        <w:t>ë</w:t>
      </w:r>
      <w:r w:rsidR="00676F48">
        <w:rPr>
          <w:szCs w:val="22"/>
          <w:lang w:val="it-IT"/>
        </w:rPr>
        <w:t xml:space="preserve">ve. </w:t>
      </w:r>
    </w:p>
    <w:bookmarkEnd w:id="49"/>
    <w:p w14:paraId="27672FA1" w14:textId="6020F32B" w:rsidR="003432EB" w:rsidRPr="00F37FFE" w:rsidRDefault="003432EB" w:rsidP="00F37FFE">
      <w:pPr>
        <w:pStyle w:val="Normal0"/>
        <w:rPr>
          <w:color w:val="4472C4" w:themeColor="accent1"/>
          <w:lang w:val="sq-AL"/>
        </w:rPr>
      </w:pPr>
      <w:r w:rsidRPr="00F37FFE">
        <w:rPr>
          <w:color w:val="4472C4" w:themeColor="accent1"/>
          <w:lang w:val="sq-AL"/>
        </w:rPr>
        <w:t>Të rritet aftësia e skemës dhe përfitimeve financiare për t</w:t>
      </w:r>
      <w:r w:rsidR="00027580" w:rsidRPr="00F37FFE">
        <w:rPr>
          <w:color w:val="4472C4" w:themeColor="accent1"/>
          <w:lang w:val="sq-AL"/>
        </w:rPr>
        <w:t>’</w:t>
      </w:r>
      <w:r w:rsidRPr="00F37FFE">
        <w:rPr>
          <w:color w:val="4472C4" w:themeColor="accent1"/>
          <w:lang w:val="sq-AL"/>
        </w:rPr>
        <w:t>iu përgjigjur në kohë vulnerabiliteteve të situatave të krizave dhe emergjencave</w:t>
      </w:r>
      <w:r w:rsidR="0062322E" w:rsidRPr="00F37FFE">
        <w:rPr>
          <w:color w:val="4472C4" w:themeColor="accent1"/>
          <w:lang w:val="sq-AL"/>
        </w:rPr>
        <w:t>.</w:t>
      </w:r>
    </w:p>
    <w:p w14:paraId="6C0FF031" w14:textId="77777777" w:rsidR="007A3AD7" w:rsidRPr="007A3AD7" w:rsidRDefault="007A3AD7" w:rsidP="00C9117B">
      <w:pPr>
        <w:rPr>
          <w:rFonts w:ascii="Times New Roman" w:hAnsi="Times New Roman" w:cs="Times New Roman"/>
          <w:szCs w:val="22"/>
          <w:lang w:val="sq-AL"/>
        </w:rPr>
      </w:pPr>
    </w:p>
    <w:p w14:paraId="771CC9EC" w14:textId="77777777" w:rsidR="00EC5DA2" w:rsidRDefault="003432EB" w:rsidP="00C9117B">
      <w:pPr>
        <w:rPr>
          <w:rFonts w:ascii="Times New Roman" w:hAnsi="Times New Roman" w:cs="Times New Roman"/>
          <w:color w:val="000000"/>
          <w:szCs w:val="22"/>
        </w:rPr>
      </w:pPr>
      <w:r w:rsidRPr="007A3AD7">
        <w:rPr>
          <w:rFonts w:ascii="Times New Roman" w:hAnsi="Times New Roman" w:cs="Times New Roman"/>
          <w:szCs w:val="22"/>
          <w:lang w:val="sq-AL"/>
        </w:rPr>
        <w:t>Efektet e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rmetit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vitit 2019, situata pandemike COVID 19 si dhe efektet ekonomike 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ofert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n dhe </w:t>
      </w:r>
      <w:r w:rsidR="00027580" w:rsidRPr="007A3AD7">
        <w:rPr>
          <w:rFonts w:ascii="Times New Roman" w:hAnsi="Times New Roman" w:cs="Times New Roman"/>
          <w:szCs w:val="22"/>
          <w:lang w:val="sq-AL"/>
        </w:rPr>
        <w:t>ç</w:t>
      </w:r>
      <w:r w:rsidRPr="007A3AD7">
        <w:rPr>
          <w:rFonts w:ascii="Times New Roman" w:hAnsi="Times New Roman" w:cs="Times New Roman"/>
          <w:szCs w:val="22"/>
          <w:lang w:val="sq-AL"/>
        </w:rPr>
        <w:t>mimet 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tregun e mallrave dhe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energjis</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luft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s 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Ukrain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ishin eksperienca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reja p</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r Shqip</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rin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q</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situatat e emergjenc</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s i ka </w:t>
      </w:r>
      <w:r w:rsidR="00447267" w:rsidRPr="007A3AD7">
        <w:rPr>
          <w:rFonts w:ascii="Times New Roman" w:hAnsi="Times New Roman" w:cs="Times New Roman"/>
          <w:szCs w:val="22"/>
          <w:lang w:val="sq-AL"/>
        </w:rPr>
        <w:t>patur t</w:t>
      </w:r>
      <w:r w:rsidR="009A5A0E" w:rsidRPr="007A3AD7">
        <w:rPr>
          <w:rFonts w:ascii="Times New Roman" w:hAnsi="Times New Roman" w:cs="Times New Roman"/>
          <w:szCs w:val="22"/>
          <w:lang w:val="sq-AL"/>
        </w:rPr>
        <w:t>ë</w:t>
      </w:r>
      <w:r w:rsidR="00447267" w:rsidRPr="007A3AD7">
        <w:rPr>
          <w:rFonts w:ascii="Times New Roman" w:hAnsi="Times New Roman" w:cs="Times New Roman"/>
          <w:szCs w:val="22"/>
          <w:lang w:val="sq-AL"/>
        </w:rPr>
        <w:t xml:space="preserve"> </w:t>
      </w:r>
      <w:r w:rsidRPr="007A3AD7">
        <w:rPr>
          <w:rFonts w:ascii="Times New Roman" w:hAnsi="Times New Roman" w:cs="Times New Roman"/>
          <w:szCs w:val="22"/>
          <w:lang w:val="sq-AL"/>
        </w:rPr>
        <w:t>lidhur</w:t>
      </w:r>
      <w:r w:rsidR="00447267" w:rsidRPr="007A3AD7">
        <w:rPr>
          <w:rFonts w:ascii="Times New Roman" w:hAnsi="Times New Roman" w:cs="Times New Roman"/>
          <w:szCs w:val="22"/>
          <w:lang w:val="sq-AL"/>
        </w:rPr>
        <w:t>a</w:t>
      </w:r>
      <w:r w:rsidRPr="007A3AD7">
        <w:rPr>
          <w:rFonts w:ascii="Times New Roman" w:hAnsi="Times New Roman" w:cs="Times New Roman"/>
          <w:szCs w:val="22"/>
          <w:lang w:val="sq-AL"/>
        </w:rPr>
        <w:t xml:space="preserve"> kryesisht me problematik</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n klimaterike e fatkeq</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sit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natyrore si p</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rmbytjet, zjarret etj. </w:t>
      </w:r>
      <w:r w:rsidR="001A3552" w:rsidRPr="007A3AD7">
        <w:rPr>
          <w:rFonts w:ascii="Times New Roman" w:hAnsi="Times New Roman" w:cs="Times New Roman"/>
          <w:szCs w:val="22"/>
          <w:lang w:val="sq-AL"/>
        </w:rPr>
        <w:t>Situatat e viteve t</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 xml:space="preserve"> fundit evidentuan problematik</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n dhe boshll</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qet e sistemeve t</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 xml:space="preserve"> p</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rgjigjes ndaj situatave emergjente p</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rfshir</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 xml:space="preserve"> dhe at</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 xml:space="preserve"> t</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 xml:space="preserve"> kordinimit, gjith</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p</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rfshirjes, financiare, kapaciteteve t</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 xml:space="preserve"> personeleve t</w:t>
      </w:r>
      <w:r w:rsidR="009A5A0E" w:rsidRPr="007A3AD7">
        <w:rPr>
          <w:rFonts w:ascii="Times New Roman" w:hAnsi="Times New Roman" w:cs="Times New Roman"/>
          <w:szCs w:val="22"/>
          <w:lang w:val="sq-AL"/>
        </w:rPr>
        <w:t>ë</w:t>
      </w:r>
      <w:r w:rsidR="001A3552" w:rsidRPr="007A3AD7">
        <w:rPr>
          <w:rFonts w:ascii="Times New Roman" w:hAnsi="Times New Roman" w:cs="Times New Roman"/>
          <w:szCs w:val="22"/>
          <w:lang w:val="sq-AL"/>
        </w:rPr>
        <w:t xml:space="preserve"> ndryshme, komunikimit etj. </w:t>
      </w:r>
      <w:r w:rsidR="003278F9" w:rsidRPr="007A3AD7">
        <w:rPr>
          <w:rFonts w:ascii="Times New Roman" w:hAnsi="Times New Roman" w:cs="Times New Roman"/>
          <w:szCs w:val="22"/>
          <w:lang w:val="sq-AL"/>
        </w:rPr>
        <w:t>Ato krijuan gjithashtu ekperienca t</w:t>
      </w:r>
      <w:r w:rsidR="009A5A0E" w:rsidRPr="007A3AD7">
        <w:rPr>
          <w:rFonts w:ascii="Times New Roman" w:hAnsi="Times New Roman" w:cs="Times New Roman"/>
          <w:szCs w:val="22"/>
          <w:lang w:val="sq-AL"/>
        </w:rPr>
        <w:t>ë</w:t>
      </w:r>
      <w:r w:rsidR="003278F9" w:rsidRPr="007A3AD7">
        <w:rPr>
          <w:rFonts w:ascii="Times New Roman" w:hAnsi="Times New Roman" w:cs="Times New Roman"/>
          <w:szCs w:val="22"/>
          <w:lang w:val="sq-AL"/>
        </w:rPr>
        <w:t xml:space="preserve"> mira mbi m</w:t>
      </w:r>
      <w:r w:rsidR="009A5A0E" w:rsidRPr="007A3AD7">
        <w:rPr>
          <w:rFonts w:ascii="Times New Roman" w:hAnsi="Times New Roman" w:cs="Times New Roman"/>
          <w:szCs w:val="22"/>
          <w:lang w:val="sq-AL"/>
        </w:rPr>
        <w:t>ë</w:t>
      </w:r>
      <w:r w:rsidR="003278F9" w:rsidRPr="007A3AD7">
        <w:rPr>
          <w:rFonts w:ascii="Times New Roman" w:hAnsi="Times New Roman" w:cs="Times New Roman"/>
          <w:szCs w:val="22"/>
          <w:lang w:val="sq-AL"/>
        </w:rPr>
        <w:t>nyr</w:t>
      </w:r>
      <w:r w:rsidR="009A5A0E" w:rsidRPr="007A3AD7">
        <w:rPr>
          <w:rFonts w:ascii="Times New Roman" w:hAnsi="Times New Roman" w:cs="Times New Roman"/>
          <w:szCs w:val="22"/>
          <w:lang w:val="sq-AL"/>
        </w:rPr>
        <w:t>ë</w:t>
      </w:r>
      <w:r w:rsidR="003278F9" w:rsidRPr="007A3AD7">
        <w:rPr>
          <w:rFonts w:ascii="Times New Roman" w:hAnsi="Times New Roman" w:cs="Times New Roman"/>
          <w:szCs w:val="22"/>
          <w:lang w:val="sq-AL"/>
        </w:rPr>
        <w:t>n se si duhet t</w:t>
      </w:r>
      <w:r w:rsidR="009A5A0E" w:rsidRPr="007A3AD7">
        <w:rPr>
          <w:rFonts w:ascii="Times New Roman" w:hAnsi="Times New Roman" w:cs="Times New Roman"/>
          <w:szCs w:val="22"/>
          <w:lang w:val="sq-AL"/>
        </w:rPr>
        <w:t>ë</w:t>
      </w:r>
      <w:r w:rsidR="003278F9" w:rsidRPr="007A3AD7">
        <w:rPr>
          <w:rFonts w:ascii="Times New Roman" w:hAnsi="Times New Roman" w:cs="Times New Roman"/>
          <w:szCs w:val="22"/>
          <w:lang w:val="sq-AL"/>
        </w:rPr>
        <w:t xml:space="preserve"> adresohen problematikat e krijuara. </w:t>
      </w:r>
      <w:r w:rsidR="001F5FD2" w:rsidRPr="007A3AD7">
        <w:rPr>
          <w:rFonts w:ascii="Times New Roman" w:hAnsi="Times New Roman" w:cs="Times New Roman"/>
          <w:szCs w:val="22"/>
          <w:lang w:val="sq-AL"/>
        </w:rPr>
        <w:t>Strategjia e mbrojtjes sociale do t</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 xml:space="preserve"> siguroj</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 xml:space="preserve"> q</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 xml:space="preserve"> sistemi i p</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rgjigjes ndaj situatave emergjente p</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r grupet vulnerab</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l t</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 xml:space="preserve"> mos jet</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 xml:space="preserve"> sporadik dhe momental, por i p</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rgatitur dhe i pajisur me kapacitete, mjete dhe buxhete p</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r k</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t</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 xml:space="preserve"> q</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llim. P</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r k</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t</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 xml:space="preserve">, analizat e situatave </w:t>
      </w:r>
      <w:r w:rsidR="00BF64E0" w:rsidRPr="007A3AD7">
        <w:rPr>
          <w:rFonts w:ascii="Times New Roman" w:hAnsi="Times New Roman" w:cs="Times New Roman"/>
          <w:szCs w:val="22"/>
          <w:lang w:val="sq-AL"/>
        </w:rPr>
        <w:t>dhe nj</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 xml:space="preserve"> roadmap p</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r nj</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 xml:space="preserve"> sistem mbrojtjeje shoq</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rore t</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 xml:space="preserve"> aft</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 xml:space="preserve"> p</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r t'iu p</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 xml:space="preserve">rgjigjur krizave dhe emergjencave </w:t>
      </w:r>
      <w:r w:rsidR="001F5FD2" w:rsidRPr="007A3AD7">
        <w:rPr>
          <w:rFonts w:ascii="Times New Roman" w:hAnsi="Times New Roman" w:cs="Times New Roman"/>
          <w:szCs w:val="22"/>
          <w:lang w:val="sq-AL"/>
        </w:rPr>
        <w:t>do t</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 xml:space="preserve"> </w:t>
      </w:r>
      <w:r w:rsidR="00BF64E0" w:rsidRPr="007A3AD7">
        <w:rPr>
          <w:rFonts w:ascii="Times New Roman" w:hAnsi="Times New Roman" w:cs="Times New Roman"/>
          <w:szCs w:val="22"/>
          <w:lang w:val="sq-AL"/>
        </w:rPr>
        <w:t>ndihmonin</w:t>
      </w:r>
      <w:r w:rsidR="001F5FD2" w:rsidRPr="007A3AD7">
        <w:rPr>
          <w:rFonts w:ascii="Times New Roman" w:hAnsi="Times New Roman" w:cs="Times New Roman"/>
          <w:szCs w:val="22"/>
          <w:lang w:val="sq-AL"/>
        </w:rPr>
        <w:t xml:space="preserve"> p</w:t>
      </w:r>
      <w:r w:rsidR="009A5A0E" w:rsidRPr="007A3AD7">
        <w:rPr>
          <w:rFonts w:ascii="Times New Roman" w:hAnsi="Times New Roman" w:cs="Times New Roman"/>
          <w:szCs w:val="22"/>
          <w:lang w:val="sq-AL"/>
        </w:rPr>
        <w:t>ë</w:t>
      </w:r>
      <w:r w:rsidR="001F5FD2" w:rsidRPr="007A3AD7">
        <w:rPr>
          <w:rFonts w:ascii="Times New Roman" w:hAnsi="Times New Roman" w:cs="Times New Roman"/>
          <w:szCs w:val="22"/>
          <w:lang w:val="sq-AL"/>
        </w:rPr>
        <w:t xml:space="preserve">r hartimin e </w:t>
      </w:r>
      <w:r w:rsidR="00BF64E0" w:rsidRPr="007A3AD7">
        <w:rPr>
          <w:rFonts w:ascii="Times New Roman" w:hAnsi="Times New Roman" w:cs="Times New Roman"/>
          <w:szCs w:val="22"/>
          <w:lang w:val="sq-AL"/>
        </w:rPr>
        <w:t>p</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r</w:t>
      </w:r>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zbatimin</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në</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praktikë</w:t>
      </w:r>
      <w:proofErr w:type="spellEnd"/>
      <w:r w:rsidR="001F5FD2" w:rsidRPr="007A3AD7">
        <w:rPr>
          <w:rFonts w:ascii="Times New Roman" w:hAnsi="Times New Roman" w:cs="Times New Roman"/>
          <w:color w:val="000000"/>
          <w:szCs w:val="22"/>
        </w:rPr>
        <w:t xml:space="preserve"> të </w:t>
      </w:r>
      <w:proofErr w:type="spellStart"/>
      <w:r w:rsidR="001F5FD2" w:rsidRPr="007A3AD7">
        <w:rPr>
          <w:rFonts w:ascii="Times New Roman" w:hAnsi="Times New Roman" w:cs="Times New Roman"/>
          <w:color w:val="000000"/>
          <w:szCs w:val="22"/>
        </w:rPr>
        <w:t>funksionimit</w:t>
      </w:r>
      <w:proofErr w:type="spellEnd"/>
      <w:r w:rsidR="001F5FD2" w:rsidRPr="007A3AD7">
        <w:rPr>
          <w:rFonts w:ascii="Times New Roman" w:hAnsi="Times New Roman" w:cs="Times New Roman"/>
          <w:color w:val="000000"/>
          <w:szCs w:val="22"/>
        </w:rPr>
        <w:t xml:space="preserve"> të </w:t>
      </w:r>
      <w:proofErr w:type="spellStart"/>
      <w:r w:rsidR="001F5FD2" w:rsidRPr="007A3AD7">
        <w:rPr>
          <w:rFonts w:ascii="Times New Roman" w:hAnsi="Times New Roman" w:cs="Times New Roman"/>
          <w:color w:val="000000"/>
          <w:szCs w:val="22"/>
        </w:rPr>
        <w:t>skemës</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së</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ndihmës</w:t>
      </w:r>
      <w:proofErr w:type="spellEnd"/>
      <w:r w:rsidR="001F5FD2" w:rsidRPr="007A3AD7">
        <w:rPr>
          <w:rFonts w:ascii="Times New Roman" w:hAnsi="Times New Roman" w:cs="Times New Roman"/>
          <w:color w:val="000000"/>
          <w:szCs w:val="22"/>
        </w:rPr>
        <w:t xml:space="preserve"> ekonomike dhe </w:t>
      </w:r>
      <w:proofErr w:type="spellStart"/>
      <w:r w:rsidR="001F5FD2" w:rsidRPr="007A3AD7">
        <w:rPr>
          <w:rFonts w:ascii="Times New Roman" w:hAnsi="Times New Roman" w:cs="Times New Roman"/>
          <w:color w:val="000000"/>
          <w:szCs w:val="22"/>
        </w:rPr>
        <w:t>aftësisë</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së</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kufizuar</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si</w:t>
      </w:r>
      <w:proofErr w:type="spellEnd"/>
      <w:r w:rsidR="001F5FD2" w:rsidRPr="007A3AD7">
        <w:rPr>
          <w:rFonts w:ascii="Times New Roman" w:hAnsi="Times New Roman" w:cs="Times New Roman"/>
          <w:color w:val="000000"/>
          <w:szCs w:val="22"/>
        </w:rPr>
        <w:t xml:space="preserve"> dhe </w:t>
      </w:r>
      <w:proofErr w:type="spellStart"/>
      <w:r w:rsidR="001F5FD2" w:rsidRPr="007A3AD7">
        <w:rPr>
          <w:rFonts w:ascii="Times New Roman" w:hAnsi="Times New Roman" w:cs="Times New Roman"/>
          <w:color w:val="000000"/>
          <w:szCs w:val="22"/>
        </w:rPr>
        <w:t>përfitimeve</w:t>
      </w:r>
      <w:proofErr w:type="spellEnd"/>
      <w:r w:rsidR="001F5FD2" w:rsidRPr="007A3AD7">
        <w:rPr>
          <w:rFonts w:ascii="Times New Roman" w:hAnsi="Times New Roman" w:cs="Times New Roman"/>
          <w:color w:val="000000"/>
          <w:szCs w:val="22"/>
        </w:rPr>
        <w:t xml:space="preserve"> të </w:t>
      </w:r>
      <w:proofErr w:type="spellStart"/>
      <w:r w:rsidR="001F5FD2" w:rsidRPr="007A3AD7">
        <w:rPr>
          <w:rFonts w:ascii="Times New Roman" w:hAnsi="Times New Roman" w:cs="Times New Roman"/>
          <w:color w:val="000000"/>
          <w:szCs w:val="22"/>
        </w:rPr>
        <w:t>tjera</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financiare</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në</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raste</w:t>
      </w:r>
      <w:proofErr w:type="spellEnd"/>
      <w:r w:rsidR="001F5FD2" w:rsidRPr="007A3AD7">
        <w:rPr>
          <w:rFonts w:ascii="Times New Roman" w:hAnsi="Times New Roman" w:cs="Times New Roman"/>
          <w:color w:val="000000"/>
          <w:szCs w:val="22"/>
        </w:rPr>
        <w:t xml:space="preserve"> të </w:t>
      </w:r>
      <w:proofErr w:type="spellStart"/>
      <w:r w:rsidR="001F5FD2" w:rsidRPr="007A3AD7">
        <w:rPr>
          <w:rFonts w:ascii="Times New Roman" w:hAnsi="Times New Roman" w:cs="Times New Roman"/>
          <w:color w:val="000000"/>
          <w:szCs w:val="22"/>
        </w:rPr>
        <w:t>mundshme</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krizash</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apo</w:t>
      </w:r>
      <w:proofErr w:type="spellEnd"/>
      <w:r w:rsidR="001F5FD2" w:rsidRPr="007A3AD7">
        <w:rPr>
          <w:rFonts w:ascii="Times New Roman" w:hAnsi="Times New Roman" w:cs="Times New Roman"/>
          <w:color w:val="000000"/>
          <w:szCs w:val="22"/>
        </w:rPr>
        <w:t xml:space="preserve"> </w:t>
      </w:r>
      <w:proofErr w:type="spellStart"/>
      <w:r w:rsidR="001F5FD2" w:rsidRPr="007A3AD7">
        <w:rPr>
          <w:rFonts w:ascii="Times New Roman" w:hAnsi="Times New Roman" w:cs="Times New Roman"/>
          <w:color w:val="000000"/>
          <w:szCs w:val="22"/>
        </w:rPr>
        <w:t>emergjencash</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rregjistri</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komb</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tar</w:t>
      </w:r>
      <w:proofErr w:type="spellEnd"/>
      <w:r w:rsidR="00C9117B" w:rsidRPr="007A3AD7">
        <w:rPr>
          <w:rFonts w:ascii="Times New Roman" w:hAnsi="Times New Roman" w:cs="Times New Roman"/>
          <w:color w:val="000000"/>
          <w:szCs w:val="22"/>
        </w:rPr>
        <w:t xml:space="preserve"> do t</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p</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rmbaj</w:t>
      </w:r>
      <w:r w:rsidR="009A5A0E" w:rsidRPr="007A3AD7">
        <w:rPr>
          <w:rFonts w:ascii="Times New Roman" w:hAnsi="Times New Roman" w:cs="Times New Roman"/>
          <w:color w:val="000000"/>
          <w:szCs w:val="22"/>
        </w:rPr>
        <w:t>ë</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nj</w:t>
      </w:r>
      <w:r w:rsidR="009A5A0E" w:rsidRPr="007A3AD7">
        <w:rPr>
          <w:rFonts w:ascii="Times New Roman" w:hAnsi="Times New Roman" w:cs="Times New Roman"/>
          <w:color w:val="000000"/>
          <w:szCs w:val="22"/>
        </w:rPr>
        <w:t>ë</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modul</w:t>
      </w:r>
      <w:proofErr w:type="spellEnd"/>
      <w:r w:rsidR="00C9117B" w:rsidRPr="007A3AD7">
        <w:rPr>
          <w:rFonts w:ascii="Times New Roman" w:hAnsi="Times New Roman" w:cs="Times New Roman"/>
          <w:color w:val="000000"/>
          <w:szCs w:val="22"/>
        </w:rPr>
        <w:t xml:space="preserve"> t</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ve</w:t>
      </w:r>
      <w:r w:rsidR="00027580" w:rsidRPr="007A3AD7">
        <w:rPr>
          <w:rFonts w:ascii="Times New Roman" w:hAnsi="Times New Roman" w:cs="Times New Roman"/>
          <w:color w:val="000000"/>
          <w:szCs w:val="22"/>
        </w:rPr>
        <w:t>ç</w:t>
      </w:r>
      <w:r w:rsidR="00C9117B" w:rsidRPr="007A3AD7">
        <w:rPr>
          <w:rFonts w:ascii="Times New Roman" w:hAnsi="Times New Roman" w:cs="Times New Roman"/>
          <w:color w:val="000000"/>
          <w:szCs w:val="22"/>
        </w:rPr>
        <w:t>ant</w:t>
      </w:r>
      <w:r w:rsidR="009A5A0E" w:rsidRPr="007A3AD7">
        <w:rPr>
          <w:rFonts w:ascii="Times New Roman" w:hAnsi="Times New Roman" w:cs="Times New Roman"/>
          <w:color w:val="000000"/>
          <w:szCs w:val="22"/>
        </w:rPr>
        <w:t>ë</w:t>
      </w:r>
      <w:proofErr w:type="spellEnd"/>
      <w:r w:rsidR="00C9117B" w:rsidRPr="007A3AD7">
        <w:rPr>
          <w:rFonts w:ascii="Times New Roman" w:hAnsi="Times New Roman" w:cs="Times New Roman"/>
          <w:color w:val="000000"/>
          <w:szCs w:val="22"/>
        </w:rPr>
        <w:t xml:space="preserve"> ku t</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evidentohen</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individ</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t</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m</w:t>
      </w:r>
      <w:r w:rsidR="009A5A0E" w:rsidRPr="007A3AD7">
        <w:rPr>
          <w:rFonts w:ascii="Times New Roman" w:hAnsi="Times New Roman" w:cs="Times New Roman"/>
          <w:color w:val="000000"/>
          <w:szCs w:val="22"/>
        </w:rPr>
        <w:t>ë</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vulnerab</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l</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n</w:t>
      </w:r>
      <w:r w:rsidR="009A5A0E" w:rsidRPr="007A3AD7">
        <w:rPr>
          <w:rFonts w:ascii="Times New Roman" w:hAnsi="Times New Roman" w:cs="Times New Roman"/>
          <w:color w:val="000000"/>
          <w:szCs w:val="22"/>
        </w:rPr>
        <w:t>ë</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raste</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emergjencash</w:t>
      </w:r>
      <w:proofErr w:type="spellEnd"/>
      <w:r w:rsidR="00C9117B" w:rsidRPr="007A3AD7">
        <w:rPr>
          <w:rFonts w:ascii="Times New Roman" w:hAnsi="Times New Roman" w:cs="Times New Roman"/>
          <w:color w:val="000000"/>
          <w:szCs w:val="22"/>
        </w:rPr>
        <w:t xml:space="preserve"> dhe </w:t>
      </w:r>
      <w:proofErr w:type="spellStart"/>
      <w:r w:rsidR="00C9117B" w:rsidRPr="007A3AD7">
        <w:rPr>
          <w:rFonts w:ascii="Times New Roman" w:hAnsi="Times New Roman" w:cs="Times New Roman"/>
          <w:color w:val="000000"/>
          <w:szCs w:val="22"/>
        </w:rPr>
        <w:t>nevojat</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potenciale</w:t>
      </w:r>
      <w:proofErr w:type="spellEnd"/>
      <w:r w:rsidR="00C9117B" w:rsidRPr="007A3AD7">
        <w:rPr>
          <w:rFonts w:ascii="Times New Roman" w:hAnsi="Times New Roman" w:cs="Times New Roman"/>
          <w:color w:val="000000"/>
          <w:szCs w:val="22"/>
        </w:rPr>
        <w:t xml:space="preserve"> t</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 xml:space="preserve"> tyre, </w:t>
      </w:r>
      <w:proofErr w:type="spellStart"/>
      <w:r w:rsidR="00C9117B" w:rsidRPr="007A3AD7">
        <w:rPr>
          <w:rFonts w:ascii="Times New Roman" w:hAnsi="Times New Roman" w:cs="Times New Roman"/>
          <w:color w:val="000000"/>
          <w:szCs w:val="22"/>
        </w:rPr>
        <w:t>personelin</w:t>
      </w:r>
      <w:proofErr w:type="spellEnd"/>
      <w:r w:rsidR="00C9117B" w:rsidRPr="007A3AD7">
        <w:rPr>
          <w:rFonts w:ascii="Times New Roman" w:hAnsi="Times New Roman" w:cs="Times New Roman"/>
          <w:color w:val="000000"/>
          <w:szCs w:val="22"/>
        </w:rPr>
        <w:t xml:space="preserve"> e </w:t>
      </w:r>
      <w:proofErr w:type="spellStart"/>
      <w:r w:rsidR="00C9117B" w:rsidRPr="007A3AD7">
        <w:rPr>
          <w:rFonts w:ascii="Times New Roman" w:hAnsi="Times New Roman" w:cs="Times New Roman"/>
          <w:color w:val="000000"/>
          <w:szCs w:val="22"/>
        </w:rPr>
        <w:t>trajnuar</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p</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r</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t'iu</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ardhur</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n</w:t>
      </w:r>
      <w:r w:rsidR="009A5A0E" w:rsidRPr="007A3AD7">
        <w:rPr>
          <w:rFonts w:ascii="Times New Roman" w:hAnsi="Times New Roman" w:cs="Times New Roman"/>
          <w:color w:val="000000"/>
          <w:szCs w:val="22"/>
        </w:rPr>
        <w:t>ë</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ndihm</w:t>
      </w:r>
      <w:r w:rsidR="009A5A0E" w:rsidRPr="007A3AD7">
        <w:rPr>
          <w:rFonts w:ascii="Times New Roman" w:hAnsi="Times New Roman" w:cs="Times New Roman"/>
          <w:color w:val="000000"/>
          <w:szCs w:val="22"/>
        </w:rPr>
        <w:t>ë</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n</w:t>
      </w:r>
      <w:r w:rsidR="009A5A0E" w:rsidRPr="007A3AD7">
        <w:rPr>
          <w:rFonts w:ascii="Times New Roman" w:hAnsi="Times New Roman" w:cs="Times New Roman"/>
          <w:color w:val="000000"/>
          <w:szCs w:val="22"/>
        </w:rPr>
        <w:t>ë</w:t>
      </w:r>
      <w:proofErr w:type="spellEnd"/>
      <w:r w:rsidR="00C9117B" w:rsidRPr="007A3AD7">
        <w:rPr>
          <w:rFonts w:ascii="Times New Roman" w:hAnsi="Times New Roman" w:cs="Times New Roman"/>
          <w:color w:val="000000"/>
          <w:szCs w:val="22"/>
        </w:rPr>
        <w:t xml:space="preserve"> t</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gjitha</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nivelet</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si</w:t>
      </w:r>
      <w:proofErr w:type="spellEnd"/>
      <w:r w:rsidR="00C9117B" w:rsidRPr="007A3AD7">
        <w:rPr>
          <w:rFonts w:ascii="Times New Roman" w:hAnsi="Times New Roman" w:cs="Times New Roman"/>
          <w:color w:val="000000"/>
          <w:szCs w:val="22"/>
        </w:rPr>
        <w:t xml:space="preserve"> dhe </w:t>
      </w:r>
      <w:proofErr w:type="spellStart"/>
      <w:r w:rsidR="00C9117B" w:rsidRPr="007A3AD7">
        <w:rPr>
          <w:rFonts w:ascii="Times New Roman" w:hAnsi="Times New Roman" w:cs="Times New Roman"/>
          <w:color w:val="000000"/>
          <w:szCs w:val="22"/>
        </w:rPr>
        <w:t>nj</w:t>
      </w:r>
      <w:r w:rsidR="009A5A0E" w:rsidRPr="007A3AD7">
        <w:rPr>
          <w:rFonts w:ascii="Times New Roman" w:hAnsi="Times New Roman" w:cs="Times New Roman"/>
          <w:color w:val="000000"/>
          <w:szCs w:val="22"/>
        </w:rPr>
        <w:t>ë</w:t>
      </w:r>
      <w:proofErr w:type="spellEnd"/>
      <w:r w:rsidR="00C9117B" w:rsidRPr="007A3AD7">
        <w:rPr>
          <w:rFonts w:ascii="Times New Roman" w:hAnsi="Times New Roman" w:cs="Times New Roman"/>
          <w:color w:val="000000"/>
          <w:szCs w:val="22"/>
        </w:rPr>
        <w:t xml:space="preserve"> plan t</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dedikuar</w:t>
      </w:r>
      <w:proofErr w:type="spellEnd"/>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komunikimi</w:t>
      </w:r>
      <w:proofErr w:type="spellEnd"/>
      <w:r w:rsidR="00C9117B" w:rsidRPr="007A3AD7">
        <w:rPr>
          <w:rFonts w:ascii="Times New Roman" w:hAnsi="Times New Roman" w:cs="Times New Roman"/>
          <w:color w:val="000000"/>
          <w:szCs w:val="22"/>
        </w:rPr>
        <w:t xml:space="preserve"> t</w:t>
      </w:r>
      <w:r w:rsidR="009A5A0E" w:rsidRPr="007A3AD7">
        <w:rPr>
          <w:rFonts w:ascii="Times New Roman" w:hAnsi="Times New Roman" w:cs="Times New Roman"/>
          <w:color w:val="000000"/>
          <w:szCs w:val="22"/>
        </w:rPr>
        <w:t>ë</w:t>
      </w:r>
      <w:r w:rsidR="00C9117B" w:rsidRPr="007A3AD7">
        <w:rPr>
          <w:rFonts w:ascii="Times New Roman" w:hAnsi="Times New Roman" w:cs="Times New Roman"/>
          <w:color w:val="000000"/>
          <w:szCs w:val="22"/>
        </w:rPr>
        <w:t xml:space="preserve"> </w:t>
      </w:r>
      <w:proofErr w:type="spellStart"/>
      <w:r w:rsidR="00C9117B" w:rsidRPr="007A3AD7">
        <w:rPr>
          <w:rFonts w:ascii="Times New Roman" w:hAnsi="Times New Roman" w:cs="Times New Roman"/>
          <w:color w:val="000000"/>
          <w:szCs w:val="22"/>
        </w:rPr>
        <w:t>informacionit</w:t>
      </w:r>
      <w:proofErr w:type="spellEnd"/>
      <w:r w:rsidR="00C9117B" w:rsidRPr="007A3AD7">
        <w:rPr>
          <w:rFonts w:ascii="Times New Roman" w:hAnsi="Times New Roman" w:cs="Times New Roman"/>
          <w:color w:val="000000"/>
          <w:szCs w:val="22"/>
        </w:rPr>
        <w:t xml:space="preserve">. </w:t>
      </w:r>
    </w:p>
    <w:p w14:paraId="2EB1DB15" w14:textId="495C5B06" w:rsidR="003432EB" w:rsidRPr="007A3AD7" w:rsidRDefault="00C9117B" w:rsidP="00C9117B">
      <w:pPr>
        <w:rPr>
          <w:rFonts w:ascii="Times New Roman" w:eastAsia="Times New Roman" w:hAnsi="Times New Roman" w:cs="Times New Roman"/>
          <w:iCs/>
          <w:szCs w:val="22"/>
          <w:lang w:val="sq-AL" w:eastAsia="en-GB"/>
        </w:rPr>
      </w:pPr>
      <w:r w:rsidRPr="007A3AD7">
        <w:rPr>
          <w:rFonts w:ascii="Times New Roman" w:hAnsi="Times New Roman" w:cs="Times New Roman"/>
          <w:szCs w:val="22"/>
          <w:lang w:val="sq-AL"/>
        </w:rPr>
        <w:t>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gjith</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k</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to veprime do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jen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p</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rmbajtje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w:t>
      </w:r>
      <w:r w:rsidRPr="007A3AD7">
        <w:rPr>
          <w:rFonts w:ascii="Times New Roman" w:eastAsia="Times New Roman" w:hAnsi="Times New Roman" w:cs="Times New Roman"/>
          <w:iCs/>
          <w:szCs w:val="22"/>
          <w:lang w:val="sq-AL" w:eastAsia="en-GB"/>
        </w:rPr>
        <w:t>s</w:t>
      </w:r>
      <w:r w:rsidR="003432EB" w:rsidRPr="007A3AD7">
        <w:rPr>
          <w:rFonts w:ascii="Times New Roman" w:eastAsia="Times New Roman" w:hAnsi="Times New Roman" w:cs="Times New Roman"/>
          <w:iCs/>
          <w:szCs w:val="22"/>
          <w:lang w:val="sq-AL" w:eastAsia="en-GB"/>
        </w:rPr>
        <w:t xml:space="preserve">kenareve </w:t>
      </w:r>
      <w:r w:rsidRPr="007A3AD7">
        <w:rPr>
          <w:rFonts w:ascii="Times New Roman" w:eastAsia="Times New Roman" w:hAnsi="Times New Roman" w:cs="Times New Roman"/>
          <w:iCs/>
          <w:szCs w:val="22"/>
          <w:lang w:val="sq-AL" w:eastAsia="en-GB"/>
        </w:rPr>
        <w:t>t</w:t>
      </w:r>
      <w:r w:rsidR="009A5A0E" w:rsidRPr="007A3AD7">
        <w:rPr>
          <w:rFonts w:ascii="Times New Roman" w:eastAsia="Times New Roman" w:hAnsi="Times New Roman" w:cs="Times New Roman"/>
          <w:iCs/>
          <w:szCs w:val="22"/>
          <w:lang w:val="sq-AL" w:eastAsia="en-GB"/>
        </w:rPr>
        <w:t>ë</w:t>
      </w:r>
      <w:r w:rsidRPr="007A3AD7">
        <w:rPr>
          <w:rFonts w:ascii="Times New Roman" w:eastAsia="Times New Roman" w:hAnsi="Times New Roman" w:cs="Times New Roman"/>
          <w:iCs/>
          <w:szCs w:val="22"/>
          <w:lang w:val="sq-AL" w:eastAsia="en-GB"/>
        </w:rPr>
        <w:t xml:space="preserve"> ndryshme </w:t>
      </w:r>
      <w:r w:rsidR="003432EB" w:rsidRPr="007A3AD7">
        <w:rPr>
          <w:rFonts w:ascii="Times New Roman" w:eastAsia="Times New Roman" w:hAnsi="Times New Roman" w:cs="Times New Roman"/>
          <w:iCs/>
          <w:szCs w:val="22"/>
          <w:lang w:val="sq-AL" w:eastAsia="en-GB"/>
        </w:rPr>
        <w:t>p</w:t>
      </w:r>
      <w:r w:rsidR="009A5A0E" w:rsidRPr="007A3AD7">
        <w:rPr>
          <w:rFonts w:ascii="Times New Roman" w:eastAsia="Times New Roman" w:hAnsi="Times New Roman" w:cs="Times New Roman"/>
          <w:iCs/>
          <w:szCs w:val="22"/>
          <w:lang w:val="sq-AL" w:eastAsia="en-GB"/>
        </w:rPr>
        <w:t>ë</w:t>
      </w:r>
      <w:r w:rsidR="003432EB" w:rsidRPr="007A3AD7">
        <w:rPr>
          <w:rFonts w:ascii="Times New Roman" w:eastAsia="Times New Roman" w:hAnsi="Times New Roman" w:cs="Times New Roman"/>
          <w:iCs/>
          <w:szCs w:val="22"/>
          <w:lang w:val="sq-AL" w:eastAsia="en-GB"/>
        </w:rPr>
        <w:t>r mbrojtjen sociale n</w:t>
      </w:r>
      <w:r w:rsidR="009A5A0E" w:rsidRPr="007A3AD7">
        <w:rPr>
          <w:rFonts w:ascii="Times New Roman" w:eastAsia="Times New Roman" w:hAnsi="Times New Roman" w:cs="Times New Roman"/>
          <w:iCs/>
          <w:szCs w:val="22"/>
          <w:lang w:val="sq-AL" w:eastAsia="en-GB"/>
        </w:rPr>
        <w:t>ë</w:t>
      </w:r>
      <w:r w:rsidR="003432EB" w:rsidRPr="007A3AD7">
        <w:rPr>
          <w:rFonts w:ascii="Times New Roman" w:eastAsia="Times New Roman" w:hAnsi="Times New Roman" w:cs="Times New Roman"/>
          <w:iCs/>
          <w:szCs w:val="22"/>
          <w:lang w:val="sq-AL" w:eastAsia="en-GB"/>
        </w:rPr>
        <w:t xml:space="preserve"> raste krizash dhe emergjencash </w:t>
      </w:r>
      <w:r w:rsidRPr="007A3AD7">
        <w:rPr>
          <w:rFonts w:ascii="Times New Roman" w:eastAsia="Times New Roman" w:hAnsi="Times New Roman" w:cs="Times New Roman"/>
          <w:iCs/>
          <w:szCs w:val="22"/>
          <w:lang w:val="sq-AL" w:eastAsia="en-GB"/>
        </w:rPr>
        <w:t>p</w:t>
      </w:r>
      <w:r w:rsidR="009A5A0E" w:rsidRPr="007A3AD7">
        <w:rPr>
          <w:rFonts w:ascii="Times New Roman" w:eastAsia="Times New Roman" w:hAnsi="Times New Roman" w:cs="Times New Roman"/>
          <w:iCs/>
          <w:szCs w:val="22"/>
          <w:lang w:val="sq-AL" w:eastAsia="en-GB"/>
        </w:rPr>
        <w:t>ë</w:t>
      </w:r>
      <w:r w:rsidRPr="007A3AD7">
        <w:rPr>
          <w:rFonts w:ascii="Times New Roman" w:eastAsia="Times New Roman" w:hAnsi="Times New Roman" w:cs="Times New Roman"/>
          <w:iCs/>
          <w:szCs w:val="22"/>
          <w:lang w:val="sq-AL" w:eastAsia="en-GB"/>
        </w:rPr>
        <w:t>rfshir</w:t>
      </w:r>
      <w:r w:rsidR="009A5A0E" w:rsidRPr="007A3AD7">
        <w:rPr>
          <w:rFonts w:ascii="Times New Roman" w:eastAsia="Times New Roman" w:hAnsi="Times New Roman" w:cs="Times New Roman"/>
          <w:iCs/>
          <w:szCs w:val="22"/>
          <w:lang w:val="sq-AL" w:eastAsia="en-GB"/>
        </w:rPr>
        <w:t>ë</w:t>
      </w:r>
      <w:r w:rsidRPr="007A3AD7">
        <w:rPr>
          <w:rFonts w:ascii="Times New Roman" w:eastAsia="Times New Roman" w:hAnsi="Times New Roman" w:cs="Times New Roman"/>
          <w:iCs/>
          <w:szCs w:val="22"/>
          <w:lang w:val="sq-AL" w:eastAsia="en-GB"/>
        </w:rPr>
        <w:t xml:space="preserve"> dhe buxhetet e nevojshme</w:t>
      </w:r>
      <w:r w:rsidR="003432EB" w:rsidRPr="007A3AD7">
        <w:rPr>
          <w:rFonts w:ascii="Times New Roman" w:eastAsia="Times New Roman" w:hAnsi="Times New Roman" w:cs="Times New Roman"/>
          <w:iCs/>
          <w:szCs w:val="22"/>
          <w:lang w:val="sq-AL" w:eastAsia="en-GB"/>
        </w:rPr>
        <w:t xml:space="preserve"> me q</w:t>
      </w:r>
      <w:r w:rsidR="009A5A0E" w:rsidRPr="007A3AD7">
        <w:rPr>
          <w:rFonts w:ascii="Times New Roman" w:eastAsia="Times New Roman" w:hAnsi="Times New Roman" w:cs="Times New Roman"/>
          <w:iCs/>
          <w:szCs w:val="22"/>
          <w:lang w:val="sq-AL" w:eastAsia="en-GB"/>
        </w:rPr>
        <w:t>ë</w:t>
      </w:r>
      <w:r w:rsidR="003432EB" w:rsidRPr="007A3AD7">
        <w:rPr>
          <w:rFonts w:ascii="Times New Roman" w:eastAsia="Times New Roman" w:hAnsi="Times New Roman" w:cs="Times New Roman"/>
          <w:iCs/>
          <w:szCs w:val="22"/>
          <w:lang w:val="sq-AL" w:eastAsia="en-GB"/>
        </w:rPr>
        <w:t>llim q</w:t>
      </w:r>
      <w:r w:rsidR="009A5A0E" w:rsidRPr="007A3AD7">
        <w:rPr>
          <w:rFonts w:ascii="Times New Roman" w:eastAsia="Times New Roman" w:hAnsi="Times New Roman" w:cs="Times New Roman"/>
          <w:iCs/>
          <w:szCs w:val="22"/>
          <w:lang w:val="sq-AL" w:eastAsia="en-GB"/>
        </w:rPr>
        <w:t>ë</w:t>
      </w:r>
      <w:r w:rsidR="003432EB" w:rsidRPr="007A3AD7">
        <w:rPr>
          <w:rFonts w:ascii="Times New Roman" w:eastAsia="Times New Roman" w:hAnsi="Times New Roman" w:cs="Times New Roman"/>
          <w:iCs/>
          <w:szCs w:val="22"/>
          <w:lang w:val="sq-AL" w:eastAsia="en-GB"/>
        </w:rPr>
        <w:t xml:space="preserve"> mbrojtja sociale t</w:t>
      </w:r>
      <w:r w:rsidR="009A5A0E" w:rsidRPr="007A3AD7">
        <w:rPr>
          <w:rFonts w:ascii="Times New Roman" w:eastAsia="Times New Roman" w:hAnsi="Times New Roman" w:cs="Times New Roman"/>
          <w:iCs/>
          <w:szCs w:val="22"/>
          <w:lang w:val="sq-AL" w:eastAsia="en-GB"/>
        </w:rPr>
        <w:t>ë</w:t>
      </w:r>
      <w:r w:rsidR="003432EB" w:rsidRPr="007A3AD7">
        <w:rPr>
          <w:rFonts w:ascii="Times New Roman" w:eastAsia="Times New Roman" w:hAnsi="Times New Roman" w:cs="Times New Roman"/>
          <w:iCs/>
          <w:szCs w:val="22"/>
          <w:lang w:val="sq-AL" w:eastAsia="en-GB"/>
        </w:rPr>
        <w:t xml:space="preserve"> jet</w:t>
      </w:r>
      <w:r w:rsidR="009A5A0E" w:rsidRPr="007A3AD7">
        <w:rPr>
          <w:rFonts w:ascii="Times New Roman" w:eastAsia="Times New Roman" w:hAnsi="Times New Roman" w:cs="Times New Roman"/>
          <w:iCs/>
          <w:szCs w:val="22"/>
          <w:lang w:val="sq-AL" w:eastAsia="en-GB"/>
        </w:rPr>
        <w:t>ë</w:t>
      </w:r>
      <w:r w:rsidR="003432EB" w:rsidRPr="007A3AD7">
        <w:rPr>
          <w:rFonts w:ascii="Times New Roman" w:eastAsia="Times New Roman" w:hAnsi="Times New Roman" w:cs="Times New Roman"/>
          <w:iCs/>
          <w:szCs w:val="22"/>
          <w:lang w:val="sq-AL" w:eastAsia="en-GB"/>
        </w:rPr>
        <w:t xml:space="preserve"> e përgjegjshme dhe adaptive, efektive dhe gjithëpërfshirëse për të menaxhuar goditjet që prekin </w:t>
      </w:r>
      <w:r w:rsidRPr="007A3AD7">
        <w:rPr>
          <w:rFonts w:ascii="Times New Roman" w:eastAsia="Times New Roman" w:hAnsi="Times New Roman" w:cs="Times New Roman"/>
          <w:iCs/>
          <w:szCs w:val="22"/>
          <w:lang w:val="sq-AL" w:eastAsia="en-GB"/>
        </w:rPr>
        <w:t>vulnerab</w:t>
      </w:r>
      <w:r w:rsidR="009A5A0E" w:rsidRPr="007A3AD7">
        <w:rPr>
          <w:rFonts w:ascii="Times New Roman" w:eastAsia="Times New Roman" w:hAnsi="Times New Roman" w:cs="Times New Roman"/>
          <w:iCs/>
          <w:szCs w:val="22"/>
          <w:lang w:val="sq-AL" w:eastAsia="en-GB"/>
        </w:rPr>
        <w:t>ë</w:t>
      </w:r>
      <w:r w:rsidRPr="007A3AD7">
        <w:rPr>
          <w:rFonts w:ascii="Times New Roman" w:eastAsia="Times New Roman" w:hAnsi="Times New Roman" w:cs="Times New Roman"/>
          <w:iCs/>
          <w:szCs w:val="22"/>
          <w:lang w:val="sq-AL" w:eastAsia="en-GB"/>
        </w:rPr>
        <w:t>l</w:t>
      </w:r>
      <w:r w:rsidR="003432EB" w:rsidRPr="007A3AD7">
        <w:rPr>
          <w:rFonts w:ascii="Times New Roman" w:eastAsia="Times New Roman" w:hAnsi="Times New Roman" w:cs="Times New Roman"/>
          <w:iCs/>
          <w:szCs w:val="22"/>
          <w:lang w:val="sq-AL" w:eastAsia="en-GB"/>
        </w:rPr>
        <w:t xml:space="preserve"> të popullsisë. Ndërhyrjet </w:t>
      </w:r>
      <w:r w:rsidRPr="007A3AD7">
        <w:rPr>
          <w:rFonts w:ascii="Times New Roman" w:eastAsia="Times New Roman" w:hAnsi="Times New Roman" w:cs="Times New Roman"/>
          <w:iCs/>
          <w:szCs w:val="22"/>
          <w:lang w:val="sq-AL" w:eastAsia="en-GB"/>
        </w:rPr>
        <w:t>do</w:t>
      </w:r>
      <w:r w:rsidR="003432EB" w:rsidRPr="007A3AD7">
        <w:rPr>
          <w:rFonts w:ascii="Times New Roman" w:eastAsia="Times New Roman" w:hAnsi="Times New Roman" w:cs="Times New Roman"/>
          <w:iCs/>
          <w:szCs w:val="22"/>
          <w:lang w:val="sq-AL" w:eastAsia="en-GB"/>
        </w:rPr>
        <w:t xml:space="preserve"> të ndihmojnë familjet dhe komunitetet që të kenë akses në burime për të ndërtuar </w:t>
      </w:r>
      <w:r w:rsidRPr="007A3AD7">
        <w:rPr>
          <w:rFonts w:ascii="Times New Roman" w:eastAsia="Times New Roman" w:hAnsi="Times New Roman" w:cs="Times New Roman"/>
          <w:iCs/>
          <w:szCs w:val="22"/>
          <w:lang w:val="sq-AL" w:eastAsia="en-GB"/>
        </w:rPr>
        <w:t>rip</w:t>
      </w:r>
      <w:r w:rsidR="009A5A0E" w:rsidRPr="007A3AD7">
        <w:rPr>
          <w:rFonts w:ascii="Times New Roman" w:eastAsia="Times New Roman" w:hAnsi="Times New Roman" w:cs="Times New Roman"/>
          <w:iCs/>
          <w:szCs w:val="22"/>
          <w:lang w:val="sq-AL" w:eastAsia="en-GB"/>
        </w:rPr>
        <w:t>ë</w:t>
      </w:r>
      <w:r w:rsidRPr="007A3AD7">
        <w:rPr>
          <w:rFonts w:ascii="Times New Roman" w:eastAsia="Times New Roman" w:hAnsi="Times New Roman" w:cs="Times New Roman"/>
          <w:iCs/>
          <w:szCs w:val="22"/>
          <w:lang w:val="sq-AL" w:eastAsia="en-GB"/>
        </w:rPr>
        <w:t>rt</w:t>
      </w:r>
      <w:r w:rsidR="009A5A0E" w:rsidRPr="007A3AD7">
        <w:rPr>
          <w:rFonts w:ascii="Times New Roman" w:eastAsia="Times New Roman" w:hAnsi="Times New Roman" w:cs="Times New Roman"/>
          <w:iCs/>
          <w:szCs w:val="22"/>
          <w:lang w:val="sq-AL" w:eastAsia="en-GB"/>
        </w:rPr>
        <w:t>ë</w:t>
      </w:r>
      <w:r w:rsidRPr="007A3AD7">
        <w:rPr>
          <w:rFonts w:ascii="Times New Roman" w:eastAsia="Times New Roman" w:hAnsi="Times New Roman" w:cs="Times New Roman"/>
          <w:iCs/>
          <w:szCs w:val="22"/>
          <w:lang w:val="sq-AL" w:eastAsia="en-GB"/>
        </w:rPr>
        <w:t>ritjen</w:t>
      </w:r>
      <w:r w:rsidR="003432EB" w:rsidRPr="007A3AD7">
        <w:rPr>
          <w:rFonts w:ascii="Times New Roman" w:eastAsia="Times New Roman" w:hAnsi="Times New Roman" w:cs="Times New Roman"/>
          <w:iCs/>
          <w:szCs w:val="22"/>
          <w:lang w:val="sq-AL" w:eastAsia="en-GB"/>
        </w:rPr>
        <w:t xml:space="preserve"> dhe për të rikuperuar mjetet e tyre të jetesës kundër fatkeqësive natyrore dhe goditjev</w:t>
      </w:r>
      <w:r w:rsidRPr="007A3AD7">
        <w:rPr>
          <w:rFonts w:ascii="Times New Roman" w:eastAsia="Times New Roman" w:hAnsi="Times New Roman" w:cs="Times New Roman"/>
          <w:iCs/>
          <w:szCs w:val="22"/>
          <w:lang w:val="sq-AL" w:eastAsia="en-GB"/>
        </w:rPr>
        <w:t>e</w:t>
      </w:r>
      <w:r w:rsidR="00053C61" w:rsidRPr="007A3AD7">
        <w:rPr>
          <w:rFonts w:ascii="Times New Roman" w:eastAsia="Times New Roman" w:hAnsi="Times New Roman" w:cs="Times New Roman"/>
          <w:iCs/>
          <w:szCs w:val="22"/>
          <w:lang w:val="sq-AL" w:eastAsia="en-GB"/>
        </w:rPr>
        <w:t>. OJF dhe sektori privat jan</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 xml:space="preserve"> partner</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 xml:space="preserve"> t</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 xml:space="preserve"> pazevend</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suesh</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m n</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 xml:space="preserve"> k</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t</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 xml:space="preserve"> p</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rpjekje, ndaj sigurimi i nj</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 xml:space="preserve"> bashk</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punimi efektiv me to</w:t>
      </w:r>
      <w:r w:rsidR="00027580" w:rsidRPr="007A3AD7">
        <w:rPr>
          <w:rFonts w:ascii="Times New Roman" w:eastAsia="Times New Roman" w:hAnsi="Times New Roman" w:cs="Times New Roman"/>
          <w:iCs/>
          <w:szCs w:val="22"/>
          <w:lang w:val="sq-AL" w:eastAsia="en-GB"/>
        </w:rPr>
        <w:t>,</w:t>
      </w:r>
      <w:r w:rsidR="00053C61" w:rsidRPr="007A3AD7">
        <w:rPr>
          <w:rFonts w:ascii="Times New Roman" w:eastAsia="Times New Roman" w:hAnsi="Times New Roman" w:cs="Times New Roman"/>
          <w:iCs/>
          <w:szCs w:val="22"/>
          <w:lang w:val="sq-AL" w:eastAsia="en-GB"/>
        </w:rPr>
        <w:t xml:space="preserve"> qysh n</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 xml:space="preserve"> fazat planifikuese dhe m</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 xml:space="preserve"> tej si faktor</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 xml:space="preserve"> kontribues n</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 xml:space="preserve"> skenar</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t e p</w:t>
      </w:r>
      <w:r w:rsidR="009A5A0E" w:rsidRPr="007A3AD7">
        <w:rPr>
          <w:rFonts w:ascii="Times New Roman" w:eastAsia="Times New Roman" w:hAnsi="Times New Roman" w:cs="Times New Roman"/>
          <w:iCs/>
          <w:szCs w:val="22"/>
          <w:lang w:val="sq-AL" w:eastAsia="en-GB"/>
        </w:rPr>
        <w:t>ë</w:t>
      </w:r>
      <w:r w:rsidR="00053C61" w:rsidRPr="007A3AD7">
        <w:rPr>
          <w:rFonts w:ascii="Times New Roman" w:eastAsia="Times New Roman" w:hAnsi="Times New Roman" w:cs="Times New Roman"/>
          <w:iCs/>
          <w:szCs w:val="22"/>
          <w:lang w:val="sq-AL" w:eastAsia="en-GB"/>
        </w:rPr>
        <w:t>rgjigjes ndaj emergjencave</w:t>
      </w:r>
      <w:r w:rsidR="00027580" w:rsidRPr="007A3AD7">
        <w:rPr>
          <w:rFonts w:ascii="Times New Roman" w:eastAsia="Times New Roman" w:hAnsi="Times New Roman" w:cs="Times New Roman"/>
          <w:iCs/>
          <w:szCs w:val="22"/>
          <w:lang w:val="sq-AL" w:eastAsia="en-GB"/>
        </w:rPr>
        <w:t>,</w:t>
      </w:r>
      <w:r w:rsidR="00053C61" w:rsidRPr="007A3AD7">
        <w:rPr>
          <w:rFonts w:ascii="Times New Roman" w:eastAsia="Times New Roman" w:hAnsi="Times New Roman" w:cs="Times New Roman"/>
          <w:iCs/>
          <w:szCs w:val="22"/>
          <w:lang w:val="sq-AL" w:eastAsia="en-GB"/>
        </w:rPr>
        <w:t xml:space="preserve"> </w:t>
      </w:r>
      <w:r w:rsidR="009A5A0E" w:rsidRPr="007A3AD7">
        <w:rPr>
          <w:rFonts w:ascii="Times New Roman" w:eastAsia="Times New Roman" w:hAnsi="Times New Roman" w:cs="Times New Roman"/>
          <w:iCs/>
          <w:szCs w:val="22"/>
          <w:lang w:val="sq-AL" w:eastAsia="en-GB"/>
        </w:rPr>
        <w:t>ë</w:t>
      </w:r>
      <w:r w:rsidR="00707C5B" w:rsidRPr="007A3AD7">
        <w:rPr>
          <w:rFonts w:ascii="Times New Roman" w:eastAsia="Times New Roman" w:hAnsi="Times New Roman" w:cs="Times New Roman"/>
          <w:iCs/>
          <w:szCs w:val="22"/>
          <w:lang w:val="sq-AL" w:eastAsia="en-GB"/>
        </w:rPr>
        <w:t>sht</w:t>
      </w:r>
      <w:r w:rsidR="009A5A0E" w:rsidRPr="007A3AD7">
        <w:rPr>
          <w:rFonts w:ascii="Times New Roman" w:eastAsia="Times New Roman" w:hAnsi="Times New Roman" w:cs="Times New Roman"/>
          <w:iCs/>
          <w:szCs w:val="22"/>
          <w:lang w:val="sq-AL" w:eastAsia="en-GB"/>
        </w:rPr>
        <w:t>ë</w:t>
      </w:r>
      <w:r w:rsidR="00707C5B" w:rsidRPr="007A3AD7">
        <w:rPr>
          <w:rFonts w:ascii="Times New Roman" w:eastAsia="Times New Roman" w:hAnsi="Times New Roman" w:cs="Times New Roman"/>
          <w:iCs/>
          <w:szCs w:val="22"/>
          <w:lang w:val="sq-AL" w:eastAsia="en-GB"/>
        </w:rPr>
        <w:t xml:space="preserve"> domosdoshm</w:t>
      </w:r>
      <w:r w:rsidR="009A5A0E" w:rsidRPr="007A3AD7">
        <w:rPr>
          <w:rFonts w:ascii="Times New Roman" w:eastAsia="Times New Roman" w:hAnsi="Times New Roman" w:cs="Times New Roman"/>
          <w:iCs/>
          <w:szCs w:val="22"/>
          <w:lang w:val="sq-AL" w:eastAsia="en-GB"/>
        </w:rPr>
        <w:t>ë</w:t>
      </w:r>
      <w:r w:rsidR="00707C5B" w:rsidRPr="007A3AD7">
        <w:rPr>
          <w:rFonts w:ascii="Times New Roman" w:eastAsia="Times New Roman" w:hAnsi="Times New Roman" w:cs="Times New Roman"/>
          <w:iCs/>
          <w:szCs w:val="22"/>
          <w:lang w:val="sq-AL" w:eastAsia="en-GB"/>
        </w:rPr>
        <w:t>ri</w:t>
      </w:r>
      <w:r w:rsidR="00053C61" w:rsidRPr="007A3AD7">
        <w:rPr>
          <w:rFonts w:ascii="Times New Roman" w:eastAsia="Times New Roman" w:hAnsi="Times New Roman" w:cs="Times New Roman"/>
          <w:iCs/>
          <w:szCs w:val="22"/>
          <w:lang w:val="sq-AL" w:eastAsia="en-GB"/>
        </w:rPr>
        <w:t>.</w:t>
      </w:r>
    </w:p>
    <w:p w14:paraId="4A4989FB" w14:textId="77777777" w:rsidR="003432EB" w:rsidRPr="007A3AD7" w:rsidRDefault="003432EB" w:rsidP="003432EB">
      <w:pPr>
        <w:rPr>
          <w:rFonts w:ascii="Times New Roman" w:hAnsi="Times New Roman" w:cs="Times New Roman"/>
          <w:szCs w:val="22"/>
          <w:lang w:val="sq-AL"/>
        </w:rPr>
      </w:pPr>
    </w:p>
    <w:p w14:paraId="5008372D" w14:textId="67C2A471" w:rsidR="003432EB" w:rsidRPr="00F37FFE" w:rsidRDefault="003432EB" w:rsidP="00F37FFE">
      <w:pPr>
        <w:pStyle w:val="Normal0"/>
        <w:rPr>
          <w:color w:val="4472C4" w:themeColor="accent1"/>
          <w:lang w:val="sq-AL"/>
        </w:rPr>
      </w:pPr>
      <w:r w:rsidRPr="00F37FFE">
        <w:rPr>
          <w:color w:val="4472C4" w:themeColor="accent1"/>
          <w:lang w:val="sq-AL"/>
        </w:rPr>
        <w:t>Përmirësimi i performancës dhe transparencës së skemës së vlerësimit të aftësisë së kufizuar me qëllim adresimin efektiv dhe të përgjegjshëm gjinor të nevojave individuale të tyre</w:t>
      </w:r>
      <w:r w:rsidR="000454EB" w:rsidRPr="00F37FFE">
        <w:rPr>
          <w:color w:val="4472C4" w:themeColor="accent1"/>
          <w:lang w:val="sq-AL"/>
        </w:rPr>
        <w:t xml:space="preserve"> dhe  reagimit ndaj situatave t</w:t>
      </w:r>
      <w:r w:rsidR="00E9006B" w:rsidRPr="00F37FFE">
        <w:rPr>
          <w:color w:val="4472C4" w:themeColor="accent1"/>
          <w:lang w:val="sq-AL"/>
        </w:rPr>
        <w:t>ë</w:t>
      </w:r>
      <w:r w:rsidR="000454EB" w:rsidRPr="00F37FFE">
        <w:rPr>
          <w:color w:val="4472C4" w:themeColor="accent1"/>
          <w:lang w:val="sq-AL"/>
        </w:rPr>
        <w:t xml:space="preserve"> krizave dhe emergjencave</w:t>
      </w:r>
      <w:r w:rsidR="0062322E" w:rsidRPr="00F37FFE">
        <w:rPr>
          <w:color w:val="4472C4" w:themeColor="accent1"/>
          <w:lang w:val="sq-AL"/>
        </w:rPr>
        <w:t>.</w:t>
      </w:r>
    </w:p>
    <w:p w14:paraId="440D1278" w14:textId="77777777" w:rsidR="009F6F5B" w:rsidRPr="007A3AD7" w:rsidRDefault="009F6F5B" w:rsidP="00387DA1">
      <w:pPr>
        <w:rPr>
          <w:rFonts w:ascii="Times New Roman" w:hAnsi="Times New Roman" w:cs="Times New Roman"/>
          <w:szCs w:val="22"/>
          <w:lang w:val="sq-AL"/>
        </w:rPr>
      </w:pPr>
    </w:p>
    <w:p w14:paraId="2CDE95A7" w14:textId="44C912F1" w:rsidR="00387DA1" w:rsidRPr="007A3AD7" w:rsidRDefault="006D06CF" w:rsidP="00387DA1">
      <w:pPr>
        <w:rPr>
          <w:rFonts w:ascii="Times New Roman" w:hAnsi="Times New Roman" w:cs="Times New Roman"/>
          <w:szCs w:val="22"/>
        </w:rPr>
      </w:pPr>
      <w:r w:rsidRPr="007A3AD7">
        <w:rPr>
          <w:rFonts w:ascii="Times New Roman" w:hAnsi="Times New Roman" w:cs="Times New Roman"/>
          <w:szCs w:val="22"/>
          <w:lang w:val="sq-AL"/>
        </w:rPr>
        <w:t xml:space="preserve">Reforma e vlerësimit të aftësisë së kufizuar u shoqërua me shkallëzim të përfitimeve, sipas nivelit të aftësisë së kufizuar, megjithatë ndryshimet në pagesa, por edhe niveli mesatar i pagesës së aftësisë së kufizuar nuk </w:t>
      </w:r>
      <w:r w:rsidR="007072E2" w:rsidRPr="007A3AD7">
        <w:rPr>
          <w:rFonts w:ascii="Times New Roman" w:hAnsi="Times New Roman" w:cs="Times New Roman"/>
          <w:szCs w:val="22"/>
          <w:lang w:val="sq-AL"/>
        </w:rPr>
        <w:t>jan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përcaktua</w:t>
      </w:r>
      <w:r w:rsidR="007072E2" w:rsidRPr="007A3AD7">
        <w:rPr>
          <w:rFonts w:ascii="Times New Roman" w:hAnsi="Times New Roman" w:cs="Times New Roman"/>
          <w:szCs w:val="22"/>
          <w:lang w:val="sq-AL"/>
        </w:rPr>
        <w:t>r</w:t>
      </w:r>
      <w:r w:rsidRPr="007A3AD7">
        <w:rPr>
          <w:rFonts w:ascii="Times New Roman" w:hAnsi="Times New Roman" w:cs="Times New Roman"/>
          <w:szCs w:val="22"/>
          <w:lang w:val="sq-AL"/>
        </w:rPr>
        <w:t xml:space="preserve"> bazuar në analizën e kostove të shtuara, të shkaktuara nga aftësia e kufizuar. </w:t>
      </w:r>
    </w:p>
    <w:p w14:paraId="2EB916CD" w14:textId="2990C24D" w:rsidR="006D06CF" w:rsidRPr="007A3AD7" w:rsidRDefault="006D06CF" w:rsidP="003432EB">
      <w:pPr>
        <w:rPr>
          <w:rFonts w:ascii="Times New Roman" w:hAnsi="Times New Roman" w:cs="Times New Roman"/>
          <w:szCs w:val="22"/>
          <w:lang w:val="sq-AL"/>
        </w:rPr>
      </w:pPr>
      <w:r w:rsidRPr="007A3AD7">
        <w:rPr>
          <w:rFonts w:ascii="Times New Roman" w:hAnsi="Times New Roman" w:cs="Times New Roman"/>
          <w:szCs w:val="22"/>
          <w:lang w:val="sq-AL"/>
        </w:rPr>
        <w:t xml:space="preserve">Pagesa e aftësisë së kufizuar </w:t>
      </w:r>
      <w:r w:rsidR="009A5A0E" w:rsidRPr="007A3AD7">
        <w:rPr>
          <w:rFonts w:ascii="Times New Roman" w:hAnsi="Times New Roman" w:cs="Times New Roman"/>
          <w:szCs w:val="22"/>
          <w:lang w:val="sq-AL"/>
        </w:rPr>
        <w:t>ë</w:t>
      </w:r>
      <w:r w:rsidR="007072E2" w:rsidRPr="007A3AD7">
        <w:rPr>
          <w:rFonts w:ascii="Times New Roman" w:hAnsi="Times New Roman" w:cs="Times New Roman"/>
          <w:szCs w:val="22"/>
          <w:lang w:val="sq-AL"/>
        </w:rPr>
        <w:t>sht</w:t>
      </w:r>
      <w:r w:rsidR="009A5A0E" w:rsidRPr="007A3AD7">
        <w:rPr>
          <w:rFonts w:ascii="Times New Roman" w:hAnsi="Times New Roman" w:cs="Times New Roman"/>
          <w:szCs w:val="22"/>
          <w:lang w:val="sq-AL"/>
        </w:rPr>
        <w:t>ë</w:t>
      </w:r>
      <w:r w:rsidR="007072E2" w:rsidRPr="007A3AD7">
        <w:rPr>
          <w:rFonts w:ascii="Times New Roman" w:hAnsi="Times New Roman" w:cs="Times New Roman"/>
          <w:szCs w:val="22"/>
          <w:lang w:val="sq-AL"/>
        </w:rPr>
        <w:t xml:space="preserve"> rekomanduar</w:t>
      </w:r>
      <w:r w:rsidRPr="007A3AD7">
        <w:rPr>
          <w:rFonts w:ascii="Times New Roman" w:hAnsi="Times New Roman" w:cs="Times New Roman"/>
          <w:szCs w:val="22"/>
          <w:lang w:val="sq-AL"/>
        </w:rPr>
        <w:t xml:space="preserve"> të jetë në nivele të mjaftueshme</w:t>
      </w:r>
      <w:r w:rsidR="00387DA1" w:rsidRPr="007A3AD7">
        <w:rPr>
          <w:rFonts w:ascii="Times New Roman" w:hAnsi="Times New Roman" w:cs="Times New Roman"/>
          <w:szCs w:val="22"/>
          <w:lang w:val="sq-AL"/>
        </w:rPr>
        <w:t xml:space="preserve"> dhe nevojitet nj</w:t>
      </w:r>
      <w:r w:rsidR="009A5A0E" w:rsidRPr="007A3AD7">
        <w:rPr>
          <w:rFonts w:ascii="Times New Roman" w:hAnsi="Times New Roman" w:cs="Times New Roman"/>
          <w:szCs w:val="22"/>
          <w:lang w:val="sq-AL"/>
        </w:rPr>
        <w:t>ë</w:t>
      </w:r>
      <w:r w:rsidR="00387DA1" w:rsidRPr="007A3AD7">
        <w:rPr>
          <w:rFonts w:ascii="Times New Roman" w:hAnsi="Times New Roman" w:cs="Times New Roman"/>
          <w:szCs w:val="22"/>
          <w:lang w:val="sq-AL"/>
        </w:rPr>
        <w:t xml:space="preserve"> mekaniz</w:t>
      </w:r>
      <w:r w:rsidR="009A5A0E" w:rsidRPr="007A3AD7">
        <w:rPr>
          <w:rFonts w:ascii="Times New Roman" w:hAnsi="Times New Roman" w:cs="Times New Roman"/>
          <w:szCs w:val="22"/>
          <w:lang w:val="sq-AL"/>
        </w:rPr>
        <w:t>ë</w:t>
      </w:r>
      <w:r w:rsidR="00387DA1" w:rsidRPr="007A3AD7">
        <w:rPr>
          <w:rFonts w:ascii="Times New Roman" w:hAnsi="Times New Roman" w:cs="Times New Roman"/>
          <w:szCs w:val="22"/>
          <w:lang w:val="sq-AL"/>
        </w:rPr>
        <w:t>m rishikues</w:t>
      </w:r>
      <w:r w:rsidR="007072E2" w:rsidRPr="007A3AD7">
        <w:rPr>
          <w:rFonts w:ascii="Times New Roman" w:hAnsi="Times New Roman" w:cs="Times New Roman"/>
          <w:szCs w:val="22"/>
          <w:lang w:val="sq-AL"/>
        </w:rPr>
        <w:t>/indeksues periodik</w:t>
      </w:r>
      <w:r w:rsidR="00387DA1" w:rsidRPr="007A3AD7">
        <w:rPr>
          <w:rFonts w:ascii="Times New Roman" w:hAnsi="Times New Roman" w:cs="Times New Roman"/>
          <w:szCs w:val="22"/>
          <w:lang w:val="sq-AL"/>
        </w:rPr>
        <w:t xml:space="preserve"> </w:t>
      </w:r>
      <w:r w:rsidR="007072E2" w:rsidRPr="007A3AD7">
        <w:rPr>
          <w:rFonts w:ascii="Times New Roman" w:hAnsi="Times New Roman" w:cs="Times New Roman"/>
          <w:szCs w:val="22"/>
          <w:lang w:val="sq-AL"/>
        </w:rPr>
        <w:t>p</w:t>
      </w:r>
      <w:r w:rsidR="009A5A0E" w:rsidRPr="007A3AD7">
        <w:rPr>
          <w:rFonts w:ascii="Times New Roman" w:hAnsi="Times New Roman" w:cs="Times New Roman"/>
          <w:szCs w:val="22"/>
          <w:lang w:val="sq-AL"/>
        </w:rPr>
        <w:t>ë</w:t>
      </w:r>
      <w:r w:rsidR="007072E2" w:rsidRPr="007A3AD7">
        <w:rPr>
          <w:rFonts w:ascii="Times New Roman" w:hAnsi="Times New Roman" w:cs="Times New Roman"/>
          <w:szCs w:val="22"/>
          <w:lang w:val="sq-AL"/>
        </w:rPr>
        <w:t>r t</w:t>
      </w:r>
      <w:r w:rsidR="009A5A0E" w:rsidRPr="007A3AD7">
        <w:rPr>
          <w:rFonts w:ascii="Times New Roman" w:hAnsi="Times New Roman" w:cs="Times New Roman"/>
          <w:szCs w:val="22"/>
          <w:lang w:val="sq-AL"/>
        </w:rPr>
        <w:t>ë</w:t>
      </w:r>
      <w:r w:rsidR="000E6EE8" w:rsidRPr="007A3AD7">
        <w:rPr>
          <w:rFonts w:ascii="Times New Roman" w:hAnsi="Times New Roman" w:cs="Times New Roman"/>
          <w:szCs w:val="22"/>
          <w:lang w:val="sq-AL"/>
        </w:rPr>
        <w:t xml:space="preserve"> i aft</w:t>
      </w:r>
      <w:r w:rsidR="00E9006B">
        <w:rPr>
          <w:rFonts w:ascii="Times New Roman" w:hAnsi="Times New Roman" w:cs="Times New Roman"/>
          <w:szCs w:val="22"/>
          <w:lang w:val="sq-AL"/>
        </w:rPr>
        <w:t>ë</w:t>
      </w:r>
      <w:r w:rsidR="000E6EE8" w:rsidRPr="007A3AD7">
        <w:rPr>
          <w:rFonts w:ascii="Times New Roman" w:hAnsi="Times New Roman" w:cs="Times New Roman"/>
          <w:szCs w:val="22"/>
          <w:lang w:val="sq-AL"/>
        </w:rPr>
        <w:t xml:space="preserve"> p</w:t>
      </w:r>
      <w:r w:rsidR="00E9006B">
        <w:rPr>
          <w:rFonts w:ascii="Times New Roman" w:hAnsi="Times New Roman" w:cs="Times New Roman"/>
          <w:szCs w:val="22"/>
          <w:lang w:val="sq-AL"/>
        </w:rPr>
        <w:t>ë</w:t>
      </w:r>
      <w:r w:rsidR="000E6EE8" w:rsidRPr="007A3AD7">
        <w:rPr>
          <w:rFonts w:ascii="Times New Roman" w:hAnsi="Times New Roman" w:cs="Times New Roman"/>
          <w:szCs w:val="22"/>
          <w:lang w:val="sq-AL"/>
        </w:rPr>
        <w:t>r t’iu p</w:t>
      </w:r>
      <w:r w:rsidR="00E9006B">
        <w:rPr>
          <w:rFonts w:ascii="Times New Roman" w:hAnsi="Times New Roman" w:cs="Times New Roman"/>
          <w:szCs w:val="22"/>
          <w:lang w:val="sq-AL"/>
        </w:rPr>
        <w:t>ë</w:t>
      </w:r>
      <w:r w:rsidR="000E6EE8" w:rsidRPr="007A3AD7">
        <w:rPr>
          <w:rFonts w:ascii="Times New Roman" w:hAnsi="Times New Roman" w:cs="Times New Roman"/>
          <w:szCs w:val="22"/>
          <w:lang w:val="sq-AL"/>
        </w:rPr>
        <w:t>rgjigjur situatave t</w:t>
      </w:r>
      <w:r w:rsidR="00E9006B">
        <w:rPr>
          <w:rFonts w:ascii="Times New Roman" w:hAnsi="Times New Roman" w:cs="Times New Roman"/>
          <w:szCs w:val="22"/>
          <w:lang w:val="sq-AL"/>
        </w:rPr>
        <w:t>ë</w:t>
      </w:r>
      <w:r w:rsidR="000E6EE8" w:rsidRPr="007A3AD7">
        <w:rPr>
          <w:rFonts w:ascii="Times New Roman" w:hAnsi="Times New Roman" w:cs="Times New Roman"/>
          <w:szCs w:val="22"/>
          <w:lang w:val="sq-AL"/>
        </w:rPr>
        <w:t xml:space="preserve"> krizave dhe emergjencave n</w:t>
      </w:r>
      <w:r w:rsidR="00E9006B">
        <w:rPr>
          <w:rFonts w:ascii="Times New Roman" w:hAnsi="Times New Roman" w:cs="Times New Roman"/>
          <w:szCs w:val="22"/>
          <w:lang w:val="sq-AL"/>
        </w:rPr>
        <w:t>ë</w:t>
      </w:r>
      <w:r w:rsidR="000E6EE8" w:rsidRPr="007A3AD7">
        <w:rPr>
          <w:rFonts w:ascii="Times New Roman" w:hAnsi="Times New Roman" w:cs="Times New Roman"/>
          <w:szCs w:val="22"/>
          <w:lang w:val="sq-AL"/>
        </w:rPr>
        <w:t xml:space="preserve"> p</w:t>
      </w:r>
      <w:r w:rsidR="00E9006B">
        <w:rPr>
          <w:rFonts w:ascii="Times New Roman" w:hAnsi="Times New Roman" w:cs="Times New Roman"/>
          <w:szCs w:val="22"/>
          <w:lang w:val="sq-AL"/>
        </w:rPr>
        <w:t>ë</w:t>
      </w:r>
      <w:r w:rsidR="000E6EE8" w:rsidRPr="007A3AD7">
        <w:rPr>
          <w:rFonts w:ascii="Times New Roman" w:hAnsi="Times New Roman" w:cs="Times New Roman"/>
          <w:szCs w:val="22"/>
          <w:lang w:val="sq-AL"/>
        </w:rPr>
        <w:t>rshtatje me nevojat e posaçme t</w:t>
      </w:r>
      <w:r w:rsidR="00E9006B">
        <w:rPr>
          <w:rFonts w:ascii="Times New Roman" w:hAnsi="Times New Roman" w:cs="Times New Roman"/>
          <w:szCs w:val="22"/>
          <w:lang w:val="sq-AL"/>
        </w:rPr>
        <w:t>ë</w:t>
      </w:r>
      <w:r w:rsidR="000E6EE8" w:rsidRPr="007A3AD7">
        <w:rPr>
          <w:rFonts w:ascii="Times New Roman" w:hAnsi="Times New Roman" w:cs="Times New Roman"/>
          <w:szCs w:val="22"/>
          <w:lang w:val="sq-AL"/>
        </w:rPr>
        <w:t xml:space="preserve"> individ</w:t>
      </w:r>
      <w:r w:rsidR="00E9006B">
        <w:rPr>
          <w:rFonts w:ascii="Times New Roman" w:hAnsi="Times New Roman" w:cs="Times New Roman"/>
          <w:szCs w:val="22"/>
          <w:lang w:val="sq-AL"/>
        </w:rPr>
        <w:t>ë</w:t>
      </w:r>
      <w:r w:rsidR="000E6EE8" w:rsidRPr="007A3AD7">
        <w:rPr>
          <w:rFonts w:ascii="Times New Roman" w:hAnsi="Times New Roman" w:cs="Times New Roman"/>
          <w:szCs w:val="22"/>
          <w:lang w:val="sq-AL"/>
        </w:rPr>
        <w:t>ve</w:t>
      </w:r>
      <w:r w:rsidR="00387DA1" w:rsidRPr="007A3AD7">
        <w:rPr>
          <w:rFonts w:ascii="Times New Roman" w:hAnsi="Times New Roman" w:cs="Times New Roman"/>
          <w:szCs w:val="22"/>
          <w:lang w:val="sq-AL"/>
        </w:rPr>
        <w:t xml:space="preserve">. </w:t>
      </w:r>
      <w:r w:rsidRPr="007A3AD7">
        <w:rPr>
          <w:rFonts w:ascii="Times New Roman" w:hAnsi="Times New Roman" w:cs="Times New Roman"/>
          <w:szCs w:val="22"/>
          <w:lang w:val="sq-AL"/>
        </w:rPr>
        <w:t>Ka një trajtim jo të barabartë të pagesave të sigurimeve shoqërore për ndihmësit personal në skema të ndryshme (vetëm ndihmësve personal të personave që përfitojnë nga statusi i para e tetraplegjisë u njihet pagesa e sigurimeve shoqërore).</w:t>
      </w:r>
    </w:p>
    <w:p w14:paraId="2DBAC817" w14:textId="3098C346" w:rsidR="00AC1DAE" w:rsidRDefault="00AC1DAE" w:rsidP="003432EB">
      <w:pPr>
        <w:rPr>
          <w:rFonts w:ascii="Times New Roman" w:hAnsi="Times New Roman" w:cs="Times New Roman"/>
          <w:szCs w:val="22"/>
          <w:lang w:val="pt-BR"/>
        </w:rPr>
      </w:pPr>
      <w:proofErr w:type="spellStart"/>
      <w:r w:rsidRPr="007A3AD7">
        <w:rPr>
          <w:rFonts w:ascii="Times New Roman" w:hAnsi="Times New Roman" w:cs="Times New Roman"/>
          <w:szCs w:val="22"/>
        </w:rPr>
        <w:t>Nuk</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ka</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një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raport</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kombëtar</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që</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hedhë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dritë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mbi</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nivelin</w:t>
      </w:r>
      <w:proofErr w:type="spellEnd"/>
      <w:r w:rsidRPr="007A3AD7">
        <w:rPr>
          <w:rFonts w:ascii="Times New Roman" w:hAnsi="Times New Roman" w:cs="Times New Roman"/>
          <w:szCs w:val="22"/>
        </w:rPr>
        <w:t xml:space="preserve"> e </w:t>
      </w:r>
      <w:proofErr w:type="spellStart"/>
      <w:r w:rsidRPr="007A3AD7">
        <w:rPr>
          <w:rFonts w:ascii="Times New Roman" w:hAnsi="Times New Roman" w:cs="Times New Roman"/>
          <w:szCs w:val="22"/>
        </w:rPr>
        <w:t>varfërisë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mes</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personave</w:t>
      </w:r>
      <w:proofErr w:type="spellEnd"/>
      <w:r w:rsidRPr="007A3AD7">
        <w:rPr>
          <w:rFonts w:ascii="Times New Roman" w:hAnsi="Times New Roman" w:cs="Times New Roman"/>
          <w:szCs w:val="22"/>
        </w:rPr>
        <w:t xml:space="preserve"> me </w:t>
      </w:r>
      <w:proofErr w:type="spellStart"/>
      <w:r w:rsidRPr="007A3AD7">
        <w:rPr>
          <w:rFonts w:ascii="Times New Roman" w:hAnsi="Times New Roman" w:cs="Times New Roman"/>
          <w:szCs w:val="22"/>
        </w:rPr>
        <w:t>aftësi</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kufizuara</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kategorive</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ndryshme</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por</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edhe</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atë</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familjeve</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që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kanë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në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përbërje</w:t>
      </w:r>
      <w:proofErr w:type="spellEnd"/>
      <w:r w:rsidRPr="007A3AD7">
        <w:rPr>
          <w:rFonts w:ascii="Times New Roman" w:hAnsi="Times New Roman" w:cs="Times New Roman"/>
          <w:szCs w:val="22"/>
        </w:rPr>
        <w:t xml:space="preserve"> me persona me </w:t>
      </w:r>
      <w:proofErr w:type="spellStart"/>
      <w:r w:rsidRPr="007A3AD7">
        <w:rPr>
          <w:rFonts w:ascii="Times New Roman" w:hAnsi="Times New Roman" w:cs="Times New Roman"/>
          <w:szCs w:val="22"/>
        </w:rPr>
        <w:t>aftësi</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kufizuara</w:t>
      </w:r>
      <w:proofErr w:type="spellEnd"/>
      <w:r w:rsidRPr="007A3AD7">
        <w:rPr>
          <w:rFonts w:ascii="Times New Roman" w:hAnsi="Times New Roman" w:cs="Times New Roman"/>
          <w:szCs w:val="22"/>
        </w:rPr>
        <w:t xml:space="preserve">. </w:t>
      </w:r>
      <w:r w:rsidRPr="007A3AD7">
        <w:rPr>
          <w:rFonts w:ascii="Times New Roman" w:hAnsi="Times New Roman" w:cs="Times New Roman"/>
          <w:szCs w:val="22"/>
          <w:lang w:val="pt-BR"/>
        </w:rPr>
        <w:t xml:space="preserve">SILC mat nivelin e jeteses, varfërinë relative dhe privimin material në familjet shqiptare, por anketa nuk ka indikatorë për të matur nivelin e varfërisë tek personat me aftësi të kufizuara </w:t>
      </w:r>
      <w:r w:rsidR="005D74DA" w:rsidRPr="007A3AD7">
        <w:rPr>
          <w:rFonts w:ascii="Times New Roman" w:hAnsi="Times New Roman" w:cs="Times New Roman"/>
          <w:szCs w:val="22"/>
          <w:lang w:val="pt-BR"/>
        </w:rPr>
        <w:t>dh</w:t>
      </w:r>
      <w:r w:rsidRPr="007A3AD7">
        <w:rPr>
          <w:rFonts w:ascii="Times New Roman" w:hAnsi="Times New Roman" w:cs="Times New Roman"/>
          <w:szCs w:val="22"/>
          <w:lang w:val="pt-BR"/>
        </w:rPr>
        <w:t>e familjet e tyre.</w:t>
      </w:r>
    </w:p>
    <w:p w14:paraId="6F8825F3" w14:textId="77777777" w:rsidR="00EC5DA2" w:rsidRPr="007A3AD7" w:rsidRDefault="00EC5DA2" w:rsidP="003432EB">
      <w:pPr>
        <w:rPr>
          <w:rFonts w:ascii="Times New Roman" w:hAnsi="Times New Roman" w:cs="Times New Roman"/>
          <w:szCs w:val="22"/>
          <w:lang w:val="pt-BR"/>
        </w:rPr>
      </w:pPr>
    </w:p>
    <w:p w14:paraId="2D43914E" w14:textId="2D40E291" w:rsidR="00E26288" w:rsidRDefault="00E26288" w:rsidP="00E26288">
      <w:pPr>
        <w:rPr>
          <w:rFonts w:ascii="Times New Roman" w:hAnsi="Times New Roman" w:cs="Times New Roman"/>
          <w:color w:val="242424"/>
          <w:szCs w:val="22"/>
          <w:bdr w:val="none" w:sz="0" w:space="0" w:color="auto" w:frame="1"/>
          <w:lang w:val="fr-FR"/>
        </w:rPr>
      </w:pPr>
      <w:proofErr w:type="spellStart"/>
      <w:r w:rsidRPr="007A3AD7">
        <w:rPr>
          <w:rFonts w:ascii="Times New Roman" w:hAnsi="Times New Roman" w:cs="Times New Roman"/>
          <w:color w:val="242424"/>
          <w:szCs w:val="22"/>
          <w:bdr w:val="none" w:sz="0" w:space="0" w:color="auto" w:frame="1"/>
          <w:lang w:val="fr-FR"/>
        </w:rPr>
        <w:t>Shqipëria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ka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një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kuadër</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plotë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ligjor</w:t>
      </w:r>
      <w:proofErr w:type="spellEnd"/>
      <w:r w:rsidRPr="007A3AD7">
        <w:rPr>
          <w:rFonts w:ascii="Times New Roman" w:hAnsi="Times New Roman" w:cs="Times New Roman"/>
          <w:color w:val="242424"/>
          <w:szCs w:val="22"/>
          <w:bdr w:val="none" w:sz="0" w:space="0" w:color="auto" w:frame="1"/>
          <w:lang w:val="fr-FR"/>
        </w:rPr>
        <w:t xml:space="preserve"> dhe </w:t>
      </w:r>
      <w:proofErr w:type="spellStart"/>
      <w:r w:rsidRPr="007A3AD7">
        <w:rPr>
          <w:rFonts w:ascii="Times New Roman" w:hAnsi="Times New Roman" w:cs="Times New Roman"/>
          <w:color w:val="242424"/>
          <w:szCs w:val="22"/>
          <w:bdr w:val="none" w:sz="0" w:space="0" w:color="auto" w:frame="1"/>
          <w:lang w:val="fr-FR"/>
        </w:rPr>
        <w:t>politik</w:t>
      </w:r>
      <w:proofErr w:type="spellEnd"/>
      <w:r w:rsidRPr="007A3AD7">
        <w:rPr>
          <w:rFonts w:ascii="Times New Roman" w:hAnsi="Times New Roman" w:cs="Times New Roman"/>
          <w:color w:val="242424"/>
          <w:szCs w:val="22"/>
          <w:bdr w:val="none" w:sz="0" w:space="0" w:color="auto" w:frame="1"/>
          <w:vertAlign w:val="superscript"/>
          <w:lang w:val="fr-FR"/>
        </w:rPr>
        <w:footnoteReference w:id="171"/>
      </w:r>
      <w:r w:rsidRPr="007A3AD7">
        <w:rPr>
          <w:rFonts w:ascii="Times New Roman" w:hAnsi="Times New Roman" w:cs="Times New Roman"/>
          <w:color w:val="242424"/>
          <w:szCs w:val="22"/>
          <w:bdr w:val="none" w:sz="0" w:space="0" w:color="auto" w:frame="1"/>
          <w:vertAlign w:val="superscript"/>
          <w:lang w:val="fr-FR"/>
        </w:rPr>
        <w:t xml:space="preserve"> </w:t>
      </w:r>
      <w:r w:rsidRPr="007A3AD7">
        <w:rPr>
          <w:rFonts w:ascii="Times New Roman" w:hAnsi="Times New Roman" w:cs="Times New Roman"/>
          <w:color w:val="242424"/>
          <w:szCs w:val="22"/>
          <w:bdr w:val="none" w:sz="0" w:space="0" w:color="auto" w:frame="1"/>
          <w:lang w:val="fr-FR"/>
        </w:rPr>
        <w:t xml:space="preserve">të </w:t>
      </w:r>
      <w:proofErr w:type="spellStart"/>
      <w:r w:rsidRPr="007A3AD7">
        <w:rPr>
          <w:rFonts w:ascii="Times New Roman" w:hAnsi="Times New Roman" w:cs="Times New Roman"/>
          <w:color w:val="242424"/>
          <w:szCs w:val="22"/>
          <w:bdr w:val="none" w:sz="0" w:space="0" w:color="auto" w:frame="1"/>
          <w:lang w:val="fr-FR"/>
        </w:rPr>
        <w:t>orientuar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drejt</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sigurimit</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aksesueshmërisë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për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personat</w:t>
      </w:r>
      <w:proofErr w:type="spellEnd"/>
      <w:r w:rsidRPr="007A3AD7">
        <w:rPr>
          <w:rFonts w:ascii="Times New Roman" w:hAnsi="Times New Roman" w:cs="Times New Roman"/>
          <w:color w:val="242424"/>
          <w:szCs w:val="22"/>
          <w:bdr w:val="none" w:sz="0" w:space="0" w:color="auto" w:frame="1"/>
          <w:lang w:val="fr-FR"/>
        </w:rPr>
        <w:t xml:space="preserve"> me </w:t>
      </w:r>
      <w:proofErr w:type="spellStart"/>
      <w:r w:rsidRPr="007A3AD7">
        <w:rPr>
          <w:rFonts w:ascii="Times New Roman" w:hAnsi="Times New Roman" w:cs="Times New Roman"/>
          <w:color w:val="242424"/>
          <w:szCs w:val="22"/>
          <w:bdr w:val="none" w:sz="0" w:space="0" w:color="auto" w:frame="1"/>
          <w:lang w:val="fr-FR"/>
        </w:rPr>
        <w:t>aftësi</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kufizuara</w:t>
      </w:r>
      <w:proofErr w:type="spellEnd"/>
      <w:r w:rsidRPr="007A3AD7">
        <w:rPr>
          <w:rFonts w:ascii="Times New Roman" w:hAnsi="Times New Roman" w:cs="Times New Roman"/>
          <w:color w:val="242424"/>
          <w:szCs w:val="22"/>
          <w:bdr w:val="none" w:sz="0" w:space="0" w:color="auto" w:frame="1"/>
          <w:lang w:val="fr-FR"/>
        </w:rPr>
        <w:t xml:space="preserve"> , </w:t>
      </w:r>
      <w:proofErr w:type="spellStart"/>
      <w:r w:rsidRPr="007A3AD7">
        <w:rPr>
          <w:rFonts w:ascii="Times New Roman" w:hAnsi="Times New Roman" w:cs="Times New Roman"/>
          <w:color w:val="242424"/>
          <w:szCs w:val="22"/>
          <w:bdr w:val="none" w:sz="0" w:space="0" w:color="auto" w:frame="1"/>
          <w:lang w:val="fr-FR"/>
        </w:rPr>
        <w:t>por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personat</w:t>
      </w:r>
      <w:proofErr w:type="spellEnd"/>
      <w:r w:rsidRPr="007A3AD7">
        <w:rPr>
          <w:rFonts w:ascii="Times New Roman" w:hAnsi="Times New Roman" w:cs="Times New Roman"/>
          <w:color w:val="242424"/>
          <w:szCs w:val="22"/>
          <w:bdr w:val="none" w:sz="0" w:space="0" w:color="auto" w:frame="1"/>
          <w:lang w:val="fr-FR"/>
        </w:rPr>
        <w:t xml:space="preserve"> me </w:t>
      </w:r>
      <w:proofErr w:type="spellStart"/>
      <w:r w:rsidRPr="007A3AD7">
        <w:rPr>
          <w:rFonts w:ascii="Times New Roman" w:hAnsi="Times New Roman" w:cs="Times New Roman"/>
          <w:color w:val="242424"/>
          <w:szCs w:val="22"/>
          <w:bdr w:val="none" w:sz="0" w:space="0" w:color="auto" w:frame="1"/>
          <w:lang w:val="fr-FR"/>
        </w:rPr>
        <w:t>aftësi</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kufizuara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shpesh</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nuk</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kanë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akses</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zyrat</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që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administrojnë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shërbimet</w:t>
      </w:r>
      <w:proofErr w:type="spellEnd"/>
      <w:r w:rsidRPr="007A3AD7">
        <w:rPr>
          <w:rFonts w:ascii="Times New Roman" w:hAnsi="Times New Roman" w:cs="Times New Roman"/>
          <w:color w:val="242424"/>
          <w:szCs w:val="22"/>
          <w:bdr w:val="none" w:sz="0" w:space="0" w:color="auto" w:frame="1"/>
          <w:lang w:val="fr-FR"/>
        </w:rPr>
        <w:t xml:space="preserve"> sociale </w:t>
      </w:r>
      <w:proofErr w:type="spellStart"/>
      <w:r w:rsidRPr="007A3AD7">
        <w:rPr>
          <w:rFonts w:ascii="Times New Roman" w:hAnsi="Times New Roman" w:cs="Times New Roman"/>
          <w:color w:val="242424"/>
          <w:szCs w:val="22"/>
          <w:bdr w:val="none" w:sz="0" w:space="0" w:color="auto" w:frame="1"/>
          <w:lang w:val="fr-FR"/>
        </w:rPr>
        <w:t>apo</w:t>
      </w:r>
      <w:proofErr w:type="spellEnd"/>
      <w:r w:rsidRPr="007A3AD7">
        <w:rPr>
          <w:rFonts w:ascii="Times New Roman" w:hAnsi="Times New Roman" w:cs="Times New Roman"/>
          <w:color w:val="242424"/>
          <w:szCs w:val="22"/>
          <w:bdr w:val="none" w:sz="0" w:space="0" w:color="auto" w:frame="1"/>
          <w:lang w:val="fr-FR"/>
        </w:rPr>
        <w:t xml:space="preserve"> </w:t>
      </w:r>
      <w:r w:rsidR="005D74DA" w:rsidRPr="007A3AD7">
        <w:rPr>
          <w:rFonts w:ascii="Times New Roman" w:hAnsi="Times New Roman" w:cs="Times New Roman"/>
          <w:color w:val="242424"/>
          <w:szCs w:val="22"/>
          <w:bdr w:val="none" w:sz="0" w:space="0" w:color="auto" w:frame="1"/>
          <w:lang w:val="fr-FR"/>
        </w:rPr>
        <w:t>tek</w:t>
      </w:r>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ofruesit</w:t>
      </w:r>
      <w:proofErr w:type="spellEnd"/>
      <w:r w:rsidRPr="007A3AD7">
        <w:rPr>
          <w:rFonts w:ascii="Times New Roman" w:hAnsi="Times New Roman" w:cs="Times New Roman"/>
          <w:color w:val="242424"/>
          <w:szCs w:val="22"/>
          <w:bdr w:val="none" w:sz="0" w:space="0" w:color="auto" w:frame="1"/>
          <w:lang w:val="fr-FR"/>
        </w:rPr>
        <w:t xml:space="preserve"> e </w:t>
      </w:r>
      <w:proofErr w:type="spellStart"/>
      <w:r w:rsidRPr="007A3AD7">
        <w:rPr>
          <w:rFonts w:ascii="Times New Roman" w:hAnsi="Times New Roman" w:cs="Times New Roman"/>
          <w:color w:val="242424"/>
          <w:szCs w:val="22"/>
          <w:bdr w:val="none" w:sz="0" w:space="0" w:color="auto" w:frame="1"/>
          <w:lang w:val="fr-FR"/>
        </w:rPr>
        <w:t>shërbimeve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komunitetet</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ku</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ata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jetojnë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Personat</w:t>
      </w:r>
      <w:proofErr w:type="spellEnd"/>
      <w:r w:rsidRPr="007A3AD7">
        <w:rPr>
          <w:rFonts w:ascii="Times New Roman" w:hAnsi="Times New Roman" w:cs="Times New Roman"/>
          <w:color w:val="242424"/>
          <w:szCs w:val="22"/>
          <w:bdr w:val="none" w:sz="0" w:space="0" w:color="auto" w:frame="1"/>
          <w:lang w:val="fr-FR"/>
        </w:rPr>
        <w:t xml:space="preserve"> me </w:t>
      </w:r>
      <w:proofErr w:type="spellStart"/>
      <w:r w:rsidRPr="007A3AD7">
        <w:rPr>
          <w:rFonts w:ascii="Times New Roman" w:hAnsi="Times New Roman" w:cs="Times New Roman"/>
          <w:color w:val="242424"/>
          <w:szCs w:val="22"/>
          <w:bdr w:val="none" w:sz="0" w:space="0" w:color="auto" w:frame="1"/>
          <w:lang w:val="fr-FR"/>
        </w:rPr>
        <w:t>aftësi</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kufizuara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nuk</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kanë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akses</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sistematikisht</w:t>
      </w:r>
      <w:proofErr w:type="spellEnd"/>
      <w:r w:rsidRPr="007A3AD7">
        <w:rPr>
          <w:rFonts w:ascii="Times New Roman" w:hAnsi="Times New Roman" w:cs="Times New Roman"/>
          <w:color w:val="242424"/>
          <w:szCs w:val="22"/>
          <w:bdr w:val="none" w:sz="0" w:space="0" w:color="auto" w:frame="1"/>
          <w:vertAlign w:val="superscript"/>
          <w:lang w:val="fr-FR"/>
        </w:rPr>
        <w:t xml:space="preserve"> </w:t>
      </w:r>
      <w:r w:rsidRPr="007A3AD7">
        <w:rPr>
          <w:rFonts w:ascii="Times New Roman" w:hAnsi="Times New Roman" w:cs="Times New Roman"/>
          <w:color w:val="242424"/>
          <w:szCs w:val="22"/>
          <w:bdr w:val="none" w:sz="0" w:space="0" w:color="auto" w:frame="1"/>
          <w:lang w:val="fr-FR"/>
        </w:rPr>
        <w:t xml:space="preserve">dhe </w:t>
      </w:r>
      <w:proofErr w:type="spellStart"/>
      <w:r w:rsidRPr="007A3AD7">
        <w:rPr>
          <w:rFonts w:ascii="Times New Roman" w:hAnsi="Times New Roman" w:cs="Times New Roman"/>
          <w:color w:val="242424"/>
          <w:szCs w:val="22"/>
          <w:bdr w:val="none" w:sz="0" w:space="0" w:color="auto" w:frame="1"/>
          <w:lang w:val="fr-FR"/>
        </w:rPr>
        <w:t>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mënyrë</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strukturuar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mjetet</w:t>
      </w:r>
      <w:proofErr w:type="spellEnd"/>
      <w:r w:rsidRPr="007A3AD7">
        <w:rPr>
          <w:rFonts w:ascii="Times New Roman" w:hAnsi="Times New Roman" w:cs="Times New Roman"/>
          <w:color w:val="242424"/>
          <w:szCs w:val="22"/>
          <w:bdr w:val="none" w:sz="0" w:space="0" w:color="auto" w:frame="1"/>
          <w:lang w:val="fr-FR"/>
        </w:rPr>
        <w:t xml:space="preserve"> dhe </w:t>
      </w:r>
      <w:proofErr w:type="spellStart"/>
      <w:r w:rsidRPr="007A3AD7">
        <w:rPr>
          <w:rFonts w:ascii="Times New Roman" w:hAnsi="Times New Roman" w:cs="Times New Roman"/>
          <w:color w:val="242424"/>
          <w:szCs w:val="22"/>
          <w:bdr w:val="none" w:sz="0" w:space="0" w:color="auto" w:frame="1"/>
          <w:lang w:val="fr-FR"/>
        </w:rPr>
        <w:t>teknologjinë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ndihmëse</w:t>
      </w:r>
      <w:proofErr w:type="spellEnd"/>
      <w:r w:rsidRPr="007A3AD7">
        <w:rPr>
          <w:rFonts w:ascii="Times New Roman" w:hAnsi="Times New Roman" w:cs="Times New Roman"/>
          <w:color w:val="242424"/>
          <w:szCs w:val="22"/>
          <w:bdr w:val="none" w:sz="0" w:space="0" w:color="auto" w:frame="1"/>
          <w:lang w:val="fr-FR"/>
        </w:rPr>
        <w:t xml:space="preserve">. Po </w:t>
      </w:r>
      <w:proofErr w:type="spellStart"/>
      <w:r w:rsidRPr="007A3AD7">
        <w:rPr>
          <w:rFonts w:ascii="Times New Roman" w:hAnsi="Times New Roman" w:cs="Times New Roman"/>
          <w:color w:val="242424"/>
          <w:szCs w:val="22"/>
          <w:bdr w:val="none" w:sz="0" w:space="0" w:color="auto" w:frame="1"/>
          <w:lang w:val="fr-FR"/>
        </w:rPr>
        <w:t>ashtu</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atyre</w:t>
      </w:r>
      <w:proofErr w:type="spellEnd"/>
      <w:r w:rsidRPr="007A3AD7">
        <w:rPr>
          <w:rFonts w:ascii="Times New Roman" w:hAnsi="Times New Roman" w:cs="Times New Roman"/>
          <w:color w:val="242424"/>
          <w:szCs w:val="22"/>
          <w:bdr w:val="none" w:sz="0" w:space="0" w:color="auto" w:frame="1"/>
          <w:lang w:val="fr-FR"/>
        </w:rPr>
        <w:t xml:space="preserve"> u </w:t>
      </w:r>
      <w:proofErr w:type="spellStart"/>
      <w:r w:rsidRPr="007A3AD7">
        <w:rPr>
          <w:rFonts w:ascii="Times New Roman" w:hAnsi="Times New Roman" w:cs="Times New Roman"/>
          <w:color w:val="242424"/>
          <w:szCs w:val="22"/>
          <w:bdr w:val="none" w:sz="0" w:space="0" w:color="auto" w:frame="1"/>
          <w:lang w:val="fr-FR"/>
        </w:rPr>
        <w:t>mungon</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informacioni</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në</w:t>
      </w:r>
      <w:proofErr w:type="spellEnd"/>
      <w:r w:rsidRPr="007A3AD7">
        <w:rPr>
          <w:rFonts w:ascii="Times New Roman" w:hAnsi="Times New Roman" w:cs="Times New Roman"/>
          <w:color w:val="242424"/>
          <w:szCs w:val="22"/>
          <w:bdr w:val="none" w:sz="0" w:space="0" w:color="auto" w:frame="1"/>
          <w:lang w:val="fr-FR"/>
        </w:rPr>
        <w:t xml:space="preserve"> formate të </w:t>
      </w:r>
      <w:proofErr w:type="spellStart"/>
      <w:r w:rsidRPr="007A3AD7">
        <w:rPr>
          <w:rFonts w:ascii="Times New Roman" w:hAnsi="Times New Roman" w:cs="Times New Roman"/>
          <w:color w:val="242424"/>
          <w:szCs w:val="22"/>
          <w:bdr w:val="none" w:sz="0" w:space="0" w:color="auto" w:frame="1"/>
          <w:lang w:val="fr-FR"/>
        </w:rPr>
        <w:t>aksesueshme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për</w:t>
      </w:r>
      <w:proofErr w:type="spellEnd"/>
      <w:r w:rsidRPr="007A3AD7">
        <w:rPr>
          <w:rFonts w:ascii="Times New Roman" w:hAnsi="Times New Roman" w:cs="Times New Roman"/>
          <w:color w:val="242424"/>
          <w:szCs w:val="22"/>
          <w:bdr w:val="none" w:sz="0" w:space="0" w:color="auto" w:frame="1"/>
          <w:lang w:val="fr-FR"/>
        </w:rPr>
        <w:t xml:space="preserve"> t’i </w:t>
      </w:r>
      <w:proofErr w:type="spellStart"/>
      <w:r w:rsidRPr="007A3AD7">
        <w:rPr>
          <w:rFonts w:ascii="Times New Roman" w:hAnsi="Times New Roman" w:cs="Times New Roman"/>
          <w:color w:val="242424"/>
          <w:szCs w:val="22"/>
          <w:bdr w:val="none" w:sz="0" w:space="0" w:color="auto" w:frame="1"/>
          <w:lang w:val="fr-FR"/>
        </w:rPr>
        <w:t>orientuar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ata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drejt</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përfitimeve</w:t>
      </w:r>
      <w:proofErr w:type="spellEnd"/>
      <w:r w:rsidRPr="007A3AD7">
        <w:rPr>
          <w:rFonts w:ascii="Times New Roman" w:hAnsi="Times New Roman" w:cs="Times New Roman"/>
          <w:color w:val="242424"/>
          <w:szCs w:val="22"/>
          <w:bdr w:val="none" w:sz="0" w:space="0" w:color="auto" w:frame="1"/>
          <w:lang w:val="fr-FR"/>
        </w:rPr>
        <w:t xml:space="preserve"> e </w:t>
      </w:r>
      <w:proofErr w:type="spellStart"/>
      <w:r w:rsidRPr="007A3AD7">
        <w:rPr>
          <w:rFonts w:ascii="Times New Roman" w:hAnsi="Times New Roman" w:cs="Times New Roman"/>
          <w:color w:val="242424"/>
          <w:szCs w:val="22"/>
          <w:bdr w:val="none" w:sz="0" w:space="0" w:color="auto" w:frame="1"/>
          <w:lang w:val="fr-FR"/>
        </w:rPr>
        <w:t>shërbimeve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mënyrë</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pavarur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Pavarësisht</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përpjekjeve</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kohëve</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fundit</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nga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institucionet</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përgjegjëse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informacioni</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publik</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për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shërbimet</w:t>
      </w:r>
      <w:proofErr w:type="spellEnd"/>
      <w:r w:rsidRPr="007A3AD7">
        <w:rPr>
          <w:rFonts w:ascii="Times New Roman" w:hAnsi="Times New Roman" w:cs="Times New Roman"/>
          <w:color w:val="242424"/>
          <w:szCs w:val="22"/>
          <w:bdr w:val="none" w:sz="0" w:space="0" w:color="auto" w:frame="1"/>
          <w:lang w:val="fr-FR"/>
        </w:rPr>
        <w:t xml:space="preserve"> e </w:t>
      </w:r>
      <w:proofErr w:type="spellStart"/>
      <w:r w:rsidRPr="007A3AD7">
        <w:rPr>
          <w:rFonts w:ascii="Times New Roman" w:hAnsi="Times New Roman" w:cs="Times New Roman"/>
          <w:color w:val="242424"/>
          <w:szCs w:val="22"/>
          <w:bdr w:val="none" w:sz="0" w:space="0" w:color="auto" w:frame="1"/>
          <w:lang w:val="fr-FR"/>
        </w:rPr>
        <w:t>përkujdesit</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shoqëror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ende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nuk</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është</w:t>
      </w:r>
      <w:proofErr w:type="spellEnd"/>
      <w:r w:rsidRPr="007A3AD7">
        <w:rPr>
          <w:rFonts w:ascii="Times New Roman" w:hAnsi="Times New Roman" w:cs="Times New Roman"/>
          <w:color w:val="242424"/>
          <w:szCs w:val="22"/>
          <w:bdr w:val="none" w:sz="0" w:space="0" w:color="auto" w:frame="1"/>
          <w:lang w:val="fr-FR"/>
        </w:rPr>
        <w:t xml:space="preserve"> i </w:t>
      </w:r>
      <w:proofErr w:type="spellStart"/>
      <w:r w:rsidRPr="007A3AD7">
        <w:rPr>
          <w:rFonts w:ascii="Times New Roman" w:hAnsi="Times New Roman" w:cs="Times New Roman"/>
          <w:color w:val="242424"/>
          <w:szCs w:val="22"/>
          <w:bdr w:val="none" w:sz="0" w:space="0" w:color="auto" w:frame="1"/>
          <w:lang w:val="fr-FR"/>
        </w:rPr>
        <w:t>aksesueshëm</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për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personat</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që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nuk</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shohin</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flasin</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dëgjojnë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apo</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ato</w:t>
      </w:r>
      <w:proofErr w:type="spellEnd"/>
      <w:r w:rsidRPr="007A3AD7">
        <w:rPr>
          <w:rFonts w:ascii="Times New Roman" w:hAnsi="Times New Roman" w:cs="Times New Roman"/>
          <w:color w:val="242424"/>
          <w:szCs w:val="22"/>
          <w:bdr w:val="none" w:sz="0" w:space="0" w:color="auto" w:frame="1"/>
          <w:lang w:val="fr-FR"/>
        </w:rPr>
        <w:t xml:space="preserve"> me </w:t>
      </w:r>
      <w:proofErr w:type="spellStart"/>
      <w:r w:rsidRPr="007A3AD7">
        <w:rPr>
          <w:rFonts w:ascii="Times New Roman" w:hAnsi="Times New Roman" w:cs="Times New Roman"/>
          <w:color w:val="242424"/>
          <w:szCs w:val="22"/>
          <w:bdr w:val="none" w:sz="0" w:space="0" w:color="auto" w:frame="1"/>
          <w:lang w:val="fr-FR"/>
        </w:rPr>
        <w:t>aftësi</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kufizuara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intelektuale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Ndon</w:t>
      </w:r>
      <w:r w:rsidR="009A5A0E" w:rsidRPr="007A3AD7">
        <w:rPr>
          <w:rFonts w:ascii="Times New Roman" w:hAnsi="Times New Roman" w:cs="Times New Roman"/>
          <w:color w:val="242424"/>
          <w:szCs w:val="22"/>
          <w:bdr w:val="none" w:sz="0" w:space="0" w:color="auto" w:frame="1"/>
          <w:lang w:val="fr-FR"/>
        </w:rPr>
        <w:t>ë</w:t>
      </w:r>
      <w:r w:rsidRPr="007A3AD7">
        <w:rPr>
          <w:rFonts w:ascii="Times New Roman" w:hAnsi="Times New Roman" w:cs="Times New Roman"/>
          <w:color w:val="242424"/>
          <w:szCs w:val="22"/>
          <w:bdr w:val="none" w:sz="0" w:space="0" w:color="auto" w:frame="1"/>
          <w:lang w:val="fr-FR"/>
        </w:rPr>
        <w:t>se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jan</w:t>
      </w:r>
      <w:r w:rsidR="009A5A0E" w:rsidRPr="007A3AD7">
        <w:rPr>
          <w:rFonts w:ascii="Times New Roman" w:hAnsi="Times New Roman" w:cs="Times New Roman"/>
          <w:color w:val="242424"/>
          <w:szCs w:val="22"/>
          <w:bdr w:val="none" w:sz="0" w:space="0" w:color="auto" w:frame="1"/>
          <w:lang w:val="fr-FR"/>
        </w:rPr>
        <w:t>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zhvilluar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tarjnime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ka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ende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nevojë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për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më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shumë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investim</w:t>
      </w:r>
      <w:proofErr w:type="spellEnd"/>
      <w:r w:rsidRPr="007A3AD7">
        <w:rPr>
          <w:rFonts w:ascii="Times New Roman" w:hAnsi="Times New Roman" w:cs="Times New Roman"/>
          <w:color w:val="242424"/>
          <w:szCs w:val="22"/>
          <w:bdr w:val="none" w:sz="0" w:space="0" w:color="auto" w:frame="1"/>
          <w:lang w:val="fr-FR"/>
        </w:rPr>
        <w:t xml:space="preserve"> dhe </w:t>
      </w:r>
      <w:proofErr w:type="spellStart"/>
      <w:r w:rsidRPr="007A3AD7">
        <w:rPr>
          <w:rFonts w:ascii="Times New Roman" w:hAnsi="Times New Roman" w:cs="Times New Roman"/>
          <w:color w:val="242424"/>
          <w:szCs w:val="22"/>
          <w:bdr w:val="none" w:sz="0" w:space="0" w:color="auto" w:frame="1"/>
          <w:lang w:val="fr-FR"/>
        </w:rPr>
        <w:t>kapacitete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këtë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drejtim</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Aktualisht</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në</w:t>
      </w:r>
      <w:proofErr w:type="spellEnd"/>
      <w:r w:rsidRPr="007A3AD7">
        <w:rPr>
          <w:rFonts w:ascii="Times New Roman" w:hAnsi="Times New Roman" w:cs="Times New Roman"/>
          <w:color w:val="242424"/>
          <w:szCs w:val="22"/>
          <w:bdr w:val="none" w:sz="0" w:space="0" w:color="auto" w:frame="1"/>
          <w:lang w:val="fr-FR"/>
        </w:rPr>
        <w:t xml:space="preserve"> vend </w:t>
      </w:r>
      <w:proofErr w:type="spellStart"/>
      <w:r w:rsidRPr="007A3AD7">
        <w:rPr>
          <w:rFonts w:ascii="Times New Roman" w:hAnsi="Times New Roman" w:cs="Times New Roman"/>
          <w:color w:val="242424"/>
          <w:szCs w:val="22"/>
          <w:bdr w:val="none" w:sz="0" w:space="0" w:color="auto" w:frame="1"/>
          <w:lang w:val="fr-FR"/>
        </w:rPr>
        <w:t>ofrohen</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vetëm</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disa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nga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tipologjitë</w:t>
      </w:r>
      <w:proofErr w:type="spellEnd"/>
      <w:r w:rsidRPr="007A3AD7">
        <w:rPr>
          <w:rFonts w:ascii="Times New Roman" w:hAnsi="Times New Roman" w:cs="Times New Roman"/>
          <w:color w:val="242424"/>
          <w:szCs w:val="22"/>
          <w:bdr w:val="none" w:sz="0" w:space="0" w:color="auto" w:frame="1"/>
          <w:lang w:val="fr-FR"/>
        </w:rPr>
        <w:t xml:space="preserve"> e </w:t>
      </w:r>
      <w:proofErr w:type="spellStart"/>
      <w:r w:rsidRPr="007A3AD7">
        <w:rPr>
          <w:rFonts w:ascii="Times New Roman" w:hAnsi="Times New Roman" w:cs="Times New Roman"/>
          <w:color w:val="242424"/>
          <w:szCs w:val="22"/>
          <w:bdr w:val="none" w:sz="0" w:space="0" w:color="auto" w:frame="1"/>
          <w:lang w:val="fr-FR"/>
        </w:rPr>
        <w:t>pajisjeve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ndihmëse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bazë</w:t>
      </w:r>
      <w:proofErr w:type="spellEnd"/>
      <w:r w:rsidRPr="007A3AD7">
        <w:rPr>
          <w:rFonts w:ascii="Times New Roman" w:hAnsi="Times New Roman" w:cs="Times New Roman"/>
          <w:color w:val="242424"/>
          <w:szCs w:val="22"/>
          <w:bdr w:val="none" w:sz="0" w:space="0" w:color="auto" w:frame="1"/>
          <w:lang w:val="fr-FR"/>
        </w:rPr>
        <w:t xml:space="preserve">, si </w:t>
      </w:r>
      <w:proofErr w:type="spellStart"/>
      <w:r w:rsidRPr="007A3AD7">
        <w:rPr>
          <w:rFonts w:ascii="Times New Roman" w:hAnsi="Times New Roman" w:cs="Times New Roman"/>
          <w:color w:val="242424"/>
          <w:szCs w:val="22"/>
          <w:bdr w:val="none" w:sz="0" w:space="0" w:color="auto" w:frame="1"/>
          <w:lang w:val="fr-FR"/>
        </w:rPr>
        <w:t>karriget</w:t>
      </w:r>
      <w:proofErr w:type="spellEnd"/>
      <w:r w:rsidRPr="007A3AD7">
        <w:rPr>
          <w:rFonts w:ascii="Times New Roman" w:hAnsi="Times New Roman" w:cs="Times New Roman"/>
          <w:color w:val="242424"/>
          <w:szCs w:val="22"/>
          <w:bdr w:val="none" w:sz="0" w:space="0" w:color="auto" w:frame="1"/>
          <w:lang w:val="fr-FR"/>
        </w:rPr>
        <w:t xml:space="preserve"> me </w:t>
      </w:r>
      <w:proofErr w:type="spellStart"/>
      <w:r w:rsidRPr="007A3AD7">
        <w:rPr>
          <w:rFonts w:ascii="Times New Roman" w:hAnsi="Times New Roman" w:cs="Times New Roman"/>
          <w:color w:val="242424"/>
          <w:szCs w:val="22"/>
          <w:bdr w:val="none" w:sz="0" w:space="0" w:color="auto" w:frame="1"/>
          <w:lang w:val="fr-FR"/>
        </w:rPr>
        <w:t>rrota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proteza</w:t>
      </w:r>
      <w:proofErr w:type="spellEnd"/>
      <w:r w:rsidRPr="007A3AD7">
        <w:rPr>
          <w:rFonts w:ascii="Times New Roman" w:hAnsi="Times New Roman" w:cs="Times New Roman"/>
          <w:color w:val="242424"/>
          <w:szCs w:val="22"/>
          <w:bdr w:val="none" w:sz="0" w:space="0" w:color="auto" w:frame="1"/>
          <w:lang w:val="fr-FR"/>
        </w:rPr>
        <w:t xml:space="preserve"> e </w:t>
      </w:r>
      <w:proofErr w:type="spellStart"/>
      <w:r w:rsidRPr="007A3AD7">
        <w:rPr>
          <w:rFonts w:ascii="Times New Roman" w:hAnsi="Times New Roman" w:cs="Times New Roman"/>
          <w:color w:val="242424"/>
          <w:szCs w:val="22"/>
          <w:bdr w:val="none" w:sz="0" w:space="0" w:color="auto" w:frame="1"/>
          <w:lang w:val="fr-FR"/>
        </w:rPr>
        <w:t>orteza</w:t>
      </w:r>
      <w:proofErr w:type="spellEnd"/>
      <w:r w:rsidRPr="007A3AD7">
        <w:rPr>
          <w:rFonts w:ascii="Times New Roman" w:hAnsi="Times New Roman" w:cs="Times New Roman"/>
          <w:color w:val="242424"/>
          <w:szCs w:val="22"/>
          <w:bdr w:val="none" w:sz="0" w:space="0" w:color="auto" w:frame="1"/>
          <w:lang w:val="fr-FR"/>
        </w:rPr>
        <w:t xml:space="preserve"> dhe </w:t>
      </w:r>
      <w:proofErr w:type="spellStart"/>
      <w:r w:rsidRPr="007A3AD7">
        <w:rPr>
          <w:rFonts w:ascii="Times New Roman" w:hAnsi="Times New Roman" w:cs="Times New Roman"/>
          <w:color w:val="242424"/>
          <w:szCs w:val="22"/>
          <w:bdr w:val="none" w:sz="0" w:space="0" w:color="auto" w:frame="1"/>
          <w:lang w:val="fr-FR"/>
        </w:rPr>
        <w:t>pajisje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ndihmëse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dëgjim</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megjithat</w:t>
      </w:r>
      <w:r w:rsidR="009A5A0E" w:rsidRPr="007A3AD7">
        <w:rPr>
          <w:rFonts w:ascii="Times New Roman" w:hAnsi="Times New Roman" w:cs="Times New Roman"/>
          <w:color w:val="242424"/>
          <w:szCs w:val="22"/>
          <w:bdr w:val="none" w:sz="0" w:space="0" w:color="auto" w:frame="1"/>
          <w:lang w:val="fr-FR"/>
        </w:rPr>
        <w:t>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nevojiten</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rregullime</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ligjore</w:t>
      </w:r>
      <w:proofErr w:type="spellEnd"/>
      <w:r w:rsidRPr="007A3AD7">
        <w:rPr>
          <w:rFonts w:ascii="Times New Roman" w:hAnsi="Times New Roman" w:cs="Times New Roman"/>
          <w:color w:val="242424"/>
          <w:szCs w:val="22"/>
          <w:bdr w:val="none" w:sz="0" w:space="0" w:color="auto" w:frame="1"/>
          <w:lang w:val="fr-FR"/>
        </w:rPr>
        <w:t xml:space="preserve"> dhe </w:t>
      </w:r>
      <w:proofErr w:type="spellStart"/>
      <w:r w:rsidRPr="007A3AD7">
        <w:rPr>
          <w:rFonts w:ascii="Times New Roman" w:hAnsi="Times New Roman" w:cs="Times New Roman"/>
          <w:color w:val="242424"/>
          <w:szCs w:val="22"/>
          <w:bdr w:val="none" w:sz="0" w:space="0" w:color="auto" w:frame="1"/>
          <w:lang w:val="fr-FR"/>
        </w:rPr>
        <w:t>kapacitete</w:t>
      </w:r>
      <w:proofErr w:type="spellEnd"/>
      <w:r w:rsidRPr="007A3AD7">
        <w:rPr>
          <w:rFonts w:ascii="Times New Roman" w:hAnsi="Times New Roman" w:cs="Times New Roman"/>
          <w:color w:val="242424"/>
          <w:szCs w:val="22"/>
          <w:bdr w:val="none" w:sz="0" w:space="0" w:color="auto" w:frame="1"/>
          <w:lang w:val="fr-FR"/>
        </w:rPr>
        <w:t xml:space="preserve"> t</w:t>
      </w:r>
      <w:r w:rsidR="009A5A0E" w:rsidRPr="007A3AD7">
        <w:rPr>
          <w:rFonts w:ascii="Times New Roman" w:hAnsi="Times New Roman" w:cs="Times New Roman"/>
          <w:color w:val="242424"/>
          <w:szCs w:val="22"/>
          <w:bdr w:val="none" w:sz="0" w:space="0" w:color="auto" w:frame="1"/>
          <w:lang w:val="fr-FR"/>
        </w:rPr>
        <w:t>ë</w:t>
      </w:r>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fuqizuara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për</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vlerësuar</w:t>
      </w:r>
      <w:proofErr w:type="spellEnd"/>
      <w:r w:rsidRPr="007A3AD7">
        <w:rPr>
          <w:rFonts w:ascii="Times New Roman" w:hAnsi="Times New Roman" w:cs="Times New Roman"/>
          <w:color w:val="242424"/>
          <w:szCs w:val="22"/>
          <w:bdr w:val="none" w:sz="0" w:space="0" w:color="auto" w:frame="1"/>
          <w:lang w:val="fr-FR"/>
        </w:rPr>
        <w:t xml:space="preserve"> dhe </w:t>
      </w:r>
      <w:proofErr w:type="spellStart"/>
      <w:r w:rsidRPr="007A3AD7">
        <w:rPr>
          <w:rFonts w:ascii="Times New Roman" w:hAnsi="Times New Roman" w:cs="Times New Roman"/>
          <w:color w:val="242424"/>
          <w:szCs w:val="22"/>
          <w:bdr w:val="none" w:sz="0" w:space="0" w:color="auto" w:frame="1"/>
          <w:lang w:val="fr-FR"/>
        </w:rPr>
        <w:t>orientuar</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nevojat</w:t>
      </w:r>
      <w:proofErr w:type="spellEnd"/>
      <w:r w:rsidRPr="007A3AD7">
        <w:rPr>
          <w:rFonts w:ascii="Times New Roman" w:hAnsi="Times New Roman" w:cs="Times New Roman"/>
          <w:color w:val="242424"/>
          <w:szCs w:val="22"/>
          <w:bdr w:val="none" w:sz="0" w:space="0" w:color="auto" w:frame="1"/>
          <w:lang w:val="fr-FR"/>
        </w:rPr>
        <w:t xml:space="preserve"> e </w:t>
      </w:r>
      <w:proofErr w:type="spellStart"/>
      <w:r w:rsidRPr="007A3AD7">
        <w:rPr>
          <w:rFonts w:ascii="Times New Roman" w:hAnsi="Times New Roman" w:cs="Times New Roman"/>
          <w:color w:val="242424"/>
          <w:szCs w:val="22"/>
          <w:bdr w:val="none" w:sz="0" w:space="0" w:color="auto" w:frame="1"/>
          <w:lang w:val="fr-FR"/>
        </w:rPr>
        <w:t>personave</w:t>
      </w:r>
      <w:proofErr w:type="spellEnd"/>
      <w:r w:rsidRPr="007A3AD7">
        <w:rPr>
          <w:rFonts w:ascii="Times New Roman" w:hAnsi="Times New Roman" w:cs="Times New Roman"/>
          <w:color w:val="242424"/>
          <w:szCs w:val="22"/>
          <w:bdr w:val="none" w:sz="0" w:space="0" w:color="auto" w:frame="1"/>
          <w:lang w:val="fr-FR"/>
        </w:rPr>
        <w:t xml:space="preserve"> me </w:t>
      </w:r>
      <w:proofErr w:type="spellStart"/>
      <w:r w:rsidRPr="007A3AD7">
        <w:rPr>
          <w:rFonts w:ascii="Times New Roman" w:hAnsi="Times New Roman" w:cs="Times New Roman"/>
          <w:color w:val="242424"/>
          <w:szCs w:val="22"/>
          <w:bdr w:val="none" w:sz="0" w:space="0" w:color="auto" w:frame="1"/>
          <w:lang w:val="fr-FR"/>
        </w:rPr>
        <w:t>aftësi</w:t>
      </w:r>
      <w:proofErr w:type="spellEnd"/>
      <w:r w:rsidRPr="007A3AD7">
        <w:rPr>
          <w:rFonts w:ascii="Times New Roman" w:hAnsi="Times New Roman" w:cs="Times New Roman"/>
          <w:color w:val="242424"/>
          <w:szCs w:val="22"/>
          <w:bdr w:val="none" w:sz="0" w:space="0" w:color="auto" w:frame="1"/>
          <w:lang w:val="fr-FR"/>
        </w:rPr>
        <w:t xml:space="preserve"> të </w:t>
      </w:r>
      <w:proofErr w:type="spellStart"/>
      <w:r w:rsidRPr="007A3AD7">
        <w:rPr>
          <w:rFonts w:ascii="Times New Roman" w:hAnsi="Times New Roman" w:cs="Times New Roman"/>
          <w:color w:val="242424"/>
          <w:szCs w:val="22"/>
          <w:bdr w:val="none" w:sz="0" w:space="0" w:color="auto" w:frame="1"/>
          <w:lang w:val="fr-FR"/>
        </w:rPr>
        <w:t>kufizuara</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në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këtë</w:t>
      </w:r>
      <w:proofErr w:type="spellEnd"/>
      <w:r w:rsidRPr="007A3AD7">
        <w:rPr>
          <w:rFonts w:ascii="Times New Roman" w:hAnsi="Times New Roman" w:cs="Times New Roman"/>
          <w:color w:val="242424"/>
          <w:szCs w:val="22"/>
          <w:bdr w:val="none" w:sz="0" w:space="0" w:color="auto" w:frame="1"/>
          <w:lang w:val="fr-FR"/>
        </w:rPr>
        <w:t xml:space="preserve"> </w:t>
      </w:r>
      <w:proofErr w:type="spellStart"/>
      <w:r w:rsidRPr="007A3AD7">
        <w:rPr>
          <w:rFonts w:ascii="Times New Roman" w:hAnsi="Times New Roman" w:cs="Times New Roman"/>
          <w:color w:val="242424"/>
          <w:szCs w:val="22"/>
          <w:bdr w:val="none" w:sz="0" w:space="0" w:color="auto" w:frame="1"/>
          <w:lang w:val="fr-FR"/>
        </w:rPr>
        <w:t>drejtim</w:t>
      </w:r>
      <w:proofErr w:type="spellEnd"/>
      <w:r w:rsidRPr="007A3AD7">
        <w:rPr>
          <w:rFonts w:ascii="Times New Roman" w:hAnsi="Times New Roman" w:cs="Times New Roman"/>
          <w:color w:val="242424"/>
          <w:szCs w:val="22"/>
          <w:bdr w:val="none" w:sz="0" w:space="0" w:color="auto" w:frame="1"/>
          <w:lang w:val="fr-FR"/>
        </w:rPr>
        <w:t>.</w:t>
      </w:r>
    </w:p>
    <w:p w14:paraId="2D40A107" w14:textId="77777777" w:rsidR="00EC5DA2" w:rsidRPr="007A3AD7" w:rsidRDefault="00EC5DA2" w:rsidP="00E26288">
      <w:pPr>
        <w:rPr>
          <w:rFonts w:ascii="Times New Roman" w:hAnsi="Times New Roman" w:cs="Times New Roman"/>
          <w:color w:val="242424"/>
          <w:szCs w:val="22"/>
          <w:bdr w:val="none" w:sz="0" w:space="0" w:color="auto" w:frame="1"/>
          <w:lang w:val="fr-FR"/>
        </w:rPr>
      </w:pPr>
    </w:p>
    <w:p w14:paraId="4C76E297" w14:textId="27CE105F" w:rsidR="003432EB" w:rsidRPr="007A3AD7" w:rsidRDefault="003432EB" w:rsidP="003432EB">
      <w:pPr>
        <w:rPr>
          <w:rFonts w:ascii="Times New Roman" w:hAnsi="Times New Roman" w:cs="Times New Roman"/>
          <w:szCs w:val="22"/>
        </w:rPr>
      </w:pPr>
      <w:proofErr w:type="spellStart"/>
      <w:r w:rsidRPr="007A3AD7">
        <w:rPr>
          <w:rFonts w:ascii="Times New Roman" w:hAnsi="Times New Roman" w:cs="Times New Roman"/>
          <w:szCs w:val="22"/>
        </w:rPr>
        <w:t>Edhe</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pse</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progresi</w:t>
      </w:r>
      <w:proofErr w:type="spellEnd"/>
      <w:r w:rsidRPr="007A3AD7">
        <w:rPr>
          <w:rFonts w:ascii="Times New Roman" w:hAnsi="Times New Roman" w:cs="Times New Roman"/>
          <w:szCs w:val="22"/>
        </w:rPr>
        <w:t xml:space="preserve"> i </w:t>
      </w:r>
      <w:proofErr w:type="spellStart"/>
      <w:r w:rsidRPr="007A3AD7">
        <w:rPr>
          <w:rFonts w:ascii="Times New Roman" w:hAnsi="Times New Roman" w:cs="Times New Roman"/>
          <w:szCs w:val="22"/>
        </w:rPr>
        <w:t>reformës</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vlerësimit</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aftësisë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kufizuar</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është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tashmë</w:t>
      </w:r>
      <w:proofErr w:type="spellEnd"/>
      <w:r w:rsidRPr="007A3AD7">
        <w:rPr>
          <w:rFonts w:ascii="Times New Roman" w:hAnsi="Times New Roman" w:cs="Times New Roman"/>
          <w:szCs w:val="22"/>
        </w:rPr>
        <w:t xml:space="preserve"> i </w:t>
      </w:r>
      <w:proofErr w:type="spellStart"/>
      <w:r w:rsidRPr="007A3AD7">
        <w:rPr>
          <w:rFonts w:ascii="Times New Roman" w:hAnsi="Times New Roman" w:cs="Times New Roman"/>
          <w:szCs w:val="22"/>
        </w:rPr>
        <w:t>dokumentuar</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investime</w:t>
      </w:r>
      <w:proofErr w:type="spellEnd"/>
      <w:r w:rsidRPr="007A3AD7">
        <w:rPr>
          <w:rFonts w:ascii="Times New Roman" w:hAnsi="Times New Roman" w:cs="Times New Roman"/>
          <w:szCs w:val="22"/>
        </w:rPr>
        <w:t xml:space="preserve"> t</w:t>
      </w:r>
      <w:r w:rsidR="009A5A0E" w:rsidRPr="007A3AD7">
        <w:rPr>
          <w:rFonts w:ascii="Times New Roman" w:hAnsi="Times New Roman" w:cs="Times New Roman"/>
          <w:szCs w:val="22"/>
        </w:rPr>
        <w:t>ë</w:t>
      </w:r>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m</w:t>
      </w:r>
      <w:r w:rsidR="009A5A0E" w:rsidRPr="007A3AD7">
        <w:rPr>
          <w:rFonts w:ascii="Times New Roman" w:hAnsi="Times New Roman" w:cs="Times New Roman"/>
          <w:szCs w:val="22"/>
        </w:rPr>
        <w:t>ë</w:t>
      </w:r>
      <w:r w:rsidRPr="007A3AD7">
        <w:rPr>
          <w:rFonts w:ascii="Times New Roman" w:hAnsi="Times New Roman" w:cs="Times New Roman"/>
          <w:szCs w:val="22"/>
        </w:rPr>
        <w:t>tejshme</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nevojiten</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për</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siguruar</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konsolidimin</w:t>
      </w:r>
      <w:proofErr w:type="spellEnd"/>
      <w:r w:rsidRPr="007A3AD7">
        <w:rPr>
          <w:rFonts w:ascii="Times New Roman" w:hAnsi="Times New Roman" w:cs="Times New Roman"/>
          <w:szCs w:val="22"/>
        </w:rPr>
        <w:t xml:space="preserve"> e </w:t>
      </w:r>
      <w:proofErr w:type="spellStart"/>
      <w:r w:rsidRPr="007A3AD7">
        <w:rPr>
          <w:rFonts w:ascii="Times New Roman" w:hAnsi="Times New Roman" w:cs="Times New Roman"/>
          <w:szCs w:val="22"/>
        </w:rPr>
        <w:t>skemës</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vlerësimit</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aftësisë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kufizuar</w:t>
      </w:r>
      <w:proofErr w:type="spellEnd"/>
      <w:r w:rsidR="007072E2" w:rsidRPr="007A3AD7">
        <w:rPr>
          <w:rFonts w:ascii="Times New Roman" w:hAnsi="Times New Roman" w:cs="Times New Roman"/>
          <w:szCs w:val="22"/>
        </w:rPr>
        <w:t xml:space="preserve"> </w:t>
      </w:r>
      <w:proofErr w:type="spellStart"/>
      <w:r w:rsidR="007072E2" w:rsidRPr="007A3AD7">
        <w:rPr>
          <w:rFonts w:ascii="Times New Roman" w:hAnsi="Times New Roman" w:cs="Times New Roman"/>
          <w:szCs w:val="22"/>
        </w:rPr>
        <w:t>si</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fuqizimi</w:t>
      </w:r>
      <w:proofErr w:type="spellEnd"/>
      <w:r w:rsidRPr="007A3AD7">
        <w:rPr>
          <w:rFonts w:ascii="Times New Roman" w:hAnsi="Times New Roman" w:cs="Times New Roman"/>
          <w:szCs w:val="22"/>
        </w:rPr>
        <w:t xml:space="preserve"> i </w:t>
      </w:r>
      <w:proofErr w:type="spellStart"/>
      <w:r w:rsidR="007072E2" w:rsidRPr="007A3AD7">
        <w:rPr>
          <w:rFonts w:ascii="Times New Roman" w:hAnsi="Times New Roman" w:cs="Times New Roman"/>
          <w:szCs w:val="22"/>
        </w:rPr>
        <w:t>vijuesh</w:t>
      </w:r>
      <w:r w:rsidR="009A5A0E" w:rsidRPr="007A3AD7">
        <w:rPr>
          <w:rFonts w:ascii="Times New Roman" w:hAnsi="Times New Roman" w:cs="Times New Roman"/>
          <w:szCs w:val="22"/>
        </w:rPr>
        <w:t>ë</w:t>
      </w:r>
      <w:r w:rsidR="007072E2" w:rsidRPr="007A3AD7">
        <w:rPr>
          <w:rFonts w:ascii="Times New Roman" w:hAnsi="Times New Roman" w:cs="Times New Roman"/>
          <w:szCs w:val="22"/>
        </w:rPr>
        <w:t>m</w:t>
      </w:r>
      <w:proofErr w:type="spellEnd"/>
      <w:r w:rsidR="007072E2" w:rsidRPr="007A3AD7">
        <w:rPr>
          <w:rFonts w:ascii="Times New Roman" w:hAnsi="Times New Roman" w:cs="Times New Roman"/>
          <w:szCs w:val="22"/>
        </w:rPr>
        <w:t xml:space="preserve"> i </w:t>
      </w:r>
      <w:proofErr w:type="spellStart"/>
      <w:r w:rsidRPr="007A3AD7">
        <w:rPr>
          <w:rFonts w:ascii="Times New Roman" w:hAnsi="Times New Roman" w:cs="Times New Roman"/>
          <w:szCs w:val="22"/>
        </w:rPr>
        <w:t>kapaciteteve</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aktorëve</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përgjegjës</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për</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zbatimin</w:t>
      </w:r>
      <w:proofErr w:type="spellEnd"/>
      <w:r w:rsidRPr="007A3AD7">
        <w:rPr>
          <w:rFonts w:ascii="Times New Roman" w:hAnsi="Times New Roman" w:cs="Times New Roman"/>
          <w:szCs w:val="22"/>
        </w:rPr>
        <w:t xml:space="preserve"> e </w:t>
      </w:r>
      <w:proofErr w:type="spellStart"/>
      <w:r w:rsidRPr="007A3AD7">
        <w:rPr>
          <w:rFonts w:ascii="Times New Roman" w:hAnsi="Times New Roman" w:cs="Times New Roman"/>
          <w:szCs w:val="22"/>
        </w:rPr>
        <w:t>reformës</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vlerësimit</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w:t>
      </w:r>
      <w:r w:rsidR="009A5A0E" w:rsidRPr="007A3AD7">
        <w:rPr>
          <w:rFonts w:ascii="Times New Roman" w:hAnsi="Times New Roman" w:cs="Times New Roman"/>
          <w:szCs w:val="22"/>
        </w:rPr>
        <w:t>ë</w:t>
      </w:r>
      <w:r w:rsidRPr="007A3AD7">
        <w:rPr>
          <w:rFonts w:ascii="Times New Roman" w:hAnsi="Times New Roman" w:cs="Times New Roman"/>
          <w:szCs w:val="22"/>
        </w:rPr>
        <w:t>rmir</w:t>
      </w:r>
      <w:r w:rsidR="009A5A0E" w:rsidRPr="007A3AD7">
        <w:rPr>
          <w:rFonts w:ascii="Times New Roman" w:hAnsi="Times New Roman" w:cs="Times New Roman"/>
          <w:szCs w:val="22"/>
        </w:rPr>
        <w:t>ë</w:t>
      </w:r>
      <w:r w:rsidRPr="007A3AD7">
        <w:rPr>
          <w:rFonts w:ascii="Times New Roman" w:hAnsi="Times New Roman" w:cs="Times New Roman"/>
          <w:szCs w:val="22"/>
        </w:rPr>
        <w:t>simi</w:t>
      </w:r>
      <w:proofErr w:type="spellEnd"/>
      <w:r w:rsidRPr="007A3AD7">
        <w:rPr>
          <w:rFonts w:ascii="Times New Roman" w:hAnsi="Times New Roman" w:cs="Times New Roman"/>
          <w:szCs w:val="22"/>
        </w:rPr>
        <w:t xml:space="preserve"> i pro</w:t>
      </w:r>
      <w:r w:rsidRPr="007A3AD7">
        <w:rPr>
          <w:rFonts w:ascii="Times New Roman" w:hAnsi="Times New Roman" w:cs="Times New Roman"/>
          <w:bCs/>
          <w:szCs w:val="22"/>
          <w:lang w:val="sq-AL"/>
        </w:rPr>
        <w:t>ç</w:t>
      </w:r>
      <w:proofErr w:type="spellStart"/>
      <w:r w:rsidRPr="007A3AD7">
        <w:rPr>
          <w:rFonts w:ascii="Times New Roman" w:hAnsi="Times New Roman" w:cs="Times New Roman"/>
          <w:szCs w:val="22"/>
        </w:rPr>
        <w:t>edurave</w:t>
      </w:r>
      <w:proofErr w:type="spellEnd"/>
      <w:r w:rsidRPr="007A3AD7">
        <w:rPr>
          <w:rFonts w:ascii="Times New Roman" w:hAnsi="Times New Roman" w:cs="Times New Roman"/>
          <w:szCs w:val="22"/>
        </w:rPr>
        <w:t xml:space="preserve"> dhe </w:t>
      </w:r>
      <w:proofErr w:type="spellStart"/>
      <w:r w:rsidRPr="007A3AD7">
        <w:rPr>
          <w:rFonts w:ascii="Times New Roman" w:hAnsi="Times New Roman" w:cs="Times New Roman"/>
          <w:szCs w:val="22"/>
        </w:rPr>
        <w:t>instrumenteve</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në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përgjigje</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zhvillimeve</w:t>
      </w:r>
      <w:proofErr w:type="spellEnd"/>
      <w:r w:rsidRPr="007A3AD7">
        <w:rPr>
          <w:rFonts w:ascii="Times New Roman" w:hAnsi="Times New Roman" w:cs="Times New Roman"/>
          <w:szCs w:val="22"/>
        </w:rPr>
        <w:t xml:space="preserve"> </w:t>
      </w:r>
      <w:r w:rsidR="007072E2" w:rsidRPr="007A3AD7">
        <w:rPr>
          <w:rFonts w:ascii="Times New Roman" w:hAnsi="Times New Roman" w:cs="Times New Roman"/>
          <w:szCs w:val="22"/>
        </w:rPr>
        <w:t xml:space="preserve">dhe </w:t>
      </w:r>
      <w:proofErr w:type="spellStart"/>
      <w:r w:rsidR="007072E2" w:rsidRPr="007A3AD7">
        <w:rPr>
          <w:rFonts w:ascii="Times New Roman" w:hAnsi="Times New Roman" w:cs="Times New Roman"/>
          <w:szCs w:val="22"/>
        </w:rPr>
        <w:t>modeleve</w:t>
      </w:r>
      <w:proofErr w:type="spellEnd"/>
      <w:r w:rsidR="007072E2" w:rsidRPr="007A3AD7">
        <w:rPr>
          <w:rFonts w:ascii="Times New Roman" w:hAnsi="Times New Roman" w:cs="Times New Roman"/>
          <w:szCs w:val="22"/>
        </w:rPr>
        <w:t xml:space="preserve"> </w:t>
      </w:r>
      <w:r w:rsidRPr="007A3AD7">
        <w:rPr>
          <w:rFonts w:ascii="Times New Roman" w:hAnsi="Times New Roman" w:cs="Times New Roman"/>
          <w:szCs w:val="22"/>
        </w:rPr>
        <w:t>t</w:t>
      </w:r>
      <w:r w:rsidR="009A5A0E" w:rsidRPr="007A3AD7">
        <w:rPr>
          <w:rFonts w:ascii="Times New Roman" w:hAnsi="Times New Roman" w:cs="Times New Roman"/>
          <w:szCs w:val="22"/>
        </w:rPr>
        <w:t>ë</w:t>
      </w:r>
      <w:r w:rsidRPr="007A3AD7">
        <w:rPr>
          <w:rFonts w:ascii="Times New Roman" w:hAnsi="Times New Roman" w:cs="Times New Roman"/>
          <w:szCs w:val="22"/>
        </w:rPr>
        <w:t xml:space="preserve"> reja (</w:t>
      </w:r>
      <w:proofErr w:type="spellStart"/>
      <w:r w:rsidRPr="007A3AD7">
        <w:rPr>
          <w:rFonts w:ascii="Times New Roman" w:hAnsi="Times New Roman" w:cs="Times New Roman"/>
          <w:szCs w:val="22"/>
        </w:rPr>
        <w:t>udhëzuesit</w:t>
      </w:r>
      <w:proofErr w:type="spellEnd"/>
      <w:r w:rsidRPr="007A3AD7">
        <w:rPr>
          <w:rFonts w:ascii="Times New Roman" w:hAnsi="Times New Roman" w:cs="Times New Roman"/>
          <w:szCs w:val="22"/>
        </w:rPr>
        <w:t xml:space="preserve"> e </w:t>
      </w:r>
      <w:proofErr w:type="spellStart"/>
      <w:r w:rsidRPr="007A3AD7">
        <w:rPr>
          <w:rFonts w:ascii="Times New Roman" w:hAnsi="Times New Roman" w:cs="Times New Roman"/>
          <w:szCs w:val="22"/>
        </w:rPr>
        <w:t>formularët</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zgjerimi</w:t>
      </w:r>
      <w:proofErr w:type="spellEnd"/>
      <w:r w:rsidRPr="007A3AD7">
        <w:rPr>
          <w:rFonts w:ascii="Times New Roman" w:hAnsi="Times New Roman" w:cs="Times New Roman"/>
          <w:szCs w:val="22"/>
        </w:rPr>
        <w:t xml:space="preserve"> dhe </w:t>
      </w:r>
      <w:proofErr w:type="spellStart"/>
      <w:r w:rsidRPr="007A3AD7">
        <w:rPr>
          <w:rFonts w:ascii="Times New Roman" w:hAnsi="Times New Roman" w:cs="Times New Roman"/>
          <w:szCs w:val="22"/>
        </w:rPr>
        <w:t>fuqizimi</w:t>
      </w:r>
      <w:proofErr w:type="spellEnd"/>
      <w:r w:rsidRPr="007A3AD7">
        <w:rPr>
          <w:rFonts w:ascii="Times New Roman" w:hAnsi="Times New Roman" w:cs="Times New Roman"/>
          <w:szCs w:val="22"/>
        </w:rPr>
        <w:t xml:space="preserve"> i </w:t>
      </w:r>
      <w:proofErr w:type="spellStart"/>
      <w:r w:rsidRPr="007A3AD7">
        <w:rPr>
          <w:rFonts w:ascii="Times New Roman" w:hAnsi="Times New Roman" w:cs="Times New Roman"/>
          <w:szCs w:val="22"/>
        </w:rPr>
        <w:t>strukturave</w:t>
      </w:r>
      <w:proofErr w:type="spellEnd"/>
      <w:r w:rsidRPr="007A3AD7">
        <w:rPr>
          <w:rFonts w:ascii="Times New Roman" w:hAnsi="Times New Roman" w:cs="Times New Roman"/>
          <w:szCs w:val="22"/>
        </w:rPr>
        <w:t xml:space="preserve"> t</w:t>
      </w:r>
      <w:r w:rsidR="009A5A0E" w:rsidRPr="007A3AD7">
        <w:rPr>
          <w:rFonts w:ascii="Times New Roman" w:hAnsi="Times New Roman" w:cs="Times New Roman"/>
          <w:szCs w:val="22"/>
        </w:rPr>
        <w:t>ë</w:t>
      </w:r>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monitorimit</w:t>
      </w:r>
      <w:proofErr w:type="spellEnd"/>
      <w:r w:rsidRPr="007A3AD7">
        <w:rPr>
          <w:rFonts w:ascii="Times New Roman" w:hAnsi="Times New Roman" w:cs="Times New Roman"/>
          <w:szCs w:val="22"/>
        </w:rPr>
        <w:t xml:space="preserve"> dhe t</w:t>
      </w:r>
      <w:r w:rsidR="009A5A0E" w:rsidRPr="007A3AD7">
        <w:rPr>
          <w:rFonts w:ascii="Times New Roman" w:hAnsi="Times New Roman" w:cs="Times New Roman"/>
          <w:szCs w:val="22"/>
        </w:rPr>
        <w:t>ë</w:t>
      </w:r>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kontrollit</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për</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shmangur</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gabimet</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abuzimet</w:t>
      </w:r>
      <w:proofErr w:type="spellEnd"/>
      <w:r w:rsidRPr="007A3AD7">
        <w:rPr>
          <w:rFonts w:ascii="Times New Roman" w:hAnsi="Times New Roman" w:cs="Times New Roman"/>
          <w:szCs w:val="22"/>
        </w:rPr>
        <w:t xml:space="preserve"> dhe </w:t>
      </w:r>
      <w:proofErr w:type="spellStart"/>
      <w:r w:rsidRPr="007A3AD7">
        <w:rPr>
          <w:rFonts w:ascii="Times New Roman" w:hAnsi="Times New Roman" w:cs="Times New Roman"/>
          <w:szCs w:val="22"/>
        </w:rPr>
        <w:t>korrupsionin</w:t>
      </w:r>
      <w:proofErr w:type="spellEnd"/>
      <w:r w:rsidRPr="007A3AD7">
        <w:rPr>
          <w:rFonts w:ascii="Times New Roman" w:hAnsi="Times New Roman" w:cs="Times New Roman"/>
          <w:szCs w:val="22"/>
        </w:rPr>
        <w:t>;</w:t>
      </w:r>
      <w:r w:rsidR="00F03F95"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w:t>
      </w:r>
      <w:r w:rsidR="009A5A0E" w:rsidRPr="007A3AD7">
        <w:rPr>
          <w:rFonts w:ascii="Times New Roman" w:hAnsi="Times New Roman" w:cs="Times New Roman"/>
          <w:szCs w:val="22"/>
        </w:rPr>
        <w:t>ë</w:t>
      </w:r>
      <w:r w:rsidRPr="007A3AD7">
        <w:rPr>
          <w:rFonts w:ascii="Times New Roman" w:hAnsi="Times New Roman" w:cs="Times New Roman"/>
          <w:szCs w:val="22"/>
        </w:rPr>
        <w:t>rmir</w:t>
      </w:r>
      <w:r w:rsidR="009A5A0E" w:rsidRPr="007A3AD7">
        <w:rPr>
          <w:rFonts w:ascii="Times New Roman" w:hAnsi="Times New Roman" w:cs="Times New Roman"/>
          <w:szCs w:val="22"/>
        </w:rPr>
        <w:t>ë</w:t>
      </w:r>
      <w:r w:rsidRPr="007A3AD7">
        <w:rPr>
          <w:rFonts w:ascii="Times New Roman" w:hAnsi="Times New Roman" w:cs="Times New Roman"/>
          <w:szCs w:val="22"/>
        </w:rPr>
        <w:t>simi</w:t>
      </w:r>
      <w:proofErr w:type="spellEnd"/>
      <w:r w:rsidRPr="007A3AD7">
        <w:rPr>
          <w:rFonts w:ascii="Times New Roman" w:hAnsi="Times New Roman" w:cs="Times New Roman"/>
          <w:szCs w:val="22"/>
        </w:rPr>
        <w:t xml:space="preserve"> </w:t>
      </w:r>
      <w:r w:rsidR="007072E2" w:rsidRPr="007A3AD7">
        <w:rPr>
          <w:rFonts w:ascii="Times New Roman" w:hAnsi="Times New Roman" w:cs="Times New Roman"/>
          <w:szCs w:val="22"/>
        </w:rPr>
        <w:t>i</w:t>
      </w:r>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regjistrit</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elektronik</w:t>
      </w:r>
      <w:proofErr w:type="spellEnd"/>
      <w:r w:rsidRPr="007A3AD7">
        <w:rPr>
          <w:rFonts w:ascii="Times New Roman" w:hAnsi="Times New Roman" w:cs="Times New Roman"/>
          <w:szCs w:val="22"/>
        </w:rPr>
        <w:t xml:space="preserve"> t</w:t>
      </w:r>
      <w:r w:rsidR="009A5A0E" w:rsidRPr="007A3AD7">
        <w:rPr>
          <w:rFonts w:ascii="Times New Roman" w:hAnsi="Times New Roman" w:cs="Times New Roman"/>
          <w:szCs w:val="22"/>
        </w:rPr>
        <w:t>ë</w:t>
      </w:r>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aftësisë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kufizuar</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hartimi</w:t>
      </w:r>
      <w:proofErr w:type="spellEnd"/>
      <w:r w:rsidRPr="007A3AD7">
        <w:rPr>
          <w:rFonts w:ascii="Times New Roman" w:hAnsi="Times New Roman" w:cs="Times New Roman"/>
          <w:szCs w:val="22"/>
        </w:rPr>
        <w:t xml:space="preserve"> </w:t>
      </w:r>
      <w:r w:rsidR="007072E2" w:rsidRPr="007A3AD7">
        <w:rPr>
          <w:rFonts w:ascii="Times New Roman" w:hAnsi="Times New Roman" w:cs="Times New Roman"/>
          <w:szCs w:val="22"/>
        </w:rPr>
        <w:t>i</w:t>
      </w:r>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protokolleve</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standar</w:t>
      </w:r>
      <w:r w:rsidR="005D74DA" w:rsidRPr="007A3AD7">
        <w:rPr>
          <w:rFonts w:ascii="Times New Roman" w:hAnsi="Times New Roman" w:cs="Times New Roman"/>
          <w:szCs w:val="22"/>
        </w:rPr>
        <w:t>d</w:t>
      </w:r>
      <w:r w:rsidRPr="007A3AD7">
        <w:rPr>
          <w:rFonts w:ascii="Times New Roman" w:hAnsi="Times New Roman" w:cs="Times New Roman"/>
          <w:szCs w:val="22"/>
        </w:rPr>
        <w:t>izuara</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që</w:t>
      </w:r>
      <w:proofErr w:type="spellEnd"/>
      <w:r w:rsidRPr="007A3AD7">
        <w:rPr>
          <w:rFonts w:ascii="Times New Roman" w:hAnsi="Times New Roman" w:cs="Times New Roman"/>
          <w:szCs w:val="22"/>
        </w:rPr>
        <w:t xml:space="preserve"> do të </w:t>
      </w:r>
      <w:proofErr w:type="spellStart"/>
      <w:r w:rsidRPr="007A3AD7">
        <w:rPr>
          <w:rFonts w:ascii="Times New Roman" w:hAnsi="Times New Roman" w:cs="Times New Roman"/>
          <w:szCs w:val="22"/>
        </w:rPr>
        <w:t>mundësonin</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dhëna</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besueshme</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gjeneruara</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nga</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sistemi</w:t>
      </w:r>
      <w:proofErr w:type="spellEnd"/>
      <w:r w:rsidRPr="007A3AD7">
        <w:rPr>
          <w:rFonts w:ascii="Times New Roman" w:hAnsi="Times New Roman" w:cs="Times New Roman"/>
          <w:szCs w:val="22"/>
        </w:rPr>
        <w:t xml:space="preserve"> i </w:t>
      </w:r>
      <w:proofErr w:type="spellStart"/>
      <w:r w:rsidRPr="007A3AD7">
        <w:rPr>
          <w:rFonts w:ascii="Times New Roman" w:hAnsi="Times New Roman" w:cs="Times New Roman"/>
          <w:szCs w:val="22"/>
        </w:rPr>
        <w:t>vlerësimit</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aftësisë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kafizuar</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rritja</w:t>
      </w:r>
      <w:proofErr w:type="spellEnd"/>
      <w:r w:rsidRPr="007A3AD7">
        <w:rPr>
          <w:rFonts w:ascii="Times New Roman" w:hAnsi="Times New Roman" w:cs="Times New Roman"/>
          <w:szCs w:val="22"/>
        </w:rPr>
        <w:t xml:space="preserve"> e </w:t>
      </w:r>
      <w:proofErr w:type="spellStart"/>
      <w:r w:rsidRPr="007A3AD7">
        <w:rPr>
          <w:rFonts w:ascii="Times New Roman" w:hAnsi="Times New Roman" w:cs="Times New Roman"/>
          <w:szCs w:val="22"/>
        </w:rPr>
        <w:t>kapaciteteve</w:t>
      </w:r>
      <w:proofErr w:type="spellEnd"/>
      <w:r w:rsidRPr="007A3AD7">
        <w:rPr>
          <w:rFonts w:ascii="Times New Roman" w:hAnsi="Times New Roman" w:cs="Times New Roman"/>
          <w:szCs w:val="22"/>
        </w:rPr>
        <w:t xml:space="preserve"> t</w:t>
      </w:r>
      <w:r w:rsidR="009A5A0E" w:rsidRPr="007A3AD7">
        <w:rPr>
          <w:rFonts w:ascii="Times New Roman" w:hAnsi="Times New Roman" w:cs="Times New Roman"/>
          <w:szCs w:val="22"/>
        </w:rPr>
        <w:t>ë</w:t>
      </w:r>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stafit</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në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ekstraktimin</w:t>
      </w:r>
      <w:proofErr w:type="spellEnd"/>
      <w:r w:rsidRPr="007A3AD7">
        <w:rPr>
          <w:rFonts w:ascii="Times New Roman" w:hAnsi="Times New Roman" w:cs="Times New Roman"/>
          <w:szCs w:val="22"/>
        </w:rPr>
        <w:t xml:space="preserve"> e të </w:t>
      </w:r>
      <w:proofErr w:type="spellStart"/>
      <w:r w:rsidRPr="007A3AD7">
        <w:rPr>
          <w:rFonts w:ascii="Times New Roman" w:hAnsi="Times New Roman" w:cs="Times New Roman"/>
          <w:szCs w:val="22"/>
        </w:rPr>
        <w:t>dhënave</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nga</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sistemi</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përpunimin</w:t>
      </w:r>
      <w:proofErr w:type="spellEnd"/>
      <w:r w:rsidRPr="007A3AD7">
        <w:rPr>
          <w:rFonts w:ascii="Times New Roman" w:hAnsi="Times New Roman" w:cs="Times New Roman"/>
          <w:szCs w:val="22"/>
        </w:rPr>
        <w:t xml:space="preserve"> e </w:t>
      </w:r>
      <w:proofErr w:type="spellStart"/>
      <w:r w:rsidRPr="007A3AD7">
        <w:rPr>
          <w:rFonts w:ascii="Times New Roman" w:hAnsi="Times New Roman" w:cs="Times New Roman"/>
          <w:szCs w:val="22"/>
        </w:rPr>
        <w:t>analizën</w:t>
      </w:r>
      <w:proofErr w:type="spellEnd"/>
      <w:r w:rsidRPr="007A3AD7">
        <w:rPr>
          <w:rFonts w:ascii="Times New Roman" w:hAnsi="Times New Roman" w:cs="Times New Roman"/>
          <w:szCs w:val="22"/>
        </w:rPr>
        <w:t xml:space="preserve"> e tyre me </w:t>
      </w:r>
      <w:proofErr w:type="spellStart"/>
      <w:r w:rsidRPr="007A3AD7">
        <w:rPr>
          <w:rFonts w:ascii="Times New Roman" w:hAnsi="Times New Roman" w:cs="Times New Roman"/>
          <w:szCs w:val="22"/>
        </w:rPr>
        <w:t>qëllim</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orientimin</w:t>
      </w:r>
      <w:proofErr w:type="spellEnd"/>
      <w:r w:rsidRPr="007A3AD7">
        <w:rPr>
          <w:rFonts w:ascii="Times New Roman" w:hAnsi="Times New Roman" w:cs="Times New Roman"/>
          <w:szCs w:val="22"/>
        </w:rPr>
        <w:t xml:space="preserve"> e </w:t>
      </w:r>
      <w:proofErr w:type="spellStart"/>
      <w:r w:rsidRPr="007A3AD7">
        <w:rPr>
          <w:rFonts w:ascii="Times New Roman" w:hAnsi="Times New Roman" w:cs="Times New Roman"/>
          <w:szCs w:val="22"/>
        </w:rPr>
        <w:t>politikave</w:t>
      </w:r>
      <w:proofErr w:type="spellEnd"/>
      <w:r w:rsidRPr="007A3AD7">
        <w:rPr>
          <w:rFonts w:ascii="Times New Roman" w:hAnsi="Times New Roman" w:cs="Times New Roman"/>
          <w:szCs w:val="22"/>
        </w:rPr>
        <w:t xml:space="preserve"> dhe </w:t>
      </w:r>
      <w:proofErr w:type="spellStart"/>
      <w:r w:rsidRPr="007A3AD7">
        <w:rPr>
          <w:rFonts w:ascii="Times New Roman" w:hAnsi="Times New Roman" w:cs="Times New Roman"/>
          <w:szCs w:val="22"/>
        </w:rPr>
        <w:t>ngritjen</w:t>
      </w:r>
      <w:proofErr w:type="spellEnd"/>
      <w:r w:rsidRPr="007A3AD7">
        <w:rPr>
          <w:rFonts w:ascii="Times New Roman" w:hAnsi="Times New Roman" w:cs="Times New Roman"/>
          <w:szCs w:val="22"/>
        </w:rPr>
        <w:t xml:space="preserve"> e </w:t>
      </w:r>
      <w:proofErr w:type="spellStart"/>
      <w:r w:rsidRPr="007A3AD7">
        <w:rPr>
          <w:rFonts w:ascii="Times New Roman" w:hAnsi="Times New Roman" w:cs="Times New Roman"/>
          <w:szCs w:val="22"/>
        </w:rPr>
        <w:t>shërbimeve</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konsolidimi</w:t>
      </w:r>
      <w:proofErr w:type="spellEnd"/>
      <w:r w:rsidRPr="007A3AD7">
        <w:rPr>
          <w:rFonts w:ascii="Times New Roman" w:hAnsi="Times New Roman" w:cs="Times New Roman"/>
          <w:szCs w:val="22"/>
        </w:rPr>
        <w:t xml:space="preserve"> </w:t>
      </w:r>
      <w:r w:rsidR="007072E2" w:rsidRPr="007A3AD7">
        <w:rPr>
          <w:rFonts w:ascii="Times New Roman" w:hAnsi="Times New Roman" w:cs="Times New Roman"/>
          <w:szCs w:val="22"/>
        </w:rPr>
        <w:t>i</w:t>
      </w:r>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sistemit</w:t>
      </w:r>
      <w:proofErr w:type="spellEnd"/>
      <w:r w:rsidRPr="007A3AD7">
        <w:rPr>
          <w:rFonts w:ascii="Times New Roman" w:hAnsi="Times New Roman" w:cs="Times New Roman"/>
          <w:szCs w:val="22"/>
        </w:rPr>
        <w:t xml:space="preserve"> t</w:t>
      </w:r>
      <w:r w:rsidR="009A5A0E" w:rsidRPr="007A3AD7">
        <w:rPr>
          <w:rFonts w:ascii="Times New Roman" w:hAnsi="Times New Roman" w:cs="Times New Roman"/>
          <w:szCs w:val="22"/>
        </w:rPr>
        <w:t>ë</w:t>
      </w:r>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referimit</w:t>
      </w:r>
      <w:proofErr w:type="spellEnd"/>
      <w:r w:rsidRPr="007A3AD7">
        <w:rPr>
          <w:rFonts w:ascii="Times New Roman" w:hAnsi="Times New Roman" w:cs="Times New Roman"/>
          <w:szCs w:val="22"/>
        </w:rPr>
        <w:t xml:space="preserve"> t</w:t>
      </w:r>
      <w:r w:rsidR="009A5A0E" w:rsidRPr="007A3AD7">
        <w:rPr>
          <w:rFonts w:ascii="Times New Roman" w:hAnsi="Times New Roman" w:cs="Times New Roman"/>
          <w:szCs w:val="22"/>
        </w:rPr>
        <w:t>ë</w:t>
      </w:r>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përfituesve</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pagesave</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aftësisë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kufizuar</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në</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sistemin</w:t>
      </w:r>
      <w:proofErr w:type="spellEnd"/>
      <w:r w:rsidRPr="007A3AD7">
        <w:rPr>
          <w:rFonts w:ascii="Times New Roman" w:hAnsi="Times New Roman" w:cs="Times New Roman"/>
          <w:szCs w:val="22"/>
        </w:rPr>
        <w:t xml:space="preserve"> e arsimit e </w:t>
      </w:r>
      <w:proofErr w:type="spellStart"/>
      <w:r w:rsidRPr="007A3AD7">
        <w:rPr>
          <w:rFonts w:ascii="Times New Roman" w:hAnsi="Times New Roman" w:cs="Times New Roman"/>
          <w:szCs w:val="22"/>
        </w:rPr>
        <w:t>formimit</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profesional</w:t>
      </w:r>
      <w:proofErr w:type="spellEnd"/>
      <w:r w:rsidRPr="007A3AD7">
        <w:rPr>
          <w:rFonts w:ascii="Times New Roman" w:hAnsi="Times New Roman" w:cs="Times New Roman"/>
          <w:szCs w:val="22"/>
        </w:rPr>
        <w:t xml:space="preserve"> dhe </w:t>
      </w:r>
      <w:proofErr w:type="spellStart"/>
      <w:r w:rsidRPr="007A3AD7">
        <w:rPr>
          <w:rFonts w:ascii="Times New Roman" w:hAnsi="Times New Roman" w:cs="Times New Roman"/>
          <w:szCs w:val="22"/>
        </w:rPr>
        <w:t>punësimit</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si</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edhe</w:t>
      </w:r>
      <w:proofErr w:type="spellEnd"/>
      <w:r w:rsidRPr="007A3AD7">
        <w:rPr>
          <w:rFonts w:ascii="Times New Roman" w:hAnsi="Times New Roman" w:cs="Times New Roman"/>
          <w:szCs w:val="22"/>
        </w:rPr>
        <w:t xml:space="preserve"> </w:t>
      </w:r>
      <w:proofErr w:type="spellStart"/>
      <w:r w:rsidRPr="007A3AD7">
        <w:rPr>
          <w:rFonts w:ascii="Times New Roman" w:hAnsi="Times New Roman" w:cs="Times New Roman"/>
          <w:szCs w:val="22"/>
        </w:rPr>
        <w:t>ndjekja</w:t>
      </w:r>
      <w:proofErr w:type="spellEnd"/>
      <w:r w:rsidRPr="007A3AD7">
        <w:rPr>
          <w:rFonts w:ascii="Times New Roman" w:hAnsi="Times New Roman" w:cs="Times New Roman"/>
          <w:szCs w:val="22"/>
        </w:rPr>
        <w:t xml:space="preserve"> e </w:t>
      </w:r>
      <w:proofErr w:type="spellStart"/>
      <w:r w:rsidRPr="007A3AD7">
        <w:rPr>
          <w:rFonts w:ascii="Times New Roman" w:hAnsi="Times New Roman" w:cs="Times New Roman"/>
          <w:szCs w:val="22"/>
        </w:rPr>
        <w:t>menaxhimit</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integruar</w:t>
      </w:r>
      <w:proofErr w:type="spellEnd"/>
      <w:r w:rsidRPr="007A3AD7">
        <w:rPr>
          <w:rFonts w:ascii="Times New Roman" w:hAnsi="Times New Roman" w:cs="Times New Roman"/>
          <w:szCs w:val="22"/>
        </w:rPr>
        <w:t xml:space="preserve"> të </w:t>
      </w:r>
      <w:proofErr w:type="spellStart"/>
      <w:r w:rsidRPr="007A3AD7">
        <w:rPr>
          <w:rFonts w:ascii="Times New Roman" w:hAnsi="Times New Roman" w:cs="Times New Roman"/>
          <w:szCs w:val="22"/>
        </w:rPr>
        <w:t>rastit</w:t>
      </w:r>
      <w:proofErr w:type="spellEnd"/>
      <w:r w:rsidRPr="007A3AD7">
        <w:rPr>
          <w:rFonts w:ascii="Times New Roman" w:hAnsi="Times New Roman" w:cs="Times New Roman"/>
          <w:szCs w:val="22"/>
        </w:rPr>
        <w:t xml:space="preserve"> me </w:t>
      </w:r>
      <w:proofErr w:type="spellStart"/>
      <w:r w:rsidRPr="007A3AD7">
        <w:rPr>
          <w:rFonts w:ascii="Times New Roman" w:hAnsi="Times New Roman" w:cs="Times New Roman"/>
          <w:szCs w:val="22"/>
        </w:rPr>
        <w:t>institucionet</w:t>
      </w:r>
      <w:proofErr w:type="spellEnd"/>
      <w:r w:rsidRPr="007A3AD7">
        <w:rPr>
          <w:rFonts w:ascii="Times New Roman" w:hAnsi="Times New Roman" w:cs="Times New Roman"/>
          <w:szCs w:val="22"/>
        </w:rPr>
        <w:t xml:space="preserve"> e </w:t>
      </w:r>
      <w:proofErr w:type="spellStart"/>
      <w:r w:rsidRPr="007A3AD7">
        <w:rPr>
          <w:rFonts w:ascii="Times New Roman" w:hAnsi="Times New Roman" w:cs="Times New Roman"/>
          <w:szCs w:val="22"/>
        </w:rPr>
        <w:t>AFP</w:t>
      </w:r>
      <w:r w:rsidR="00480609" w:rsidRPr="007A3AD7">
        <w:rPr>
          <w:rFonts w:ascii="Times New Roman" w:hAnsi="Times New Roman" w:cs="Times New Roman"/>
          <w:szCs w:val="22"/>
        </w:rPr>
        <w:t>-</w:t>
      </w:r>
      <w:r w:rsidRPr="007A3AD7">
        <w:rPr>
          <w:rFonts w:ascii="Times New Roman" w:hAnsi="Times New Roman" w:cs="Times New Roman"/>
          <w:szCs w:val="22"/>
        </w:rPr>
        <w:t>së</w:t>
      </w:r>
      <w:proofErr w:type="spellEnd"/>
      <w:r w:rsidRPr="007A3AD7">
        <w:rPr>
          <w:rFonts w:ascii="Times New Roman" w:hAnsi="Times New Roman" w:cs="Times New Roman"/>
          <w:szCs w:val="22"/>
        </w:rPr>
        <w:t xml:space="preserve"> dhe </w:t>
      </w:r>
      <w:proofErr w:type="spellStart"/>
      <w:r w:rsidRPr="007A3AD7">
        <w:rPr>
          <w:rFonts w:ascii="Times New Roman" w:hAnsi="Times New Roman" w:cs="Times New Roman"/>
          <w:szCs w:val="22"/>
        </w:rPr>
        <w:t>punësimit</w:t>
      </w:r>
      <w:proofErr w:type="spellEnd"/>
      <w:r w:rsidRPr="007A3AD7">
        <w:rPr>
          <w:rFonts w:ascii="Times New Roman" w:hAnsi="Times New Roman" w:cs="Times New Roman"/>
          <w:szCs w:val="22"/>
        </w:rPr>
        <w:t>.</w:t>
      </w:r>
      <w:r w:rsidR="007072E2" w:rsidRPr="007A3AD7">
        <w:rPr>
          <w:rFonts w:ascii="Times New Roman" w:hAnsi="Times New Roman" w:cs="Times New Roman"/>
          <w:szCs w:val="22"/>
        </w:rPr>
        <w:t xml:space="preserve"> </w:t>
      </w:r>
    </w:p>
    <w:p w14:paraId="658D0247" w14:textId="77777777" w:rsidR="00AC1DAE" w:rsidRPr="00F37FFE" w:rsidRDefault="00AC1DAE" w:rsidP="00F37FFE">
      <w:pPr>
        <w:pStyle w:val="Normal0"/>
        <w:numPr>
          <w:ilvl w:val="0"/>
          <w:numId w:val="0"/>
        </w:numPr>
        <w:ind w:left="360"/>
        <w:rPr>
          <w:color w:val="4472C4" w:themeColor="accent1"/>
          <w:lang w:val="pt-BR"/>
        </w:rPr>
      </w:pPr>
    </w:p>
    <w:p w14:paraId="519A9B14" w14:textId="46D3ACCA" w:rsidR="003432EB" w:rsidRPr="00F37FFE" w:rsidRDefault="003432EB" w:rsidP="00F37FFE">
      <w:pPr>
        <w:pStyle w:val="Normal0"/>
        <w:rPr>
          <w:color w:val="4472C4" w:themeColor="accent1"/>
          <w:lang w:val="sq-AL"/>
        </w:rPr>
      </w:pPr>
      <w:r w:rsidRPr="00F37FFE">
        <w:rPr>
          <w:color w:val="4472C4" w:themeColor="accent1"/>
          <w:lang w:val="sq-AL"/>
        </w:rPr>
        <w:t>Forcimi i bashkëpunimit dhe mbështetja e vijueshme për zbatimin efektiv të Fondit Social të Punësimit për personat me Aftësi të Kufizuara</w:t>
      </w:r>
      <w:r w:rsidR="005D74DA" w:rsidRPr="00F37FFE">
        <w:rPr>
          <w:color w:val="4472C4" w:themeColor="accent1"/>
          <w:lang w:val="sq-AL"/>
        </w:rPr>
        <w:t>.</w:t>
      </w:r>
    </w:p>
    <w:p w14:paraId="29060103" w14:textId="4F32420A" w:rsidR="003432EB" w:rsidRDefault="00E54E6B" w:rsidP="003432EB">
      <w:pPr>
        <w:rPr>
          <w:rFonts w:ascii="Times New Roman" w:hAnsi="Times New Roman" w:cs="Times New Roman"/>
          <w:szCs w:val="22"/>
          <w:lang w:val="sq-AL"/>
        </w:rPr>
      </w:pPr>
      <w:r w:rsidRPr="007A3AD7">
        <w:rPr>
          <w:rFonts w:ascii="Times New Roman" w:hAnsi="Times New Roman" w:cs="Times New Roman"/>
          <w:szCs w:val="22"/>
          <w:lang w:val="sq-AL"/>
        </w:rPr>
        <w:t>Fondi social i pun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simit p</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r personat me aft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si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kufizuar </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sht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nj</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instrument i rend</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sish</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m pun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simi i Agjencis</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Komb</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tare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Pun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simit dhe Aft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sive</w:t>
      </w:r>
      <w:r w:rsidR="004B5254" w:rsidRPr="007A3AD7">
        <w:rPr>
          <w:rFonts w:ascii="Times New Roman" w:hAnsi="Times New Roman" w:cs="Times New Roman"/>
          <w:szCs w:val="22"/>
          <w:lang w:val="sq-AL"/>
        </w:rPr>
        <w:t xml:space="preserve"> dhe pjes</w:t>
      </w:r>
      <w:r w:rsidR="009A5A0E" w:rsidRPr="007A3AD7">
        <w:rPr>
          <w:rFonts w:ascii="Times New Roman" w:hAnsi="Times New Roman" w:cs="Times New Roman"/>
          <w:szCs w:val="22"/>
          <w:lang w:val="sq-AL"/>
        </w:rPr>
        <w:t>ë</w:t>
      </w:r>
      <w:r w:rsidR="004B5254" w:rsidRPr="007A3AD7">
        <w:rPr>
          <w:rFonts w:ascii="Times New Roman" w:hAnsi="Times New Roman" w:cs="Times New Roman"/>
          <w:szCs w:val="22"/>
          <w:lang w:val="sq-AL"/>
        </w:rPr>
        <w:t xml:space="preserve"> e Strategjis</w:t>
      </w:r>
      <w:r w:rsidR="009A5A0E" w:rsidRPr="007A3AD7">
        <w:rPr>
          <w:rFonts w:ascii="Times New Roman" w:hAnsi="Times New Roman" w:cs="Times New Roman"/>
          <w:szCs w:val="22"/>
          <w:lang w:val="sq-AL"/>
        </w:rPr>
        <w:t>ë</w:t>
      </w:r>
      <w:r w:rsidR="004B5254" w:rsidRPr="007A3AD7">
        <w:rPr>
          <w:rFonts w:ascii="Times New Roman" w:hAnsi="Times New Roman" w:cs="Times New Roman"/>
          <w:szCs w:val="22"/>
          <w:lang w:val="sq-AL"/>
        </w:rPr>
        <w:t xml:space="preserve"> Komb</w:t>
      </w:r>
      <w:r w:rsidR="009A5A0E" w:rsidRPr="007A3AD7">
        <w:rPr>
          <w:rFonts w:ascii="Times New Roman" w:hAnsi="Times New Roman" w:cs="Times New Roman"/>
          <w:szCs w:val="22"/>
          <w:lang w:val="sq-AL"/>
        </w:rPr>
        <w:t>ë</w:t>
      </w:r>
      <w:r w:rsidR="004B5254" w:rsidRPr="007A3AD7">
        <w:rPr>
          <w:rFonts w:ascii="Times New Roman" w:hAnsi="Times New Roman" w:cs="Times New Roman"/>
          <w:szCs w:val="22"/>
          <w:lang w:val="sq-AL"/>
        </w:rPr>
        <w:t>tare p</w:t>
      </w:r>
      <w:r w:rsidR="009A5A0E" w:rsidRPr="007A3AD7">
        <w:rPr>
          <w:rFonts w:ascii="Times New Roman" w:hAnsi="Times New Roman" w:cs="Times New Roman"/>
          <w:szCs w:val="22"/>
          <w:lang w:val="sq-AL"/>
        </w:rPr>
        <w:t>ë</w:t>
      </w:r>
      <w:r w:rsidR="004B5254" w:rsidRPr="007A3AD7">
        <w:rPr>
          <w:rFonts w:ascii="Times New Roman" w:hAnsi="Times New Roman" w:cs="Times New Roman"/>
          <w:szCs w:val="22"/>
          <w:lang w:val="sq-AL"/>
        </w:rPr>
        <w:t>r Pun</w:t>
      </w:r>
      <w:r w:rsidR="009A5A0E" w:rsidRPr="007A3AD7">
        <w:rPr>
          <w:rFonts w:ascii="Times New Roman" w:hAnsi="Times New Roman" w:cs="Times New Roman"/>
          <w:szCs w:val="22"/>
          <w:lang w:val="sq-AL"/>
        </w:rPr>
        <w:t>ë</w:t>
      </w:r>
      <w:r w:rsidR="004B5254" w:rsidRPr="007A3AD7">
        <w:rPr>
          <w:rFonts w:ascii="Times New Roman" w:hAnsi="Times New Roman" w:cs="Times New Roman"/>
          <w:szCs w:val="22"/>
          <w:lang w:val="sq-AL"/>
        </w:rPr>
        <w:t>sim dhe Aft</w:t>
      </w:r>
      <w:r w:rsidR="009A5A0E" w:rsidRPr="007A3AD7">
        <w:rPr>
          <w:rFonts w:ascii="Times New Roman" w:hAnsi="Times New Roman" w:cs="Times New Roman"/>
          <w:szCs w:val="22"/>
          <w:lang w:val="sq-AL"/>
        </w:rPr>
        <w:t>ë</w:t>
      </w:r>
      <w:r w:rsidR="004B5254" w:rsidRPr="007A3AD7">
        <w:rPr>
          <w:rFonts w:ascii="Times New Roman" w:hAnsi="Times New Roman" w:cs="Times New Roman"/>
          <w:szCs w:val="22"/>
          <w:lang w:val="sq-AL"/>
        </w:rPr>
        <w:t>sim 2023-2030 n</w:t>
      </w:r>
      <w:r w:rsidR="009A5A0E" w:rsidRPr="007A3AD7">
        <w:rPr>
          <w:rFonts w:ascii="Times New Roman" w:hAnsi="Times New Roman" w:cs="Times New Roman"/>
          <w:szCs w:val="22"/>
          <w:lang w:val="sq-AL"/>
        </w:rPr>
        <w:t>ë</w:t>
      </w:r>
      <w:r w:rsidR="004B5254" w:rsidRPr="007A3AD7">
        <w:rPr>
          <w:rFonts w:ascii="Times New Roman" w:hAnsi="Times New Roman" w:cs="Times New Roman"/>
          <w:szCs w:val="22"/>
          <w:lang w:val="sq-AL"/>
        </w:rPr>
        <w:t>n mas</w:t>
      </w:r>
      <w:r w:rsidR="009A5A0E" w:rsidRPr="007A3AD7">
        <w:rPr>
          <w:rFonts w:ascii="Times New Roman" w:hAnsi="Times New Roman" w:cs="Times New Roman"/>
          <w:szCs w:val="22"/>
          <w:lang w:val="sq-AL"/>
        </w:rPr>
        <w:t>ë</w:t>
      </w:r>
      <w:r w:rsidR="004B5254" w:rsidRPr="007A3AD7">
        <w:rPr>
          <w:rFonts w:ascii="Times New Roman" w:hAnsi="Times New Roman" w:cs="Times New Roman"/>
          <w:szCs w:val="22"/>
          <w:lang w:val="sq-AL"/>
        </w:rPr>
        <w:t xml:space="preserve">n prioritare " Integrimi në rritje i personave me aftësi të kufizuara në sistemet e zhvillimit të aftësive dhe të tregut të punës". </w:t>
      </w:r>
      <w:r w:rsidR="007C55E7" w:rsidRPr="007A3AD7">
        <w:rPr>
          <w:rFonts w:ascii="Times New Roman" w:hAnsi="Times New Roman" w:cs="Times New Roman"/>
          <w:szCs w:val="22"/>
          <w:lang w:val="sq-AL"/>
        </w:rPr>
        <w:t>Fondi social i pun</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simit </w:t>
      </w:r>
      <w:r w:rsidR="00216173" w:rsidRPr="007A3AD7">
        <w:rPr>
          <w:rFonts w:ascii="Times New Roman" w:hAnsi="Times New Roman" w:cs="Times New Roman"/>
          <w:szCs w:val="22"/>
          <w:lang w:val="sq-AL"/>
        </w:rPr>
        <w:t>pritet t</w:t>
      </w:r>
      <w:r w:rsidR="00E9006B">
        <w:rPr>
          <w:rFonts w:ascii="Times New Roman" w:hAnsi="Times New Roman" w:cs="Times New Roman"/>
          <w:szCs w:val="22"/>
          <w:lang w:val="sq-AL"/>
        </w:rPr>
        <w:t>ë</w:t>
      </w:r>
      <w:r w:rsidR="00216173" w:rsidRPr="007A3AD7">
        <w:rPr>
          <w:rFonts w:ascii="Times New Roman" w:hAnsi="Times New Roman" w:cs="Times New Roman"/>
          <w:szCs w:val="22"/>
          <w:lang w:val="sq-AL"/>
        </w:rPr>
        <w:t xml:space="preserve"> jet</w:t>
      </w:r>
      <w:r w:rsidR="00E9006B">
        <w:rPr>
          <w:rFonts w:ascii="Times New Roman" w:hAnsi="Times New Roman" w:cs="Times New Roman"/>
          <w:szCs w:val="22"/>
          <w:lang w:val="sq-AL"/>
        </w:rPr>
        <w:t>ë</w:t>
      </w:r>
      <w:r w:rsidR="00216173" w:rsidRPr="007A3AD7">
        <w:rPr>
          <w:rFonts w:ascii="Times New Roman" w:hAnsi="Times New Roman" w:cs="Times New Roman"/>
          <w:szCs w:val="22"/>
          <w:lang w:val="sq-AL"/>
        </w:rPr>
        <w:t xml:space="preserve"> </w:t>
      </w:r>
      <w:r w:rsidR="007C55E7" w:rsidRPr="007A3AD7">
        <w:rPr>
          <w:rFonts w:ascii="Times New Roman" w:hAnsi="Times New Roman" w:cs="Times New Roman"/>
          <w:szCs w:val="22"/>
          <w:lang w:val="sq-AL"/>
        </w:rPr>
        <w:t xml:space="preserve">operacional </w:t>
      </w:r>
      <w:r w:rsidR="00216173" w:rsidRPr="007A3AD7">
        <w:rPr>
          <w:rFonts w:ascii="Times New Roman" w:hAnsi="Times New Roman" w:cs="Times New Roman"/>
          <w:szCs w:val="22"/>
          <w:lang w:val="sq-AL"/>
        </w:rPr>
        <w:t xml:space="preserve">ne vitin 2024, </w:t>
      </w:r>
      <w:r w:rsidR="007C55E7" w:rsidRPr="007A3AD7">
        <w:rPr>
          <w:rFonts w:ascii="Times New Roman" w:hAnsi="Times New Roman" w:cs="Times New Roman"/>
          <w:szCs w:val="22"/>
          <w:lang w:val="sq-AL"/>
        </w:rPr>
        <w:t>me p</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rfshirjen e Drejtoris</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s</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Tatimeve p</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r t</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mbledhur detyrimet nga pun</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dh</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n</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sit sipas ligjit. Institucionet nd</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rmjet</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suese dhe ato pun</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dh</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n</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se k</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rkohet t</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ken</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angazhime t</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rend</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sishme p</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r përshtatjen e hapësirave të shërbimeve të punësimit dhe institucioneve të arsimit dhe formimit profesional, duke bërë ndërhyrje në infrastrukturë, teknologji dhe zhvillim kapacitetesh për stafin. </w:t>
      </w:r>
      <w:r w:rsidR="00216173" w:rsidRPr="007A3AD7">
        <w:rPr>
          <w:rFonts w:ascii="Times New Roman" w:hAnsi="Times New Roman" w:cs="Times New Roman"/>
          <w:szCs w:val="22"/>
          <w:lang w:val="sq-AL"/>
        </w:rPr>
        <w:t>N</w:t>
      </w:r>
      <w:r w:rsidR="007C55E7" w:rsidRPr="007A3AD7">
        <w:rPr>
          <w:rFonts w:ascii="Times New Roman" w:hAnsi="Times New Roman" w:cs="Times New Roman"/>
          <w:szCs w:val="22"/>
          <w:lang w:val="sq-AL"/>
        </w:rPr>
        <w:t>d</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rsa institucione</w:t>
      </w:r>
      <w:r w:rsidR="00216173" w:rsidRPr="007A3AD7">
        <w:rPr>
          <w:rFonts w:ascii="Times New Roman" w:hAnsi="Times New Roman" w:cs="Times New Roman"/>
          <w:szCs w:val="22"/>
          <w:lang w:val="sq-AL"/>
        </w:rPr>
        <w:t>t</w:t>
      </w:r>
      <w:r w:rsidR="007C55E7" w:rsidRPr="007A3AD7">
        <w:rPr>
          <w:rFonts w:ascii="Times New Roman" w:hAnsi="Times New Roman" w:cs="Times New Roman"/>
          <w:szCs w:val="22"/>
          <w:lang w:val="sq-AL"/>
        </w:rPr>
        <w:t xml:space="preserve"> </w:t>
      </w:r>
      <w:r w:rsidR="00216173" w:rsidRPr="007A3AD7">
        <w:rPr>
          <w:rFonts w:ascii="Times New Roman" w:hAnsi="Times New Roman" w:cs="Times New Roman"/>
          <w:szCs w:val="22"/>
          <w:lang w:val="sq-AL"/>
        </w:rPr>
        <w:t>e</w:t>
      </w:r>
      <w:r w:rsidR="007C55E7" w:rsidRPr="007A3AD7">
        <w:rPr>
          <w:rFonts w:ascii="Times New Roman" w:hAnsi="Times New Roman" w:cs="Times New Roman"/>
          <w:szCs w:val="22"/>
          <w:lang w:val="sq-AL"/>
        </w:rPr>
        <w:t xml:space="preserve"> p</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rfshira n</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mbrojtjen sociale </w:t>
      </w:r>
      <w:r w:rsidR="00216173" w:rsidRPr="007A3AD7">
        <w:rPr>
          <w:rFonts w:ascii="Times New Roman" w:hAnsi="Times New Roman" w:cs="Times New Roman"/>
          <w:szCs w:val="22"/>
          <w:lang w:val="sq-AL"/>
        </w:rPr>
        <w:t>duhet</w:t>
      </w:r>
      <w:r w:rsidR="007C55E7" w:rsidRPr="007A3AD7">
        <w:rPr>
          <w:rFonts w:ascii="Times New Roman" w:hAnsi="Times New Roman" w:cs="Times New Roman"/>
          <w:szCs w:val="22"/>
          <w:lang w:val="sq-AL"/>
        </w:rPr>
        <w:t xml:space="preserve"> t</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b</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jn</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nj</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vler</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sim cil</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sor t</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individ</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ve me aft</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si t</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kufizuar p</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r shkall</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n e pun</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sueshm</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ris</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s</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tyre, profilizimin dhe referimin </w:t>
      </w:r>
      <w:r w:rsidR="00216173" w:rsidRPr="007A3AD7">
        <w:rPr>
          <w:rFonts w:ascii="Times New Roman" w:hAnsi="Times New Roman" w:cs="Times New Roman"/>
          <w:szCs w:val="22"/>
          <w:lang w:val="sq-AL"/>
        </w:rPr>
        <w:t xml:space="preserve">efektiv </w:t>
      </w:r>
      <w:r w:rsidR="007C55E7" w:rsidRPr="007A3AD7">
        <w:rPr>
          <w:rFonts w:ascii="Times New Roman" w:hAnsi="Times New Roman" w:cs="Times New Roman"/>
          <w:szCs w:val="22"/>
          <w:lang w:val="sq-AL"/>
        </w:rPr>
        <w:t>n</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zyrat e pun</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simit. Harmonizimi i veprimeve t</w:t>
      </w:r>
      <w:r w:rsidR="009A5A0E" w:rsidRPr="007A3AD7">
        <w:rPr>
          <w:rFonts w:ascii="Times New Roman" w:hAnsi="Times New Roman" w:cs="Times New Roman"/>
          <w:szCs w:val="22"/>
          <w:lang w:val="sq-AL"/>
        </w:rPr>
        <w:t>ë</w:t>
      </w:r>
      <w:r w:rsidR="007C55E7" w:rsidRPr="007A3AD7">
        <w:rPr>
          <w:rFonts w:ascii="Times New Roman" w:hAnsi="Times New Roman" w:cs="Times New Roman"/>
          <w:szCs w:val="22"/>
          <w:lang w:val="sq-AL"/>
        </w:rPr>
        <w:t xml:space="preserve"> </w:t>
      </w:r>
      <w:r w:rsidR="00BD17D4" w:rsidRPr="007A3AD7">
        <w:rPr>
          <w:rFonts w:ascii="Times New Roman" w:hAnsi="Times New Roman" w:cs="Times New Roman"/>
          <w:szCs w:val="22"/>
          <w:lang w:val="sq-AL"/>
        </w:rPr>
        <w:t>Strategjis</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s</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Mbrojtjes Shoq</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rore dhe t</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Strategjis</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s</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Pun</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simit dhe analizat periodike p</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r p</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rmir</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simin e zbatueshm</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ris</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s</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tyre jan</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thelb</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sore p</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r t</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plot</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suar objektivat e pun</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simit dhe p</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r t</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b</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r</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t</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suksessh</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m Fondin Social t</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 Pun</w:t>
      </w:r>
      <w:r w:rsidR="009A5A0E" w:rsidRPr="007A3AD7">
        <w:rPr>
          <w:rFonts w:ascii="Times New Roman" w:hAnsi="Times New Roman" w:cs="Times New Roman"/>
          <w:szCs w:val="22"/>
          <w:lang w:val="sq-AL"/>
        </w:rPr>
        <w:t>ë</w:t>
      </w:r>
      <w:r w:rsidR="00BD17D4" w:rsidRPr="007A3AD7">
        <w:rPr>
          <w:rFonts w:ascii="Times New Roman" w:hAnsi="Times New Roman" w:cs="Times New Roman"/>
          <w:szCs w:val="22"/>
          <w:lang w:val="sq-AL"/>
        </w:rPr>
        <w:t xml:space="preserve">simit. </w:t>
      </w:r>
    </w:p>
    <w:p w14:paraId="553BFA52" w14:textId="77777777" w:rsidR="00CE1867" w:rsidRPr="007A3AD7" w:rsidRDefault="00CE1867" w:rsidP="003432EB">
      <w:pPr>
        <w:rPr>
          <w:rFonts w:ascii="Times New Roman" w:hAnsi="Times New Roman" w:cs="Times New Roman"/>
          <w:szCs w:val="22"/>
          <w:lang w:val="sq-AL"/>
        </w:rPr>
      </w:pPr>
    </w:p>
    <w:p w14:paraId="66619E3D" w14:textId="34F3B8AF" w:rsidR="003432EB" w:rsidRPr="00F37FFE" w:rsidRDefault="003432EB" w:rsidP="00F37FFE">
      <w:pPr>
        <w:pStyle w:val="Normal0"/>
        <w:rPr>
          <w:color w:val="4472C4" w:themeColor="accent1"/>
          <w:lang w:val="sq-AL"/>
        </w:rPr>
      </w:pPr>
      <w:r w:rsidRPr="00F37FFE">
        <w:rPr>
          <w:color w:val="4472C4" w:themeColor="accent1"/>
          <w:lang w:val="sq-AL"/>
        </w:rPr>
        <w:t>Përmirësimi përfitimeve dhe bashkepunimit ndër-sektorial me fokus fëmijët, vajzat dhe djemtë në skemën e ndihmës ekonomike me synim promovimin e mirëqënies së tyre</w:t>
      </w:r>
      <w:r w:rsidR="00450E4F" w:rsidRPr="00F37FFE">
        <w:rPr>
          <w:color w:val="4472C4" w:themeColor="accent1"/>
          <w:lang w:val="sq-AL"/>
        </w:rPr>
        <w:t>.</w:t>
      </w:r>
    </w:p>
    <w:p w14:paraId="583CA7A6" w14:textId="77777777" w:rsidR="00B830E0" w:rsidRDefault="00B830E0" w:rsidP="003432EB">
      <w:pPr>
        <w:rPr>
          <w:rFonts w:ascii="Times New Roman" w:hAnsi="Times New Roman" w:cs="Times New Roman"/>
          <w:szCs w:val="22"/>
          <w:lang w:val="sq-AL"/>
        </w:rPr>
      </w:pPr>
    </w:p>
    <w:p w14:paraId="4A00754F" w14:textId="014D5501" w:rsidR="003432EB" w:rsidRPr="007A3AD7" w:rsidRDefault="00B7421C" w:rsidP="003432EB">
      <w:pPr>
        <w:rPr>
          <w:rFonts w:ascii="Times New Roman" w:hAnsi="Times New Roman" w:cs="Times New Roman"/>
          <w:szCs w:val="22"/>
          <w:lang w:val="sq-AL"/>
        </w:rPr>
      </w:pPr>
      <w:r w:rsidRPr="007A3AD7">
        <w:rPr>
          <w:rFonts w:ascii="Times New Roman" w:hAnsi="Times New Roman" w:cs="Times New Roman"/>
          <w:szCs w:val="22"/>
          <w:lang w:val="sq-AL"/>
        </w:rPr>
        <w:t>Analiza të mëparshme kanë theksuar nevojën për të ofruar mbështetje të mëtejshme për familjet me fëmijë (të vegjël) 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kushtet e pamjaftueshmërisë s</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skemave ekzistuese të mbështetjes në para</w:t>
      </w:r>
      <w:r w:rsidR="00450E4F" w:rsidRPr="007A3AD7">
        <w:rPr>
          <w:rFonts w:ascii="Times New Roman" w:hAnsi="Times New Roman" w:cs="Times New Roman"/>
          <w:szCs w:val="22"/>
          <w:lang w:val="sq-AL"/>
        </w:rPr>
        <w:t xml:space="preserve"> dhe p</w:t>
      </w:r>
      <w:r w:rsidR="00E9006B">
        <w:rPr>
          <w:rFonts w:ascii="Times New Roman" w:hAnsi="Times New Roman" w:cs="Times New Roman"/>
          <w:szCs w:val="22"/>
          <w:lang w:val="sq-AL"/>
        </w:rPr>
        <w:t>ë</w:t>
      </w:r>
      <w:r w:rsidR="00450E4F" w:rsidRPr="007A3AD7">
        <w:rPr>
          <w:rFonts w:ascii="Times New Roman" w:hAnsi="Times New Roman" w:cs="Times New Roman"/>
          <w:szCs w:val="22"/>
          <w:lang w:val="sq-AL"/>
        </w:rPr>
        <w:t>rfitimeve t</w:t>
      </w:r>
      <w:r w:rsidR="00E9006B">
        <w:rPr>
          <w:rFonts w:ascii="Times New Roman" w:hAnsi="Times New Roman" w:cs="Times New Roman"/>
          <w:szCs w:val="22"/>
          <w:lang w:val="sq-AL"/>
        </w:rPr>
        <w:t>ë</w:t>
      </w:r>
      <w:r w:rsidR="00450E4F" w:rsidRPr="007A3AD7">
        <w:rPr>
          <w:rFonts w:ascii="Times New Roman" w:hAnsi="Times New Roman" w:cs="Times New Roman"/>
          <w:szCs w:val="22"/>
          <w:lang w:val="sq-AL"/>
        </w:rPr>
        <w:t xml:space="preserve"> tjera</w:t>
      </w:r>
      <w:r w:rsidRPr="007A3AD7">
        <w:rPr>
          <w:rFonts w:ascii="Times New Roman" w:hAnsi="Times New Roman" w:cs="Times New Roman"/>
          <w:szCs w:val="22"/>
          <w:lang w:val="sq-AL"/>
        </w:rPr>
        <w:t>. Aktualisht ekzistojn</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 xml:space="preserve"> disa p</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 xml:space="preserve">rfitime </w:t>
      </w:r>
      <w:r w:rsidRPr="007A3AD7">
        <w:rPr>
          <w:rFonts w:ascii="Times New Roman" w:hAnsi="Times New Roman" w:cs="Times New Roman"/>
          <w:szCs w:val="22"/>
          <w:lang w:val="sq-AL"/>
        </w:rPr>
        <w:t>p</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r</w:t>
      </w:r>
      <w:r w:rsidR="00BF64E0" w:rsidRPr="007A3AD7">
        <w:rPr>
          <w:rFonts w:ascii="Times New Roman" w:hAnsi="Times New Roman" w:cs="Times New Roman"/>
          <w:szCs w:val="22"/>
          <w:lang w:val="sq-AL"/>
        </w:rPr>
        <w:t xml:space="preserve"> p</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rmir</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simin e mir</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qenies s</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 xml:space="preserve"> f</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mijve n</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 xml:space="preserve"> familjet n</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 xml:space="preserve"> ndihm</w:t>
      </w:r>
      <w:r w:rsidR="009A5A0E" w:rsidRPr="007A3AD7">
        <w:rPr>
          <w:rFonts w:ascii="Times New Roman" w:hAnsi="Times New Roman" w:cs="Times New Roman"/>
          <w:szCs w:val="22"/>
          <w:lang w:val="sq-AL"/>
        </w:rPr>
        <w:t>ë</w:t>
      </w:r>
      <w:r w:rsidR="00BF64E0" w:rsidRPr="007A3AD7">
        <w:rPr>
          <w:rFonts w:ascii="Times New Roman" w:hAnsi="Times New Roman" w:cs="Times New Roman"/>
          <w:szCs w:val="22"/>
          <w:lang w:val="sq-AL"/>
        </w:rPr>
        <w:t xml:space="preserve"> ekonomike. </w:t>
      </w:r>
      <w:r w:rsidR="00F4478F" w:rsidRPr="007A3AD7">
        <w:rPr>
          <w:rFonts w:ascii="Times New Roman" w:hAnsi="Times New Roman" w:cs="Times New Roman"/>
          <w:szCs w:val="22"/>
          <w:lang w:val="sq-AL"/>
        </w:rPr>
        <w:t>T</w:t>
      </w:r>
      <w:r w:rsidR="009A5A0E" w:rsidRPr="007A3AD7">
        <w:rPr>
          <w:rFonts w:ascii="Times New Roman" w:hAnsi="Times New Roman" w:cs="Times New Roman"/>
          <w:szCs w:val="22"/>
          <w:lang w:val="sq-AL"/>
        </w:rPr>
        <w:t>ë</w:t>
      </w:r>
      <w:r w:rsidR="00F4478F" w:rsidRPr="007A3AD7">
        <w:rPr>
          <w:rFonts w:ascii="Times New Roman" w:hAnsi="Times New Roman" w:cs="Times New Roman"/>
          <w:szCs w:val="22"/>
          <w:lang w:val="sq-AL"/>
        </w:rPr>
        <w:t xml:space="preserve"> tilla jan</w:t>
      </w:r>
      <w:r w:rsidR="009A5A0E" w:rsidRPr="007A3AD7">
        <w:rPr>
          <w:rFonts w:ascii="Times New Roman" w:hAnsi="Times New Roman" w:cs="Times New Roman"/>
          <w:szCs w:val="22"/>
          <w:lang w:val="sq-AL"/>
        </w:rPr>
        <w:t>ë</w:t>
      </w:r>
      <w:r w:rsidR="00F4478F" w:rsidRPr="007A3AD7">
        <w:rPr>
          <w:rFonts w:ascii="Times New Roman" w:hAnsi="Times New Roman" w:cs="Times New Roman"/>
          <w:szCs w:val="22"/>
          <w:lang w:val="sq-AL"/>
        </w:rPr>
        <w:t xml:space="preserve"> bonusi i bebes p</w:t>
      </w:r>
      <w:r w:rsidR="009A5A0E" w:rsidRPr="007A3AD7">
        <w:rPr>
          <w:rFonts w:ascii="Times New Roman" w:hAnsi="Times New Roman" w:cs="Times New Roman"/>
          <w:szCs w:val="22"/>
          <w:lang w:val="sq-AL"/>
        </w:rPr>
        <w:t>ë</w:t>
      </w:r>
      <w:r w:rsidR="00F4478F" w:rsidRPr="007A3AD7">
        <w:rPr>
          <w:rFonts w:ascii="Times New Roman" w:hAnsi="Times New Roman" w:cs="Times New Roman"/>
          <w:szCs w:val="22"/>
          <w:lang w:val="sq-AL"/>
        </w:rPr>
        <w:t xml:space="preserve">r </w:t>
      </w:r>
      <w:r w:rsidR="00450E4F" w:rsidRPr="007A3AD7">
        <w:rPr>
          <w:rFonts w:ascii="Times New Roman" w:hAnsi="Times New Roman" w:cs="Times New Roman"/>
          <w:szCs w:val="22"/>
          <w:lang w:val="sq-AL"/>
        </w:rPr>
        <w:t>ç</w:t>
      </w:r>
      <w:r w:rsidR="00F4478F" w:rsidRPr="007A3AD7">
        <w:rPr>
          <w:rFonts w:ascii="Times New Roman" w:hAnsi="Times New Roman" w:cs="Times New Roman"/>
          <w:szCs w:val="22"/>
          <w:lang w:val="sq-AL"/>
        </w:rPr>
        <w:t>do f</w:t>
      </w:r>
      <w:r w:rsidR="009A5A0E" w:rsidRPr="007A3AD7">
        <w:rPr>
          <w:rFonts w:ascii="Times New Roman" w:hAnsi="Times New Roman" w:cs="Times New Roman"/>
          <w:szCs w:val="22"/>
          <w:lang w:val="sq-AL"/>
        </w:rPr>
        <w:t>ë</w:t>
      </w:r>
      <w:r w:rsidR="00F4478F" w:rsidRPr="007A3AD7">
        <w:rPr>
          <w:rFonts w:ascii="Times New Roman" w:hAnsi="Times New Roman" w:cs="Times New Roman"/>
          <w:szCs w:val="22"/>
          <w:lang w:val="sq-AL"/>
        </w:rPr>
        <w:t>mij</w:t>
      </w:r>
      <w:r w:rsidR="009A5A0E" w:rsidRPr="007A3AD7">
        <w:rPr>
          <w:rFonts w:ascii="Times New Roman" w:hAnsi="Times New Roman" w:cs="Times New Roman"/>
          <w:szCs w:val="22"/>
          <w:lang w:val="sq-AL"/>
        </w:rPr>
        <w:t>ë</w:t>
      </w:r>
      <w:r w:rsidR="00F4478F" w:rsidRPr="007A3AD7">
        <w:rPr>
          <w:rFonts w:ascii="Times New Roman" w:hAnsi="Times New Roman" w:cs="Times New Roman"/>
          <w:szCs w:val="22"/>
          <w:lang w:val="sq-AL"/>
        </w:rPr>
        <w:t xml:space="preserve"> t</w:t>
      </w:r>
      <w:r w:rsidR="009A5A0E" w:rsidRPr="007A3AD7">
        <w:rPr>
          <w:rFonts w:ascii="Times New Roman" w:hAnsi="Times New Roman" w:cs="Times New Roman"/>
          <w:szCs w:val="22"/>
          <w:lang w:val="sq-AL"/>
        </w:rPr>
        <w:t>ë</w:t>
      </w:r>
      <w:r w:rsidR="00F4478F" w:rsidRPr="007A3AD7">
        <w:rPr>
          <w:rFonts w:ascii="Times New Roman" w:hAnsi="Times New Roman" w:cs="Times New Roman"/>
          <w:szCs w:val="22"/>
          <w:lang w:val="sq-AL"/>
        </w:rPr>
        <w:t xml:space="preserve"> lindur, stimul</w:t>
      </w:r>
      <w:r w:rsidR="00450E4F" w:rsidRPr="007A3AD7">
        <w:rPr>
          <w:rFonts w:ascii="Times New Roman" w:hAnsi="Times New Roman" w:cs="Times New Roman"/>
          <w:szCs w:val="22"/>
          <w:lang w:val="sq-AL"/>
        </w:rPr>
        <w:t>i</w:t>
      </w:r>
      <w:r w:rsidR="00F4478F" w:rsidRPr="007A3AD7">
        <w:rPr>
          <w:rFonts w:ascii="Times New Roman" w:hAnsi="Times New Roman" w:cs="Times New Roman"/>
          <w:szCs w:val="22"/>
          <w:lang w:val="sq-AL"/>
        </w:rPr>
        <w:t xml:space="preserve"> financiar p</w:t>
      </w:r>
      <w:r w:rsidR="009A5A0E" w:rsidRPr="007A3AD7">
        <w:rPr>
          <w:rFonts w:ascii="Times New Roman" w:hAnsi="Times New Roman" w:cs="Times New Roman"/>
          <w:szCs w:val="22"/>
          <w:lang w:val="sq-AL"/>
        </w:rPr>
        <w:t>ë</w:t>
      </w:r>
      <w:r w:rsidR="00F4478F" w:rsidRPr="007A3AD7">
        <w:rPr>
          <w:rFonts w:ascii="Times New Roman" w:hAnsi="Times New Roman" w:cs="Times New Roman"/>
          <w:szCs w:val="22"/>
          <w:lang w:val="sq-AL"/>
        </w:rPr>
        <w:t>r rregjistrimin n</w:t>
      </w:r>
      <w:r w:rsidR="009A5A0E" w:rsidRPr="007A3AD7">
        <w:rPr>
          <w:rFonts w:ascii="Times New Roman" w:hAnsi="Times New Roman" w:cs="Times New Roman"/>
          <w:szCs w:val="22"/>
          <w:lang w:val="sq-AL"/>
        </w:rPr>
        <w:t>ë</w:t>
      </w:r>
      <w:r w:rsidR="00F4478F" w:rsidRPr="007A3AD7">
        <w:rPr>
          <w:rFonts w:ascii="Times New Roman" w:hAnsi="Times New Roman" w:cs="Times New Roman"/>
          <w:szCs w:val="22"/>
          <w:lang w:val="sq-AL"/>
        </w:rPr>
        <w:t xml:space="preserve"> shkoll</w:t>
      </w:r>
      <w:r w:rsidR="009A5A0E" w:rsidRPr="007A3AD7">
        <w:rPr>
          <w:rFonts w:ascii="Times New Roman" w:hAnsi="Times New Roman" w:cs="Times New Roman"/>
          <w:szCs w:val="22"/>
          <w:lang w:val="sq-AL"/>
        </w:rPr>
        <w:t>ë</w:t>
      </w:r>
      <w:r w:rsidR="00F4478F" w:rsidRPr="007A3AD7">
        <w:rPr>
          <w:rFonts w:ascii="Times New Roman" w:hAnsi="Times New Roman" w:cs="Times New Roman"/>
          <w:szCs w:val="22"/>
          <w:lang w:val="sq-AL"/>
        </w:rPr>
        <w:t xml:space="preserve"> dhe p</w:t>
      </w:r>
      <w:r w:rsidR="009A5A0E" w:rsidRPr="007A3AD7">
        <w:rPr>
          <w:rFonts w:ascii="Times New Roman" w:hAnsi="Times New Roman" w:cs="Times New Roman"/>
          <w:szCs w:val="22"/>
          <w:lang w:val="sq-AL"/>
        </w:rPr>
        <w:t>ë</w:t>
      </w:r>
      <w:r w:rsidR="00F4478F" w:rsidRPr="007A3AD7">
        <w:rPr>
          <w:rFonts w:ascii="Times New Roman" w:hAnsi="Times New Roman" w:cs="Times New Roman"/>
          <w:szCs w:val="22"/>
          <w:lang w:val="sq-AL"/>
        </w:rPr>
        <w:t>r vaksinimin, tekste shkollore falas, bursa m</w:t>
      </w:r>
      <w:r w:rsidR="009A5A0E" w:rsidRPr="007A3AD7">
        <w:rPr>
          <w:rFonts w:ascii="Times New Roman" w:hAnsi="Times New Roman" w:cs="Times New Roman"/>
          <w:szCs w:val="22"/>
          <w:lang w:val="sq-AL"/>
        </w:rPr>
        <w:t>ë</w:t>
      </w:r>
      <w:r w:rsidR="00F4478F" w:rsidRPr="007A3AD7">
        <w:rPr>
          <w:rFonts w:ascii="Times New Roman" w:hAnsi="Times New Roman" w:cs="Times New Roman"/>
          <w:szCs w:val="22"/>
          <w:lang w:val="sq-AL"/>
        </w:rPr>
        <w:t xml:space="preserve">simore etj. </w:t>
      </w:r>
      <w:r w:rsidR="00B21B83" w:rsidRPr="007A3AD7">
        <w:rPr>
          <w:rFonts w:ascii="Times New Roman" w:hAnsi="Times New Roman" w:cs="Times New Roman"/>
          <w:szCs w:val="22"/>
          <w:lang w:val="sq-AL"/>
        </w:rPr>
        <w:t>Ekzistojn</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dhe sh</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rbime 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tjera q</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merren nga nj</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s</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institucionesh lokale dhe qendrore 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cilat duhen identifikuar dhe analizuar. </w:t>
      </w:r>
      <w:r w:rsidRPr="007A3AD7">
        <w:rPr>
          <w:rFonts w:ascii="Times New Roman" w:hAnsi="Times New Roman" w:cs="Times New Roman"/>
          <w:szCs w:val="22"/>
          <w:lang w:val="sq-AL"/>
        </w:rPr>
        <w:t>Evidentimi i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gjith</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llojeve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p</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rfitimeve dhe sh</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rbimeve, a</w:t>
      </w:r>
      <w:r w:rsidR="00F4478F" w:rsidRPr="007A3AD7">
        <w:rPr>
          <w:rFonts w:ascii="Times New Roman" w:hAnsi="Times New Roman" w:cs="Times New Roman"/>
          <w:szCs w:val="22"/>
          <w:lang w:val="sq-AL"/>
        </w:rPr>
        <w:t xml:space="preserve">naliza </w:t>
      </w:r>
      <w:r w:rsidR="00B21B83" w:rsidRPr="007A3AD7">
        <w:rPr>
          <w:rFonts w:ascii="Times New Roman" w:hAnsi="Times New Roman" w:cs="Times New Roman"/>
          <w:szCs w:val="22"/>
          <w:lang w:val="sq-AL"/>
        </w:rPr>
        <w:t>e kostove q</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lidhen me mir</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rritjen e f</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mij</w:t>
      </w:r>
      <w:r w:rsidR="00E9006B">
        <w:rPr>
          <w:rFonts w:ascii="Times New Roman" w:hAnsi="Times New Roman" w:cs="Times New Roman"/>
          <w:szCs w:val="22"/>
          <w:lang w:val="sq-AL"/>
        </w:rPr>
        <w:t>ë</w:t>
      </w:r>
      <w:r w:rsidR="00B21B83" w:rsidRPr="007A3AD7">
        <w:rPr>
          <w:rFonts w:ascii="Times New Roman" w:hAnsi="Times New Roman" w:cs="Times New Roman"/>
          <w:szCs w:val="22"/>
          <w:lang w:val="sq-AL"/>
        </w:rPr>
        <w:t>ve do 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mund</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sojn</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nd</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rtimin e skenar</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ve 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ndrysh</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m p</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 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p</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rmir</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suar k</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to p</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rfitime. Ekzistojn</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modele dhe praktika nd</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rkomb</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tare mb</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shtetjeje me p</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rfitime p</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 f</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mij</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t n</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familjet n</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ndihm</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ekonomike, 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cilat do 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nj</w:t>
      </w:r>
      <w:r w:rsidR="00450E4F" w:rsidRPr="007A3AD7">
        <w:rPr>
          <w:rFonts w:ascii="Times New Roman" w:hAnsi="Times New Roman" w:cs="Times New Roman"/>
          <w:szCs w:val="22"/>
          <w:lang w:val="sq-AL"/>
        </w:rPr>
        <w:t>i</w:t>
      </w:r>
      <w:r w:rsidR="00B21B83" w:rsidRPr="007A3AD7">
        <w:rPr>
          <w:rFonts w:ascii="Times New Roman" w:hAnsi="Times New Roman" w:cs="Times New Roman"/>
          <w:szCs w:val="22"/>
          <w:lang w:val="sq-AL"/>
        </w:rPr>
        <w:t>hen dhe do 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p</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rdoren p</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 nd</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rtimin e skenar</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ve 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mb</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shtetjes p</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 f</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mij</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t n</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ardhmen. Nj</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material i shkurt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 mbi nj</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skem</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mb</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shtetjeje p</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 f</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mij</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t e grupmosh</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s 0-3 vje</w:t>
      </w:r>
      <w:r w:rsidR="00450E4F" w:rsidRPr="007A3AD7">
        <w:rPr>
          <w:rFonts w:ascii="Times New Roman" w:hAnsi="Times New Roman" w:cs="Times New Roman"/>
          <w:szCs w:val="22"/>
          <w:lang w:val="sq-AL"/>
        </w:rPr>
        <w:t>ç</w:t>
      </w:r>
      <w:r w:rsidR="00B21B83" w:rsidRPr="007A3AD7">
        <w:rPr>
          <w:rFonts w:ascii="Times New Roman" w:hAnsi="Times New Roman" w:cs="Times New Roman"/>
          <w:szCs w:val="22"/>
          <w:lang w:val="sq-AL"/>
        </w:rPr>
        <w:t xml:space="preserve"> </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sht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p</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rgatitur nga ana e Ministris</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s</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Sh</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ndetsis</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dhe Mbrojtjes Sociale. </w:t>
      </w:r>
      <w:r w:rsidR="00450E4F" w:rsidRPr="007A3AD7">
        <w:rPr>
          <w:rFonts w:ascii="Times New Roman" w:hAnsi="Times New Roman" w:cs="Times New Roman"/>
          <w:szCs w:val="22"/>
          <w:lang w:val="sq-AL"/>
        </w:rPr>
        <w:t>Sugjerimet e k</w:t>
      </w:r>
      <w:r w:rsidR="00E9006B">
        <w:rPr>
          <w:rFonts w:ascii="Times New Roman" w:hAnsi="Times New Roman" w:cs="Times New Roman"/>
          <w:szCs w:val="22"/>
          <w:lang w:val="sq-AL"/>
        </w:rPr>
        <w:t>ë</w:t>
      </w:r>
      <w:r w:rsidR="00450E4F" w:rsidRPr="007A3AD7">
        <w:rPr>
          <w:rFonts w:ascii="Times New Roman" w:hAnsi="Times New Roman" w:cs="Times New Roman"/>
          <w:szCs w:val="22"/>
          <w:lang w:val="sq-AL"/>
        </w:rPr>
        <w:t>tij dokumenti synohet t</w:t>
      </w:r>
      <w:r w:rsidR="00E9006B">
        <w:rPr>
          <w:rFonts w:ascii="Times New Roman" w:hAnsi="Times New Roman" w:cs="Times New Roman"/>
          <w:szCs w:val="22"/>
          <w:lang w:val="sq-AL"/>
        </w:rPr>
        <w:t>ë</w:t>
      </w:r>
      <w:r w:rsidR="00450E4F" w:rsidRPr="007A3AD7">
        <w:rPr>
          <w:rFonts w:ascii="Times New Roman" w:hAnsi="Times New Roman" w:cs="Times New Roman"/>
          <w:szCs w:val="22"/>
          <w:lang w:val="sq-AL"/>
        </w:rPr>
        <w:t xml:space="preserve"> pilotohen n</w:t>
      </w:r>
      <w:r w:rsidR="00E9006B">
        <w:rPr>
          <w:rFonts w:ascii="Times New Roman" w:hAnsi="Times New Roman" w:cs="Times New Roman"/>
          <w:szCs w:val="22"/>
          <w:lang w:val="sq-AL"/>
        </w:rPr>
        <w:t>ë</w:t>
      </w:r>
      <w:r w:rsidR="00450E4F" w:rsidRPr="007A3AD7">
        <w:rPr>
          <w:rFonts w:ascii="Times New Roman" w:hAnsi="Times New Roman" w:cs="Times New Roman"/>
          <w:szCs w:val="22"/>
          <w:lang w:val="sq-AL"/>
        </w:rPr>
        <w:t xml:space="preserve"> kuadrin e </w:t>
      </w:r>
      <w:r w:rsidR="00B21B83" w:rsidRPr="007A3AD7">
        <w:rPr>
          <w:rFonts w:ascii="Times New Roman" w:hAnsi="Times New Roman" w:cs="Times New Roman"/>
          <w:szCs w:val="22"/>
          <w:lang w:val="sq-AL"/>
        </w:rPr>
        <w:t>skem</w:t>
      </w:r>
      <w:r w:rsidR="009A5A0E" w:rsidRPr="007A3AD7">
        <w:rPr>
          <w:rFonts w:ascii="Times New Roman" w:hAnsi="Times New Roman" w:cs="Times New Roman"/>
          <w:szCs w:val="22"/>
          <w:lang w:val="sq-AL"/>
        </w:rPr>
        <w:t>ë</w:t>
      </w:r>
      <w:r w:rsidR="00450E4F" w:rsidRPr="007A3AD7">
        <w:rPr>
          <w:rFonts w:ascii="Times New Roman" w:hAnsi="Times New Roman" w:cs="Times New Roman"/>
          <w:szCs w:val="22"/>
          <w:lang w:val="sq-AL"/>
        </w:rPr>
        <w:t>s</w:t>
      </w:r>
      <w:r w:rsidR="00B21B83" w:rsidRPr="007A3AD7">
        <w:rPr>
          <w:rFonts w:ascii="Times New Roman" w:hAnsi="Times New Roman" w:cs="Times New Roman"/>
          <w:szCs w:val="22"/>
          <w:lang w:val="sq-AL"/>
        </w:rPr>
        <w:t xml:space="preserve"> p</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r </w:t>
      </w:r>
      <w:r w:rsidR="00450E4F" w:rsidRPr="007A3AD7">
        <w:rPr>
          <w:rFonts w:ascii="Times New Roman" w:hAnsi="Times New Roman" w:cs="Times New Roman"/>
          <w:szCs w:val="22"/>
          <w:lang w:val="sq-AL"/>
        </w:rPr>
        <w:t>“</w:t>
      </w:r>
      <w:r w:rsidR="00B21B83" w:rsidRPr="007A3AD7">
        <w:rPr>
          <w:rFonts w:ascii="Times New Roman" w:hAnsi="Times New Roman" w:cs="Times New Roman"/>
          <w:szCs w:val="22"/>
          <w:lang w:val="sq-AL"/>
        </w:rPr>
        <w:t>1000 dit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t e para 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jet</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s s</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f</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mij</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s</w:t>
      </w:r>
      <w:r w:rsidR="00450E4F" w:rsidRPr="007A3AD7">
        <w:rPr>
          <w:rFonts w:ascii="Times New Roman" w:hAnsi="Times New Roman" w:cs="Times New Roman"/>
          <w:szCs w:val="22"/>
          <w:lang w:val="sq-AL"/>
        </w:rPr>
        <w:t>”</w:t>
      </w:r>
      <w:r w:rsidR="00B21B83" w:rsidRPr="007A3AD7">
        <w:rPr>
          <w:rFonts w:ascii="Times New Roman" w:hAnsi="Times New Roman" w:cs="Times New Roman"/>
          <w:szCs w:val="22"/>
          <w:lang w:val="sq-AL"/>
        </w:rPr>
        <w:t xml:space="preserve"> dhe m</w:t>
      </w:r>
      <w:r w:rsidR="009A5A0E" w:rsidRPr="007A3AD7">
        <w:rPr>
          <w:rFonts w:ascii="Times New Roman" w:hAnsi="Times New Roman" w:cs="Times New Roman"/>
          <w:szCs w:val="22"/>
          <w:lang w:val="sq-AL"/>
        </w:rPr>
        <w:t>ë</w:t>
      </w:r>
      <w:r w:rsidR="00B21B83" w:rsidRPr="007A3AD7">
        <w:rPr>
          <w:rFonts w:ascii="Times New Roman" w:hAnsi="Times New Roman" w:cs="Times New Roman"/>
          <w:szCs w:val="22"/>
          <w:lang w:val="sq-AL"/>
        </w:rPr>
        <w:t xml:space="preserve"> pas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w:t>
      </w:r>
      <w:r w:rsidR="00450E4F" w:rsidRPr="007A3AD7">
        <w:rPr>
          <w:rFonts w:ascii="Times New Roman" w:hAnsi="Times New Roman" w:cs="Times New Roman"/>
          <w:szCs w:val="22"/>
          <w:lang w:val="sq-AL"/>
        </w:rPr>
        <w:t>vijohet</w:t>
      </w:r>
      <w:r w:rsidRPr="007A3AD7">
        <w:rPr>
          <w:rFonts w:ascii="Times New Roman" w:hAnsi="Times New Roman" w:cs="Times New Roman"/>
          <w:szCs w:val="22"/>
          <w:lang w:val="sq-AL"/>
        </w:rPr>
        <w:t xml:space="preserve"> me zbatimin komb</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tar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saj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mb</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shtetur 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nj</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kuad</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r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mir</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ligjor dhe rregullator. Analiza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vijueshme p</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r impaktin e k</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tyre skemave n</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mir</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qenien e f</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mijve do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kryhen me q</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llim realizimin e modifikimeve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nevojshme. </w:t>
      </w:r>
    </w:p>
    <w:p w14:paraId="3ADBEFAB" w14:textId="77777777" w:rsidR="003432EB" w:rsidRPr="007A3AD7" w:rsidRDefault="003432EB" w:rsidP="003432EB">
      <w:pPr>
        <w:rPr>
          <w:rFonts w:ascii="Times New Roman" w:hAnsi="Times New Roman" w:cs="Times New Roman"/>
          <w:szCs w:val="22"/>
          <w:lang w:val="sq-AL"/>
        </w:rPr>
      </w:pPr>
    </w:p>
    <w:p w14:paraId="131B63DF" w14:textId="485B92C9" w:rsidR="003432EB" w:rsidRPr="00F37FFE" w:rsidRDefault="003432EB" w:rsidP="00F37FFE">
      <w:pPr>
        <w:pStyle w:val="Normal0"/>
        <w:rPr>
          <w:color w:val="4472C4" w:themeColor="accent1"/>
          <w:lang w:val="sq-AL"/>
        </w:rPr>
      </w:pPr>
      <w:r w:rsidRPr="00F37FFE">
        <w:rPr>
          <w:color w:val="4472C4" w:themeColor="accent1"/>
          <w:lang w:val="sq-AL"/>
        </w:rPr>
        <w:t xml:space="preserve">Forcimi i bashkëpunimit ndërsektorial me fokus fëmijët në programin e NE-së dhe plani për </w:t>
      </w:r>
      <w:r w:rsidR="00AF7BFB" w:rsidRPr="00F37FFE">
        <w:rPr>
          <w:color w:val="4472C4" w:themeColor="accent1"/>
          <w:lang w:val="sq-AL"/>
        </w:rPr>
        <w:t>G</w:t>
      </w:r>
      <w:r w:rsidRPr="00F37FFE">
        <w:rPr>
          <w:color w:val="4472C4" w:themeColor="accent1"/>
          <w:lang w:val="sq-AL"/>
        </w:rPr>
        <w:t xml:space="preserve">arancinë e </w:t>
      </w:r>
      <w:r w:rsidR="00FE7CE2">
        <w:rPr>
          <w:color w:val="4472C4" w:themeColor="accent1"/>
          <w:lang w:val="sq-AL"/>
        </w:rPr>
        <w:t>F</w:t>
      </w:r>
      <w:r w:rsidRPr="00F37FFE">
        <w:rPr>
          <w:color w:val="4472C4" w:themeColor="accent1"/>
          <w:lang w:val="sq-AL"/>
        </w:rPr>
        <w:t xml:space="preserve">ëmijëve. </w:t>
      </w:r>
    </w:p>
    <w:p w14:paraId="6D7234E7" w14:textId="434738B6" w:rsidR="00AF7BFB" w:rsidRDefault="00AF7BFB" w:rsidP="00AF7BFB">
      <w:pPr>
        <w:rPr>
          <w:lang w:val="sq-AL"/>
        </w:rPr>
      </w:pPr>
    </w:p>
    <w:p w14:paraId="1A7F93C9" w14:textId="3489EDBA" w:rsidR="00AF7BFB" w:rsidRDefault="00AF7BFB" w:rsidP="00AF7BFB">
      <w:r w:rsidRPr="00817921">
        <w:rPr>
          <w:rFonts w:ascii="Times New Roman" w:hAnsi="Times New Roman" w:cs="Times New Roman"/>
          <w:szCs w:val="22"/>
          <w:lang w:val="sq-AL"/>
        </w:rPr>
        <w:t>Ministria e Sh</w:t>
      </w:r>
      <w:r w:rsidR="00AC2E9D">
        <w:rPr>
          <w:rFonts w:ascii="Times New Roman" w:hAnsi="Times New Roman" w:cs="Times New Roman"/>
          <w:szCs w:val="22"/>
          <w:lang w:val="sq-AL"/>
        </w:rPr>
        <w:t>ë</w:t>
      </w:r>
      <w:r w:rsidRPr="00817921">
        <w:rPr>
          <w:rFonts w:ascii="Times New Roman" w:hAnsi="Times New Roman" w:cs="Times New Roman"/>
          <w:szCs w:val="22"/>
          <w:lang w:val="sq-AL"/>
        </w:rPr>
        <w:t>ndet</w:t>
      </w:r>
      <w:r w:rsidR="00AC2E9D">
        <w:rPr>
          <w:rFonts w:ascii="Times New Roman" w:hAnsi="Times New Roman" w:cs="Times New Roman"/>
          <w:szCs w:val="22"/>
          <w:lang w:val="sq-AL"/>
        </w:rPr>
        <w:t>ë</w:t>
      </w:r>
      <w:r w:rsidRPr="00817921">
        <w:rPr>
          <w:rFonts w:ascii="Times New Roman" w:hAnsi="Times New Roman" w:cs="Times New Roman"/>
          <w:szCs w:val="22"/>
          <w:lang w:val="sq-AL"/>
        </w:rPr>
        <w:t>sis</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dhe Mbrojtjes Sociale ka hedhur hapa t</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r</w:t>
      </w:r>
      <w:r w:rsidR="00AC2E9D">
        <w:rPr>
          <w:rFonts w:ascii="Times New Roman" w:hAnsi="Times New Roman" w:cs="Times New Roman"/>
          <w:szCs w:val="22"/>
          <w:lang w:val="sq-AL"/>
        </w:rPr>
        <w:t>ë</w:t>
      </w:r>
      <w:r w:rsidRPr="00817921">
        <w:rPr>
          <w:rFonts w:ascii="Times New Roman" w:hAnsi="Times New Roman" w:cs="Times New Roman"/>
          <w:szCs w:val="22"/>
          <w:lang w:val="sq-AL"/>
        </w:rPr>
        <w:t>nd</w:t>
      </w:r>
      <w:r w:rsidR="00AC2E9D">
        <w:rPr>
          <w:rFonts w:ascii="Times New Roman" w:hAnsi="Times New Roman" w:cs="Times New Roman"/>
          <w:szCs w:val="22"/>
          <w:lang w:val="sq-AL"/>
        </w:rPr>
        <w:t>ë</w:t>
      </w:r>
      <w:r w:rsidRPr="00817921">
        <w:rPr>
          <w:rFonts w:ascii="Times New Roman" w:hAnsi="Times New Roman" w:cs="Times New Roman"/>
          <w:szCs w:val="22"/>
          <w:lang w:val="sq-AL"/>
        </w:rPr>
        <w:t>sish</w:t>
      </w:r>
      <w:r w:rsidR="00AC2E9D">
        <w:rPr>
          <w:rFonts w:ascii="Times New Roman" w:hAnsi="Times New Roman" w:cs="Times New Roman"/>
          <w:szCs w:val="22"/>
          <w:lang w:val="sq-AL"/>
        </w:rPr>
        <w:t>ë</w:t>
      </w:r>
      <w:r w:rsidRPr="00817921">
        <w:rPr>
          <w:rFonts w:ascii="Times New Roman" w:hAnsi="Times New Roman" w:cs="Times New Roman"/>
          <w:szCs w:val="22"/>
          <w:lang w:val="sq-AL"/>
        </w:rPr>
        <w:t>m dhe konkret drejt nj</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modeli t</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sh</w:t>
      </w:r>
      <w:r w:rsidR="00AC2E9D">
        <w:rPr>
          <w:rFonts w:ascii="Times New Roman" w:hAnsi="Times New Roman" w:cs="Times New Roman"/>
          <w:szCs w:val="22"/>
          <w:lang w:val="sq-AL"/>
        </w:rPr>
        <w:t>ë</w:t>
      </w:r>
      <w:r w:rsidRPr="00817921">
        <w:rPr>
          <w:rFonts w:ascii="Times New Roman" w:hAnsi="Times New Roman" w:cs="Times New Roman"/>
          <w:szCs w:val="22"/>
          <w:lang w:val="sq-AL"/>
        </w:rPr>
        <w:t>rbimeve t</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integruara sh</w:t>
      </w:r>
      <w:r w:rsidR="00AC2E9D">
        <w:rPr>
          <w:rFonts w:ascii="Times New Roman" w:hAnsi="Times New Roman" w:cs="Times New Roman"/>
          <w:szCs w:val="22"/>
          <w:lang w:val="sq-AL"/>
        </w:rPr>
        <w:t>ë</w:t>
      </w:r>
      <w:r w:rsidRPr="00817921">
        <w:rPr>
          <w:rFonts w:ascii="Times New Roman" w:hAnsi="Times New Roman" w:cs="Times New Roman"/>
          <w:szCs w:val="22"/>
          <w:lang w:val="sq-AL"/>
        </w:rPr>
        <w:t>ndet</w:t>
      </w:r>
      <w:r w:rsidR="00AC2E9D">
        <w:rPr>
          <w:rFonts w:ascii="Times New Roman" w:hAnsi="Times New Roman" w:cs="Times New Roman"/>
          <w:szCs w:val="22"/>
          <w:lang w:val="sq-AL"/>
        </w:rPr>
        <w:t>ë</w:t>
      </w:r>
      <w:r w:rsidRPr="00817921">
        <w:rPr>
          <w:rFonts w:ascii="Times New Roman" w:hAnsi="Times New Roman" w:cs="Times New Roman"/>
          <w:szCs w:val="22"/>
          <w:lang w:val="sq-AL"/>
        </w:rPr>
        <w:t>sore dhe t</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mbrojtjes sociale p</w:t>
      </w:r>
      <w:r w:rsidR="00AC2E9D">
        <w:rPr>
          <w:rFonts w:ascii="Times New Roman" w:hAnsi="Times New Roman" w:cs="Times New Roman"/>
          <w:szCs w:val="22"/>
          <w:lang w:val="sq-AL"/>
        </w:rPr>
        <w:t>ë</w:t>
      </w:r>
      <w:r w:rsidRPr="00817921">
        <w:rPr>
          <w:rFonts w:ascii="Times New Roman" w:hAnsi="Times New Roman" w:cs="Times New Roman"/>
          <w:szCs w:val="22"/>
          <w:lang w:val="sq-AL"/>
        </w:rPr>
        <w:t>r f</w:t>
      </w:r>
      <w:r w:rsidR="00AC2E9D">
        <w:rPr>
          <w:rFonts w:ascii="Times New Roman" w:hAnsi="Times New Roman" w:cs="Times New Roman"/>
          <w:szCs w:val="22"/>
          <w:lang w:val="sq-AL"/>
        </w:rPr>
        <w:t>ë</w:t>
      </w:r>
      <w:r w:rsidRPr="00817921">
        <w:rPr>
          <w:rFonts w:ascii="Times New Roman" w:hAnsi="Times New Roman" w:cs="Times New Roman"/>
          <w:szCs w:val="22"/>
          <w:lang w:val="sq-AL"/>
        </w:rPr>
        <w:t>mij</w:t>
      </w:r>
      <w:r w:rsidR="00AC2E9D">
        <w:rPr>
          <w:rFonts w:ascii="Times New Roman" w:hAnsi="Times New Roman" w:cs="Times New Roman"/>
          <w:szCs w:val="22"/>
          <w:lang w:val="sq-AL"/>
        </w:rPr>
        <w:t>ë</w:t>
      </w:r>
      <w:r w:rsidRPr="00817921">
        <w:rPr>
          <w:rFonts w:ascii="Times New Roman" w:hAnsi="Times New Roman" w:cs="Times New Roman"/>
          <w:szCs w:val="22"/>
          <w:lang w:val="sq-AL"/>
        </w:rPr>
        <w:t>t p</w:t>
      </w:r>
      <w:r w:rsidR="00AC2E9D">
        <w:rPr>
          <w:rFonts w:ascii="Times New Roman" w:hAnsi="Times New Roman" w:cs="Times New Roman"/>
          <w:szCs w:val="22"/>
          <w:lang w:val="sq-AL"/>
        </w:rPr>
        <w:t>ë</w:t>
      </w:r>
      <w:r w:rsidRPr="00817921">
        <w:rPr>
          <w:rFonts w:ascii="Times New Roman" w:hAnsi="Times New Roman" w:cs="Times New Roman"/>
          <w:szCs w:val="22"/>
          <w:lang w:val="sq-AL"/>
        </w:rPr>
        <w:t>rfitues t</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skem</w:t>
      </w:r>
      <w:r w:rsidR="00AC2E9D">
        <w:rPr>
          <w:rFonts w:ascii="Times New Roman" w:hAnsi="Times New Roman" w:cs="Times New Roman"/>
          <w:szCs w:val="22"/>
          <w:lang w:val="sq-AL"/>
        </w:rPr>
        <w:t>ë</w:t>
      </w:r>
      <w:r w:rsidRPr="00817921">
        <w:rPr>
          <w:rFonts w:ascii="Times New Roman" w:hAnsi="Times New Roman" w:cs="Times New Roman"/>
          <w:szCs w:val="22"/>
          <w:lang w:val="sq-AL"/>
        </w:rPr>
        <w:t>s s</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ndihm</w:t>
      </w:r>
      <w:r w:rsidR="00AC2E9D">
        <w:rPr>
          <w:rFonts w:ascii="Times New Roman" w:hAnsi="Times New Roman" w:cs="Times New Roman"/>
          <w:szCs w:val="22"/>
          <w:lang w:val="sq-AL"/>
        </w:rPr>
        <w:t>ë</w:t>
      </w:r>
      <w:r w:rsidRPr="00817921">
        <w:rPr>
          <w:rFonts w:ascii="Times New Roman" w:hAnsi="Times New Roman" w:cs="Times New Roman"/>
          <w:szCs w:val="22"/>
          <w:lang w:val="sq-AL"/>
        </w:rPr>
        <w:t>s ekonomike. Nj</w:t>
      </w:r>
      <w:r w:rsidR="00AC2E9D">
        <w:rPr>
          <w:rFonts w:ascii="Times New Roman" w:hAnsi="Times New Roman" w:cs="Times New Roman"/>
          <w:szCs w:val="22"/>
          <w:lang w:val="sq-AL"/>
        </w:rPr>
        <w:t>ë</w:t>
      </w:r>
      <w:r w:rsidRPr="00817921">
        <w:rPr>
          <w:rFonts w:ascii="Times New Roman" w:hAnsi="Times New Roman" w:cs="Times New Roman"/>
          <w:szCs w:val="22"/>
          <w:lang w:val="sq-AL"/>
        </w:rPr>
        <w:t>koh</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sisht lidhja me arsimimin </w:t>
      </w:r>
      <w:r w:rsidR="00AC2E9D">
        <w:rPr>
          <w:rFonts w:ascii="Times New Roman" w:hAnsi="Times New Roman" w:cs="Times New Roman"/>
          <w:szCs w:val="22"/>
          <w:lang w:val="sq-AL"/>
        </w:rPr>
        <w:t>ë</w:t>
      </w:r>
      <w:r w:rsidRPr="00817921">
        <w:rPr>
          <w:rFonts w:ascii="Times New Roman" w:hAnsi="Times New Roman" w:cs="Times New Roman"/>
          <w:szCs w:val="22"/>
          <w:lang w:val="sq-AL"/>
        </w:rPr>
        <w:t>sht</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thelb</w:t>
      </w:r>
      <w:r w:rsidR="00AC2E9D">
        <w:rPr>
          <w:rFonts w:ascii="Times New Roman" w:hAnsi="Times New Roman" w:cs="Times New Roman"/>
          <w:szCs w:val="22"/>
          <w:lang w:val="sq-AL"/>
        </w:rPr>
        <w:t>ë</w:t>
      </w:r>
      <w:r w:rsidRPr="00817921">
        <w:rPr>
          <w:rFonts w:ascii="Times New Roman" w:hAnsi="Times New Roman" w:cs="Times New Roman"/>
          <w:szCs w:val="22"/>
          <w:lang w:val="sq-AL"/>
        </w:rPr>
        <w:t>sore p</w:t>
      </w:r>
      <w:r w:rsidR="00AC2E9D">
        <w:rPr>
          <w:rFonts w:ascii="Times New Roman" w:hAnsi="Times New Roman" w:cs="Times New Roman"/>
          <w:szCs w:val="22"/>
          <w:lang w:val="sq-AL"/>
        </w:rPr>
        <w:t>ë</w:t>
      </w:r>
      <w:r w:rsidRPr="00817921">
        <w:rPr>
          <w:rFonts w:ascii="Times New Roman" w:hAnsi="Times New Roman" w:cs="Times New Roman"/>
          <w:szCs w:val="22"/>
          <w:lang w:val="sq-AL"/>
        </w:rPr>
        <w:t>r t</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garantuar t</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drejt</w:t>
      </w:r>
      <w:r w:rsidR="00AC2E9D">
        <w:rPr>
          <w:rFonts w:ascii="Times New Roman" w:hAnsi="Times New Roman" w:cs="Times New Roman"/>
          <w:szCs w:val="22"/>
          <w:lang w:val="sq-AL"/>
        </w:rPr>
        <w:t>ë</w:t>
      </w:r>
      <w:r w:rsidRPr="00817921">
        <w:rPr>
          <w:rFonts w:ascii="Times New Roman" w:hAnsi="Times New Roman" w:cs="Times New Roman"/>
          <w:szCs w:val="22"/>
          <w:lang w:val="sq-AL"/>
        </w:rPr>
        <w:t>n e f</w:t>
      </w:r>
      <w:r w:rsidR="00AC2E9D">
        <w:rPr>
          <w:rFonts w:ascii="Times New Roman" w:hAnsi="Times New Roman" w:cs="Times New Roman"/>
          <w:szCs w:val="22"/>
          <w:lang w:val="sq-AL"/>
        </w:rPr>
        <w:t>ë</w:t>
      </w:r>
      <w:r w:rsidRPr="00817921">
        <w:rPr>
          <w:rFonts w:ascii="Times New Roman" w:hAnsi="Times New Roman" w:cs="Times New Roman"/>
          <w:szCs w:val="22"/>
          <w:lang w:val="sq-AL"/>
        </w:rPr>
        <w:t>ij</w:t>
      </w:r>
      <w:r w:rsidR="00AC2E9D">
        <w:rPr>
          <w:rFonts w:ascii="Times New Roman" w:hAnsi="Times New Roman" w:cs="Times New Roman"/>
          <w:szCs w:val="22"/>
          <w:lang w:val="sq-AL"/>
        </w:rPr>
        <w:t>ë</w:t>
      </w:r>
      <w:r w:rsidRPr="00817921">
        <w:rPr>
          <w:rFonts w:ascii="Times New Roman" w:hAnsi="Times New Roman" w:cs="Times New Roman"/>
          <w:szCs w:val="22"/>
          <w:lang w:val="sq-AL"/>
        </w:rPr>
        <w:t>ve n</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nevoj</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p</w:t>
      </w:r>
      <w:r w:rsidR="00AC2E9D">
        <w:rPr>
          <w:rFonts w:ascii="Times New Roman" w:hAnsi="Times New Roman" w:cs="Times New Roman"/>
          <w:szCs w:val="22"/>
          <w:lang w:val="sq-AL"/>
        </w:rPr>
        <w:t>ë</w:t>
      </w:r>
      <w:r w:rsidRPr="00817921">
        <w:rPr>
          <w:rFonts w:ascii="Times New Roman" w:hAnsi="Times New Roman" w:cs="Times New Roman"/>
          <w:szCs w:val="22"/>
          <w:lang w:val="sq-AL"/>
        </w:rPr>
        <w:t>r siguruar q</w:t>
      </w:r>
      <w:r w:rsidR="00AC2E9D">
        <w:rPr>
          <w:rFonts w:ascii="Times New Roman" w:hAnsi="Times New Roman" w:cs="Times New Roman"/>
          <w:szCs w:val="22"/>
          <w:lang w:val="sq-AL"/>
        </w:rPr>
        <w:t>ë</w:t>
      </w:r>
      <w:r w:rsidRPr="00817921">
        <w:rPr>
          <w:rFonts w:ascii="Times New Roman" w:hAnsi="Times New Roman" w:cs="Times New Roman"/>
          <w:szCs w:val="22"/>
          <w:lang w:val="sq-AL"/>
        </w:rPr>
        <w:t>ndrimin n</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shkoll</w:t>
      </w:r>
      <w:r w:rsidR="00AC2E9D">
        <w:rPr>
          <w:rFonts w:ascii="Times New Roman" w:hAnsi="Times New Roman" w:cs="Times New Roman"/>
          <w:szCs w:val="22"/>
          <w:lang w:val="sq-AL"/>
        </w:rPr>
        <w:t>ë</w:t>
      </w:r>
      <w:r w:rsidRPr="00817921">
        <w:rPr>
          <w:rFonts w:ascii="Times New Roman" w:hAnsi="Times New Roman" w:cs="Times New Roman"/>
          <w:szCs w:val="22"/>
          <w:lang w:val="sq-AL"/>
        </w:rPr>
        <w:t xml:space="preserve">. </w:t>
      </w:r>
      <w:r>
        <w:rPr>
          <w:rFonts w:ascii="Times New Roman" w:hAnsi="Times New Roman" w:cs="Times New Roman"/>
          <w:szCs w:val="22"/>
          <w:lang w:val="sq-AL"/>
        </w:rPr>
        <w:t>N</w:t>
      </w:r>
      <w:r w:rsidR="00AC2E9D">
        <w:rPr>
          <w:rFonts w:ascii="Times New Roman" w:hAnsi="Times New Roman" w:cs="Times New Roman"/>
          <w:szCs w:val="22"/>
          <w:lang w:val="sq-AL"/>
        </w:rPr>
        <w:t>ë</w:t>
      </w:r>
      <w:r>
        <w:rPr>
          <w:rFonts w:ascii="Times New Roman" w:hAnsi="Times New Roman" w:cs="Times New Roman"/>
          <w:szCs w:val="22"/>
          <w:lang w:val="sq-AL"/>
        </w:rPr>
        <w:t xml:space="preserve"> vecanti, orientimi drejt nj</w:t>
      </w:r>
      <w:r w:rsidR="00AC2E9D">
        <w:rPr>
          <w:rFonts w:ascii="Times New Roman" w:hAnsi="Times New Roman" w:cs="Times New Roman"/>
          <w:szCs w:val="22"/>
          <w:lang w:val="sq-AL"/>
        </w:rPr>
        <w:t>ë</w:t>
      </w:r>
      <w:r>
        <w:rPr>
          <w:rFonts w:ascii="Times New Roman" w:hAnsi="Times New Roman" w:cs="Times New Roman"/>
          <w:szCs w:val="22"/>
          <w:lang w:val="sq-AL"/>
        </w:rPr>
        <w:t xml:space="preserve"> modeli t</w:t>
      </w:r>
      <w:r w:rsidR="00AC2E9D">
        <w:rPr>
          <w:rFonts w:ascii="Times New Roman" w:hAnsi="Times New Roman" w:cs="Times New Roman"/>
          <w:szCs w:val="22"/>
          <w:lang w:val="sq-AL"/>
        </w:rPr>
        <w:t>ë</w:t>
      </w:r>
      <w:r>
        <w:rPr>
          <w:rFonts w:ascii="Times New Roman" w:hAnsi="Times New Roman" w:cs="Times New Roman"/>
          <w:szCs w:val="22"/>
          <w:lang w:val="sq-AL"/>
        </w:rPr>
        <w:t xml:space="preserve"> koordinuar mes sh</w:t>
      </w:r>
      <w:r w:rsidR="00AC2E9D">
        <w:rPr>
          <w:rFonts w:ascii="Times New Roman" w:hAnsi="Times New Roman" w:cs="Times New Roman"/>
          <w:szCs w:val="22"/>
          <w:lang w:val="sq-AL"/>
        </w:rPr>
        <w:t>ë</w:t>
      </w:r>
      <w:r>
        <w:rPr>
          <w:rFonts w:ascii="Times New Roman" w:hAnsi="Times New Roman" w:cs="Times New Roman"/>
          <w:szCs w:val="22"/>
          <w:lang w:val="sq-AL"/>
        </w:rPr>
        <w:t>rbimeve sociale, arsimore dhe sh</w:t>
      </w:r>
      <w:r w:rsidR="00AC2E9D">
        <w:rPr>
          <w:rFonts w:ascii="Times New Roman" w:hAnsi="Times New Roman" w:cs="Times New Roman"/>
          <w:szCs w:val="22"/>
          <w:lang w:val="sq-AL"/>
        </w:rPr>
        <w:t>ë</w:t>
      </w:r>
      <w:r>
        <w:rPr>
          <w:rFonts w:ascii="Times New Roman" w:hAnsi="Times New Roman" w:cs="Times New Roman"/>
          <w:szCs w:val="22"/>
          <w:lang w:val="sq-AL"/>
        </w:rPr>
        <w:t>ndet</w:t>
      </w:r>
      <w:r w:rsidR="00AC2E9D">
        <w:rPr>
          <w:rFonts w:ascii="Times New Roman" w:hAnsi="Times New Roman" w:cs="Times New Roman"/>
          <w:szCs w:val="22"/>
          <w:lang w:val="sq-AL"/>
        </w:rPr>
        <w:t>ë</w:t>
      </w:r>
      <w:r>
        <w:rPr>
          <w:rFonts w:ascii="Times New Roman" w:hAnsi="Times New Roman" w:cs="Times New Roman"/>
          <w:szCs w:val="22"/>
          <w:lang w:val="sq-AL"/>
        </w:rPr>
        <w:t>sor pritet t</w:t>
      </w:r>
      <w:r w:rsidR="00AC2E9D">
        <w:rPr>
          <w:rFonts w:ascii="Times New Roman" w:hAnsi="Times New Roman" w:cs="Times New Roman"/>
          <w:szCs w:val="22"/>
          <w:lang w:val="sq-AL"/>
        </w:rPr>
        <w:t>ë</w:t>
      </w:r>
      <w:r>
        <w:rPr>
          <w:rFonts w:ascii="Times New Roman" w:hAnsi="Times New Roman" w:cs="Times New Roman"/>
          <w:szCs w:val="22"/>
          <w:lang w:val="sq-AL"/>
        </w:rPr>
        <w:t xml:space="preserve"> jet</w:t>
      </w:r>
      <w:r w:rsidR="00AC2E9D">
        <w:rPr>
          <w:rFonts w:ascii="Times New Roman" w:hAnsi="Times New Roman" w:cs="Times New Roman"/>
          <w:szCs w:val="22"/>
          <w:lang w:val="sq-AL"/>
        </w:rPr>
        <w:t>ë</w:t>
      </w:r>
      <w:r>
        <w:rPr>
          <w:rFonts w:ascii="Times New Roman" w:hAnsi="Times New Roman" w:cs="Times New Roman"/>
          <w:szCs w:val="22"/>
          <w:lang w:val="sq-AL"/>
        </w:rPr>
        <w:t xml:space="preserve"> nj</w:t>
      </w:r>
      <w:r w:rsidR="00AC2E9D">
        <w:rPr>
          <w:rFonts w:ascii="Times New Roman" w:hAnsi="Times New Roman" w:cs="Times New Roman"/>
          <w:szCs w:val="22"/>
          <w:lang w:val="sq-AL"/>
        </w:rPr>
        <w:t>ë</w:t>
      </w:r>
      <w:r>
        <w:rPr>
          <w:rFonts w:ascii="Times New Roman" w:hAnsi="Times New Roman" w:cs="Times New Roman"/>
          <w:szCs w:val="22"/>
          <w:lang w:val="sq-AL"/>
        </w:rPr>
        <w:t xml:space="preserve"> prej prioriteteve t</w:t>
      </w:r>
      <w:r w:rsidR="00AC2E9D">
        <w:rPr>
          <w:rFonts w:ascii="Times New Roman" w:hAnsi="Times New Roman" w:cs="Times New Roman"/>
          <w:szCs w:val="22"/>
          <w:lang w:val="sq-AL"/>
        </w:rPr>
        <w:t>ë</w:t>
      </w:r>
      <w:r>
        <w:rPr>
          <w:rFonts w:ascii="Times New Roman" w:hAnsi="Times New Roman" w:cs="Times New Roman"/>
          <w:szCs w:val="22"/>
          <w:lang w:val="sq-AL"/>
        </w:rPr>
        <w:t xml:space="preserve"> strategjis</w:t>
      </w:r>
      <w:r w:rsidR="00AC2E9D">
        <w:rPr>
          <w:rFonts w:ascii="Times New Roman" w:hAnsi="Times New Roman" w:cs="Times New Roman"/>
          <w:szCs w:val="22"/>
          <w:lang w:val="sq-AL"/>
        </w:rPr>
        <w:t>ë</w:t>
      </w:r>
      <w:r>
        <w:rPr>
          <w:rFonts w:ascii="Times New Roman" w:hAnsi="Times New Roman" w:cs="Times New Roman"/>
          <w:szCs w:val="22"/>
          <w:lang w:val="sq-AL"/>
        </w:rPr>
        <w:t xml:space="preserve"> s</w:t>
      </w:r>
      <w:r w:rsidR="00AC2E9D">
        <w:rPr>
          <w:rFonts w:ascii="Times New Roman" w:hAnsi="Times New Roman" w:cs="Times New Roman"/>
          <w:szCs w:val="22"/>
          <w:lang w:val="sq-AL"/>
        </w:rPr>
        <w:t>ë</w:t>
      </w:r>
      <w:r>
        <w:rPr>
          <w:rFonts w:ascii="Times New Roman" w:hAnsi="Times New Roman" w:cs="Times New Roman"/>
          <w:szCs w:val="22"/>
          <w:lang w:val="sq-AL"/>
        </w:rPr>
        <w:t xml:space="preserve"> re p</w:t>
      </w:r>
      <w:r w:rsidR="00AC2E9D">
        <w:rPr>
          <w:rFonts w:ascii="Times New Roman" w:hAnsi="Times New Roman" w:cs="Times New Roman"/>
          <w:szCs w:val="22"/>
          <w:lang w:val="sq-AL"/>
        </w:rPr>
        <w:t>ë</w:t>
      </w:r>
      <w:r>
        <w:rPr>
          <w:rFonts w:ascii="Times New Roman" w:hAnsi="Times New Roman" w:cs="Times New Roman"/>
          <w:szCs w:val="22"/>
          <w:lang w:val="sq-AL"/>
        </w:rPr>
        <w:t>r garantimin e mb</w:t>
      </w:r>
      <w:r w:rsidR="00AC2E9D">
        <w:rPr>
          <w:rFonts w:ascii="Times New Roman" w:hAnsi="Times New Roman" w:cs="Times New Roman"/>
          <w:szCs w:val="22"/>
          <w:lang w:val="sq-AL"/>
        </w:rPr>
        <w:t>ë</w:t>
      </w:r>
      <w:r>
        <w:rPr>
          <w:rFonts w:ascii="Times New Roman" w:hAnsi="Times New Roman" w:cs="Times New Roman"/>
          <w:szCs w:val="22"/>
          <w:lang w:val="sq-AL"/>
        </w:rPr>
        <w:t>shtetjes s</w:t>
      </w:r>
      <w:r w:rsidR="00AC2E9D">
        <w:rPr>
          <w:rFonts w:ascii="Times New Roman" w:hAnsi="Times New Roman" w:cs="Times New Roman"/>
          <w:szCs w:val="22"/>
          <w:lang w:val="sq-AL"/>
        </w:rPr>
        <w:t>ë</w:t>
      </w:r>
      <w:r>
        <w:rPr>
          <w:rFonts w:ascii="Times New Roman" w:hAnsi="Times New Roman" w:cs="Times New Roman"/>
          <w:szCs w:val="22"/>
          <w:lang w:val="sq-AL"/>
        </w:rPr>
        <w:t xml:space="preserve"> f</w:t>
      </w:r>
      <w:r w:rsidR="00AC2E9D">
        <w:rPr>
          <w:rFonts w:ascii="Times New Roman" w:hAnsi="Times New Roman" w:cs="Times New Roman"/>
          <w:szCs w:val="22"/>
          <w:lang w:val="sq-AL"/>
        </w:rPr>
        <w:t>ë</w:t>
      </w:r>
      <w:r>
        <w:rPr>
          <w:rFonts w:ascii="Times New Roman" w:hAnsi="Times New Roman" w:cs="Times New Roman"/>
          <w:szCs w:val="22"/>
          <w:lang w:val="sq-AL"/>
        </w:rPr>
        <w:t>mij</w:t>
      </w:r>
      <w:r w:rsidR="00AC2E9D">
        <w:rPr>
          <w:rFonts w:ascii="Times New Roman" w:hAnsi="Times New Roman" w:cs="Times New Roman"/>
          <w:szCs w:val="22"/>
          <w:lang w:val="sq-AL"/>
        </w:rPr>
        <w:t>ë</w:t>
      </w:r>
      <w:r>
        <w:rPr>
          <w:rFonts w:ascii="Times New Roman" w:hAnsi="Times New Roman" w:cs="Times New Roman"/>
          <w:szCs w:val="22"/>
          <w:lang w:val="sq-AL"/>
        </w:rPr>
        <w:t>ve dhe familjeve. Ky intergim i sh</w:t>
      </w:r>
      <w:r w:rsidR="00AC2E9D">
        <w:rPr>
          <w:rFonts w:ascii="Times New Roman" w:hAnsi="Times New Roman" w:cs="Times New Roman"/>
          <w:szCs w:val="22"/>
          <w:lang w:val="sq-AL"/>
        </w:rPr>
        <w:t>ë</w:t>
      </w:r>
      <w:r>
        <w:rPr>
          <w:rFonts w:ascii="Times New Roman" w:hAnsi="Times New Roman" w:cs="Times New Roman"/>
          <w:szCs w:val="22"/>
          <w:lang w:val="sq-AL"/>
        </w:rPr>
        <w:t>rbimeve nis q</w:t>
      </w:r>
      <w:r w:rsidR="00AC2E9D">
        <w:rPr>
          <w:rFonts w:ascii="Times New Roman" w:hAnsi="Times New Roman" w:cs="Times New Roman"/>
          <w:szCs w:val="22"/>
          <w:lang w:val="sq-AL"/>
        </w:rPr>
        <w:t>ë</w:t>
      </w:r>
      <w:r>
        <w:rPr>
          <w:rFonts w:ascii="Times New Roman" w:hAnsi="Times New Roman" w:cs="Times New Roman"/>
          <w:szCs w:val="22"/>
          <w:lang w:val="sq-AL"/>
        </w:rPr>
        <w:t xml:space="preserve"> n</w:t>
      </w:r>
      <w:r w:rsidR="00AC2E9D">
        <w:rPr>
          <w:rFonts w:ascii="Times New Roman" w:hAnsi="Times New Roman" w:cs="Times New Roman"/>
          <w:szCs w:val="22"/>
          <w:lang w:val="sq-AL"/>
        </w:rPr>
        <w:t>ë</w:t>
      </w:r>
      <w:r>
        <w:rPr>
          <w:rFonts w:ascii="Times New Roman" w:hAnsi="Times New Roman" w:cs="Times New Roman"/>
          <w:szCs w:val="22"/>
          <w:lang w:val="sq-AL"/>
        </w:rPr>
        <w:t xml:space="preserve"> mosh</w:t>
      </w:r>
      <w:r w:rsidR="00AC2E9D">
        <w:rPr>
          <w:rFonts w:ascii="Times New Roman" w:hAnsi="Times New Roman" w:cs="Times New Roman"/>
          <w:szCs w:val="22"/>
          <w:lang w:val="sq-AL"/>
        </w:rPr>
        <w:t>ë</w:t>
      </w:r>
      <w:r>
        <w:rPr>
          <w:rFonts w:ascii="Times New Roman" w:hAnsi="Times New Roman" w:cs="Times New Roman"/>
          <w:szCs w:val="22"/>
          <w:lang w:val="sq-AL"/>
        </w:rPr>
        <w:t>n 0-5 vjec me paket</w:t>
      </w:r>
      <w:r w:rsidR="00AC2E9D">
        <w:rPr>
          <w:rFonts w:ascii="Times New Roman" w:hAnsi="Times New Roman" w:cs="Times New Roman"/>
          <w:szCs w:val="22"/>
          <w:lang w:val="sq-AL"/>
        </w:rPr>
        <w:t>ë</w:t>
      </w:r>
      <w:r>
        <w:rPr>
          <w:rFonts w:ascii="Times New Roman" w:hAnsi="Times New Roman" w:cs="Times New Roman"/>
          <w:szCs w:val="22"/>
          <w:lang w:val="sq-AL"/>
        </w:rPr>
        <w:t>n baz</w:t>
      </w:r>
      <w:r w:rsidR="00AC2E9D">
        <w:rPr>
          <w:rFonts w:ascii="Times New Roman" w:hAnsi="Times New Roman" w:cs="Times New Roman"/>
          <w:szCs w:val="22"/>
          <w:lang w:val="sq-AL"/>
        </w:rPr>
        <w:t>ë</w:t>
      </w:r>
      <w:r>
        <w:rPr>
          <w:rFonts w:ascii="Times New Roman" w:hAnsi="Times New Roman" w:cs="Times New Roman"/>
          <w:szCs w:val="22"/>
          <w:lang w:val="sq-AL"/>
        </w:rPr>
        <w:t xml:space="preserve"> t</w:t>
      </w:r>
      <w:r w:rsidR="00AC2E9D">
        <w:rPr>
          <w:rFonts w:ascii="Times New Roman" w:hAnsi="Times New Roman" w:cs="Times New Roman"/>
          <w:szCs w:val="22"/>
          <w:lang w:val="sq-AL"/>
        </w:rPr>
        <w:t>ë</w:t>
      </w:r>
      <w:r>
        <w:rPr>
          <w:rFonts w:ascii="Times New Roman" w:hAnsi="Times New Roman" w:cs="Times New Roman"/>
          <w:szCs w:val="22"/>
          <w:lang w:val="sq-AL"/>
        </w:rPr>
        <w:t xml:space="preserve"> sh</w:t>
      </w:r>
      <w:r w:rsidR="00AC2E9D">
        <w:rPr>
          <w:rFonts w:ascii="Times New Roman" w:hAnsi="Times New Roman" w:cs="Times New Roman"/>
          <w:szCs w:val="22"/>
          <w:lang w:val="sq-AL"/>
        </w:rPr>
        <w:t>ë</w:t>
      </w:r>
      <w:r>
        <w:rPr>
          <w:rFonts w:ascii="Times New Roman" w:hAnsi="Times New Roman" w:cs="Times New Roman"/>
          <w:szCs w:val="22"/>
          <w:lang w:val="sq-AL"/>
        </w:rPr>
        <w:t>ndetit t</w:t>
      </w:r>
      <w:r w:rsidR="00AC2E9D">
        <w:rPr>
          <w:rFonts w:ascii="Times New Roman" w:hAnsi="Times New Roman" w:cs="Times New Roman"/>
          <w:szCs w:val="22"/>
          <w:lang w:val="sq-AL"/>
        </w:rPr>
        <w:t>ë</w:t>
      </w:r>
      <w:r>
        <w:rPr>
          <w:rFonts w:ascii="Times New Roman" w:hAnsi="Times New Roman" w:cs="Times New Roman"/>
          <w:szCs w:val="22"/>
          <w:lang w:val="sq-AL"/>
        </w:rPr>
        <w:t xml:space="preserve"> kujdesit par</w:t>
      </w:r>
      <w:r w:rsidR="00AC2E9D">
        <w:rPr>
          <w:rFonts w:ascii="Times New Roman" w:hAnsi="Times New Roman" w:cs="Times New Roman"/>
          <w:szCs w:val="22"/>
          <w:lang w:val="sq-AL"/>
        </w:rPr>
        <w:t>ë</w:t>
      </w:r>
      <w:r>
        <w:rPr>
          <w:rFonts w:ascii="Times New Roman" w:hAnsi="Times New Roman" w:cs="Times New Roman"/>
          <w:szCs w:val="22"/>
          <w:lang w:val="sq-AL"/>
        </w:rPr>
        <w:t>sor dhe programit t</w:t>
      </w:r>
      <w:r w:rsidR="00AC2E9D">
        <w:rPr>
          <w:rFonts w:ascii="Times New Roman" w:hAnsi="Times New Roman" w:cs="Times New Roman"/>
          <w:szCs w:val="22"/>
          <w:lang w:val="sq-AL"/>
        </w:rPr>
        <w:t>ë</w:t>
      </w:r>
      <w:r>
        <w:rPr>
          <w:rFonts w:ascii="Times New Roman" w:hAnsi="Times New Roman" w:cs="Times New Roman"/>
          <w:szCs w:val="22"/>
          <w:lang w:val="sq-AL"/>
        </w:rPr>
        <w:t xml:space="preserve"> vizitave t</w:t>
      </w:r>
      <w:r w:rsidR="00AC2E9D">
        <w:rPr>
          <w:rFonts w:ascii="Times New Roman" w:hAnsi="Times New Roman" w:cs="Times New Roman"/>
          <w:szCs w:val="22"/>
          <w:lang w:val="sq-AL"/>
        </w:rPr>
        <w:t>ë</w:t>
      </w:r>
      <w:r>
        <w:rPr>
          <w:rFonts w:ascii="Times New Roman" w:hAnsi="Times New Roman" w:cs="Times New Roman"/>
          <w:szCs w:val="22"/>
          <w:lang w:val="sq-AL"/>
        </w:rPr>
        <w:t xml:space="preserve"> integruara n</w:t>
      </w:r>
      <w:r w:rsidR="00AC2E9D">
        <w:rPr>
          <w:rFonts w:ascii="Times New Roman" w:hAnsi="Times New Roman" w:cs="Times New Roman"/>
          <w:szCs w:val="22"/>
          <w:lang w:val="sq-AL"/>
        </w:rPr>
        <w:t>ë</w:t>
      </w:r>
      <w:r>
        <w:rPr>
          <w:rFonts w:ascii="Times New Roman" w:hAnsi="Times New Roman" w:cs="Times New Roman"/>
          <w:szCs w:val="22"/>
          <w:lang w:val="sq-AL"/>
        </w:rPr>
        <w:t xml:space="preserve"> familje si nj</w:t>
      </w:r>
      <w:r w:rsidR="00AC2E9D">
        <w:rPr>
          <w:rFonts w:ascii="Times New Roman" w:hAnsi="Times New Roman" w:cs="Times New Roman"/>
          <w:szCs w:val="22"/>
          <w:lang w:val="sq-AL"/>
        </w:rPr>
        <w:t>ë</w:t>
      </w:r>
      <w:r>
        <w:rPr>
          <w:rFonts w:ascii="Times New Roman" w:hAnsi="Times New Roman" w:cs="Times New Roman"/>
          <w:szCs w:val="22"/>
          <w:lang w:val="sq-AL"/>
        </w:rPr>
        <w:t xml:space="preserve"> mund</w:t>
      </w:r>
      <w:r w:rsidR="00AC2E9D">
        <w:rPr>
          <w:rFonts w:ascii="Times New Roman" w:hAnsi="Times New Roman" w:cs="Times New Roman"/>
          <w:szCs w:val="22"/>
          <w:lang w:val="sq-AL"/>
        </w:rPr>
        <w:t>ë</w:t>
      </w:r>
      <w:r>
        <w:rPr>
          <w:rFonts w:ascii="Times New Roman" w:hAnsi="Times New Roman" w:cs="Times New Roman"/>
          <w:szCs w:val="22"/>
          <w:lang w:val="sq-AL"/>
        </w:rPr>
        <w:t>si p</w:t>
      </w:r>
      <w:r w:rsidR="00AC2E9D">
        <w:rPr>
          <w:rFonts w:ascii="Times New Roman" w:hAnsi="Times New Roman" w:cs="Times New Roman"/>
          <w:szCs w:val="22"/>
          <w:lang w:val="sq-AL"/>
        </w:rPr>
        <w:t>ë</w:t>
      </w:r>
      <w:r>
        <w:rPr>
          <w:rFonts w:ascii="Times New Roman" w:hAnsi="Times New Roman" w:cs="Times New Roman"/>
          <w:szCs w:val="22"/>
          <w:lang w:val="sq-AL"/>
        </w:rPr>
        <w:t>r t</w:t>
      </w:r>
      <w:r w:rsidR="00AC2E9D">
        <w:rPr>
          <w:rFonts w:ascii="Times New Roman" w:hAnsi="Times New Roman" w:cs="Times New Roman"/>
          <w:szCs w:val="22"/>
          <w:lang w:val="sq-AL"/>
        </w:rPr>
        <w:t>ë</w:t>
      </w:r>
      <w:r>
        <w:rPr>
          <w:rFonts w:ascii="Times New Roman" w:hAnsi="Times New Roman" w:cs="Times New Roman"/>
          <w:szCs w:val="22"/>
          <w:lang w:val="sq-AL"/>
        </w:rPr>
        <w:t xml:space="preserve"> adresuar n</w:t>
      </w:r>
      <w:r w:rsidR="00AC2E9D">
        <w:rPr>
          <w:rFonts w:ascii="Times New Roman" w:hAnsi="Times New Roman" w:cs="Times New Roman"/>
          <w:szCs w:val="22"/>
          <w:lang w:val="sq-AL"/>
        </w:rPr>
        <w:t>ë</w:t>
      </w:r>
      <w:r>
        <w:rPr>
          <w:rFonts w:ascii="Times New Roman" w:hAnsi="Times New Roman" w:cs="Times New Roman"/>
          <w:szCs w:val="22"/>
          <w:lang w:val="sq-AL"/>
        </w:rPr>
        <w:t xml:space="preserve"> vecanti f</w:t>
      </w:r>
      <w:r w:rsidR="00AC2E9D">
        <w:rPr>
          <w:rFonts w:ascii="Times New Roman" w:hAnsi="Times New Roman" w:cs="Times New Roman"/>
          <w:szCs w:val="22"/>
          <w:lang w:val="sq-AL"/>
        </w:rPr>
        <w:t>ë</w:t>
      </w:r>
      <w:r>
        <w:rPr>
          <w:rFonts w:ascii="Times New Roman" w:hAnsi="Times New Roman" w:cs="Times New Roman"/>
          <w:szCs w:val="22"/>
          <w:lang w:val="sq-AL"/>
        </w:rPr>
        <w:t>mij</w:t>
      </w:r>
      <w:r w:rsidR="00AC2E9D">
        <w:rPr>
          <w:rFonts w:ascii="Times New Roman" w:hAnsi="Times New Roman" w:cs="Times New Roman"/>
          <w:szCs w:val="22"/>
          <w:lang w:val="sq-AL"/>
        </w:rPr>
        <w:t>ë</w:t>
      </w:r>
      <w:r>
        <w:rPr>
          <w:rFonts w:ascii="Times New Roman" w:hAnsi="Times New Roman" w:cs="Times New Roman"/>
          <w:szCs w:val="22"/>
          <w:lang w:val="sq-AL"/>
        </w:rPr>
        <w:t xml:space="preserve">t </w:t>
      </w:r>
      <w:r w:rsidRPr="00AF7BFB">
        <w:rPr>
          <w:rFonts w:ascii="Times New Roman" w:hAnsi="Times New Roman" w:cs="Times New Roman"/>
          <w:szCs w:val="22"/>
          <w:lang w:val="sq-AL"/>
        </w:rPr>
        <w:t>vulnerab</w:t>
      </w:r>
      <w:r w:rsidR="00AC2E9D">
        <w:rPr>
          <w:rFonts w:ascii="Times New Roman" w:hAnsi="Times New Roman" w:cs="Times New Roman"/>
          <w:szCs w:val="22"/>
          <w:lang w:val="sq-AL"/>
        </w:rPr>
        <w:t>ë</w:t>
      </w:r>
      <w:r w:rsidRPr="00AF7BFB">
        <w:rPr>
          <w:rFonts w:ascii="Times New Roman" w:hAnsi="Times New Roman" w:cs="Times New Roman"/>
          <w:szCs w:val="22"/>
          <w:lang w:val="sq-AL"/>
        </w:rPr>
        <w:t>l, monitorimin e zhvillimit t</w:t>
      </w:r>
      <w:r w:rsidR="00AC2E9D">
        <w:rPr>
          <w:rFonts w:ascii="Times New Roman" w:hAnsi="Times New Roman" w:cs="Times New Roman"/>
          <w:szCs w:val="22"/>
          <w:lang w:val="sq-AL"/>
        </w:rPr>
        <w:t>ë</w:t>
      </w:r>
      <w:r w:rsidRPr="00AF7BFB">
        <w:rPr>
          <w:rFonts w:ascii="Times New Roman" w:hAnsi="Times New Roman" w:cs="Times New Roman"/>
          <w:szCs w:val="22"/>
          <w:lang w:val="sq-AL"/>
        </w:rPr>
        <w:t xml:space="preserve"> hersh</w:t>
      </w:r>
      <w:r w:rsidR="00AC2E9D">
        <w:rPr>
          <w:rFonts w:ascii="Times New Roman" w:hAnsi="Times New Roman" w:cs="Times New Roman"/>
          <w:szCs w:val="22"/>
          <w:lang w:val="sq-AL"/>
        </w:rPr>
        <w:t>ë</w:t>
      </w:r>
      <w:r w:rsidRPr="00AF7BFB">
        <w:rPr>
          <w:rFonts w:ascii="Times New Roman" w:hAnsi="Times New Roman" w:cs="Times New Roman"/>
          <w:szCs w:val="22"/>
          <w:lang w:val="sq-AL"/>
        </w:rPr>
        <w:t>m dhe identifikimit t</w:t>
      </w:r>
      <w:r w:rsidR="00AC2E9D">
        <w:rPr>
          <w:rFonts w:ascii="Times New Roman" w:hAnsi="Times New Roman" w:cs="Times New Roman"/>
          <w:szCs w:val="22"/>
          <w:lang w:val="sq-AL"/>
        </w:rPr>
        <w:t>ë</w:t>
      </w:r>
      <w:r w:rsidRPr="00AF7BFB">
        <w:rPr>
          <w:rFonts w:ascii="Times New Roman" w:hAnsi="Times New Roman" w:cs="Times New Roman"/>
          <w:szCs w:val="22"/>
          <w:lang w:val="sq-AL"/>
        </w:rPr>
        <w:t xml:space="preserve"> hersh</w:t>
      </w:r>
      <w:r w:rsidR="00AC2E9D">
        <w:rPr>
          <w:rFonts w:ascii="Times New Roman" w:hAnsi="Times New Roman" w:cs="Times New Roman"/>
          <w:szCs w:val="22"/>
          <w:lang w:val="sq-AL"/>
        </w:rPr>
        <w:t>ë</w:t>
      </w:r>
      <w:r w:rsidRPr="00AF7BFB">
        <w:rPr>
          <w:rFonts w:ascii="Times New Roman" w:hAnsi="Times New Roman" w:cs="Times New Roman"/>
          <w:szCs w:val="22"/>
          <w:lang w:val="sq-AL"/>
        </w:rPr>
        <w:t>m t</w:t>
      </w:r>
      <w:r w:rsidR="00AC2E9D">
        <w:rPr>
          <w:rFonts w:ascii="Times New Roman" w:hAnsi="Times New Roman" w:cs="Times New Roman"/>
          <w:szCs w:val="22"/>
          <w:lang w:val="sq-AL"/>
        </w:rPr>
        <w:t>ë</w:t>
      </w:r>
      <w:r w:rsidRPr="00AF7BFB">
        <w:rPr>
          <w:rFonts w:ascii="Times New Roman" w:hAnsi="Times New Roman" w:cs="Times New Roman"/>
          <w:szCs w:val="22"/>
          <w:lang w:val="sq-AL"/>
        </w:rPr>
        <w:t xml:space="preserve"> aft</w:t>
      </w:r>
      <w:r w:rsidR="00AC2E9D">
        <w:rPr>
          <w:rFonts w:ascii="Times New Roman" w:hAnsi="Times New Roman" w:cs="Times New Roman"/>
          <w:szCs w:val="22"/>
          <w:lang w:val="sq-AL"/>
        </w:rPr>
        <w:t>ë</w:t>
      </w:r>
      <w:r w:rsidRPr="00AF7BFB">
        <w:rPr>
          <w:rFonts w:ascii="Times New Roman" w:hAnsi="Times New Roman" w:cs="Times New Roman"/>
          <w:szCs w:val="22"/>
          <w:lang w:val="sq-AL"/>
        </w:rPr>
        <w:t>sis</w:t>
      </w:r>
      <w:r w:rsidR="00AC2E9D">
        <w:rPr>
          <w:rFonts w:ascii="Times New Roman" w:hAnsi="Times New Roman" w:cs="Times New Roman"/>
          <w:szCs w:val="22"/>
          <w:lang w:val="sq-AL"/>
        </w:rPr>
        <w:t>ë</w:t>
      </w:r>
      <w:r w:rsidRPr="00AF7BFB">
        <w:rPr>
          <w:rFonts w:ascii="Times New Roman" w:hAnsi="Times New Roman" w:cs="Times New Roman"/>
          <w:szCs w:val="22"/>
          <w:lang w:val="sq-AL"/>
        </w:rPr>
        <w:t xml:space="preserve"> s</w:t>
      </w:r>
      <w:r w:rsidR="00AC2E9D">
        <w:rPr>
          <w:rFonts w:ascii="Times New Roman" w:hAnsi="Times New Roman" w:cs="Times New Roman"/>
          <w:szCs w:val="22"/>
          <w:lang w:val="sq-AL"/>
        </w:rPr>
        <w:t>ë</w:t>
      </w:r>
      <w:r w:rsidRPr="00AF7BFB">
        <w:rPr>
          <w:rFonts w:ascii="Times New Roman" w:hAnsi="Times New Roman" w:cs="Times New Roman"/>
          <w:szCs w:val="22"/>
          <w:lang w:val="sq-AL"/>
        </w:rPr>
        <w:t xml:space="preserve"> kufizua si dhe nxitjen e bashk</w:t>
      </w:r>
      <w:r w:rsidR="00AC2E9D">
        <w:rPr>
          <w:rFonts w:ascii="Times New Roman" w:hAnsi="Times New Roman" w:cs="Times New Roman"/>
          <w:szCs w:val="22"/>
          <w:lang w:val="sq-AL"/>
        </w:rPr>
        <w:t>ë</w:t>
      </w:r>
      <w:r w:rsidRPr="00AF7BFB">
        <w:rPr>
          <w:rFonts w:ascii="Times New Roman" w:hAnsi="Times New Roman" w:cs="Times New Roman"/>
          <w:szCs w:val="22"/>
          <w:lang w:val="sq-AL"/>
        </w:rPr>
        <w:t>punimit nd</w:t>
      </w:r>
      <w:r w:rsidR="00AC2E9D">
        <w:rPr>
          <w:rFonts w:ascii="Times New Roman" w:hAnsi="Times New Roman" w:cs="Times New Roman"/>
          <w:szCs w:val="22"/>
          <w:lang w:val="sq-AL"/>
        </w:rPr>
        <w:t>ë</w:t>
      </w:r>
      <w:r w:rsidRPr="00AF7BFB">
        <w:rPr>
          <w:rFonts w:ascii="Times New Roman" w:hAnsi="Times New Roman" w:cs="Times New Roman"/>
          <w:szCs w:val="22"/>
          <w:lang w:val="sq-AL"/>
        </w:rPr>
        <w:t>rsektorial p</w:t>
      </w:r>
      <w:r w:rsidR="00AC2E9D">
        <w:rPr>
          <w:rFonts w:ascii="Times New Roman" w:hAnsi="Times New Roman" w:cs="Times New Roman"/>
          <w:szCs w:val="22"/>
          <w:lang w:val="sq-AL"/>
        </w:rPr>
        <w:t>ë</w:t>
      </w:r>
      <w:r w:rsidRPr="00AF7BFB">
        <w:rPr>
          <w:rFonts w:ascii="Times New Roman" w:hAnsi="Times New Roman" w:cs="Times New Roman"/>
          <w:szCs w:val="22"/>
          <w:lang w:val="sq-AL"/>
        </w:rPr>
        <w:t>r t</w:t>
      </w:r>
      <w:r w:rsidR="00AC2E9D">
        <w:rPr>
          <w:rFonts w:ascii="Times New Roman" w:hAnsi="Times New Roman" w:cs="Times New Roman"/>
          <w:szCs w:val="22"/>
          <w:lang w:val="sq-AL"/>
        </w:rPr>
        <w:t>ë</w:t>
      </w:r>
      <w:r w:rsidRPr="00AF7BFB">
        <w:rPr>
          <w:rFonts w:ascii="Times New Roman" w:hAnsi="Times New Roman" w:cs="Times New Roman"/>
          <w:szCs w:val="22"/>
          <w:lang w:val="sq-AL"/>
        </w:rPr>
        <w:t xml:space="preserve"> sigruar ndjekjen e treguesve t</w:t>
      </w:r>
      <w:r w:rsidR="00AC2E9D">
        <w:rPr>
          <w:rFonts w:ascii="Times New Roman" w:hAnsi="Times New Roman" w:cs="Times New Roman"/>
          <w:szCs w:val="22"/>
          <w:lang w:val="sq-AL"/>
        </w:rPr>
        <w:t>ë</w:t>
      </w:r>
      <w:r w:rsidRPr="00AF7BFB">
        <w:rPr>
          <w:rFonts w:ascii="Times New Roman" w:hAnsi="Times New Roman" w:cs="Times New Roman"/>
          <w:szCs w:val="22"/>
          <w:lang w:val="sq-AL"/>
        </w:rPr>
        <w:t xml:space="preserve"> zhvillimit t</w:t>
      </w:r>
      <w:r w:rsidR="00AC2E9D">
        <w:rPr>
          <w:rFonts w:ascii="Times New Roman" w:hAnsi="Times New Roman" w:cs="Times New Roman"/>
          <w:szCs w:val="22"/>
          <w:lang w:val="sq-AL"/>
        </w:rPr>
        <w:t>ë</w:t>
      </w:r>
      <w:r w:rsidRPr="00AF7BFB">
        <w:rPr>
          <w:rFonts w:ascii="Times New Roman" w:hAnsi="Times New Roman" w:cs="Times New Roman"/>
          <w:szCs w:val="22"/>
          <w:lang w:val="sq-AL"/>
        </w:rPr>
        <w:t xml:space="preserve"> f</w:t>
      </w:r>
      <w:r w:rsidR="00AC2E9D">
        <w:rPr>
          <w:rFonts w:ascii="Times New Roman" w:hAnsi="Times New Roman" w:cs="Times New Roman"/>
          <w:szCs w:val="22"/>
          <w:lang w:val="sq-AL"/>
        </w:rPr>
        <w:t>ë</w:t>
      </w:r>
      <w:r w:rsidRPr="00AF7BFB">
        <w:rPr>
          <w:rFonts w:ascii="Times New Roman" w:hAnsi="Times New Roman" w:cs="Times New Roman"/>
          <w:szCs w:val="22"/>
          <w:lang w:val="sq-AL"/>
        </w:rPr>
        <w:t>mij</w:t>
      </w:r>
      <w:r w:rsidR="00AC2E9D">
        <w:rPr>
          <w:rFonts w:ascii="Times New Roman" w:hAnsi="Times New Roman" w:cs="Times New Roman"/>
          <w:szCs w:val="22"/>
          <w:lang w:val="sq-AL"/>
        </w:rPr>
        <w:t>ë</w:t>
      </w:r>
      <w:r w:rsidRPr="00AF7BFB">
        <w:rPr>
          <w:rFonts w:ascii="Times New Roman" w:hAnsi="Times New Roman" w:cs="Times New Roman"/>
          <w:szCs w:val="22"/>
          <w:lang w:val="sq-AL"/>
        </w:rPr>
        <w:t xml:space="preserve">s. </w:t>
      </w:r>
      <w:r w:rsidRPr="00817921">
        <w:rPr>
          <w:rFonts w:ascii="Times New Roman" w:hAnsi="Times New Roman" w:cs="Times New Roman"/>
        </w:rPr>
        <w:t xml:space="preserve">Ky program </w:t>
      </w:r>
      <w:proofErr w:type="spellStart"/>
      <w:r w:rsidRPr="00817921">
        <w:rPr>
          <w:rFonts w:ascii="Times New Roman" w:hAnsi="Times New Roman" w:cs="Times New Roman"/>
        </w:rPr>
        <w:t>a</w:t>
      </w:r>
      <w:r w:rsidR="00FE7CE2">
        <w:rPr>
          <w:rFonts w:ascii="Times New Roman" w:hAnsi="Times New Roman" w:cs="Times New Roman"/>
        </w:rPr>
        <w:t>k</w:t>
      </w:r>
      <w:r w:rsidRPr="00817921">
        <w:rPr>
          <w:rFonts w:ascii="Times New Roman" w:hAnsi="Times New Roman" w:cs="Times New Roman"/>
        </w:rPr>
        <w:t>tualisht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po</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zbatohet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FE7CE2">
        <w:rPr>
          <w:rFonts w:ascii="Times New Roman" w:hAnsi="Times New Roman" w:cs="Times New Roman"/>
        </w:rPr>
        <w:t>qarqet</w:t>
      </w:r>
      <w:proofErr w:type="spellEnd"/>
      <w:r w:rsidRPr="00FE7CE2">
        <w:rPr>
          <w:rFonts w:ascii="Times New Roman" w:hAnsi="Times New Roman" w:cs="Times New Roman"/>
        </w:rPr>
        <w:t xml:space="preserve"> Tiran</w:t>
      </w:r>
      <w:r w:rsidR="00AC2E9D" w:rsidRPr="00FE7CE2">
        <w:rPr>
          <w:rFonts w:ascii="Times New Roman" w:hAnsi="Times New Roman" w:cs="Times New Roman"/>
        </w:rPr>
        <w:t>ë</w:t>
      </w:r>
      <w:r w:rsidRPr="00FE7CE2">
        <w:rPr>
          <w:rFonts w:ascii="Times New Roman" w:hAnsi="Times New Roman" w:cs="Times New Roman"/>
        </w:rPr>
        <w:t xml:space="preserve">, </w:t>
      </w:r>
      <w:proofErr w:type="spellStart"/>
      <w:r w:rsidRPr="00FE7CE2">
        <w:rPr>
          <w:rFonts w:ascii="Times New Roman" w:hAnsi="Times New Roman" w:cs="Times New Roman"/>
        </w:rPr>
        <w:t>Korc</w:t>
      </w:r>
      <w:r w:rsidR="00AC2E9D" w:rsidRPr="00FE7CE2">
        <w:rPr>
          <w:rFonts w:ascii="Times New Roman" w:hAnsi="Times New Roman" w:cs="Times New Roman"/>
        </w:rPr>
        <w:t>ë</w:t>
      </w:r>
      <w:proofErr w:type="spellEnd"/>
      <w:r w:rsidRPr="00FE7CE2">
        <w:rPr>
          <w:rFonts w:ascii="Times New Roman" w:hAnsi="Times New Roman" w:cs="Times New Roman"/>
        </w:rPr>
        <w:t>, Elbasan, Vlor</w:t>
      </w:r>
      <w:r w:rsidR="00AC2E9D" w:rsidRPr="00FE7CE2">
        <w:rPr>
          <w:rFonts w:ascii="Times New Roman" w:hAnsi="Times New Roman" w:cs="Times New Roman"/>
        </w:rPr>
        <w:t>ë</w:t>
      </w:r>
      <w:r w:rsidRPr="00FE7CE2">
        <w:rPr>
          <w:rFonts w:ascii="Times New Roman" w:hAnsi="Times New Roman" w:cs="Times New Roman"/>
        </w:rPr>
        <w:t>, Lezh</w:t>
      </w:r>
      <w:r w:rsidR="00AC2E9D" w:rsidRPr="00FE7CE2">
        <w:rPr>
          <w:rFonts w:ascii="Times New Roman" w:hAnsi="Times New Roman" w:cs="Times New Roman"/>
        </w:rPr>
        <w:t>ë</w:t>
      </w:r>
      <w:r w:rsidRPr="00FE7CE2">
        <w:rPr>
          <w:rFonts w:ascii="Times New Roman" w:hAnsi="Times New Roman" w:cs="Times New Roman"/>
        </w:rPr>
        <w:t xml:space="preserve">, </w:t>
      </w:r>
      <w:proofErr w:type="spellStart"/>
      <w:r w:rsidRPr="00FE7CE2">
        <w:rPr>
          <w:rFonts w:ascii="Times New Roman" w:hAnsi="Times New Roman" w:cs="Times New Roman"/>
        </w:rPr>
        <w:t>Kuk</w:t>
      </w:r>
      <w:r w:rsidR="00AC2E9D" w:rsidRPr="00FE7CE2">
        <w:rPr>
          <w:rFonts w:ascii="Times New Roman" w:hAnsi="Times New Roman" w:cs="Times New Roman"/>
        </w:rPr>
        <w:t>ë</w:t>
      </w:r>
      <w:r w:rsidRPr="00FE7CE2">
        <w:rPr>
          <w:rFonts w:ascii="Times New Roman" w:hAnsi="Times New Roman" w:cs="Times New Roman"/>
        </w:rPr>
        <w:t>s</w:t>
      </w:r>
      <w:proofErr w:type="spellEnd"/>
      <w:r w:rsidRPr="00FE7CE2">
        <w:rPr>
          <w:rFonts w:ascii="Times New Roman" w:hAnsi="Times New Roman" w:cs="Times New Roman"/>
        </w:rPr>
        <w:t xml:space="preserve">, Berat dhe </w:t>
      </w:r>
      <w:proofErr w:type="spellStart"/>
      <w:r w:rsidRPr="00FE7CE2">
        <w:rPr>
          <w:rFonts w:ascii="Times New Roman" w:hAnsi="Times New Roman" w:cs="Times New Roman"/>
        </w:rPr>
        <w:t>synimi</w:t>
      </w:r>
      <w:proofErr w:type="spellEnd"/>
      <w:r w:rsidRPr="00FE7CE2">
        <w:rPr>
          <w:rFonts w:ascii="Times New Roman" w:hAnsi="Times New Roman" w:cs="Times New Roman"/>
        </w:rPr>
        <w:t xml:space="preserve"> </w:t>
      </w:r>
      <w:proofErr w:type="spellStart"/>
      <w:r w:rsidR="00AC2E9D" w:rsidRPr="00FE7CE2">
        <w:rPr>
          <w:rFonts w:ascii="Times New Roman" w:hAnsi="Times New Roman" w:cs="Times New Roman"/>
        </w:rPr>
        <w:t>ë</w:t>
      </w:r>
      <w:r w:rsidRPr="00FE7CE2">
        <w:rPr>
          <w:rFonts w:ascii="Times New Roman" w:hAnsi="Times New Roman" w:cs="Times New Roman"/>
        </w:rPr>
        <w:t>sht</w:t>
      </w:r>
      <w:r w:rsidR="00AC2E9D" w:rsidRPr="00FE7CE2">
        <w:rPr>
          <w:rFonts w:ascii="Times New Roman" w:hAnsi="Times New Roman" w:cs="Times New Roman"/>
        </w:rPr>
        <w:t>ë</w:t>
      </w:r>
      <w:proofErr w:type="spellEnd"/>
      <w:r w:rsidRPr="00FE7CE2">
        <w:rPr>
          <w:rFonts w:ascii="Times New Roman" w:hAnsi="Times New Roman" w:cs="Times New Roman"/>
        </w:rPr>
        <w:t xml:space="preserve"> t</w:t>
      </w:r>
      <w:r w:rsidR="00AC2E9D" w:rsidRPr="00FE7CE2">
        <w:rPr>
          <w:rFonts w:ascii="Times New Roman" w:hAnsi="Times New Roman" w:cs="Times New Roman"/>
        </w:rPr>
        <w:t>ë</w:t>
      </w:r>
      <w:r w:rsidRPr="00FE7CE2">
        <w:rPr>
          <w:rFonts w:ascii="Times New Roman" w:hAnsi="Times New Roman" w:cs="Times New Roman"/>
        </w:rPr>
        <w:t xml:space="preserve"> </w:t>
      </w:r>
      <w:proofErr w:type="spellStart"/>
      <w:r w:rsidRPr="00FE7CE2">
        <w:rPr>
          <w:rFonts w:ascii="Times New Roman" w:hAnsi="Times New Roman" w:cs="Times New Roman"/>
        </w:rPr>
        <w:t>zgjerohet</w:t>
      </w:r>
      <w:proofErr w:type="spellEnd"/>
      <w:r w:rsidRPr="00FE7CE2">
        <w:rPr>
          <w:rFonts w:ascii="Times New Roman" w:hAnsi="Times New Roman" w:cs="Times New Roman"/>
        </w:rPr>
        <w:t xml:space="preserve"> </w:t>
      </w:r>
      <w:proofErr w:type="spellStart"/>
      <w:r w:rsidRPr="00FE7CE2">
        <w:rPr>
          <w:rFonts w:ascii="Times New Roman" w:hAnsi="Times New Roman" w:cs="Times New Roman"/>
        </w:rPr>
        <w:t>n</w:t>
      </w:r>
      <w:r w:rsidR="00AC2E9D" w:rsidRPr="00FE7CE2">
        <w:rPr>
          <w:rFonts w:ascii="Times New Roman" w:hAnsi="Times New Roman" w:cs="Times New Roman"/>
        </w:rPr>
        <w:t>ë</w:t>
      </w:r>
      <w:proofErr w:type="spellEnd"/>
      <w:r w:rsidRPr="00FE7CE2">
        <w:rPr>
          <w:rFonts w:ascii="Times New Roman" w:hAnsi="Times New Roman" w:cs="Times New Roman"/>
        </w:rPr>
        <w:t xml:space="preserve"> t</w:t>
      </w:r>
      <w:r w:rsidR="00AC2E9D" w:rsidRPr="00FE7CE2">
        <w:rPr>
          <w:rFonts w:ascii="Times New Roman" w:hAnsi="Times New Roman" w:cs="Times New Roman"/>
        </w:rPr>
        <w:t>ë</w:t>
      </w:r>
      <w:r w:rsidRPr="00FE7CE2">
        <w:rPr>
          <w:rFonts w:ascii="Times New Roman" w:hAnsi="Times New Roman" w:cs="Times New Roman"/>
        </w:rPr>
        <w:t xml:space="preserve"> </w:t>
      </w:r>
      <w:proofErr w:type="spellStart"/>
      <w:r w:rsidRPr="00FE7CE2">
        <w:rPr>
          <w:rFonts w:ascii="Times New Roman" w:hAnsi="Times New Roman" w:cs="Times New Roman"/>
        </w:rPr>
        <w:t>gjith</w:t>
      </w:r>
      <w:r w:rsidR="00AC2E9D" w:rsidRPr="00FE7CE2">
        <w:rPr>
          <w:rFonts w:ascii="Times New Roman" w:hAnsi="Times New Roman" w:cs="Times New Roman"/>
        </w:rPr>
        <w:t>ë</w:t>
      </w:r>
      <w:proofErr w:type="spellEnd"/>
      <w:r w:rsidRPr="00FE7CE2">
        <w:rPr>
          <w:rFonts w:ascii="Times New Roman" w:hAnsi="Times New Roman" w:cs="Times New Roman"/>
        </w:rPr>
        <w:t xml:space="preserve">  </w:t>
      </w:r>
      <w:proofErr w:type="spellStart"/>
      <w:r w:rsidRPr="00FE7CE2">
        <w:rPr>
          <w:rFonts w:ascii="Times New Roman" w:hAnsi="Times New Roman" w:cs="Times New Roman"/>
        </w:rPr>
        <w:t>territorin</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Hartimi</w:t>
      </w:r>
      <w:proofErr w:type="spellEnd"/>
      <w:r w:rsidRPr="00817921">
        <w:rPr>
          <w:rFonts w:ascii="Times New Roman" w:hAnsi="Times New Roman" w:cs="Times New Roman"/>
        </w:rPr>
        <w:t xml:space="preserve"> </w:t>
      </w:r>
      <w:r w:rsidR="00833D22">
        <w:rPr>
          <w:rFonts w:ascii="Times New Roman" w:hAnsi="Times New Roman" w:cs="Times New Roman"/>
        </w:rPr>
        <w:t>i</w:t>
      </w:r>
      <w:r w:rsidRPr="00817921">
        <w:rPr>
          <w:rFonts w:ascii="Times New Roman" w:hAnsi="Times New Roman" w:cs="Times New Roman"/>
        </w:rPr>
        <w:t xml:space="preserve"> </w:t>
      </w:r>
      <w:proofErr w:type="spellStart"/>
      <w:r w:rsidRPr="00817921">
        <w:rPr>
          <w:rFonts w:ascii="Times New Roman" w:hAnsi="Times New Roman" w:cs="Times New Roman"/>
        </w:rPr>
        <w:t>protokolleve</w:t>
      </w:r>
      <w:proofErr w:type="spellEnd"/>
      <w:r w:rsidRPr="00817921">
        <w:rPr>
          <w:rFonts w:ascii="Times New Roman" w:hAnsi="Times New Roman" w:cs="Times New Roman"/>
        </w:rPr>
        <w:t xml:space="preserve">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p</w:t>
      </w:r>
      <w:r w:rsidR="00AC2E9D">
        <w:rPr>
          <w:rFonts w:ascii="Times New Roman" w:hAnsi="Times New Roman" w:cs="Times New Roman"/>
        </w:rPr>
        <w:t>ë</w:t>
      </w:r>
      <w:r w:rsidRPr="00817921">
        <w:rPr>
          <w:rFonts w:ascii="Times New Roman" w:hAnsi="Times New Roman" w:cs="Times New Roman"/>
        </w:rPr>
        <w:t>rbashk</w:t>
      </w:r>
      <w:r w:rsidR="00AC2E9D">
        <w:rPr>
          <w:rFonts w:ascii="Times New Roman" w:hAnsi="Times New Roman" w:cs="Times New Roman"/>
        </w:rPr>
        <w:t>ë</w:t>
      </w:r>
      <w:r w:rsidRPr="00817921">
        <w:rPr>
          <w:rFonts w:ascii="Times New Roman" w:hAnsi="Times New Roman" w:cs="Times New Roman"/>
        </w:rPr>
        <w:t>ta</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organizimi</w:t>
      </w:r>
      <w:proofErr w:type="spellEnd"/>
      <w:r w:rsidRPr="00817921">
        <w:rPr>
          <w:rFonts w:ascii="Times New Roman" w:hAnsi="Times New Roman" w:cs="Times New Roman"/>
        </w:rPr>
        <w:t xml:space="preserve"> </w:t>
      </w:r>
      <w:r w:rsidR="00FE7CE2">
        <w:rPr>
          <w:rFonts w:ascii="Times New Roman" w:hAnsi="Times New Roman" w:cs="Times New Roman"/>
        </w:rPr>
        <w:t>i</w:t>
      </w:r>
      <w:r w:rsidRPr="00817921">
        <w:rPr>
          <w:rFonts w:ascii="Times New Roman" w:hAnsi="Times New Roman" w:cs="Times New Roman"/>
        </w:rPr>
        <w:t xml:space="preserve"> </w:t>
      </w:r>
      <w:proofErr w:type="spellStart"/>
      <w:r w:rsidRPr="00817921">
        <w:rPr>
          <w:rFonts w:ascii="Times New Roman" w:hAnsi="Times New Roman" w:cs="Times New Roman"/>
        </w:rPr>
        <w:t>tryezave</w:t>
      </w:r>
      <w:proofErr w:type="spellEnd"/>
      <w:r w:rsidRPr="00817921">
        <w:rPr>
          <w:rFonts w:ascii="Times New Roman" w:hAnsi="Times New Roman" w:cs="Times New Roman"/>
        </w:rPr>
        <w:t xml:space="preserve">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p</w:t>
      </w:r>
      <w:r w:rsidR="00AC2E9D">
        <w:rPr>
          <w:rFonts w:ascii="Times New Roman" w:hAnsi="Times New Roman" w:cs="Times New Roman"/>
        </w:rPr>
        <w:t>ë</w:t>
      </w:r>
      <w:r w:rsidRPr="00817921">
        <w:rPr>
          <w:rFonts w:ascii="Times New Roman" w:hAnsi="Times New Roman" w:cs="Times New Roman"/>
        </w:rPr>
        <w:t>rbashk</w:t>
      </w:r>
      <w:r w:rsidR="00AC2E9D">
        <w:rPr>
          <w:rFonts w:ascii="Times New Roman" w:hAnsi="Times New Roman" w:cs="Times New Roman"/>
        </w:rPr>
        <w:t>ë</w:t>
      </w:r>
      <w:r w:rsidRPr="00817921">
        <w:rPr>
          <w:rFonts w:ascii="Times New Roman" w:hAnsi="Times New Roman" w:cs="Times New Roman"/>
        </w:rPr>
        <w:t>ta</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w:t>
      </w:r>
      <w:r w:rsidR="00AC2E9D">
        <w:rPr>
          <w:rFonts w:ascii="Times New Roman" w:hAnsi="Times New Roman" w:cs="Times New Roman"/>
        </w:rPr>
        <w:t>ë</w:t>
      </w:r>
      <w:proofErr w:type="spellEnd"/>
      <w:r w:rsidRPr="00817921">
        <w:rPr>
          <w:rFonts w:ascii="Times New Roman" w:hAnsi="Times New Roman" w:cs="Times New Roman"/>
        </w:rPr>
        <w:t xml:space="preserve"> nivel rajonal </w:t>
      </w:r>
      <w:proofErr w:type="spellStart"/>
      <w:r w:rsidRPr="00817921">
        <w:rPr>
          <w:rFonts w:ascii="Times New Roman" w:hAnsi="Times New Roman" w:cs="Times New Roman"/>
        </w:rPr>
        <w:t>mes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sh</w:t>
      </w:r>
      <w:r w:rsidR="00AC2E9D">
        <w:rPr>
          <w:rFonts w:ascii="Times New Roman" w:hAnsi="Times New Roman" w:cs="Times New Roman"/>
        </w:rPr>
        <w:t>ë</w:t>
      </w:r>
      <w:r w:rsidRPr="00817921">
        <w:rPr>
          <w:rFonts w:ascii="Times New Roman" w:hAnsi="Times New Roman" w:cs="Times New Roman"/>
        </w:rPr>
        <w:t>rbimeve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soicale</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atyre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sh</w:t>
      </w:r>
      <w:r w:rsidR="00AC2E9D">
        <w:rPr>
          <w:rFonts w:ascii="Times New Roman" w:hAnsi="Times New Roman" w:cs="Times New Roman"/>
        </w:rPr>
        <w:t>ë</w:t>
      </w:r>
      <w:r w:rsidRPr="00817921">
        <w:rPr>
          <w:rFonts w:ascii="Times New Roman" w:hAnsi="Times New Roman" w:cs="Times New Roman"/>
        </w:rPr>
        <w:t>ndet</w:t>
      </w:r>
      <w:r w:rsidR="00AC2E9D">
        <w:rPr>
          <w:rFonts w:ascii="Times New Roman" w:hAnsi="Times New Roman" w:cs="Times New Roman"/>
        </w:rPr>
        <w:t>ë</w:t>
      </w:r>
      <w:r w:rsidRPr="00817921">
        <w:rPr>
          <w:rFonts w:ascii="Times New Roman" w:hAnsi="Times New Roman" w:cs="Times New Roman"/>
        </w:rPr>
        <w:t>sore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ngritja</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kapaciteteve</w:t>
      </w:r>
      <w:proofErr w:type="spellEnd"/>
      <w:r w:rsidRPr="00817921">
        <w:rPr>
          <w:rFonts w:ascii="Times New Roman" w:hAnsi="Times New Roman" w:cs="Times New Roman"/>
        </w:rPr>
        <w:t xml:space="preserve">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personelit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socio-sh</w:t>
      </w:r>
      <w:r w:rsidR="00AC2E9D">
        <w:rPr>
          <w:rFonts w:ascii="Times New Roman" w:hAnsi="Times New Roman" w:cs="Times New Roman"/>
        </w:rPr>
        <w:t>ë</w:t>
      </w:r>
      <w:r w:rsidRPr="00817921">
        <w:rPr>
          <w:rFonts w:ascii="Times New Roman" w:hAnsi="Times New Roman" w:cs="Times New Roman"/>
        </w:rPr>
        <w:t>ndet</w:t>
      </w:r>
      <w:r w:rsidR="00AC2E9D">
        <w:rPr>
          <w:rFonts w:ascii="Times New Roman" w:hAnsi="Times New Roman" w:cs="Times New Roman"/>
        </w:rPr>
        <w:t>ë</w:t>
      </w:r>
      <w:r w:rsidRPr="00817921">
        <w:rPr>
          <w:rFonts w:ascii="Times New Roman" w:hAnsi="Times New Roman" w:cs="Times New Roman"/>
        </w:rPr>
        <w:t>sor</w:t>
      </w:r>
      <w:proofErr w:type="spellEnd"/>
      <w:r w:rsidRPr="00817921">
        <w:rPr>
          <w:rFonts w:ascii="Times New Roman" w:hAnsi="Times New Roman" w:cs="Times New Roman"/>
        </w:rPr>
        <w:t xml:space="preserve"> do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jen</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fokus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strategjin</w:t>
      </w:r>
      <w:r w:rsidR="00AC2E9D">
        <w:rPr>
          <w:rFonts w:ascii="Times New Roman" w:hAnsi="Times New Roman" w:cs="Times New Roman"/>
        </w:rPr>
        <w:t>ë</w:t>
      </w:r>
      <w:proofErr w:type="spellEnd"/>
      <w:r w:rsidRPr="00817921">
        <w:rPr>
          <w:rFonts w:ascii="Times New Roman" w:hAnsi="Times New Roman" w:cs="Times New Roman"/>
        </w:rPr>
        <w:t xml:space="preserve"> e re. </w:t>
      </w:r>
      <w:proofErr w:type="spellStart"/>
      <w:r w:rsidRPr="00817921">
        <w:rPr>
          <w:rFonts w:ascii="Times New Roman" w:hAnsi="Times New Roman" w:cs="Times New Roman"/>
        </w:rPr>
        <w:t>Nj</w:t>
      </w:r>
      <w:r w:rsidR="00AC2E9D">
        <w:rPr>
          <w:rFonts w:ascii="Times New Roman" w:hAnsi="Times New Roman" w:cs="Times New Roman"/>
        </w:rPr>
        <w:t>ë</w:t>
      </w:r>
      <w:r w:rsidRPr="00817921">
        <w:rPr>
          <w:rFonts w:ascii="Times New Roman" w:hAnsi="Times New Roman" w:cs="Times New Roman"/>
        </w:rPr>
        <w:t>koh</w:t>
      </w:r>
      <w:r w:rsidR="00AC2E9D">
        <w:rPr>
          <w:rFonts w:ascii="Times New Roman" w:hAnsi="Times New Roman" w:cs="Times New Roman"/>
        </w:rPr>
        <w:t>ë</w:t>
      </w:r>
      <w:r w:rsidRPr="00817921">
        <w:rPr>
          <w:rFonts w:ascii="Times New Roman" w:hAnsi="Times New Roman" w:cs="Times New Roman"/>
        </w:rPr>
        <w:t>sisht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pjes</w:t>
      </w:r>
      <w:r w:rsidR="00AC2E9D">
        <w:rPr>
          <w:rFonts w:ascii="Times New Roman" w:hAnsi="Times New Roman" w:cs="Times New Roman"/>
        </w:rPr>
        <w:t>ë</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k</w:t>
      </w:r>
      <w:r w:rsidR="00AC2E9D">
        <w:rPr>
          <w:rFonts w:ascii="Times New Roman" w:hAnsi="Times New Roman" w:cs="Times New Roman"/>
        </w:rPr>
        <w:t>ë</w:t>
      </w:r>
      <w:r w:rsidRPr="00817921">
        <w:rPr>
          <w:rFonts w:ascii="Times New Roman" w:hAnsi="Times New Roman" w:cs="Times New Roman"/>
        </w:rPr>
        <w:t>saj</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mase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prioritare</w:t>
      </w:r>
      <w:proofErr w:type="spellEnd"/>
      <w:r w:rsidRPr="00817921">
        <w:rPr>
          <w:rFonts w:ascii="Times New Roman" w:hAnsi="Times New Roman" w:cs="Times New Roman"/>
        </w:rPr>
        <w:t xml:space="preserve"> do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jet</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vler</w:t>
      </w:r>
      <w:r w:rsidR="00AC2E9D">
        <w:rPr>
          <w:rFonts w:ascii="Times New Roman" w:hAnsi="Times New Roman" w:cs="Times New Roman"/>
        </w:rPr>
        <w:t>ë</w:t>
      </w:r>
      <w:r w:rsidRPr="00817921">
        <w:rPr>
          <w:rFonts w:ascii="Times New Roman" w:hAnsi="Times New Roman" w:cs="Times New Roman"/>
        </w:rPr>
        <w:t>simi</w:t>
      </w:r>
      <w:proofErr w:type="spellEnd"/>
      <w:r w:rsidRPr="00817921">
        <w:rPr>
          <w:rFonts w:ascii="Times New Roman" w:hAnsi="Times New Roman" w:cs="Times New Roman"/>
        </w:rPr>
        <w:t xml:space="preserve"> </w:t>
      </w:r>
      <w:r>
        <w:rPr>
          <w:rFonts w:ascii="Times New Roman" w:hAnsi="Times New Roman" w:cs="Times New Roman"/>
        </w:rPr>
        <w:t>i</w:t>
      </w:r>
      <w:r w:rsidRPr="00817921">
        <w:rPr>
          <w:rFonts w:ascii="Times New Roman" w:hAnsi="Times New Roman" w:cs="Times New Roman"/>
        </w:rPr>
        <w:t xml:space="preserve"> fizibilitetit, </w:t>
      </w:r>
      <w:proofErr w:type="spellStart"/>
      <w:r w:rsidRPr="00817921">
        <w:rPr>
          <w:rFonts w:ascii="Times New Roman" w:hAnsi="Times New Roman" w:cs="Times New Roman"/>
        </w:rPr>
        <w:t>kapaciteteve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institucionale</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personelit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w:t>
      </w:r>
      <w:r w:rsidR="00AC2E9D">
        <w:rPr>
          <w:rFonts w:ascii="Times New Roman" w:hAnsi="Times New Roman" w:cs="Times New Roman"/>
        </w:rPr>
        <w:t>ë</w:t>
      </w:r>
      <w:r w:rsidRPr="00817921">
        <w:rPr>
          <w:rFonts w:ascii="Times New Roman" w:hAnsi="Times New Roman" w:cs="Times New Roman"/>
        </w:rPr>
        <w:t>r</w:t>
      </w:r>
      <w:proofErr w:type="spellEnd"/>
      <w:r w:rsidRPr="00817921">
        <w:rPr>
          <w:rFonts w:ascii="Times New Roman" w:hAnsi="Times New Roman" w:cs="Times New Roman"/>
        </w:rPr>
        <w:t xml:space="preserve">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hartuar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nj</w:t>
      </w:r>
      <w:r w:rsidR="00AC2E9D">
        <w:rPr>
          <w:rFonts w:ascii="Times New Roman" w:hAnsi="Times New Roman" w:cs="Times New Roman"/>
        </w:rPr>
        <w:t>ë</w:t>
      </w:r>
      <w:proofErr w:type="spellEnd"/>
      <w:r w:rsidRPr="00817921">
        <w:rPr>
          <w:rFonts w:ascii="Times New Roman" w:hAnsi="Times New Roman" w:cs="Times New Roman"/>
        </w:rPr>
        <w:t xml:space="preserve"> Plan </w:t>
      </w:r>
      <w:proofErr w:type="spellStart"/>
      <w:r w:rsidRPr="00817921">
        <w:rPr>
          <w:rFonts w:ascii="Times New Roman" w:hAnsi="Times New Roman" w:cs="Times New Roman"/>
        </w:rPr>
        <w:t>Veprimi</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w:t>
      </w:r>
      <w:r w:rsidR="00AC2E9D">
        <w:rPr>
          <w:rFonts w:ascii="Times New Roman" w:hAnsi="Times New Roman" w:cs="Times New Roman"/>
        </w:rPr>
        <w:t>ë</w:t>
      </w:r>
      <w:r w:rsidRPr="00817921">
        <w:rPr>
          <w:rFonts w:ascii="Times New Roman" w:hAnsi="Times New Roman" w:cs="Times New Roman"/>
        </w:rPr>
        <w:t>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Garancin</w:t>
      </w:r>
      <w:r w:rsidR="00AC2E9D">
        <w:rPr>
          <w:rFonts w:ascii="Times New Roman" w:hAnsi="Times New Roman" w:cs="Times New Roman"/>
        </w:rPr>
        <w:t>ë</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F</w:t>
      </w:r>
      <w:r w:rsidR="00AC2E9D">
        <w:rPr>
          <w:rFonts w:ascii="Times New Roman" w:hAnsi="Times New Roman" w:cs="Times New Roman"/>
        </w:rPr>
        <w:t>ë</w:t>
      </w:r>
      <w:r w:rsidRPr="00817921">
        <w:rPr>
          <w:rFonts w:ascii="Times New Roman" w:hAnsi="Times New Roman" w:cs="Times New Roman"/>
        </w:rPr>
        <w:t>mij</w:t>
      </w:r>
      <w:r w:rsidR="00AC2E9D">
        <w:rPr>
          <w:rFonts w:ascii="Times New Roman" w:hAnsi="Times New Roman" w:cs="Times New Roman"/>
        </w:rPr>
        <w:t>ë</w:t>
      </w:r>
      <w:r w:rsidRPr="00817921">
        <w:rPr>
          <w:rFonts w:ascii="Times New Roman" w:hAnsi="Times New Roman" w:cs="Times New Roman"/>
        </w:rPr>
        <w:t>ve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sipas</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modelit</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udh</w:t>
      </w:r>
      <w:r w:rsidR="00AC2E9D">
        <w:rPr>
          <w:rFonts w:ascii="Times New Roman" w:hAnsi="Times New Roman" w:cs="Times New Roman"/>
        </w:rPr>
        <w:t>ë</w:t>
      </w:r>
      <w:r w:rsidRPr="00817921">
        <w:rPr>
          <w:rFonts w:ascii="Times New Roman" w:hAnsi="Times New Roman" w:cs="Times New Roman"/>
        </w:rPr>
        <w:t>zimeve</w:t>
      </w:r>
      <w:proofErr w:type="spellEnd"/>
      <w:r w:rsidRPr="00817921">
        <w:rPr>
          <w:rFonts w:ascii="Times New Roman" w:hAnsi="Times New Roman" w:cs="Times New Roman"/>
        </w:rPr>
        <w:t xml:space="preserve">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Bashkimit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Evropian</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Hartimi</w:t>
      </w:r>
      <w:proofErr w:type="spellEnd"/>
      <w:r w:rsidRPr="00817921">
        <w:rPr>
          <w:rFonts w:ascii="Times New Roman" w:hAnsi="Times New Roman" w:cs="Times New Roman"/>
        </w:rPr>
        <w:t xml:space="preserve"> </w:t>
      </w:r>
      <w:r w:rsidR="00833D22">
        <w:rPr>
          <w:rFonts w:ascii="Times New Roman" w:hAnsi="Times New Roman" w:cs="Times New Roman"/>
        </w:rPr>
        <w:t>i</w:t>
      </w:r>
      <w:r w:rsidRPr="00817921">
        <w:rPr>
          <w:rFonts w:ascii="Times New Roman" w:hAnsi="Times New Roman" w:cs="Times New Roman"/>
        </w:rPr>
        <w:t xml:space="preserve"> </w:t>
      </w:r>
      <w:proofErr w:type="spellStart"/>
      <w:r w:rsidRPr="00817921">
        <w:rPr>
          <w:rFonts w:ascii="Times New Roman" w:hAnsi="Times New Roman" w:cs="Times New Roman"/>
        </w:rPr>
        <w:t>nj</w:t>
      </w:r>
      <w:r w:rsidR="00AC2E9D">
        <w:rPr>
          <w:rFonts w:ascii="Times New Roman" w:hAnsi="Times New Roman" w:cs="Times New Roman"/>
        </w:rPr>
        <w:t>ë</w:t>
      </w:r>
      <w:proofErr w:type="spellEnd"/>
      <w:r w:rsidRPr="00817921">
        <w:rPr>
          <w:rFonts w:ascii="Times New Roman" w:hAnsi="Times New Roman" w:cs="Times New Roman"/>
        </w:rPr>
        <w:t xml:space="preserve"> Plani </w:t>
      </w:r>
      <w:proofErr w:type="spellStart"/>
      <w:r w:rsidRPr="00817921">
        <w:rPr>
          <w:rFonts w:ascii="Times New Roman" w:hAnsi="Times New Roman" w:cs="Times New Roman"/>
        </w:rPr>
        <w:t>Veprimi</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w:t>
      </w:r>
      <w:r w:rsidR="00AC2E9D">
        <w:rPr>
          <w:rFonts w:ascii="Times New Roman" w:hAnsi="Times New Roman" w:cs="Times New Roman"/>
        </w:rPr>
        <w:t>ë</w:t>
      </w:r>
      <w:r w:rsidRPr="00817921">
        <w:rPr>
          <w:rFonts w:ascii="Times New Roman" w:hAnsi="Times New Roman" w:cs="Times New Roman"/>
        </w:rPr>
        <w:t>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Garancin</w:t>
      </w:r>
      <w:r w:rsidR="00AC2E9D">
        <w:rPr>
          <w:rFonts w:ascii="Times New Roman" w:hAnsi="Times New Roman" w:cs="Times New Roman"/>
        </w:rPr>
        <w:t>ë</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F</w:t>
      </w:r>
      <w:r w:rsidR="00AC2E9D">
        <w:rPr>
          <w:rFonts w:ascii="Times New Roman" w:hAnsi="Times New Roman" w:cs="Times New Roman"/>
        </w:rPr>
        <w:t>ë</w:t>
      </w:r>
      <w:r w:rsidRPr="00817921">
        <w:rPr>
          <w:rFonts w:ascii="Times New Roman" w:hAnsi="Times New Roman" w:cs="Times New Roman"/>
        </w:rPr>
        <w:t>mij</w:t>
      </w:r>
      <w:r w:rsidR="00AC2E9D">
        <w:rPr>
          <w:rFonts w:ascii="Times New Roman" w:hAnsi="Times New Roman" w:cs="Times New Roman"/>
        </w:rPr>
        <w:t>ë</w:t>
      </w:r>
      <w:r w:rsidRPr="00817921">
        <w:rPr>
          <w:rFonts w:ascii="Times New Roman" w:hAnsi="Times New Roman" w:cs="Times New Roman"/>
        </w:rPr>
        <w:t>ve</w:t>
      </w:r>
      <w:proofErr w:type="spellEnd"/>
      <w:r w:rsidRPr="00817921">
        <w:rPr>
          <w:rFonts w:ascii="Times New Roman" w:hAnsi="Times New Roman" w:cs="Times New Roman"/>
        </w:rPr>
        <w:t xml:space="preserve"> </w:t>
      </w:r>
      <w:proofErr w:type="spellStart"/>
      <w:r w:rsidR="00AC2E9D">
        <w:rPr>
          <w:rFonts w:ascii="Times New Roman" w:hAnsi="Times New Roman" w:cs="Times New Roman"/>
        </w:rPr>
        <w:t>ë</w:t>
      </w:r>
      <w:r w:rsidRPr="00817921">
        <w:rPr>
          <w:rFonts w:ascii="Times New Roman" w:hAnsi="Times New Roman" w:cs="Times New Roman"/>
        </w:rPr>
        <w:t>sht</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nj</w:t>
      </w:r>
      <w:r w:rsidR="00AC2E9D">
        <w:rPr>
          <w:rFonts w:ascii="Times New Roman" w:hAnsi="Times New Roman" w:cs="Times New Roman"/>
        </w:rPr>
        <w:t>ë</w:t>
      </w:r>
      <w:proofErr w:type="spellEnd"/>
      <w:r w:rsidRPr="00817921">
        <w:rPr>
          <w:rFonts w:ascii="Times New Roman" w:hAnsi="Times New Roman" w:cs="Times New Roman"/>
        </w:rPr>
        <w:t xml:space="preserve"> prej </w:t>
      </w:r>
      <w:proofErr w:type="spellStart"/>
      <w:r w:rsidRPr="00817921">
        <w:rPr>
          <w:rFonts w:ascii="Times New Roman" w:hAnsi="Times New Roman" w:cs="Times New Roman"/>
        </w:rPr>
        <w:t>rekomandimeve</w:t>
      </w:r>
      <w:proofErr w:type="spellEnd"/>
      <w:r w:rsidRPr="00817921">
        <w:rPr>
          <w:rFonts w:ascii="Times New Roman" w:hAnsi="Times New Roman" w:cs="Times New Roman"/>
        </w:rPr>
        <w:t xml:space="preserve">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Bashkimit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Evropian</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pjes</w:t>
      </w:r>
      <w:r w:rsidR="00AC2E9D">
        <w:rPr>
          <w:rFonts w:ascii="Times New Roman" w:hAnsi="Times New Roman" w:cs="Times New Roman"/>
        </w:rPr>
        <w:t>ë</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kapitullit</w:t>
      </w:r>
      <w:proofErr w:type="spellEnd"/>
      <w:r w:rsidRPr="00817921">
        <w:rPr>
          <w:rFonts w:ascii="Times New Roman" w:hAnsi="Times New Roman" w:cs="Times New Roman"/>
        </w:rPr>
        <w:t xml:space="preserve"> 19 </w:t>
      </w:r>
      <w:proofErr w:type="spellStart"/>
      <w:r w:rsidRPr="00817921">
        <w:rPr>
          <w:rFonts w:ascii="Times New Roman" w:hAnsi="Times New Roman" w:cs="Times New Roman"/>
        </w:rPr>
        <w:t>p</w:t>
      </w:r>
      <w:r w:rsidR="00AC2E9D">
        <w:rPr>
          <w:rFonts w:ascii="Times New Roman" w:hAnsi="Times New Roman" w:cs="Times New Roman"/>
        </w:rPr>
        <w:t>ë</w:t>
      </w:r>
      <w:r w:rsidRPr="00817921">
        <w:rPr>
          <w:rFonts w:ascii="Times New Roman" w:hAnsi="Times New Roman" w:cs="Times New Roman"/>
        </w:rPr>
        <w:t>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hapjen</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negociatave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n</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w:t>
      </w:r>
      <w:r w:rsidR="00AC2E9D">
        <w:rPr>
          <w:rFonts w:ascii="Times New Roman" w:hAnsi="Times New Roman" w:cs="Times New Roman"/>
        </w:rPr>
        <w:t>ë</w:t>
      </w:r>
      <w:r w:rsidRPr="00817921">
        <w:rPr>
          <w:rFonts w:ascii="Times New Roman" w:hAnsi="Times New Roman" w:cs="Times New Roman"/>
        </w:rPr>
        <w:t>rputhje</w:t>
      </w:r>
      <w:proofErr w:type="spellEnd"/>
      <w:r w:rsidRPr="00817921">
        <w:rPr>
          <w:rFonts w:ascii="Times New Roman" w:hAnsi="Times New Roman" w:cs="Times New Roman"/>
        </w:rPr>
        <w:t xml:space="preserve"> me </w:t>
      </w:r>
      <w:proofErr w:type="spellStart"/>
      <w:r w:rsidRPr="00817921">
        <w:rPr>
          <w:rFonts w:ascii="Times New Roman" w:hAnsi="Times New Roman" w:cs="Times New Roman"/>
        </w:rPr>
        <w:t>kapitullin</w:t>
      </w:r>
      <w:proofErr w:type="spellEnd"/>
      <w:r w:rsidRPr="00817921">
        <w:rPr>
          <w:rFonts w:ascii="Times New Roman" w:hAnsi="Times New Roman" w:cs="Times New Roman"/>
        </w:rPr>
        <w:t xml:space="preserve"> 23 </w:t>
      </w:r>
      <w:proofErr w:type="spellStart"/>
      <w:r w:rsidRPr="00817921">
        <w:rPr>
          <w:rFonts w:ascii="Times New Roman" w:hAnsi="Times New Roman" w:cs="Times New Roman"/>
        </w:rPr>
        <w:t>p</w:t>
      </w:r>
      <w:r w:rsidR="00AC2E9D">
        <w:rPr>
          <w:rFonts w:ascii="Times New Roman" w:hAnsi="Times New Roman" w:cs="Times New Roman"/>
        </w:rPr>
        <w:t>ë</w:t>
      </w:r>
      <w:r w:rsidRPr="00817921">
        <w:rPr>
          <w:rFonts w:ascii="Times New Roman" w:hAnsi="Times New Roman" w:cs="Times New Roman"/>
        </w:rPr>
        <w:t>r</w:t>
      </w:r>
      <w:proofErr w:type="spellEnd"/>
      <w:r w:rsidRPr="00817921">
        <w:rPr>
          <w:rFonts w:ascii="Times New Roman" w:hAnsi="Times New Roman" w:cs="Times New Roman"/>
        </w:rPr>
        <w:t xml:space="preserve">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drejtat</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njeriut</w:t>
      </w:r>
      <w:proofErr w:type="spellEnd"/>
      <w:r w:rsidRPr="00817921">
        <w:rPr>
          <w:rFonts w:ascii="Times New Roman" w:hAnsi="Times New Roman" w:cs="Times New Roman"/>
        </w:rPr>
        <w:t xml:space="preserve">. Plani </w:t>
      </w:r>
      <w:r w:rsidR="00833D22">
        <w:rPr>
          <w:rFonts w:ascii="Times New Roman" w:hAnsi="Times New Roman" w:cs="Times New Roman"/>
        </w:rPr>
        <w:t>i</w:t>
      </w:r>
      <w:r w:rsidRPr="00817921">
        <w:rPr>
          <w:rFonts w:ascii="Times New Roman" w:hAnsi="Times New Roman" w:cs="Times New Roman"/>
        </w:rPr>
        <w:t xml:space="preserve"> </w:t>
      </w:r>
      <w:proofErr w:type="spellStart"/>
      <w:r w:rsidRPr="00817921">
        <w:rPr>
          <w:rFonts w:ascii="Times New Roman" w:hAnsi="Times New Roman" w:cs="Times New Roman"/>
        </w:rPr>
        <w:t>Veprimit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w:t>
      </w:r>
      <w:r w:rsidR="00AC2E9D">
        <w:rPr>
          <w:rFonts w:ascii="Times New Roman" w:hAnsi="Times New Roman" w:cs="Times New Roman"/>
        </w:rPr>
        <w:t>ë</w:t>
      </w:r>
      <w:r w:rsidRPr="00817921">
        <w:rPr>
          <w:rFonts w:ascii="Times New Roman" w:hAnsi="Times New Roman" w:cs="Times New Roman"/>
        </w:rPr>
        <w:t>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Garancin</w:t>
      </w:r>
      <w:r w:rsidR="00AC2E9D">
        <w:rPr>
          <w:rFonts w:ascii="Times New Roman" w:hAnsi="Times New Roman" w:cs="Times New Roman"/>
        </w:rPr>
        <w:t>ë</w:t>
      </w:r>
      <w:proofErr w:type="spellEnd"/>
      <w:r w:rsidRPr="00817921">
        <w:rPr>
          <w:rFonts w:ascii="Times New Roman" w:hAnsi="Times New Roman" w:cs="Times New Roman"/>
        </w:rPr>
        <w:t xml:space="preserve"> e </w:t>
      </w:r>
      <w:proofErr w:type="spellStart"/>
      <w:r w:rsidR="00833D22">
        <w:rPr>
          <w:rFonts w:ascii="Times New Roman" w:hAnsi="Times New Roman" w:cs="Times New Roman"/>
        </w:rPr>
        <w:t>F</w:t>
      </w:r>
      <w:r w:rsidR="00AC2E9D">
        <w:rPr>
          <w:rFonts w:ascii="Times New Roman" w:hAnsi="Times New Roman" w:cs="Times New Roman"/>
        </w:rPr>
        <w:t>ë</w:t>
      </w:r>
      <w:r w:rsidRPr="00817921">
        <w:rPr>
          <w:rFonts w:ascii="Times New Roman" w:hAnsi="Times New Roman" w:cs="Times New Roman"/>
        </w:rPr>
        <w:t>mij</w:t>
      </w:r>
      <w:r w:rsidR="00AC2E9D">
        <w:rPr>
          <w:rFonts w:ascii="Times New Roman" w:hAnsi="Times New Roman" w:cs="Times New Roman"/>
        </w:rPr>
        <w:t>ë</w:t>
      </w:r>
      <w:r w:rsidRPr="00817921">
        <w:rPr>
          <w:rFonts w:ascii="Times New Roman" w:hAnsi="Times New Roman" w:cs="Times New Roman"/>
        </w:rPr>
        <w:t>ve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aktulisht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po</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zbatohet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nj</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w:t>
      </w:r>
      <w:r w:rsidR="00AC2E9D">
        <w:rPr>
          <w:rFonts w:ascii="Times New Roman" w:hAnsi="Times New Roman" w:cs="Times New Roman"/>
        </w:rPr>
        <w:t>ë</w:t>
      </w:r>
      <w:r w:rsidRPr="00817921">
        <w:rPr>
          <w:rFonts w:ascii="Times New Roman" w:hAnsi="Times New Roman" w:cs="Times New Roman"/>
        </w:rPr>
        <w:t>r</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vendesh</w:t>
      </w:r>
      <w:proofErr w:type="spellEnd"/>
      <w:r w:rsidRPr="00817921">
        <w:rPr>
          <w:rFonts w:ascii="Times New Roman" w:hAnsi="Times New Roman" w:cs="Times New Roman"/>
        </w:rPr>
        <w:t xml:space="preserve">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Bashkimit</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Evropian</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ashtu</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sikurse</w:t>
      </w:r>
      <w:proofErr w:type="spellEnd"/>
      <w:r w:rsidRPr="00817921">
        <w:rPr>
          <w:rFonts w:ascii="Times New Roman" w:hAnsi="Times New Roman" w:cs="Times New Roman"/>
        </w:rPr>
        <w:t xml:space="preserve"> Plani </w:t>
      </w:r>
      <w:r w:rsidR="00833D22">
        <w:rPr>
          <w:rFonts w:ascii="Times New Roman" w:hAnsi="Times New Roman" w:cs="Times New Roman"/>
        </w:rPr>
        <w:t>i</w:t>
      </w:r>
      <w:r w:rsidRPr="00817921">
        <w:rPr>
          <w:rFonts w:ascii="Times New Roman" w:hAnsi="Times New Roman" w:cs="Times New Roman"/>
        </w:rPr>
        <w:t xml:space="preserve"> </w:t>
      </w:r>
      <w:proofErr w:type="spellStart"/>
      <w:r w:rsidRPr="00817921">
        <w:rPr>
          <w:rFonts w:ascii="Times New Roman" w:hAnsi="Times New Roman" w:cs="Times New Roman"/>
        </w:rPr>
        <w:t>Garancis</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Rinore</w:t>
      </w:r>
      <w:proofErr w:type="spellEnd"/>
      <w:r w:rsidRPr="00817921">
        <w:rPr>
          <w:rFonts w:ascii="Times New Roman" w:hAnsi="Times New Roman" w:cs="Times New Roman"/>
        </w:rPr>
        <w:t xml:space="preserve"> do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synoj</w:t>
      </w:r>
      <w:r w:rsidR="00AC2E9D">
        <w:rPr>
          <w:rFonts w:ascii="Times New Roman" w:hAnsi="Times New Roman" w:cs="Times New Roman"/>
        </w:rPr>
        <w:t>ë</w:t>
      </w:r>
      <w:proofErr w:type="spellEnd"/>
      <w:r w:rsidRPr="00817921">
        <w:rPr>
          <w:rFonts w:ascii="Times New Roman" w:hAnsi="Times New Roman" w:cs="Times New Roman"/>
        </w:rPr>
        <w:t xml:space="preserve">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nd</w:t>
      </w:r>
      <w:r w:rsidR="00AC2E9D">
        <w:rPr>
          <w:rFonts w:ascii="Times New Roman" w:hAnsi="Times New Roman" w:cs="Times New Roman"/>
        </w:rPr>
        <w:t>ë</w:t>
      </w:r>
      <w:r w:rsidRPr="00817921">
        <w:rPr>
          <w:rFonts w:ascii="Times New Roman" w:hAnsi="Times New Roman" w:cs="Times New Roman"/>
        </w:rPr>
        <w:t>rtoj</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modele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mjete</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financim</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p</w:t>
      </w:r>
      <w:r w:rsidR="00AC2E9D">
        <w:rPr>
          <w:rFonts w:ascii="Times New Roman" w:hAnsi="Times New Roman" w:cs="Times New Roman"/>
        </w:rPr>
        <w:t>ë</w:t>
      </w:r>
      <w:r w:rsidRPr="00817921">
        <w:rPr>
          <w:rFonts w:ascii="Times New Roman" w:hAnsi="Times New Roman" w:cs="Times New Roman"/>
        </w:rPr>
        <w:t>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adresimin</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f</w:t>
      </w:r>
      <w:r w:rsidR="00AC2E9D">
        <w:rPr>
          <w:rFonts w:ascii="Times New Roman" w:hAnsi="Times New Roman" w:cs="Times New Roman"/>
        </w:rPr>
        <w:t>ë</w:t>
      </w:r>
      <w:r w:rsidRPr="00817921">
        <w:rPr>
          <w:rFonts w:ascii="Times New Roman" w:hAnsi="Times New Roman" w:cs="Times New Roman"/>
        </w:rPr>
        <w:t>mij</w:t>
      </w:r>
      <w:r w:rsidR="00AC2E9D">
        <w:rPr>
          <w:rFonts w:ascii="Times New Roman" w:hAnsi="Times New Roman" w:cs="Times New Roman"/>
        </w:rPr>
        <w:t>ë</w:t>
      </w:r>
      <w:r w:rsidRPr="00817921">
        <w:rPr>
          <w:rFonts w:ascii="Times New Roman" w:hAnsi="Times New Roman" w:cs="Times New Roman"/>
        </w:rPr>
        <w:t>ve</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vulnerab</w:t>
      </w:r>
      <w:r w:rsidR="00AC2E9D">
        <w:rPr>
          <w:rFonts w:ascii="Times New Roman" w:hAnsi="Times New Roman" w:cs="Times New Roman"/>
        </w:rPr>
        <w:t>ë</w:t>
      </w:r>
      <w:r w:rsidRPr="00817921">
        <w:rPr>
          <w:rFonts w:ascii="Times New Roman" w:hAnsi="Times New Roman" w:cs="Times New Roman"/>
        </w:rPr>
        <w:t>l</w:t>
      </w:r>
      <w:proofErr w:type="spellEnd"/>
      <w:r w:rsidRPr="00817921">
        <w:rPr>
          <w:rFonts w:ascii="Times New Roman" w:hAnsi="Times New Roman" w:cs="Times New Roman"/>
        </w:rPr>
        <w:t>, t</w:t>
      </w:r>
      <w:r w:rsidR="00AC2E9D">
        <w:rPr>
          <w:rFonts w:ascii="Times New Roman" w:hAnsi="Times New Roman" w:cs="Times New Roman"/>
        </w:rPr>
        <w:t>ë</w:t>
      </w:r>
      <w:r w:rsidRPr="00817921">
        <w:rPr>
          <w:rFonts w:ascii="Times New Roman" w:hAnsi="Times New Roman" w:cs="Times New Roman"/>
        </w:rPr>
        <w:t xml:space="preserve"> </w:t>
      </w:r>
      <w:proofErr w:type="spellStart"/>
      <w:r w:rsidRPr="00817921">
        <w:rPr>
          <w:rFonts w:ascii="Times New Roman" w:hAnsi="Times New Roman" w:cs="Times New Roman"/>
        </w:rPr>
        <w:t>garantoj</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nj</w:t>
      </w:r>
      <w:r w:rsidR="00AC2E9D">
        <w:rPr>
          <w:rFonts w:ascii="Times New Roman" w:hAnsi="Times New Roman" w:cs="Times New Roman"/>
        </w:rPr>
        <w:t>ë</w:t>
      </w:r>
      <w:proofErr w:type="spellEnd"/>
      <w:r w:rsidRPr="00817921">
        <w:rPr>
          <w:rFonts w:ascii="Times New Roman" w:hAnsi="Times New Roman" w:cs="Times New Roman"/>
        </w:rPr>
        <w:t xml:space="preserve"> plan </w:t>
      </w:r>
      <w:proofErr w:type="spellStart"/>
      <w:r w:rsidRPr="00817921">
        <w:rPr>
          <w:rFonts w:ascii="Times New Roman" w:hAnsi="Times New Roman" w:cs="Times New Roman"/>
        </w:rPr>
        <w:t>p</w:t>
      </w:r>
      <w:r w:rsidR="00AC2E9D">
        <w:rPr>
          <w:rFonts w:ascii="Times New Roman" w:hAnsi="Times New Roman" w:cs="Times New Roman"/>
        </w:rPr>
        <w:t>ë</w:t>
      </w:r>
      <w:r w:rsidRPr="00817921">
        <w:rPr>
          <w:rFonts w:ascii="Times New Roman" w:hAnsi="Times New Roman" w:cs="Times New Roman"/>
        </w:rPr>
        <w:t>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reduktimin</w:t>
      </w:r>
      <w:proofErr w:type="spellEnd"/>
      <w:r w:rsidRPr="00817921">
        <w:rPr>
          <w:rFonts w:ascii="Times New Roman" w:hAnsi="Times New Roman" w:cs="Times New Roman"/>
        </w:rPr>
        <w:t xml:space="preserve"> e </w:t>
      </w:r>
      <w:proofErr w:type="spellStart"/>
      <w:r w:rsidRPr="00817921">
        <w:rPr>
          <w:rFonts w:ascii="Times New Roman" w:hAnsi="Times New Roman" w:cs="Times New Roman"/>
        </w:rPr>
        <w:t>varf</w:t>
      </w:r>
      <w:r w:rsidR="00AC2E9D">
        <w:rPr>
          <w:rFonts w:ascii="Times New Roman" w:hAnsi="Times New Roman" w:cs="Times New Roman"/>
        </w:rPr>
        <w:t>ë</w:t>
      </w:r>
      <w:r w:rsidRPr="00817921">
        <w:rPr>
          <w:rFonts w:ascii="Times New Roman" w:hAnsi="Times New Roman" w:cs="Times New Roman"/>
        </w:rPr>
        <w:t>ris</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s</w:t>
      </w:r>
      <w:r w:rsidR="00AC2E9D">
        <w:rPr>
          <w:rFonts w:ascii="Times New Roman" w:hAnsi="Times New Roman" w:cs="Times New Roman"/>
        </w:rPr>
        <w:t>ë</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f</w:t>
      </w:r>
      <w:r w:rsidR="00AC2E9D">
        <w:rPr>
          <w:rFonts w:ascii="Times New Roman" w:hAnsi="Times New Roman" w:cs="Times New Roman"/>
        </w:rPr>
        <w:t>ë</w:t>
      </w:r>
      <w:r w:rsidRPr="00817921">
        <w:rPr>
          <w:rFonts w:ascii="Times New Roman" w:hAnsi="Times New Roman" w:cs="Times New Roman"/>
        </w:rPr>
        <w:t>mij</w:t>
      </w:r>
      <w:r w:rsidR="00AC2E9D">
        <w:rPr>
          <w:rFonts w:ascii="Times New Roman" w:hAnsi="Times New Roman" w:cs="Times New Roman"/>
        </w:rPr>
        <w:t>ë</w:t>
      </w:r>
      <w:r w:rsidRPr="00817921">
        <w:rPr>
          <w:rFonts w:ascii="Times New Roman" w:hAnsi="Times New Roman" w:cs="Times New Roman"/>
        </w:rPr>
        <w:t>ve</w:t>
      </w:r>
      <w:proofErr w:type="spellEnd"/>
      <w:r w:rsidRPr="00817921">
        <w:rPr>
          <w:rFonts w:ascii="Times New Roman" w:hAnsi="Times New Roman" w:cs="Times New Roman"/>
        </w:rPr>
        <w:t xml:space="preserve"> dhe </w:t>
      </w:r>
      <w:proofErr w:type="spellStart"/>
      <w:r w:rsidRPr="00817921">
        <w:rPr>
          <w:rFonts w:ascii="Times New Roman" w:hAnsi="Times New Roman" w:cs="Times New Roman"/>
        </w:rPr>
        <w:t>nxitur</w:t>
      </w:r>
      <w:proofErr w:type="spellEnd"/>
      <w:r w:rsidRPr="00817921">
        <w:rPr>
          <w:rFonts w:ascii="Times New Roman" w:hAnsi="Times New Roman" w:cs="Times New Roman"/>
        </w:rPr>
        <w:t xml:space="preserve"> </w:t>
      </w:r>
      <w:proofErr w:type="spellStart"/>
      <w:r w:rsidRPr="00817921">
        <w:rPr>
          <w:rFonts w:ascii="Times New Roman" w:hAnsi="Times New Roman" w:cs="Times New Roman"/>
        </w:rPr>
        <w:t>mir</w:t>
      </w:r>
      <w:r w:rsidR="00AC2E9D">
        <w:rPr>
          <w:rFonts w:ascii="Times New Roman" w:hAnsi="Times New Roman" w:cs="Times New Roman"/>
        </w:rPr>
        <w:t>ë</w:t>
      </w:r>
      <w:r w:rsidRPr="00817921">
        <w:rPr>
          <w:rFonts w:ascii="Times New Roman" w:hAnsi="Times New Roman" w:cs="Times New Roman"/>
        </w:rPr>
        <w:t>qenien</w:t>
      </w:r>
      <w:proofErr w:type="spellEnd"/>
      <w:r w:rsidRPr="00817921">
        <w:rPr>
          <w:rFonts w:ascii="Times New Roman" w:hAnsi="Times New Roman" w:cs="Times New Roman"/>
        </w:rPr>
        <w:t xml:space="preserve"> e tyre.</w:t>
      </w:r>
      <w:r>
        <w:t xml:space="preserve"> </w:t>
      </w:r>
    </w:p>
    <w:p w14:paraId="1E5777CF" w14:textId="2B5545EF" w:rsidR="00AF7BFB" w:rsidRPr="00AF7BFB" w:rsidRDefault="00AF7BFB" w:rsidP="00817921">
      <w:pPr>
        <w:rPr>
          <w:rFonts w:ascii="Times New Roman" w:hAnsi="Times New Roman" w:cs="Times New Roman"/>
          <w:szCs w:val="22"/>
          <w:lang w:val="sq-AL"/>
        </w:rPr>
      </w:pPr>
    </w:p>
    <w:p w14:paraId="181F0368" w14:textId="14E05EC6" w:rsidR="003432EB" w:rsidRPr="007A3AD7" w:rsidRDefault="003432EB" w:rsidP="003432EB">
      <w:pPr>
        <w:pStyle w:val="Heading3"/>
        <w:rPr>
          <w:rFonts w:ascii="Times New Roman" w:hAnsi="Times New Roman" w:cs="Times New Roman"/>
          <w:b/>
          <w:szCs w:val="22"/>
          <w:lang w:val="sq-AL"/>
        </w:rPr>
      </w:pPr>
      <w:bookmarkStart w:id="50" w:name="_Toc119598205"/>
      <w:bookmarkStart w:id="51" w:name="_Toc150809630"/>
      <w:bookmarkStart w:id="52" w:name="_Toc150896499"/>
      <w:r w:rsidRPr="007A3AD7">
        <w:rPr>
          <w:rFonts w:ascii="Times New Roman" w:hAnsi="Times New Roman" w:cs="Times New Roman"/>
          <w:b/>
          <w:szCs w:val="22"/>
          <w:lang w:val="sq-AL"/>
        </w:rPr>
        <w:t xml:space="preserve">Qëllimi i politikës </w:t>
      </w:r>
      <w:r w:rsidR="00B5007E">
        <w:rPr>
          <w:rFonts w:ascii="Times New Roman" w:hAnsi="Times New Roman" w:cs="Times New Roman"/>
          <w:b/>
          <w:szCs w:val="22"/>
          <w:lang w:val="sq-AL"/>
        </w:rPr>
        <w:t>B</w:t>
      </w:r>
      <w:r w:rsidRPr="007A3AD7">
        <w:rPr>
          <w:rFonts w:ascii="Times New Roman" w:hAnsi="Times New Roman" w:cs="Times New Roman"/>
          <w:b/>
          <w:szCs w:val="22"/>
          <w:lang w:val="sq-AL"/>
        </w:rPr>
        <w:t xml:space="preserve">: </w:t>
      </w:r>
      <w:bookmarkEnd w:id="50"/>
      <w:r w:rsidRPr="007A3AD7">
        <w:rPr>
          <w:rFonts w:ascii="Times New Roman" w:hAnsi="Times New Roman" w:cs="Times New Roman"/>
          <w:b/>
          <w:szCs w:val="22"/>
          <w:lang w:val="sq-AL"/>
        </w:rPr>
        <w:t>Zgjerimi i shërbimeve sociale të integruara, të aksesueshme e cilësore dhe të përgjegjshme gjinore si dhe avancimi i deinstitucionalizimit, në partneritet me pushtetin vendor dhe aktorët e tjerë.</w:t>
      </w:r>
      <w:bookmarkEnd w:id="51"/>
      <w:bookmarkEnd w:id="52"/>
      <w:r w:rsidRPr="007A3AD7">
        <w:rPr>
          <w:rFonts w:ascii="Times New Roman" w:hAnsi="Times New Roman" w:cs="Times New Roman"/>
          <w:b/>
          <w:szCs w:val="22"/>
          <w:lang w:val="sq-AL"/>
        </w:rPr>
        <w:t xml:space="preserve"> </w:t>
      </w:r>
    </w:p>
    <w:p w14:paraId="78D25D68" w14:textId="77777777" w:rsidR="003432EB" w:rsidRPr="007A3AD7" w:rsidRDefault="003432EB" w:rsidP="003432EB">
      <w:pPr>
        <w:rPr>
          <w:rFonts w:ascii="Times New Roman" w:hAnsi="Times New Roman" w:cs="Times New Roman"/>
          <w:szCs w:val="22"/>
          <w:u w:val="single"/>
          <w:lang w:val="sq-AL"/>
        </w:rPr>
      </w:pPr>
    </w:p>
    <w:p w14:paraId="39565A90" w14:textId="6DFA0629" w:rsidR="003432EB" w:rsidRPr="007A3AD7" w:rsidRDefault="003432EB" w:rsidP="00B5007E">
      <w:pPr>
        <w:pStyle w:val="Heading4"/>
        <w:rPr>
          <w:lang w:val="sq-AL"/>
        </w:rPr>
      </w:pPr>
      <w:bookmarkStart w:id="53" w:name="_Toc150896500"/>
      <w:r w:rsidRPr="007A3AD7">
        <w:rPr>
          <w:u w:val="single"/>
          <w:lang w:val="sq-AL"/>
        </w:rPr>
        <w:t xml:space="preserve">Objektivi specifik/strategjik </w:t>
      </w:r>
      <w:r w:rsidR="00B5007E">
        <w:rPr>
          <w:u w:val="single"/>
          <w:lang w:val="sq-AL"/>
        </w:rPr>
        <w:t>B</w:t>
      </w:r>
      <w:r w:rsidRPr="007A3AD7">
        <w:rPr>
          <w:u w:val="single"/>
          <w:lang w:val="sq-AL"/>
        </w:rPr>
        <w:t>.1</w:t>
      </w:r>
      <w:r w:rsidRPr="007A3AD7">
        <w:rPr>
          <w:lang w:val="sq-AL"/>
        </w:rPr>
        <w:t xml:space="preserve">: Konsolidimi i </w:t>
      </w:r>
      <w:r w:rsidR="00AB4D37">
        <w:rPr>
          <w:lang w:val="sq-AL"/>
        </w:rPr>
        <w:t>proçes</w:t>
      </w:r>
      <w:r w:rsidRPr="007A3AD7">
        <w:rPr>
          <w:lang w:val="sq-AL"/>
        </w:rPr>
        <w:t>it të decentralizmit të shërbimeve të kujdesit social për financim të qëndrueshëm dhe të përgjegjshëm gjinor, mbulim gjeografik, aksesueshmëri dhe që i përgjigjen krizave dhe emergjencave.</w:t>
      </w:r>
      <w:bookmarkEnd w:id="53"/>
      <w:r w:rsidRPr="007A3AD7">
        <w:rPr>
          <w:lang w:val="sq-AL"/>
        </w:rPr>
        <w:t xml:space="preserve"> </w:t>
      </w:r>
    </w:p>
    <w:p w14:paraId="40DD22D9" w14:textId="2EA7E137" w:rsidR="003432EB" w:rsidRPr="007A3AD7" w:rsidRDefault="003432EB" w:rsidP="00B5007E">
      <w:pPr>
        <w:pStyle w:val="Heading4"/>
        <w:rPr>
          <w:lang w:val="sq-AL"/>
        </w:rPr>
      </w:pPr>
      <w:bookmarkStart w:id="54" w:name="_Toc150896501"/>
      <w:r w:rsidRPr="007A3AD7">
        <w:rPr>
          <w:u w:val="single"/>
          <w:lang w:val="sq-AL"/>
        </w:rPr>
        <w:t xml:space="preserve">Objektivi specifik/strategjik </w:t>
      </w:r>
      <w:r w:rsidR="00B5007E">
        <w:rPr>
          <w:u w:val="single"/>
          <w:lang w:val="sq-AL"/>
        </w:rPr>
        <w:t>B</w:t>
      </w:r>
      <w:r w:rsidRPr="007A3AD7">
        <w:rPr>
          <w:u w:val="single"/>
          <w:lang w:val="sq-AL"/>
        </w:rPr>
        <w:t>.2</w:t>
      </w:r>
      <w:r w:rsidRPr="007A3AD7">
        <w:rPr>
          <w:lang w:val="sq-AL"/>
        </w:rPr>
        <w:t>: Zbatimi i standardeve dhe forcimi i kapaciteteve njerëzore të personelit të shërbimeve të kujdesit social për shërbime efektive dhe të përgjegjshme gjinore.</w:t>
      </w:r>
      <w:bookmarkEnd w:id="54"/>
      <w:r w:rsidRPr="007A3AD7">
        <w:rPr>
          <w:lang w:val="sq-AL"/>
        </w:rPr>
        <w:t xml:space="preserve"> </w:t>
      </w:r>
    </w:p>
    <w:p w14:paraId="7E8EC52E" w14:textId="028E8C19" w:rsidR="003432EB" w:rsidRPr="007A3AD7" w:rsidRDefault="003432EB" w:rsidP="00B5007E">
      <w:pPr>
        <w:pStyle w:val="Heading4"/>
        <w:rPr>
          <w:lang w:val="sq-AL"/>
        </w:rPr>
      </w:pPr>
      <w:bookmarkStart w:id="55" w:name="_Toc150896502"/>
      <w:r w:rsidRPr="007A3AD7">
        <w:rPr>
          <w:u w:val="single"/>
          <w:lang w:val="sq-AL"/>
        </w:rPr>
        <w:t xml:space="preserve">Objektivi specifik/strategjik </w:t>
      </w:r>
      <w:r w:rsidR="00B5007E">
        <w:rPr>
          <w:u w:val="single"/>
          <w:lang w:val="sq-AL"/>
        </w:rPr>
        <w:t>B</w:t>
      </w:r>
      <w:r w:rsidRPr="007A3AD7">
        <w:rPr>
          <w:u w:val="single"/>
          <w:lang w:val="sq-AL"/>
        </w:rPr>
        <w:t>.3</w:t>
      </w:r>
      <w:r w:rsidRPr="007A3AD7">
        <w:rPr>
          <w:lang w:val="sq-AL"/>
        </w:rPr>
        <w:t>: Deinstitucionalizmi i shërbimeve të kujdesit rezidencial dhe zhvillimi i shërbimeve në familje, komunitare dhe ditore duke respektuar parimin e të drejtave dhe lentet gjinore.</w:t>
      </w:r>
      <w:bookmarkEnd w:id="55"/>
      <w:r w:rsidRPr="007A3AD7">
        <w:rPr>
          <w:lang w:val="sq-AL"/>
        </w:rPr>
        <w:t xml:space="preserve"> </w:t>
      </w:r>
    </w:p>
    <w:p w14:paraId="462F7A8F" w14:textId="77777777" w:rsidR="003432EB" w:rsidRPr="007A3AD7" w:rsidRDefault="003432EB" w:rsidP="003432EB">
      <w:pPr>
        <w:rPr>
          <w:rFonts w:ascii="Times New Roman" w:hAnsi="Times New Roman" w:cs="Times New Roman"/>
          <w:b/>
          <w:bCs/>
          <w:szCs w:val="22"/>
          <w:lang w:val="sq-AL"/>
        </w:rPr>
      </w:pPr>
    </w:p>
    <w:p w14:paraId="267D9BBD" w14:textId="4F18E12C" w:rsidR="003432EB" w:rsidRDefault="003432EB" w:rsidP="003432EB">
      <w:pPr>
        <w:rPr>
          <w:rFonts w:ascii="Times New Roman" w:hAnsi="Times New Roman" w:cs="Times New Roman"/>
          <w:szCs w:val="22"/>
          <w:lang w:val="sq-AL"/>
        </w:rPr>
      </w:pPr>
      <w:r w:rsidRPr="007A3AD7">
        <w:rPr>
          <w:rFonts w:ascii="Times New Roman" w:hAnsi="Times New Roman" w:cs="Times New Roman"/>
          <w:b/>
          <w:bCs/>
          <w:szCs w:val="22"/>
          <w:lang w:val="sq-AL"/>
        </w:rPr>
        <w:t>Masat prioritare</w:t>
      </w:r>
      <w:r w:rsidRPr="007A3AD7">
        <w:rPr>
          <w:rStyle w:val="apple-converted-space"/>
          <w:rFonts w:ascii="Times New Roman" w:hAnsi="Times New Roman" w:cs="Times New Roman"/>
          <w:szCs w:val="22"/>
          <w:lang w:val="sq-AL"/>
        </w:rPr>
        <w:t xml:space="preserve"> </w:t>
      </w:r>
      <w:r w:rsidRPr="007A3AD7">
        <w:rPr>
          <w:rFonts w:ascii="Times New Roman" w:hAnsi="Times New Roman" w:cs="Times New Roman"/>
          <w:szCs w:val="22"/>
          <w:lang w:val="sq-AL"/>
        </w:rPr>
        <w:t>që do të kontribuojnë në arritjen e objektivave specifikë/strategjike janë:</w:t>
      </w:r>
    </w:p>
    <w:p w14:paraId="08833831" w14:textId="77777777" w:rsidR="00B5007E" w:rsidRPr="007A3AD7" w:rsidRDefault="00B5007E" w:rsidP="003432EB">
      <w:pPr>
        <w:rPr>
          <w:rFonts w:ascii="Times New Roman" w:hAnsi="Times New Roman" w:cs="Times New Roman"/>
          <w:szCs w:val="22"/>
          <w:lang w:val="sq-AL"/>
        </w:rPr>
      </w:pPr>
    </w:p>
    <w:p w14:paraId="0262D0EB" w14:textId="0DB2837F" w:rsidR="0073512D" w:rsidRPr="00B5007E" w:rsidRDefault="003432EB" w:rsidP="00B5007E">
      <w:pPr>
        <w:pStyle w:val="Normal0"/>
        <w:numPr>
          <w:ilvl w:val="0"/>
          <w:numId w:val="45"/>
        </w:numPr>
        <w:rPr>
          <w:color w:val="4472C4" w:themeColor="accent1"/>
          <w:lang w:val="sq-AL"/>
        </w:rPr>
      </w:pPr>
      <w:bookmarkStart w:id="56" w:name="_Toc150809631"/>
      <w:r w:rsidRPr="00B5007E">
        <w:rPr>
          <w:color w:val="4472C4" w:themeColor="accent1"/>
          <w:lang w:val="sq-AL"/>
        </w:rPr>
        <w:t>Të përmirësohet planifikimi, modeli i financimit të përgjegjshëm gjinor të shërbimeve të kujdesit social në nivel vendor si dhe përgjigjja efektive ndaj krizave dhe emergjencave</w:t>
      </w:r>
      <w:r w:rsidR="0005304E" w:rsidRPr="00B5007E">
        <w:rPr>
          <w:color w:val="4472C4" w:themeColor="accent1"/>
          <w:lang w:val="sq-AL"/>
        </w:rPr>
        <w:t>.</w:t>
      </w:r>
      <w:bookmarkEnd w:id="56"/>
    </w:p>
    <w:p w14:paraId="23F5827E" w14:textId="53885567" w:rsidR="0073512D" w:rsidRPr="007A3AD7" w:rsidRDefault="0073512D" w:rsidP="0073512D">
      <w:pPr>
        <w:pStyle w:val="NormalWeb"/>
        <w:rPr>
          <w:iCs/>
          <w:szCs w:val="22"/>
          <w:lang w:val="pt-BR"/>
        </w:rPr>
      </w:pPr>
      <w:r w:rsidRPr="007A3AD7">
        <w:rPr>
          <w:iCs/>
          <w:szCs w:val="22"/>
          <w:lang w:val="pt-BR"/>
        </w:rPr>
        <w:t>NJQV kanë krijuar eksperienc</w:t>
      </w:r>
      <w:r w:rsidR="009A5A0E" w:rsidRPr="007A3AD7">
        <w:rPr>
          <w:iCs/>
          <w:szCs w:val="22"/>
          <w:lang w:val="pt-BR"/>
        </w:rPr>
        <w:t>ë</w:t>
      </w:r>
      <w:r w:rsidRPr="007A3AD7">
        <w:rPr>
          <w:iCs/>
          <w:szCs w:val="22"/>
          <w:lang w:val="pt-BR"/>
        </w:rPr>
        <w:t>n e tyre për hartimin e planeve sociale lokale si baza e planifikimit vjetor të shërbimeve sociale. Vlerësohet q</w:t>
      </w:r>
      <w:r w:rsidR="009A5A0E" w:rsidRPr="007A3AD7">
        <w:rPr>
          <w:iCs/>
          <w:szCs w:val="22"/>
          <w:lang w:val="pt-BR"/>
        </w:rPr>
        <w:t>ë</w:t>
      </w:r>
      <w:r w:rsidRPr="007A3AD7">
        <w:rPr>
          <w:iCs/>
          <w:szCs w:val="22"/>
          <w:lang w:val="pt-BR"/>
        </w:rPr>
        <w:t xml:space="preserve"> n</w:t>
      </w:r>
      <w:r w:rsidR="009A5A0E" w:rsidRPr="007A3AD7">
        <w:rPr>
          <w:iCs/>
          <w:szCs w:val="22"/>
          <w:lang w:val="pt-BR"/>
        </w:rPr>
        <w:t>ë</w:t>
      </w:r>
      <w:r w:rsidRPr="007A3AD7">
        <w:rPr>
          <w:iCs/>
          <w:szCs w:val="22"/>
          <w:lang w:val="pt-BR"/>
        </w:rPr>
        <w:t xml:space="preserve"> k</w:t>
      </w:r>
      <w:r w:rsidR="009A5A0E" w:rsidRPr="007A3AD7">
        <w:rPr>
          <w:iCs/>
          <w:szCs w:val="22"/>
          <w:lang w:val="pt-BR"/>
        </w:rPr>
        <w:t>ë</w:t>
      </w:r>
      <w:r w:rsidRPr="007A3AD7">
        <w:rPr>
          <w:iCs/>
          <w:szCs w:val="22"/>
          <w:lang w:val="pt-BR"/>
        </w:rPr>
        <w:t>t</w:t>
      </w:r>
      <w:r w:rsidR="009A5A0E" w:rsidRPr="007A3AD7">
        <w:rPr>
          <w:iCs/>
          <w:szCs w:val="22"/>
          <w:lang w:val="pt-BR"/>
        </w:rPr>
        <w:t>ë</w:t>
      </w:r>
      <w:r w:rsidRPr="007A3AD7">
        <w:rPr>
          <w:iCs/>
          <w:szCs w:val="22"/>
          <w:lang w:val="pt-BR"/>
        </w:rPr>
        <w:t xml:space="preserve"> faz</w:t>
      </w:r>
      <w:r w:rsidR="009A5A0E" w:rsidRPr="007A3AD7">
        <w:rPr>
          <w:iCs/>
          <w:szCs w:val="22"/>
          <w:lang w:val="pt-BR"/>
        </w:rPr>
        <w:t>ë</w:t>
      </w:r>
      <w:r w:rsidRPr="007A3AD7">
        <w:rPr>
          <w:iCs/>
          <w:szCs w:val="22"/>
          <w:lang w:val="pt-BR"/>
        </w:rPr>
        <w:t xml:space="preserve"> nevojitet një unifikim i formateve të planeve sociale vendore. </w:t>
      </w:r>
      <w:r w:rsidRPr="007A3AD7">
        <w:rPr>
          <w:iCs/>
          <w:szCs w:val="22"/>
          <w:lang w:val="sq-AL"/>
        </w:rPr>
        <w:t>Vlerësimet e nevojave për shërbime sociale në komunitetet lokale janë realizuar si pjesë e hartimit të planeve lokale, por ato kanë qenë të munguara për disa bashki, duke cënuar cilësinë e planifikimeve vjetore</w:t>
      </w:r>
      <w:r w:rsidR="0005304E" w:rsidRPr="007A3AD7">
        <w:rPr>
          <w:iCs/>
          <w:szCs w:val="22"/>
          <w:lang w:val="sq-AL"/>
        </w:rPr>
        <w:t xml:space="preserve"> dhe afatmesme</w:t>
      </w:r>
      <w:r w:rsidRPr="007A3AD7">
        <w:rPr>
          <w:iCs/>
          <w:szCs w:val="22"/>
          <w:lang w:val="sq-AL"/>
        </w:rPr>
        <w:t xml:space="preserve">. </w:t>
      </w:r>
      <w:r w:rsidRPr="007A3AD7">
        <w:rPr>
          <w:szCs w:val="22"/>
        </w:rPr>
        <w:t xml:space="preserve">Planet e </w:t>
      </w:r>
      <w:r w:rsidRPr="007A3AD7">
        <w:rPr>
          <w:szCs w:val="22"/>
          <w:lang w:val="sq-AL"/>
        </w:rPr>
        <w:t>reja sociale duhet të shënojnë një përmirësim cilësor në prioritizimin e veprimeve, kostimin dhe specifikimin e qartë të burimeve financiare për realizimin e tyre. Korniza monitoruese e zbatimit t</w:t>
      </w:r>
      <w:r w:rsidR="009A5A0E" w:rsidRPr="007A3AD7">
        <w:rPr>
          <w:szCs w:val="22"/>
          <w:lang w:val="sq-AL"/>
        </w:rPr>
        <w:t>ë</w:t>
      </w:r>
      <w:r w:rsidRPr="007A3AD7">
        <w:rPr>
          <w:szCs w:val="22"/>
          <w:lang w:val="sq-AL"/>
        </w:rPr>
        <w:t xml:space="preserve"> planeve sociale dhe e sh</w:t>
      </w:r>
      <w:r w:rsidR="009A5A0E" w:rsidRPr="007A3AD7">
        <w:rPr>
          <w:szCs w:val="22"/>
          <w:lang w:val="sq-AL"/>
        </w:rPr>
        <w:t>ë</w:t>
      </w:r>
      <w:r w:rsidRPr="007A3AD7">
        <w:rPr>
          <w:szCs w:val="22"/>
          <w:lang w:val="sq-AL"/>
        </w:rPr>
        <w:t>rbimeve shoq</w:t>
      </w:r>
      <w:r w:rsidR="009A5A0E" w:rsidRPr="007A3AD7">
        <w:rPr>
          <w:szCs w:val="22"/>
          <w:lang w:val="sq-AL"/>
        </w:rPr>
        <w:t>ë</w:t>
      </w:r>
      <w:r w:rsidRPr="007A3AD7">
        <w:rPr>
          <w:szCs w:val="22"/>
          <w:lang w:val="sq-AL"/>
        </w:rPr>
        <w:t>rore ka qen</w:t>
      </w:r>
      <w:r w:rsidR="009A5A0E" w:rsidRPr="007A3AD7">
        <w:rPr>
          <w:szCs w:val="22"/>
          <w:lang w:val="sq-AL"/>
        </w:rPr>
        <w:t>ë</w:t>
      </w:r>
      <w:r w:rsidRPr="007A3AD7">
        <w:rPr>
          <w:szCs w:val="22"/>
          <w:lang w:val="sq-AL"/>
        </w:rPr>
        <w:t xml:space="preserve"> e pamjaftueshme dhe NjQVR kan</w:t>
      </w:r>
      <w:r w:rsidR="009A5A0E" w:rsidRPr="007A3AD7">
        <w:rPr>
          <w:szCs w:val="22"/>
          <w:lang w:val="sq-AL"/>
        </w:rPr>
        <w:t>ë</w:t>
      </w:r>
      <w:r w:rsidRPr="007A3AD7">
        <w:rPr>
          <w:szCs w:val="22"/>
          <w:lang w:val="sq-AL"/>
        </w:rPr>
        <w:t xml:space="preserve"> kapacitete t</w:t>
      </w:r>
      <w:r w:rsidR="009A5A0E" w:rsidRPr="007A3AD7">
        <w:rPr>
          <w:szCs w:val="22"/>
          <w:lang w:val="sq-AL"/>
        </w:rPr>
        <w:t>ë</w:t>
      </w:r>
      <w:r w:rsidRPr="007A3AD7">
        <w:rPr>
          <w:szCs w:val="22"/>
          <w:lang w:val="sq-AL"/>
        </w:rPr>
        <w:t xml:space="preserve"> kufizuara monitoruese. </w:t>
      </w:r>
      <w:r w:rsidRPr="007A3AD7">
        <w:rPr>
          <w:iCs/>
          <w:szCs w:val="22"/>
          <w:lang w:val="pt-BR"/>
        </w:rPr>
        <w:t>Fushatat e vizibilitetit, dialogu me përfituesit për vlerësimin e nevojave për shërbime, si dhe për informim</w:t>
      </w:r>
      <w:r w:rsidR="0005304E" w:rsidRPr="007A3AD7">
        <w:rPr>
          <w:iCs/>
          <w:szCs w:val="22"/>
          <w:lang w:val="pt-BR"/>
        </w:rPr>
        <w:t>i</w:t>
      </w:r>
      <w:r w:rsidRPr="007A3AD7">
        <w:rPr>
          <w:iCs/>
          <w:szCs w:val="22"/>
          <w:lang w:val="pt-BR"/>
        </w:rPr>
        <w:t xml:space="preserve"> lidhur me shërbimet e integruara të kujdesit shoqëror, duhet t</w:t>
      </w:r>
      <w:r w:rsidR="009A5A0E" w:rsidRPr="007A3AD7">
        <w:rPr>
          <w:iCs/>
          <w:szCs w:val="22"/>
          <w:lang w:val="pt-BR"/>
        </w:rPr>
        <w:t>ë</w:t>
      </w:r>
      <w:r w:rsidRPr="007A3AD7">
        <w:rPr>
          <w:iCs/>
          <w:szCs w:val="22"/>
          <w:lang w:val="pt-BR"/>
        </w:rPr>
        <w:t xml:space="preserve"> jen</w:t>
      </w:r>
      <w:r w:rsidR="009A5A0E" w:rsidRPr="007A3AD7">
        <w:rPr>
          <w:iCs/>
          <w:szCs w:val="22"/>
          <w:lang w:val="pt-BR"/>
        </w:rPr>
        <w:t>ë</w:t>
      </w:r>
      <w:r w:rsidRPr="007A3AD7">
        <w:rPr>
          <w:iCs/>
          <w:szCs w:val="22"/>
          <w:lang w:val="pt-BR"/>
        </w:rPr>
        <w:t xml:space="preserve"> pjesë e planeve sociale lokale. </w:t>
      </w:r>
    </w:p>
    <w:p w14:paraId="342908C8" w14:textId="39646FCE" w:rsidR="008C2A8B" w:rsidRPr="007A3AD7" w:rsidRDefault="00157322" w:rsidP="008C2A8B">
      <w:pPr>
        <w:pStyle w:val="NormalWeb"/>
        <w:rPr>
          <w:szCs w:val="22"/>
          <w:lang w:val="sq-AL"/>
        </w:rPr>
      </w:pPr>
      <w:r w:rsidRPr="007A3AD7">
        <w:rPr>
          <w:szCs w:val="22"/>
          <w:lang w:val="sq-AL"/>
        </w:rPr>
        <w:t>Do t</w:t>
      </w:r>
      <w:r w:rsidR="009A5A0E" w:rsidRPr="007A3AD7">
        <w:rPr>
          <w:szCs w:val="22"/>
          <w:lang w:val="sq-AL"/>
        </w:rPr>
        <w:t>ë</w:t>
      </w:r>
      <w:r w:rsidRPr="007A3AD7">
        <w:rPr>
          <w:szCs w:val="22"/>
          <w:lang w:val="sq-AL"/>
        </w:rPr>
        <w:t xml:space="preserve"> rishikohet </w:t>
      </w:r>
      <w:r w:rsidR="003432EB" w:rsidRPr="007A3AD7">
        <w:rPr>
          <w:szCs w:val="22"/>
          <w:lang w:val="sq-AL"/>
        </w:rPr>
        <w:t xml:space="preserve">VKM </w:t>
      </w:r>
      <w:r w:rsidRPr="007A3AD7">
        <w:rPr>
          <w:szCs w:val="22"/>
          <w:lang w:val="sq-AL"/>
        </w:rPr>
        <w:t>e</w:t>
      </w:r>
      <w:r w:rsidR="003432EB" w:rsidRPr="007A3AD7">
        <w:rPr>
          <w:szCs w:val="22"/>
          <w:lang w:val="sq-AL"/>
        </w:rPr>
        <w:t xml:space="preserve"> Fondit Social, veçanërisht lidhur me nivelin e kontributeve nga bashkitë si dhe qëndrueshmërinë financiare të shërbimit, orientuar drejt financimit të integruar/bashkuar (buxheti i dedikuar nga MSHMS në programin e përkujdesit social, financimi i vetë bashkive dhe financimi i donatorëve</w:t>
      </w:r>
      <w:r w:rsidRPr="007A3AD7">
        <w:rPr>
          <w:szCs w:val="22"/>
          <w:lang w:val="sq-AL"/>
        </w:rPr>
        <w:t>/sektorit privat</w:t>
      </w:r>
      <w:r w:rsidR="003432EB" w:rsidRPr="007A3AD7">
        <w:rPr>
          <w:szCs w:val="22"/>
          <w:lang w:val="sq-AL"/>
        </w:rPr>
        <w:t xml:space="preserve">). </w:t>
      </w:r>
      <w:r w:rsidRPr="007A3AD7">
        <w:rPr>
          <w:szCs w:val="22"/>
          <w:lang w:val="sq-AL"/>
        </w:rPr>
        <w:t>Do t</w:t>
      </w:r>
      <w:r w:rsidR="009A5A0E" w:rsidRPr="007A3AD7">
        <w:rPr>
          <w:szCs w:val="22"/>
          <w:lang w:val="sq-AL"/>
        </w:rPr>
        <w:t>ë</w:t>
      </w:r>
      <w:r w:rsidRPr="007A3AD7">
        <w:rPr>
          <w:szCs w:val="22"/>
          <w:lang w:val="sq-AL"/>
        </w:rPr>
        <w:t xml:space="preserve"> rishikohet </w:t>
      </w:r>
      <w:r w:rsidRPr="007A3AD7">
        <w:rPr>
          <w:iCs/>
          <w:szCs w:val="22"/>
          <w:lang w:val="pt-BR"/>
        </w:rPr>
        <w:t>metodologjia/formula e shp</w:t>
      </w:r>
      <w:r w:rsidR="009A5A0E" w:rsidRPr="007A3AD7">
        <w:rPr>
          <w:iCs/>
          <w:szCs w:val="22"/>
          <w:lang w:val="pt-BR"/>
        </w:rPr>
        <w:t>ë</w:t>
      </w:r>
      <w:r w:rsidRPr="007A3AD7">
        <w:rPr>
          <w:iCs/>
          <w:szCs w:val="22"/>
          <w:lang w:val="pt-BR"/>
        </w:rPr>
        <w:t>rndarjes s</w:t>
      </w:r>
      <w:r w:rsidR="009A5A0E" w:rsidRPr="007A3AD7">
        <w:rPr>
          <w:iCs/>
          <w:szCs w:val="22"/>
          <w:lang w:val="pt-BR"/>
        </w:rPr>
        <w:t>ë</w:t>
      </w:r>
      <w:r w:rsidRPr="007A3AD7">
        <w:rPr>
          <w:iCs/>
          <w:szCs w:val="22"/>
          <w:lang w:val="pt-BR"/>
        </w:rPr>
        <w:t xml:space="preserve"> Fondit Social me qëllim përmirësimin e transparencës dhe barazisë së zbatimit për komunitetet lokale, duke marrë në konsideratë pabarazitë e mëdha rajonale dhe lokale, për nga niveli i problematikave dhe i nevojave, por edhe për nga kufizimet në burime të institucioneve lokale (NJQV-ve). </w:t>
      </w:r>
      <w:r w:rsidR="008C2A8B" w:rsidRPr="007A3AD7">
        <w:rPr>
          <w:szCs w:val="22"/>
          <w:lang w:val="sq-AL"/>
        </w:rPr>
        <w:t>Rishikimi do të qart</w:t>
      </w:r>
      <w:r w:rsidR="009A5A0E" w:rsidRPr="007A3AD7">
        <w:rPr>
          <w:szCs w:val="22"/>
          <w:lang w:val="sq-AL"/>
        </w:rPr>
        <w:t>ë</w:t>
      </w:r>
      <w:r w:rsidR="008C2A8B" w:rsidRPr="007A3AD7">
        <w:rPr>
          <w:szCs w:val="22"/>
          <w:lang w:val="sq-AL"/>
        </w:rPr>
        <w:t>soj</w:t>
      </w:r>
      <w:r w:rsidR="009A5A0E" w:rsidRPr="007A3AD7">
        <w:rPr>
          <w:szCs w:val="22"/>
          <w:lang w:val="sq-AL"/>
        </w:rPr>
        <w:t>ë</w:t>
      </w:r>
      <w:r w:rsidR="008C2A8B" w:rsidRPr="007A3AD7">
        <w:rPr>
          <w:szCs w:val="22"/>
          <w:lang w:val="sq-AL"/>
        </w:rPr>
        <w:t xml:space="preserve"> rolet institucionale p</w:t>
      </w:r>
      <w:r w:rsidR="009A5A0E" w:rsidRPr="007A3AD7">
        <w:rPr>
          <w:szCs w:val="22"/>
          <w:lang w:val="sq-AL"/>
        </w:rPr>
        <w:t>ë</w:t>
      </w:r>
      <w:r w:rsidR="008C2A8B" w:rsidRPr="007A3AD7">
        <w:rPr>
          <w:szCs w:val="22"/>
          <w:lang w:val="sq-AL"/>
        </w:rPr>
        <w:t>r alokimin dhe monitorimin e zbatimit t</w:t>
      </w:r>
      <w:r w:rsidR="009A5A0E" w:rsidRPr="007A3AD7">
        <w:rPr>
          <w:szCs w:val="22"/>
          <w:lang w:val="sq-AL"/>
        </w:rPr>
        <w:t>ë</w:t>
      </w:r>
      <w:r w:rsidR="008C2A8B" w:rsidRPr="007A3AD7">
        <w:rPr>
          <w:szCs w:val="22"/>
          <w:lang w:val="sq-AL"/>
        </w:rPr>
        <w:t xml:space="preserve"> Fondit Social dhe do t</w:t>
      </w:r>
      <w:r w:rsidR="009A5A0E" w:rsidRPr="007A3AD7">
        <w:rPr>
          <w:szCs w:val="22"/>
          <w:lang w:val="sq-AL"/>
        </w:rPr>
        <w:t>ë</w:t>
      </w:r>
      <w:r w:rsidR="008C2A8B" w:rsidRPr="007A3AD7">
        <w:rPr>
          <w:szCs w:val="22"/>
          <w:lang w:val="sq-AL"/>
        </w:rPr>
        <w:t xml:space="preserve"> mb</w:t>
      </w:r>
      <w:r w:rsidR="009A5A0E" w:rsidRPr="007A3AD7">
        <w:rPr>
          <w:szCs w:val="22"/>
          <w:lang w:val="sq-AL"/>
        </w:rPr>
        <w:t>ë</w:t>
      </w:r>
      <w:r w:rsidR="008C2A8B" w:rsidRPr="007A3AD7">
        <w:rPr>
          <w:szCs w:val="22"/>
          <w:lang w:val="sq-AL"/>
        </w:rPr>
        <w:t>shtetet n</w:t>
      </w:r>
      <w:r w:rsidR="009A5A0E" w:rsidRPr="007A3AD7">
        <w:rPr>
          <w:szCs w:val="22"/>
          <w:lang w:val="sq-AL"/>
        </w:rPr>
        <w:t>ë</w:t>
      </w:r>
      <w:r w:rsidR="008C2A8B" w:rsidRPr="007A3AD7">
        <w:rPr>
          <w:szCs w:val="22"/>
          <w:lang w:val="sq-AL"/>
        </w:rPr>
        <w:t xml:space="preserve"> kostot për njësi shërbimi dhe prokurimin e shërbimeve të kujdesit shoqëror. Do t</w:t>
      </w:r>
      <w:r w:rsidR="009A5A0E" w:rsidRPr="007A3AD7">
        <w:rPr>
          <w:szCs w:val="22"/>
          <w:lang w:val="sq-AL"/>
        </w:rPr>
        <w:t>ë</w:t>
      </w:r>
      <w:r w:rsidR="008C2A8B" w:rsidRPr="007A3AD7">
        <w:rPr>
          <w:szCs w:val="22"/>
          <w:lang w:val="sq-AL"/>
        </w:rPr>
        <w:t xml:space="preserve"> plot</w:t>
      </w:r>
      <w:r w:rsidR="009A5A0E" w:rsidRPr="007A3AD7">
        <w:rPr>
          <w:szCs w:val="22"/>
          <w:lang w:val="sq-AL"/>
        </w:rPr>
        <w:t>ë</w:t>
      </w:r>
      <w:r w:rsidR="008C2A8B" w:rsidRPr="007A3AD7">
        <w:rPr>
          <w:szCs w:val="22"/>
          <w:lang w:val="sq-AL"/>
        </w:rPr>
        <w:t>sohet kuadri ligjor dhe rregullator q</w:t>
      </w:r>
      <w:r w:rsidR="009A5A0E" w:rsidRPr="007A3AD7">
        <w:rPr>
          <w:szCs w:val="22"/>
          <w:lang w:val="sq-AL"/>
        </w:rPr>
        <w:t>ë</w:t>
      </w:r>
      <w:r w:rsidR="008C2A8B" w:rsidRPr="007A3AD7">
        <w:rPr>
          <w:szCs w:val="22"/>
          <w:lang w:val="sq-AL"/>
        </w:rPr>
        <w:t xml:space="preserve"> lidhet me prokurimin e sh</w:t>
      </w:r>
      <w:r w:rsidR="009A5A0E" w:rsidRPr="007A3AD7">
        <w:rPr>
          <w:szCs w:val="22"/>
          <w:lang w:val="sq-AL"/>
        </w:rPr>
        <w:t>ë</w:t>
      </w:r>
      <w:r w:rsidR="008C2A8B" w:rsidRPr="007A3AD7">
        <w:rPr>
          <w:szCs w:val="22"/>
          <w:lang w:val="sq-AL"/>
        </w:rPr>
        <w:t>rbimeve nga ana e bashkive si dhe do t</w:t>
      </w:r>
      <w:r w:rsidR="009A5A0E" w:rsidRPr="007A3AD7">
        <w:rPr>
          <w:szCs w:val="22"/>
          <w:lang w:val="sq-AL"/>
        </w:rPr>
        <w:t>ë</w:t>
      </w:r>
      <w:r w:rsidR="008C2A8B" w:rsidRPr="007A3AD7">
        <w:rPr>
          <w:szCs w:val="22"/>
          <w:lang w:val="sq-AL"/>
        </w:rPr>
        <w:t xml:space="preserve"> </w:t>
      </w:r>
      <w:r w:rsidR="0005304E" w:rsidRPr="007A3AD7">
        <w:rPr>
          <w:szCs w:val="22"/>
          <w:lang w:val="sq-AL"/>
        </w:rPr>
        <w:t>mb</w:t>
      </w:r>
      <w:r w:rsidR="00E9006B">
        <w:rPr>
          <w:szCs w:val="22"/>
          <w:lang w:val="sq-AL"/>
        </w:rPr>
        <w:t>ë</w:t>
      </w:r>
      <w:r w:rsidR="0005304E" w:rsidRPr="007A3AD7">
        <w:rPr>
          <w:szCs w:val="22"/>
          <w:lang w:val="sq-AL"/>
        </w:rPr>
        <w:t xml:space="preserve">shteten dhe </w:t>
      </w:r>
      <w:r w:rsidR="008C2A8B" w:rsidRPr="007A3AD7">
        <w:rPr>
          <w:szCs w:val="22"/>
          <w:lang w:val="sq-AL"/>
        </w:rPr>
        <w:t>forcohen kapacitetet lokale p</w:t>
      </w:r>
      <w:r w:rsidR="009A5A0E" w:rsidRPr="007A3AD7">
        <w:rPr>
          <w:szCs w:val="22"/>
          <w:lang w:val="sq-AL"/>
        </w:rPr>
        <w:t>ë</w:t>
      </w:r>
      <w:r w:rsidR="008C2A8B" w:rsidRPr="007A3AD7">
        <w:rPr>
          <w:szCs w:val="22"/>
          <w:lang w:val="sq-AL"/>
        </w:rPr>
        <w:t xml:space="preserve">r kryerjen e </w:t>
      </w:r>
      <w:r w:rsidR="00AB4D37">
        <w:rPr>
          <w:szCs w:val="22"/>
          <w:lang w:val="sq-AL"/>
        </w:rPr>
        <w:t>proçes</w:t>
      </w:r>
      <w:r w:rsidR="008C2A8B" w:rsidRPr="007A3AD7">
        <w:rPr>
          <w:szCs w:val="22"/>
          <w:lang w:val="sq-AL"/>
        </w:rPr>
        <w:t>it prokurues. Do t</w:t>
      </w:r>
      <w:r w:rsidR="009A5A0E" w:rsidRPr="007A3AD7">
        <w:rPr>
          <w:szCs w:val="22"/>
          <w:lang w:val="sq-AL"/>
        </w:rPr>
        <w:t>ë</w:t>
      </w:r>
      <w:r w:rsidR="008C2A8B" w:rsidRPr="007A3AD7">
        <w:rPr>
          <w:szCs w:val="22"/>
          <w:lang w:val="sq-AL"/>
        </w:rPr>
        <w:t xml:space="preserve"> mb</w:t>
      </w:r>
      <w:r w:rsidR="009A5A0E" w:rsidRPr="007A3AD7">
        <w:rPr>
          <w:szCs w:val="22"/>
          <w:lang w:val="sq-AL"/>
        </w:rPr>
        <w:t>ë</w:t>
      </w:r>
      <w:r w:rsidR="008C2A8B" w:rsidRPr="007A3AD7">
        <w:rPr>
          <w:szCs w:val="22"/>
          <w:lang w:val="sq-AL"/>
        </w:rPr>
        <w:t>shtetet pushteti vendor me kapacitete p</w:t>
      </w:r>
      <w:r w:rsidR="009A5A0E" w:rsidRPr="007A3AD7">
        <w:rPr>
          <w:szCs w:val="22"/>
          <w:lang w:val="sq-AL"/>
        </w:rPr>
        <w:t>ë</w:t>
      </w:r>
      <w:r w:rsidR="008C2A8B" w:rsidRPr="007A3AD7">
        <w:rPr>
          <w:szCs w:val="22"/>
          <w:lang w:val="sq-AL"/>
        </w:rPr>
        <w:t>r ngritjen e fondeve dhe mobilizim financiar t</w:t>
      </w:r>
      <w:r w:rsidR="009A5A0E" w:rsidRPr="007A3AD7">
        <w:rPr>
          <w:szCs w:val="22"/>
          <w:lang w:val="sq-AL"/>
        </w:rPr>
        <w:t>ë</w:t>
      </w:r>
      <w:r w:rsidR="008C2A8B" w:rsidRPr="007A3AD7">
        <w:rPr>
          <w:szCs w:val="22"/>
          <w:lang w:val="sq-AL"/>
        </w:rPr>
        <w:t xml:space="preserve"> aktor</w:t>
      </w:r>
      <w:r w:rsidR="009A5A0E" w:rsidRPr="007A3AD7">
        <w:rPr>
          <w:szCs w:val="22"/>
          <w:lang w:val="sq-AL"/>
        </w:rPr>
        <w:t>ë</w:t>
      </w:r>
      <w:r w:rsidR="008C2A8B" w:rsidRPr="007A3AD7">
        <w:rPr>
          <w:szCs w:val="22"/>
          <w:lang w:val="sq-AL"/>
        </w:rPr>
        <w:t xml:space="preserve">ve </w:t>
      </w:r>
      <w:r w:rsidR="0005304E" w:rsidRPr="007A3AD7">
        <w:rPr>
          <w:szCs w:val="22"/>
          <w:lang w:val="sq-AL"/>
        </w:rPr>
        <w:t>t</w:t>
      </w:r>
      <w:r w:rsidR="00E9006B">
        <w:rPr>
          <w:szCs w:val="22"/>
          <w:lang w:val="sq-AL"/>
        </w:rPr>
        <w:t>ë</w:t>
      </w:r>
      <w:r w:rsidR="008C2A8B" w:rsidRPr="007A3AD7">
        <w:rPr>
          <w:szCs w:val="22"/>
          <w:lang w:val="sq-AL"/>
        </w:rPr>
        <w:t xml:space="preserve"> ndrysh</w:t>
      </w:r>
      <w:r w:rsidR="00E9006B">
        <w:rPr>
          <w:szCs w:val="22"/>
          <w:lang w:val="sq-AL"/>
        </w:rPr>
        <w:t>ë</w:t>
      </w:r>
      <w:r w:rsidR="0005304E" w:rsidRPr="007A3AD7">
        <w:rPr>
          <w:szCs w:val="22"/>
          <w:lang w:val="sq-AL"/>
        </w:rPr>
        <w:t>m</w:t>
      </w:r>
      <w:r w:rsidR="008C2A8B" w:rsidRPr="007A3AD7">
        <w:rPr>
          <w:szCs w:val="22"/>
          <w:lang w:val="sq-AL"/>
        </w:rPr>
        <w:t xml:space="preserve"> p</w:t>
      </w:r>
      <w:r w:rsidR="009A5A0E" w:rsidRPr="007A3AD7">
        <w:rPr>
          <w:szCs w:val="22"/>
          <w:lang w:val="sq-AL"/>
        </w:rPr>
        <w:t>ë</w:t>
      </w:r>
      <w:r w:rsidR="008C2A8B" w:rsidRPr="007A3AD7">
        <w:rPr>
          <w:szCs w:val="22"/>
          <w:lang w:val="sq-AL"/>
        </w:rPr>
        <w:t>r nj</w:t>
      </w:r>
      <w:r w:rsidR="009A5A0E" w:rsidRPr="007A3AD7">
        <w:rPr>
          <w:szCs w:val="22"/>
          <w:lang w:val="sq-AL"/>
        </w:rPr>
        <w:t>ë</w:t>
      </w:r>
      <w:r w:rsidR="008C2A8B" w:rsidRPr="007A3AD7">
        <w:rPr>
          <w:szCs w:val="22"/>
          <w:lang w:val="sq-AL"/>
        </w:rPr>
        <w:t xml:space="preserve"> financim t</w:t>
      </w:r>
      <w:r w:rsidR="009A5A0E" w:rsidRPr="007A3AD7">
        <w:rPr>
          <w:szCs w:val="22"/>
          <w:lang w:val="sq-AL"/>
        </w:rPr>
        <w:t>ë</w:t>
      </w:r>
      <w:r w:rsidR="008C2A8B" w:rsidRPr="007A3AD7">
        <w:rPr>
          <w:szCs w:val="22"/>
          <w:lang w:val="sq-AL"/>
        </w:rPr>
        <w:t xml:space="preserve"> qendruesh</w:t>
      </w:r>
      <w:r w:rsidR="009A5A0E" w:rsidRPr="007A3AD7">
        <w:rPr>
          <w:szCs w:val="22"/>
          <w:lang w:val="sq-AL"/>
        </w:rPr>
        <w:t>ë</w:t>
      </w:r>
      <w:r w:rsidR="008C2A8B" w:rsidRPr="007A3AD7">
        <w:rPr>
          <w:szCs w:val="22"/>
          <w:lang w:val="sq-AL"/>
        </w:rPr>
        <w:t>m t</w:t>
      </w:r>
      <w:r w:rsidR="009A5A0E" w:rsidRPr="007A3AD7">
        <w:rPr>
          <w:szCs w:val="22"/>
          <w:lang w:val="sq-AL"/>
        </w:rPr>
        <w:t>ë</w:t>
      </w:r>
      <w:r w:rsidR="008C2A8B" w:rsidRPr="007A3AD7">
        <w:rPr>
          <w:szCs w:val="22"/>
          <w:lang w:val="sq-AL"/>
        </w:rPr>
        <w:t xml:space="preserve"> sh</w:t>
      </w:r>
      <w:r w:rsidR="009A5A0E" w:rsidRPr="007A3AD7">
        <w:rPr>
          <w:szCs w:val="22"/>
          <w:lang w:val="sq-AL"/>
        </w:rPr>
        <w:t>ë</w:t>
      </w:r>
      <w:r w:rsidR="008C2A8B" w:rsidRPr="007A3AD7">
        <w:rPr>
          <w:szCs w:val="22"/>
          <w:lang w:val="sq-AL"/>
        </w:rPr>
        <w:t>rbimeve.</w:t>
      </w:r>
    </w:p>
    <w:p w14:paraId="333FE70D" w14:textId="2F6ABF7D" w:rsidR="00157322" w:rsidRPr="007A3AD7" w:rsidRDefault="008C2A8B" w:rsidP="008C2A8B">
      <w:pPr>
        <w:pStyle w:val="NormalWeb"/>
        <w:rPr>
          <w:iCs/>
          <w:szCs w:val="22"/>
          <w:lang w:val="sq-AL"/>
        </w:rPr>
      </w:pPr>
      <w:r w:rsidRPr="007A3AD7">
        <w:rPr>
          <w:iCs/>
          <w:szCs w:val="22"/>
          <w:lang w:val="pt-BR"/>
        </w:rPr>
        <w:t>Do t</w:t>
      </w:r>
      <w:r w:rsidR="009A5A0E" w:rsidRPr="007A3AD7">
        <w:rPr>
          <w:iCs/>
          <w:szCs w:val="22"/>
          <w:lang w:val="pt-BR"/>
        </w:rPr>
        <w:t>ë</w:t>
      </w:r>
      <w:r w:rsidRPr="007A3AD7">
        <w:rPr>
          <w:iCs/>
          <w:szCs w:val="22"/>
          <w:lang w:val="pt-BR"/>
        </w:rPr>
        <w:t xml:space="preserve"> nxitet </w:t>
      </w:r>
      <w:r w:rsidR="00157322" w:rsidRPr="007A3AD7">
        <w:rPr>
          <w:iCs/>
          <w:szCs w:val="22"/>
          <w:lang w:val="sq-AL"/>
        </w:rPr>
        <w:t>koordinimi dhe bashkëpunimi mes bashkive në nivel lokal dhe promovimi</w:t>
      </w:r>
      <w:r w:rsidRPr="007A3AD7">
        <w:rPr>
          <w:iCs/>
          <w:szCs w:val="22"/>
          <w:lang w:val="sq-AL"/>
        </w:rPr>
        <w:t xml:space="preserve"> i</w:t>
      </w:r>
      <w:r w:rsidR="00157322" w:rsidRPr="007A3AD7">
        <w:rPr>
          <w:iCs/>
          <w:szCs w:val="22"/>
          <w:lang w:val="sq-AL"/>
        </w:rPr>
        <w:t xml:space="preserve"> modeleve të mira dhe inovative të shërbimeve sociale, veçanërisht në komunitetet për të cilat këto shërbime janë të munguara, në kushtet e pamundësive financuese. </w:t>
      </w:r>
      <w:r w:rsidRPr="007A3AD7">
        <w:rPr>
          <w:iCs/>
          <w:szCs w:val="22"/>
          <w:lang w:val="sq-AL"/>
        </w:rPr>
        <w:t>T</w:t>
      </w:r>
      <w:r w:rsidR="00157322" w:rsidRPr="007A3AD7">
        <w:rPr>
          <w:iCs/>
          <w:szCs w:val="22"/>
          <w:lang w:val="sq-AL"/>
        </w:rPr>
        <w:t>rajnimet për rritjen e kapaciteteve lokale për aplikim projektesh në kuadër të Fondit Social në linjë me parashikimet në planet lokale</w:t>
      </w:r>
      <w:r w:rsidRPr="007A3AD7">
        <w:rPr>
          <w:iCs/>
          <w:szCs w:val="22"/>
          <w:lang w:val="sq-AL"/>
        </w:rPr>
        <w:t xml:space="preserve"> do t</w:t>
      </w:r>
      <w:r w:rsidR="009A5A0E" w:rsidRPr="007A3AD7">
        <w:rPr>
          <w:iCs/>
          <w:szCs w:val="22"/>
          <w:lang w:val="sq-AL"/>
        </w:rPr>
        <w:t>ë</w:t>
      </w:r>
      <w:r w:rsidRPr="007A3AD7">
        <w:rPr>
          <w:iCs/>
          <w:szCs w:val="22"/>
          <w:lang w:val="sq-AL"/>
        </w:rPr>
        <w:t xml:space="preserve"> rriten gjithashtu.</w:t>
      </w:r>
    </w:p>
    <w:p w14:paraId="473D8C0C" w14:textId="6813384B" w:rsidR="003432EB" w:rsidRPr="007A3AD7" w:rsidRDefault="00157322" w:rsidP="00725882">
      <w:pPr>
        <w:pStyle w:val="NormalWeb"/>
        <w:rPr>
          <w:iCs/>
          <w:szCs w:val="22"/>
          <w:lang w:val="sq-AL"/>
        </w:rPr>
      </w:pPr>
      <w:r w:rsidRPr="007A3AD7">
        <w:rPr>
          <w:iCs/>
          <w:szCs w:val="22"/>
          <w:lang w:val="sq-AL"/>
        </w:rPr>
        <w:t>Indeksi i lartë në risqet natyrore dhe aksesi i ulët në financë janë dy nga faktorët kryesorë të nevojës për sisteme të mbrojtjes sociale që mbrojnë nga çdo goditje, individët në nevojë dhe ata të disavantazhuar</w:t>
      </w:r>
      <w:r w:rsidRPr="007A3AD7">
        <w:rPr>
          <w:iCs/>
          <w:szCs w:val="22"/>
          <w:vertAlign w:val="superscript"/>
          <w:lang w:val="sq-AL"/>
        </w:rPr>
        <w:footnoteReference w:id="172"/>
      </w:r>
      <w:r w:rsidRPr="007A3AD7">
        <w:rPr>
          <w:iCs/>
          <w:szCs w:val="22"/>
          <w:lang w:val="sq-AL"/>
        </w:rPr>
        <w:t xml:space="preserve">. Aktualisht, sistemi i mbrojtjes sociale në Shqipëri vuan nga: (a) pamundësia për të identifikuar shpejt njerëzit në nevojë; (b) mungesa e qartësisë së roleve të strukturave dhe punonjësve për rastet e emergjencave, (c) mungesa e një harte të ofrimit të shërbimeve në raste emergjencash dhe/apo krizash; (d) mungesa e kapaciteteve të punonjësve për veprim në raste emergjencash; dhe (e) nivel i ulët i vullnetarizmit dhe si rrjedhim, i përdorimit të vullnetarëve në këto situata. </w:t>
      </w:r>
      <w:r w:rsidR="003432EB" w:rsidRPr="007A3AD7">
        <w:rPr>
          <w:iCs/>
          <w:szCs w:val="22"/>
          <w:lang w:val="pt-BR"/>
        </w:rPr>
        <w:t xml:space="preserve">Autonomia fiskale e bashkive ka risqe, pasi buxhetet lokale aktualisht janë shumë të varura nga transfertat kombëtare si dhe të papërgatitura për të përballuar situata të emergjencës, duke mos pasur fleksibilitetin e nevojshëm lidhur me burimet njerëzore dhe financiare. Fondi i kontigjencës për financimin e emergjencave dhe përshtatjen e sistemit të mbrojtjes sociale, me skema shtesë të mbështetjes financiare dhe/apo me shërbime, aktualisht mungon, në të dy nivelet e qeverisjes, për të reaguar shpejt dhe në mënyrë </w:t>
      </w:r>
      <w:r w:rsidR="003432EB" w:rsidRPr="007A3AD7">
        <w:rPr>
          <w:iCs/>
          <w:szCs w:val="22"/>
          <w:lang w:val="sq-AL"/>
        </w:rPr>
        <w:t xml:space="preserve">efektive. </w:t>
      </w:r>
    </w:p>
    <w:p w14:paraId="1F328E0A" w14:textId="78AE0320" w:rsidR="003432EB" w:rsidRPr="00B5007E" w:rsidRDefault="003432EB" w:rsidP="00B5007E">
      <w:pPr>
        <w:pStyle w:val="Normal0"/>
        <w:rPr>
          <w:color w:val="4472C4" w:themeColor="accent1"/>
          <w:lang w:val="sq-AL"/>
        </w:rPr>
      </w:pPr>
      <w:bookmarkStart w:id="57" w:name="_Toc150809632"/>
      <w:r w:rsidRPr="00B5007E">
        <w:rPr>
          <w:color w:val="4472C4" w:themeColor="accent1"/>
          <w:lang w:val="sq-AL"/>
        </w:rPr>
        <w:t>Të përmirësohet mbulimi gjeografik, diversifikimi dhe aksesueshmëria, dixhitalizimi dhe ndjeshmëria gjinore e shërbimeve të kujdesit social</w:t>
      </w:r>
      <w:r w:rsidR="002A673E" w:rsidRPr="00B5007E">
        <w:rPr>
          <w:color w:val="4472C4" w:themeColor="accent1"/>
          <w:lang w:val="sq-AL"/>
        </w:rPr>
        <w:t>.</w:t>
      </w:r>
      <w:bookmarkEnd w:id="57"/>
    </w:p>
    <w:p w14:paraId="22B54696" w14:textId="72D67571" w:rsidR="00350315" w:rsidRPr="007A3AD7" w:rsidRDefault="00286E2F" w:rsidP="00350315">
      <w:pPr>
        <w:pStyle w:val="NormalWeb"/>
        <w:rPr>
          <w:iCs/>
          <w:szCs w:val="22"/>
          <w:lang w:val="sq-AL"/>
        </w:rPr>
      </w:pPr>
      <w:r w:rsidRPr="007A3AD7">
        <w:rPr>
          <w:iCs/>
          <w:szCs w:val="22"/>
          <w:lang w:val="sq-AL"/>
        </w:rPr>
        <w:t xml:space="preserve">Mbulimi i popullsisë me shërbime mbetet ende i ulët. Është rritur numri i bashkive që sigurojnë shërbime sociale komunitare për të paktën 3 kategori përfituesish (PAK, fëmijë, të moshuar), por mbulimi në zonat </w:t>
      </w:r>
      <w:r w:rsidR="002A673E" w:rsidRPr="007A3AD7">
        <w:rPr>
          <w:iCs/>
          <w:szCs w:val="22"/>
          <w:lang w:val="sq-AL"/>
        </w:rPr>
        <w:t>urbane mbetet i pamjaftuesh</w:t>
      </w:r>
      <w:r w:rsidR="00E9006B">
        <w:rPr>
          <w:iCs/>
          <w:szCs w:val="22"/>
          <w:lang w:val="sq-AL"/>
        </w:rPr>
        <w:t>ë</w:t>
      </w:r>
      <w:r w:rsidR="002A673E" w:rsidRPr="007A3AD7">
        <w:rPr>
          <w:iCs/>
          <w:szCs w:val="22"/>
          <w:lang w:val="sq-AL"/>
        </w:rPr>
        <w:t>m dhe n</w:t>
      </w:r>
      <w:r w:rsidR="00E9006B">
        <w:rPr>
          <w:iCs/>
          <w:szCs w:val="22"/>
          <w:lang w:val="sq-AL"/>
        </w:rPr>
        <w:t>ë</w:t>
      </w:r>
      <w:r w:rsidR="002A673E" w:rsidRPr="007A3AD7">
        <w:rPr>
          <w:iCs/>
          <w:szCs w:val="22"/>
          <w:lang w:val="sq-AL"/>
        </w:rPr>
        <w:t xml:space="preserve"> zonat </w:t>
      </w:r>
      <w:r w:rsidRPr="007A3AD7">
        <w:rPr>
          <w:iCs/>
          <w:szCs w:val="22"/>
          <w:lang w:val="sq-AL"/>
        </w:rPr>
        <w:t>rurale i ulët</w:t>
      </w:r>
      <w:r w:rsidR="002A673E" w:rsidRPr="007A3AD7">
        <w:rPr>
          <w:iCs/>
          <w:szCs w:val="22"/>
          <w:lang w:val="sq-AL"/>
        </w:rPr>
        <w:t>.</w:t>
      </w:r>
      <w:r w:rsidRPr="007A3AD7">
        <w:rPr>
          <w:iCs/>
          <w:szCs w:val="22"/>
          <w:lang w:val="sq-AL"/>
        </w:rPr>
        <w:t xml:space="preserve"> </w:t>
      </w:r>
      <w:r w:rsidR="002A673E" w:rsidRPr="007A3AD7">
        <w:rPr>
          <w:iCs/>
          <w:szCs w:val="22"/>
          <w:lang w:val="sq-AL"/>
        </w:rPr>
        <w:t>N</w:t>
      </w:r>
      <w:r w:rsidRPr="007A3AD7">
        <w:rPr>
          <w:iCs/>
          <w:szCs w:val="22"/>
          <w:lang w:val="sq-AL"/>
        </w:rPr>
        <w:t xml:space="preserve">uk ka një vlerësim </w:t>
      </w:r>
      <w:r w:rsidR="002A673E" w:rsidRPr="007A3AD7">
        <w:rPr>
          <w:iCs/>
          <w:szCs w:val="22"/>
          <w:lang w:val="sq-AL"/>
        </w:rPr>
        <w:t>periodik t</w:t>
      </w:r>
      <w:r w:rsidRPr="007A3AD7">
        <w:rPr>
          <w:iCs/>
          <w:szCs w:val="22"/>
          <w:lang w:val="sq-AL"/>
        </w:rPr>
        <w:t>ë vulnerabilitetit</w:t>
      </w:r>
      <w:r w:rsidR="002A673E" w:rsidRPr="007A3AD7">
        <w:rPr>
          <w:iCs/>
          <w:szCs w:val="22"/>
          <w:lang w:val="sq-AL"/>
        </w:rPr>
        <w:t xml:space="preserve"> sipas zonave</w:t>
      </w:r>
      <w:r w:rsidRPr="007A3AD7">
        <w:rPr>
          <w:iCs/>
          <w:szCs w:val="22"/>
          <w:lang w:val="sq-AL"/>
        </w:rPr>
        <w:t xml:space="preserve">, </w:t>
      </w:r>
      <w:r w:rsidR="002A673E" w:rsidRPr="007A3AD7">
        <w:rPr>
          <w:iCs/>
          <w:szCs w:val="22"/>
          <w:lang w:val="sq-AL"/>
        </w:rPr>
        <w:t>por evidentohet q</w:t>
      </w:r>
      <w:r w:rsidR="00E9006B">
        <w:rPr>
          <w:iCs/>
          <w:szCs w:val="22"/>
          <w:lang w:val="sq-AL"/>
        </w:rPr>
        <w:t>ë</w:t>
      </w:r>
      <w:r w:rsidR="002A673E" w:rsidRPr="007A3AD7">
        <w:rPr>
          <w:iCs/>
          <w:szCs w:val="22"/>
          <w:lang w:val="sq-AL"/>
        </w:rPr>
        <w:t xml:space="preserve"> </w:t>
      </w:r>
      <w:r w:rsidRPr="007A3AD7">
        <w:rPr>
          <w:iCs/>
          <w:szCs w:val="22"/>
          <w:lang w:val="sq-AL"/>
        </w:rPr>
        <w:t>individët në vështirësi ekonomike, sociale e shëndetësore hasin vështirësi në aksesin në shërbime. Shërbimet lëvizëse për të mbështetur zonat periferike e rurale janë ende të nënzhvilluara.  Do t</w:t>
      </w:r>
      <w:r w:rsidR="009A5A0E" w:rsidRPr="007A3AD7">
        <w:rPr>
          <w:iCs/>
          <w:szCs w:val="22"/>
          <w:lang w:val="sq-AL"/>
        </w:rPr>
        <w:t>ë</w:t>
      </w:r>
      <w:r w:rsidRPr="007A3AD7">
        <w:rPr>
          <w:iCs/>
          <w:szCs w:val="22"/>
          <w:lang w:val="sq-AL"/>
        </w:rPr>
        <w:t xml:space="preserve"> realizohet zgjerimi </w:t>
      </w:r>
      <w:r w:rsidR="00350315" w:rsidRPr="007A3AD7">
        <w:rPr>
          <w:iCs/>
          <w:szCs w:val="22"/>
          <w:lang w:val="sq-AL"/>
        </w:rPr>
        <w:t>i hartës së shërbimeve</w:t>
      </w:r>
      <w:r w:rsidR="002A673E" w:rsidRPr="007A3AD7">
        <w:rPr>
          <w:iCs/>
          <w:szCs w:val="22"/>
          <w:lang w:val="sq-AL"/>
        </w:rPr>
        <w:t>,</w:t>
      </w:r>
      <w:r w:rsidR="00350315" w:rsidRPr="007A3AD7">
        <w:rPr>
          <w:iCs/>
          <w:szCs w:val="22"/>
          <w:lang w:val="sq-AL"/>
        </w:rPr>
        <w:t xml:space="preserve"> </w:t>
      </w:r>
      <w:r w:rsidRPr="007A3AD7">
        <w:rPr>
          <w:iCs/>
          <w:szCs w:val="22"/>
          <w:lang w:val="sq-AL"/>
        </w:rPr>
        <w:t>i cili do t</w:t>
      </w:r>
      <w:r w:rsidR="009A5A0E" w:rsidRPr="007A3AD7">
        <w:rPr>
          <w:iCs/>
          <w:szCs w:val="22"/>
          <w:lang w:val="sq-AL"/>
        </w:rPr>
        <w:t>ë</w:t>
      </w:r>
      <w:r w:rsidRPr="007A3AD7">
        <w:rPr>
          <w:iCs/>
          <w:szCs w:val="22"/>
          <w:lang w:val="sq-AL"/>
        </w:rPr>
        <w:t xml:space="preserve"> </w:t>
      </w:r>
      <w:r w:rsidR="00350315" w:rsidRPr="007A3AD7">
        <w:rPr>
          <w:iCs/>
          <w:szCs w:val="22"/>
          <w:lang w:val="sq-AL"/>
        </w:rPr>
        <w:t xml:space="preserve">shoqërohet me diversifikimin dhe futjen e shërbimeve të reja e inovative, duke patur në vëmendje individin dhe familjen. </w:t>
      </w:r>
      <w:r w:rsidRPr="007A3AD7">
        <w:rPr>
          <w:iCs/>
          <w:szCs w:val="22"/>
          <w:lang w:val="sq-AL"/>
        </w:rPr>
        <w:t>Do t</w:t>
      </w:r>
      <w:r w:rsidR="009A5A0E" w:rsidRPr="007A3AD7">
        <w:rPr>
          <w:iCs/>
          <w:szCs w:val="22"/>
          <w:lang w:val="sq-AL"/>
        </w:rPr>
        <w:t>ë</w:t>
      </w:r>
      <w:r w:rsidRPr="007A3AD7">
        <w:rPr>
          <w:iCs/>
          <w:szCs w:val="22"/>
          <w:lang w:val="sq-AL"/>
        </w:rPr>
        <w:t xml:space="preserve"> p</w:t>
      </w:r>
      <w:r w:rsidR="009A5A0E" w:rsidRPr="007A3AD7">
        <w:rPr>
          <w:iCs/>
          <w:szCs w:val="22"/>
          <w:lang w:val="sq-AL"/>
        </w:rPr>
        <w:t>ë</w:t>
      </w:r>
      <w:r w:rsidRPr="007A3AD7">
        <w:rPr>
          <w:iCs/>
          <w:szCs w:val="22"/>
          <w:lang w:val="sq-AL"/>
        </w:rPr>
        <w:t>rgatitet harta e vulnerabilitetit e rifreskuar</w:t>
      </w:r>
      <w:r w:rsidR="00350315" w:rsidRPr="007A3AD7">
        <w:rPr>
          <w:iCs/>
          <w:szCs w:val="22"/>
          <w:lang w:val="sq-AL"/>
        </w:rPr>
        <w:t xml:space="preserve"> (hartëzimi i nevojave) dhe në bazë të kësaj harte të unifikuar </w:t>
      </w:r>
      <w:r w:rsidRPr="007A3AD7">
        <w:rPr>
          <w:iCs/>
          <w:szCs w:val="22"/>
          <w:lang w:val="sq-AL"/>
        </w:rPr>
        <w:t>do t</w:t>
      </w:r>
      <w:r w:rsidR="009A5A0E" w:rsidRPr="007A3AD7">
        <w:rPr>
          <w:iCs/>
          <w:szCs w:val="22"/>
          <w:lang w:val="sq-AL"/>
        </w:rPr>
        <w:t>ë</w:t>
      </w:r>
      <w:r w:rsidR="00350315" w:rsidRPr="007A3AD7">
        <w:rPr>
          <w:iCs/>
          <w:szCs w:val="22"/>
          <w:lang w:val="sq-AL"/>
        </w:rPr>
        <w:t xml:space="preserve"> realizohet vlerësimi i nevojës për shërbime të reja të kujdesit shoqëror, në funksion të zgjerimit të hartës së shërbimeve, nga përpjekjet e koordinuara të të gjithë aktorëve, publikë dhe jopublikë. </w:t>
      </w:r>
    </w:p>
    <w:p w14:paraId="7B85D87C" w14:textId="644FB97C" w:rsidR="00286E2F" w:rsidRPr="007A3AD7" w:rsidRDefault="00286E2F" w:rsidP="00286E2F">
      <w:pPr>
        <w:pStyle w:val="NormalWeb"/>
        <w:rPr>
          <w:szCs w:val="22"/>
          <w:lang w:val="pt-BR"/>
        </w:rPr>
      </w:pPr>
      <w:r w:rsidRPr="007A3AD7">
        <w:rPr>
          <w:szCs w:val="22"/>
          <w:lang w:val="sq-AL"/>
        </w:rPr>
        <w:t>Sistemi</w:t>
      </w:r>
      <w:r w:rsidR="00350315" w:rsidRPr="007A3AD7">
        <w:rPr>
          <w:szCs w:val="22"/>
          <w:lang w:val="sq-AL"/>
        </w:rPr>
        <w:t xml:space="preserve"> i integruar i shërbimeve shoqërore do të zhvillohet drejt tipologjive të reja e me mbulim të </w:t>
      </w:r>
      <w:r w:rsidRPr="007A3AD7">
        <w:rPr>
          <w:szCs w:val="22"/>
          <w:lang w:val="sq-AL"/>
        </w:rPr>
        <w:t>ar</w:t>
      </w:r>
      <w:r w:rsidR="009A5A0E" w:rsidRPr="007A3AD7">
        <w:rPr>
          <w:szCs w:val="22"/>
          <w:lang w:val="sq-AL"/>
        </w:rPr>
        <w:t>ë</w:t>
      </w:r>
      <w:r w:rsidRPr="007A3AD7">
        <w:rPr>
          <w:szCs w:val="22"/>
          <w:lang w:val="sq-AL"/>
        </w:rPr>
        <w:t>syesh</w:t>
      </w:r>
      <w:r w:rsidR="009A5A0E" w:rsidRPr="007A3AD7">
        <w:rPr>
          <w:szCs w:val="22"/>
          <w:lang w:val="sq-AL"/>
        </w:rPr>
        <w:t>ë</w:t>
      </w:r>
      <w:r w:rsidRPr="007A3AD7">
        <w:rPr>
          <w:szCs w:val="22"/>
          <w:lang w:val="sq-AL"/>
        </w:rPr>
        <w:t xml:space="preserve">m </w:t>
      </w:r>
      <w:r w:rsidR="00350315" w:rsidRPr="007A3AD7">
        <w:rPr>
          <w:szCs w:val="22"/>
          <w:lang w:val="sq-AL"/>
        </w:rPr>
        <w:t xml:space="preserve">gjeografik duke reduktuar pabarazitë rajonale aktuale, mbështetur me rritje të financimit të shërbimeve sociale, rritje të kapaciteteve njerëzore, për përmirësimin e funksionimit dhe eficiencës së shërbimeve komunitare dhe në familje si dhe forcimin e modelit të manaxhimit të rastit përgjatë zinxhirit të shërbimeve, përmes integrimit të skemave dhe sistemeve. </w:t>
      </w:r>
      <w:r w:rsidRPr="007A3AD7">
        <w:rPr>
          <w:szCs w:val="22"/>
          <w:lang w:val="pt-BR"/>
        </w:rPr>
        <w:t xml:space="preserve">Aktualisht, ofrimi i shërbimeve sociale të integruara e njëkohësisht të qëndrueshme, inovative dhe gjithëpërfshirësë, si dhe me standarde Europiane mbetet sfidë për sektorin e mbrojtjes sociale dhe strategjisë së ardhshme në këtë fushë. Kjo sfidë synon mobilizimin e burimeve njerëzore dhe financiare, përdorimin e teknologjisë, si dhe nxitjen e partneriteteve mes aktorëve publikë dhe jopublikë.  </w:t>
      </w:r>
    </w:p>
    <w:p w14:paraId="1C1D2417" w14:textId="6C9EAAE7" w:rsidR="003432EB" w:rsidRPr="007A3AD7" w:rsidRDefault="00350315" w:rsidP="00286E2F">
      <w:pPr>
        <w:pStyle w:val="NormalWeb"/>
        <w:rPr>
          <w:szCs w:val="22"/>
          <w:lang w:val="sq-AL"/>
        </w:rPr>
      </w:pPr>
      <w:r w:rsidRPr="007A3AD7">
        <w:rPr>
          <w:szCs w:val="22"/>
          <w:lang w:val="sq-AL"/>
        </w:rPr>
        <w:t>Orientuar drejt deinstitucionalizimit dhe decentralizimit, sistemi i mbrojtjes sociale do të zhvillohet edhe në lidhje me fleksibilitetin për t’u përgjigjur shpejt dhe në mënyrë efektive krizave dhe emergjencave, duke mos cënuar mbështetjen me shërbime ndaj individëve dhe familjeve në nevojë të shtuar.</w:t>
      </w:r>
      <w:r w:rsidR="004A5D71" w:rsidRPr="007A3AD7">
        <w:rPr>
          <w:szCs w:val="22"/>
          <w:lang w:val="sq-AL"/>
        </w:rPr>
        <w:t xml:space="preserve"> </w:t>
      </w:r>
    </w:p>
    <w:p w14:paraId="33F2C034" w14:textId="647CA771" w:rsidR="00EC0C64" w:rsidRPr="007A3AD7" w:rsidRDefault="00EC0C64" w:rsidP="00286E2F">
      <w:pPr>
        <w:pStyle w:val="NormalWeb"/>
        <w:rPr>
          <w:szCs w:val="22"/>
          <w:lang w:val="sq-AL"/>
        </w:rPr>
      </w:pPr>
      <w:r w:rsidRPr="007A3AD7">
        <w:rPr>
          <w:szCs w:val="22"/>
          <w:lang w:val="sq-AL"/>
        </w:rPr>
        <w:t>P</w:t>
      </w:r>
      <w:r w:rsidR="009A5A0E" w:rsidRPr="007A3AD7">
        <w:rPr>
          <w:szCs w:val="22"/>
          <w:lang w:val="sq-AL"/>
        </w:rPr>
        <w:t>ë</w:t>
      </w:r>
      <w:r w:rsidRPr="007A3AD7">
        <w:rPr>
          <w:szCs w:val="22"/>
          <w:lang w:val="sq-AL"/>
        </w:rPr>
        <w:t>r t</w:t>
      </w:r>
      <w:r w:rsidR="009A5A0E" w:rsidRPr="007A3AD7">
        <w:rPr>
          <w:szCs w:val="22"/>
          <w:lang w:val="sq-AL"/>
        </w:rPr>
        <w:t>ë</w:t>
      </w:r>
      <w:r w:rsidRPr="007A3AD7">
        <w:rPr>
          <w:szCs w:val="22"/>
          <w:lang w:val="sq-AL"/>
        </w:rPr>
        <w:t xml:space="preserve"> mb</w:t>
      </w:r>
      <w:r w:rsidR="009A5A0E" w:rsidRPr="007A3AD7">
        <w:rPr>
          <w:szCs w:val="22"/>
          <w:lang w:val="sq-AL"/>
        </w:rPr>
        <w:t>ë</w:t>
      </w:r>
      <w:r w:rsidRPr="007A3AD7">
        <w:rPr>
          <w:szCs w:val="22"/>
          <w:lang w:val="sq-AL"/>
        </w:rPr>
        <w:t>shtetur zgjerimin e hart</w:t>
      </w:r>
      <w:r w:rsidR="009A5A0E" w:rsidRPr="007A3AD7">
        <w:rPr>
          <w:szCs w:val="22"/>
          <w:lang w:val="sq-AL"/>
        </w:rPr>
        <w:t>ë</w:t>
      </w:r>
      <w:r w:rsidRPr="007A3AD7">
        <w:rPr>
          <w:szCs w:val="22"/>
          <w:lang w:val="sq-AL"/>
        </w:rPr>
        <w:t>s s</w:t>
      </w:r>
      <w:r w:rsidR="009A5A0E" w:rsidRPr="007A3AD7">
        <w:rPr>
          <w:szCs w:val="22"/>
          <w:lang w:val="sq-AL"/>
        </w:rPr>
        <w:t>ë</w:t>
      </w:r>
      <w:r w:rsidRPr="007A3AD7">
        <w:rPr>
          <w:szCs w:val="22"/>
          <w:lang w:val="sq-AL"/>
        </w:rPr>
        <w:t xml:space="preserve"> sh</w:t>
      </w:r>
      <w:r w:rsidR="009A5A0E" w:rsidRPr="007A3AD7">
        <w:rPr>
          <w:szCs w:val="22"/>
          <w:lang w:val="sq-AL"/>
        </w:rPr>
        <w:t>ë</w:t>
      </w:r>
      <w:r w:rsidRPr="007A3AD7">
        <w:rPr>
          <w:szCs w:val="22"/>
          <w:lang w:val="sq-AL"/>
        </w:rPr>
        <w:t>rbimeve dhe vler</w:t>
      </w:r>
      <w:r w:rsidR="009A5A0E" w:rsidRPr="007A3AD7">
        <w:rPr>
          <w:szCs w:val="22"/>
          <w:lang w:val="sq-AL"/>
        </w:rPr>
        <w:t>ë</w:t>
      </w:r>
      <w:r w:rsidRPr="007A3AD7">
        <w:rPr>
          <w:szCs w:val="22"/>
          <w:lang w:val="sq-AL"/>
        </w:rPr>
        <w:t>suar shkall</w:t>
      </w:r>
      <w:r w:rsidR="009A5A0E" w:rsidRPr="007A3AD7">
        <w:rPr>
          <w:szCs w:val="22"/>
          <w:lang w:val="sq-AL"/>
        </w:rPr>
        <w:t>ë</w:t>
      </w:r>
      <w:r w:rsidRPr="007A3AD7">
        <w:rPr>
          <w:szCs w:val="22"/>
          <w:lang w:val="sq-AL"/>
        </w:rPr>
        <w:t>n e k</w:t>
      </w:r>
      <w:r w:rsidR="009A5A0E" w:rsidRPr="007A3AD7">
        <w:rPr>
          <w:szCs w:val="22"/>
          <w:lang w:val="sq-AL"/>
        </w:rPr>
        <w:t>ë</w:t>
      </w:r>
      <w:r w:rsidRPr="007A3AD7">
        <w:rPr>
          <w:szCs w:val="22"/>
          <w:lang w:val="sq-AL"/>
        </w:rPr>
        <w:t>naq</w:t>
      </w:r>
      <w:r w:rsidR="009A5A0E" w:rsidRPr="007A3AD7">
        <w:rPr>
          <w:szCs w:val="22"/>
          <w:lang w:val="sq-AL"/>
        </w:rPr>
        <w:t>ë</w:t>
      </w:r>
      <w:r w:rsidRPr="007A3AD7">
        <w:rPr>
          <w:szCs w:val="22"/>
          <w:lang w:val="sq-AL"/>
        </w:rPr>
        <w:t>sis</w:t>
      </w:r>
      <w:r w:rsidR="009A5A0E" w:rsidRPr="007A3AD7">
        <w:rPr>
          <w:szCs w:val="22"/>
          <w:lang w:val="sq-AL"/>
        </w:rPr>
        <w:t>ë</w:t>
      </w:r>
      <w:r w:rsidRPr="007A3AD7">
        <w:rPr>
          <w:szCs w:val="22"/>
          <w:lang w:val="sq-AL"/>
        </w:rPr>
        <w:t xml:space="preserve"> s</w:t>
      </w:r>
      <w:r w:rsidR="009A5A0E" w:rsidRPr="007A3AD7">
        <w:rPr>
          <w:szCs w:val="22"/>
          <w:lang w:val="sq-AL"/>
        </w:rPr>
        <w:t>ë</w:t>
      </w:r>
      <w:r w:rsidRPr="007A3AD7">
        <w:rPr>
          <w:szCs w:val="22"/>
          <w:lang w:val="sq-AL"/>
        </w:rPr>
        <w:t xml:space="preserve"> individ</w:t>
      </w:r>
      <w:r w:rsidR="009A5A0E" w:rsidRPr="007A3AD7">
        <w:rPr>
          <w:szCs w:val="22"/>
          <w:lang w:val="sq-AL"/>
        </w:rPr>
        <w:t>ë</w:t>
      </w:r>
      <w:r w:rsidRPr="007A3AD7">
        <w:rPr>
          <w:szCs w:val="22"/>
          <w:lang w:val="sq-AL"/>
        </w:rPr>
        <w:t>ve q</w:t>
      </w:r>
      <w:r w:rsidR="009A5A0E" w:rsidRPr="007A3AD7">
        <w:rPr>
          <w:szCs w:val="22"/>
          <w:lang w:val="sq-AL"/>
        </w:rPr>
        <w:t>ë</w:t>
      </w:r>
      <w:r w:rsidRPr="007A3AD7">
        <w:rPr>
          <w:szCs w:val="22"/>
          <w:lang w:val="sq-AL"/>
        </w:rPr>
        <w:t xml:space="preserve"> p</w:t>
      </w:r>
      <w:r w:rsidR="009A5A0E" w:rsidRPr="007A3AD7">
        <w:rPr>
          <w:szCs w:val="22"/>
          <w:lang w:val="sq-AL"/>
        </w:rPr>
        <w:t>ë</w:t>
      </w:r>
      <w:r w:rsidRPr="007A3AD7">
        <w:rPr>
          <w:szCs w:val="22"/>
          <w:lang w:val="sq-AL"/>
        </w:rPr>
        <w:t>rfitojn</w:t>
      </w:r>
      <w:r w:rsidR="009A5A0E" w:rsidRPr="007A3AD7">
        <w:rPr>
          <w:szCs w:val="22"/>
          <w:lang w:val="sq-AL"/>
        </w:rPr>
        <w:t>ë</w:t>
      </w:r>
      <w:r w:rsidRPr="007A3AD7">
        <w:rPr>
          <w:szCs w:val="22"/>
          <w:lang w:val="sq-AL"/>
        </w:rPr>
        <w:t xml:space="preserve"> prej tyre, nj</w:t>
      </w:r>
      <w:r w:rsidR="009A5A0E" w:rsidRPr="007A3AD7">
        <w:rPr>
          <w:szCs w:val="22"/>
          <w:lang w:val="sq-AL"/>
        </w:rPr>
        <w:t>ë</w:t>
      </w:r>
      <w:r w:rsidRPr="007A3AD7">
        <w:rPr>
          <w:szCs w:val="22"/>
          <w:lang w:val="sq-AL"/>
        </w:rPr>
        <w:t xml:space="preserve"> vemendje t</w:t>
      </w:r>
      <w:r w:rsidR="009A5A0E" w:rsidRPr="007A3AD7">
        <w:rPr>
          <w:szCs w:val="22"/>
          <w:lang w:val="sq-AL"/>
        </w:rPr>
        <w:t>ë</w:t>
      </w:r>
      <w:r w:rsidRPr="007A3AD7">
        <w:rPr>
          <w:szCs w:val="22"/>
          <w:lang w:val="sq-AL"/>
        </w:rPr>
        <w:t xml:space="preserve"> posa</w:t>
      </w:r>
      <w:r w:rsidR="005F272A" w:rsidRPr="007A3AD7">
        <w:rPr>
          <w:szCs w:val="22"/>
          <w:lang w:val="sq-AL"/>
        </w:rPr>
        <w:t>ç</w:t>
      </w:r>
      <w:r w:rsidRPr="007A3AD7">
        <w:rPr>
          <w:szCs w:val="22"/>
          <w:lang w:val="sq-AL"/>
        </w:rPr>
        <w:t>me do t</w:t>
      </w:r>
      <w:r w:rsidR="009A5A0E" w:rsidRPr="007A3AD7">
        <w:rPr>
          <w:szCs w:val="22"/>
          <w:lang w:val="sq-AL"/>
        </w:rPr>
        <w:t>ë</w:t>
      </w:r>
      <w:r w:rsidRPr="007A3AD7">
        <w:rPr>
          <w:szCs w:val="22"/>
          <w:lang w:val="sq-AL"/>
        </w:rPr>
        <w:t xml:space="preserve"> marr</w:t>
      </w:r>
      <w:r w:rsidR="009A5A0E" w:rsidRPr="007A3AD7">
        <w:rPr>
          <w:szCs w:val="22"/>
          <w:lang w:val="sq-AL"/>
        </w:rPr>
        <w:t>ë</w:t>
      </w:r>
      <w:r w:rsidRPr="007A3AD7">
        <w:rPr>
          <w:szCs w:val="22"/>
          <w:lang w:val="sq-AL"/>
        </w:rPr>
        <w:t xml:space="preserve"> p</w:t>
      </w:r>
      <w:r w:rsidR="009A5A0E" w:rsidRPr="007A3AD7">
        <w:rPr>
          <w:szCs w:val="22"/>
          <w:lang w:val="sq-AL"/>
        </w:rPr>
        <w:t>ë</w:t>
      </w:r>
      <w:r w:rsidRPr="007A3AD7">
        <w:rPr>
          <w:szCs w:val="22"/>
          <w:lang w:val="sq-AL"/>
        </w:rPr>
        <w:t>rmir</w:t>
      </w:r>
      <w:r w:rsidR="009A5A0E" w:rsidRPr="007A3AD7">
        <w:rPr>
          <w:szCs w:val="22"/>
          <w:lang w:val="sq-AL"/>
        </w:rPr>
        <w:t>ë</w:t>
      </w:r>
      <w:r w:rsidRPr="007A3AD7">
        <w:rPr>
          <w:szCs w:val="22"/>
          <w:lang w:val="sq-AL"/>
        </w:rPr>
        <w:t>simi i rregjistrit elektronik t</w:t>
      </w:r>
      <w:r w:rsidR="009A5A0E" w:rsidRPr="007A3AD7">
        <w:rPr>
          <w:szCs w:val="22"/>
          <w:lang w:val="sq-AL"/>
        </w:rPr>
        <w:t>ë</w:t>
      </w:r>
      <w:r w:rsidRPr="007A3AD7">
        <w:rPr>
          <w:szCs w:val="22"/>
          <w:lang w:val="sq-AL"/>
        </w:rPr>
        <w:t xml:space="preserve"> sh</w:t>
      </w:r>
      <w:r w:rsidR="009A5A0E" w:rsidRPr="007A3AD7">
        <w:rPr>
          <w:szCs w:val="22"/>
          <w:lang w:val="sq-AL"/>
        </w:rPr>
        <w:t>ë</w:t>
      </w:r>
      <w:r w:rsidRPr="007A3AD7">
        <w:rPr>
          <w:szCs w:val="22"/>
          <w:lang w:val="sq-AL"/>
        </w:rPr>
        <w:t>rbimeve, lidhja e tij me rregjistra t</w:t>
      </w:r>
      <w:r w:rsidR="009A5A0E" w:rsidRPr="007A3AD7">
        <w:rPr>
          <w:szCs w:val="22"/>
          <w:lang w:val="sq-AL"/>
        </w:rPr>
        <w:t>ë</w:t>
      </w:r>
      <w:r w:rsidRPr="007A3AD7">
        <w:rPr>
          <w:szCs w:val="22"/>
          <w:lang w:val="sq-AL"/>
        </w:rPr>
        <w:t xml:space="preserve"> tjer</w:t>
      </w:r>
      <w:r w:rsidR="009A5A0E" w:rsidRPr="007A3AD7">
        <w:rPr>
          <w:szCs w:val="22"/>
          <w:lang w:val="sq-AL"/>
        </w:rPr>
        <w:t>ë</w:t>
      </w:r>
      <w:r w:rsidRPr="007A3AD7">
        <w:rPr>
          <w:szCs w:val="22"/>
          <w:lang w:val="sq-AL"/>
        </w:rPr>
        <w:t xml:space="preserve"> me informacion t</w:t>
      </w:r>
      <w:r w:rsidR="009A5A0E" w:rsidRPr="007A3AD7">
        <w:rPr>
          <w:szCs w:val="22"/>
          <w:lang w:val="sq-AL"/>
        </w:rPr>
        <w:t>ë</w:t>
      </w:r>
      <w:r w:rsidRPr="007A3AD7">
        <w:rPr>
          <w:szCs w:val="22"/>
          <w:lang w:val="sq-AL"/>
        </w:rPr>
        <w:t xml:space="preserve"> dobish</w:t>
      </w:r>
      <w:r w:rsidR="009A5A0E" w:rsidRPr="007A3AD7">
        <w:rPr>
          <w:szCs w:val="22"/>
          <w:lang w:val="sq-AL"/>
        </w:rPr>
        <w:t>ë</w:t>
      </w:r>
      <w:r w:rsidRPr="007A3AD7">
        <w:rPr>
          <w:szCs w:val="22"/>
          <w:lang w:val="sq-AL"/>
        </w:rPr>
        <w:t>m, kapacitimi i personelit p</w:t>
      </w:r>
      <w:r w:rsidR="009A5A0E" w:rsidRPr="007A3AD7">
        <w:rPr>
          <w:szCs w:val="22"/>
          <w:lang w:val="sq-AL"/>
        </w:rPr>
        <w:t>ë</w:t>
      </w:r>
      <w:r w:rsidRPr="007A3AD7">
        <w:rPr>
          <w:szCs w:val="22"/>
          <w:lang w:val="sq-AL"/>
        </w:rPr>
        <w:t>r t</w:t>
      </w:r>
      <w:r w:rsidR="009A5A0E" w:rsidRPr="007A3AD7">
        <w:rPr>
          <w:szCs w:val="22"/>
          <w:lang w:val="sq-AL"/>
        </w:rPr>
        <w:t>ë</w:t>
      </w:r>
      <w:r w:rsidRPr="007A3AD7">
        <w:rPr>
          <w:szCs w:val="22"/>
          <w:lang w:val="sq-AL"/>
        </w:rPr>
        <w:t xml:space="preserve"> populluar rregjistrin me t</w:t>
      </w:r>
      <w:r w:rsidR="009A5A0E" w:rsidRPr="007A3AD7">
        <w:rPr>
          <w:szCs w:val="22"/>
          <w:lang w:val="sq-AL"/>
        </w:rPr>
        <w:t>ë</w:t>
      </w:r>
      <w:r w:rsidRPr="007A3AD7">
        <w:rPr>
          <w:szCs w:val="22"/>
          <w:lang w:val="sq-AL"/>
        </w:rPr>
        <w:t xml:space="preserve"> dh</w:t>
      </w:r>
      <w:r w:rsidR="009A5A0E" w:rsidRPr="007A3AD7">
        <w:rPr>
          <w:szCs w:val="22"/>
          <w:lang w:val="sq-AL"/>
        </w:rPr>
        <w:t>ë</w:t>
      </w:r>
      <w:r w:rsidRPr="007A3AD7">
        <w:rPr>
          <w:szCs w:val="22"/>
          <w:lang w:val="sq-AL"/>
        </w:rPr>
        <w:t>na dhe p</w:t>
      </w:r>
      <w:r w:rsidR="009A5A0E" w:rsidRPr="007A3AD7">
        <w:rPr>
          <w:szCs w:val="22"/>
          <w:lang w:val="sq-AL"/>
        </w:rPr>
        <w:t>ë</w:t>
      </w:r>
      <w:r w:rsidRPr="007A3AD7">
        <w:rPr>
          <w:szCs w:val="22"/>
          <w:lang w:val="sq-AL"/>
        </w:rPr>
        <w:t>r t</w:t>
      </w:r>
      <w:r w:rsidR="005F272A" w:rsidRPr="007A3AD7">
        <w:rPr>
          <w:szCs w:val="22"/>
          <w:lang w:val="sq-AL"/>
        </w:rPr>
        <w:t>’</w:t>
      </w:r>
      <w:r w:rsidRPr="007A3AD7">
        <w:rPr>
          <w:szCs w:val="22"/>
          <w:lang w:val="sq-AL"/>
        </w:rPr>
        <w:t>i p</w:t>
      </w:r>
      <w:r w:rsidR="009A5A0E" w:rsidRPr="007A3AD7">
        <w:rPr>
          <w:szCs w:val="22"/>
          <w:lang w:val="sq-AL"/>
        </w:rPr>
        <w:t>ë</w:t>
      </w:r>
      <w:r w:rsidRPr="007A3AD7">
        <w:rPr>
          <w:szCs w:val="22"/>
          <w:lang w:val="sq-AL"/>
        </w:rPr>
        <w:t xml:space="preserve">rdorur </w:t>
      </w:r>
      <w:r w:rsidR="005F272A" w:rsidRPr="007A3AD7">
        <w:rPr>
          <w:szCs w:val="22"/>
          <w:lang w:val="sq-AL"/>
        </w:rPr>
        <w:t>ato</w:t>
      </w:r>
      <w:r w:rsidRPr="007A3AD7">
        <w:rPr>
          <w:szCs w:val="22"/>
          <w:lang w:val="sq-AL"/>
        </w:rPr>
        <w:t xml:space="preserve"> p</w:t>
      </w:r>
      <w:r w:rsidR="009A5A0E" w:rsidRPr="007A3AD7">
        <w:rPr>
          <w:szCs w:val="22"/>
          <w:lang w:val="sq-AL"/>
        </w:rPr>
        <w:t>ë</w:t>
      </w:r>
      <w:r w:rsidRPr="007A3AD7">
        <w:rPr>
          <w:szCs w:val="22"/>
          <w:lang w:val="sq-AL"/>
        </w:rPr>
        <w:t>r analiza</w:t>
      </w:r>
      <w:r w:rsidR="005F272A" w:rsidRPr="007A3AD7">
        <w:rPr>
          <w:szCs w:val="22"/>
          <w:lang w:val="sq-AL"/>
        </w:rPr>
        <w:t>,</w:t>
      </w:r>
      <w:r w:rsidRPr="007A3AD7">
        <w:rPr>
          <w:szCs w:val="22"/>
          <w:lang w:val="sq-AL"/>
        </w:rPr>
        <w:t xml:space="preserve"> mb</w:t>
      </w:r>
      <w:r w:rsidR="009A5A0E" w:rsidRPr="007A3AD7">
        <w:rPr>
          <w:szCs w:val="22"/>
          <w:lang w:val="sq-AL"/>
        </w:rPr>
        <w:t>ë</w:t>
      </w:r>
      <w:r w:rsidRPr="007A3AD7">
        <w:rPr>
          <w:szCs w:val="22"/>
          <w:lang w:val="sq-AL"/>
        </w:rPr>
        <w:t>shtetja me infrastruktur</w:t>
      </w:r>
      <w:r w:rsidR="009A5A0E" w:rsidRPr="007A3AD7">
        <w:rPr>
          <w:szCs w:val="22"/>
          <w:lang w:val="sq-AL"/>
        </w:rPr>
        <w:t>ë</w:t>
      </w:r>
      <w:r w:rsidRPr="007A3AD7">
        <w:rPr>
          <w:szCs w:val="22"/>
          <w:lang w:val="sq-AL"/>
        </w:rPr>
        <w:t xml:space="preserve"> dhe materiale udh</w:t>
      </w:r>
      <w:r w:rsidR="009A5A0E" w:rsidRPr="007A3AD7">
        <w:rPr>
          <w:szCs w:val="22"/>
          <w:lang w:val="sq-AL"/>
        </w:rPr>
        <w:t>ë</w:t>
      </w:r>
      <w:r w:rsidRPr="007A3AD7">
        <w:rPr>
          <w:szCs w:val="22"/>
          <w:lang w:val="sq-AL"/>
        </w:rPr>
        <w:t xml:space="preserve">zuese e strukturave </w:t>
      </w:r>
      <w:r w:rsidR="000856A3" w:rsidRPr="007A3AD7">
        <w:rPr>
          <w:szCs w:val="22"/>
          <w:lang w:val="sq-AL"/>
        </w:rPr>
        <w:t>t</w:t>
      </w:r>
      <w:r w:rsidR="009A5A0E" w:rsidRPr="007A3AD7">
        <w:rPr>
          <w:szCs w:val="22"/>
          <w:lang w:val="sq-AL"/>
        </w:rPr>
        <w:t>ë</w:t>
      </w:r>
      <w:r w:rsidRPr="007A3AD7">
        <w:rPr>
          <w:szCs w:val="22"/>
          <w:lang w:val="sq-AL"/>
        </w:rPr>
        <w:t xml:space="preserve"> NJVRN. </w:t>
      </w:r>
    </w:p>
    <w:p w14:paraId="24FE48D2" w14:textId="69D1A15B" w:rsidR="003432EB" w:rsidRPr="00B5007E" w:rsidRDefault="003432EB" w:rsidP="00B5007E">
      <w:pPr>
        <w:pStyle w:val="Normal0"/>
        <w:rPr>
          <w:color w:val="4472C4" w:themeColor="accent1"/>
          <w:lang w:val="sq-AL"/>
        </w:rPr>
      </w:pPr>
      <w:bookmarkStart w:id="58" w:name="_Toc150809633"/>
      <w:r w:rsidRPr="00B5007E">
        <w:rPr>
          <w:color w:val="4472C4" w:themeColor="accent1"/>
          <w:lang w:val="sq-AL"/>
        </w:rPr>
        <w:t>Përmirësimi i cilësisë së shërbimeve ekzistuese dhe të reja përmes zbatimit, monitorimit dhe inspektimit të standardeve si dhe të përgjegjshme nga pikëpamja gjinore</w:t>
      </w:r>
      <w:r w:rsidR="005F272A" w:rsidRPr="00B5007E">
        <w:rPr>
          <w:color w:val="4472C4" w:themeColor="accent1"/>
          <w:lang w:val="sq-AL"/>
        </w:rPr>
        <w:t>.</w:t>
      </w:r>
      <w:bookmarkEnd w:id="58"/>
    </w:p>
    <w:p w14:paraId="7D35C8C3" w14:textId="17E1C142" w:rsidR="003432EB" w:rsidRPr="007A3AD7" w:rsidRDefault="00783BF7" w:rsidP="004D2A35">
      <w:pPr>
        <w:pStyle w:val="NormalWeb"/>
        <w:rPr>
          <w:b/>
          <w:iCs/>
          <w:szCs w:val="22"/>
          <w:lang w:val="pt-BR"/>
        </w:rPr>
      </w:pPr>
      <w:r w:rsidRPr="007A3AD7">
        <w:rPr>
          <w:iCs/>
          <w:szCs w:val="22"/>
          <w:lang w:val="pt-BR"/>
        </w:rPr>
        <w:t>P</w:t>
      </w:r>
      <w:r w:rsidR="009A5A0E" w:rsidRPr="007A3AD7">
        <w:rPr>
          <w:iCs/>
          <w:szCs w:val="22"/>
          <w:lang w:val="pt-BR"/>
        </w:rPr>
        <w:t>ë</w:t>
      </w:r>
      <w:r w:rsidRPr="007A3AD7">
        <w:rPr>
          <w:iCs/>
          <w:szCs w:val="22"/>
          <w:lang w:val="pt-BR"/>
        </w:rPr>
        <w:t>rmir</w:t>
      </w:r>
      <w:r w:rsidR="009A5A0E" w:rsidRPr="007A3AD7">
        <w:rPr>
          <w:iCs/>
          <w:szCs w:val="22"/>
          <w:lang w:val="pt-BR"/>
        </w:rPr>
        <w:t>ë</w:t>
      </w:r>
      <w:r w:rsidRPr="007A3AD7">
        <w:rPr>
          <w:iCs/>
          <w:szCs w:val="22"/>
          <w:lang w:val="pt-BR"/>
        </w:rPr>
        <w:t>simi i cil</w:t>
      </w:r>
      <w:r w:rsidR="009A5A0E" w:rsidRPr="007A3AD7">
        <w:rPr>
          <w:iCs/>
          <w:szCs w:val="22"/>
          <w:lang w:val="pt-BR"/>
        </w:rPr>
        <w:t>ë</w:t>
      </w:r>
      <w:r w:rsidRPr="007A3AD7">
        <w:rPr>
          <w:iCs/>
          <w:szCs w:val="22"/>
          <w:lang w:val="pt-BR"/>
        </w:rPr>
        <w:t>sis</w:t>
      </w:r>
      <w:r w:rsidR="009A5A0E" w:rsidRPr="007A3AD7">
        <w:rPr>
          <w:iCs/>
          <w:szCs w:val="22"/>
          <w:lang w:val="pt-BR"/>
        </w:rPr>
        <w:t>ë</w:t>
      </w:r>
      <w:r w:rsidRPr="007A3AD7">
        <w:rPr>
          <w:iCs/>
          <w:szCs w:val="22"/>
          <w:lang w:val="pt-BR"/>
        </w:rPr>
        <w:t xml:space="preserve"> s</w:t>
      </w:r>
      <w:r w:rsidR="009A5A0E" w:rsidRPr="007A3AD7">
        <w:rPr>
          <w:iCs/>
          <w:szCs w:val="22"/>
          <w:lang w:val="pt-BR"/>
        </w:rPr>
        <w:t>ë</w:t>
      </w:r>
      <w:r w:rsidRPr="007A3AD7">
        <w:rPr>
          <w:iCs/>
          <w:szCs w:val="22"/>
          <w:lang w:val="pt-BR"/>
        </w:rPr>
        <w:t xml:space="preserve"> sh</w:t>
      </w:r>
      <w:r w:rsidR="009A5A0E" w:rsidRPr="007A3AD7">
        <w:rPr>
          <w:iCs/>
          <w:szCs w:val="22"/>
          <w:lang w:val="pt-BR"/>
        </w:rPr>
        <w:t>ë</w:t>
      </w:r>
      <w:r w:rsidRPr="007A3AD7">
        <w:rPr>
          <w:iCs/>
          <w:szCs w:val="22"/>
          <w:lang w:val="pt-BR"/>
        </w:rPr>
        <w:t>rbimeve do t</w:t>
      </w:r>
      <w:r w:rsidR="009A5A0E" w:rsidRPr="007A3AD7">
        <w:rPr>
          <w:iCs/>
          <w:szCs w:val="22"/>
          <w:lang w:val="pt-BR"/>
        </w:rPr>
        <w:t>ë</w:t>
      </w:r>
      <w:r w:rsidRPr="007A3AD7">
        <w:rPr>
          <w:iCs/>
          <w:szCs w:val="22"/>
          <w:lang w:val="pt-BR"/>
        </w:rPr>
        <w:t xml:space="preserve"> </w:t>
      </w:r>
      <w:r w:rsidR="008319D3" w:rsidRPr="007A3AD7">
        <w:rPr>
          <w:iCs/>
          <w:szCs w:val="22"/>
          <w:lang w:val="pt-BR"/>
        </w:rPr>
        <w:t>konsistoj</w:t>
      </w:r>
      <w:r w:rsidR="009A5A0E" w:rsidRPr="007A3AD7">
        <w:rPr>
          <w:iCs/>
          <w:szCs w:val="22"/>
          <w:lang w:val="pt-BR"/>
        </w:rPr>
        <w:t>ë</w:t>
      </w:r>
      <w:r w:rsidR="008319D3" w:rsidRPr="007A3AD7">
        <w:rPr>
          <w:iCs/>
          <w:szCs w:val="22"/>
          <w:lang w:val="pt-BR"/>
        </w:rPr>
        <w:t xml:space="preserve"> n</w:t>
      </w:r>
      <w:r w:rsidR="009A5A0E" w:rsidRPr="007A3AD7">
        <w:rPr>
          <w:iCs/>
          <w:szCs w:val="22"/>
          <w:lang w:val="pt-BR"/>
        </w:rPr>
        <w:t>ë</w:t>
      </w:r>
      <w:r w:rsidRPr="007A3AD7">
        <w:rPr>
          <w:iCs/>
          <w:szCs w:val="22"/>
          <w:lang w:val="pt-BR"/>
        </w:rPr>
        <w:t xml:space="preserve"> </w:t>
      </w:r>
      <w:r w:rsidR="008319D3" w:rsidRPr="007A3AD7">
        <w:rPr>
          <w:iCs/>
          <w:szCs w:val="22"/>
          <w:lang w:val="pt-BR"/>
        </w:rPr>
        <w:t>vendosjen e</w:t>
      </w:r>
      <w:r w:rsidRPr="007A3AD7">
        <w:rPr>
          <w:iCs/>
          <w:szCs w:val="22"/>
          <w:lang w:val="pt-BR"/>
        </w:rPr>
        <w:t xml:space="preserve"> </w:t>
      </w:r>
      <w:r w:rsidR="003432EB" w:rsidRPr="007A3AD7">
        <w:rPr>
          <w:iCs/>
          <w:szCs w:val="22"/>
          <w:lang w:val="pt-BR"/>
        </w:rPr>
        <w:t xml:space="preserve">standardeve minimale për shërbimet, bazuar në kategorizimin e tyre; </w:t>
      </w:r>
      <w:r w:rsidR="003432EB" w:rsidRPr="007A3AD7">
        <w:rPr>
          <w:iCs/>
          <w:szCs w:val="22"/>
          <w:lang w:val="sq-AL"/>
        </w:rPr>
        <w:t>rishikim</w:t>
      </w:r>
      <w:r w:rsidRPr="007A3AD7">
        <w:rPr>
          <w:iCs/>
          <w:szCs w:val="22"/>
          <w:lang w:val="sq-AL"/>
        </w:rPr>
        <w:t>in</w:t>
      </w:r>
      <w:r w:rsidR="003432EB" w:rsidRPr="007A3AD7">
        <w:rPr>
          <w:iCs/>
          <w:szCs w:val="22"/>
          <w:lang w:val="sq-AL"/>
        </w:rPr>
        <w:t xml:space="preserve"> </w:t>
      </w:r>
      <w:r w:rsidRPr="007A3AD7">
        <w:rPr>
          <w:iCs/>
          <w:szCs w:val="22"/>
          <w:lang w:val="sq-AL"/>
        </w:rPr>
        <w:t>e</w:t>
      </w:r>
      <w:r w:rsidR="003432EB" w:rsidRPr="007A3AD7">
        <w:rPr>
          <w:iCs/>
          <w:szCs w:val="22"/>
          <w:lang w:val="sq-AL"/>
        </w:rPr>
        <w:t xml:space="preserve"> standardeve minimale ekzistuese</w:t>
      </w:r>
      <w:r w:rsidRPr="007A3AD7">
        <w:rPr>
          <w:iCs/>
          <w:szCs w:val="22"/>
          <w:lang w:val="sq-AL"/>
        </w:rPr>
        <w:t xml:space="preserve"> </w:t>
      </w:r>
      <w:r w:rsidR="003432EB" w:rsidRPr="007A3AD7">
        <w:rPr>
          <w:iCs/>
          <w:szCs w:val="22"/>
          <w:lang w:val="sq-AL"/>
        </w:rPr>
        <w:t>dhe identifikim të standardeve të reja funksionale dhe strukturore sipas rastit dhe tipologjive t</w:t>
      </w:r>
      <w:r w:rsidR="003432EB" w:rsidRPr="007A3AD7">
        <w:rPr>
          <w:iCs/>
          <w:szCs w:val="22"/>
          <w:lang w:val="pt-BR"/>
        </w:rPr>
        <w:t>ë</w:t>
      </w:r>
      <w:r w:rsidR="003432EB" w:rsidRPr="007A3AD7">
        <w:rPr>
          <w:iCs/>
          <w:szCs w:val="22"/>
          <w:lang w:val="sq-AL"/>
        </w:rPr>
        <w:t xml:space="preserve"> sh</w:t>
      </w:r>
      <w:r w:rsidR="003432EB" w:rsidRPr="007A3AD7">
        <w:rPr>
          <w:iCs/>
          <w:szCs w:val="22"/>
          <w:lang w:val="pt-BR"/>
        </w:rPr>
        <w:t>ë</w:t>
      </w:r>
      <w:r w:rsidR="003432EB" w:rsidRPr="007A3AD7">
        <w:rPr>
          <w:iCs/>
          <w:szCs w:val="22"/>
          <w:lang w:val="sq-AL"/>
        </w:rPr>
        <w:t>rbimit</w:t>
      </w:r>
      <w:r w:rsidR="003432EB" w:rsidRPr="007A3AD7">
        <w:rPr>
          <w:iCs/>
          <w:szCs w:val="22"/>
          <w:lang w:val="pt-BR"/>
        </w:rPr>
        <w:t>, përfshirë standar</w:t>
      </w:r>
      <w:r w:rsidR="005F272A" w:rsidRPr="007A3AD7">
        <w:rPr>
          <w:iCs/>
          <w:szCs w:val="22"/>
          <w:lang w:val="pt-BR"/>
        </w:rPr>
        <w:t>d</w:t>
      </w:r>
      <w:r w:rsidR="003432EB" w:rsidRPr="007A3AD7">
        <w:rPr>
          <w:iCs/>
          <w:szCs w:val="22"/>
          <w:lang w:val="pt-BR"/>
        </w:rPr>
        <w:t xml:space="preserve">et e shërbimeve të integruara të kujdesit shoqëror. </w:t>
      </w:r>
      <w:r w:rsidR="004D2A35" w:rsidRPr="007A3AD7">
        <w:rPr>
          <w:iCs/>
          <w:szCs w:val="22"/>
          <w:lang w:val="pt-BR"/>
        </w:rPr>
        <w:t>Ka perpjekje</w:t>
      </w:r>
      <w:r w:rsidR="003432EB" w:rsidRPr="007A3AD7">
        <w:rPr>
          <w:iCs/>
          <w:szCs w:val="22"/>
          <w:lang w:val="pt-BR"/>
        </w:rPr>
        <w:t xml:space="preserve"> për të hartuar metodologji të </w:t>
      </w:r>
      <w:r w:rsidR="003432EB" w:rsidRPr="007A3AD7">
        <w:rPr>
          <w:iCs/>
          <w:szCs w:val="22"/>
          <w:lang w:val="sq-AL"/>
        </w:rPr>
        <w:t>përcaktimit të kostos për njësi për shërbimet e kujdesit social bazuar në standardet minimale strukturore dhe standardet minimale funksionale, me ndihmën e partnerëve Europianë.</w:t>
      </w:r>
      <w:r w:rsidR="004D2A35" w:rsidRPr="007A3AD7">
        <w:rPr>
          <w:iCs/>
          <w:szCs w:val="22"/>
          <w:lang w:val="pt-BR"/>
        </w:rPr>
        <w:t xml:space="preserve"> </w:t>
      </w:r>
      <w:r w:rsidR="003432EB" w:rsidRPr="007A3AD7">
        <w:rPr>
          <w:iCs/>
          <w:szCs w:val="22"/>
          <w:lang w:val="sq-AL"/>
        </w:rPr>
        <w:t xml:space="preserve">Sfida aktuale e konsolidimit të sistemit të shërbimeve sociale është lidhja e rëndësishme mes standardeve të rishikuara, kostimit për njësi të shërbimit, shpërndarjes së Fondit Social në përputhje me hartën e vulnerabilitetit në mbulim kombëtar, si dhe monitorimi i zbatimit të standardeve të rishikuara. </w:t>
      </w:r>
    </w:p>
    <w:p w14:paraId="211F8A31" w14:textId="5C8D1AD1" w:rsidR="003432EB" w:rsidRPr="007A3AD7" w:rsidRDefault="004D2A35" w:rsidP="00153B6B">
      <w:pPr>
        <w:pStyle w:val="NormalWeb"/>
        <w:rPr>
          <w:b/>
          <w:iCs/>
          <w:szCs w:val="22"/>
          <w:lang w:val="pt-BR"/>
        </w:rPr>
      </w:pPr>
      <w:r w:rsidRPr="007A3AD7">
        <w:rPr>
          <w:iCs/>
          <w:szCs w:val="22"/>
          <w:lang w:val="pt-BR"/>
        </w:rPr>
        <w:t>Do t</w:t>
      </w:r>
      <w:r w:rsidR="009A5A0E" w:rsidRPr="007A3AD7">
        <w:rPr>
          <w:iCs/>
          <w:szCs w:val="22"/>
          <w:lang w:val="pt-BR"/>
        </w:rPr>
        <w:t>ë</w:t>
      </w:r>
      <w:r w:rsidRPr="007A3AD7">
        <w:rPr>
          <w:iCs/>
          <w:szCs w:val="22"/>
          <w:lang w:val="pt-BR"/>
        </w:rPr>
        <w:t xml:space="preserve"> kalohet nga praktika e raportimit p</w:t>
      </w:r>
      <w:r w:rsidR="009A5A0E" w:rsidRPr="007A3AD7">
        <w:rPr>
          <w:iCs/>
          <w:szCs w:val="22"/>
          <w:lang w:val="pt-BR"/>
        </w:rPr>
        <w:t>ë</w:t>
      </w:r>
      <w:r w:rsidRPr="007A3AD7">
        <w:rPr>
          <w:iCs/>
          <w:szCs w:val="22"/>
          <w:lang w:val="pt-BR"/>
        </w:rPr>
        <w:t>r sh</w:t>
      </w:r>
      <w:r w:rsidR="009A5A0E" w:rsidRPr="007A3AD7">
        <w:rPr>
          <w:iCs/>
          <w:szCs w:val="22"/>
          <w:lang w:val="pt-BR"/>
        </w:rPr>
        <w:t>ë</w:t>
      </w:r>
      <w:r w:rsidRPr="007A3AD7">
        <w:rPr>
          <w:iCs/>
          <w:szCs w:val="22"/>
          <w:lang w:val="pt-BR"/>
        </w:rPr>
        <w:t>rbimet shoq</w:t>
      </w:r>
      <w:r w:rsidR="009A5A0E" w:rsidRPr="007A3AD7">
        <w:rPr>
          <w:iCs/>
          <w:szCs w:val="22"/>
          <w:lang w:val="pt-BR"/>
        </w:rPr>
        <w:t>ë</w:t>
      </w:r>
      <w:r w:rsidRPr="007A3AD7">
        <w:rPr>
          <w:iCs/>
          <w:szCs w:val="22"/>
          <w:lang w:val="pt-BR"/>
        </w:rPr>
        <w:t>rore n</w:t>
      </w:r>
      <w:r w:rsidR="009A5A0E" w:rsidRPr="007A3AD7">
        <w:rPr>
          <w:iCs/>
          <w:szCs w:val="22"/>
          <w:lang w:val="pt-BR"/>
        </w:rPr>
        <w:t>ë</w:t>
      </w:r>
      <w:r w:rsidRPr="007A3AD7">
        <w:rPr>
          <w:iCs/>
          <w:szCs w:val="22"/>
          <w:lang w:val="pt-BR"/>
        </w:rPr>
        <w:t xml:space="preserve"> at</w:t>
      </w:r>
      <w:r w:rsidR="009A5A0E" w:rsidRPr="007A3AD7">
        <w:rPr>
          <w:iCs/>
          <w:szCs w:val="22"/>
          <w:lang w:val="pt-BR"/>
        </w:rPr>
        <w:t>ë</w:t>
      </w:r>
      <w:r w:rsidRPr="007A3AD7">
        <w:rPr>
          <w:iCs/>
          <w:szCs w:val="22"/>
          <w:lang w:val="pt-BR"/>
        </w:rPr>
        <w:t xml:space="preserve"> t</w:t>
      </w:r>
      <w:r w:rsidR="009A5A0E" w:rsidRPr="007A3AD7">
        <w:rPr>
          <w:iCs/>
          <w:szCs w:val="22"/>
          <w:lang w:val="pt-BR"/>
        </w:rPr>
        <w:t>ë</w:t>
      </w:r>
      <w:r w:rsidRPr="007A3AD7">
        <w:rPr>
          <w:iCs/>
          <w:szCs w:val="22"/>
          <w:lang w:val="pt-BR"/>
        </w:rPr>
        <w:t xml:space="preserve"> monitorimit</w:t>
      </w:r>
      <w:r w:rsidR="005F272A" w:rsidRPr="007A3AD7">
        <w:rPr>
          <w:iCs/>
          <w:szCs w:val="22"/>
          <w:lang w:val="pt-BR"/>
        </w:rPr>
        <w:t xml:space="preserve"> </w:t>
      </w:r>
      <w:r w:rsidR="003432EB" w:rsidRPr="007A3AD7">
        <w:rPr>
          <w:iCs/>
          <w:szCs w:val="22"/>
          <w:lang w:val="pt-BR"/>
        </w:rPr>
        <w:t>bazuar në një metodologji për vlerësimin e cilësisë së shërbimeve të kujdesit shoqëror</w:t>
      </w:r>
      <w:r w:rsidRPr="007A3AD7">
        <w:rPr>
          <w:iCs/>
          <w:szCs w:val="22"/>
          <w:lang w:val="pt-BR"/>
        </w:rPr>
        <w:t>,</w:t>
      </w:r>
      <w:r w:rsidR="003432EB" w:rsidRPr="007A3AD7">
        <w:rPr>
          <w:iCs/>
          <w:szCs w:val="22"/>
          <w:lang w:val="pt-BR"/>
        </w:rPr>
        <w:t xml:space="preserve"> impaktit, eficiencës apo kosto-efektivitetit të tyre.</w:t>
      </w:r>
      <w:r w:rsidR="005361D8" w:rsidRPr="007A3AD7">
        <w:rPr>
          <w:iCs/>
          <w:szCs w:val="22"/>
          <w:lang w:val="pt-BR"/>
        </w:rPr>
        <w:t xml:space="preserve"> Do t</w:t>
      </w:r>
      <w:r w:rsidR="009A5A0E" w:rsidRPr="007A3AD7">
        <w:rPr>
          <w:iCs/>
          <w:szCs w:val="22"/>
          <w:lang w:val="pt-BR"/>
        </w:rPr>
        <w:t>ë</w:t>
      </w:r>
      <w:r w:rsidR="005361D8" w:rsidRPr="007A3AD7">
        <w:rPr>
          <w:iCs/>
          <w:szCs w:val="22"/>
          <w:lang w:val="pt-BR"/>
        </w:rPr>
        <w:t xml:space="preserve"> rishikohen </w:t>
      </w:r>
      <w:r w:rsidR="003432EB" w:rsidRPr="007A3AD7">
        <w:rPr>
          <w:iCs/>
          <w:szCs w:val="22"/>
          <w:lang w:val="pt-BR"/>
        </w:rPr>
        <w:t>metodologji</w:t>
      </w:r>
      <w:r w:rsidR="005361D8" w:rsidRPr="007A3AD7">
        <w:rPr>
          <w:iCs/>
          <w:szCs w:val="22"/>
          <w:lang w:val="pt-BR"/>
        </w:rPr>
        <w:t>t</w:t>
      </w:r>
      <w:r w:rsidR="009A5A0E" w:rsidRPr="007A3AD7">
        <w:rPr>
          <w:iCs/>
          <w:szCs w:val="22"/>
          <w:lang w:val="pt-BR"/>
        </w:rPr>
        <w:t>ë</w:t>
      </w:r>
      <w:r w:rsidR="003432EB" w:rsidRPr="007A3AD7">
        <w:rPr>
          <w:iCs/>
          <w:szCs w:val="22"/>
          <w:lang w:val="pt-BR"/>
        </w:rPr>
        <w:t xml:space="preserve"> </w:t>
      </w:r>
      <w:r w:rsidR="005361D8" w:rsidRPr="007A3AD7">
        <w:rPr>
          <w:iCs/>
          <w:szCs w:val="22"/>
          <w:lang w:val="pt-BR"/>
        </w:rPr>
        <w:t>e</w:t>
      </w:r>
      <w:r w:rsidR="003432EB" w:rsidRPr="007A3AD7">
        <w:rPr>
          <w:iCs/>
          <w:szCs w:val="22"/>
          <w:lang w:val="pt-BR"/>
        </w:rPr>
        <w:t xml:space="preserve"> monitorimit dhe inspektimit të shërbimeve të kujdesit shoqëror</w:t>
      </w:r>
      <w:r w:rsidR="005361D8" w:rsidRPr="007A3AD7">
        <w:rPr>
          <w:iCs/>
          <w:szCs w:val="22"/>
          <w:lang w:val="pt-BR"/>
        </w:rPr>
        <w:t xml:space="preserve"> si dhe kompetencat institucionale. </w:t>
      </w:r>
      <w:r w:rsidR="00AB4D37">
        <w:rPr>
          <w:iCs/>
          <w:szCs w:val="22"/>
          <w:lang w:val="pt-BR"/>
        </w:rPr>
        <w:t>Proçes</w:t>
      </w:r>
      <w:r w:rsidR="00153B6B" w:rsidRPr="007A3AD7">
        <w:rPr>
          <w:iCs/>
          <w:szCs w:val="22"/>
          <w:lang w:val="pt-BR"/>
        </w:rPr>
        <w:t>i i monitorimit dhe inspektimit do t</w:t>
      </w:r>
      <w:r w:rsidR="009A5A0E" w:rsidRPr="007A3AD7">
        <w:rPr>
          <w:iCs/>
          <w:szCs w:val="22"/>
          <w:lang w:val="pt-BR"/>
        </w:rPr>
        <w:t>ë</w:t>
      </w:r>
      <w:r w:rsidR="00153B6B" w:rsidRPr="007A3AD7">
        <w:rPr>
          <w:iCs/>
          <w:szCs w:val="22"/>
          <w:lang w:val="pt-BR"/>
        </w:rPr>
        <w:t xml:space="preserve"> shoq</w:t>
      </w:r>
      <w:r w:rsidR="009A5A0E" w:rsidRPr="007A3AD7">
        <w:rPr>
          <w:iCs/>
          <w:szCs w:val="22"/>
          <w:lang w:val="pt-BR"/>
        </w:rPr>
        <w:t>ë</w:t>
      </w:r>
      <w:r w:rsidR="00153B6B" w:rsidRPr="007A3AD7">
        <w:rPr>
          <w:iCs/>
          <w:szCs w:val="22"/>
          <w:lang w:val="pt-BR"/>
        </w:rPr>
        <w:t>rohet me p</w:t>
      </w:r>
      <w:r w:rsidR="009A5A0E" w:rsidRPr="007A3AD7">
        <w:rPr>
          <w:iCs/>
          <w:szCs w:val="22"/>
          <w:lang w:val="pt-BR"/>
        </w:rPr>
        <w:t>ë</w:t>
      </w:r>
      <w:r w:rsidR="00153B6B" w:rsidRPr="007A3AD7">
        <w:rPr>
          <w:iCs/>
          <w:szCs w:val="22"/>
          <w:lang w:val="pt-BR"/>
        </w:rPr>
        <w:t>rmir</w:t>
      </w:r>
      <w:r w:rsidR="009A5A0E" w:rsidRPr="007A3AD7">
        <w:rPr>
          <w:iCs/>
          <w:szCs w:val="22"/>
          <w:lang w:val="pt-BR"/>
        </w:rPr>
        <w:t>ë</w:t>
      </w:r>
      <w:r w:rsidR="00153B6B" w:rsidRPr="007A3AD7">
        <w:rPr>
          <w:iCs/>
          <w:szCs w:val="22"/>
          <w:lang w:val="pt-BR"/>
        </w:rPr>
        <w:t>simin e sistemeve</w:t>
      </w:r>
      <w:r w:rsidR="00CA15B6">
        <w:rPr>
          <w:iCs/>
          <w:szCs w:val="22"/>
          <w:lang w:val="pt-BR"/>
        </w:rPr>
        <w:t xml:space="preserve"> </w:t>
      </w:r>
      <w:r w:rsidR="00153B6B" w:rsidRPr="007A3AD7">
        <w:rPr>
          <w:iCs/>
          <w:szCs w:val="22"/>
          <w:lang w:val="pt-BR"/>
        </w:rPr>
        <w:t>t</w:t>
      </w:r>
      <w:r w:rsidR="009A5A0E" w:rsidRPr="007A3AD7">
        <w:rPr>
          <w:iCs/>
          <w:szCs w:val="22"/>
          <w:lang w:val="pt-BR"/>
        </w:rPr>
        <w:t>ë</w:t>
      </w:r>
      <w:r w:rsidR="00153B6B" w:rsidRPr="007A3AD7">
        <w:rPr>
          <w:iCs/>
          <w:szCs w:val="22"/>
          <w:lang w:val="pt-BR"/>
        </w:rPr>
        <w:t xml:space="preserve"> cilat do t</w:t>
      </w:r>
      <w:r w:rsidR="009A5A0E" w:rsidRPr="007A3AD7">
        <w:rPr>
          <w:iCs/>
          <w:szCs w:val="22"/>
          <w:lang w:val="pt-BR"/>
        </w:rPr>
        <w:t>ë</w:t>
      </w:r>
      <w:r w:rsidR="00153B6B" w:rsidRPr="007A3AD7">
        <w:rPr>
          <w:iCs/>
          <w:szCs w:val="22"/>
          <w:lang w:val="pt-BR"/>
        </w:rPr>
        <w:t xml:space="preserve"> realizojn</w:t>
      </w:r>
      <w:r w:rsidR="009A5A0E" w:rsidRPr="007A3AD7">
        <w:rPr>
          <w:iCs/>
          <w:szCs w:val="22"/>
          <w:lang w:val="pt-BR"/>
        </w:rPr>
        <w:t>ë</w:t>
      </w:r>
      <w:r w:rsidR="00153B6B" w:rsidRPr="007A3AD7">
        <w:rPr>
          <w:iCs/>
          <w:szCs w:val="22"/>
          <w:lang w:val="pt-BR"/>
        </w:rPr>
        <w:t xml:space="preserve"> dokumentimin digjital t</w:t>
      </w:r>
      <w:r w:rsidR="009A5A0E" w:rsidRPr="007A3AD7">
        <w:rPr>
          <w:iCs/>
          <w:szCs w:val="22"/>
          <w:lang w:val="pt-BR"/>
        </w:rPr>
        <w:t>ë</w:t>
      </w:r>
      <w:r w:rsidR="00153B6B" w:rsidRPr="007A3AD7">
        <w:rPr>
          <w:iCs/>
          <w:szCs w:val="22"/>
          <w:lang w:val="pt-BR"/>
        </w:rPr>
        <w:t xml:space="preserve"> situat</w:t>
      </w:r>
      <w:r w:rsidR="009A5A0E" w:rsidRPr="007A3AD7">
        <w:rPr>
          <w:iCs/>
          <w:szCs w:val="22"/>
          <w:lang w:val="pt-BR"/>
        </w:rPr>
        <w:t>ë</w:t>
      </w:r>
      <w:r w:rsidR="00153B6B" w:rsidRPr="007A3AD7">
        <w:rPr>
          <w:iCs/>
          <w:szCs w:val="22"/>
          <w:lang w:val="pt-BR"/>
        </w:rPr>
        <w:t>s, do t</w:t>
      </w:r>
      <w:r w:rsidR="009A5A0E" w:rsidRPr="007A3AD7">
        <w:rPr>
          <w:iCs/>
          <w:szCs w:val="22"/>
          <w:lang w:val="pt-BR"/>
        </w:rPr>
        <w:t>ë</w:t>
      </w:r>
      <w:r w:rsidR="00153B6B" w:rsidRPr="007A3AD7">
        <w:rPr>
          <w:iCs/>
          <w:szCs w:val="22"/>
          <w:lang w:val="pt-BR"/>
        </w:rPr>
        <w:t xml:space="preserve"> japin informacion dhe do t</w:t>
      </w:r>
      <w:r w:rsidR="009A5A0E" w:rsidRPr="007A3AD7">
        <w:rPr>
          <w:iCs/>
          <w:szCs w:val="22"/>
          <w:lang w:val="pt-BR"/>
        </w:rPr>
        <w:t>ë</w:t>
      </w:r>
      <w:r w:rsidR="00153B6B" w:rsidRPr="007A3AD7">
        <w:rPr>
          <w:iCs/>
          <w:szCs w:val="22"/>
          <w:lang w:val="pt-BR"/>
        </w:rPr>
        <w:t xml:space="preserve"> mund</w:t>
      </w:r>
      <w:r w:rsidR="009A5A0E" w:rsidRPr="007A3AD7">
        <w:rPr>
          <w:iCs/>
          <w:szCs w:val="22"/>
          <w:lang w:val="pt-BR"/>
        </w:rPr>
        <w:t>ë</w:t>
      </w:r>
      <w:r w:rsidR="00153B6B" w:rsidRPr="007A3AD7">
        <w:rPr>
          <w:iCs/>
          <w:szCs w:val="22"/>
          <w:lang w:val="pt-BR"/>
        </w:rPr>
        <w:t>sojn</w:t>
      </w:r>
      <w:r w:rsidR="009A5A0E" w:rsidRPr="007A3AD7">
        <w:rPr>
          <w:iCs/>
          <w:szCs w:val="22"/>
          <w:lang w:val="pt-BR"/>
        </w:rPr>
        <w:t>ë</w:t>
      </w:r>
      <w:r w:rsidR="00153B6B" w:rsidRPr="007A3AD7">
        <w:rPr>
          <w:iCs/>
          <w:szCs w:val="22"/>
          <w:lang w:val="pt-BR"/>
        </w:rPr>
        <w:t xml:space="preserve"> raportime dhe analiza periodike.</w:t>
      </w:r>
      <w:r w:rsidR="00CA15B6">
        <w:rPr>
          <w:iCs/>
          <w:szCs w:val="22"/>
          <w:lang w:val="pt-BR"/>
        </w:rPr>
        <w:t xml:space="preserve"> Njëkohësisht, është planifikuar të ketë një rishikim të kuadrit ligjor të Ligjit 121/2006, për të reflktuar qartësimet e nevojshme si rezultat i zhvillimit të sektorit, aspekteve të decentralizimit, roleve dhe detyrave të shërbimeve, roleve dhe detyrave të strukturave të inspektimit dhe monitorimit si dhe aspekte të tjera të lidhura me këtë ligj. </w:t>
      </w:r>
    </w:p>
    <w:p w14:paraId="52054135" w14:textId="77777777" w:rsidR="003432EB" w:rsidRPr="008C6700" w:rsidRDefault="003432EB" w:rsidP="00B5007E">
      <w:pPr>
        <w:pStyle w:val="Normal0"/>
        <w:rPr>
          <w:color w:val="4472C4" w:themeColor="accent1"/>
          <w:lang w:val="sq-AL"/>
        </w:rPr>
      </w:pPr>
      <w:bookmarkStart w:id="59" w:name="_Toc150809634"/>
      <w:r w:rsidRPr="008C6700">
        <w:rPr>
          <w:color w:val="4472C4" w:themeColor="accent1"/>
          <w:lang w:val="sq-AL"/>
        </w:rPr>
        <w:t>Forcimi i kapaciteteve dhe statusit të personelit të shërbimeve të kujdesit social për të siguruar shërbime cilësore, efektive dhe të përgjegjshme gjinore;</w:t>
      </w:r>
      <w:bookmarkEnd w:id="59"/>
    </w:p>
    <w:p w14:paraId="0175B561" w14:textId="77777777" w:rsidR="00984EF8" w:rsidRPr="008C6700" w:rsidRDefault="00984EF8" w:rsidP="003432EB">
      <w:pPr>
        <w:rPr>
          <w:rFonts w:ascii="Times New Roman" w:hAnsi="Times New Roman" w:cs="Times New Roman"/>
          <w:szCs w:val="22"/>
          <w:lang w:val="sq-AL"/>
        </w:rPr>
      </w:pPr>
    </w:p>
    <w:p w14:paraId="4E758B89" w14:textId="2963A9E2" w:rsidR="003432EB" w:rsidRPr="008C6700" w:rsidRDefault="00984EF8" w:rsidP="003432EB">
      <w:pPr>
        <w:rPr>
          <w:rFonts w:ascii="Times New Roman" w:hAnsi="Times New Roman" w:cs="Times New Roman"/>
          <w:szCs w:val="22"/>
          <w:lang w:val="sq-AL"/>
        </w:rPr>
      </w:pPr>
      <w:r w:rsidRPr="008C6700">
        <w:rPr>
          <w:rFonts w:ascii="Times New Roman" w:hAnsi="Times New Roman" w:cs="Times New Roman"/>
          <w:szCs w:val="22"/>
          <w:lang w:val="sq-AL"/>
        </w:rPr>
        <w:t xml:space="preserve">Reforma e shërbimeve të kujdesit social të cilat synojnë zhvillimin e mëtejshëm të tipologjive të shërbimeve të reja, zbatimin e standarteve të cilësisë, orientimin drejt praktikave më të mira sipas standarteve Evropiane dhe atyre të vendeve të Bashkimit Evropian, kërkojnë zhvillimin dhe profesionalizimin e personelit të shërbimeve shoqërore, dhe në mënyrë prioritare të punonjësve social, psikologëve, edukatorëve, kujdestarëve etj. Kuadri ligjor për cilësimin dhe përcaktimin e forcës së punës së shërbimeve sociale ka nevojë të  rishikohet dhe zhvillohet më tej duke synuar të:a) rishikojë dhe saktësojë përcaktimet për forcën e punës; b) përcaktimin e kornizës së kualifikimeve; d) konsolidimin e procesit të licensimit përmes  partneritetitme Urdhërin e Punonjësve Social, Urdhrit të Psikologut e kështu me radhë. Njëkohësisht do  të synohet edhe prezantimi i profesionistëve të rinj që i përgjigjen shërbimeve të domosdoshme dhe të reja, si roli i asistentit profesional. Si pjesë e kësaj mase prioritare do të ndërtohet një bazë të dhënash për profesionistët ë shërbimeve në nivel kombëtar si pjesë e hartës së shërbimeve sociale dhe që do të përditësohet në mënyrë të vazhdueshme. Ndërtimi i një kuadri rregullator për kualifikimin dhe trajnimin e vazhdushëm do të jetë një aktivitet thelbësor për të mbështetur me tej forcimin e kapaciteteve të personelit. Pjesë e kësaj pakete do te jetë dhe hartimi i një pakete trajnimi të targetuar për përgjigjen ndaj emergjencave të shërbimeve të kujdesit social për punonjësit publikë dhe jopublik, si dhe akreditimi i ofruesve të programeve të trajnimit dhe edukimit ne vazhdimësi për punonjësit social të shërbimeve sociale, monitorimi i zbatimit të programeve të trajnimit dhe edukimit në vazhdimësi, si dhe rishikimi i vazhdueshë i përshkrimeve të punës dhe forcimi i statusit dhe vlerësimit financiar të këtij personeli për të garantuar hedhjen e një hapi cilësor në drejtim të profesionalizimit të forcës së punës në këto shërbime. </w:t>
      </w:r>
    </w:p>
    <w:p w14:paraId="3C656E2B" w14:textId="77777777" w:rsidR="003432EB" w:rsidRPr="008C6700" w:rsidRDefault="003432EB" w:rsidP="003432EB">
      <w:pPr>
        <w:rPr>
          <w:rFonts w:ascii="Times New Roman" w:hAnsi="Times New Roman" w:cs="Times New Roman"/>
          <w:szCs w:val="22"/>
          <w:lang w:val="sq-AL"/>
        </w:rPr>
      </w:pPr>
    </w:p>
    <w:p w14:paraId="1A403433" w14:textId="2CDAA5E7" w:rsidR="003432EB" w:rsidRPr="008C6700" w:rsidRDefault="003432EB" w:rsidP="00B5007E">
      <w:pPr>
        <w:pStyle w:val="Normal0"/>
        <w:rPr>
          <w:color w:val="4472C4" w:themeColor="accent1"/>
          <w:lang w:val="sq-AL"/>
        </w:rPr>
      </w:pPr>
      <w:bookmarkStart w:id="60" w:name="_Toc150809635"/>
      <w:r w:rsidRPr="008C6700">
        <w:rPr>
          <w:color w:val="4472C4" w:themeColor="accent1"/>
          <w:lang w:val="sq-AL"/>
        </w:rPr>
        <w:t xml:space="preserve">Avancimi i </w:t>
      </w:r>
      <w:r w:rsidR="00AB4D37" w:rsidRPr="008C6700">
        <w:rPr>
          <w:color w:val="4472C4" w:themeColor="accent1"/>
          <w:lang w:val="sq-AL"/>
        </w:rPr>
        <w:t>proçes</w:t>
      </w:r>
      <w:r w:rsidRPr="008C6700">
        <w:rPr>
          <w:color w:val="4472C4" w:themeColor="accent1"/>
          <w:lang w:val="sq-AL"/>
        </w:rPr>
        <w:t>it të deinstitucionalizimit të sistemit rezidencial për fëmijët;</w:t>
      </w:r>
      <w:bookmarkEnd w:id="60"/>
    </w:p>
    <w:p w14:paraId="41113F04" w14:textId="06113F50" w:rsidR="003432EB" w:rsidRPr="008C6700" w:rsidRDefault="00AB4D37" w:rsidP="003432EB">
      <w:pPr>
        <w:pStyle w:val="NormalWeb"/>
        <w:rPr>
          <w:szCs w:val="22"/>
          <w:lang w:val="sq-AL"/>
        </w:rPr>
      </w:pPr>
      <w:r w:rsidRPr="008C6700">
        <w:rPr>
          <w:szCs w:val="22"/>
          <w:lang w:val="sq-AL"/>
        </w:rPr>
        <w:t>Proçes</w:t>
      </w:r>
      <w:r w:rsidR="003432EB" w:rsidRPr="008C6700">
        <w:rPr>
          <w:szCs w:val="22"/>
          <w:lang w:val="sq-AL"/>
        </w:rPr>
        <w:t>i i deintitucionalizimit</w:t>
      </w:r>
      <w:r w:rsidR="00C82604" w:rsidRPr="008C6700">
        <w:rPr>
          <w:szCs w:val="22"/>
          <w:vertAlign w:val="superscript"/>
          <w:lang w:val="sq-AL"/>
        </w:rPr>
        <w:t xml:space="preserve"> </w:t>
      </w:r>
      <w:r w:rsidR="003432EB" w:rsidRPr="008C6700">
        <w:rPr>
          <w:szCs w:val="22"/>
          <w:lang w:val="sq-AL"/>
        </w:rPr>
        <w:t xml:space="preserve">të sistemit të kujdesit për fëmijët, </w:t>
      </w:r>
      <w:r w:rsidR="00C82604" w:rsidRPr="008C6700">
        <w:rPr>
          <w:szCs w:val="22"/>
          <w:lang w:val="sq-AL"/>
        </w:rPr>
        <w:t xml:space="preserve">synon </w:t>
      </w:r>
      <w:r w:rsidR="003432EB" w:rsidRPr="008C6700">
        <w:rPr>
          <w:szCs w:val="22"/>
          <w:lang w:val="sq-AL"/>
        </w:rPr>
        <w:t xml:space="preserve">ndryshimin e tipologjisë së shërbimeve të ofruara, nga institucione rezidenciale në shërbime ditore, si dhe shërbime të tjera alternative, me bazë komunitare në integrimin e fëmijëve në familje, qofshin ato biologjike apo kujdestare, në komunitet dhe më gjerë në shoqëri. </w:t>
      </w:r>
      <w:r w:rsidR="00F523C8" w:rsidRPr="008C6700">
        <w:rPr>
          <w:szCs w:val="22"/>
          <w:lang w:val="sq-AL"/>
        </w:rPr>
        <w:t>Kuadri ligjor p</w:t>
      </w:r>
      <w:r w:rsidR="009A5A0E" w:rsidRPr="008C6700">
        <w:rPr>
          <w:szCs w:val="22"/>
          <w:lang w:val="sq-AL"/>
        </w:rPr>
        <w:t>ë</w:t>
      </w:r>
      <w:r w:rsidR="00F523C8" w:rsidRPr="008C6700">
        <w:rPr>
          <w:szCs w:val="22"/>
          <w:lang w:val="sq-AL"/>
        </w:rPr>
        <w:t>r sh</w:t>
      </w:r>
      <w:r w:rsidR="009A5A0E" w:rsidRPr="008C6700">
        <w:rPr>
          <w:szCs w:val="22"/>
          <w:lang w:val="sq-AL"/>
        </w:rPr>
        <w:t>ë</w:t>
      </w:r>
      <w:r w:rsidR="00F523C8" w:rsidRPr="008C6700">
        <w:rPr>
          <w:szCs w:val="22"/>
          <w:lang w:val="sq-AL"/>
        </w:rPr>
        <w:t>rbimet shoq</w:t>
      </w:r>
      <w:r w:rsidR="009A5A0E" w:rsidRPr="008C6700">
        <w:rPr>
          <w:szCs w:val="22"/>
          <w:lang w:val="sq-AL"/>
        </w:rPr>
        <w:t>ë</w:t>
      </w:r>
      <w:r w:rsidR="00F523C8" w:rsidRPr="008C6700">
        <w:rPr>
          <w:szCs w:val="22"/>
          <w:lang w:val="sq-AL"/>
        </w:rPr>
        <w:t>rore p</w:t>
      </w:r>
      <w:r w:rsidR="009A5A0E" w:rsidRPr="008C6700">
        <w:rPr>
          <w:szCs w:val="22"/>
          <w:lang w:val="sq-AL"/>
        </w:rPr>
        <w:t>ë</w:t>
      </w:r>
      <w:r w:rsidR="00F523C8" w:rsidRPr="008C6700">
        <w:rPr>
          <w:szCs w:val="22"/>
          <w:lang w:val="sq-AL"/>
        </w:rPr>
        <w:t>r mbrojtjen dhe p</w:t>
      </w:r>
      <w:r w:rsidR="009A5A0E" w:rsidRPr="008C6700">
        <w:rPr>
          <w:szCs w:val="22"/>
          <w:lang w:val="sq-AL"/>
        </w:rPr>
        <w:t>ë</w:t>
      </w:r>
      <w:r w:rsidR="00F523C8" w:rsidRPr="008C6700">
        <w:rPr>
          <w:szCs w:val="22"/>
          <w:lang w:val="sq-AL"/>
        </w:rPr>
        <w:t>rkujdesjen e f</w:t>
      </w:r>
      <w:r w:rsidR="009A5A0E" w:rsidRPr="008C6700">
        <w:rPr>
          <w:szCs w:val="22"/>
          <w:lang w:val="sq-AL"/>
        </w:rPr>
        <w:t>ë</w:t>
      </w:r>
      <w:r w:rsidR="00F523C8" w:rsidRPr="008C6700">
        <w:rPr>
          <w:szCs w:val="22"/>
          <w:lang w:val="sq-AL"/>
        </w:rPr>
        <w:t>mijve n</w:t>
      </w:r>
      <w:r w:rsidR="009A5A0E" w:rsidRPr="008C6700">
        <w:rPr>
          <w:szCs w:val="22"/>
          <w:lang w:val="sq-AL"/>
        </w:rPr>
        <w:t>ë</w:t>
      </w:r>
      <w:r w:rsidR="00F523C8" w:rsidRPr="008C6700">
        <w:rPr>
          <w:szCs w:val="22"/>
          <w:lang w:val="sq-AL"/>
        </w:rPr>
        <w:t xml:space="preserve"> </w:t>
      </w:r>
      <w:r w:rsidRPr="008C6700">
        <w:rPr>
          <w:szCs w:val="22"/>
          <w:lang w:val="sq-AL"/>
        </w:rPr>
        <w:t>proçes</w:t>
      </w:r>
      <w:r w:rsidR="00F523C8" w:rsidRPr="008C6700">
        <w:rPr>
          <w:szCs w:val="22"/>
          <w:lang w:val="sq-AL"/>
        </w:rPr>
        <w:t xml:space="preserve"> deinstitucionalizimi do t</w:t>
      </w:r>
      <w:r w:rsidR="009A5A0E" w:rsidRPr="008C6700">
        <w:rPr>
          <w:szCs w:val="22"/>
          <w:lang w:val="sq-AL"/>
        </w:rPr>
        <w:t>ë</w:t>
      </w:r>
      <w:r w:rsidR="00F523C8" w:rsidRPr="008C6700">
        <w:rPr>
          <w:szCs w:val="22"/>
          <w:lang w:val="sq-AL"/>
        </w:rPr>
        <w:t xml:space="preserve"> rishikohet dhe do t</w:t>
      </w:r>
      <w:r w:rsidR="009A5A0E" w:rsidRPr="008C6700">
        <w:rPr>
          <w:szCs w:val="22"/>
          <w:lang w:val="sq-AL"/>
        </w:rPr>
        <w:t>ë</w:t>
      </w:r>
      <w:r w:rsidR="00F523C8" w:rsidRPr="008C6700">
        <w:rPr>
          <w:szCs w:val="22"/>
          <w:lang w:val="sq-AL"/>
        </w:rPr>
        <w:t xml:space="preserve"> harmonizohet me aspektet e tjera ligjore, administrative dhe proceduriale p</w:t>
      </w:r>
      <w:r w:rsidR="009A5A0E" w:rsidRPr="008C6700">
        <w:rPr>
          <w:szCs w:val="22"/>
          <w:lang w:val="sq-AL"/>
        </w:rPr>
        <w:t>ë</w:t>
      </w:r>
      <w:r w:rsidR="00F523C8" w:rsidRPr="008C6700">
        <w:rPr>
          <w:szCs w:val="22"/>
          <w:lang w:val="sq-AL"/>
        </w:rPr>
        <w:t>rfshir</w:t>
      </w:r>
      <w:r w:rsidR="009A5A0E" w:rsidRPr="008C6700">
        <w:rPr>
          <w:szCs w:val="22"/>
          <w:lang w:val="sq-AL"/>
        </w:rPr>
        <w:t>ë</w:t>
      </w:r>
      <w:r w:rsidR="00F523C8" w:rsidRPr="008C6700">
        <w:rPr>
          <w:szCs w:val="22"/>
          <w:lang w:val="sq-AL"/>
        </w:rPr>
        <w:t xml:space="preserve"> dhe nj</w:t>
      </w:r>
      <w:r w:rsidR="009A5A0E" w:rsidRPr="008C6700">
        <w:rPr>
          <w:szCs w:val="22"/>
          <w:lang w:val="sq-AL"/>
        </w:rPr>
        <w:t>ë</w:t>
      </w:r>
      <w:r w:rsidR="00F523C8" w:rsidRPr="008C6700">
        <w:rPr>
          <w:szCs w:val="22"/>
          <w:lang w:val="sq-AL"/>
        </w:rPr>
        <w:t xml:space="preserve"> kuad</w:t>
      </w:r>
      <w:r w:rsidR="009A5A0E" w:rsidRPr="008C6700">
        <w:rPr>
          <w:szCs w:val="22"/>
          <w:lang w:val="sq-AL"/>
        </w:rPr>
        <w:t>ë</w:t>
      </w:r>
      <w:r w:rsidR="00F523C8" w:rsidRPr="008C6700">
        <w:rPr>
          <w:szCs w:val="22"/>
          <w:lang w:val="sq-AL"/>
        </w:rPr>
        <w:t>r financiar t</w:t>
      </w:r>
      <w:r w:rsidR="009A5A0E" w:rsidRPr="008C6700">
        <w:rPr>
          <w:szCs w:val="22"/>
          <w:lang w:val="sq-AL"/>
        </w:rPr>
        <w:t>ë</w:t>
      </w:r>
      <w:r w:rsidR="00F523C8" w:rsidRPr="008C6700">
        <w:rPr>
          <w:szCs w:val="22"/>
          <w:lang w:val="sq-AL"/>
        </w:rPr>
        <w:t xml:space="preserve"> rishikuar q</w:t>
      </w:r>
      <w:r w:rsidR="009A5A0E" w:rsidRPr="008C6700">
        <w:rPr>
          <w:szCs w:val="22"/>
          <w:lang w:val="sq-AL"/>
        </w:rPr>
        <w:t>ë</w:t>
      </w:r>
      <w:r w:rsidR="00F523C8" w:rsidRPr="008C6700">
        <w:rPr>
          <w:szCs w:val="22"/>
          <w:lang w:val="sq-AL"/>
        </w:rPr>
        <w:t xml:space="preserve"> do t</w:t>
      </w:r>
      <w:r w:rsidR="009A5A0E" w:rsidRPr="008C6700">
        <w:rPr>
          <w:szCs w:val="22"/>
          <w:lang w:val="sq-AL"/>
        </w:rPr>
        <w:t>ë</w:t>
      </w:r>
      <w:r w:rsidR="00F523C8" w:rsidRPr="008C6700">
        <w:rPr>
          <w:szCs w:val="22"/>
          <w:lang w:val="sq-AL"/>
        </w:rPr>
        <w:t xml:space="preserve"> mb</w:t>
      </w:r>
      <w:r w:rsidR="009A5A0E" w:rsidRPr="008C6700">
        <w:rPr>
          <w:szCs w:val="22"/>
          <w:lang w:val="sq-AL"/>
        </w:rPr>
        <w:t>ë</w:t>
      </w:r>
      <w:r w:rsidR="00F523C8" w:rsidRPr="008C6700">
        <w:rPr>
          <w:szCs w:val="22"/>
          <w:lang w:val="sq-AL"/>
        </w:rPr>
        <w:t>shtes</w:t>
      </w:r>
      <w:r w:rsidR="009A5A0E" w:rsidRPr="008C6700">
        <w:rPr>
          <w:szCs w:val="22"/>
          <w:lang w:val="sq-AL"/>
        </w:rPr>
        <w:t>ë</w:t>
      </w:r>
      <w:r w:rsidR="00F523C8" w:rsidRPr="008C6700">
        <w:rPr>
          <w:szCs w:val="22"/>
          <w:lang w:val="sq-AL"/>
        </w:rPr>
        <w:t xml:space="preserve"> k</w:t>
      </w:r>
      <w:r w:rsidR="009A5A0E" w:rsidRPr="008C6700">
        <w:rPr>
          <w:szCs w:val="22"/>
          <w:lang w:val="sq-AL"/>
        </w:rPr>
        <w:t>ë</w:t>
      </w:r>
      <w:r w:rsidR="00F523C8" w:rsidRPr="008C6700">
        <w:rPr>
          <w:szCs w:val="22"/>
          <w:lang w:val="sq-AL"/>
        </w:rPr>
        <w:t>t</w:t>
      </w:r>
      <w:r w:rsidR="009A5A0E" w:rsidRPr="008C6700">
        <w:rPr>
          <w:szCs w:val="22"/>
          <w:lang w:val="sq-AL"/>
        </w:rPr>
        <w:t>ë</w:t>
      </w:r>
      <w:r w:rsidR="00F523C8" w:rsidRPr="008C6700">
        <w:rPr>
          <w:szCs w:val="22"/>
          <w:lang w:val="sq-AL"/>
        </w:rPr>
        <w:t xml:space="preserve"> </w:t>
      </w:r>
      <w:r w:rsidRPr="008C6700">
        <w:rPr>
          <w:szCs w:val="22"/>
          <w:lang w:val="sq-AL"/>
        </w:rPr>
        <w:t>proçes</w:t>
      </w:r>
      <w:r w:rsidR="00F523C8" w:rsidRPr="008C6700">
        <w:rPr>
          <w:szCs w:val="22"/>
          <w:lang w:val="sq-AL"/>
        </w:rPr>
        <w:t xml:space="preserve">. </w:t>
      </w:r>
    </w:p>
    <w:p w14:paraId="406AF4CF" w14:textId="1C2773BD" w:rsidR="003432EB" w:rsidRPr="007A3AD7" w:rsidRDefault="001A5605" w:rsidP="003432EB">
      <w:pPr>
        <w:pStyle w:val="NormalWeb"/>
        <w:rPr>
          <w:szCs w:val="22"/>
          <w:lang w:val="sq-AL"/>
        </w:rPr>
      </w:pPr>
      <w:r w:rsidRPr="008C6700">
        <w:rPr>
          <w:szCs w:val="22"/>
          <w:lang w:val="sq-AL"/>
        </w:rPr>
        <w:t>9 institucionet publike shtet</w:t>
      </w:r>
      <w:r w:rsidR="009A5A0E" w:rsidRPr="008C6700">
        <w:rPr>
          <w:szCs w:val="22"/>
          <w:lang w:val="sq-AL"/>
        </w:rPr>
        <w:t>ë</w:t>
      </w:r>
      <w:r w:rsidRPr="008C6700">
        <w:rPr>
          <w:szCs w:val="22"/>
          <w:lang w:val="sq-AL"/>
        </w:rPr>
        <w:t>rore t</w:t>
      </w:r>
      <w:r w:rsidR="009A5A0E" w:rsidRPr="008C6700">
        <w:rPr>
          <w:szCs w:val="22"/>
          <w:lang w:val="sq-AL"/>
        </w:rPr>
        <w:t>ë</w:t>
      </w:r>
      <w:r w:rsidRPr="008C6700">
        <w:rPr>
          <w:szCs w:val="22"/>
          <w:lang w:val="sq-AL"/>
        </w:rPr>
        <w:t xml:space="preserve"> sh</w:t>
      </w:r>
      <w:r w:rsidR="009A5A0E" w:rsidRPr="008C6700">
        <w:rPr>
          <w:szCs w:val="22"/>
          <w:lang w:val="sq-AL"/>
        </w:rPr>
        <w:t>ë</w:t>
      </w:r>
      <w:r w:rsidRPr="008C6700">
        <w:rPr>
          <w:szCs w:val="22"/>
          <w:lang w:val="sq-AL"/>
        </w:rPr>
        <w:t>rbimeve t</w:t>
      </w:r>
      <w:r w:rsidR="009A5A0E" w:rsidRPr="008C6700">
        <w:rPr>
          <w:szCs w:val="22"/>
          <w:lang w:val="sq-AL"/>
        </w:rPr>
        <w:t>ë</w:t>
      </w:r>
      <w:r w:rsidRPr="008C6700">
        <w:rPr>
          <w:szCs w:val="22"/>
          <w:lang w:val="sq-AL"/>
        </w:rPr>
        <w:t xml:space="preserve"> p</w:t>
      </w:r>
      <w:r w:rsidR="009A5A0E" w:rsidRPr="008C6700">
        <w:rPr>
          <w:szCs w:val="22"/>
          <w:lang w:val="sq-AL"/>
        </w:rPr>
        <w:t>ë</w:t>
      </w:r>
      <w:r w:rsidRPr="008C6700">
        <w:rPr>
          <w:szCs w:val="22"/>
          <w:lang w:val="sq-AL"/>
        </w:rPr>
        <w:t>rkujdesjes do t</w:t>
      </w:r>
      <w:r w:rsidR="009A5A0E" w:rsidRPr="008C6700">
        <w:rPr>
          <w:szCs w:val="22"/>
          <w:lang w:val="sq-AL"/>
        </w:rPr>
        <w:t>ë</w:t>
      </w:r>
      <w:r w:rsidRPr="008C6700">
        <w:rPr>
          <w:szCs w:val="22"/>
          <w:lang w:val="sq-AL"/>
        </w:rPr>
        <w:t xml:space="preserve"> transformohen n</w:t>
      </w:r>
      <w:r w:rsidR="009A5A0E" w:rsidRPr="008C6700">
        <w:rPr>
          <w:szCs w:val="22"/>
          <w:lang w:val="sq-AL"/>
        </w:rPr>
        <w:t>ë</w:t>
      </w:r>
      <w:r w:rsidRPr="008C6700">
        <w:rPr>
          <w:szCs w:val="22"/>
          <w:lang w:val="sq-AL"/>
        </w:rPr>
        <w:t xml:space="preserve"> sh</w:t>
      </w:r>
      <w:r w:rsidR="009A5A0E" w:rsidRPr="008C6700">
        <w:rPr>
          <w:szCs w:val="22"/>
          <w:lang w:val="sq-AL"/>
        </w:rPr>
        <w:t>ë</w:t>
      </w:r>
      <w:r w:rsidRPr="008C6700">
        <w:rPr>
          <w:szCs w:val="22"/>
          <w:lang w:val="sq-AL"/>
        </w:rPr>
        <w:t>rbime multidisiplinare e multifunksionale p</w:t>
      </w:r>
      <w:r w:rsidR="009A5A0E" w:rsidRPr="008C6700">
        <w:rPr>
          <w:szCs w:val="22"/>
          <w:lang w:val="sq-AL"/>
        </w:rPr>
        <w:t>ë</w:t>
      </w:r>
      <w:r w:rsidRPr="008C6700">
        <w:rPr>
          <w:szCs w:val="22"/>
          <w:lang w:val="sq-AL"/>
        </w:rPr>
        <w:t>r f</w:t>
      </w:r>
      <w:r w:rsidR="009A5A0E" w:rsidRPr="008C6700">
        <w:rPr>
          <w:szCs w:val="22"/>
          <w:lang w:val="sq-AL"/>
        </w:rPr>
        <w:t>ë</w:t>
      </w:r>
      <w:r w:rsidRPr="008C6700">
        <w:rPr>
          <w:szCs w:val="22"/>
          <w:lang w:val="sq-AL"/>
        </w:rPr>
        <w:t>mij</w:t>
      </w:r>
      <w:r w:rsidR="009A5A0E" w:rsidRPr="008C6700">
        <w:rPr>
          <w:szCs w:val="22"/>
          <w:lang w:val="sq-AL"/>
        </w:rPr>
        <w:t>ë</w:t>
      </w:r>
      <w:r w:rsidRPr="008C6700">
        <w:rPr>
          <w:szCs w:val="22"/>
          <w:lang w:val="sq-AL"/>
        </w:rPr>
        <w:t>n dhe familjen. Q</w:t>
      </w:r>
      <w:r w:rsidR="009A5A0E" w:rsidRPr="008C6700">
        <w:rPr>
          <w:szCs w:val="22"/>
          <w:lang w:val="sq-AL"/>
        </w:rPr>
        <w:t>ë</w:t>
      </w:r>
      <w:r w:rsidRPr="008C6700">
        <w:rPr>
          <w:szCs w:val="22"/>
          <w:lang w:val="sq-AL"/>
        </w:rPr>
        <w:t>llimi primar i deinstitucionalizimit do t</w:t>
      </w:r>
      <w:r w:rsidR="009A5A0E" w:rsidRPr="008C6700">
        <w:rPr>
          <w:szCs w:val="22"/>
          <w:lang w:val="sq-AL"/>
        </w:rPr>
        <w:t>ë</w:t>
      </w:r>
      <w:r w:rsidRPr="008C6700">
        <w:rPr>
          <w:szCs w:val="22"/>
          <w:lang w:val="sq-AL"/>
        </w:rPr>
        <w:t xml:space="preserve"> vijoj</w:t>
      </w:r>
      <w:r w:rsidR="009A5A0E" w:rsidRPr="008C6700">
        <w:rPr>
          <w:szCs w:val="22"/>
          <w:lang w:val="sq-AL"/>
        </w:rPr>
        <w:t>ë</w:t>
      </w:r>
      <w:r w:rsidRPr="008C6700">
        <w:rPr>
          <w:szCs w:val="22"/>
          <w:lang w:val="sq-AL"/>
        </w:rPr>
        <w:t xml:space="preserve"> t</w:t>
      </w:r>
      <w:r w:rsidR="009A5A0E" w:rsidRPr="008C6700">
        <w:rPr>
          <w:szCs w:val="22"/>
          <w:lang w:val="sq-AL"/>
        </w:rPr>
        <w:t>ë</w:t>
      </w:r>
      <w:r w:rsidRPr="008C6700">
        <w:rPr>
          <w:szCs w:val="22"/>
          <w:lang w:val="sq-AL"/>
        </w:rPr>
        <w:t xml:space="preserve"> jet</w:t>
      </w:r>
      <w:r w:rsidR="009A5A0E" w:rsidRPr="008C6700">
        <w:rPr>
          <w:szCs w:val="22"/>
          <w:lang w:val="sq-AL"/>
        </w:rPr>
        <w:t>ë</w:t>
      </w:r>
      <w:r w:rsidRPr="008C6700">
        <w:rPr>
          <w:szCs w:val="22"/>
          <w:lang w:val="sq-AL"/>
        </w:rPr>
        <w:t xml:space="preserve"> parandalimi i ndarjes s</w:t>
      </w:r>
      <w:r w:rsidR="009A5A0E" w:rsidRPr="008C6700">
        <w:rPr>
          <w:szCs w:val="22"/>
          <w:lang w:val="sq-AL"/>
        </w:rPr>
        <w:t>ë</w:t>
      </w:r>
      <w:r w:rsidRPr="008C6700">
        <w:rPr>
          <w:szCs w:val="22"/>
          <w:lang w:val="sq-AL"/>
        </w:rPr>
        <w:t xml:space="preserve"> f</w:t>
      </w:r>
      <w:r w:rsidR="009A5A0E" w:rsidRPr="008C6700">
        <w:rPr>
          <w:szCs w:val="22"/>
          <w:lang w:val="sq-AL"/>
        </w:rPr>
        <w:t>ë</w:t>
      </w:r>
      <w:r w:rsidRPr="008C6700">
        <w:rPr>
          <w:szCs w:val="22"/>
          <w:lang w:val="sq-AL"/>
        </w:rPr>
        <w:t>mij</w:t>
      </w:r>
      <w:r w:rsidR="009A5A0E" w:rsidRPr="008C6700">
        <w:rPr>
          <w:szCs w:val="22"/>
          <w:lang w:val="sq-AL"/>
        </w:rPr>
        <w:t>ë</w:t>
      </w:r>
      <w:r w:rsidRPr="008C6700">
        <w:rPr>
          <w:szCs w:val="22"/>
          <w:lang w:val="sq-AL"/>
        </w:rPr>
        <w:t>s nga familja dhe fokusi do t</w:t>
      </w:r>
      <w:r w:rsidR="009A5A0E" w:rsidRPr="008C6700">
        <w:rPr>
          <w:szCs w:val="22"/>
          <w:lang w:val="sq-AL"/>
        </w:rPr>
        <w:t>ë</w:t>
      </w:r>
      <w:r w:rsidRPr="008C6700">
        <w:rPr>
          <w:szCs w:val="22"/>
          <w:lang w:val="sq-AL"/>
        </w:rPr>
        <w:t xml:space="preserve"> jet</w:t>
      </w:r>
      <w:r w:rsidR="009A5A0E" w:rsidRPr="008C6700">
        <w:rPr>
          <w:szCs w:val="22"/>
          <w:lang w:val="sq-AL"/>
        </w:rPr>
        <w:t>ë</w:t>
      </w:r>
      <w:r w:rsidRPr="008C6700">
        <w:rPr>
          <w:szCs w:val="22"/>
          <w:lang w:val="sq-AL"/>
        </w:rPr>
        <w:t xml:space="preserve"> fuqizimi i bërthamës familjare, përmes mbështetjes në një aspekt shumë planësh, nga mbështetja ekonomike tek ajo sociale. Nj</w:t>
      </w:r>
      <w:r w:rsidR="009A5A0E" w:rsidRPr="008C6700">
        <w:rPr>
          <w:szCs w:val="22"/>
          <w:lang w:val="sq-AL"/>
        </w:rPr>
        <w:t>ë</w:t>
      </w:r>
      <w:r w:rsidRPr="008C6700">
        <w:rPr>
          <w:szCs w:val="22"/>
          <w:lang w:val="sq-AL"/>
        </w:rPr>
        <w:t>koh</w:t>
      </w:r>
      <w:r w:rsidR="009A5A0E" w:rsidRPr="008C6700">
        <w:rPr>
          <w:szCs w:val="22"/>
          <w:lang w:val="sq-AL"/>
        </w:rPr>
        <w:t>ë</w:t>
      </w:r>
      <w:r w:rsidRPr="008C6700">
        <w:rPr>
          <w:szCs w:val="22"/>
          <w:lang w:val="sq-AL"/>
        </w:rPr>
        <w:t>sisht, ofrimi i kujdesit alternativ profesional nëp</w:t>
      </w:r>
      <w:r w:rsidRPr="007A3AD7">
        <w:rPr>
          <w:szCs w:val="22"/>
          <w:lang w:val="sq-AL"/>
        </w:rPr>
        <w:t>ërmjet shërbimeve të menaxhuara nga strukturat në nivel vendor dhe qendror, si dhe krijimi i rrjetit të familjeve kujdestare, mbetet një tjetër sfid</w:t>
      </w:r>
      <w:r w:rsidR="009A5A0E" w:rsidRPr="007A3AD7">
        <w:rPr>
          <w:szCs w:val="22"/>
          <w:lang w:val="sq-AL"/>
        </w:rPr>
        <w:t>ë</w:t>
      </w:r>
      <w:r w:rsidRPr="007A3AD7">
        <w:rPr>
          <w:szCs w:val="22"/>
          <w:lang w:val="sq-AL"/>
        </w:rPr>
        <w:t xml:space="preserve"> e rend</w:t>
      </w:r>
      <w:r w:rsidR="009A5A0E" w:rsidRPr="007A3AD7">
        <w:rPr>
          <w:szCs w:val="22"/>
          <w:lang w:val="sq-AL"/>
        </w:rPr>
        <w:t>ë</w:t>
      </w:r>
      <w:r w:rsidRPr="007A3AD7">
        <w:rPr>
          <w:szCs w:val="22"/>
          <w:lang w:val="sq-AL"/>
        </w:rPr>
        <w:t xml:space="preserve">sishme. </w:t>
      </w:r>
      <w:r w:rsidR="003432EB" w:rsidRPr="007A3AD7">
        <w:rPr>
          <w:szCs w:val="22"/>
          <w:lang w:val="sq-AL"/>
        </w:rPr>
        <w:t xml:space="preserve">Si pjesë e </w:t>
      </w:r>
      <w:r w:rsidR="00AB4D37">
        <w:rPr>
          <w:szCs w:val="22"/>
          <w:lang w:val="sq-AL"/>
        </w:rPr>
        <w:t>proçes</w:t>
      </w:r>
      <w:r w:rsidR="003432EB" w:rsidRPr="007A3AD7">
        <w:rPr>
          <w:szCs w:val="22"/>
          <w:lang w:val="sq-AL"/>
        </w:rPr>
        <w:t xml:space="preserve">it të deinstitucionalizimit, </w:t>
      </w:r>
      <w:r w:rsidRPr="007A3AD7">
        <w:rPr>
          <w:szCs w:val="22"/>
          <w:lang w:val="sq-AL"/>
        </w:rPr>
        <w:t xml:space="preserve">fuqizimi i familjeve biologjike dhe </w:t>
      </w:r>
      <w:r w:rsidR="003432EB" w:rsidRPr="007A3AD7">
        <w:rPr>
          <w:szCs w:val="22"/>
          <w:lang w:val="sq-AL"/>
        </w:rPr>
        <w:t xml:space="preserve">identifikimi i familjeve kujdestare janë përgjegjësi </w:t>
      </w:r>
      <w:r w:rsidRPr="007A3AD7">
        <w:rPr>
          <w:szCs w:val="22"/>
          <w:lang w:val="sq-AL"/>
        </w:rPr>
        <w:t>dhe</w:t>
      </w:r>
      <w:r w:rsidR="003432EB" w:rsidRPr="007A3AD7">
        <w:rPr>
          <w:szCs w:val="22"/>
          <w:lang w:val="sq-AL"/>
        </w:rPr>
        <w:t xml:space="preserve"> sfid</w:t>
      </w:r>
      <w:r w:rsidR="009A5A0E" w:rsidRPr="007A3AD7">
        <w:rPr>
          <w:szCs w:val="22"/>
          <w:lang w:val="sq-AL"/>
        </w:rPr>
        <w:t>ë</w:t>
      </w:r>
      <w:r w:rsidR="003432EB" w:rsidRPr="007A3AD7">
        <w:rPr>
          <w:szCs w:val="22"/>
          <w:lang w:val="sq-AL"/>
        </w:rPr>
        <w:t xml:space="preserve"> </w:t>
      </w:r>
      <w:r w:rsidRPr="007A3AD7">
        <w:rPr>
          <w:szCs w:val="22"/>
          <w:lang w:val="sq-AL"/>
        </w:rPr>
        <w:t xml:space="preserve">e </w:t>
      </w:r>
      <w:r w:rsidR="00E2177F" w:rsidRPr="007A3AD7">
        <w:rPr>
          <w:szCs w:val="22"/>
          <w:lang w:val="sq-AL"/>
        </w:rPr>
        <w:t>rend</w:t>
      </w:r>
      <w:r w:rsidR="00E9006B">
        <w:rPr>
          <w:szCs w:val="22"/>
          <w:lang w:val="sq-AL"/>
        </w:rPr>
        <w:t>ë</w:t>
      </w:r>
      <w:r w:rsidR="00E2177F" w:rsidRPr="007A3AD7">
        <w:rPr>
          <w:szCs w:val="22"/>
          <w:lang w:val="sq-AL"/>
        </w:rPr>
        <w:t>sishme</w:t>
      </w:r>
      <w:r w:rsidR="003432EB" w:rsidRPr="007A3AD7">
        <w:rPr>
          <w:szCs w:val="22"/>
          <w:lang w:val="sq-AL"/>
        </w:rPr>
        <w:t xml:space="preserve"> për autoritetet lokale. </w:t>
      </w:r>
    </w:p>
    <w:p w14:paraId="09F5FB26" w14:textId="782B2776" w:rsidR="003432EB" w:rsidRPr="007A3AD7" w:rsidRDefault="001A5605" w:rsidP="001A5605">
      <w:pPr>
        <w:pStyle w:val="NormalWeb"/>
        <w:rPr>
          <w:szCs w:val="22"/>
          <w:lang w:val="sq-AL"/>
        </w:rPr>
      </w:pPr>
      <w:r w:rsidRPr="007A3AD7">
        <w:rPr>
          <w:szCs w:val="22"/>
          <w:lang w:val="sq-AL"/>
        </w:rPr>
        <w:t>Institucionet e p</w:t>
      </w:r>
      <w:r w:rsidR="009A5A0E" w:rsidRPr="007A3AD7">
        <w:rPr>
          <w:szCs w:val="22"/>
          <w:lang w:val="sq-AL"/>
        </w:rPr>
        <w:t>ë</w:t>
      </w:r>
      <w:r w:rsidRPr="007A3AD7">
        <w:rPr>
          <w:szCs w:val="22"/>
          <w:lang w:val="sq-AL"/>
        </w:rPr>
        <w:t>rkujdesit do t</w:t>
      </w:r>
      <w:r w:rsidR="009A5A0E" w:rsidRPr="007A3AD7">
        <w:rPr>
          <w:szCs w:val="22"/>
          <w:lang w:val="sq-AL"/>
        </w:rPr>
        <w:t>ë</w:t>
      </w:r>
      <w:r w:rsidRPr="007A3AD7">
        <w:rPr>
          <w:szCs w:val="22"/>
          <w:lang w:val="sq-AL"/>
        </w:rPr>
        <w:t xml:space="preserve"> krijojn</w:t>
      </w:r>
      <w:r w:rsidR="009A5A0E" w:rsidRPr="007A3AD7">
        <w:rPr>
          <w:szCs w:val="22"/>
          <w:lang w:val="sq-AL"/>
        </w:rPr>
        <w:t>ë</w:t>
      </w:r>
      <w:r w:rsidRPr="007A3AD7">
        <w:rPr>
          <w:szCs w:val="22"/>
          <w:lang w:val="sq-AL"/>
        </w:rPr>
        <w:t xml:space="preserve"> modele p</w:t>
      </w:r>
      <w:r w:rsidR="009A5A0E" w:rsidRPr="007A3AD7">
        <w:rPr>
          <w:szCs w:val="22"/>
          <w:lang w:val="sq-AL"/>
        </w:rPr>
        <w:t>ë</w:t>
      </w:r>
      <w:r w:rsidRPr="007A3AD7">
        <w:rPr>
          <w:szCs w:val="22"/>
          <w:lang w:val="sq-AL"/>
        </w:rPr>
        <w:t>r sh</w:t>
      </w:r>
      <w:r w:rsidR="009A5A0E" w:rsidRPr="007A3AD7">
        <w:rPr>
          <w:szCs w:val="22"/>
          <w:lang w:val="sq-AL"/>
        </w:rPr>
        <w:t>ë</w:t>
      </w:r>
      <w:r w:rsidRPr="007A3AD7">
        <w:rPr>
          <w:szCs w:val="22"/>
          <w:lang w:val="sq-AL"/>
        </w:rPr>
        <w:t>rbime t</w:t>
      </w:r>
      <w:r w:rsidR="009A5A0E" w:rsidRPr="007A3AD7">
        <w:rPr>
          <w:szCs w:val="22"/>
          <w:lang w:val="sq-AL"/>
        </w:rPr>
        <w:t>ë</w:t>
      </w:r>
      <w:r w:rsidRPr="007A3AD7">
        <w:rPr>
          <w:szCs w:val="22"/>
          <w:lang w:val="sq-AL"/>
        </w:rPr>
        <w:t xml:space="preserve"> reja alternative p</w:t>
      </w:r>
      <w:r w:rsidR="009A5A0E" w:rsidRPr="007A3AD7">
        <w:rPr>
          <w:szCs w:val="22"/>
          <w:lang w:val="sq-AL"/>
        </w:rPr>
        <w:t>ë</w:t>
      </w:r>
      <w:r w:rsidRPr="007A3AD7">
        <w:rPr>
          <w:szCs w:val="22"/>
          <w:lang w:val="sq-AL"/>
        </w:rPr>
        <w:t>r f</w:t>
      </w:r>
      <w:r w:rsidR="009A5A0E" w:rsidRPr="007A3AD7">
        <w:rPr>
          <w:szCs w:val="22"/>
          <w:lang w:val="sq-AL"/>
        </w:rPr>
        <w:t>ë</w:t>
      </w:r>
      <w:r w:rsidRPr="007A3AD7">
        <w:rPr>
          <w:szCs w:val="22"/>
          <w:lang w:val="sq-AL"/>
        </w:rPr>
        <w:t>mij</w:t>
      </w:r>
      <w:r w:rsidR="009A5A0E" w:rsidRPr="007A3AD7">
        <w:rPr>
          <w:szCs w:val="22"/>
          <w:lang w:val="sq-AL"/>
        </w:rPr>
        <w:t>ë</w:t>
      </w:r>
      <w:r w:rsidRPr="007A3AD7">
        <w:rPr>
          <w:szCs w:val="22"/>
          <w:lang w:val="sq-AL"/>
        </w:rPr>
        <w:t>t. Rezultatet e pilotimit t</w:t>
      </w:r>
      <w:r w:rsidR="009A5A0E" w:rsidRPr="007A3AD7">
        <w:rPr>
          <w:szCs w:val="22"/>
          <w:lang w:val="sq-AL"/>
        </w:rPr>
        <w:t>ë</w:t>
      </w:r>
      <w:r w:rsidRPr="007A3AD7">
        <w:rPr>
          <w:szCs w:val="22"/>
          <w:lang w:val="sq-AL"/>
        </w:rPr>
        <w:t xml:space="preserve"> </w:t>
      </w:r>
      <w:r w:rsidR="00AB4D37">
        <w:rPr>
          <w:szCs w:val="22"/>
          <w:lang w:val="sq-AL"/>
        </w:rPr>
        <w:t>proçes</w:t>
      </w:r>
      <w:r w:rsidRPr="007A3AD7">
        <w:rPr>
          <w:szCs w:val="22"/>
          <w:lang w:val="sq-AL"/>
        </w:rPr>
        <w:t>it t</w:t>
      </w:r>
      <w:r w:rsidR="009A5A0E" w:rsidRPr="007A3AD7">
        <w:rPr>
          <w:szCs w:val="22"/>
          <w:lang w:val="sq-AL"/>
        </w:rPr>
        <w:t>ë</w:t>
      </w:r>
      <w:r w:rsidRPr="007A3AD7">
        <w:rPr>
          <w:szCs w:val="22"/>
          <w:lang w:val="sq-AL"/>
        </w:rPr>
        <w:t xml:space="preserve"> deinstitucionalizimit n</w:t>
      </w:r>
      <w:r w:rsidR="009A5A0E" w:rsidRPr="007A3AD7">
        <w:rPr>
          <w:szCs w:val="22"/>
          <w:lang w:val="sq-AL"/>
        </w:rPr>
        <w:t>ë</w:t>
      </w:r>
      <w:r w:rsidRPr="007A3AD7">
        <w:rPr>
          <w:szCs w:val="22"/>
          <w:lang w:val="sq-AL"/>
        </w:rPr>
        <w:t xml:space="preserve"> Vlor</w:t>
      </w:r>
      <w:r w:rsidR="009A5A0E" w:rsidRPr="007A3AD7">
        <w:rPr>
          <w:szCs w:val="22"/>
          <w:lang w:val="sq-AL"/>
        </w:rPr>
        <w:t>ë</w:t>
      </w:r>
      <w:r w:rsidRPr="007A3AD7">
        <w:rPr>
          <w:szCs w:val="22"/>
          <w:lang w:val="sq-AL"/>
        </w:rPr>
        <w:t xml:space="preserve"> dhe n</w:t>
      </w:r>
      <w:r w:rsidR="009A5A0E" w:rsidRPr="007A3AD7">
        <w:rPr>
          <w:szCs w:val="22"/>
          <w:lang w:val="sq-AL"/>
        </w:rPr>
        <w:t>ë</w:t>
      </w:r>
      <w:r w:rsidRPr="007A3AD7">
        <w:rPr>
          <w:szCs w:val="22"/>
          <w:lang w:val="sq-AL"/>
        </w:rPr>
        <w:t xml:space="preserve"> Korc</w:t>
      </w:r>
      <w:r w:rsidR="009A5A0E" w:rsidRPr="007A3AD7">
        <w:rPr>
          <w:szCs w:val="22"/>
          <w:lang w:val="sq-AL"/>
        </w:rPr>
        <w:t>ë</w:t>
      </w:r>
      <w:r w:rsidRPr="007A3AD7">
        <w:rPr>
          <w:szCs w:val="22"/>
          <w:lang w:val="sq-AL"/>
        </w:rPr>
        <w:t xml:space="preserve"> do t</w:t>
      </w:r>
      <w:r w:rsidR="009A5A0E" w:rsidRPr="007A3AD7">
        <w:rPr>
          <w:szCs w:val="22"/>
          <w:lang w:val="sq-AL"/>
        </w:rPr>
        <w:t>ë</w:t>
      </w:r>
      <w:r w:rsidRPr="007A3AD7">
        <w:rPr>
          <w:szCs w:val="22"/>
          <w:lang w:val="sq-AL"/>
        </w:rPr>
        <w:t xml:space="preserve"> sh</w:t>
      </w:r>
      <w:r w:rsidR="009A5A0E" w:rsidRPr="007A3AD7">
        <w:rPr>
          <w:szCs w:val="22"/>
          <w:lang w:val="sq-AL"/>
        </w:rPr>
        <w:t>ë</w:t>
      </w:r>
      <w:r w:rsidRPr="007A3AD7">
        <w:rPr>
          <w:szCs w:val="22"/>
          <w:lang w:val="sq-AL"/>
        </w:rPr>
        <w:t>rbejn</w:t>
      </w:r>
      <w:r w:rsidR="009A5A0E" w:rsidRPr="007A3AD7">
        <w:rPr>
          <w:szCs w:val="22"/>
          <w:lang w:val="sq-AL"/>
        </w:rPr>
        <w:t>ë</w:t>
      </w:r>
      <w:r w:rsidRPr="007A3AD7">
        <w:rPr>
          <w:szCs w:val="22"/>
          <w:lang w:val="sq-AL"/>
        </w:rPr>
        <w:t xml:space="preserve"> p</w:t>
      </w:r>
      <w:r w:rsidR="009A5A0E" w:rsidRPr="007A3AD7">
        <w:rPr>
          <w:szCs w:val="22"/>
          <w:lang w:val="sq-AL"/>
        </w:rPr>
        <w:t>ë</w:t>
      </w:r>
      <w:r w:rsidRPr="007A3AD7">
        <w:rPr>
          <w:szCs w:val="22"/>
          <w:lang w:val="sq-AL"/>
        </w:rPr>
        <w:t>r nj</w:t>
      </w:r>
      <w:r w:rsidR="009A5A0E" w:rsidRPr="007A3AD7">
        <w:rPr>
          <w:szCs w:val="22"/>
          <w:lang w:val="sq-AL"/>
        </w:rPr>
        <w:t>ë</w:t>
      </w:r>
      <w:r w:rsidRPr="007A3AD7">
        <w:rPr>
          <w:szCs w:val="22"/>
          <w:lang w:val="sq-AL"/>
        </w:rPr>
        <w:t xml:space="preserve"> qart</w:t>
      </w:r>
      <w:r w:rsidR="009A5A0E" w:rsidRPr="007A3AD7">
        <w:rPr>
          <w:szCs w:val="22"/>
          <w:lang w:val="sq-AL"/>
        </w:rPr>
        <w:t>ë</w:t>
      </w:r>
      <w:r w:rsidRPr="007A3AD7">
        <w:rPr>
          <w:szCs w:val="22"/>
          <w:lang w:val="sq-AL"/>
        </w:rPr>
        <w:t>sim t</w:t>
      </w:r>
      <w:r w:rsidR="009A5A0E" w:rsidRPr="007A3AD7">
        <w:rPr>
          <w:szCs w:val="22"/>
          <w:lang w:val="sq-AL"/>
        </w:rPr>
        <w:t>ë</w:t>
      </w:r>
      <w:r w:rsidRPr="007A3AD7">
        <w:rPr>
          <w:szCs w:val="22"/>
          <w:lang w:val="sq-AL"/>
        </w:rPr>
        <w:t xml:space="preserve"> m</w:t>
      </w:r>
      <w:r w:rsidR="009A5A0E" w:rsidRPr="007A3AD7">
        <w:rPr>
          <w:szCs w:val="22"/>
          <w:lang w:val="sq-AL"/>
        </w:rPr>
        <w:t>ë</w:t>
      </w:r>
      <w:r w:rsidRPr="007A3AD7">
        <w:rPr>
          <w:szCs w:val="22"/>
          <w:lang w:val="sq-AL"/>
        </w:rPr>
        <w:t>tejsh</w:t>
      </w:r>
      <w:r w:rsidR="009A5A0E" w:rsidRPr="007A3AD7">
        <w:rPr>
          <w:szCs w:val="22"/>
          <w:lang w:val="sq-AL"/>
        </w:rPr>
        <w:t>ë</w:t>
      </w:r>
      <w:r w:rsidRPr="007A3AD7">
        <w:rPr>
          <w:szCs w:val="22"/>
          <w:lang w:val="sq-AL"/>
        </w:rPr>
        <w:t>m t</w:t>
      </w:r>
      <w:r w:rsidR="009A5A0E" w:rsidRPr="007A3AD7">
        <w:rPr>
          <w:szCs w:val="22"/>
          <w:lang w:val="sq-AL"/>
        </w:rPr>
        <w:t>ë</w:t>
      </w:r>
      <w:r w:rsidRPr="007A3AD7">
        <w:rPr>
          <w:szCs w:val="22"/>
          <w:lang w:val="sq-AL"/>
        </w:rPr>
        <w:t xml:space="preserve"> problematik</w:t>
      </w:r>
      <w:r w:rsidR="009A5A0E" w:rsidRPr="007A3AD7">
        <w:rPr>
          <w:szCs w:val="22"/>
          <w:lang w:val="sq-AL"/>
        </w:rPr>
        <w:t>ë</w:t>
      </w:r>
      <w:r w:rsidRPr="007A3AD7">
        <w:rPr>
          <w:szCs w:val="22"/>
          <w:lang w:val="sq-AL"/>
        </w:rPr>
        <w:t>s q</w:t>
      </w:r>
      <w:r w:rsidR="009A5A0E" w:rsidRPr="007A3AD7">
        <w:rPr>
          <w:szCs w:val="22"/>
          <w:lang w:val="sq-AL"/>
        </w:rPr>
        <w:t>ë</w:t>
      </w:r>
      <w:r w:rsidRPr="007A3AD7">
        <w:rPr>
          <w:szCs w:val="22"/>
          <w:lang w:val="sq-AL"/>
        </w:rPr>
        <w:t xml:space="preserve"> lidhet me k</w:t>
      </w:r>
      <w:r w:rsidR="009A5A0E" w:rsidRPr="007A3AD7">
        <w:rPr>
          <w:szCs w:val="22"/>
          <w:lang w:val="sq-AL"/>
        </w:rPr>
        <w:t>ë</w:t>
      </w:r>
      <w:r w:rsidRPr="007A3AD7">
        <w:rPr>
          <w:szCs w:val="22"/>
          <w:lang w:val="sq-AL"/>
        </w:rPr>
        <w:t>t</w:t>
      </w:r>
      <w:r w:rsidR="009A5A0E" w:rsidRPr="007A3AD7">
        <w:rPr>
          <w:szCs w:val="22"/>
          <w:lang w:val="sq-AL"/>
        </w:rPr>
        <w:t>ë</w:t>
      </w:r>
      <w:r w:rsidRPr="007A3AD7">
        <w:rPr>
          <w:szCs w:val="22"/>
          <w:lang w:val="sq-AL"/>
        </w:rPr>
        <w:t xml:space="preserve"> </w:t>
      </w:r>
      <w:r w:rsidR="00AB4D37">
        <w:rPr>
          <w:szCs w:val="22"/>
          <w:lang w:val="sq-AL"/>
        </w:rPr>
        <w:t>proçes</w:t>
      </w:r>
      <w:r w:rsidRPr="007A3AD7">
        <w:rPr>
          <w:szCs w:val="22"/>
          <w:lang w:val="sq-AL"/>
        </w:rPr>
        <w:t xml:space="preserve"> jo vet</w:t>
      </w:r>
      <w:r w:rsidR="009A5A0E" w:rsidRPr="007A3AD7">
        <w:rPr>
          <w:szCs w:val="22"/>
          <w:lang w:val="sq-AL"/>
        </w:rPr>
        <w:t>ë</w:t>
      </w:r>
      <w:r w:rsidRPr="007A3AD7">
        <w:rPr>
          <w:szCs w:val="22"/>
          <w:lang w:val="sq-AL"/>
        </w:rPr>
        <w:t>m shum</w:t>
      </w:r>
      <w:r w:rsidR="009A5A0E" w:rsidRPr="007A3AD7">
        <w:rPr>
          <w:szCs w:val="22"/>
          <w:lang w:val="sq-AL"/>
        </w:rPr>
        <w:t>ë</w:t>
      </w:r>
      <w:r w:rsidRPr="007A3AD7">
        <w:rPr>
          <w:szCs w:val="22"/>
          <w:lang w:val="sq-AL"/>
        </w:rPr>
        <w:t xml:space="preserve"> t</w:t>
      </w:r>
      <w:r w:rsidR="009A5A0E" w:rsidRPr="007A3AD7">
        <w:rPr>
          <w:szCs w:val="22"/>
          <w:lang w:val="sq-AL"/>
        </w:rPr>
        <w:t>ë</w:t>
      </w:r>
      <w:r w:rsidRPr="007A3AD7">
        <w:rPr>
          <w:szCs w:val="22"/>
          <w:lang w:val="sq-AL"/>
        </w:rPr>
        <w:t xml:space="preserve"> rend</w:t>
      </w:r>
      <w:r w:rsidR="009A5A0E" w:rsidRPr="007A3AD7">
        <w:rPr>
          <w:szCs w:val="22"/>
          <w:lang w:val="sq-AL"/>
        </w:rPr>
        <w:t>ë</w:t>
      </w:r>
      <w:r w:rsidRPr="007A3AD7">
        <w:rPr>
          <w:szCs w:val="22"/>
          <w:lang w:val="sq-AL"/>
        </w:rPr>
        <w:t>sish</w:t>
      </w:r>
      <w:r w:rsidR="009A5A0E" w:rsidRPr="007A3AD7">
        <w:rPr>
          <w:szCs w:val="22"/>
          <w:lang w:val="sq-AL"/>
        </w:rPr>
        <w:t>ë</w:t>
      </w:r>
      <w:r w:rsidRPr="007A3AD7">
        <w:rPr>
          <w:szCs w:val="22"/>
          <w:lang w:val="sq-AL"/>
        </w:rPr>
        <w:t>m, por edhe shum</w:t>
      </w:r>
      <w:r w:rsidR="009A5A0E" w:rsidRPr="007A3AD7">
        <w:rPr>
          <w:szCs w:val="22"/>
          <w:lang w:val="sq-AL"/>
        </w:rPr>
        <w:t>ë</w:t>
      </w:r>
      <w:r w:rsidRPr="007A3AD7">
        <w:rPr>
          <w:szCs w:val="22"/>
          <w:lang w:val="sq-AL"/>
        </w:rPr>
        <w:t xml:space="preserve"> delikat. Ky </w:t>
      </w:r>
      <w:r w:rsidR="00AB4D37">
        <w:rPr>
          <w:szCs w:val="22"/>
          <w:lang w:val="sq-AL"/>
        </w:rPr>
        <w:t>proçes</w:t>
      </w:r>
      <w:r w:rsidRPr="007A3AD7">
        <w:rPr>
          <w:szCs w:val="22"/>
          <w:lang w:val="sq-AL"/>
        </w:rPr>
        <w:t xml:space="preserve"> do t</w:t>
      </w:r>
      <w:r w:rsidR="009A5A0E" w:rsidRPr="007A3AD7">
        <w:rPr>
          <w:szCs w:val="22"/>
          <w:lang w:val="sq-AL"/>
        </w:rPr>
        <w:t>ë</w:t>
      </w:r>
      <w:r w:rsidRPr="007A3AD7">
        <w:rPr>
          <w:szCs w:val="22"/>
          <w:lang w:val="sq-AL"/>
        </w:rPr>
        <w:t xml:space="preserve"> shoq</w:t>
      </w:r>
      <w:r w:rsidR="009A5A0E" w:rsidRPr="007A3AD7">
        <w:rPr>
          <w:szCs w:val="22"/>
          <w:lang w:val="sq-AL"/>
        </w:rPr>
        <w:t>ë</w:t>
      </w:r>
      <w:r w:rsidRPr="007A3AD7">
        <w:rPr>
          <w:szCs w:val="22"/>
          <w:lang w:val="sq-AL"/>
        </w:rPr>
        <w:t>rohet me rritje t</w:t>
      </w:r>
      <w:r w:rsidR="009A5A0E" w:rsidRPr="007A3AD7">
        <w:rPr>
          <w:szCs w:val="22"/>
          <w:lang w:val="sq-AL"/>
        </w:rPr>
        <w:t>ë</w:t>
      </w:r>
      <w:r w:rsidRPr="007A3AD7">
        <w:rPr>
          <w:szCs w:val="22"/>
          <w:lang w:val="sq-AL"/>
        </w:rPr>
        <w:t xml:space="preserve"> kapaciteteve t</w:t>
      </w:r>
      <w:r w:rsidR="009A5A0E" w:rsidRPr="007A3AD7">
        <w:rPr>
          <w:szCs w:val="22"/>
          <w:lang w:val="sq-AL"/>
        </w:rPr>
        <w:t>ë</w:t>
      </w:r>
      <w:r w:rsidRPr="007A3AD7">
        <w:rPr>
          <w:szCs w:val="22"/>
          <w:lang w:val="sq-AL"/>
        </w:rPr>
        <w:t xml:space="preserve"> personelit </w:t>
      </w:r>
      <w:r w:rsidR="00E2177F" w:rsidRPr="007A3AD7">
        <w:rPr>
          <w:szCs w:val="22"/>
          <w:lang w:val="sq-AL"/>
        </w:rPr>
        <w:t>p</w:t>
      </w:r>
      <w:r w:rsidR="009A5A0E" w:rsidRPr="007A3AD7">
        <w:rPr>
          <w:szCs w:val="22"/>
          <w:lang w:val="sq-AL"/>
        </w:rPr>
        <w:t>ë</w:t>
      </w:r>
      <w:r w:rsidRPr="007A3AD7">
        <w:rPr>
          <w:szCs w:val="22"/>
          <w:lang w:val="sq-AL"/>
        </w:rPr>
        <w:t>rgjegj</w:t>
      </w:r>
      <w:r w:rsidR="009A5A0E" w:rsidRPr="007A3AD7">
        <w:rPr>
          <w:szCs w:val="22"/>
          <w:lang w:val="sq-AL"/>
        </w:rPr>
        <w:t>ë</w:t>
      </w:r>
      <w:r w:rsidRPr="007A3AD7">
        <w:rPr>
          <w:szCs w:val="22"/>
          <w:lang w:val="sq-AL"/>
        </w:rPr>
        <w:t>s si dhe me nj</w:t>
      </w:r>
      <w:r w:rsidR="009A5A0E" w:rsidRPr="007A3AD7">
        <w:rPr>
          <w:szCs w:val="22"/>
          <w:lang w:val="sq-AL"/>
        </w:rPr>
        <w:t>ë</w:t>
      </w:r>
      <w:r w:rsidRPr="007A3AD7">
        <w:rPr>
          <w:szCs w:val="22"/>
          <w:lang w:val="sq-AL"/>
        </w:rPr>
        <w:t xml:space="preserve"> monitorim t</w:t>
      </w:r>
      <w:r w:rsidR="009A5A0E" w:rsidRPr="007A3AD7">
        <w:rPr>
          <w:szCs w:val="22"/>
          <w:lang w:val="sq-AL"/>
        </w:rPr>
        <w:t>ë</w:t>
      </w:r>
      <w:r w:rsidRPr="007A3AD7">
        <w:rPr>
          <w:szCs w:val="22"/>
          <w:lang w:val="sq-AL"/>
        </w:rPr>
        <w:t xml:space="preserve"> kujdessh</w:t>
      </w:r>
      <w:r w:rsidR="009A5A0E" w:rsidRPr="007A3AD7">
        <w:rPr>
          <w:szCs w:val="22"/>
          <w:lang w:val="sq-AL"/>
        </w:rPr>
        <w:t>ë</w:t>
      </w:r>
      <w:r w:rsidRPr="007A3AD7">
        <w:rPr>
          <w:szCs w:val="22"/>
          <w:lang w:val="sq-AL"/>
        </w:rPr>
        <w:t xml:space="preserve">m dhe profesional nga autoritetet monitoruese dhe inspektuese. </w:t>
      </w:r>
    </w:p>
    <w:p w14:paraId="57300D67" w14:textId="77777777" w:rsidR="003432EB" w:rsidRPr="00B5007E" w:rsidRDefault="003432EB" w:rsidP="00B5007E">
      <w:pPr>
        <w:pStyle w:val="Normal0"/>
        <w:rPr>
          <w:color w:val="4472C4" w:themeColor="accent1"/>
          <w:lang w:val="sq-AL"/>
        </w:rPr>
      </w:pPr>
      <w:bookmarkStart w:id="61" w:name="_Toc150809636"/>
      <w:r w:rsidRPr="00B5007E">
        <w:rPr>
          <w:color w:val="4472C4" w:themeColor="accent1"/>
          <w:lang w:val="sq-AL"/>
        </w:rPr>
        <w:t>Zgjerimi i rrjetit të shërbimeve të përkujdesit shoqëror për persona me aftësi të kufizuara që jetojnë në institucione rezidenciale, ose në rrezik institucionalizimi;</w:t>
      </w:r>
      <w:bookmarkEnd w:id="61"/>
    </w:p>
    <w:p w14:paraId="697F004F" w14:textId="77777777" w:rsidR="003432EB" w:rsidRPr="007A3AD7" w:rsidRDefault="003432EB" w:rsidP="003432EB">
      <w:pPr>
        <w:rPr>
          <w:rFonts w:ascii="Times New Roman" w:hAnsi="Times New Roman" w:cs="Times New Roman"/>
          <w:szCs w:val="22"/>
          <w:lang w:val="sq-AL"/>
        </w:rPr>
      </w:pPr>
    </w:p>
    <w:p w14:paraId="1B0AB9E8" w14:textId="380D8E51" w:rsidR="004C56F3" w:rsidRPr="007A3AD7" w:rsidRDefault="00A772B2" w:rsidP="003432EB">
      <w:pPr>
        <w:rPr>
          <w:rFonts w:ascii="Times New Roman" w:eastAsia="Times New Roman" w:hAnsi="Times New Roman" w:cs="Times New Roman"/>
          <w:szCs w:val="22"/>
          <w:lang w:val="sq-AL"/>
        </w:rPr>
      </w:pPr>
      <w:r w:rsidRPr="007A3AD7">
        <w:rPr>
          <w:rFonts w:ascii="Times New Roman" w:eastAsia="Times New Roman" w:hAnsi="Times New Roman" w:cs="Times New Roman"/>
          <w:szCs w:val="22"/>
          <w:lang w:val="sq-AL"/>
        </w:rPr>
        <w:t>N</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 xml:space="preserve"> zbatim t</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 xml:space="preserve"> </w:t>
      </w:r>
      <w:r w:rsidR="003432EB" w:rsidRPr="007A3AD7">
        <w:rPr>
          <w:rFonts w:ascii="Times New Roman" w:eastAsia="Times New Roman" w:hAnsi="Times New Roman" w:cs="Times New Roman"/>
          <w:szCs w:val="22"/>
          <w:lang w:val="sq-AL"/>
        </w:rPr>
        <w:t>kuadri</w:t>
      </w:r>
      <w:r w:rsidRPr="007A3AD7">
        <w:rPr>
          <w:rFonts w:ascii="Times New Roman" w:eastAsia="Times New Roman" w:hAnsi="Times New Roman" w:cs="Times New Roman"/>
          <w:szCs w:val="22"/>
          <w:lang w:val="sq-AL"/>
        </w:rPr>
        <w:t>t</w:t>
      </w:r>
      <w:r w:rsidR="003432EB" w:rsidRPr="007A3AD7">
        <w:rPr>
          <w:rFonts w:ascii="Times New Roman" w:eastAsia="Times New Roman" w:hAnsi="Times New Roman" w:cs="Times New Roman"/>
          <w:szCs w:val="22"/>
          <w:lang w:val="sq-AL"/>
        </w:rPr>
        <w:t xml:space="preserve"> ligjor </w:t>
      </w:r>
      <w:r w:rsidRPr="007A3AD7">
        <w:rPr>
          <w:rFonts w:ascii="Times New Roman" w:eastAsia="Times New Roman" w:hAnsi="Times New Roman" w:cs="Times New Roman"/>
          <w:szCs w:val="22"/>
          <w:lang w:val="sq-AL"/>
        </w:rPr>
        <w:t>p</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r mb</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shtetjen me sh</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rbime sociale t</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 xml:space="preserve"> personave me aft</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si t</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 xml:space="preserve"> kufizuar, do t</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 xml:space="preserve"> b</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het vler</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 xml:space="preserve">simi i </w:t>
      </w:r>
      <w:r w:rsidR="008F3983" w:rsidRPr="007A3AD7">
        <w:rPr>
          <w:rFonts w:ascii="Times New Roman" w:eastAsia="Times New Roman" w:hAnsi="Times New Roman" w:cs="Times New Roman"/>
          <w:szCs w:val="22"/>
          <w:lang w:val="sq-AL"/>
        </w:rPr>
        <w:t>nevoj</w:t>
      </w:r>
      <w:r w:rsidR="009A5A0E" w:rsidRPr="007A3AD7">
        <w:rPr>
          <w:rFonts w:ascii="Times New Roman" w:eastAsia="Times New Roman" w:hAnsi="Times New Roman" w:cs="Times New Roman"/>
          <w:szCs w:val="22"/>
          <w:lang w:val="sq-AL"/>
        </w:rPr>
        <w:t>ë</w:t>
      </w:r>
      <w:r w:rsidR="008F3983" w:rsidRPr="007A3AD7">
        <w:rPr>
          <w:rFonts w:ascii="Times New Roman" w:eastAsia="Times New Roman" w:hAnsi="Times New Roman" w:cs="Times New Roman"/>
          <w:szCs w:val="22"/>
          <w:lang w:val="sq-AL"/>
        </w:rPr>
        <w:t>s sipas planeve individuale si dhe kostimi i k</w:t>
      </w:r>
      <w:r w:rsidR="009A5A0E" w:rsidRPr="007A3AD7">
        <w:rPr>
          <w:rFonts w:ascii="Times New Roman" w:eastAsia="Times New Roman" w:hAnsi="Times New Roman" w:cs="Times New Roman"/>
          <w:szCs w:val="22"/>
          <w:lang w:val="sq-AL"/>
        </w:rPr>
        <w:t>ë</w:t>
      </w:r>
      <w:r w:rsidR="008F3983" w:rsidRPr="007A3AD7">
        <w:rPr>
          <w:rFonts w:ascii="Times New Roman" w:eastAsia="Times New Roman" w:hAnsi="Times New Roman" w:cs="Times New Roman"/>
          <w:szCs w:val="22"/>
          <w:lang w:val="sq-AL"/>
        </w:rPr>
        <w:t>tyre sh</w:t>
      </w:r>
      <w:r w:rsidR="009A5A0E" w:rsidRPr="007A3AD7">
        <w:rPr>
          <w:rFonts w:ascii="Times New Roman" w:eastAsia="Times New Roman" w:hAnsi="Times New Roman" w:cs="Times New Roman"/>
          <w:szCs w:val="22"/>
          <w:lang w:val="sq-AL"/>
        </w:rPr>
        <w:t>ë</w:t>
      </w:r>
      <w:r w:rsidR="008F3983" w:rsidRPr="007A3AD7">
        <w:rPr>
          <w:rFonts w:ascii="Times New Roman" w:eastAsia="Times New Roman" w:hAnsi="Times New Roman" w:cs="Times New Roman"/>
          <w:szCs w:val="22"/>
          <w:lang w:val="sq-AL"/>
        </w:rPr>
        <w:t xml:space="preserve">rbimeve. </w:t>
      </w:r>
      <w:r w:rsidR="004C56F3" w:rsidRPr="007A3AD7">
        <w:rPr>
          <w:rFonts w:ascii="Times New Roman" w:eastAsia="Times New Roman" w:hAnsi="Times New Roman" w:cs="Times New Roman"/>
          <w:szCs w:val="22"/>
          <w:lang w:val="sq-AL"/>
        </w:rPr>
        <w:t>Skenar</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t e ofrimit 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sh</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rbimeve do 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p</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rfshijn</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gjith</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spektrin e mundsh</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m si mb</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shtetja n</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p</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rmjet kujdestaris</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s</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p</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rkohshm</w:t>
      </w:r>
      <w:r w:rsidR="00E2177F" w:rsidRPr="007A3AD7">
        <w:rPr>
          <w:rFonts w:ascii="Times New Roman" w:eastAsia="Times New Roman" w:hAnsi="Times New Roman" w:cs="Times New Roman"/>
          <w:szCs w:val="22"/>
          <w:lang w:val="sq-AL"/>
        </w:rPr>
        <w:t>e</w:t>
      </w:r>
      <w:r w:rsidR="004C56F3" w:rsidRPr="007A3AD7">
        <w:rPr>
          <w:rFonts w:ascii="Times New Roman" w:eastAsia="Times New Roman" w:hAnsi="Times New Roman" w:cs="Times New Roman"/>
          <w:szCs w:val="22"/>
          <w:lang w:val="sq-AL"/>
        </w:rPr>
        <w:t>, sh</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rbimet l</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viz</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se 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specializuara n</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m</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nyr</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q</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p</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rmir</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sohet mbulimi i zonave periferike dhe atyre rurale, sh</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rbimet n</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komunitet, zhvillimi i sh</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rbimeve 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kujdestaris</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etj. </w:t>
      </w:r>
      <w:r w:rsidR="007415CA">
        <w:rPr>
          <w:rFonts w:ascii="Times New Roman" w:eastAsia="Times New Roman" w:hAnsi="Times New Roman" w:cs="Times New Roman"/>
          <w:szCs w:val="22"/>
          <w:lang w:val="sq-AL"/>
        </w:rPr>
        <w:t xml:space="preserve"> </w:t>
      </w:r>
    </w:p>
    <w:p w14:paraId="3E558957" w14:textId="5C3D55B3" w:rsidR="003432EB" w:rsidRPr="007A3AD7" w:rsidRDefault="007415CA" w:rsidP="00476884">
      <w:pPr>
        <w:rPr>
          <w:rFonts w:ascii="Times New Roman" w:eastAsia="Calibri" w:hAnsi="Times New Roman" w:cs="Times New Roman"/>
          <w:szCs w:val="22"/>
          <w:lang w:val="sq-AL"/>
        </w:rPr>
      </w:pPr>
      <w:r>
        <w:rPr>
          <w:rFonts w:ascii="Times New Roman" w:eastAsia="Times New Roman" w:hAnsi="Times New Roman" w:cs="Times New Roman"/>
          <w:szCs w:val="22"/>
          <w:lang w:val="sq-AL"/>
        </w:rPr>
        <w:t>V</w:t>
      </w:r>
      <w:r w:rsidRPr="008C6700">
        <w:rPr>
          <w:rFonts w:ascii="Times New Roman" w:eastAsia="Times New Roman" w:hAnsi="Times New Roman" w:cs="Times New Roman"/>
          <w:iCs/>
          <w:lang w:val="pt-BR" w:eastAsia="en-GB"/>
        </w:rPr>
        <w:t>ë</w:t>
      </w:r>
      <w:r w:rsidR="004C56F3" w:rsidRPr="007A3AD7">
        <w:rPr>
          <w:rFonts w:ascii="Times New Roman" w:eastAsia="Times New Roman" w:hAnsi="Times New Roman" w:cs="Times New Roman"/>
          <w:szCs w:val="22"/>
          <w:lang w:val="sq-AL"/>
        </w:rPr>
        <w:t>mendje do i kushtohet financimit q</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sht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nj</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faktor kryesor p</w:t>
      </w:r>
      <w:r w:rsidR="009A5A0E" w:rsidRPr="007A3AD7">
        <w:rPr>
          <w:rFonts w:ascii="Times New Roman" w:eastAsia="Times New Roman" w:hAnsi="Times New Roman" w:cs="Times New Roman"/>
          <w:szCs w:val="22"/>
          <w:lang w:val="sq-AL"/>
        </w:rPr>
        <w:t>ë</w:t>
      </w:r>
      <w:r>
        <w:rPr>
          <w:rFonts w:ascii="Times New Roman" w:eastAsia="Times New Roman" w:hAnsi="Times New Roman" w:cs="Times New Roman"/>
          <w:szCs w:val="22"/>
          <w:lang w:val="sq-AL"/>
        </w:rPr>
        <w:t>r q</w:t>
      </w:r>
      <w:r w:rsidRPr="008C6700">
        <w:rPr>
          <w:rFonts w:ascii="Times New Roman" w:eastAsia="Times New Roman" w:hAnsi="Times New Roman" w:cs="Times New Roman"/>
          <w:iCs/>
          <w:lang w:val="pt-BR" w:eastAsia="en-GB"/>
        </w:rPr>
        <w:t>ë</w:t>
      </w:r>
      <w:r w:rsidR="004C56F3" w:rsidRPr="007A3AD7">
        <w:rPr>
          <w:rFonts w:ascii="Times New Roman" w:eastAsia="Times New Roman" w:hAnsi="Times New Roman" w:cs="Times New Roman"/>
          <w:szCs w:val="22"/>
          <w:lang w:val="sq-AL"/>
        </w:rPr>
        <w:t>ndrueshm</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rin</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e sh</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rbimeve. N</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mb</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shtetje 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w:t>
      </w:r>
      <w:r w:rsidR="003432EB" w:rsidRPr="007A3AD7">
        <w:rPr>
          <w:rFonts w:ascii="Times New Roman" w:eastAsia="Times New Roman" w:hAnsi="Times New Roman" w:cs="Times New Roman"/>
          <w:szCs w:val="22"/>
          <w:lang w:val="sq-AL"/>
        </w:rPr>
        <w:t>Ligji</w:t>
      </w:r>
      <w:r w:rsidR="004C56F3" w:rsidRPr="007A3AD7">
        <w:rPr>
          <w:rFonts w:ascii="Times New Roman" w:eastAsia="Times New Roman" w:hAnsi="Times New Roman" w:cs="Times New Roman"/>
          <w:szCs w:val="22"/>
          <w:lang w:val="sq-AL"/>
        </w:rPr>
        <w:t>t</w:t>
      </w:r>
      <w:r w:rsidR="003432EB" w:rsidRPr="007A3AD7">
        <w:rPr>
          <w:rFonts w:ascii="Times New Roman" w:eastAsia="Times New Roman" w:hAnsi="Times New Roman" w:cs="Times New Roman"/>
          <w:szCs w:val="22"/>
          <w:lang w:val="sq-AL"/>
        </w:rPr>
        <w:t xml:space="preserve"> për shërbimet sociale </w:t>
      </w:r>
      <w:r w:rsidR="004C56F3" w:rsidRPr="007A3AD7">
        <w:rPr>
          <w:rFonts w:ascii="Times New Roman" w:eastAsia="Times New Roman" w:hAnsi="Times New Roman" w:cs="Times New Roman"/>
          <w:szCs w:val="22"/>
          <w:lang w:val="sq-AL"/>
        </w:rPr>
        <w:t xml:space="preserve">i cili parashikon </w:t>
      </w:r>
      <w:r w:rsidR="003432EB" w:rsidRPr="007A3AD7">
        <w:rPr>
          <w:rFonts w:ascii="Times New Roman" w:eastAsia="Times New Roman" w:hAnsi="Times New Roman" w:cs="Times New Roman"/>
          <w:szCs w:val="22"/>
          <w:lang w:val="sq-AL"/>
        </w:rPr>
        <w:t>informimin si shërbim parashoqëror</w:t>
      </w:r>
      <w:r w:rsidR="004C56F3" w:rsidRPr="007A3AD7">
        <w:rPr>
          <w:rFonts w:ascii="Times New Roman" w:eastAsia="Times New Roman" w:hAnsi="Times New Roman" w:cs="Times New Roman"/>
          <w:szCs w:val="22"/>
          <w:lang w:val="sq-AL"/>
        </w:rPr>
        <w:t xml:space="preserve"> nj</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strategji komunikimi do 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ndihmoj</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p</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r 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kryer informimin e personave me aft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si 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kufizuara dhe familjar</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ve t</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 tyre p</w:t>
      </w:r>
      <w:r w:rsidR="009A5A0E" w:rsidRPr="007A3AD7">
        <w:rPr>
          <w:rFonts w:ascii="Times New Roman" w:eastAsia="Times New Roman" w:hAnsi="Times New Roman" w:cs="Times New Roman"/>
          <w:szCs w:val="22"/>
          <w:lang w:val="sq-AL"/>
        </w:rPr>
        <w:t>ë</w:t>
      </w:r>
      <w:r w:rsidR="004C56F3" w:rsidRPr="007A3AD7">
        <w:rPr>
          <w:rFonts w:ascii="Times New Roman" w:eastAsia="Times New Roman" w:hAnsi="Times New Roman" w:cs="Times New Roman"/>
          <w:szCs w:val="22"/>
          <w:lang w:val="sq-AL"/>
        </w:rPr>
        <w:t xml:space="preserve">r </w:t>
      </w:r>
      <w:r w:rsidR="003432EB" w:rsidRPr="007A3AD7">
        <w:rPr>
          <w:rFonts w:ascii="Times New Roman" w:eastAsia="Calibri" w:hAnsi="Times New Roman" w:cs="Times New Roman"/>
          <w:szCs w:val="22"/>
          <w:lang w:val="sq-AL"/>
        </w:rPr>
        <w:t xml:space="preserve">ndryshimet ligjore </w:t>
      </w:r>
      <w:r w:rsidR="004C56F3" w:rsidRPr="007A3AD7">
        <w:rPr>
          <w:rFonts w:ascii="Times New Roman" w:eastAsia="Calibri" w:hAnsi="Times New Roman" w:cs="Times New Roman"/>
          <w:szCs w:val="22"/>
          <w:lang w:val="sq-AL"/>
        </w:rPr>
        <w:t>dh</w:t>
      </w:r>
      <w:r w:rsidR="003432EB" w:rsidRPr="007A3AD7">
        <w:rPr>
          <w:rFonts w:ascii="Times New Roman" w:eastAsia="Calibri" w:hAnsi="Times New Roman" w:cs="Times New Roman"/>
          <w:szCs w:val="22"/>
          <w:lang w:val="sq-AL"/>
        </w:rPr>
        <w:t>e politik</w:t>
      </w:r>
      <w:r w:rsidR="004C56F3" w:rsidRPr="007A3AD7">
        <w:rPr>
          <w:rFonts w:ascii="Times New Roman" w:eastAsia="Calibri" w:hAnsi="Times New Roman" w:cs="Times New Roman"/>
          <w:szCs w:val="22"/>
          <w:lang w:val="sq-AL"/>
        </w:rPr>
        <w:t>at shtet</w:t>
      </w:r>
      <w:r w:rsidR="009A5A0E" w:rsidRPr="007A3AD7">
        <w:rPr>
          <w:rFonts w:ascii="Times New Roman" w:eastAsia="Calibri" w:hAnsi="Times New Roman" w:cs="Times New Roman"/>
          <w:szCs w:val="22"/>
          <w:lang w:val="sq-AL"/>
        </w:rPr>
        <w:t>ë</w:t>
      </w:r>
      <w:r w:rsidR="004C56F3" w:rsidRPr="007A3AD7">
        <w:rPr>
          <w:rFonts w:ascii="Times New Roman" w:eastAsia="Calibri" w:hAnsi="Times New Roman" w:cs="Times New Roman"/>
          <w:szCs w:val="22"/>
          <w:lang w:val="sq-AL"/>
        </w:rPr>
        <w:t>rore n</w:t>
      </w:r>
      <w:r w:rsidR="009A5A0E" w:rsidRPr="007A3AD7">
        <w:rPr>
          <w:rFonts w:ascii="Times New Roman" w:eastAsia="Calibri" w:hAnsi="Times New Roman" w:cs="Times New Roman"/>
          <w:szCs w:val="22"/>
          <w:lang w:val="sq-AL"/>
        </w:rPr>
        <w:t>ë</w:t>
      </w:r>
      <w:r w:rsidR="004C56F3" w:rsidRPr="007A3AD7">
        <w:rPr>
          <w:rFonts w:ascii="Times New Roman" w:eastAsia="Calibri" w:hAnsi="Times New Roman" w:cs="Times New Roman"/>
          <w:szCs w:val="22"/>
          <w:lang w:val="sq-AL"/>
        </w:rPr>
        <w:t xml:space="preserve"> m</w:t>
      </w:r>
      <w:r w:rsidR="009A5A0E" w:rsidRPr="007A3AD7">
        <w:rPr>
          <w:rFonts w:ascii="Times New Roman" w:eastAsia="Calibri" w:hAnsi="Times New Roman" w:cs="Times New Roman"/>
          <w:szCs w:val="22"/>
          <w:lang w:val="sq-AL"/>
        </w:rPr>
        <w:t>ë</w:t>
      </w:r>
      <w:r w:rsidR="004C56F3" w:rsidRPr="007A3AD7">
        <w:rPr>
          <w:rFonts w:ascii="Times New Roman" w:eastAsia="Calibri" w:hAnsi="Times New Roman" w:cs="Times New Roman"/>
          <w:szCs w:val="22"/>
          <w:lang w:val="sq-AL"/>
        </w:rPr>
        <w:t>nyr</w:t>
      </w:r>
      <w:r w:rsidR="009A5A0E" w:rsidRPr="007A3AD7">
        <w:rPr>
          <w:rFonts w:ascii="Times New Roman" w:eastAsia="Calibri" w:hAnsi="Times New Roman" w:cs="Times New Roman"/>
          <w:szCs w:val="22"/>
          <w:lang w:val="sq-AL"/>
        </w:rPr>
        <w:t>ë</w:t>
      </w:r>
      <w:r w:rsidR="004C56F3" w:rsidRPr="007A3AD7">
        <w:rPr>
          <w:rFonts w:ascii="Times New Roman" w:eastAsia="Calibri" w:hAnsi="Times New Roman" w:cs="Times New Roman"/>
          <w:szCs w:val="22"/>
          <w:lang w:val="sq-AL"/>
        </w:rPr>
        <w:t xml:space="preserve"> q</w:t>
      </w:r>
      <w:r w:rsidR="009A5A0E" w:rsidRPr="007A3AD7">
        <w:rPr>
          <w:rFonts w:ascii="Times New Roman" w:eastAsia="Calibri" w:hAnsi="Times New Roman" w:cs="Times New Roman"/>
          <w:szCs w:val="22"/>
          <w:lang w:val="sq-AL"/>
        </w:rPr>
        <w:t>ë</w:t>
      </w:r>
      <w:r w:rsidR="004C56F3" w:rsidRPr="007A3AD7">
        <w:rPr>
          <w:rFonts w:ascii="Times New Roman" w:eastAsia="Calibri" w:hAnsi="Times New Roman" w:cs="Times New Roman"/>
          <w:szCs w:val="22"/>
          <w:lang w:val="sq-AL"/>
        </w:rPr>
        <w:t xml:space="preserve"> t</w:t>
      </w:r>
      <w:r w:rsidR="009A5A0E" w:rsidRPr="007A3AD7">
        <w:rPr>
          <w:rFonts w:ascii="Times New Roman" w:eastAsia="Calibri" w:hAnsi="Times New Roman" w:cs="Times New Roman"/>
          <w:szCs w:val="22"/>
          <w:lang w:val="sq-AL"/>
        </w:rPr>
        <w:t>ë</w:t>
      </w:r>
      <w:r w:rsidR="004C56F3" w:rsidRPr="007A3AD7">
        <w:rPr>
          <w:rFonts w:ascii="Times New Roman" w:eastAsia="Calibri" w:hAnsi="Times New Roman" w:cs="Times New Roman"/>
          <w:szCs w:val="22"/>
          <w:lang w:val="sq-AL"/>
        </w:rPr>
        <w:t xml:space="preserve"> njihen </w:t>
      </w:r>
      <w:r w:rsidR="003432EB" w:rsidRPr="007A3AD7">
        <w:rPr>
          <w:rFonts w:ascii="Times New Roman" w:eastAsia="Calibri" w:hAnsi="Times New Roman" w:cs="Times New Roman"/>
          <w:szCs w:val="22"/>
          <w:lang w:val="sq-AL"/>
        </w:rPr>
        <w:t>mundësitë dhe alternativat që ekzistojnë në fushën e shërbimeve</w:t>
      </w:r>
      <w:r w:rsidR="004C56F3" w:rsidRPr="007A3AD7">
        <w:rPr>
          <w:rFonts w:ascii="Times New Roman" w:eastAsia="Calibri" w:hAnsi="Times New Roman" w:cs="Times New Roman"/>
          <w:szCs w:val="22"/>
          <w:lang w:val="sq-AL"/>
        </w:rPr>
        <w:t>.</w:t>
      </w:r>
      <w:r w:rsidR="003432EB" w:rsidRPr="007A3AD7">
        <w:rPr>
          <w:rFonts w:ascii="Times New Roman" w:eastAsia="Times New Roman" w:hAnsi="Times New Roman" w:cs="Times New Roman"/>
          <w:szCs w:val="22"/>
          <w:lang w:val="sq-AL"/>
        </w:rPr>
        <w:t xml:space="preserve"> </w:t>
      </w:r>
      <w:r w:rsidR="00974C05" w:rsidRPr="007A3AD7">
        <w:rPr>
          <w:rFonts w:ascii="Times New Roman" w:eastAsia="Times New Roman" w:hAnsi="Times New Roman" w:cs="Times New Roman"/>
          <w:szCs w:val="22"/>
          <w:lang w:val="sq-AL"/>
        </w:rPr>
        <w:t>Kujdes duhet p</w:t>
      </w:r>
      <w:r w:rsidR="009A5A0E" w:rsidRPr="007A3AD7">
        <w:rPr>
          <w:rFonts w:ascii="Times New Roman" w:eastAsia="Times New Roman" w:hAnsi="Times New Roman" w:cs="Times New Roman"/>
          <w:szCs w:val="22"/>
          <w:lang w:val="sq-AL"/>
        </w:rPr>
        <w:t>ë</w:t>
      </w:r>
      <w:r w:rsidR="00974C05" w:rsidRPr="007A3AD7">
        <w:rPr>
          <w:rFonts w:ascii="Times New Roman" w:eastAsia="Times New Roman" w:hAnsi="Times New Roman" w:cs="Times New Roman"/>
          <w:szCs w:val="22"/>
          <w:lang w:val="sq-AL"/>
        </w:rPr>
        <w:t xml:space="preserve">r kordinimin dhe </w:t>
      </w:r>
      <w:r w:rsidR="003432EB" w:rsidRPr="007A3AD7">
        <w:rPr>
          <w:rFonts w:ascii="Times New Roman" w:eastAsia="Calibri" w:hAnsi="Times New Roman" w:cs="Times New Roman"/>
          <w:szCs w:val="22"/>
          <w:lang w:val="sq-AL"/>
        </w:rPr>
        <w:t>bashkërendimin e punës me institucione</w:t>
      </w:r>
      <w:r w:rsidR="00974C05" w:rsidRPr="007A3AD7">
        <w:rPr>
          <w:rFonts w:ascii="Times New Roman" w:eastAsia="Calibri" w:hAnsi="Times New Roman" w:cs="Times New Roman"/>
          <w:szCs w:val="22"/>
          <w:lang w:val="sq-AL"/>
        </w:rPr>
        <w:t>t</w:t>
      </w:r>
      <w:r w:rsidR="003432EB" w:rsidRPr="007A3AD7">
        <w:rPr>
          <w:rFonts w:ascii="Times New Roman" w:eastAsia="Calibri" w:hAnsi="Times New Roman" w:cs="Times New Roman"/>
          <w:szCs w:val="22"/>
          <w:lang w:val="sq-AL"/>
        </w:rPr>
        <w:t xml:space="preserve"> lokale e rajonale, përgjegjëse për çështje të aftësisë së kufizuar</w:t>
      </w:r>
      <w:r w:rsidR="00974C05" w:rsidRPr="007A3AD7">
        <w:rPr>
          <w:rFonts w:ascii="Times New Roman" w:eastAsia="Calibri" w:hAnsi="Times New Roman" w:cs="Times New Roman"/>
          <w:szCs w:val="22"/>
          <w:lang w:val="sq-AL"/>
        </w:rPr>
        <w:t xml:space="preserve"> n</w:t>
      </w:r>
      <w:r w:rsidR="009A5A0E" w:rsidRPr="007A3AD7">
        <w:rPr>
          <w:rFonts w:ascii="Times New Roman" w:eastAsia="Calibri" w:hAnsi="Times New Roman" w:cs="Times New Roman"/>
          <w:szCs w:val="22"/>
          <w:lang w:val="sq-AL"/>
        </w:rPr>
        <w:t>ë</w:t>
      </w:r>
      <w:r w:rsidR="00974C05" w:rsidRPr="007A3AD7">
        <w:rPr>
          <w:rFonts w:ascii="Times New Roman" w:eastAsia="Calibri" w:hAnsi="Times New Roman" w:cs="Times New Roman"/>
          <w:szCs w:val="22"/>
          <w:lang w:val="sq-AL"/>
        </w:rPr>
        <w:t xml:space="preserve"> m</w:t>
      </w:r>
      <w:r w:rsidR="009A5A0E" w:rsidRPr="007A3AD7">
        <w:rPr>
          <w:rFonts w:ascii="Times New Roman" w:eastAsia="Calibri" w:hAnsi="Times New Roman" w:cs="Times New Roman"/>
          <w:szCs w:val="22"/>
          <w:lang w:val="sq-AL"/>
        </w:rPr>
        <w:t>ë</w:t>
      </w:r>
      <w:r w:rsidR="00974C05" w:rsidRPr="007A3AD7">
        <w:rPr>
          <w:rFonts w:ascii="Times New Roman" w:eastAsia="Calibri" w:hAnsi="Times New Roman" w:cs="Times New Roman"/>
          <w:szCs w:val="22"/>
          <w:lang w:val="sq-AL"/>
        </w:rPr>
        <w:t>nyr</w:t>
      </w:r>
      <w:r w:rsidR="009A5A0E" w:rsidRPr="007A3AD7">
        <w:rPr>
          <w:rFonts w:ascii="Times New Roman" w:eastAsia="Calibri" w:hAnsi="Times New Roman" w:cs="Times New Roman"/>
          <w:szCs w:val="22"/>
          <w:lang w:val="sq-AL"/>
        </w:rPr>
        <w:t>ë</w:t>
      </w:r>
      <w:r w:rsidR="00974C05" w:rsidRPr="007A3AD7">
        <w:rPr>
          <w:rFonts w:ascii="Times New Roman" w:eastAsia="Calibri" w:hAnsi="Times New Roman" w:cs="Times New Roman"/>
          <w:szCs w:val="22"/>
          <w:lang w:val="sq-AL"/>
        </w:rPr>
        <w:t xml:space="preserve"> q</w:t>
      </w:r>
      <w:r w:rsidR="009A5A0E" w:rsidRPr="007A3AD7">
        <w:rPr>
          <w:rFonts w:ascii="Times New Roman" w:eastAsia="Calibri" w:hAnsi="Times New Roman" w:cs="Times New Roman"/>
          <w:szCs w:val="22"/>
          <w:lang w:val="sq-AL"/>
        </w:rPr>
        <w:t>ë</w:t>
      </w:r>
      <w:r w:rsidR="00974C05" w:rsidRPr="007A3AD7">
        <w:rPr>
          <w:rFonts w:ascii="Times New Roman" w:eastAsia="Calibri" w:hAnsi="Times New Roman" w:cs="Times New Roman"/>
          <w:szCs w:val="22"/>
          <w:lang w:val="sq-AL"/>
        </w:rPr>
        <w:t xml:space="preserve"> t</w:t>
      </w:r>
      <w:r w:rsidR="009A5A0E" w:rsidRPr="007A3AD7">
        <w:rPr>
          <w:rFonts w:ascii="Times New Roman" w:eastAsia="Calibri" w:hAnsi="Times New Roman" w:cs="Times New Roman"/>
          <w:szCs w:val="22"/>
          <w:lang w:val="sq-AL"/>
        </w:rPr>
        <w:t>ë</w:t>
      </w:r>
      <w:r w:rsidR="00974C05" w:rsidRPr="007A3AD7">
        <w:rPr>
          <w:rFonts w:ascii="Times New Roman" w:eastAsia="Calibri" w:hAnsi="Times New Roman" w:cs="Times New Roman"/>
          <w:szCs w:val="22"/>
          <w:lang w:val="sq-AL"/>
        </w:rPr>
        <w:t xml:space="preserve"> leht</w:t>
      </w:r>
      <w:r w:rsidR="009A5A0E" w:rsidRPr="007A3AD7">
        <w:rPr>
          <w:rFonts w:ascii="Times New Roman" w:eastAsia="Calibri" w:hAnsi="Times New Roman" w:cs="Times New Roman"/>
          <w:szCs w:val="22"/>
          <w:lang w:val="sq-AL"/>
        </w:rPr>
        <w:t>ë</w:t>
      </w:r>
      <w:r w:rsidR="00974C05" w:rsidRPr="007A3AD7">
        <w:rPr>
          <w:rFonts w:ascii="Times New Roman" w:eastAsia="Calibri" w:hAnsi="Times New Roman" w:cs="Times New Roman"/>
          <w:szCs w:val="22"/>
          <w:lang w:val="sq-AL"/>
        </w:rPr>
        <w:t>sohet</w:t>
      </w:r>
      <w:r w:rsidR="003432EB" w:rsidRPr="007A3AD7">
        <w:rPr>
          <w:rFonts w:ascii="Times New Roman" w:eastAsia="Calibri" w:hAnsi="Times New Roman" w:cs="Times New Roman"/>
          <w:szCs w:val="22"/>
          <w:lang w:val="sq-AL"/>
        </w:rPr>
        <w:t xml:space="preserve"> proçesi</w:t>
      </w:r>
      <w:r w:rsidR="00974C05" w:rsidRPr="007A3AD7">
        <w:rPr>
          <w:rFonts w:ascii="Times New Roman" w:eastAsia="Calibri" w:hAnsi="Times New Roman" w:cs="Times New Roman"/>
          <w:szCs w:val="22"/>
          <w:lang w:val="sq-AL"/>
        </w:rPr>
        <w:t xml:space="preserve"> i</w:t>
      </w:r>
      <w:r w:rsidR="003432EB" w:rsidRPr="007A3AD7">
        <w:rPr>
          <w:rFonts w:ascii="Times New Roman" w:eastAsia="Calibri" w:hAnsi="Times New Roman" w:cs="Times New Roman"/>
          <w:szCs w:val="22"/>
          <w:lang w:val="sq-AL"/>
        </w:rPr>
        <w:t xml:space="preserve"> menaxhimit të rastit</w:t>
      </w:r>
      <w:r w:rsidR="00476884" w:rsidRPr="007A3AD7">
        <w:rPr>
          <w:rFonts w:ascii="Times New Roman" w:eastAsia="Calibri" w:hAnsi="Times New Roman" w:cs="Times New Roman"/>
          <w:szCs w:val="22"/>
          <w:lang w:val="sq-AL"/>
        </w:rPr>
        <w:t xml:space="preserve"> n</w:t>
      </w:r>
      <w:r w:rsidR="009A5A0E" w:rsidRPr="007A3AD7">
        <w:rPr>
          <w:rFonts w:ascii="Times New Roman" w:eastAsia="Calibri" w:hAnsi="Times New Roman" w:cs="Times New Roman"/>
          <w:szCs w:val="22"/>
          <w:lang w:val="sq-AL"/>
        </w:rPr>
        <w:t>ë</w:t>
      </w:r>
      <w:r w:rsidR="00476884" w:rsidRPr="007A3AD7">
        <w:rPr>
          <w:rFonts w:ascii="Times New Roman" w:eastAsia="Calibri" w:hAnsi="Times New Roman" w:cs="Times New Roman"/>
          <w:szCs w:val="22"/>
          <w:lang w:val="sq-AL"/>
        </w:rPr>
        <w:t>p</w:t>
      </w:r>
      <w:r w:rsidR="009A5A0E" w:rsidRPr="007A3AD7">
        <w:rPr>
          <w:rFonts w:ascii="Times New Roman" w:eastAsia="Calibri" w:hAnsi="Times New Roman" w:cs="Times New Roman"/>
          <w:szCs w:val="22"/>
          <w:lang w:val="sq-AL"/>
        </w:rPr>
        <w:t>ë</w:t>
      </w:r>
      <w:r w:rsidR="00476884" w:rsidRPr="007A3AD7">
        <w:rPr>
          <w:rFonts w:ascii="Times New Roman" w:eastAsia="Calibri" w:hAnsi="Times New Roman" w:cs="Times New Roman"/>
          <w:szCs w:val="22"/>
          <w:lang w:val="sq-AL"/>
        </w:rPr>
        <w:t>rmjet nj</w:t>
      </w:r>
      <w:r w:rsidR="009A5A0E" w:rsidRPr="007A3AD7">
        <w:rPr>
          <w:rFonts w:ascii="Times New Roman" w:eastAsia="Calibri" w:hAnsi="Times New Roman" w:cs="Times New Roman"/>
          <w:szCs w:val="22"/>
          <w:lang w:val="sq-AL"/>
        </w:rPr>
        <w:t>ë</w:t>
      </w:r>
      <w:r w:rsidR="00476884" w:rsidRPr="007A3AD7">
        <w:rPr>
          <w:rFonts w:ascii="Times New Roman" w:eastAsia="Calibri" w:hAnsi="Times New Roman" w:cs="Times New Roman"/>
          <w:szCs w:val="22"/>
          <w:lang w:val="sq-AL"/>
        </w:rPr>
        <w:t xml:space="preserve"> rrjeti efikas bashk</w:t>
      </w:r>
      <w:r w:rsidR="009A5A0E" w:rsidRPr="007A3AD7">
        <w:rPr>
          <w:rFonts w:ascii="Times New Roman" w:eastAsia="Calibri" w:hAnsi="Times New Roman" w:cs="Times New Roman"/>
          <w:szCs w:val="22"/>
          <w:lang w:val="sq-AL"/>
        </w:rPr>
        <w:t>ë</w:t>
      </w:r>
      <w:r w:rsidR="00476884" w:rsidRPr="007A3AD7">
        <w:rPr>
          <w:rFonts w:ascii="Times New Roman" w:eastAsia="Calibri" w:hAnsi="Times New Roman" w:cs="Times New Roman"/>
          <w:szCs w:val="22"/>
          <w:lang w:val="sq-AL"/>
        </w:rPr>
        <w:t xml:space="preserve">punimi </w:t>
      </w:r>
      <w:r w:rsidR="003432EB" w:rsidRPr="007A3AD7">
        <w:rPr>
          <w:rFonts w:ascii="Times New Roman" w:eastAsia="Calibri" w:hAnsi="Times New Roman" w:cs="Times New Roman"/>
          <w:szCs w:val="22"/>
          <w:lang w:val="sq-AL"/>
        </w:rPr>
        <w:t xml:space="preserve"> </w:t>
      </w:r>
      <w:r w:rsidR="00476884" w:rsidRPr="007A3AD7">
        <w:rPr>
          <w:rFonts w:ascii="Times New Roman" w:eastAsia="Calibri" w:hAnsi="Times New Roman" w:cs="Times New Roman"/>
          <w:szCs w:val="22"/>
          <w:lang w:val="sq-AL"/>
        </w:rPr>
        <w:t>q</w:t>
      </w:r>
      <w:r w:rsidR="009A5A0E" w:rsidRPr="007A3AD7">
        <w:rPr>
          <w:rFonts w:ascii="Times New Roman" w:eastAsia="Calibri" w:hAnsi="Times New Roman" w:cs="Times New Roman"/>
          <w:szCs w:val="22"/>
          <w:lang w:val="sq-AL"/>
        </w:rPr>
        <w:t>ë</w:t>
      </w:r>
      <w:r w:rsidR="00476884" w:rsidRPr="007A3AD7">
        <w:rPr>
          <w:rFonts w:ascii="Times New Roman" w:eastAsia="Calibri" w:hAnsi="Times New Roman" w:cs="Times New Roman"/>
          <w:szCs w:val="22"/>
          <w:lang w:val="sq-AL"/>
        </w:rPr>
        <w:t xml:space="preserve"> adreson </w:t>
      </w:r>
      <w:r w:rsidR="00AB4D37">
        <w:rPr>
          <w:rFonts w:ascii="Times New Roman" w:eastAsia="Calibri" w:hAnsi="Times New Roman" w:cs="Times New Roman"/>
          <w:szCs w:val="22"/>
          <w:lang w:val="sq-AL"/>
        </w:rPr>
        <w:t>çdo</w:t>
      </w:r>
      <w:r w:rsidR="00476884" w:rsidRPr="007A3AD7">
        <w:rPr>
          <w:rFonts w:ascii="Times New Roman" w:eastAsia="Calibri" w:hAnsi="Times New Roman" w:cs="Times New Roman"/>
          <w:szCs w:val="22"/>
          <w:lang w:val="sq-AL"/>
        </w:rPr>
        <w:t xml:space="preserve"> aspekt</w:t>
      </w:r>
      <w:r w:rsidR="003432EB" w:rsidRPr="007A3AD7">
        <w:rPr>
          <w:rFonts w:ascii="Times New Roman" w:eastAsia="Calibri" w:hAnsi="Times New Roman" w:cs="Times New Roman"/>
          <w:szCs w:val="22"/>
          <w:lang w:val="sq-AL"/>
        </w:rPr>
        <w:t xml:space="preserve"> (arsimi, shëndetësia, punësimi, formimi profesional, shërbimet sociale, strehimi, transporti dhe infrastruktura, organizatat që ofrojnë shërbime dhe organizata të personave me aftësi të kufizuara</w:t>
      </w:r>
      <w:r w:rsidR="00476884" w:rsidRPr="007A3AD7">
        <w:rPr>
          <w:rFonts w:ascii="Times New Roman" w:eastAsia="Calibri" w:hAnsi="Times New Roman" w:cs="Times New Roman"/>
          <w:szCs w:val="22"/>
          <w:lang w:val="sq-AL"/>
        </w:rPr>
        <w:t xml:space="preserve">). </w:t>
      </w:r>
    </w:p>
    <w:p w14:paraId="72829A48" w14:textId="77777777" w:rsidR="003432EB" w:rsidRPr="007A3AD7" w:rsidRDefault="003432EB" w:rsidP="003432EB">
      <w:pPr>
        <w:rPr>
          <w:rFonts w:ascii="Times New Roman" w:hAnsi="Times New Roman" w:cs="Times New Roman"/>
          <w:szCs w:val="22"/>
          <w:lang w:val="sq-AL"/>
        </w:rPr>
      </w:pPr>
    </w:p>
    <w:p w14:paraId="1765A788" w14:textId="0F297485" w:rsidR="003432EB" w:rsidRPr="00984EF8" w:rsidRDefault="003432EB" w:rsidP="00984EF8">
      <w:pPr>
        <w:pStyle w:val="Normal0"/>
        <w:rPr>
          <w:color w:val="4472C4" w:themeColor="accent1"/>
          <w:lang w:val="sq-AL"/>
        </w:rPr>
      </w:pPr>
      <w:bookmarkStart w:id="62" w:name="_Toc150809637"/>
      <w:r w:rsidRPr="00984EF8">
        <w:rPr>
          <w:color w:val="4472C4" w:themeColor="accent1"/>
          <w:lang w:val="sq-AL"/>
        </w:rPr>
        <w:t>Nxitja dhe mbështetja e shërbimit në familje për moshën e tretë.</w:t>
      </w:r>
      <w:bookmarkEnd w:id="62"/>
      <w:r w:rsidRPr="00984EF8">
        <w:rPr>
          <w:color w:val="4472C4" w:themeColor="accent1"/>
          <w:lang w:val="sq-AL"/>
        </w:rPr>
        <w:t xml:space="preserve"> </w:t>
      </w:r>
    </w:p>
    <w:p w14:paraId="08B044AA" w14:textId="77777777" w:rsidR="009479B7" w:rsidRPr="007A3AD7" w:rsidRDefault="009479B7" w:rsidP="003432EB">
      <w:pPr>
        <w:shd w:val="clear" w:color="auto" w:fill="FFFFFF"/>
        <w:rPr>
          <w:rFonts w:ascii="Times New Roman" w:eastAsia="Times New Roman" w:hAnsi="Times New Roman" w:cs="Times New Roman"/>
          <w:szCs w:val="22"/>
          <w:lang w:val="sq-AL"/>
        </w:rPr>
      </w:pPr>
    </w:p>
    <w:p w14:paraId="4719D265" w14:textId="40E701F9" w:rsidR="009479B7" w:rsidRPr="007A3AD7" w:rsidRDefault="009479B7" w:rsidP="009479B7">
      <w:pPr>
        <w:shd w:val="clear" w:color="auto" w:fill="FFFFFF"/>
        <w:rPr>
          <w:rFonts w:ascii="Times New Roman" w:eastAsia="Times New Roman" w:hAnsi="Times New Roman" w:cs="Times New Roman"/>
          <w:szCs w:val="22"/>
          <w:lang w:val="sq-AL"/>
        </w:rPr>
      </w:pPr>
      <w:r w:rsidRPr="007A3AD7">
        <w:rPr>
          <w:rFonts w:ascii="Times New Roman" w:eastAsia="Times New Roman" w:hAnsi="Times New Roman" w:cs="Times New Roman"/>
          <w:szCs w:val="22"/>
          <w:lang w:val="sq-AL"/>
        </w:rPr>
        <w:t>Në kuadrin e moshimit të popullisë, trajtimi i nevojave të kujdesit afatgjatë mbetet një sfidë kyçe për shumë vende p</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rfshir</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 xml:space="preserve"> edhe Shqip</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rin</w:t>
      </w:r>
      <w:r w:rsidR="009A5A0E" w:rsidRPr="007A3AD7">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 xml:space="preserve">. </w:t>
      </w:r>
      <w:r w:rsidR="00161124" w:rsidRPr="007A3AD7">
        <w:rPr>
          <w:rFonts w:ascii="Times New Roman" w:eastAsia="Times New Roman" w:hAnsi="Times New Roman" w:cs="Times New Roman"/>
          <w:szCs w:val="22"/>
          <w:lang w:val="sq-AL"/>
        </w:rPr>
        <w:t>Duke vler</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suar pamjaftueshm</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rin</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 xml:space="preserve"> e sh</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rbimeve p</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r mosh</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n e tret</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 nj</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 xml:space="preserve"> vemendje e posacme p</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r k</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t</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 xml:space="preserve"> kategori do t</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 xml:space="preserve"> kushtohet p</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r vitet n</w:t>
      </w:r>
      <w:r w:rsidR="009A5A0E" w:rsidRPr="007A3AD7">
        <w:rPr>
          <w:rFonts w:ascii="Times New Roman" w:eastAsia="Times New Roman" w:hAnsi="Times New Roman" w:cs="Times New Roman"/>
          <w:szCs w:val="22"/>
          <w:lang w:val="sq-AL"/>
        </w:rPr>
        <w:t>ë</w:t>
      </w:r>
      <w:r w:rsidR="00161124" w:rsidRPr="007A3AD7">
        <w:rPr>
          <w:rFonts w:ascii="Times New Roman" w:eastAsia="Times New Roman" w:hAnsi="Times New Roman" w:cs="Times New Roman"/>
          <w:szCs w:val="22"/>
          <w:lang w:val="sq-AL"/>
        </w:rPr>
        <w:t xml:space="preserve"> vijim </w:t>
      </w:r>
      <w:r w:rsidRPr="007A3AD7">
        <w:rPr>
          <w:rFonts w:ascii="Times New Roman" w:eastAsia="Times New Roman" w:hAnsi="Times New Roman" w:cs="Times New Roman"/>
          <w:szCs w:val="22"/>
          <w:lang w:val="sq-AL"/>
        </w:rPr>
        <w:t>me qëllim parandalimin e varfërisë dhe vulnerabiliteti</w:t>
      </w:r>
      <w:r w:rsidR="00E2177F" w:rsidRPr="007A3AD7">
        <w:rPr>
          <w:rFonts w:ascii="Times New Roman" w:eastAsia="Times New Roman" w:hAnsi="Times New Roman" w:cs="Times New Roman"/>
          <w:szCs w:val="22"/>
          <w:lang w:val="sq-AL"/>
        </w:rPr>
        <w:t>t</w:t>
      </w:r>
      <w:r w:rsidRPr="007A3AD7">
        <w:rPr>
          <w:rFonts w:ascii="Times New Roman" w:eastAsia="Times New Roman" w:hAnsi="Times New Roman" w:cs="Times New Roman"/>
          <w:szCs w:val="22"/>
          <w:lang w:val="sq-AL"/>
        </w:rPr>
        <w:t xml:space="preserve"> tek të moshuarit.</w:t>
      </w:r>
    </w:p>
    <w:p w14:paraId="0C77FC7D" w14:textId="1F250443" w:rsidR="003432EB" w:rsidRPr="007A3AD7" w:rsidRDefault="00161124" w:rsidP="003432EB">
      <w:pPr>
        <w:shd w:val="clear" w:color="auto" w:fill="FFFFFF"/>
        <w:rPr>
          <w:rFonts w:ascii="Times New Roman" w:eastAsia="Times New Roman" w:hAnsi="Times New Roman" w:cs="Times New Roman"/>
          <w:szCs w:val="22"/>
          <w:lang w:val="sq-AL"/>
        </w:rPr>
      </w:pPr>
      <w:r w:rsidRPr="007A3AD7">
        <w:rPr>
          <w:rFonts w:ascii="Times New Roman" w:eastAsia="Times New Roman" w:hAnsi="Times New Roman" w:cs="Times New Roman"/>
          <w:szCs w:val="22"/>
          <w:lang w:val="sq-AL"/>
        </w:rPr>
        <w:t>Kujdesi</w:t>
      </w:r>
      <w:r w:rsidR="003432EB" w:rsidRPr="007A3AD7">
        <w:rPr>
          <w:rFonts w:ascii="Times New Roman" w:eastAsia="Times New Roman" w:hAnsi="Times New Roman" w:cs="Times New Roman"/>
          <w:szCs w:val="22"/>
          <w:lang w:val="sq-AL"/>
        </w:rPr>
        <w:t xml:space="preserve"> afatgjatë për të moshuarit </w:t>
      </w:r>
      <w:r w:rsidR="00E2177F" w:rsidRPr="007A3AD7">
        <w:rPr>
          <w:rFonts w:ascii="Times New Roman" w:eastAsia="Times New Roman" w:hAnsi="Times New Roman" w:cs="Times New Roman"/>
          <w:szCs w:val="22"/>
          <w:lang w:val="sq-AL"/>
        </w:rPr>
        <w:t>do</w:t>
      </w:r>
      <w:r w:rsidR="003432EB" w:rsidRPr="007A3AD7">
        <w:rPr>
          <w:rFonts w:ascii="Times New Roman" w:eastAsia="Times New Roman" w:hAnsi="Times New Roman" w:cs="Times New Roman"/>
          <w:szCs w:val="22"/>
          <w:lang w:val="sq-AL"/>
        </w:rPr>
        <w:t xml:space="preserve"> të ofrohet përmes: </w:t>
      </w:r>
      <w:r w:rsidRPr="007A3AD7">
        <w:rPr>
          <w:rFonts w:ascii="Times New Roman" w:eastAsia="Times New Roman" w:hAnsi="Times New Roman" w:cs="Times New Roman"/>
          <w:szCs w:val="22"/>
          <w:lang w:val="sq-AL"/>
        </w:rPr>
        <w:t>s</w:t>
      </w:r>
      <w:r w:rsidR="003432EB" w:rsidRPr="007A3AD7">
        <w:rPr>
          <w:rFonts w:ascii="Times New Roman" w:eastAsia="Times New Roman" w:hAnsi="Times New Roman" w:cs="Times New Roman"/>
          <w:szCs w:val="22"/>
          <w:lang w:val="sq-AL"/>
        </w:rPr>
        <w:t>hërbimeve komunitare</w:t>
      </w:r>
      <w:r w:rsidRPr="007A3AD7">
        <w:rPr>
          <w:rFonts w:ascii="Times New Roman" w:eastAsia="Times New Roman" w:hAnsi="Times New Roman" w:cs="Times New Roman"/>
          <w:szCs w:val="22"/>
          <w:lang w:val="sq-AL"/>
        </w:rPr>
        <w:t>,</w:t>
      </w:r>
      <w:r w:rsidR="003432EB" w:rsidRPr="007A3AD7">
        <w:rPr>
          <w:rFonts w:ascii="Times New Roman" w:eastAsia="Times New Roman" w:hAnsi="Times New Roman" w:cs="Times New Roman"/>
          <w:szCs w:val="22"/>
          <w:lang w:val="sq-AL"/>
        </w:rPr>
        <w:t xml:space="preserve"> </w:t>
      </w:r>
      <w:r w:rsidRPr="007A3AD7">
        <w:rPr>
          <w:rFonts w:ascii="Times New Roman" w:eastAsia="Times New Roman" w:hAnsi="Times New Roman" w:cs="Times New Roman"/>
          <w:szCs w:val="22"/>
          <w:lang w:val="sq-AL"/>
        </w:rPr>
        <w:t>s</w:t>
      </w:r>
      <w:r w:rsidR="003432EB" w:rsidRPr="007A3AD7">
        <w:rPr>
          <w:rFonts w:ascii="Times New Roman" w:eastAsia="Times New Roman" w:hAnsi="Times New Roman" w:cs="Times New Roman"/>
          <w:szCs w:val="22"/>
          <w:lang w:val="sq-AL"/>
        </w:rPr>
        <w:t xml:space="preserve">hërbimeve të integruara sociale dhe shëndetësore, </w:t>
      </w:r>
      <w:r w:rsidRPr="007A3AD7">
        <w:rPr>
          <w:rFonts w:ascii="Times New Roman" w:eastAsia="Times New Roman" w:hAnsi="Times New Roman" w:cs="Times New Roman"/>
          <w:szCs w:val="22"/>
          <w:lang w:val="sq-AL"/>
        </w:rPr>
        <w:t>q</w:t>
      </w:r>
      <w:r w:rsidR="003432EB" w:rsidRPr="007A3AD7">
        <w:rPr>
          <w:rFonts w:ascii="Times New Roman" w:eastAsia="Times New Roman" w:hAnsi="Times New Roman" w:cs="Times New Roman"/>
          <w:szCs w:val="22"/>
          <w:lang w:val="sq-AL"/>
        </w:rPr>
        <w:t>endra</w:t>
      </w:r>
      <w:r w:rsidRPr="007A3AD7">
        <w:rPr>
          <w:rFonts w:ascii="Times New Roman" w:eastAsia="Times New Roman" w:hAnsi="Times New Roman" w:cs="Times New Roman"/>
          <w:szCs w:val="22"/>
          <w:lang w:val="sq-AL"/>
        </w:rPr>
        <w:t>ve</w:t>
      </w:r>
      <w:r w:rsidR="003432EB" w:rsidRPr="007A3AD7">
        <w:rPr>
          <w:rFonts w:ascii="Times New Roman" w:eastAsia="Times New Roman" w:hAnsi="Times New Roman" w:cs="Times New Roman"/>
          <w:szCs w:val="22"/>
          <w:lang w:val="sq-AL"/>
        </w:rPr>
        <w:t xml:space="preserve"> ditore, </w:t>
      </w:r>
      <w:r w:rsidRPr="007A3AD7">
        <w:rPr>
          <w:rFonts w:ascii="Times New Roman" w:eastAsia="Times New Roman" w:hAnsi="Times New Roman" w:cs="Times New Roman"/>
          <w:szCs w:val="22"/>
          <w:lang w:val="sq-AL"/>
        </w:rPr>
        <w:t>v</w:t>
      </w:r>
      <w:r w:rsidR="003432EB" w:rsidRPr="007A3AD7">
        <w:rPr>
          <w:rFonts w:ascii="Times New Roman" w:eastAsia="Times New Roman" w:hAnsi="Times New Roman" w:cs="Times New Roman"/>
          <w:szCs w:val="22"/>
          <w:lang w:val="sq-AL"/>
        </w:rPr>
        <w:t xml:space="preserve">izitave të infermiereve dhe kujdestarëve profesionale; </w:t>
      </w:r>
      <w:r w:rsidRPr="007A3AD7">
        <w:rPr>
          <w:rFonts w:ascii="Times New Roman" w:eastAsia="Times New Roman" w:hAnsi="Times New Roman" w:cs="Times New Roman"/>
          <w:szCs w:val="22"/>
          <w:lang w:val="sq-AL"/>
        </w:rPr>
        <w:t>s</w:t>
      </w:r>
      <w:r w:rsidR="003432EB" w:rsidRPr="007A3AD7">
        <w:rPr>
          <w:rFonts w:ascii="Times New Roman" w:eastAsia="Times New Roman" w:hAnsi="Times New Roman" w:cs="Times New Roman"/>
          <w:szCs w:val="22"/>
          <w:lang w:val="sq-AL"/>
        </w:rPr>
        <w:t>hërbime të bazuara në shtëpi</w:t>
      </w:r>
      <w:r w:rsidRPr="007A3AD7">
        <w:rPr>
          <w:rFonts w:ascii="Times New Roman" w:eastAsia="Times New Roman" w:hAnsi="Times New Roman" w:cs="Times New Roman"/>
          <w:szCs w:val="22"/>
          <w:lang w:val="sq-AL"/>
        </w:rPr>
        <w:t>,</w:t>
      </w:r>
      <w:r w:rsidR="003432EB" w:rsidRPr="007A3AD7">
        <w:rPr>
          <w:rFonts w:ascii="Times New Roman" w:eastAsia="Times New Roman" w:hAnsi="Times New Roman" w:cs="Times New Roman"/>
          <w:szCs w:val="22"/>
          <w:lang w:val="sq-AL"/>
        </w:rPr>
        <w:t xml:space="preserve"> </w:t>
      </w:r>
      <w:r w:rsidRPr="007A3AD7">
        <w:rPr>
          <w:rFonts w:ascii="Times New Roman" w:eastAsia="Times New Roman" w:hAnsi="Times New Roman" w:cs="Times New Roman"/>
          <w:szCs w:val="22"/>
          <w:lang w:val="sq-AL"/>
        </w:rPr>
        <w:t>n</w:t>
      </w:r>
      <w:r w:rsidR="003432EB" w:rsidRPr="007A3AD7">
        <w:rPr>
          <w:rFonts w:ascii="Times New Roman" w:eastAsia="Times New Roman" w:hAnsi="Times New Roman" w:cs="Times New Roman"/>
          <w:szCs w:val="22"/>
          <w:lang w:val="sq-AL"/>
        </w:rPr>
        <w:t xml:space="preserve">dihmë në shtëpi, </w:t>
      </w:r>
      <w:r w:rsidRPr="007A3AD7">
        <w:rPr>
          <w:rFonts w:ascii="Times New Roman" w:eastAsia="Times New Roman" w:hAnsi="Times New Roman" w:cs="Times New Roman"/>
          <w:szCs w:val="22"/>
          <w:lang w:val="sq-AL"/>
        </w:rPr>
        <w:t>p</w:t>
      </w:r>
      <w:r w:rsidR="003432EB" w:rsidRPr="007A3AD7">
        <w:rPr>
          <w:rFonts w:ascii="Times New Roman" w:eastAsia="Times New Roman" w:hAnsi="Times New Roman" w:cs="Times New Roman"/>
          <w:szCs w:val="22"/>
          <w:lang w:val="sq-AL"/>
        </w:rPr>
        <w:t xml:space="preserve">ërfitimet në para për kujdestarët, </w:t>
      </w:r>
      <w:r w:rsidRPr="007A3AD7">
        <w:rPr>
          <w:rFonts w:ascii="Times New Roman" w:eastAsia="Times New Roman" w:hAnsi="Times New Roman" w:cs="Times New Roman"/>
          <w:szCs w:val="22"/>
          <w:lang w:val="sq-AL"/>
        </w:rPr>
        <w:t>g</w:t>
      </w:r>
      <w:r w:rsidR="003432EB" w:rsidRPr="007A3AD7">
        <w:rPr>
          <w:rFonts w:ascii="Times New Roman" w:eastAsia="Times New Roman" w:hAnsi="Times New Roman" w:cs="Times New Roman"/>
          <w:szCs w:val="22"/>
          <w:lang w:val="sq-AL"/>
        </w:rPr>
        <w:t xml:space="preserve">rupet mbështetëse për kujdestarët; </w:t>
      </w:r>
      <w:r w:rsidRPr="007A3AD7">
        <w:rPr>
          <w:rFonts w:ascii="Times New Roman" w:eastAsia="Times New Roman" w:hAnsi="Times New Roman" w:cs="Times New Roman"/>
          <w:szCs w:val="22"/>
          <w:lang w:val="sq-AL"/>
        </w:rPr>
        <w:t>k</w:t>
      </w:r>
      <w:r w:rsidR="003432EB" w:rsidRPr="007A3AD7">
        <w:rPr>
          <w:rFonts w:ascii="Times New Roman" w:eastAsia="Times New Roman" w:hAnsi="Times New Roman" w:cs="Times New Roman"/>
          <w:szCs w:val="22"/>
          <w:lang w:val="sq-AL"/>
        </w:rPr>
        <w:t xml:space="preserve">ujdes institucional më pak intensiv; </w:t>
      </w:r>
      <w:r w:rsidRPr="007A3AD7">
        <w:rPr>
          <w:rFonts w:ascii="Times New Roman" w:eastAsia="Times New Roman" w:hAnsi="Times New Roman" w:cs="Times New Roman"/>
          <w:szCs w:val="22"/>
          <w:lang w:val="sq-AL"/>
        </w:rPr>
        <w:t>k</w:t>
      </w:r>
      <w:r w:rsidR="003432EB" w:rsidRPr="007A3AD7">
        <w:rPr>
          <w:rFonts w:ascii="Times New Roman" w:eastAsia="Times New Roman" w:hAnsi="Times New Roman" w:cs="Times New Roman"/>
          <w:szCs w:val="22"/>
          <w:lang w:val="sq-AL"/>
        </w:rPr>
        <w:t>ujdesi intensiv institucional.  N</w:t>
      </w:r>
      <w:r w:rsidR="003432EB" w:rsidRPr="007A3AD7">
        <w:rPr>
          <w:rFonts w:ascii="Times New Roman" w:hAnsi="Times New Roman" w:cs="Times New Roman"/>
          <w:szCs w:val="22"/>
          <w:lang w:val="sq-AL"/>
        </w:rPr>
        <w:t xml:space="preserve">ë ofrimin e shërbimeve për moshën e tretë, </w:t>
      </w:r>
      <w:r w:rsidRPr="007A3AD7">
        <w:rPr>
          <w:rFonts w:ascii="Times New Roman" w:hAnsi="Times New Roman" w:cs="Times New Roman"/>
          <w:szCs w:val="22"/>
          <w:lang w:val="sq-AL"/>
        </w:rPr>
        <w:t>do t</w:t>
      </w:r>
      <w:r w:rsidR="009A5A0E" w:rsidRPr="007A3AD7">
        <w:rPr>
          <w:rFonts w:ascii="Times New Roman" w:hAnsi="Times New Roman" w:cs="Times New Roman"/>
          <w:szCs w:val="22"/>
          <w:lang w:val="sq-AL"/>
        </w:rPr>
        <w:t>ë</w:t>
      </w:r>
      <w:r w:rsidRPr="007A3AD7">
        <w:rPr>
          <w:rFonts w:ascii="Times New Roman" w:hAnsi="Times New Roman" w:cs="Times New Roman"/>
          <w:szCs w:val="22"/>
          <w:lang w:val="sq-AL"/>
        </w:rPr>
        <w:t xml:space="preserve"> mbahen</w:t>
      </w:r>
      <w:r w:rsidR="003432EB" w:rsidRPr="007A3AD7">
        <w:rPr>
          <w:rFonts w:ascii="Times New Roman" w:hAnsi="Times New Roman" w:cs="Times New Roman"/>
          <w:szCs w:val="22"/>
          <w:lang w:val="sq-AL"/>
        </w:rPr>
        <w:t xml:space="preserve"> në konsideratë diferencat gjinore mes grave dhe burrave të moshuar, duke ofruar shërbime që i përshtaten nevojave specifike të tyre. </w:t>
      </w:r>
    </w:p>
    <w:p w14:paraId="1E8EF276" w14:textId="64970E36" w:rsidR="00D3766D" w:rsidRPr="007A3AD7" w:rsidRDefault="003432EB" w:rsidP="00653662">
      <w:pPr>
        <w:shd w:val="clear" w:color="auto" w:fill="FFFFFF"/>
        <w:rPr>
          <w:rFonts w:ascii="Times New Roman" w:eastAsia="Times New Roman" w:hAnsi="Times New Roman" w:cs="Times New Roman"/>
          <w:szCs w:val="22"/>
          <w:lang w:val="sq-AL"/>
        </w:rPr>
      </w:pPr>
      <w:r w:rsidRPr="007A3AD7">
        <w:rPr>
          <w:rFonts w:ascii="Times New Roman" w:eastAsia="Times New Roman" w:hAnsi="Times New Roman" w:cs="Times New Roman"/>
          <w:szCs w:val="22"/>
          <w:lang w:val="sq-AL"/>
        </w:rPr>
        <w:t xml:space="preserve">Ofrimi i shërbimeve cilësore të kujdesit afatgjatë </w:t>
      </w:r>
      <w:r w:rsidR="00E2177F" w:rsidRPr="007A3AD7">
        <w:rPr>
          <w:rFonts w:ascii="Times New Roman" w:eastAsia="Times New Roman" w:hAnsi="Times New Roman" w:cs="Times New Roman"/>
          <w:szCs w:val="22"/>
          <w:lang w:val="sq-AL"/>
        </w:rPr>
        <w:t>do</w:t>
      </w:r>
      <w:r w:rsidRPr="007A3AD7">
        <w:rPr>
          <w:rFonts w:ascii="Times New Roman" w:eastAsia="Times New Roman" w:hAnsi="Times New Roman" w:cs="Times New Roman"/>
          <w:szCs w:val="22"/>
          <w:lang w:val="sq-AL"/>
        </w:rPr>
        <w:t xml:space="preserve"> të synojë të rrisë mirëqenien e të moshuarve, ndërsa mbështe</w:t>
      </w:r>
      <w:r w:rsidR="00E2177F" w:rsidRPr="007A3AD7">
        <w:rPr>
          <w:rFonts w:ascii="Times New Roman" w:eastAsia="Times New Roman" w:hAnsi="Times New Roman" w:cs="Times New Roman"/>
          <w:szCs w:val="22"/>
          <w:lang w:val="sq-AL"/>
        </w:rPr>
        <w:t>ten</w:t>
      </w:r>
      <w:r w:rsidRPr="007A3AD7">
        <w:rPr>
          <w:rFonts w:ascii="Times New Roman" w:eastAsia="Times New Roman" w:hAnsi="Times New Roman" w:cs="Times New Roman"/>
          <w:szCs w:val="22"/>
          <w:lang w:val="sq-AL"/>
        </w:rPr>
        <w:t xml:space="preserve"> familjet dhe zhvendos</w:t>
      </w:r>
      <w:r w:rsidR="00E2177F" w:rsidRPr="007A3AD7">
        <w:rPr>
          <w:rFonts w:ascii="Times New Roman" w:eastAsia="Times New Roman" w:hAnsi="Times New Roman" w:cs="Times New Roman"/>
          <w:szCs w:val="22"/>
          <w:lang w:val="sq-AL"/>
        </w:rPr>
        <w:t>en</w:t>
      </w:r>
      <w:r w:rsidRPr="007A3AD7">
        <w:rPr>
          <w:rFonts w:ascii="Times New Roman" w:eastAsia="Times New Roman" w:hAnsi="Times New Roman" w:cs="Times New Roman"/>
          <w:szCs w:val="22"/>
          <w:lang w:val="sq-AL"/>
        </w:rPr>
        <w:t xml:space="preserve"> përgjegjësitë nga kujdestarët e papaguar të familjes tek punëtorët e kualifikuar, </w:t>
      </w:r>
      <w:r w:rsidR="00E2177F" w:rsidRPr="007A3AD7">
        <w:rPr>
          <w:rFonts w:ascii="Times New Roman" w:eastAsia="Times New Roman" w:hAnsi="Times New Roman" w:cs="Times New Roman"/>
          <w:szCs w:val="22"/>
          <w:lang w:val="sq-AL"/>
        </w:rPr>
        <w:t>t</w:t>
      </w:r>
      <w:r w:rsidR="00E9006B">
        <w:rPr>
          <w:rFonts w:ascii="Times New Roman" w:eastAsia="Times New Roman" w:hAnsi="Times New Roman" w:cs="Times New Roman"/>
          <w:szCs w:val="22"/>
          <w:lang w:val="sq-AL"/>
        </w:rPr>
        <w:t>ë</w:t>
      </w:r>
      <w:r w:rsidR="00E2177F" w:rsidRPr="007A3AD7">
        <w:rPr>
          <w:rFonts w:ascii="Times New Roman" w:eastAsia="Times New Roman" w:hAnsi="Times New Roman" w:cs="Times New Roman"/>
          <w:szCs w:val="22"/>
          <w:lang w:val="sq-AL"/>
        </w:rPr>
        <w:t xml:space="preserve"> zvog</w:t>
      </w:r>
      <w:r w:rsidR="00E9006B">
        <w:rPr>
          <w:rFonts w:ascii="Times New Roman" w:eastAsia="Times New Roman" w:hAnsi="Times New Roman" w:cs="Times New Roman"/>
          <w:szCs w:val="22"/>
          <w:lang w:val="sq-AL"/>
        </w:rPr>
        <w:t>ë</w:t>
      </w:r>
      <w:r w:rsidR="00E2177F" w:rsidRPr="007A3AD7">
        <w:rPr>
          <w:rFonts w:ascii="Times New Roman" w:eastAsia="Times New Roman" w:hAnsi="Times New Roman" w:cs="Times New Roman"/>
          <w:szCs w:val="22"/>
          <w:lang w:val="sq-AL"/>
        </w:rPr>
        <w:t>lohet</w:t>
      </w:r>
      <w:r w:rsidRPr="007A3AD7">
        <w:rPr>
          <w:rFonts w:ascii="Times New Roman" w:eastAsia="Times New Roman" w:hAnsi="Times New Roman" w:cs="Times New Roman"/>
          <w:szCs w:val="22"/>
          <w:lang w:val="sq-AL"/>
        </w:rPr>
        <w:t xml:space="preserve"> </w:t>
      </w:r>
      <w:r w:rsidR="00E2177F" w:rsidRPr="007A3AD7">
        <w:rPr>
          <w:rFonts w:ascii="Times New Roman" w:eastAsia="Times New Roman" w:hAnsi="Times New Roman" w:cs="Times New Roman"/>
          <w:szCs w:val="22"/>
          <w:lang w:val="sq-AL"/>
        </w:rPr>
        <w:t xml:space="preserve">numri i </w:t>
      </w:r>
      <w:r w:rsidRPr="007A3AD7">
        <w:rPr>
          <w:rFonts w:ascii="Times New Roman" w:eastAsia="Times New Roman" w:hAnsi="Times New Roman" w:cs="Times New Roman"/>
          <w:szCs w:val="22"/>
          <w:lang w:val="sq-AL"/>
        </w:rPr>
        <w:t>hospitalizim</w:t>
      </w:r>
      <w:r w:rsidR="00E2177F" w:rsidRPr="007A3AD7">
        <w:rPr>
          <w:rFonts w:ascii="Times New Roman" w:eastAsia="Times New Roman" w:hAnsi="Times New Roman" w:cs="Times New Roman"/>
          <w:szCs w:val="22"/>
          <w:lang w:val="sq-AL"/>
        </w:rPr>
        <w:t>eve</w:t>
      </w:r>
      <w:r w:rsidRPr="007A3AD7">
        <w:rPr>
          <w:rFonts w:ascii="Times New Roman" w:eastAsia="Times New Roman" w:hAnsi="Times New Roman" w:cs="Times New Roman"/>
          <w:szCs w:val="22"/>
          <w:lang w:val="sq-AL"/>
        </w:rPr>
        <w:t xml:space="preserve"> </w:t>
      </w:r>
      <w:r w:rsidR="00E2177F" w:rsidRPr="007A3AD7">
        <w:rPr>
          <w:rFonts w:ascii="Times New Roman" w:eastAsia="Times New Roman" w:hAnsi="Times New Roman" w:cs="Times New Roman"/>
          <w:szCs w:val="22"/>
          <w:lang w:val="sq-AL"/>
        </w:rPr>
        <w:t>t</w:t>
      </w:r>
      <w:r w:rsidR="00E9006B">
        <w:rPr>
          <w:rFonts w:ascii="Times New Roman" w:eastAsia="Times New Roman" w:hAnsi="Times New Roman" w:cs="Times New Roman"/>
          <w:szCs w:val="22"/>
          <w:lang w:val="sq-AL"/>
        </w:rPr>
        <w:t>ë</w:t>
      </w:r>
      <w:r w:rsidRPr="007A3AD7">
        <w:rPr>
          <w:rFonts w:ascii="Times New Roman" w:eastAsia="Times New Roman" w:hAnsi="Times New Roman" w:cs="Times New Roman"/>
          <w:szCs w:val="22"/>
          <w:lang w:val="sq-AL"/>
        </w:rPr>
        <w:t xml:space="preserve"> panevojsh</w:t>
      </w:r>
      <w:r w:rsidR="00E2177F" w:rsidRPr="007A3AD7">
        <w:rPr>
          <w:rFonts w:ascii="Times New Roman" w:eastAsia="Times New Roman" w:hAnsi="Times New Roman" w:cs="Times New Roman"/>
          <w:szCs w:val="22"/>
          <w:lang w:val="sq-AL"/>
        </w:rPr>
        <w:t>me</w:t>
      </w:r>
      <w:r w:rsidRPr="007A3AD7">
        <w:rPr>
          <w:rFonts w:ascii="Times New Roman" w:eastAsia="Times New Roman" w:hAnsi="Times New Roman" w:cs="Times New Roman"/>
          <w:szCs w:val="22"/>
          <w:lang w:val="sq-AL"/>
        </w:rPr>
        <w:t xml:space="preserve"> në mjediset e kujdesit shëndetësor sekondar dhe terciar për ata që nuk kanë mundësi të tjera.</w:t>
      </w:r>
      <w:r w:rsidR="00D3766D" w:rsidRPr="00817921">
        <w:rPr>
          <w:rFonts w:ascii="Times New Roman" w:hAnsi="Times New Roman" w:cs="Times New Roman"/>
          <w:szCs w:val="22"/>
          <w:lang w:val="sq-AL"/>
        </w:rPr>
        <w:br w:type="page"/>
      </w:r>
    </w:p>
    <w:p w14:paraId="0B438A5F" w14:textId="6DCA1814" w:rsidR="007B2D8F" w:rsidRDefault="007B2D8F" w:rsidP="00B5007E">
      <w:pPr>
        <w:pStyle w:val="Heading1"/>
        <w:rPr>
          <w:lang w:val="sq-AL"/>
        </w:rPr>
      </w:pPr>
      <w:bookmarkStart w:id="63" w:name="_Toc150809638"/>
      <w:bookmarkStart w:id="64" w:name="_Toc150896503"/>
      <w:r w:rsidRPr="00817921">
        <w:rPr>
          <w:lang w:val="sq-AL"/>
        </w:rPr>
        <w:t xml:space="preserve">Llogaridhënia, monitorimi </w:t>
      </w:r>
      <w:r w:rsidRPr="00B5007E">
        <w:t>dhe</w:t>
      </w:r>
      <w:r w:rsidRPr="00817921">
        <w:rPr>
          <w:lang w:val="sq-AL"/>
        </w:rPr>
        <w:t xml:space="preserve"> analizat vlerësuese</w:t>
      </w:r>
      <w:bookmarkEnd w:id="63"/>
      <w:bookmarkEnd w:id="64"/>
    </w:p>
    <w:p w14:paraId="7D0AB717" w14:textId="77777777" w:rsidR="0019255F" w:rsidRPr="0019255F" w:rsidRDefault="0019255F" w:rsidP="00817921">
      <w:pPr>
        <w:rPr>
          <w:lang w:val="sq-AL"/>
        </w:rPr>
      </w:pPr>
    </w:p>
    <w:p w14:paraId="62BEBE96" w14:textId="77777777" w:rsidR="00005EEE" w:rsidRPr="00817921" w:rsidRDefault="00005EEE" w:rsidP="00E14B65">
      <w:pPr>
        <w:rPr>
          <w:rFonts w:ascii="Times New Roman" w:hAnsi="Times New Roman" w:cs="Times New Roman"/>
          <w:b/>
          <w:bCs/>
          <w:szCs w:val="22"/>
          <w:lang w:val="sq-AL"/>
        </w:rPr>
      </w:pPr>
      <w:r w:rsidRPr="00817921">
        <w:rPr>
          <w:rFonts w:ascii="Times New Roman" w:hAnsi="Times New Roman" w:cs="Times New Roman"/>
          <w:b/>
          <w:bCs/>
          <w:szCs w:val="22"/>
          <w:lang w:val="sq-AL"/>
        </w:rPr>
        <w:t>Mekanizmat e Zbatimit dhe Koordinimit</w:t>
      </w:r>
    </w:p>
    <w:p w14:paraId="379DCC80" w14:textId="77777777" w:rsidR="0019255F" w:rsidRDefault="0019255F" w:rsidP="00E14B65">
      <w:pPr>
        <w:rPr>
          <w:rFonts w:ascii="Times New Roman" w:hAnsi="Times New Roman" w:cs="Times New Roman"/>
          <w:szCs w:val="22"/>
          <w:lang w:val="sq-AL"/>
        </w:rPr>
      </w:pPr>
    </w:p>
    <w:p w14:paraId="51C67CAC" w14:textId="1B9DBD22" w:rsidR="00005EEE" w:rsidRDefault="00005EEE" w:rsidP="00E14B65">
      <w:pPr>
        <w:rPr>
          <w:rFonts w:ascii="Times New Roman" w:hAnsi="Times New Roman" w:cs="Times New Roman"/>
          <w:szCs w:val="22"/>
          <w:lang w:val="sq-AL"/>
        </w:rPr>
      </w:pPr>
      <w:r w:rsidRPr="00817921">
        <w:rPr>
          <w:rFonts w:ascii="Times New Roman" w:hAnsi="Times New Roman" w:cs="Times New Roman"/>
          <w:szCs w:val="22"/>
          <w:lang w:val="sq-AL"/>
        </w:rPr>
        <w:t>Strategjia do të zbatohet përgjatë periudhës 202</w:t>
      </w:r>
      <w:r w:rsidR="00300ED3" w:rsidRPr="00817921">
        <w:rPr>
          <w:rFonts w:ascii="Times New Roman" w:hAnsi="Times New Roman" w:cs="Times New Roman"/>
          <w:szCs w:val="22"/>
          <w:lang w:val="sq-AL"/>
        </w:rPr>
        <w:t>4</w:t>
      </w:r>
      <w:r w:rsidRPr="00817921">
        <w:rPr>
          <w:rFonts w:ascii="Times New Roman" w:hAnsi="Times New Roman" w:cs="Times New Roman"/>
          <w:szCs w:val="22"/>
          <w:lang w:val="sq-AL"/>
        </w:rPr>
        <w:t xml:space="preserve">-2030. Rol udhëhëqës në zbatimin e Strategjisë do të ketë Ministria e </w:t>
      </w:r>
      <w:r w:rsidR="00300ED3" w:rsidRPr="00817921">
        <w:rPr>
          <w:rFonts w:ascii="Times New Roman" w:hAnsi="Times New Roman" w:cs="Times New Roman"/>
          <w:szCs w:val="22"/>
          <w:lang w:val="sq-AL"/>
        </w:rPr>
        <w:t>Shendetsis</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 xml:space="preserve"> dhe Mbrojtjes Sociale</w:t>
      </w:r>
      <w:r w:rsidRPr="00817921">
        <w:rPr>
          <w:rFonts w:ascii="Times New Roman" w:hAnsi="Times New Roman" w:cs="Times New Roman"/>
          <w:szCs w:val="22"/>
          <w:lang w:val="sq-AL"/>
        </w:rPr>
        <w:t xml:space="preserve"> si institutioni përgjëgjës për fushën e </w:t>
      </w:r>
      <w:r w:rsidR="00300ED3" w:rsidRPr="00817921">
        <w:rPr>
          <w:rFonts w:ascii="Times New Roman" w:hAnsi="Times New Roman" w:cs="Times New Roman"/>
          <w:szCs w:val="22"/>
          <w:lang w:val="sq-AL"/>
        </w:rPr>
        <w:t>mbrojtjes sociale</w:t>
      </w:r>
      <w:r w:rsidRPr="00817921">
        <w:rPr>
          <w:rFonts w:ascii="Times New Roman" w:hAnsi="Times New Roman" w:cs="Times New Roman"/>
          <w:szCs w:val="22"/>
          <w:lang w:val="sq-AL"/>
        </w:rPr>
        <w:t>. Përgjegjësia për zbatimin e secilës masë dhe çdo ndërhyrje brenda masës është përcaktuar në planin e veprimit të Strategjisë i cili është paraqitur në Shtojcën 1. Ndërsa, nën aktivitetet e secilës ndërhyrje do të pasqyrohen në planin vjetor operativ të secilit institucion përgjegjës për zbatimin e Strategjisë.</w:t>
      </w:r>
    </w:p>
    <w:p w14:paraId="0D6D7DF9" w14:textId="77777777" w:rsidR="00E51BC2" w:rsidRPr="00817921" w:rsidRDefault="00E51BC2" w:rsidP="00E14B65">
      <w:pPr>
        <w:rPr>
          <w:rFonts w:ascii="Times New Roman" w:hAnsi="Times New Roman" w:cs="Times New Roman"/>
          <w:szCs w:val="22"/>
          <w:lang w:val="sq-AL"/>
        </w:rPr>
      </w:pPr>
    </w:p>
    <w:p w14:paraId="46A9A355" w14:textId="3AD3164A" w:rsidR="00005EEE" w:rsidRDefault="00005EEE" w:rsidP="00E14B65">
      <w:pPr>
        <w:rPr>
          <w:rFonts w:ascii="Times New Roman" w:hAnsi="Times New Roman" w:cs="Times New Roman"/>
          <w:szCs w:val="22"/>
          <w:lang w:val="sq-AL"/>
        </w:rPr>
      </w:pPr>
      <w:r w:rsidRPr="00817921">
        <w:rPr>
          <w:rFonts w:ascii="Times New Roman" w:hAnsi="Times New Roman" w:cs="Times New Roman"/>
          <w:szCs w:val="22"/>
          <w:lang w:val="sq-AL"/>
        </w:rPr>
        <w:t>Ministria do të krijojë Grupin Koordinues</w:t>
      </w:r>
      <w:r w:rsidR="00833D22">
        <w:rPr>
          <w:rFonts w:ascii="Times New Roman" w:hAnsi="Times New Roman" w:cs="Times New Roman"/>
          <w:szCs w:val="22"/>
          <w:lang w:val="sq-AL"/>
        </w:rPr>
        <w:t xml:space="preserve"> për Polikat e Integtuara për Zhvillimin e Kapitalit Njerëzor si dhe Grupi tematik për Mbrojtjen Sociale si mekanizmin kryesore</w:t>
      </w:r>
      <w:r w:rsidRPr="00817921">
        <w:rPr>
          <w:rFonts w:ascii="Times New Roman" w:hAnsi="Times New Roman" w:cs="Times New Roman"/>
          <w:szCs w:val="22"/>
          <w:lang w:val="sq-AL"/>
        </w:rPr>
        <w:t xml:space="preserve"> për</w:t>
      </w:r>
      <w:r w:rsidR="00833D22">
        <w:rPr>
          <w:rFonts w:ascii="Times New Roman" w:hAnsi="Times New Roman" w:cs="Times New Roman"/>
          <w:szCs w:val="22"/>
          <w:lang w:val="sq-AL"/>
        </w:rPr>
        <w:t xml:space="preserve"> koordinimin dhe monitorimin e </w:t>
      </w:r>
      <w:r w:rsidRPr="00817921">
        <w:rPr>
          <w:rFonts w:ascii="Times New Roman" w:hAnsi="Times New Roman" w:cs="Times New Roman"/>
          <w:szCs w:val="22"/>
          <w:lang w:val="sq-AL"/>
        </w:rPr>
        <w:t xml:space="preserve"> zbatimi</w:t>
      </w:r>
      <w:r w:rsidR="00833D22">
        <w:rPr>
          <w:rFonts w:ascii="Times New Roman" w:hAnsi="Times New Roman" w:cs="Times New Roman"/>
          <w:szCs w:val="22"/>
          <w:lang w:val="sq-AL"/>
        </w:rPr>
        <w:t>t</w:t>
      </w:r>
      <w:r w:rsidRPr="00817921">
        <w:rPr>
          <w:rFonts w:ascii="Times New Roman" w:hAnsi="Times New Roman" w:cs="Times New Roman"/>
          <w:szCs w:val="22"/>
          <w:lang w:val="sq-AL"/>
        </w:rPr>
        <w:t xml:space="preserve"> </w:t>
      </w:r>
      <w:r w:rsidR="00833D22">
        <w:rPr>
          <w:rFonts w:ascii="Times New Roman" w:hAnsi="Times New Roman" w:cs="Times New Roman"/>
          <w:szCs w:val="22"/>
          <w:lang w:val="sq-AL"/>
        </w:rPr>
        <w:t>të</w:t>
      </w:r>
      <w:r w:rsidRPr="00817921">
        <w:rPr>
          <w:rFonts w:ascii="Times New Roman" w:hAnsi="Times New Roman" w:cs="Times New Roman"/>
          <w:szCs w:val="22"/>
          <w:lang w:val="sq-AL"/>
        </w:rPr>
        <w:t xml:space="preserve"> Strategjisë</w:t>
      </w:r>
      <w:r w:rsidR="00833D22">
        <w:rPr>
          <w:rFonts w:ascii="Times New Roman" w:hAnsi="Times New Roman" w:cs="Times New Roman"/>
          <w:szCs w:val="22"/>
          <w:lang w:val="sq-AL"/>
        </w:rPr>
        <w:t xml:space="preserve"> së Mbrojtjes Sociale</w:t>
      </w:r>
      <w:r w:rsidR="00300ED3" w:rsidRPr="00817921">
        <w:rPr>
          <w:rFonts w:ascii="Times New Roman" w:hAnsi="Times New Roman" w:cs="Times New Roman"/>
          <w:szCs w:val="22"/>
          <w:lang w:val="sq-AL"/>
        </w:rPr>
        <w:t>,</w:t>
      </w:r>
      <w:r w:rsidRPr="00817921">
        <w:rPr>
          <w:rFonts w:ascii="Times New Roman" w:hAnsi="Times New Roman" w:cs="Times New Roman"/>
          <w:szCs w:val="22"/>
          <w:lang w:val="sq-AL"/>
        </w:rPr>
        <w:t xml:space="preserve"> i cili do të drejtohet nga Zëvendësministri </w:t>
      </w:r>
      <w:r w:rsidR="00300ED3" w:rsidRPr="00817921">
        <w:rPr>
          <w:rFonts w:ascii="Times New Roman" w:hAnsi="Times New Roman" w:cs="Times New Roman"/>
          <w:szCs w:val="22"/>
          <w:lang w:val="sq-AL"/>
        </w:rPr>
        <w:t>p</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 xml:space="preserve">r mbrojtjen sociale </w:t>
      </w:r>
      <w:r w:rsidRPr="00817921">
        <w:rPr>
          <w:rFonts w:ascii="Times New Roman" w:hAnsi="Times New Roman" w:cs="Times New Roman"/>
          <w:szCs w:val="22"/>
          <w:lang w:val="sq-AL"/>
        </w:rPr>
        <w:t xml:space="preserve">dhe </w:t>
      </w:r>
      <w:r w:rsidR="00300ED3" w:rsidRPr="00817921">
        <w:rPr>
          <w:rFonts w:ascii="Times New Roman" w:hAnsi="Times New Roman" w:cs="Times New Roman"/>
          <w:szCs w:val="22"/>
          <w:lang w:val="sq-AL"/>
        </w:rPr>
        <w:t>do t</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 xml:space="preserve"> </w:t>
      </w:r>
      <w:r w:rsidRPr="00817921">
        <w:rPr>
          <w:rFonts w:ascii="Times New Roman" w:hAnsi="Times New Roman" w:cs="Times New Roman"/>
          <w:szCs w:val="22"/>
          <w:lang w:val="sq-AL"/>
        </w:rPr>
        <w:t xml:space="preserve">përbëhet nga zyrtarë përgjëgjës të Ministrisë, si dhe </w:t>
      </w:r>
      <w:r w:rsidR="00300ED3" w:rsidRPr="00817921">
        <w:rPr>
          <w:rFonts w:ascii="Times New Roman" w:hAnsi="Times New Roman" w:cs="Times New Roman"/>
          <w:szCs w:val="22"/>
          <w:lang w:val="sq-AL"/>
        </w:rPr>
        <w:t>t</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 xml:space="preserve"> Sh</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rbimit Social Shtet</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ror dhe Inspektoriatit t</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 xml:space="preserve"> Pun</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s dhe t</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 xml:space="preserve"> Sh</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rbimeve si dhe t</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 xml:space="preserve"> Ministris</w:t>
      </w:r>
      <w:r w:rsidR="009A5A0E" w:rsidRPr="00817921">
        <w:rPr>
          <w:rFonts w:ascii="Times New Roman" w:hAnsi="Times New Roman" w:cs="Times New Roman"/>
          <w:szCs w:val="22"/>
          <w:lang w:val="sq-AL"/>
        </w:rPr>
        <w:t>ë</w:t>
      </w:r>
      <w:r w:rsidR="00300ED3" w:rsidRPr="00817921">
        <w:rPr>
          <w:rFonts w:ascii="Times New Roman" w:hAnsi="Times New Roman" w:cs="Times New Roman"/>
          <w:szCs w:val="22"/>
          <w:lang w:val="sq-AL"/>
        </w:rPr>
        <w:t xml:space="preserve"> </w:t>
      </w:r>
      <w:r w:rsidR="00A66D98" w:rsidRPr="00817921">
        <w:rPr>
          <w:rFonts w:ascii="Times New Roman" w:hAnsi="Times New Roman" w:cs="Times New Roman"/>
          <w:szCs w:val="22"/>
          <w:lang w:val="sq-AL"/>
        </w:rPr>
        <w:t>s</w:t>
      </w:r>
      <w:r w:rsidR="009A5A0E" w:rsidRPr="00817921">
        <w:rPr>
          <w:rFonts w:ascii="Times New Roman" w:hAnsi="Times New Roman" w:cs="Times New Roman"/>
          <w:szCs w:val="22"/>
          <w:lang w:val="sq-AL"/>
        </w:rPr>
        <w:t>ë</w:t>
      </w:r>
      <w:r w:rsidR="00A66D98" w:rsidRPr="00817921">
        <w:rPr>
          <w:rFonts w:ascii="Times New Roman" w:hAnsi="Times New Roman" w:cs="Times New Roman"/>
          <w:szCs w:val="22"/>
          <w:lang w:val="sq-AL"/>
        </w:rPr>
        <w:t xml:space="preserve"> Financ</w:t>
      </w:r>
      <w:r w:rsidR="009A5A0E" w:rsidRPr="00817921">
        <w:rPr>
          <w:rFonts w:ascii="Times New Roman" w:hAnsi="Times New Roman" w:cs="Times New Roman"/>
          <w:szCs w:val="22"/>
          <w:lang w:val="sq-AL"/>
        </w:rPr>
        <w:t>ë</w:t>
      </w:r>
      <w:r w:rsidR="00A66D98" w:rsidRPr="00817921">
        <w:rPr>
          <w:rFonts w:ascii="Times New Roman" w:hAnsi="Times New Roman" w:cs="Times New Roman"/>
          <w:szCs w:val="22"/>
          <w:lang w:val="sq-AL"/>
        </w:rPr>
        <w:t>s dhe Ekonomis</w:t>
      </w:r>
      <w:r w:rsidR="009A5A0E" w:rsidRPr="00817921">
        <w:rPr>
          <w:rFonts w:ascii="Times New Roman" w:hAnsi="Times New Roman" w:cs="Times New Roman"/>
          <w:szCs w:val="22"/>
          <w:lang w:val="sq-AL"/>
        </w:rPr>
        <w:t>ë</w:t>
      </w:r>
      <w:r w:rsidR="00A66D98" w:rsidRPr="00817921">
        <w:rPr>
          <w:rFonts w:ascii="Times New Roman" w:hAnsi="Times New Roman" w:cs="Times New Roman"/>
          <w:szCs w:val="22"/>
          <w:lang w:val="sq-AL"/>
        </w:rPr>
        <w:t xml:space="preserve"> dhe institucionit t</w:t>
      </w:r>
      <w:r w:rsidR="009A5A0E" w:rsidRPr="00817921">
        <w:rPr>
          <w:rFonts w:ascii="Times New Roman" w:hAnsi="Times New Roman" w:cs="Times New Roman"/>
          <w:szCs w:val="22"/>
          <w:lang w:val="sq-AL"/>
        </w:rPr>
        <w:t>ë</w:t>
      </w:r>
      <w:r w:rsidR="00A66D98" w:rsidRPr="00817921">
        <w:rPr>
          <w:rFonts w:ascii="Times New Roman" w:hAnsi="Times New Roman" w:cs="Times New Roman"/>
          <w:szCs w:val="22"/>
          <w:lang w:val="sq-AL"/>
        </w:rPr>
        <w:t xml:space="preserve"> saj t</w:t>
      </w:r>
      <w:r w:rsidR="009A5A0E" w:rsidRPr="00817921">
        <w:rPr>
          <w:rFonts w:ascii="Times New Roman" w:hAnsi="Times New Roman" w:cs="Times New Roman"/>
          <w:szCs w:val="22"/>
          <w:lang w:val="sq-AL"/>
        </w:rPr>
        <w:t>ë</w:t>
      </w:r>
      <w:r w:rsidR="00A66D98" w:rsidRPr="00817921">
        <w:rPr>
          <w:rFonts w:ascii="Times New Roman" w:hAnsi="Times New Roman" w:cs="Times New Roman"/>
          <w:szCs w:val="22"/>
          <w:lang w:val="sq-AL"/>
        </w:rPr>
        <w:t xml:space="preserve"> var</w:t>
      </w:r>
      <w:r w:rsidR="009A5A0E" w:rsidRPr="00817921">
        <w:rPr>
          <w:rFonts w:ascii="Times New Roman" w:hAnsi="Times New Roman" w:cs="Times New Roman"/>
          <w:szCs w:val="22"/>
          <w:lang w:val="sq-AL"/>
        </w:rPr>
        <w:t>ë</w:t>
      </w:r>
      <w:r w:rsidR="00A66D98" w:rsidRPr="00817921">
        <w:rPr>
          <w:rFonts w:ascii="Times New Roman" w:hAnsi="Times New Roman" w:cs="Times New Roman"/>
          <w:szCs w:val="22"/>
          <w:lang w:val="sq-AL"/>
        </w:rPr>
        <w:t>sis</w:t>
      </w:r>
      <w:r w:rsidR="009A5A0E" w:rsidRPr="00817921">
        <w:rPr>
          <w:rFonts w:ascii="Times New Roman" w:hAnsi="Times New Roman" w:cs="Times New Roman"/>
          <w:szCs w:val="22"/>
          <w:lang w:val="sq-AL"/>
        </w:rPr>
        <w:t>ë</w:t>
      </w:r>
      <w:r w:rsidR="00A66D98" w:rsidRPr="00817921">
        <w:rPr>
          <w:rFonts w:ascii="Times New Roman" w:hAnsi="Times New Roman" w:cs="Times New Roman"/>
          <w:szCs w:val="22"/>
          <w:lang w:val="sq-AL"/>
        </w:rPr>
        <w:t xml:space="preserve"> n</w:t>
      </w:r>
      <w:r w:rsidR="009A5A0E" w:rsidRPr="00817921">
        <w:rPr>
          <w:rFonts w:ascii="Times New Roman" w:hAnsi="Times New Roman" w:cs="Times New Roman"/>
          <w:szCs w:val="22"/>
          <w:lang w:val="sq-AL"/>
        </w:rPr>
        <w:t>ë</w:t>
      </w:r>
      <w:r w:rsidR="00A66D98" w:rsidRPr="00817921">
        <w:rPr>
          <w:rFonts w:ascii="Times New Roman" w:hAnsi="Times New Roman" w:cs="Times New Roman"/>
          <w:szCs w:val="22"/>
          <w:lang w:val="sq-AL"/>
        </w:rPr>
        <w:t xml:space="preserve"> fush</w:t>
      </w:r>
      <w:r w:rsidR="009A5A0E" w:rsidRPr="00817921">
        <w:rPr>
          <w:rFonts w:ascii="Times New Roman" w:hAnsi="Times New Roman" w:cs="Times New Roman"/>
          <w:szCs w:val="22"/>
          <w:lang w:val="sq-AL"/>
        </w:rPr>
        <w:t>ë</w:t>
      </w:r>
      <w:r w:rsidR="00A66D98" w:rsidRPr="00817921">
        <w:rPr>
          <w:rFonts w:ascii="Times New Roman" w:hAnsi="Times New Roman" w:cs="Times New Roman"/>
          <w:szCs w:val="22"/>
          <w:lang w:val="sq-AL"/>
        </w:rPr>
        <w:t>n e formimit dhe t</w:t>
      </w:r>
      <w:r w:rsidR="009A5A0E" w:rsidRPr="00817921">
        <w:rPr>
          <w:rFonts w:ascii="Times New Roman" w:hAnsi="Times New Roman" w:cs="Times New Roman"/>
          <w:szCs w:val="22"/>
          <w:lang w:val="sq-AL"/>
        </w:rPr>
        <w:t>ë</w:t>
      </w:r>
      <w:r w:rsidR="00A66D98" w:rsidRPr="00817921">
        <w:rPr>
          <w:rFonts w:ascii="Times New Roman" w:hAnsi="Times New Roman" w:cs="Times New Roman"/>
          <w:szCs w:val="22"/>
          <w:lang w:val="sq-AL"/>
        </w:rPr>
        <w:t xml:space="preserve"> pun</w:t>
      </w:r>
      <w:r w:rsidR="009A5A0E" w:rsidRPr="00817921">
        <w:rPr>
          <w:rFonts w:ascii="Times New Roman" w:hAnsi="Times New Roman" w:cs="Times New Roman"/>
          <w:szCs w:val="22"/>
          <w:lang w:val="sq-AL"/>
        </w:rPr>
        <w:t>ë</w:t>
      </w:r>
      <w:r w:rsidR="00A66D98" w:rsidRPr="00817921">
        <w:rPr>
          <w:rFonts w:ascii="Times New Roman" w:hAnsi="Times New Roman" w:cs="Times New Roman"/>
          <w:szCs w:val="22"/>
          <w:lang w:val="sq-AL"/>
        </w:rPr>
        <w:t>simit</w:t>
      </w:r>
      <w:r w:rsidR="00833D22">
        <w:rPr>
          <w:rFonts w:ascii="Times New Roman" w:hAnsi="Times New Roman" w:cs="Times New Roman"/>
          <w:szCs w:val="22"/>
          <w:lang w:val="sq-AL"/>
        </w:rPr>
        <w:t xml:space="preserve"> dhe të mbrojtjes sociale, sidhe përfaqësues të donatorëve dhe partnerëve kryesor strategjik</w:t>
      </w:r>
      <w:r w:rsidR="00A66D98" w:rsidRPr="00817921">
        <w:rPr>
          <w:rFonts w:ascii="Times New Roman" w:hAnsi="Times New Roman" w:cs="Times New Roman"/>
          <w:szCs w:val="22"/>
          <w:lang w:val="sq-AL"/>
        </w:rPr>
        <w:t xml:space="preserve">. </w:t>
      </w:r>
      <w:r w:rsidRPr="00817921">
        <w:rPr>
          <w:rFonts w:ascii="Times New Roman" w:hAnsi="Times New Roman" w:cs="Times New Roman"/>
          <w:szCs w:val="22"/>
          <w:lang w:val="sq-AL"/>
        </w:rPr>
        <w:t>Detyrat dhe përgjegjësit e Grupit Koordinues janë:</w:t>
      </w:r>
    </w:p>
    <w:p w14:paraId="6885C638" w14:textId="77777777" w:rsidR="0019255F" w:rsidRPr="00817921" w:rsidRDefault="0019255F" w:rsidP="00E14B65">
      <w:pPr>
        <w:rPr>
          <w:rFonts w:ascii="Times New Roman" w:hAnsi="Times New Roman" w:cs="Times New Roman"/>
          <w:szCs w:val="22"/>
          <w:lang w:val="sq-AL"/>
        </w:rPr>
      </w:pPr>
    </w:p>
    <w:p w14:paraId="74EBCD57" w14:textId="18F3009D" w:rsidR="00005EEE" w:rsidRPr="00817921" w:rsidRDefault="00005EEE" w:rsidP="008D0175">
      <w:pPr>
        <w:pStyle w:val="ListParagraph"/>
        <w:numPr>
          <w:ilvl w:val="0"/>
          <w:numId w:val="5"/>
        </w:numPr>
        <w:rPr>
          <w:rFonts w:ascii="Times New Roman" w:hAnsi="Times New Roman" w:cs="Times New Roman"/>
          <w:szCs w:val="22"/>
          <w:lang w:val="sq-AL"/>
        </w:rPr>
      </w:pPr>
      <w:r w:rsidRPr="00817921">
        <w:rPr>
          <w:rFonts w:ascii="Times New Roman" w:hAnsi="Times New Roman" w:cs="Times New Roman"/>
          <w:szCs w:val="22"/>
          <w:lang w:val="sq-AL"/>
        </w:rPr>
        <w:t>S</w:t>
      </w:r>
      <w:r w:rsidR="003551B4" w:rsidRPr="00817921">
        <w:rPr>
          <w:rFonts w:ascii="Times New Roman" w:hAnsi="Times New Roman" w:cs="Times New Roman"/>
          <w:szCs w:val="22"/>
          <w:lang w:val="sq-AL"/>
        </w:rPr>
        <w:t>h</w:t>
      </w:r>
      <w:r w:rsidRPr="00817921">
        <w:rPr>
          <w:rFonts w:ascii="Times New Roman" w:hAnsi="Times New Roman" w:cs="Times New Roman"/>
          <w:szCs w:val="22"/>
          <w:lang w:val="sq-AL"/>
        </w:rPr>
        <w:t>qyrtimi i progresit në zbatimin e Strategjisë në bazë të informatave të mbledhura;</w:t>
      </w:r>
    </w:p>
    <w:p w14:paraId="15317E2A" w14:textId="77777777" w:rsidR="00005EEE" w:rsidRPr="00817921" w:rsidRDefault="00005EEE" w:rsidP="008D0175">
      <w:pPr>
        <w:pStyle w:val="ListParagraph"/>
        <w:numPr>
          <w:ilvl w:val="0"/>
          <w:numId w:val="5"/>
        </w:numPr>
        <w:rPr>
          <w:rFonts w:ascii="Times New Roman" w:hAnsi="Times New Roman" w:cs="Times New Roman"/>
          <w:szCs w:val="22"/>
          <w:lang w:val="sq-AL"/>
        </w:rPr>
      </w:pPr>
      <w:r w:rsidRPr="00817921">
        <w:rPr>
          <w:rFonts w:ascii="Times New Roman" w:hAnsi="Times New Roman" w:cs="Times New Roman"/>
          <w:szCs w:val="22"/>
          <w:lang w:val="sq-AL"/>
        </w:rPr>
        <w:t>Ofrimi i mbështetjes teknike dhe udhëzimeve për njësitë organizative të Ministrisë, institucioneve vartëse dhe institucioneve tjera përkatëse në të gjitha aspektet që lidhen me zbatimin e Strategjisë;</w:t>
      </w:r>
    </w:p>
    <w:p w14:paraId="26C1D8F7" w14:textId="77777777" w:rsidR="00005EEE" w:rsidRPr="00817921" w:rsidRDefault="00005EEE" w:rsidP="008D0175">
      <w:pPr>
        <w:pStyle w:val="ListParagraph"/>
        <w:numPr>
          <w:ilvl w:val="0"/>
          <w:numId w:val="5"/>
        </w:numPr>
        <w:rPr>
          <w:rFonts w:ascii="Times New Roman" w:hAnsi="Times New Roman" w:cs="Times New Roman"/>
          <w:szCs w:val="22"/>
          <w:lang w:val="sq-AL"/>
        </w:rPr>
      </w:pPr>
      <w:r w:rsidRPr="00817921">
        <w:rPr>
          <w:rFonts w:ascii="Times New Roman" w:hAnsi="Times New Roman" w:cs="Times New Roman"/>
          <w:szCs w:val="22"/>
          <w:lang w:val="sq-AL"/>
        </w:rPr>
        <w:t>Shqyrtimi dhe miratimi i masave  ose/dhe veprimeve plotësuese për të siguruar zbatimin e Strategjisë;</w:t>
      </w:r>
    </w:p>
    <w:p w14:paraId="75AD4F0C" w14:textId="5871076B" w:rsidR="00005EEE" w:rsidRPr="00817921" w:rsidRDefault="00005EEE" w:rsidP="008D0175">
      <w:pPr>
        <w:pStyle w:val="ListParagraph"/>
        <w:numPr>
          <w:ilvl w:val="0"/>
          <w:numId w:val="5"/>
        </w:numPr>
        <w:rPr>
          <w:rFonts w:ascii="Times New Roman" w:hAnsi="Times New Roman" w:cs="Times New Roman"/>
          <w:szCs w:val="22"/>
          <w:lang w:val="sq-AL"/>
        </w:rPr>
      </w:pPr>
      <w:r w:rsidRPr="00817921">
        <w:rPr>
          <w:rFonts w:ascii="Times New Roman" w:hAnsi="Times New Roman" w:cs="Times New Roman"/>
          <w:szCs w:val="22"/>
          <w:lang w:val="sq-AL"/>
        </w:rPr>
        <w:t>Përgat</w:t>
      </w:r>
      <w:r w:rsidR="00A66D98" w:rsidRPr="00817921">
        <w:rPr>
          <w:rFonts w:ascii="Times New Roman" w:hAnsi="Times New Roman" w:cs="Times New Roman"/>
          <w:szCs w:val="22"/>
          <w:lang w:val="sq-AL"/>
        </w:rPr>
        <w:t>it</w:t>
      </w:r>
      <w:r w:rsidRPr="00817921">
        <w:rPr>
          <w:rFonts w:ascii="Times New Roman" w:hAnsi="Times New Roman" w:cs="Times New Roman"/>
          <w:szCs w:val="22"/>
          <w:lang w:val="sq-AL"/>
        </w:rPr>
        <w:t>ja e raporteve periodike të progresit dhe monitorimit të zbatimit të Strategjisë si dhe paraqitja e raporteve të rregullta të progresit pranë Qeverisë së Shqipërisë;</w:t>
      </w:r>
    </w:p>
    <w:p w14:paraId="14BE7EF7" w14:textId="77777777" w:rsidR="00005EEE" w:rsidRPr="00817921" w:rsidRDefault="00005EEE" w:rsidP="008D0175">
      <w:pPr>
        <w:pStyle w:val="ListParagraph"/>
        <w:numPr>
          <w:ilvl w:val="0"/>
          <w:numId w:val="5"/>
        </w:numPr>
        <w:rPr>
          <w:rFonts w:ascii="Times New Roman" w:hAnsi="Times New Roman" w:cs="Times New Roman"/>
          <w:szCs w:val="22"/>
          <w:lang w:val="sq-AL"/>
        </w:rPr>
      </w:pPr>
      <w:r w:rsidRPr="00817921">
        <w:rPr>
          <w:rFonts w:ascii="Times New Roman" w:hAnsi="Times New Roman" w:cs="Times New Roman"/>
          <w:szCs w:val="22"/>
          <w:lang w:val="sq-AL"/>
        </w:rPr>
        <w:t>Organizimi i takimit me partnerë më të gjerë si dhe paraqitja e raporteve të rregullta të progresit;</w:t>
      </w:r>
    </w:p>
    <w:p w14:paraId="4DD395AE" w14:textId="3C8BE686" w:rsidR="00005EEE" w:rsidRPr="00817921" w:rsidRDefault="00005EEE" w:rsidP="008D0175">
      <w:pPr>
        <w:pStyle w:val="ListParagraph"/>
        <w:numPr>
          <w:ilvl w:val="0"/>
          <w:numId w:val="5"/>
        </w:numPr>
        <w:rPr>
          <w:rFonts w:ascii="Times New Roman" w:hAnsi="Times New Roman" w:cs="Times New Roman"/>
          <w:szCs w:val="22"/>
          <w:lang w:val="sq-AL"/>
        </w:rPr>
      </w:pPr>
      <w:r w:rsidRPr="00817921">
        <w:rPr>
          <w:rFonts w:ascii="Times New Roman" w:hAnsi="Times New Roman" w:cs="Times New Roman"/>
          <w:szCs w:val="22"/>
          <w:lang w:val="sq-AL"/>
        </w:rPr>
        <w:t>Organizimi i ushtrimit të vlerësimit të jashtëm dhe reflektimi i gjetjeve kryesore në përgatitjen e planit të veprimit, etj.</w:t>
      </w:r>
    </w:p>
    <w:p w14:paraId="763B5F62" w14:textId="3C866AE9" w:rsidR="00005EEE" w:rsidRDefault="00005EEE" w:rsidP="00E14B65">
      <w:pPr>
        <w:rPr>
          <w:rFonts w:ascii="Times New Roman" w:hAnsi="Times New Roman" w:cs="Times New Roman"/>
          <w:szCs w:val="22"/>
          <w:lang w:val="sq-AL"/>
        </w:rPr>
      </w:pPr>
      <w:r w:rsidRPr="00817921">
        <w:rPr>
          <w:rFonts w:ascii="Times New Roman" w:hAnsi="Times New Roman" w:cs="Times New Roman"/>
          <w:szCs w:val="22"/>
          <w:lang w:val="sq-AL"/>
        </w:rPr>
        <w:t xml:space="preserve">Takimet e Grupit Koordinues do të mbahen së paku dy herë në vit dhe sipas nevojës mund të organizohen takime më të shpeshta. </w:t>
      </w:r>
      <w:r w:rsidR="00CA15B6">
        <w:rPr>
          <w:rFonts w:ascii="Times New Roman" w:hAnsi="Times New Roman" w:cs="Times New Roman"/>
          <w:szCs w:val="22"/>
          <w:lang w:val="sq-AL"/>
        </w:rPr>
        <w:t xml:space="preserve"> </w:t>
      </w:r>
      <w:r w:rsidRPr="00817921">
        <w:rPr>
          <w:rFonts w:ascii="Times New Roman" w:hAnsi="Times New Roman" w:cs="Times New Roman"/>
          <w:szCs w:val="22"/>
          <w:lang w:val="sq-AL"/>
        </w:rPr>
        <w:t>Gjatë përcaktimit të masave si dhe përgatitjes së planit të veprimit ka pasur një bashkërendim të mirë me nismat me</w:t>
      </w:r>
      <w:r w:rsidR="006B5136" w:rsidRPr="00817921">
        <w:rPr>
          <w:rFonts w:ascii="Times New Roman" w:hAnsi="Times New Roman" w:cs="Times New Roman"/>
          <w:szCs w:val="22"/>
          <w:lang w:val="sq-AL"/>
        </w:rPr>
        <w:t>s</w:t>
      </w:r>
      <w:r w:rsidRPr="00817921">
        <w:rPr>
          <w:rFonts w:ascii="Times New Roman" w:hAnsi="Times New Roman" w:cs="Times New Roman"/>
          <w:szCs w:val="22"/>
          <w:lang w:val="sq-AL"/>
        </w:rPr>
        <w:t xml:space="preserve"> part</w:t>
      </w:r>
      <w:r w:rsidR="006B5136" w:rsidRPr="00817921">
        <w:rPr>
          <w:rFonts w:ascii="Times New Roman" w:hAnsi="Times New Roman" w:cs="Times New Roman"/>
          <w:szCs w:val="22"/>
          <w:lang w:val="sq-AL"/>
        </w:rPr>
        <w:t xml:space="preserve">nerëve zhvillimorë </w:t>
      </w:r>
      <w:r w:rsidRPr="00817921">
        <w:rPr>
          <w:rFonts w:ascii="Times New Roman" w:hAnsi="Times New Roman" w:cs="Times New Roman"/>
          <w:szCs w:val="22"/>
          <w:lang w:val="sq-AL"/>
        </w:rPr>
        <w:t xml:space="preserve">të Qeverisë, ku bëjnë pjesë donatorët, si dhe organizata vendore dhe ndërkombëtare që kanë shprehur gatishmërinë e tyre për të kontribuar në zbatimin e Strategjisë. Ky bashkërendim do të vazhdojë edhe gjatë zbatimit dhe rishikimit të Strategjisë. Për këtë qëllim, Grupi Koordinues do të mbajë së paku një herë në vit takime me partnerë zhvillimor të Qeverisë si dhe me partnerët social për të paraqitur progresin dhe sfidat kryesore me të cilat ballafaqohen gjatë zbatimit të Strategjisë. </w:t>
      </w:r>
    </w:p>
    <w:p w14:paraId="0BC041FE" w14:textId="20187E21" w:rsidR="00E51BC2" w:rsidRPr="00817921" w:rsidRDefault="00E51BC2" w:rsidP="00E14B65">
      <w:pPr>
        <w:rPr>
          <w:rFonts w:ascii="Times New Roman" w:hAnsi="Times New Roman" w:cs="Times New Roman"/>
          <w:szCs w:val="22"/>
          <w:lang w:val="sq-AL"/>
        </w:rPr>
      </w:pPr>
      <w:r>
        <w:rPr>
          <w:rFonts w:ascii="Times New Roman" w:hAnsi="Times New Roman" w:cs="Times New Roman"/>
          <w:szCs w:val="22"/>
          <w:lang w:val="sq-AL"/>
        </w:rPr>
        <w:t xml:space="preserve">Një ndër aspektet e rëndësishme të zbatimit është vlerësimi i kapaciteteve të strukturave në nivel qëndror dhe rajonal për të garantuar që angazhimet e ndërmarra në këtë strategji do të realizohen. Vlerësimi i  nevojës për burime njerëzore, financiare dhe rishikimet e nevojshme të strukturave zbatuese do të jetë hapi i parë për të ndërtuar strategjinë për garantimin e zbatimit në praktikë. </w:t>
      </w:r>
    </w:p>
    <w:p w14:paraId="11BB002A" w14:textId="0EF1BB5F" w:rsidR="00005EEE" w:rsidRPr="00817921" w:rsidRDefault="00005EEE" w:rsidP="00E14B65">
      <w:pPr>
        <w:rPr>
          <w:rFonts w:ascii="Times New Roman" w:hAnsi="Times New Roman" w:cs="Times New Roman"/>
          <w:szCs w:val="22"/>
          <w:lang w:val="sq-AL"/>
        </w:rPr>
      </w:pPr>
      <w:r w:rsidRPr="00817921">
        <w:rPr>
          <w:rFonts w:ascii="Times New Roman" w:hAnsi="Times New Roman" w:cs="Times New Roman"/>
          <w:szCs w:val="22"/>
          <w:lang w:val="sq-AL"/>
        </w:rPr>
        <w:t xml:space="preserve">Strategjia do të jetë pjesë përberëse e Sistemit të Planifikimit të Integruar (SPI) sipas Urdhërit të Kryeministrit nr. 157, miratuar me datë 22.10.2018 “Për marrjen e masave për zbatimin e qasjes së gjerë sektoriale/ndërsektoriale, si dhe ngritjen dhe funksionimin e mekanizmit sektorial/ndërsektorial të integruar”.  </w:t>
      </w:r>
    </w:p>
    <w:p w14:paraId="4E021510" w14:textId="45534727" w:rsidR="00005EEE" w:rsidRDefault="00005EEE" w:rsidP="00B5007E">
      <w:pPr>
        <w:pStyle w:val="Heading1"/>
        <w:rPr>
          <w:lang w:val="sq-AL"/>
        </w:rPr>
      </w:pPr>
      <w:bookmarkStart w:id="65" w:name="_Toc150896504"/>
      <w:r w:rsidRPr="00817921">
        <w:rPr>
          <w:lang w:val="sq-AL"/>
        </w:rPr>
        <w:t>Monitorimi dhe Vlerësimi</w:t>
      </w:r>
      <w:bookmarkEnd w:id="65"/>
    </w:p>
    <w:p w14:paraId="26DD8913" w14:textId="77777777" w:rsidR="00833D22" w:rsidRPr="00817921" w:rsidRDefault="00833D22" w:rsidP="00E14B65">
      <w:pPr>
        <w:rPr>
          <w:rFonts w:ascii="Times New Roman" w:hAnsi="Times New Roman" w:cs="Times New Roman"/>
          <w:b/>
          <w:bCs/>
          <w:szCs w:val="22"/>
          <w:lang w:val="sq-AL"/>
        </w:rPr>
      </w:pPr>
    </w:p>
    <w:p w14:paraId="26B19DE7" w14:textId="4F0ADC4A" w:rsidR="00005EEE" w:rsidRPr="00817921" w:rsidRDefault="00005EEE" w:rsidP="00E14B65">
      <w:pPr>
        <w:rPr>
          <w:rFonts w:ascii="Times New Roman" w:hAnsi="Times New Roman" w:cs="Times New Roman"/>
          <w:szCs w:val="22"/>
          <w:lang w:val="sq-AL"/>
        </w:rPr>
      </w:pPr>
      <w:r w:rsidRPr="00817921">
        <w:rPr>
          <w:rFonts w:ascii="Times New Roman" w:hAnsi="Times New Roman" w:cs="Times New Roman"/>
          <w:szCs w:val="22"/>
          <w:lang w:val="sq-AL"/>
        </w:rPr>
        <w:t xml:space="preserve">Monitorimi është një </w:t>
      </w:r>
      <w:r w:rsidR="00AB4D37">
        <w:rPr>
          <w:rFonts w:ascii="Times New Roman" w:hAnsi="Times New Roman" w:cs="Times New Roman"/>
          <w:szCs w:val="22"/>
          <w:lang w:val="sq-AL"/>
        </w:rPr>
        <w:t>proçes</w:t>
      </w:r>
      <w:r w:rsidRPr="00817921">
        <w:rPr>
          <w:rFonts w:ascii="Times New Roman" w:hAnsi="Times New Roman" w:cs="Times New Roman"/>
          <w:szCs w:val="22"/>
          <w:lang w:val="sq-AL"/>
        </w:rPr>
        <w:t xml:space="preserve"> i vazhdueshëm i mbledhjes dhe analizimit të informacionit në lidhje me zbatimin e veprimeve dhe masave prioritare. Monitorimi gjurmon veprimet, ndërhyrjet, burimet financiare të alokuara dhe të shpenzuara në baza të rregullta dhe krahason ato me planin e veprimit për të vlerësuar se në çfarë mase po zbatohet Strategjia. Monitorimi i performancës nga ana tjetër, monitoron rezultatet e arritura në nivele të ndryshme: (i) masat prioritare, (ii) objektivat specifike dhe (iii) synimet afatgjata të cilat përcaktohen si qëllimet e politikës (siç është shkalla e punësimit) kundrejt caqeve të caktuara. Monitorimi do të bëhet në bazë të informacionit të mbledhur rregullisht përmes sistemit të monitorimit. Megjithatë, monitorimi i zbatimit të veprimeve dhe ndërhyrjeve brenda masave prioritare, si dhe monitorimi i burimeve financiare të alokuara dhe të shpenzuara do të bëhet në bazë të planit vjetor të punës së institucioneve përgjegjëse për zbatimin e Strategjisë si dhe sipas planin e veprimit të Strategjisë. Nga ana tjetër, monitorimi i performancës ose monitorimi i rezultateve do të bëhet në bazë të kornizës së monitorimit dhe vlerësimit që është përgatitur për këtë qëllim (bashkëngjitur në Shtojcë 2) ku janë caktuar treguesit të performancës për masat prioritare, objektivat specifike dhe qëllimet kryesore të politikës dhe është përcaktuar përgjegjësia për mbledhjen e të dhënave. </w:t>
      </w:r>
    </w:p>
    <w:p w14:paraId="56D156A2" w14:textId="3595B8DC" w:rsidR="00005EEE" w:rsidRPr="00817921" w:rsidRDefault="00005EEE" w:rsidP="00E14B65">
      <w:pPr>
        <w:rPr>
          <w:rFonts w:ascii="Times New Roman" w:hAnsi="Times New Roman" w:cs="Times New Roman"/>
          <w:szCs w:val="22"/>
          <w:lang w:val="sq-AL"/>
        </w:rPr>
      </w:pPr>
      <w:r w:rsidRPr="00817921">
        <w:rPr>
          <w:rFonts w:ascii="Times New Roman" w:hAnsi="Times New Roman" w:cs="Times New Roman"/>
          <w:szCs w:val="22"/>
          <w:lang w:val="sq-AL"/>
        </w:rPr>
        <w:t>Monitorimi i zbatimit të veprimeve dhe ndërhyrjeve si dhe monitorimi i burimeve financiare të alokuara dhe të shpenzuara do të realizohet nga Grupin Koordinues për zbatimin e Strategjisë së paku për çdo gjashtë (6) muaj, ndërsa monitorimi i performancës në baza vjetore. Ministria do të ketë përgjegjësinë të sistematizojë informacionin e monitorimit të gjeneruar nga institucione të ndryshme dhe të prezantojë në raportin që do t'i dorëzohet Qeverisë, por edhe do të diskutohet me akterë më të gjerë.</w:t>
      </w:r>
    </w:p>
    <w:p w14:paraId="5BBA1869" w14:textId="6422AC90" w:rsidR="00005EEE" w:rsidRPr="00817921" w:rsidRDefault="00005EEE" w:rsidP="00E14B65">
      <w:pPr>
        <w:rPr>
          <w:rFonts w:ascii="Times New Roman" w:hAnsi="Times New Roman" w:cs="Times New Roman"/>
          <w:szCs w:val="22"/>
          <w:lang w:val="sq-AL"/>
        </w:rPr>
      </w:pPr>
      <w:r w:rsidRPr="00817921">
        <w:rPr>
          <w:rFonts w:ascii="Times New Roman" w:hAnsi="Times New Roman" w:cs="Times New Roman"/>
          <w:szCs w:val="22"/>
          <w:lang w:val="sq-AL"/>
        </w:rPr>
        <w:t>Sa i përket vlerësimit të Strategjisë do të kryhen dy ushtrime vlerësimi. Një pas përfundimit të fazës së parë të Strategjisë (202</w:t>
      </w:r>
      <w:r w:rsidR="00A66D98" w:rsidRPr="00817921">
        <w:rPr>
          <w:rFonts w:ascii="Times New Roman" w:hAnsi="Times New Roman" w:cs="Times New Roman"/>
          <w:szCs w:val="22"/>
          <w:lang w:val="sq-AL"/>
        </w:rPr>
        <w:t>4</w:t>
      </w:r>
      <w:r w:rsidRPr="00817921">
        <w:rPr>
          <w:rFonts w:ascii="Times New Roman" w:hAnsi="Times New Roman" w:cs="Times New Roman"/>
          <w:szCs w:val="22"/>
          <w:lang w:val="sq-AL"/>
        </w:rPr>
        <w:t>-202</w:t>
      </w:r>
      <w:r w:rsidR="00A66D98" w:rsidRPr="00817921">
        <w:rPr>
          <w:rFonts w:ascii="Times New Roman" w:hAnsi="Times New Roman" w:cs="Times New Roman"/>
          <w:szCs w:val="22"/>
          <w:lang w:val="sq-AL"/>
        </w:rPr>
        <w:t>6</w:t>
      </w:r>
      <w:r w:rsidRPr="00817921">
        <w:rPr>
          <w:rFonts w:ascii="Times New Roman" w:hAnsi="Times New Roman" w:cs="Times New Roman"/>
          <w:szCs w:val="22"/>
          <w:lang w:val="sq-AL"/>
        </w:rPr>
        <w:t>) dhe një në përfundim të Strategjisë (2030). Grupi Koordinues për zbatimin e Strategjisë do të jetë përgjegjës për koordinimin e vlerësimeve afatmesme dhe përfundimtare.</w:t>
      </w:r>
    </w:p>
    <w:p w14:paraId="05A6D5C8" w14:textId="6B3EB1F4" w:rsidR="00005EEE" w:rsidRDefault="00005EEE" w:rsidP="00E14B65">
      <w:pPr>
        <w:rPr>
          <w:rFonts w:ascii="Times New Roman" w:hAnsi="Times New Roman" w:cs="Times New Roman"/>
          <w:szCs w:val="22"/>
          <w:lang w:val="sq-AL"/>
        </w:rPr>
      </w:pPr>
      <w:r w:rsidRPr="00817921">
        <w:rPr>
          <w:rFonts w:ascii="Times New Roman" w:hAnsi="Times New Roman" w:cs="Times New Roman"/>
          <w:szCs w:val="22"/>
          <w:lang w:val="sq-AL"/>
        </w:rPr>
        <w:t xml:space="preserve">Ushtrimi i parë i </w:t>
      </w:r>
      <w:r w:rsidR="00833D22">
        <w:rPr>
          <w:rFonts w:ascii="Times New Roman" w:hAnsi="Times New Roman" w:cs="Times New Roman"/>
          <w:szCs w:val="22"/>
          <w:lang w:val="sq-AL"/>
        </w:rPr>
        <w:t xml:space="preserve">monitorimit dhe </w:t>
      </w:r>
      <w:r w:rsidRPr="00817921">
        <w:rPr>
          <w:rFonts w:ascii="Times New Roman" w:hAnsi="Times New Roman" w:cs="Times New Roman"/>
          <w:szCs w:val="22"/>
          <w:lang w:val="sq-AL"/>
        </w:rPr>
        <w:t>vlerësimit do të analizojë zbatimin e masave prioritare si dhe rezultatet e arritura. Duke bërë krahasimin me situatën bazë, vlerësimi i ndërmjetëm do të nxjerrë në pah ndryshimet në kontekstin e përgjithshëm dhe do të gjykojë nëse objektivat, masat prioritare dhe ndërjyrjet mbeten të rëndësishme përpara fillimit të fazës së dytë të Strategjisë për periudhën 2026-2028. Ky vlerësim do të shqyrtojë gjithashtu nëse ka ende një koherencë të plotë midis objektivave të strategjisë dhe prioriteteve dhe politikave kombëtare. Vlerësimi i ndërmjetëm do të mbështetet në informacionin e nxjerrë nga sistemi i monitorimit dhe nga konteksti i përgjithshëm dhe do të ofrojë udhëzime për rishikimin e planit të veprimit të Strategjisë por edhe për hartimin e planeve operative më të detajuara vjetore për periudhën e ardhshme cili do të mbulojë periudhën 2026-2028.</w:t>
      </w:r>
      <w:r w:rsidR="004B47B6">
        <w:rPr>
          <w:rFonts w:ascii="Times New Roman" w:hAnsi="Times New Roman" w:cs="Times New Roman"/>
          <w:szCs w:val="22"/>
          <w:lang w:val="sq-AL"/>
        </w:rPr>
        <w:t xml:space="preserve"> Pjes</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e monitorimit dhe vler</w:t>
      </w:r>
      <w:r w:rsidR="00984EF8">
        <w:rPr>
          <w:rFonts w:ascii="Times New Roman" w:hAnsi="Times New Roman" w:cs="Times New Roman"/>
          <w:szCs w:val="22"/>
          <w:lang w:val="sq-AL"/>
        </w:rPr>
        <w:t>ë</w:t>
      </w:r>
      <w:r w:rsidR="004B47B6">
        <w:rPr>
          <w:rFonts w:ascii="Times New Roman" w:hAnsi="Times New Roman" w:cs="Times New Roman"/>
          <w:szCs w:val="22"/>
          <w:lang w:val="sq-AL"/>
        </w:rPr>
        <w:t>simit t</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p</w:t>
      </w:r>
      <w:r w:rsidR="00984EF8">
        <w:rPr>
          <w:rFonts w:ascii="Times New Roman" w:hAnsi="Times New Roman" w:cs="Times New Roman"/>
          <w:szCs w:val="22"/>
          <w:lang w:val="sq-AL"/>
        </w:rPr>
        <w:t>ë</w:t>
      </w:r>
      <w:r w:rsidR="004B47B6">
        <w:rPr>
          <w:rFonts w:ascii="Times New Roman" w:hAnsi="Times New Roman" w:cs="Times New Roman"/>
          <w:szCs w:val="22"/>
          <w:lang w:val="sq-AL"/>
        </w:rPr>
        <w:t>rvitsh</w:t>
      </w:r>
      <w:r w:rsidR="00984EF8">
        <w:rPr>
          <w:rFonts w:ascii="Times New Roman" w:hAnsi="Times New Roman" w:cs="Times New Roman"/>
          <w:szCs w:val="22"/>
          <w:lang w:val="sq-AL"/>
        </w:rPr>
        <w:t>ë</w:t>
      </w:r>
      <w:r w:rsidR="004B47B6">
        <w:rPr>
          <w:rFonts w:ascii="Times New Roman" w:hAnsi="Times New Roman" w:cs="Times New Roman"/>
          <w:szCs w:val="22"/>
          <w:lang w:val="sq-AL"/>
        </w:rPr>
        <w:t>m dhe atij afatmes</w:t>
      </w:r>
      <w:r w:rsidR="00984EF8">
        <w:rPr>
          <w:rFonts w:ascii="Times New Roman" w:hAnsi="Times New Roman" w:cs="Times New Roman"/>
          <w:szCs w:val="22"/>
          <w:lang w:val="sq-AL"/>
        </w:rPr>
        <w:t>ë</w:t>
      </w:r>
      <w:r w:rsidR="004B47B6">
        <w:rPr>
          <w:rFonts w:ascii="Times New Roman" w:hAnsi="Times New Roman" w:cs="Times New Roman"/>
          <w:szCs w:val="22"/>
          <w:lang w:val="sq-AL"/>
        </w:rPr>
        <w:t>m dhe p</w:t>
      </w:r>
      <w:r w:rsidR="00984EF8">
        <w:rPr>
          <w:rFonts w:ascii="Times New Roman" w:hAnsi="Times New Roman" w:cs="Times New Roman"/>
          <w:szCs w:val="22"/>
          <w:lang w:val="sq-AL"/>
        </w:rPr>
        <w:t>ë</w:t>
      </w:r>
      <w:r w:rsidR="004B47B6">
        <w:rPr>
          <w:rFonts w:ascii="Times New Roman" w:hAnsi="Times New Roman" w:cs="Times New Roman"/>
          <w:szCs w:val="22"/>
          <w:lang w:val="sq-AL"/>
        </w:rPr>
        <w:t>rfundimtar do t</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jet</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konsultimi me grupet e interesit dhe shoq</w:t>
      </w:r>
      <w:r w:rsidR="00984EF8">
        <w:rPr>
          <w:rFonts w:ascii="Times New Roman" w:hAnsi="Times New Roman" w:cs="Times New Roman"/>
          <w:szCs w:val="22"/>
          <w:lang w:val="sq-AL"/>
        </w:rPr>
        <w:t>ë</w:t>
      </w:r>
      <w:r w:rsidR="004B47B6">
        <w:rPr>
          <w:rFonts w:ascii="Times New Roman" w:hAnsi="Times New Roman" w:cs="Times New Roman"/>
          <w:szCs w:val="22"/>
          <w:lang w:val="sq-AL"/>
        </w:rPr>
        <w:t>rin</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civile. </w:t>
      </w:r>
    </w:p>
    <w:p w14:paraId="6C640111" w14:textId="43B909EB" w:rsidR="00005EEE" w:rsidRPr="00817921" w:rsidRDefault="00005EEE" w:rsidP="00E14B65">
      <w:pPr>
        <w:rPr>
          <w:rFonts w:ascii="Times New Roman" w:hAnsi="Times New Roman" w:cs="Times New Roman"/>
          <w:b/>
          <w:szCs w:val="22"/>
          <w:lang w:val="sq-AL"/>
        </w:rPr>
      </w:pPr>
      <w:r w:rsidRPr="00817921">
        <w:rPr>
          <w:rFonts w:ascii="Times New Roman" w:hAnsi="Times New Roman" w:cs="Times New Roman"/>
          <w:szCs w:val="22"/>
          <w:lang w:val="sq-AL"/>
        </w:rPr>
        <w:t>Vlerësimi përfundimtar, që do të kryhet në vitet 2029 dhe 2030, do të gjykojë të gjithë ecurinë e Strategjisë. Ky vlerësim do të raportojë mbi efektivitetin (d.m.th. shkallën në të cilën janë arritur rezultatet e pritshme), rëndësinë (d.m.th. masën në të cilën objektivat e politikës së punësimit iu përgjigjën nevojave dhe prioriteteve kombëtare), efikasitetin (d.m.th nëse objektivat u arritën me koston më të ulët të mundshme) dhe qëndrueshmërinë (d.m.th. masën në të cilën rezultatet, përfshirë ndryshimet institucionale, janë të qëndrueshme me kalimin e kohës) e masave prioritare të Strategjisë.</w:t>
      </w:r>
      <w:r w:rsidR="004B47B6">
        <w:rPr>
          <w:rFonts w:ascii="Times New Roman" w:hAnsi="Times New Roman" w:cs="Times New Roman"/>
          <w:szCs w:val="22"/>
          <w:lang w:val="sq-AL"/>
        </w:rPr>
        <w:t xml:space="preserve"> Pjes</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thelb</w:t>
      </w:r>
      <w:r w:rsidR="00984EF8">
        <w:rPr>
          <w:rFonts w:ascii="Times New Roman" w:hAnsi="Times New Roman" w:cs="Times New Roman"/>
          <w:szCs w:val="22"/>
          <w:lang w:val="sq-AL"/>
        </w:rPr>
        <w:t>ë</w:t>
      </w:r>
      <w:r w:rsidR="004B47B6">
        <w:rPr>
          <w:rFonts w:ascii="Times New Roman" w:hAnsi="Times New Roman" w:cs="Times New Roman"/>
          <w:szCs w:val="22"/>
          <w:lang w:val="sq-AL"/>
        </w:rPr>
        <w:t>sore e vler</w:t>
      </w:r>
      <w:r w:rsidR="00984EF8">
        <w:rPr>
          <w:rFonts w:ascii="Times New Roman" w:hAnsi="Times New Roman" w:cs="Times New Roman"/>
          <w:szCs w:val="22"/>
          <w:lang w:val="sq-AL"/>
        </w:rPr>
        <w:t>ë</w:t>
      </w:r>
      <w:r w:rsidR="004B47B6">
        <w:rPr>
          <w:rFonts w:ascii="Times New Roman" w:hAnsi="Times New Roman" w:cs="Times New Roman"/>
          <w:szCs w:val="22"/>
          <w:lang w:val="sq-AL"/>
        </w:rPr>
        <w:t>simit do t</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jet</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analiza dhe vler</w:t>
      </w:r>
      <w:r w:rsidR="00984EF8">
        <w:rPr>
          <w:rFonts w:ascii="Times New Roman" w:hAnsi="Times New Roman" w:cs="Times New Roman"/>
          <w:szCs w:val="22"/>
          <w:lang w:val="sq-AL"/>
        </w:rPr>
        <w:t>ë</w:t>
      </w:r>
      <w:r w:rsidR="004B47B6">
        <w:rPr>
          <w:rFonts w:ascii="Times New Roman" w:hAnsi="Times New Roman" w:cs="Times New Roman"/>
          <w:szCs w:val="22"/>
          <w:lang w:val="sq-AL"/>
        </w:rPr>
        <w:t>simi financiar, p</w:t>
      </w:r>
      <w:r w:rsidR="00984EF8">
        <w:rPr>
          <w:rFonts w:ascii="Times New Roman" w:hAnsi="Times New Roman" w:cs="Times New Roman"/>
          <w:szCs w:val="22"/>
          <w:lang w:val="sq-AL"/>
        </w:rPr>
        <w:t>ë</w:t>
      </w:r>
      <w:r w:rsidR="004B47B6">
        <w:rPr>
          <w:rFonts w:ascii="Times New Roman" w:hAnsi="Times New Roman" w:cs="Times New Roman"/>
          <w:szCs w:val="22"/>
          <w:lang w:val="sq-AL"/>
        </w:rPr>
        <w:t>rfshir</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analiz</w:t>
      </w:r>
      <w:r w:rsidR="00984EF8">
        <w:rPr>
          <w:rFonts w:ascii="Times New Roman" w:hAnsi="Times New Roman" w:cs="Times New Roman"/>
          <w:szCs w:val="22"/>
          <w:lang w:val="sq-AL"/>
        </w:rPr>
        <w:t>ë</w:t>
      </w:r>
      <w:r w:rsidR="004B47B6">
        <w:rPr>
          <w:rFonts w:ascii="Times New Roman" w:hAnsi="Times New Roman" w:cs="Times New Roman"/>
          <w:szCs w:val="22"/>
          <w:lang w:val="sq-AL"/>
        </w:rPr>
        <w:t>n e investimeve dhe hendeqeve finaciare, vler</w:t>
      </w:r>
      <w:r w:rsidR="00984EF8">
        <w:rPr>
          <w:rFonts w:ascii="Times New Roman" w:hAnsi="Times New Roman" w:cs="Times New Roman"/>
          <w:szCs w:val="22"/>
          <w:lang w:val="sq-AL"/>
        </w:rPr>
        <w:t>ë</w:t>
      </w:r>
      <w:r w:rsidR="004B47B6">
        <w:rPr>
          <w:rFonts w:ascii="Times New Roman" w:hAnsi="Times New Roman" w:cs="Times New Roman"/>
          <w:szCs w:val="22"/>
          <w:lang w:val="sq-AL"/>
        </w:rPr>
        <w:t>simin e ndihm</w:t>
      </w:r>
      <w:r w:rsidR="00984EF8">
        <w:rPr>
          <w:rFonts w:ascii="Times New Roman" w:hAnsi="Times New Roman" w:cs="Times New Roman"/>
          <w:szCs w:val="22"/>
          <w:lang w:val="sq-AL"/>
        </w:rPr>
        <w:t>ë</w:t>
      </w:r>
      <w:r w:rsidR="004B47B6">
        <w:rPr>
          <w:rFonts w:ascii="Times New Roman" w:hAnsi="Times New Roman" w:cs="Times New Roman"/>
          <w:szCs w:val="22"/>
          <w:lang w:val="sq-AL"/>
        </w:rPr>
        <w:t>s s</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huaj si dhe evidentimin e instrument</w:t>
      </w:r>
      <w:r w:rsidR="00984EF8">
        <w:rPr>
          <w:rFonts w:ascii="Times New Roman" w:hAnsi="Times New Roman" w:cs="Times New Roman"/>
          <w:szCs w:val="22"/>
          <w:lang w:val="sq-AL"/>
        </w:rPr>
        <w:t>ë</w:t>
      </w:r>
      <w:r w:rsidR="004B47B6">
        <w:rPr>
          <w:rFonts w:ascii="Times New Roman" w:hAnsi="Times New Roman" w:cs="Times New Roman"/>
          <w:szCs w:val="22"/>
          <w:lang w:val="sq-AL"/>
        </w:rPr>
        <w:t>ve finaciar p</w:t>
      </w:r>
      <w:r w:rsidR="00984EF8">
        <w:rPr>
          <w:rFonts w:ascii="Times New Roman" w:hAnsi="Times New Roman" w:cs="Times New Roman"/>
          <w:szCs w:val="22"/>
          <w:lang w:val="sq-AL"/>
        </w:rPr>
        <w:t>ë</w:t>
      </w:r>
      <w:r w:rsidR="004B47B6">
        <w:rPr>
          <w:rFonts w:ascii="Times New Roman" w:hAnsi="Times New Roman" w:cs="Times New Roman"/>
          <w:szCs w:val="22"/>
          <w:lang w:val="sq-AL"/>
        </w:rPr>
        <w:t>r t</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mb</w:t>
      </w:r>
      <w:r w:rsidR="00984EF8">
        <w:rPr>
          <w:rFonts w:ascii="Times New Roman" w:hAnsi="Times New Roman" w:cs="Times New Roman"/>
          <w:szCs w:val="22"/>
          <w:lang w:val="sq-AL"/>
        </w:rPr>
        <w:t>ë</w:t>
      </w:r>
      <w:r w:rsidR="004B47B6">
        <w:rPr>
          <w:rFonts w:ascii="Times New Roman" w:hAnsi="Times New Roman" w:cs="Times New Roman"/>
          <w:szCs w:val="22"/>
          <w:lang w:val="sq-AL"/>
        </w:rPr>
        <w:t>shtetur zbatimin e plot</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t</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strategjis</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 dhe synimit p</w:t>
      </w:r>
      <w:r w:rsidR="00984EF8">
        <w:rPr>
          <w:rFonts w:ascii="Times New Roman" w:hAnsi="Times New Roman" w:cs="Times New Roman"/>
          <w:szCs w:val="22"/>
          <w:lang w:val="sq-AL"/>
        </w:rPr>
        <w:t>ë</w:t>
      </w:r>
      <w:r w:rsidR="004B47B6">
        <w:rPr>
          <w:rFonts w:ascii="Times New Roman" w:hAnsi="Times New Roman" w:cs="Times New Roman"/>
          <w:szCs w:val="22"/>
          <w:lang w:val="sq-AL"/>
        </w:rPr>
        <w:t xml:space="preserve">r arritjen e rezultateve. </w:t>
      </w:r>
    </w:p>
    <w:p w14:paraId="5389D7D8" w14:textId="77777777" w:rsidR="00005EEE" w:rsidRPr="00817921" w:rsidRDefault="00005EEE" w:rsidP="00E14B65">
      <w:pPr>
        <w:rPr>
          <w:rFonts w:ascii="Times New Roman" w:hAnsi="Times New Roman" w:cs="Times New Roman"/>
          <w:szCs w:val="22"/>
          <w:lang w:val="sq-AL"/>
        </w:rPr>
      </w:pPr>
    </w:p>
    <w:p w14:paraId="5C043702" w14:textId="77777777" w:rsidR="006E513A" w:rsidRPr="00817921" w:rsidRDefault="006E513A" w:rsidP="00E14B65">
      <w:pPr>
        <w:rPr>
          <w:rFonts w:ascii="Times New Roman" w:eastAsiaTheme="majorEastAsia" w:hAnsi="Times New Roman" w:cs="Times New Roman"/>
          <w:color w:val="2F5496" w:themeColor="accent1" w:themeShade="BF"/>
          <w:szCs w:val="22"/>
          <w:lang w:val="sq-AL"/>
        </w:rPr>
      </w:pPr>
      <w:r w:rsidRPr="00817921">
        <w:rPr>
          <w:rFonts w:ascii="Times New Roman" w:hAnsi="Times New Roman" w:cs="Times New Roman"/>
          <w:szCs w:val="22"/>
          <w:lang w:val="sq-AL"/>
        </w:rPr>
        <w:br w:type="page"/>
      </w:r>
    </w:p>
    <w:p w14:paraId="3F4092F0" w14:textId="50813D16" w:rsidR="00942922" w:rsidRPr="00817921" w:rsidRDefault="008A5B2B" w:rsidP="00B5007E">
      <w:pPr>
        <w:pStyle w:val="Heading1"/>
        <w:rPr>
          <w:b/>
          <w:lang w:val="sq-AL"/>
        </w:rPr>
      </w:pPr>
      <w:bookmarkStart w:id="66" w:name="_Toc150809639"/>
      <w:bookmarkStart w:id="67" w:name="_Toc150896505"/>
      <w:r w:rsidRPr="00817921">
        <w:rPr>
          <w:lang w:val="sq-AL"/>
        </w:rPr>
        <w:t>Burimet financiare</w:t>
      </w:r>
      <w:r w:rsidR="007B2D8F" w:rsidRPr="00817921">
        <w:rPr>
          <w:lang w:val="sq-AL"/>
        </w:rPr>
        <w:t xml:space="preserve"> për zbatimin e </w:t>
      </w:r>
      <w:proofErr w:type="spellStart"/>
      <w:r w:rsidR="007B2D8F" w:rsidRPr="00B5007E">
        <w:t>Strategjisë</w:t>
      </w:r>
      <w:bookmarkEnd w:id="66"/>
      <w:bookmarkEnd w:id="67"/>
      <w:proofErr w:type="spellEnd"/>
    </w:p>
    <w:p w14:paraId="10457637" w14:textId="77777777" w:rsidR="00085291" w:rsidRPr="00817921" w:rsidRDefault="00085291" w:rsidP="00E14B65">
      <w:pPr>
        <w:rPr>
          <w:rFonts w:ascii="Times New Roman" w:hAnsi="Times New Roman" w:cs="Times New Roman"/>
          <w:szCs w:val="22"/>
          <w:lang w:val="sq-AL"/>
        </w:rPr>
      </w:pPr>
    </w:p>
    <w:tbl>
      <w:tblPr>
        <w:tblW w:w="5000" w:type="pct"/>
        <w:tblLayout w:type="fixed"/>
        <w:tblLook w:val="04A0" w:firstRow="1" w:lastRow="0" w:firstColumn="1" w:lastColumn="0" w:noHBand="0" w:noVBand="1"/>
      </w:tblPr>
      <w:tblGrid>
        <w:gridCol w:w="501"/>
        <w:gridCol w:w="5025"/>
        <w:gridCol w:w="1916"/>
        <w:gridCol w:w="1762"/>
      </w:tblGrid>
      <w:tr w:rsidR="00C01E16" w:rsidRPr="007A3AD7" w14:paraId="3F2C1F87" w14:textId="77777777" w:rsidTr="00FE29E1">
        <w:trPr>
          <w:trHeight w:val="38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A834E" w14:textId="71E6C812" w:rsidR="00C01E16" w:rsidRPr="00817921" w:rsidRDefault="00C01E16" w:rsidP="00C01E16">
            <w:pPr>
              <w:spacing w:before="0" w:after="0" w:line="240" w:lineRule="auto"/>
              <w:jc w:val="center"/>
              <w:rPr>
                <w:rFonts w:ascii="Times New Roman" w:eastAsia="Times New Roman" w:hAnsi="Times New Roman" w:cs="Times New Roman"/>
                <w:b/>
                <w:bCs/>
                <w:color w:val="000000"/>
                <w:szCs w:val="22"/>
                <w:lang w:val="sq-AL" w:eastAsia="en-GB"/>
              </w:rPr>
            </w:pPr>
            <w:r w:rsidRPr="00817921">
              <w:rPr>
                <w:rFonts w:ascii="Times New Roman" w:eastAsia="Times New Roman" w:hAnsi="Times New Roman" w:cs="Times New Roman"/>
                <w:b/>
                <w:bCs/>
                <w:color w:val="000000"/>
                <w:szCs w:val="22"/>
                <w:lang w:val="sq-AL" w:eastAsia="en-GB"/>
              </w:rPr>
              <w:t>Buxheti Total 202</w:t>
            </w:r>
            <w:r w:rsidR="00614F39" w:rsidRPr="00817921">
              <w:rPr>
                <w:rFonts w:ascii="Times New Roman" w:eastAsia="Times New Roman" w:hAnsi="Times New Roman" w:cs="Times New Roman"/>
                <w:b/>
                <w:bCs/>
                <w:color w:val="000000"/>
                <w:szCs w:val="22"/>
                <w:lang w:val="sq-AL" w:eastAsia="en-GB"/>
              </w:rPr>
              <w:t>4</w:t>
            </w:r>
            <w:r w:rsidRPr="00817921">
              <w:rPr>
                <w:rFonts w:ascii="Times New Roman" w:eastAsia="Times New Roman" w:hAnsi="Times New Roman" w:cs="Times New Roman"/>
                <w:b/>
                <w:bCs/>
                <w:color w:val="000000"/>
                <w:szCs w:val="22"/>
                <w:lang w:val="sq-AL" w:eastAsia="en-GB"/>
              </w:rPr>
              <w:t>-2030 (ALL)</w:t>
            </w:r>
          </w:p>
        </w:tc>
      </w:tr>
      <w:tr w:rsidR="00C01E16" w:rsidRPr="007A3AD7" w14:paraId="025FF7BA" w14:textId="77777777" w:rsidTr="00614F39">
        <w:trPr>
          <w:trHeight w:val="1280"/>
        </w:trPr>
        <w:tc>
          <w:tcPr>
            <w:tcW w:w="272"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AC24FDE" w14:textId="0E207A27" w:rsidR="00C01E16" w:rsidRPr="00817921" w:rsidRDefault="00C01E16" w:rsidP="00C01E16">
            <w:pPr>
              <w:spacing w:before="0" w:after="0" w:line="240" w:lineRule="auto"/>
              <w:jc w:val="center"/>
              <w:rPr>
                <w:rFonts w:ascii="Times New Roman" w:eastAsia="Times New Roman" w:hAnsi="Times New Roman" w:cs="Times New Roman"/>
                <w:color w:val="000000"/>
                <w:szCs w:val="22"/>
                <w:lang w:val="sq-AL" w:eastAsia="en-GB"/>
              </w:rPr>
            </w:pPr>
            <w:r w:rsidRPr="00817921">
              <w:rPr>
                <w:rFonts w:ascii="Times New Roman" w:eastAsia="Times New Roman" w:hAnsi="Times New Roman" w:cs="Times New Roman"/>
                <w:color w:val="000000"/>
                <w:szCs w:val="22"/>
                <w:lang w:val="sq-AL" w:eastAsia="en-GB"/>
              </w:rPr>
              <w:t>Qëllimi I politikës 1</w:t>
            </w:r>
          </w:p>
        </w:tc>
        <w:tc>
          <w:tcPr>
            <w:tcW w:w="2730" w:type="pct"/>
            <w:tcBorders>
              <w:top w:val="nil"/>
              <w:left w:val="nil"/>
              <w:bottom w:val="single" w:sz="4" w:space="0" w:color="auto"/>
              <w:right w:val="single" w:sz="4" w:space="0" w:color="auto"/>
            </w:tcBorders>
            <w:shd w:val="clear" w:color="auto" w:fill="auto"/>
            <w:vAlign w:val="center"/>
            <w:hideMark/>
          </w:tcPr>
          <w:p w14:paraId="2B7EB89D" w14:textId="213CF366" w:rsidR="00C01E16" w:rsidRPr="00817921" w:rsidRDefault="00C01E16" w:rsidP="00C01E16">
            <w:pPr>
              <w:spacing w:before="0" w:after="0" w:line="240" w:lineRule="auto"/>
              <w:jc w:val="left"/>
              <w:rPr>
                <w:rFonts w:ascii="Times New Roman" w:eastAsia="Times New Roman" w:hAnsi="Times New Roman" w:cs="Times New Roman"/>
                <w:color w:val="000000"/>
                <w:szCs w:val="22"/>
                <w:lang w:val="sq-AL" w:eastAsia="en-GB"/>
              </w:rPr>
            </w:pPr>
            <w:r w:rsidRPr="00817921">
              <w:rPr>
                <w:rFonts w:ascii="Times New Roman" w:eastAsia="Times New Roman" w:hAnsi="Times New Roman" w:cs="Times New Roman"/>
                <w:color w:val="000000"/>
                <w:szCs w:val="22"/>
                <w:lang w:val="sq-AL" w:eastAsia="en-GB"/>
              </w:rPr>
              <w:t xml:space="preserve"> OBJEKTIVI SPECIFIK 1.1: </w:t>
            </w:r>
          </w:p>
        </w:tc>
        <w:tc>
          <w:tcPr>
            <w:tcW w:w="1041" w:type="pct"/>
            <w:tcBorders>
              <w:top w:val="nil"/>
              <w:left w:val="nil"/>
              <w:bottom w:val="single" w:sz="4" w:space="0" w:color="auto"/>
              <w:right w:val="single" w:sz="4" w:space="0" w:color="auto"/>
            </w:tcBorders>
            <w:shd w:val="clear" w:color="auto" w:fill="auto"/>
            <w:noWrap/>
            <w:vAlign w:val="center"/>
            <w:hideMark/>
          </w:tcPr>
          <w:p w14:paraId="377D2505" w14:textId="6230733F" w:rsidR="00C01E16" w:rsidRPr="00817921" w:rsidRDefault="00C01E16" w:rsidP="00C01E16">
            <w:pPr>
              <w:spacing w:before="0" w:after="0" w:line="240" w:lineRule="auto"/>
              <w:jc w:val="right"/>
              <w:rPr>
                <w:rFonts w:ascii="Times New Roman" w:eastAsia="Times New Roman" w:hAnsi="Times New Roman" w:cs="Times New Roman"/>
                <w:color w:val="000000"/>
                <w:szCs w:val="22"/>
                <w:lang w:val="sq-AL" w:eastAsia="en-GB"/>
              </w:rPr>
            </w:pPr>
          </w:p>
        </w:tc>
        <w:tc>
          <w:tcPr>
            <w:tcW w:w="95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701FD51" w14:textId="6BD596BD" w:rsidR="00C01E16" w:rsidRPr="00817921" w:rsidRDefault="00C01E16" w:rsidP="00C01E16">
            <w:pPr>
              <w:spacing w:before="0" w:after="0" w:line="240" w:lineRule="auto"/>
              <w:jc w:val="center"/>
              <w:rPr>
                <w:rFonts w:ascii="Times New Roman" w:eastAsia="Times New Roman" w:hAnsi="Times New Roman" w:cs="Times New Roman"/>
                <w:b/>
                <w:bCs/>
                <w:color w:val="000000"/>
                <w:szCs w:val="22"/>
                <w:lang w:val="sq-AL" w:eastAsia="en-GB"/>
              </w:rPr>
            </w:pPr>
          </w:p>
        </w:tc>
      </w:tr>
      <w:tr w:rsidR="00C01E16" w:rsidRPr="007A3AD7" w14:paraId="66F9F397" w14:textId="77777777" w:rsidTr="00614F39">
        <w:trPr>
          <w:trHeight w:val="640"/>
        </w:trPr>
        <w:tc>
          <w:tcPr>
            <w:tcW w:w="272" w:type="pct"/>
            <w:vMerge/>
            <w:tcBorders>
              <w:top w:val="nil"/>
              <w:left w:val="single" w:sz="4" w:space="0" w:color="auto"/>
              <w:bottom w:val="single" w:sz="4" w:space="0" w:color="auto"/>
              <w:right w:val="single" w:sz="4" w:space="0" w:color="auto"/>
            </w:tcBorders>
            <w:vAlign w:val="center"/>
            <w:hideMark/>
          </w:tcPr>
          <w:p w14:paraId="36AF523E" w14:textId="77777777" w:rsidR="00C01E16" w:rsidRPr="00817921" w:rsidRDefault="00C01E16" w:rsidP="00C01E16">
            <w:pPr>
              <w:spacing w:before="0" w:after="0" w:line="240" w:lineRule="auto"/>
              <w:jc w:val="left"/>
              <w:rPr>
                <w:rFonts w:ascii="Times New Roman" w:eastAsia="Times New Roman" w:hAnsi="Times New Roman" w:cs="Times New Roman"/>
                <w:color w:val="000000"/>
                <w:szCs w:val="22"/>
                <w:lang w:val="sq-AL" w:eastAsia="en-GB"/>
              </w:rPr>
            </w:pPr>
          </w:p>
        </w:tc>
        <w:tc>
          <w:tcPr>
            <w:tcW w:w="2730" w:type="pct"/>
            <w:tcBorders>
              <w:top w:val="nil"/>
              <w:left w:val="nil"/>
              <w:bottom w:val="single" w:sz="4" w:space="0" w:color="auto"/>
              <w:right w:val="single" w:sz="4" w:space="0" w:color="auto"/>
            </w:tcBorders>
            <w:shd w:val="clear" w:color="auto" w:fill="auto"/>
            <w:vAlign w:val="center"/>
            <w:hideMark/>
          </w:tcPr>
          <w:p w14:paraId="7EF2ECCA" w14:textId="3A525DD5" w:rsidR="00C01E16" w:rsidRPr="00817921" w:rsidRDefault="00C01E16" w:rsidP="00C01E16">
            <w:pPr>
              <w:spacing w:before="0" w:after="0" w:line="240" w:lineRule="auto"/>
              <w:jc w:val="left"/>
              <w:rPr>
                <w:rFonts w:ascii="Times New Roman" w:eastAsia="Times New Roman" w:hAnsi="Times New Roman" w:cs="Times New Roman"/>
                <w:color w:val="000000"/>
                <w:szCs w:val="22"/>
                <w:lang w:val="sq-AL" w:eastAsia="en-GB"/>
              </w:rPr>
            </w:pPr>
            <w:r w:rsidRPr="00817921">
              <w:rPr>
                <w:rFonts w:ascii="Times New Roman" w:eastAsia="Times New Roman" w:hAnsi="Times New Roman" w:cs="Times New Roman"/>
                <w:color w:val="000000"/>
                <w:szCs w:val="22"/>
                <w:lang w:val="sq-AL" w:eastAsia="en-GB"/>
              </w:rPr>
              <w:t xml:space="preserve">OBJEKTIVI SPECIFIK 1.2: </w:t>
            </w:r>
          </w:p>
        </w:tc>
        <w:tc>
          <w:tcPr>
            <w:tcW w:w="1041" w:type="pct"/>
            <w:tcBorders>
              <w:top w:val="nil"/>
              <w:left w:val="nil"/>
              <w:bottom w:val="single" w:sz="4" w:space="0" w:color="auto"/>
              <w:right w:val="single" w:sz="4" w:space="0" w:color="auto"/>
            </w:tcBorders>
            <w:shd w:val="clear" w:color="auto" w:fill="auto"/>
            <w:noWrap/>
            <w:vAlign w:val="center"/>
            <w:hideMark/>
          </w:tcPr>
          <w:p w14:paraId="4872F12D" w14:textId="77C21612" w:rsidR="00C01E16" w:rsidRPr="00817921" w:rsidRDefault="00C01E16" w:rsidP="00C01E16">
            <w:pPr>
              <w:spacing w:before="0" w:after="0" w:line="240" w:lineRule="auto"/>
              <w:jc w:val="right"/>
              <w:rPr>
                <w:rFonts w:ascii="Times New Roman" w:eastAsia="Times New Roman" w:hAnsi="Times New Roman" w:cs="Times New Roman"/>
                <w:color w:val="000000"/>
                <w:szCs w:val="22"/>
                <w:lang w:val="sq-AL" w:eastAsia="en-GB"/>
              </w:rPr>
            </w:pPr>
          </w:p>
        </w:tc>
        <w:tc>
          <w:tcPr>
            <w:tcW w:w="957" w:type="pct"/>
            <w:vMerge/>
            <w:tcBorders>
              <w:top w:val="nil"/>
              <w:left w:val="single" w:sz="4" w:space="0" w:color="auto"/>
              <w:bottom w:val="single" w:sz="4" w:space="0" w:color="auto"/>
              <w:right w:val="single" w:sz="4" w:space="0" w:color="auto"/>
            </w:tcBorders>
            <w:vAlign w:val="center"/>
            <w:hideMark/>
          </w:tcPr>
          <w:p w14:paraId="7C9B257C" w14:textId="77777777" w:rsidR="00C01E16" w:rsidRPr="00817921" w:rsidRDefault="00C01E16" w:rsidP="00C01E16">
            <w:pPr>
              <w:spacing w:before="0" w:after="0" w:line="240" w:lineRule="auto"/>
              <w:jc w:val="left"/>
              <w:rPr>
                <w:rFonts w:ascii="Times New Roman" w:eastAsia="Times New Roman" w:hAnsi="Times New Roman" w:cs="Times New Roman"/>
                <w:b/>
                <w:bCs/>
                <w:color w:val="000000"/>
                <w:szCs w:val="22"/>
                <w:lang w:val="sq-AL" w:eastAsia="en-GB"/>
              </w:rPr>
            </w:pPr>
          </w:p>
        </w:tc>
      </w:tr>
      <w:tr w:rsidR="00C01E16" w:rsidRPr="007A3AD7" w14:paraId="70B8393B" w14:textId="77777777" w:rsidTr="00614F39">
        <w:trPr>
          <w:trHeight w:val="640"/>
        </w:trPr>
        <w:tc>
          <w:tcPr>
            <w:tcW w:w="272" w:type="pct"/>
            <w:vMerge/>
            <w:tcBorders>
              <w:top w:val="nil"/>
              <w:left w:val="single" w:sz="4" w:space="0" w:color="auto"/>
              <w:bottom w:val="single" w:sz="4" w:space="0" w:color="auto"/>
              <w:right w:val="single" w:sz="4" w:space="0" w:color="auto"/>
            </w:tcBorders>
            <w:vAlign w:val="center"/>
            <w:hideMark/>
          </w:tcPr>
          <w:p w14:paraId="1E02D747" w14:textId="77777777" w:rsidR="00C01E16" w:rsidRPr="00817921" w:rsidRDefault="00C01E16" w:rsidP="00C01E16">
            <w:pPr>
              <w:spacing w:before="0" w:after="0" w:line="240" w:lineRule="auto"/>
              <w:jc w:val="left"/>
              <w:rPr>
                <w:rFonts w:ascii="Times New Roman" w:eastAsia="Times New Roman" w:hAnsi="Times New Roman" w:cs="Times New Roman"/>
                <w:color w:val="000000"/>
                <w:szCs w:val="22"/>
                <w:lang w:val="sq-AL" w:eastAsia="en-GB"/>
              </w:rPr>
            </w:pPr>
          </w:p>
        </w:tc>
        <w:tc>
          <w:tcPr>
            <w:tcW w:w="2730" w:type="pct"/>
            <w:tcBorders>
              <w:top w:val="nil"/>
              <w:left w:val="nil"/>
              <w:bottom w:val="single" w:sz="4" w:space="0" w:color="auto"/>
              <w:right w:val="single" w:sz="4" w:space="0" w:color="auto"/>
            </w:tcBorders>
            <w:shd w:val="clear" w:color="auto" w:fill="auto"/>
            <w:vAlign w:val="center"/>
            <w:hideMark/>
          </w:tcPr>
          <w:p w14:paraId="6E097616" w14:textId="04E67CB0" w:rsidR="00C01E16" w:rsidRPr="00817921" w:rsidRDefault="00C01E16" w:rsidP="00C01E16">
            <w:pPr>
              <w:spacing w:before="0" w:after="0" w:line="240" w:lineRule="auto"/>
              <w:jc w:val="left"/>
              <w:rPr>
                <w:rFonts w:ascii="Times New Roman" w:eastAsia="Times New Roman" w:hAnsi="Times New Roman" w:cs="Times New Roman"/>
                <w:color w:val="000000"/>
                <w:szCs w:val="22"/>
                <w:lang w:val="sq-AL" w:eastAsia="en-GB"/>
              </w:rPr>
            </w:pPr>
            <w:r w:rsidRPr="00817921">
              <w:rPr>
                <w:rFonts w:ascii="Times New Roman" w:eastAsia="Times New Roman" w:hAnsi="Times New Roman" w:cs="Times New Roman"/>
                <w:color w:val="000000"/>
                <w:szCs w:val="22"/>
                <w:lang w:val="sq-AL" w:eastAsia="en-GB"/>
              </w:rPr>
              <w:t xml:space="preserve"> OBJEKTIVI SPECIFIK 1.3: </w:t>
            </w:r>
          </w:p>
        </w:tc>
        <w:tc>
          <w:tcPr>
            <w:tcW w:w="1041" w:type="pct"/>
            <w:tcBorders>
              <w:top w:val="nil"/>
              <w:left w:val="nil"/>
              <w:bottom w:val="single" w:sz="4" w:space="0" w:color="auto"/>
              <w:right w:val="single" w:sz="4" w:space="0" w:color="auto"/>
            </w:tcBorders>
            <w:shd w:val="clear" w:color="auto" w:fill="auto"/>
            <w:noWrap/>
            <w:vAlign w:val="center"/>
            <w:hideMark/>
          </w:tcPr>
          <w:p w14:paraId="7C042C24" w14:textId="7C04C791" w:rsidR="00C01E16" w:rsidRPr="00817921" w:rsidRDefault="00C01E16" w:rsidP="00C01E16">
            <w:pPr>
              <w:spacing w:before="0" w:after="0" w:line="240" w:lineRule="auto"/>
              <w:jc w:val="right"/>
              <w:rPr>
                <w:rFonts w:ascii="Times New Roman" w:eastAsia="Times New Roman" w:hAnsi="Times New Roman" w:cs="Times New Roman"/>
                <w:color w:val="000000"/>
                <w:szCs w:val="22"/>
                <w:lang w:val="sq-AL" w:eastAsia="en-GB"/>
              </w:rPr>
            </w:pPr>
          </w:p>
        </w:tc>
        <w:tc>
          <w:tcPr>
            <w:tcW w:w="957" w:type="pct"/>
            <w:vMerge/>
            <w:tcBorders>
              <w:top w:val="nil"/>
              <w:left w:val="single" w:sz="4" w:space="0" w:color="auto"/>
              <w:bottom w:val="single" w:sz="4" w:space="0" w:color="auto"/>
              <w:right w:val="single" w:sz="4" w:space="0" w:color="auto"/>
            </w:tcBorders>
            <w:vAlign w:val="center"/>
            <w:hideMark/>
          </w:tcPr>
          <w:p w14:paraId="471E4E8C" w14:textId="77777777" w:rsidR="00C01E16" w:rsidRPr="00817921" w:rsidRDefault="00C01E16" w:rsidP="00C01E16">
            <w:pPr>
              <w:spacing w:before="0" w:after="0" w:line="240" w:lineRule="auto"/>
              <w:jc w:val="left"/>
              <w:rPr>
                <w:rFonts w:ascii="Times New Roman" w:eastAsia="Times New Roman" w:hAnsi="Times New Roman" w:cs="Times New Roman"/>
                <w:b/>
                <w:bCs/>
                <w:color w:val="000000"/>
                <w:szCs w:val="22"/>
                <w:lang w:val="sq-AL" w:eastAsia="en-GB"/>
              </w:rPr>
            </w:pPr>
          </w:p>
        </w:tc>
      </w:tr>
      <w:tr w:rsidR="00614F39" w:rsidRPr="007A3AD7" w14:paraId="4D5FA492" w14:textId="77777777" w:rsidTr="00614F39">
        <w:trPr>
          <w:trHeight w:val="1184"/>
        </w:trPr>
        <w:tc>
          <w:tcPr>
            <w:tcW w:w="272"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6788D9C" w14:textId="14C4405A" w:rsidR="00614F39" w:rsidRPr="00817921" w:rsidRDefault="00614F39" w:rsidP="00C01E16">
            <w:pPr>
              <w:spacing w:before="0" w:after="0" w:line="240" w:lineRule="auto"/>
              <w:jc w:val="center"/>
              <w:rPr>
                <w:rFonts w:ascii="Times New Roman" w:eastAsia="Times New Roman" w:hAnsi="Times New Roman" w:cs="Times New Roman"/>
                <w:color w:val="000000"/>
                <w:szCs w:val="22"/>
                <w:lang w:val="sq-AL" w:eastAsia="en-GB"/>
              </w:rPr>
            </w:pPr>
            <w:r w:rsidRPr="00817921">
              <w:rPr>
                <w:rFonts w:ascii="Times New Roman" w:eastAsia="Times New Roman" w:hAnsi="Times New Roman" w:cs="Times New Roman"/>
                <w:color w:val="000000"/>
                <w:szCs w:val="22"/>
                <w:lang w:val="sq-AL" w:eastAsia="en-GB"/>
              </w:rPr>
              <w:t>Qëllimi I politikës 2</w:t>
            </w:r>
          </w:p>
        </w:tc>
        <w:tc>
          <w:tcPr>
            <w:tcW w:w="2730" w:type="pct"/>
            <w:tcBorders>
              <w:top w:val="nil"/>
              <w:left w:val="nil"/>
              <w:bottom w:val="single" w:sz="4" w:space="0" w:color="auto"/>
              <w:right w:val="single" w:sz="4" w:space="0" w:color="auto"/>
            </w:tcBorders>
            <w:shd w:val="clear" w:color="auto" w:fill="auto"/>
            <w:vAlign w:val="center"/>
            <w:hideMark/>
          </w:tcPr>
          <w:p w14:paraId="39DD7935" w14:textId="194A2A48" w:rsidR="00614F39" w:rsidRPr="00817921" w:rsidRDefault="00614F39" w:rsidP="00C01E16">
            <w:pPr>
              <w:spacing w:before="0" w:after="0" w:line="240" w:lineRule="auto"/>
              <w:jc w:val="left"/>
              <w:rPr>
                <w:rFonts w:ascii="Times New Roman" w:eastAsia="Times New Roman" w:hAnsi="Times New Roman" w:cs="Times New Roman"/>
                <w:color w:val="000000"/>
                <w:szCs w:val="22"/>
                <w:lang w:val="sq-AL" w:eastAsia="en-GB"/>
              </w:rPr>
            </w:pPr>
            <w:r w:rsidRPr="00817921">
              <w:rPr>
                <w:rFonts w:ascii="Times New Roman" w:eastAsia="Times New Roman" w:hAnsi="Times New Roman" w:cs="Times New Roman"/>
                <w:color w:val="000000"/>
                <w:szCs w:val="22"/>
                <w:lang w:val="sq-AL" w:eastAsia="en-GB"/>
              </w:rPr>
              <w:t xml:space="preserve"> OBJEKTIVI SPECIFIK 2.1: </w:t>
            </w:r>
          </w:p>
        </w:tc>
        <w:tc>
          <w:tcPr>
            <w:tcW w:w="1041" w:type="pct"/>
            <w:tcBorders>
              <w:top w:val="nil"/>
              <w:left w:val="nil"/>
              <w:bottom w:val="single" w:sz="4" w:space="0" w:color="auto"/>
              <w:right w:val="single" w:sz="4" w:space="0" w:color="auto"/>
            </w:tcBorders>
            <w:shd w:val="clear" w:color="auto" w:fill="auto"/>
            <w:noWrap/>
            <w:vAlign w:val="center"/>
            <w:hideMark/>
          </w:tcPr>
          <w:p w14:paraId="007FB070" w14:textId="5E691011" w:rsidR="00614F39" w:rsidRPr="00817921" w:rsidRDefault="00614F39" w:rsidP="00C01E16">
            <w:pPr>
              <w:spacing w:before="0" w:after="0" w:line="240" w:lineRule="auto"/>
              <w:jc w:val="right"/>
              <w:rPr>
                <w:rFonts w:ascii="Times New Roman" w:eastAsia="Times New Roman" w:hAnsi="Times New Roman" w:cs="Times New Roman"/>
                <w:color w:val="000000"/>
                <w:szCs w:val="22"/>
                <w:lang w:val="sq-AL" w:eastAsia="en-GB"/>
              </w:rPr>
            </w:pPr>
          </w:p>
        </w:tc>
        <w:tc>
          <w:tcPr>
            <w:tcW w:w="957" w:type="pct"/>
            <w:vMerge w:val="restart"/>
            <w:tcBorders>
              <w:top w:val="nil"/>
              <w:left w:val="single" w:sz="4" w:space="0" w:color="auto"/>
              <w:right w:val="single" w:sz="4" w:space="0" w:color="auto"/>
            </w:tcBorders>
            <w:shd w:val="clear" w:color="auto" w:fill="auto"/>
            <w:noWrap/>
            <w:vAlign w:val="center"/>
            <w:hideMark/>
          </w:tcPr>
          <w:p w14:paraId="3DA0656C" w14:textId="7F9A48E5" w:rsidR="00614F39" w:rsidRPr="00817921" w:rsidRDefault="00614F39" w:rsidP="00C01E16">
            <w:pPr>
              <w:spacing w:before="0" w:after="0" w:line="240" w:lineRule="auto"/>
              <w:jc w:val="center"/>
              <w:rPr>
                <w:rFonts w:ascii="Times New Roman" w:eastAsia="Times New Roman" w:hAnsi="Times New Roman" w:cs="Times New Roman"/>
                <w:b/>
                <w:bCs/>
                <w:color w:val="000000"/>
                <w:szCs w:val="22"/>
                <w:lang w:val="sq-AL" w:eastAsia="en-GB"/>
              </w:rPr>
            </w:pPr>
          </w:p>
        </w:tc>
      </w:tr>
      <w:tr w:rsidR="00614F39" w:rsidRPr="007A3AD7" w14:paraId="6306E1E7" w14:textId="77777777" w:rsidTr="00614F39">
        <w:trPr>
          <w:trHeight w:val="832"/>
        </w:trPr>
        <w:tc>
          <w:tcPr>
            <w:tcW w:w="272" w:type="pct"/>
            <w:vMerge/>
            <w:tcBorders>
              <w:top w:val="nil"/>
              <w:left w:val="single" w:sz="4" w:space="0" w:color="auto"/>
              <w:bottom w:val="single" w:sz="4" w:space="0" w:color="auto"/>
              <w:right w:val="single" w:sz="4" w:space="0" w:color="auto"/>
            </w:tcBorders>
            <w:vAlign w:val="center"/>
            <w:hideMark/>
          </w:tcPr>
          <w:p w14:paraId="69394D27" w14:textId="77777777" w:rsidR="00614F39" w:rsidRPr="00817921" w:rsidRDefault="00614F39" w:rsidP="00C01E16">
            <w:pPr>
              <w:spacing w:before="0" w:after="0" w:line="240" w:lineRule="auto"/>
              <w:jc w:val="left"/>
              <w:rPr>
                <w:rFonts w:ascii="Times New Roman" w:eastAsia="Times New Roman" w:hAnsi="Times New Roman" w:cs="Times New Roman"/>
                <w:color w:val="000000"/>
                <w:szCs w:val="22"/>
                <w:lang w:val="sq-AL" w:eastAsia="en-GB"/>
              </w:rPr>
            </w:pPr>
          </w:p>
        </w:tc>
        <w:tc>
          <w:tcPr>
            <w:tcW w:w="2730" w:type="pct"/>
            <w:tcBorders>
              <w:top w:val="nil"/>
              <w:left w:val="nil"/>
              <w:bottom w:val="single" w:sz="4" w:space="0" w:color="auto"/>
              <w:right w:val="single" w:sz="4" w:space="0" w:color="auto"/>
            </w:tcBorders>
            <w:shd w:val="clear" w:color="auto" w:fill="auto"/>
            <w:vAlign w:val="center"/>
            <w:hideMark/>
          </w:tcPr>
          <w:p w14:paraId="5651C262" w14:textId="4D44C46D" w:rsidR="00614F39" w:rsidRPr="00817921" w:rsidRDefault="00614F39" w:rsidP="00C01E16">
            <w:pPr>
              <w:spacing w:before="0" w:after="0" w:line="240" w:lineRule="auto"/>
              <w:jc w:val="left"/>
              <w:rPr>
                <w:rFonts w:ascii="Times New Roman" w:eastAsia="Times New Roman" w:hAnsi="Times New Roman" w:cs="Times New Roman"/>
                <w:color w:val="000000"/>
                <w:szCs w:val="22"/>
                <w:lang w:val="sq-AL" w:eastAsia="en-GB"/>
              </w:rPr>
            </w:pPr>
            <w:r w:rsidRPr="00817921">
              <w:rPr>
                <w:rFonts w:ascii="Times New Roman" w:eastAsia="Times New Roman" w:hAnsi="Times New Roman" w:cs="Times New Roman"/>
                <w:color w:val="000000"/>
                <w:szCs w:val="22"/>
                <w:lang w:val="sq-AL" w:eastAsia="en-GB"/>
              </w:rPr>
              <w:t xml:space="preserve"> OBJEKTIVI SPECIFIK 2.2: </w:t>
            </w:r>
          </w:p>
        </w:tc>
        <w:tc>
          <w:tcPr>
            <w:tcW w:w="1041" w:type="pct"/>
            <w:tcBorders>
              <w:top w:val="nil"/>
              <w:left w:val="nil"/>
              <w:bottom w:val="single" w:sz="4" w:space="0" w:color="auto"/>
              <w:right w:val="single" w:sz="4" w:space="0" w:color="auto"/>
            </w:tcBorders>
            <w:shd w:val="clear" w:color="auto" w:fill="auto"/>
            <w:noWrap/>
            <w:vAlign w:val="center"/>
            <w:hideMark/>
          </w:tcPr>
          <w:p w14:paraId="199B150D" w14:textId="5CEB6889" w:rsidR="00614F39" w:rsidRPr="00817921" w:rsidRDefault="00614F39" w:rsidP="00C01E16">
            <w:pPr>
              <w:spacing w:before="0" w:after="0" w:line="240" w:lineRule="auto"/>
              <w:jc w:val="right"/>
              <w:rPr>
                <w:rFonts w:ascii="Times New Roman" w:eastAsia="Times New Roman" w:hAnsi="Times New Roman" w:cs="Times New Roman"/>
                <w:color w:val="000000"/>
                <w:szCs w:val="22"/>
                <w:lang w:val="sq-AL" w:eastAsia="en-GB"/>
              </w:rPr>
            </w:pPr>
          </w:p>
        </w:tc>
        <w:tc>
          <w:tcPr>
            <w:tcW w:w="957" w:type="pct"/>
            <w:vMerge/>
            <w:tcBorders>
              <w:left w:val="single" w:sz="4" w:space="0" w:color="auto"/>
              <w:right w:val="single" w:sz="4" w:space="0" w:color="auto"/>
            </w:tcBorders>
            <w:vAlign w:val="center"/>
            <w:hideMark/>
          </w:tcPr>
          <w:p w14:paraId="6D835954" w14:textId="77777777" w:rsidR="00614F39" w:rsidRPr="00817921" w:rsidRDefault="00614F39" w:rsidP="00C01E16">
            <w:pPr>
              <w:spacing w:before="0" w:after="0" w:line="240" w:lineRule="auto"/>
              <w:jc w:val="left"/>
              <w:rPr>
                <w:rFonts w:ascii="Times New Roman" w:eastAsia="Times New Roman" w:hAnsi="Times New Roman" w:cs="Times New Roman"/>
                <w:color w:val="000000"/>
                <w:szCs w:val="22"/>
                <w:lang w:val="sq-AL" w:eastAsia="en-GB"/>
              </w:rPr>
            </w:pPr>
          </w:p>
        </w:tc>
      </w:tr>
      <w:tr w:rsidR="00614F39" w:rsidRPr="007A3AD7" w14:paraId="43A9F043" w14:textId="77777777" w:rsidTr="00614F39">
        <w:trPr>
          <w:trHeight w:val="832"/>
        </w:trPr>
        <w:tc>
          <w:tcPr>
            <w:tcW w:w="272" w:type="pct"/>
            <w:tcBorders>
              <w:top w:val="nil"/>
              <w:left w:val="single" w:sz="4" w:space="0" w:color="auto"/>
              <w:bottom w:val="single" w:sz="4" w:space="0" w:color="auto"/>
              <w:right w:val="single" w:sz="4" w:space="0" w:color="auto"/>
            </w:tcBorders>
            <w:vAlign w:val="center"/>
          </w:tcPr>
          <w:p w14:paraId="12F9E66D" w14:textId="77777777" w:rsidR="00614F39" w:rsidRPr="00817921" w:rsidRDefault="00614F39" w:rsidP="00614F39">
            <w:pPr>
              <w:spacing w:before="0" w:after="0" w:line="240" w:lineRule="auto"/>
              <w:jc w:val="left"/>
              <w:rPr>
                <w:rFonts w:ascii="Times New Roman" w:eastAsia="Times New Roman" w:hAnsi="Times New Roman" w:cs="Times New Roman"/>
                <w:color w:val="000000"/>
                <w:szCs w:val="22"/>
                <w:lang w:val="sq-AL" w:eastAsia="en-GB"/>
              </w:rPr>
            </w:pPr>
          </w:p>
        </w:tc>
        <w:tc>
          <w:tcPr>
            <w:tcW w:w="2730" w:type="pct"/>
            <w:tcBorders>
              <w:top w:val="nil"/>
              <w:left w:val="nil"/>
              <w:bottom w:val="single" w:sz="4" w:space="0" w:color="auto"/>
              <w:right w:val="single" w:sz="4" w:space="0" w:color="auto"/>
            </w:tcBorders>
            <w:shd w:val="clear" w:color="auto" w:fill="auto"/>
            <w:vAlign w:val="center"/>
          </w:tcPr>
          <w:p w14:paraId="18098EAF" w14:textId="5F5F35D9" w:rsidR="00614F39" w:rsidRPr="00817921" w:rsidRDefault="00614F39" w:rsidP="00614F39">
            <w:pPr>
              <w:spacing w:before="0" w:after="0" w:line="240" w:lineRule="auto"/>
              <w:jc w:val="left"/>
              <w:rPr>
                <w:rFonts w:ascii="Times New Roman" w:eastAsia="Times New Roman" w:hAnsi="Times New Roman" w:cs="Times New Roman"/>
                <w:color w:val="000000"/>
                <w:szCs w:val="22"/>
                <w:lang w:val="sq-AL" w:eastAsia="en-GB"/>
              </w:rPr>
            </w:pPr>
            <w:r w:rsidRPr="00817921">
              <w:rPr>
                <w:rFonts w:ascii="Times New Roman" w:eastAsia="Times New Roman" w:hAnsi="Times New Roman" w:cs="Times New Roman"/>
                <w:color w:val="000000"/>
                <w:szCs w:val="22"/>
                <w:lang w:val="sq-AL" w:eastAsia="en-GB"/>
              </w:rPr>
              <w:t xml:space="preserve"> OBJEKTIVI SPECIFIK 2.3: </w:t>
            </w:r>
          </w:p>
        </w:tc>
        <w:tc>
          <w:tcPr>
            <w:tcW w:w="1041" w:type="pct"/>
            <w:tcBorders>
              <w:top w:val="nil"/>
              <w:left w:val="nil"/>
              <w:bottom w:val="single" w:sz="4" w:space="0" w:color="auto"/>
              <w:right w:val="single" w:sz="4" w:space="0" w:color="auto"/>
            </w:tcBorders>
            <w:shd w:val="clear" w:color="auto" w:fill="auto"/>
            <w:noWrap/>
            <w:vAlign w:val="center"/>
          </w:tcPr>
          <w:p w14:paraId="41B3940F" w14:textId="77777777" w:rsidR="00614F39" w:rsidRPr="00817921" w:rsidRDefault="00614F39" w:rsidP="00614F39">
            <w:pPr>
              <w:spacing w:before="0" w:after="0" w:line="240" w:lineRule="auto"/>
              <w:jc w:val="right"/>
              <w:rPr>
                <w:rFonts w:ascii="Times New Roman" w:eastAsia="Times New Roman" w:hAnsi="Times New Roman" w:cs="Times New Roman"/>
                <w:color w:val="000000"/>
                <w:szCs w:val="22"/>
                <w:lang w:val="sq-AL" w:eastAsia="en-GB"/>
              </w:rPr>
            </w:pPr>
          </w:p>
        </w:tc>
        <w:tc>
          <w:tcPr>
            <w:tcW w:w="957" w:type="pct"/>
            <w:vMerge/>
            <w:tcBorders>
              <w:left w:val="single" w:sz="4" w:space="0" w:color="auto"/>
              <w:bottom w:val="single" w:sz="4" w:space="0" w:color="auto"/>
              <w:right w:val="single" w:sz="4" w:space="0" w:color="auto"/>
            </w:tcBorders>
            <w:vAlign w:val="center"/>
          </w:tcPr>
          <w:p w14:paraId="2143DE0A" w14:textId="77777777" w:rsidR="00614F39" w:rsidRPr="00817921" w:rsidRDefault="00614F39" w:rsidP="00614F39">
            <w:pPr>
              <w:spacing w:before="0" w:after="0" w:line="240" w:lineRule="auto"/>
              <w:jc w:val="left"/>
              <w:rPr>
                <w:rFonts w:ascii="Times New Roman" w:eastAsia="Times New Roman" w:hAnsi="Times New Roman" w:cs="Times New Roman"/>
                <w:color w:val="000000"/>
                <w:szCs w:val="22"/>
                <w:lang w:val="sq-AL" w:eastAsia="en-GB"/>
              </w:rPr>
            </w:pPr>
          </w:p>
        </w:tc>
      </w:tr>
      <w:tr w:rsidR="00614F39" w:rsidRPr="007A3AD7" w14:paraId="66128BA1" w14:textId="77777777" w:rsidTr="00614F39">
        <w:trPr>
          <w:trHeight w:val="600"/>
        </w:trPr>
        <w:tc>
          <w:tcPr>
            <w:tcW w:w="30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153476" w14:textId="77777777" w:rsidR="00614F39" w:rsidRPr="00817921" w:rsidRDefault="00614F39" w:rsidP="00614F39">
            <w:pPr>
              <w:spacing w:before="0" w:after="0" w:line="240" w:lineRule="auto"/>
              <w:jc w:val="right"/>
              <w:rPr>
                <w:rFonts w:ascii="Times New Roman" w:eastAsia="Times New Roman" w:hAnsi="Times New Roman" w:cs="Times New Roman"/>
                <w:b/>
                <w:bCs/>
                <w:color w:val="000000"/>
                <w:szCs w:val="22"/>
                <w:u w:val="single"/>
                <w:lang w:val="sq-AL" w:eastAsia="en-GB"/>
              </w:rPr>
            </w:pPr>
            <w:r w:rsidRPr="00817921">
              <w:rPr>
                <w:rFonts w:ascii="Times New Roman" w:eastAsia="Times New Roman" w:hAnsi="Times New Roman" w:cs="Times New Roman"/>
                <w:b/>
                <w:bCs/>
                <w:color w:val="000000"/>
                <w:szCs w:val="22"/>
                <w:u w:val="single"/>
                <w:lang w:val="sq-AL" w:eastAsia="en-GB"/>
              </w:rPr>
              <w:t>Total</w:t>
            </w:r>
          </w:p>
        </w:tc>
        <w:tc>
          <w:tcPr>
            <w:tcW w:w="199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A8A48AB" w14:textId="4E16269C" w:rsidR="00614F39" w:rsidRPr="00817921" w:rsidRDefault="00614F39" w:rsidP="00614F39">
            <w:pPr>
              <w:spacing w:before="0" w:after="0" w:line="240" w:lineRule="auto"/>
              <w:jc w:val="center"/>
              <w:rPr>
                <w:rFonts w:ascii="Times New Roman" w:eastAsia="Times New Roman" w:hAnsi="Times New Roman" w:cs="Times New Roman"/>
                <w:b/>
                <w:bCs/>
                <w:color w:val="000000"/>
                <w:szCs w:val="22"/>
                <w:u w:val="single"/>
                <w:lang w:val="sq-AL" w:eastAsia="en-GB"/>
              </w:rPr>
            </w:pPr>
          </w:p>
        </w:tc>
      </w:tr>
    </w:tbl>
    <w:p w14:paraId="130C5334" w14:textId="77777777" w:rsidR="006E513A" w:rsidRPr="00817921" w:rsidRDefault="006E513A" w:rsidP="00E14B65">
      <w:pPr>
        <w:rPr>
          <w:rFonts w:ascii="Times New Roman" w:eastAsiaTheme="majorEastAsia" w:hAnsi="Times New Roman" w:cs="Times New Roman"/>
          <w:color w:val="2F5496" w:themeColor="accent1" w:themeShade="BF"/>
          <w:szCs w:val="22"/>
          <w:lang w:val="sq-AL"/>
        </w:rPr>
      </w:pPr>
      <w:r w:rsidRPr="00817921">
        <w:rPr>
          <w:rFonts w:ascii="Times New Roman" w:hAnsi="Times New Roman" w:cs="Times New Roman"/>
          <w:szCs w:val="22"/>
          <w:lang w:val="sq-AL"/>
        </w:rPr>
        <w:br w:type="page"/>
      </w:r>
    </w:p>
    <w:p w14:paraId="53D4C890" w14:textId="313E50B7" w:rsidR="008A5B2B" w:rsidRDefault="008A5B2B" w:rsidP="00B5007E">
      <w:pPr>
        <w:pStyle w:val="Heading1"/>
        <w:rPr>
          <w:lang w:val="sq-AL"/>
        </w:rPr>
      </w:pPr>
      <w:bookmarkStart w:id="68" w:name="_Toc150809640"/>
      <w:bookmarkStart w:id="69" w:name="_Toc150896506"/>
      <w:proofErr w:type="spellStart"/>
      <w:r w:rsidRPr="00B5007E">
        <w:t>Shtojcat</w:t>
      </w:r>
      <w:bookmarkEnd w:id="68"/>
      <w:bookmarkEnd w:id="69"/>
      <w:proofErr w:type="spellEnd"/>
    </w:p>
    <w:p w14:paraId="3EAB587E" w14:textId="77777777" w:rsidR="00B5007E" w:rsidRPr="00B5007E" w:rsidRDefault="00B5007E" w:rsidP="00B5007E">
      <w:pPr>
        <w:rPr>
          <w:lang w:val="sq-AL"/>
        </w:rPr>
      </w:pPr>
    </w:p>
    <w:p w14:paraId="251F1913" w14:textId="603A2D6A" w:rsidR="008A5B2B" w:rsidRPr="00C41665" w:rsidRDefault="008A5B2B" w:rsidP="00C41665">
      <w:pPr>
        <w:pStyle w:val="ListParagraph"/>
        <w:numPr>
          <w:ilvl w:val="0"/>
          <w:numId w:val="48"/>
        </w:numPr>
        <w:rPr>
          <w:sz w:val="24"/>
          <w:szCs w:val="26"/>
          <w:lang w:val="sq-AL"/>
        </w:rPr>
      </w:pPr>
      <w:r w:rsidRPr="00C41665">
        <w:rPr>
          <w:bCs/>
          <w:sz w:val="24"/>
          <w:szCs w:val="26"/>
          <w:lang w:val="sq-AL"/>
        </w:rPr>
        <w:t>Matrica p</w:t>
      </w:r>
      <w:r w:rsidRPr="00C41665">
        <w:rPr>
          <w:sz w:val="24"/>
          <w:szCs w:val="26"/>
          <w:lang w:val="sq-AL"/>
        </w:rPr>
        <w:t xml:space="preserve">ër Monitorim dhe Vlerësim </w:t>
      </w:r>
    </w:p>
    <w:p w14:paraId="056ADE3C" w14:textId="1E0C35D4" w:rsidR="008A5B2B" w:rsidRPr="00C41665" w:rsidRDefault="008A5B2B" w:rsidP="00B5007E">
      <w:pPr>
        <w:pStyle w:val="ListParagraph"/>
        <w:numPr>
          <w:ilvl w:val="0"/>
          <w:numId w:val="46"/>
        </w:numPr>
        <w:rPr>
          <w:sz w:val="24"/>
          <w:szCs w:val="26"/>
          <w:lang w:val="sq-AL"/>
        </w:rPr>
      </w:pPr>
      <w:r w:rsidRPr="00C41665">
        <w:rPr>
          <w:sz w:val="24"/>
          <w:szCs w:val="26"/>
          <w:lang w:val="sq-AL"/>
        </w:rPr>
        <w:t xml:space="preserve">Plani i </w:t>
      </w:r>
      <w:r w:rsidR="00C41665" w:rsidRPr="00C41665">
        <w:rPr>
          <w:sz w:val="24"/>
          <w:szCs w:val="26"/>
          <w:lang w:val="sq-AL"/>
        </w:rPr>
        <w:t>V</w:t>
      </w:r>
      <w:r w:rsidRPr="00C41665">
        <w:rPr>
          <w:sz w:val="24"/>
          <w:szCs w:val="26"/>
          <w:lang w:val="sq-AL"/>
        </w:rPr>
        <w:t xml:space="preserve">eprimit </w:t>
      </w:r>
      <w:r w:rsidR="006E513A" w:rsidRPr="00C41665">
        <w:rPr>
          <w:sz w:val="24"/>
          <w:szCs w:val="26"/>
          <w:lang w:val="sq-AL"/>
        </w:rPr>
        <w:t>i kostuar</w:t>
      </w:r>
    </w:p>
    <w:p w14:paraId="6FDC5A44" w14:textId="77777777" w:rsidR="00942922" w:rsidRPr="00817921" w:rsidRDefault="00942922" w:rsidP="00E14B65">
      <w:pPr>
        <w:rPr>
          <w:rFonts w:ascii="Times New Roman" w:hAnsi="Times New Roman" w:cs="Times New Roman"/>
          <w:szCs w:val="22"/>
          <w:lang w:val="sq-AL"/>
        </w:rPr>
      </w:pPr>
    </w:p>
    <w:sectPr w:rsidR="00942922" w:rsidRPr="00817921" w:rsidSect="00EE2FAC">
      <w:headerReference w:type="even" r:id="rId14"/>
      <w:headerReference w:type="default" r:id="rId15"/>
      <w:footerReference w:type="even" r:id="rId16"/>
      <w:footerReference w:type="default" r:id="rId17"/>
      <w:headerReference w:type="first" r:id="rId18"/>
      <w:footerReference w:type="first" r:id="rId19"/>
      <w:type w:val="continuous"/>
      <w:pgSz w:w="11900" w:h="16840"/>
      <w:pgMar w:top="1286" w:right="124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1207" w14:textId="77777777" w:rsidR="00C91FCA" w:rsidRDefault="00C91FCA" w:rsidP="00E14B65">
      <w:r>
        <w:separator/>
      </w:r>
    </w:p>
  </w:endnote>
  <w:endnote w:type="continuationSeparator" w:id="0">
    <w:p w14:paraId="6A3CEDBD" w14:textId="77777777" w:rsidR="00C91FCA" w:rsidRDefault="00C91FCA" w:rsidP="00E1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EC Square Sans Pro">
    <w:altName w:val="Calibri"/>
    <w:panose1 w:val="020B0604020202020204"/>
    <w:charset w:val="00"/>
    <w:family w:val="swiss"/>
    <w:pitch w:val="variable"/>
    <w:sig w:usb0="A00002BF" w:usb1="5000E0FB"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7424287"/>
      <w:docPartObj>
        <w:docPartGallery w:val="Page Numbers (Bottom of Page)"/>
        <w:docPartUnique/>
      </w:docPartObj>
    </w:sdtPr>
    <w:sdtEndPr>
      <w:rPr>
        <w:rStyle w:val="PageNumber"/>
      </w:rPr>
    </w:sdtEndPr>
    <w:sdtContent>
      <w:p w14:paraId="6F69976F" w14:textId="77777777" w:rsidR="007415CA" w:rsidRDefault="007415CA" w:rsidP="00E14B6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E3621A" w14:textId="77777777" w:rsidR="007415CA" w:rsidRDefault="007415CA" w:rsidP="00E14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5061014"/>
      <w:docPartObj>
        <w:docPartGallery w:val="Page Numbers (Bottom of Page)"/>
        <w:docPartUnique/>
      </w:docPartObj>
    </w:sdtPr>
    <w:sdtEndPr>
      <w:rPr>
        <w:rStyle w:val="PageNumber"/>
      </w:rPr>
    </w:sdtEndPr>
    <w:sdtContent>
      <w:p w14:paraId="5E2F42C2" w14:textId="7AE7A50D" w:rsidR="007415CA" w:rsidRDefault="007415CA" w:rsidP="00E14B6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AB34E9">
          <w:rPr>
            <w:rStyle w:val="PageNumber"/>
            <w:noProof/>
          </w:rPr>
          <w:t>20</w:t>
        </w:r>
        <w:r>
          <w:rPr>
            <w:rStyle w:val="PageNumber"/>
          </w:rPr>
          <w:fldChar w:fldCharType="end"/>
        </w:r>
      </w:p>
    </w:sdtContent>
  </w:sdt>
  <w:p w14:paraId="5620E6EA" w14:textId="77777777" w:rsidR="007415CA" w:rsidRDefault="007415CA" w:rsidP="00E14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574457"/>
      <w:docPartObj>
        <w:docPartGallery w:val="Page Numbers (Bottom of Page)"/>
        <w:docPartUnique/>
      </w:docPartObj>
    </w:sdtPr>
    <w:sdtEndPr>
      <w:rPr>
        <w:rStyle w:val="PageNumber"/>
      </w:rPr>
    </w:sdtEndPr>
    <w:sdtContent>
      <w:p w14:paraId="5FB27572" w14:textId="01AA0FF5" w:rsidR="007415CA" w:rsidRDefault="007415CA" w:rsidP="00E14B6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DBD620" w14:textId="77777777" w:rsidR="007415CA" w:rsidRDefault="007415CA" w:rsidP="00E14B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0770091"/>
      <w:docPartObj>
        <w:docPartGallery w:val="Page Numbers (Bottom of Page)"/>
        <w:docPartUnique/>
      </w:docPartObj>
    </w:sdtPr>
    <w:sdtEndPr>
      <w:rPr>
        <w:rStyle w:val="PageNumber"/>
      </w:rPr>
    </w:sdtEndPr>
    <w:sdtContent>
      <w:p w14:paraId="781F96EC" w14:textId="5EF34F82" w:rsidR="007415CA" w:rsidRDefault="007415CA" w:rsidP="00E14B6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AB34E9">
          <w:rPr>
            <w:rStyle w:val="PageNumber"/>
            <w:noProof/>
          </w:rPr>
          <w:t>54</w:t>
        </w:r>
        <w:r>
          <w:rPr>
            <w:rStyle w:val="PageNumber"/>
          </w:rPr>
          <w:fldChar w:fldCharType="end"/>
        </w:r>
      </w:p>
    </w:sdtContent>
  </w:sdt>
  <w:p w14:paraId="79316C95" w14:textId="77777777" w:rsidR="007415CA" w:rsidRDefault="007415CA" w:rsidP="00E14B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FD44" w14:textId="77777777" w:rsidR="007415CA" w:rsidRDefault="007415CA" w:rsidP="00E1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F6726" w14:textId="77777777" w:rsidR="00C91FCA" w:rsidRDefault="00C91FCA" w:rsidP="00E14B65">
      <w:r>
        <w:separator/>
      </w:r>
    </w:p>
  </w:footnote>
  <w:footnote w:type="continuationSeparator" w:id="0">
    <w:p w14:paraId="6CF87FDB" w14:textId="77777777" w:rsidR="00C91FCA" w:rsidRDefault="00C91FCA" w:rsidP="00E14B65">
      <w:r>
        <w:continuationSeparator/>
      </w:r>
    </w:p>
  </w:footnote>
  <w:footnote w:id="1">
    <w:p w14:paraId="06C40E14" w14:textId="655371F7" w:rsidR="007415CA" w:rsidRPr="00817921" w:rsidRDefault="007415CA" w:rsidP="00817921">
      <w:pPr>
        <w:pStyle w:val="FootnoteText"/>
        <w:spacing w:before="0" w:after="0" w:line="240" w:lineRule="auto"/>
        <w:rPr>
          <w:rStyle w:val="FootnoteReference"/>
          <w:sz w:val="16"/>
          <w:szCs w:val="16"/>
          <w:vertAlign w:val="baseline"/>
        </w:rPr>
      </w:pPr>
      <w:r w:rsidRPr="00817921">
        <w:rPr>
          <w:rStyle w:val="FootnoteReference"/>
          <w:sz w:val="16"/>
          <w:szCs w:val="16"/>
        </w:rPr>
        <w:footnoteRef/>
      </w:r>
      <w:r w:rsidRPr="00817921">
        <w:rPr>
          <w:rStyle w:val="FootnoteReference"/>
          <w:sz w:val="16"/>
          <w:szCs w:val="16"/>
        </w:rPr>
        <w:t xml:space="preserve"> </w:t>
      </w:r>
      <w:r w:rsidRPr="00817921">
        <w:rPr>
          <w:rStyle w:val="FootnoteReference"/>
          <w:sz w:val="16"/>
          <w:szCs w:val="16"/>
          <w:vertAlign w:val="baseline"/>
        </w:rPr>
        <w:t>Ministria e Financave dhe Ekonomisë, ekonomia ne focus, Dhjetor 2022.</w:t>
      </w:r>
    </w:p>
  </w:footnote>
  <w:footnote w:id="2">
    <w:p w14:paraId="2A5CDC60" w14:textId="1FB6E6F1" w:rsidR="007415CA" w:rsidRPr="00817921" w:rsidRDefault="007415CA" w:rsidP="00817921">
      <w:pPr>
        <w:pStyle w:val="FootnoteText"/>
        <w:spacing w:before="0" w:after="0" w:line="240" w:lineRule="auto"/>
        <w:rPr>
          <w:rStyle w:val="FootnoteReference"/>
          <w:sz w:val="16"/>
          <w:szCs w:val="16"/>
          <w:vertAlign w:val="baseline"/>
        </w:rPr>
      </w:pPr>
      <w:r w:rsidRPr="00817921">
        <w:rPr>
          <w:rStyle w:val="FootnoteReference"/>
          <w:sz w:val="16"/>
          <w:szCs w:val="16"/>
        </w:rPr>
        <w:footnoteRef/>
      </w:r>
      <w:r w:rsidRPr="00817921">
        <w:rPr>
          <w:rStyle w:val="FootnoteReference"/>
          <w:sz w:val="16"/>
          <w:szCs w:val="16"/>
        </w:rPr>
        <w:t xml:space="preserve"> </w:t>
      </w:r>
      <w:r w:rsidRPr="00817921">
        <w:rPr>
          <w:rStyle w:val="FootnoteReference"/>
          <w:sz w:val="16"/>
          <w:szCs w:val="16"/>
          <w:vertAlign w:val="baseline"/>
        </w:rPr>
        <w:t xml:space="preserve">VKM 31 </w:t>
      </w:r>
      <w:r w:rsidRPr="00817921">
        <w:rPr>
          <w:rStyle w:val="FootnoteReference"/>
          <w:sz w:val="16"/>
          <w:szCs w:val="16"/>
          <w:vertAlign w:val="baseline"/>
        </w:rPr>
        <w:t xml:space="preserve">datë 27.01.2023 “Për miratimin e kuadrit makroekonomik e fiscal per periudhen 2024-2026”. </w:t>
      </w:r>
    </w:p>
  </w:footnote>
  <w:footnote w:id="3">
    <w:p w14:paraId="2D4CCEBE" w14:textId="1348A7C6" w:rsidR="007415CA" w:rsidRPr="00817921" w:rsidRDefault="007415CA" w:rsidP="00817921">
      <w:pPr>
        <w:pStyle w:val="FootnoteText"/>
        <w:spacing w:before="0" w:after="0" w:line="240" w:lineRule="auto"/>
        <w:rPr>
          <w:rStyle w:val="FootnoteReference"/>
          <w:sz w:val="16"/>
          <w:szCs w:val="16"/>
          <w:vertAlign w:val="baseline"/>
        </w:rPr>
      </w:pPr>
      <w:r w:rsidRPr="00817921">
        <w:rPr>
          <w:rStyle w:val="FootnoteReference"/>
          <w:sz w:val="16"/>
          <w:szCs w:val="16"/>
        </w:rPr>
        <w:footnoteRef/>
      </w:r>
      <w:r w:rsidRPr="00817921">
        <w:rPr>
          <w:rStyle w:val="FootnoteReference"/>
          <w:sz w:val="16"/>
          <w:szCs w:val="16"/>
        </w:rPr>
        <w:t xml:space="preserve"> </w:t>
      </w:r>
      <w:r w:rsidRPr="00817921">
        <w:rPr>
          <w:rStyle w:val="FootnoteReference"/>
          <w:sz w:val="16"/>
          <w:szCs w:val="16"/>
          <w:vertAlign w:val="baseline"/>
        </w:rPr>
        <w:t xml:space="preserve">Banka </w:t>
      </w:r>
      <w:r w:rsidRPr="00817921">
        <w:rPr>
          <w:rStyle w:val="FootnoteReference"/>
          <w:sz w:val="16"/>
          <w:szCs w:val="16"/>
          <w:vertAlign w:val="baseline"/>
        </w:rPr>
        <w:t>Boterore, https://</w:t>
      </w:r>
      <w:r w:rsidRPr="00817921">
        <w:rPr>
          <w:sz w:val="16"/>
          <w:szCs w:val="16"/>
        </w:rPr>
        <w:t>www</w:t>
      </w:r>
      <w:r w:rsidRPr="00817921">
        <w:rPr>
          <w:rStyle w:val="FootnoteReference"/>
          <w:sz w:val="16"/>
          <w:szCs w:val="16"/>
          <w:vertAlign w:val="baseline"/>
        </w:rPr>
        <w:t>.macrotrends.net/countries/ALB/albania/foreign-direct-investment.</w:t>
      </w:r>
    </w:p>
  </w:footnote>
  <w:footnote w:id="4">
    <w:p w14:paraId="3FBE1124" w14:textId="521EE45E" w:rsidR="007415CA" w:rsidRPr="00817921" w:rsidRDefault="007415CA" w:rsidP="00817921">
      <w:pPr>
        <w:pStyle w:val="FootnoteText"/>
        <w:spacing w:before="0" w:after="0" w:line="240" w:lineRule="auto"/>
        <w:rPr>
          <w:rStyle w:val="FootnoteReference"/>
          <w:sz w:val="16"/>
          <w:szCs w:val="16"/>
          <w:vertAlign w:val="baseline"/>
        </w:rPr>
      </w:pPr>
      <w:r w:rsidRPr="00817921">
        <w:rPr>
          <w:rStyle w:val="FootnoteReference"/>
          <w:sz w:val="16"/>
          <w:szCs w:val="16"/>
        </w:rPr>
        <w:footnoteRef/>
      </w:r>
      <w:r w:rsidRPr="00817921">
        <w:rPr>
          <w:sz w:val="16"/>
          <w:szCs w:val="16"/>
        </w:rPr>
        <w:t xml:space="preserve"> </w:t>
      </w:r>
      <w:r w:rsidRPr="00817921">
        <w:rPr>
          <w:rStyle w:val="FootnoteReference"/>
          <w:sz w:val="16"/>
          <w:szCs w:val="16"/>
          <w:vertAlign w:val="baseline"/>
        </w:rPr>
        <w:t xml:space="preserve">Banka </w:t>
      </w:r>
      <w:r w:rsidRPr="00817921">
        <w:rPr>
          <w:rStyle w:val="FootnoteReference"/>
          <w:sz w:val="16"/>
          <w:szCs w:val="16"/>
          <w:vertAlign w:val="baseline"/>
        </w:rPr>
        <w:t>Botërore</w:t>
      </w:r>
    </w:p>
  </w:footnote>
  <w:footnote w:id="5">
    <w:p w14:paraId="79A4683E" w14:textId="568963E9" w:rsidR="007415CA" w:rsidRPr="00817921" w:rsidRDefault="007415CA" w:rsidP="00817921">
      <w:pPr>
        <w:pStyle w:val="FootnoteText"/>
        <w:spacing w:before="0" w:after="0" w:line="240" w:lineRule="auto"/>
        <w:rPr>
          <w:rStyle w:val="FootnoteReference"/>
          <w:sz w:val="16"/>
          <w:szCs w:val="16"/>
          <w:vertAlign w:val="baseline"/>
        </w:rPr>
      </w:pPr>
      <w:r w:rsidRPr="00817921">
        <w:rPr>
          <w:rStyle w:val="FootnoteReference"/>
          <w:sz w:val="16"/>
          <w:szCs w:val="16"/>
        </w:rPr>
        <w:footnoteRef/>
      </w:r>
      <w:r w:rsidRPr="00817921">
        <w:rPr>
          <w:sz w:val="16"/>
          <w:szCs w:val="16"/>
        </w:rPr>
        <w:t xml:space="preserve"> </w:t>
      </w:r>
      <w:r w:rsidRPr="00817921">
        <w:rPr>
          <w:rStyle w:val="FootnoteReference"/>
          <w:sz w:val="16"/>
          <w:szCs w:val="16"/>
          <w:vertAlign w:val="baseline"/>
        </w:rPr>
        <w:t xml:space="preserve">Banka e </w:t>
      </w:r>
      <w:r w:rsidRPr="00817921">
        <w:rPr>
          <w:rStyle w:val="FootnoteReference"/>
          <w:sz w:val="16"/>
          <w:szCs w:val="16"/>
          <w:vertAlign w:val="baseline"/>
        </w:rPr>
        <w:t>Shqipërise, Raporti vjetor 2022.</w:t>
      </w:r>
    </w:p>
  </w:footnote>
  <w:footnote w:id="6">
    <w:p w14:paraId="73974877" w14:textId="51BABC5F" w:rsidR="007415CA" w:rsidRPr="004E5BFB" w:rsidRDefault="007415CA" w:rsidP="00817921">
      <w:pPr>
        <w:pStyle w:val="FootnoteText"/>
        <w:spacing w:before="0" w:after="0" w:line="240" w:lineRule="auto"/>
        <w:rPr>
          <w:rStyle w:val="FootnoteReference"/>
          <w:sz w:val="18"/>
          <w:szCs w:val="18"/>
          <w:vertAlign w:val="baseline"/>
        </w:rPr>
      </w:pPr>
      <w:r w:rsidRPr="00817921">
        <w:rPr>
          <w:rStyle w:val="FootnoteReference"/>
          <w:sz w:val="16"/>
          <w:szCs w:val="16"/>
        </w:rPr>
        <w:footnoteRef/>
      </w:r>
      <w:r w:rsidRPr="00817921">
        <w:rPr>
          <w:sz w:val="16"/>
          <w:szCs w:val="16"/>
        </w:rPr>
        <w:t xml:space="preserve"> </w:t>
      </w:r>
      <w:r w:rsidRPr="00817921">
        <w:rPr>
          <w:rStyle w:val="FootnoteReference"/>
          <w:sz w:val="16"/>
          <w:szCs w:val="16"/>
          <w:vertAlign w:val="baseline"/>
        </w:rPr>
        <w:t>Indeksi 2019 i OECD-së për Kufizimet Rregullatore të IHD-ve I cili mat kufizimet ligjore në investimet e huaja direkte në 22 sektorë të ekonomisë në 69 vende. Kufizimet vlerësohen me një shkallë nga 0 (të hapura) në 1 (të mbyllura) Rezultati i përgjithshëm i Shqipërisë është 0.057 krahasuar me nivelin mesatar të OECD 0.064</w:t>
      </w:r>
    </w:p>
  </w:footnote>
  <w:footnote w:id="7">
    <w:p w14:paraId="0A543CBF" w14:textId="77777777" w:rsidR="007415CA" w:rsidRPr="00817921" w:rsidRDefault="007415CA" w:rsidP="00817921">
      <w:pPr>
        <w:pStyle w:val="FootnoteText"/>
        <w:spacing w:before="0" w:after="0" w:line="240" w:lineRule="auto"/>
        <w:rPr>
          <w:rStyle w:val="FootnoteReference"/>
          <w:sz w:val="16"/>
          <w:szCs w:val="16"/>
          <w:vertAlign w:val="baseline"/>
        </w:rPr>
      </w:pPr>
      <w:r w:rsidRPr="00817921">
        <w:rPr>
          <w:rStyle w:val="FootnoteReference"/>
          <w:sz w:val="16"/>
          <w:szCs w:val="16"/>
        </w:rPr>
        <w:footnoteRef/>
      </w:r>
      <w:r w:rsidRPr="00817921">
        <w:rPr>
          <w:sz w:val="16"/>
          <w:szCs w:val="16"/>
        </w:rPr>
        <w:t xml:space="preserve"> </w:t>
      </w:r>
      <w:r w:rsidRPr="00817921">
        <w:rPr>
          <w:rStyle w:val="FootnoteReference"/>
          <w:sz w:val="16"/>
          <w:szCs w:val="16"/>
          <w:vertAlign w:val="baseline"/>
        </w:rPr>
        <w:t>IMF Country Report No. 22/362 December 2022.</w:t>
      </w:r>
    </w:p>
  </w:footnote>
  <w:footnote w:id="8">
    <w:p w14:paraId="3B2F9800" w14:textId="2C668035" w:rsidR="007415CA" w:rsidRPr="00817921" w:rsidRDefault="007415CA" w:rsidP="00817921">
      <w:pPr>
        <w:pStyle w:val="FootnoteText"/>
        <w:spacing w:before="0" w:after="0" w:line="240" w:lineRule="auto"/>
        <w:rPr>
          <w:rStyle w:val="FootnoteReference"/>
          <w:sz w:val="16"/>
          <w:szCs w:val="16"/>
          <w:vertAlign w:val="baseline"/>
        </w:rPr>
      </w:pPr>
      <w:r w:rsidRPr="00817921">
        <w:rPr>
          <w:rStyle w:val="FootnoteReference"/>
          <w:sz w:val="16"/>
          <w:szCs w:val="16"/>
        </w:rPr>
        <w:footnoteRef/>
      </w:r>
      <w:r w:rsidRPr="00817921">
        <w:rPr>
          <w:sz w:val="16"/>
          <w:szCs w:val="16"/>
        </w:rPr>
        <w:t xml:space="preserve"> </w:t>
      </w:r>
      <w:r w:rsidRPr="00817921">
        <w:rPr>
          <w:rStyle w:val="FootnoteReference"/>
          <w:sz w:val="16"/>
          <w:szCs w:val="16"/>
          <w:vertAlign w:val="baseline"/>
        </w:rPr>
        <w:t xml:space="preserve">INSTAT, </w:t>
      </w:r>
      <w:r w:rsidRPr="00817921">
        <w:rPr>
          <w:rStyle w:val="FootnoteReference"/>
          <w:sz w:val="16"/>
          <w:szCs w:val="16"/>
          <w:vertAlign w:val="baseline"/>
        </w:rPr>
        <w:t xml:space="preserve">Tregu </w:t>
      </w:r>
      <w:r w:rsidR="00DD2638">
        <w:rPr>
          <w:sz w:val="16"/>
          <w:szCs w:val="16"/>
        </w:rPr>
        <w:t>i</w:t>
      </w:r>
      <w:r w:rsidRPr="00817921">
        <w:rPr>
          <w:rStyle w:val="FootnoteReference"/>
          <w:sz w:val="16"/>
          <w:szCs w:val="16"/>
          <w:vertAlign w:val="baseline"/>
        </w:rPr>
        <w:t xml:space="preserve"> punës 2021, maj 2022.</w:t>
      </w:r>
    </w:p>
  </w:footnote>
  <w:footnote w:id="9">
    <w:p w14:paraId="59290B66" w14:textId="2C7A61F3" w:rsidR="007415CA" w:rsidRPr="00817921" w:rsidRDefault="007415CA" w:rsidP="00817921">
      <w:pPr>
        <w:pStyle w:val="FootnoteText"/>
        <w:spacing w:before="0" w:after="0" w:line="240" w:lineRule="auto"/>
        <w:rPr>
          <w:rStyle w:val="FootnoteReference"/>
          <w:sz w:val="16"/>
          <w:szCs w:val="16"/>
          <w:vertAlign w:val="baseline"/>
        </w:rPr>
      </w:pPr>
      <w:r w:rsidRPr="00817921">
        <w:rPr>
          <w:rStyle w:val="FootnoteReference"/>
          <w:sz w:val="16"/>
          <w:szCs w:val="16"/>
        </w:rPr>
        <w:footnoteRef/>
      </w:r>
      <w:r w:rsidRPr="00817921">
        <w:rPr>
          <w:sz w:val="16"/>
          <w:szCs w:val="16"/>
        </w:rPr>
        <w:t xml:space="preserve"> </w:t>
      </w:r>
      <w:r w:rsidRPr="00817921">
        <w:rPr>
          <w:rStyle w:val="FootnoteReference"/>
          <w:sz w:val="16"/>
          <w:szCs w:val="16"/>
          <w:vertAlign w:val="baseline"/>
        </w:rPr>
        <w:t xml:space="preserve">INSTAT, </w:t>
      </w:r>
      <w:r w:rsidRPr="00817921">
        <w:rPr>
          <w:rStyle w:val="FootnoteReference"/>
          <w:sz w:val="16"/>
          <w:szCs w:val="16"/>
          <w:vertAlign w:val="baseline"/>
        </w:rPr>
        <w:t>Anketa tremujire e Forcave te punes.</w:t>
      </w:r>
    </w:p>
  </w:footnote>
  <w:footnote w:id="10">
    <w:p w14:paraId="477F10D0" w14:textId="3839BD52" w:rsidR="007415CA" w:rsidRPr="00CD7AEE" w:rsidRDefault="007415CA" w:rsidP="00817921">
      <w:pPr>
        <w:pStyle w:val="FootnoteText"/>
        <w:spacing w:before="0" w:after="0" w:line="240" w:lineRule="auto"/>
        <w:rPr>
          <w:rStyle w:val="FootnoteReference"/>
          <w:sz w:val="18"/>
          <w:szCs w:val="18"/>
          <w:vertAlign w:val="baseline"/>
        </w:rPr>
      </w:pPr>
      <w:r w:rsidRPr="00817921">
        <w:rPr>
          <w:rStyle w:val="FootnoteReference"/>
          <w:sz w:val="16"/>
          <w:szCs w:val="16"/>
        </w:rPr>
        <w:footnoteRef/>
      </w:r>
      <w:r w:rsidRPr="00817921">
        <w:rPr>
          <w:rStyle w:val="FootnoteReference"/>
          <w:sz w:val="16"/>
          <w:szCs w:val="16"/>
        </w:rPr>
        <w:t xml:space="preserve"> </w:t>
      </w:r>
      <w:r w:rsidRPr="00817921">
        <w:rPr>
          <w:rStyle w:val="FootnoteReference"/>
          <w:sz w:val="16"/>
          <w:szCs w:val="16"/>
          <w:vertAlign w:val="baseline"/>
        </w:rPr>
        <w:t>Këshilli i Ministrave, Programi I reformës ekonomike 2023-2025, January 2023.</w:t>
      </w:r>
    </w:p>
  </w:footnote>
  <w:footnote w:id="11">
    <w:p w14:paraId="2CDB0DAF" w14:textId="7529673F" w:rsidR="007415CA" w:rsidRPr="00817921" w:rsidRDefault="007415CA" w:rsidP="00817921">
      <w:pPr>
        <w:pStyle w:val="FootnoteText"/>
        <w:spacing w:before="0" w:after="0" w:line="240" w:lineRule="auto"/>
        <w:rPr>
          <w:rStyle w:val="FootnoteReference"/>
          <w:rFonts w:cstheme="minorHAnsi"/>
          <w:sz w:val="16"/>
          <w:szCs w:val="16"/>
          <w:vertAlign w:val="baseline"/>
        </w:rPr>
      </w:pPr>
      <w:r w:rsidRPr="00817921">
        <w:rPr>
          <w:rStyle w:val="FootnoteReference"/>
          <w:rFonts w:cstheme="minorHAnsi"/>
          <w:sz w:val="16"/>
          <w:szCs w:val="16"/>
        </w:rPr>
        <w:footnoteRef/>
      </w:r>
      <w:r w:rsidRPr="00817921">
        <w:rPr>
          <w:rFonts w:cstheme="minorHAnsi"/>
          <w:sz w:val="16"/>
          <w:szCs w:val="16"/>
        </w:rPr>
        <w:t xml:space="preserve"> </w:t>
      </w:r>
      <w:r w:rsidRPr="00817921">
        <w:rPr>
          <w:rStyle w:val="FootnoteReference"/>
          <w:rFonts w:cstheme="minorHAnsi"/>
          <w:sz w:val="16"/>
          <w:szCs w:val="16"/>
          <w:vertAlign w:val="baseline"/>
        </w:rPr>
        <w:t xml:space="preserve">ILO/Bureau for Employers’ Activities (2017), </w:t>
      </w:r>
      <w:r w:rsidRPr="00817921">
        <w:rPr>
          <w:rStyle w:val="FootnoteReference"/>
          <w:rFonts w:cstheme="minorHAnsi"/>
          <w:sz w:val="16"/>
          <w:szCs w:val="16"/>
          <w:vertAlign w:val="baseline"/>
        </w:rPr>
        <w:t>Ëomen in Business and Management: Gaining Momentum in Eastern Europe and Central Asia, International Labour Organization, Geneva</w:t>
      </w:r>
      <w:r w:rsidRPr="00817921">
        <w:rPr>
          <w:rFonts w:cstheme="minorHAnsi"/>
          <w:sz w:val="16"/>
          <w:szCs w:val="16"/>
        </w:rPr>
        <w:t>.</w:t>
      </w:r>
    </w:p>
  </w:footnote>
  <w:footnote w:id="12">
    <w:p w14:paraId="6AA8CD76" w14:textId="6E7A81BD" w:rsidR="007415CA" w:rsidRPr="00817921" w:rsidRDefault="007415CA" w:rsidP="00817921">
      <w:pPr>
        <w:pStyle w:val="FootnoteText"/>
        <w:spacing w:before="0" w:after="0" w:line="240" w:lineRule="auto"/>
        <w:rPr>
          <w:rStyle w:val="FootnoteReference"/>
          <w:rFonts w:cstheme="minorHAnsi"/>
          <w:sz w:val="16"/>
          <w:szCs w:val="16"/>
          <w:vertAlign w:val="baseline"/>
        </w:rPr>
      </w:pPr>
      <w:r w:rsidRPr="00817921">
        <w:rPr>
          <w:rStyle w:val="FootnoteReference"/>
          <w:rFonts w:cstheme="minorHAnsi"/>
          <w:sz w:val="16"/>
          <w:szCs w:val="16"/>
        </w:rPr>
        <w:footnoteRef/>
      </w:r>
      <w:r w:rsidRPr="00817921">
        <w:rPr>
          <w:rFonts w:cstheme="minorHAnsi"/>
          <w:sz w:val="16"/>
          <w:szCs w:val="16"/>
        </w:rPr>
        <w:t xml:space="preserve"> </w:t>
      </w:r>
      <w:r w:rsidRPr="00817921">
        <w:rPr>
          <w:rStyle w:val="FootnoteReference"/>
          <w:rFonts w:cstheme="minorHAnsi"/>
          <w:sz w:val="16"/>
          <w:szCs w:val="16"/>
          <w:vertAlign w:val="baseline"/>
        </w:rPr>
        <w:t xml:space="preserve">INSTAT, 2022. Burra </w:t>
      </w:r>
      <w:r w:rsidRPr="00817921">
        <w:rPr>
          <w:rStyle w:val="FootnoteReference"/>
          <w:rFonts w:cstheme="minorHAnsi"/>
          <w:sz w:val="16"/>
          <w:szCs w:val="16"/>
          <w:vertAlign w:val="baseline"/>
        </w:rPr>
        <w:t>dhe gra 2022.</w:t>
      </w:r>
    </w:p>
  </w:footnote>
  <w:footnote w:id="13">
    <w:p w14:paraId="68DF0E5E" w14:textId="77777777" w:rsidR="007415CA" w:rsidRPr="00817921" w:rsidRDefault="007415CA" w:rsidP="00817921">
      <w:pPr>
        <w:pStyle w:val="FootnoteText"/>
        <w:spacing w:before="0" w:after="0" w:line="240" w:lineRule="auto"/>
        <w:rPr>
          <w:rStyle w:val="FootnoteReference"/>
          <w:rFonts w:cstheme="minorHAnsi"/>
          <w:sz w:val="16"/>
          <w:szCs w:val="16"/>
          <w:vertAlign w:val="baseline"/>
        </w:rPr>
      </w:pPr>
      <w:r w:rsidRPr="00817921">
        <w:rPr>
          <w:rStyle w:val="FootnoteReference"/>
          <w:rFonts w:cstheme="minorHAnsi"/>
          <w:sz w:val="16"/>
          <w:szCs w:val="16"/>
        </w:rPr>
        <w:footnoteRef/>
      </w:r>
      <w:r w:rsidRPr="00817921">
        <w:rPr>
          <w:rFonts w:cstheme="minorHAnsi"/>
          <w:sz w:val="16"/>
          <w:szCs w:val="16"/>
        </w:rPr>
        <w:t xml:space="preserve"> </w:t>
      </w:r>
      <w:r w:rsidRPr="00817921">
        <w:rPr>
          <w:rStyle w:val="FootnoteReference"/>
          <w:rFonts w:cstheme="minorHAnsi"/>
          <w:sz w:val="16"/>
          <w:szCs w:val="16"/>
          <w:vertAlign w:val="baseline"/>
        </w:rPr>
        <w:t>Ministria e FInancave dhe Ekonomisë, Drejtoria e Përgjithshme e Buxhetit, Drejtoria e Strehimit (2021), shkresë nr 15934 Prot, datë 16.08.2022 me objekt “Mbi kërkesën për informacion”.</w:t>
      </w:r>
    </w:p>
  </w:footnote>
  <w:footnote w:id="14">
    <w:p w14:paraId="50371892" w14:textId="3DE3FD55" w:rsidR="007415CA" w:rsidRPr="00817921" w:rsidRDefault="007415CA" w:rsidP="00817921">
      <w:pPr>
        <w:pStyle w:val="FootnoteText"/>
        <w:spacing w:before="0" w:after="0" w:line="240" w:lineRule="auto"/>
        <w:rPr>
          <w:rStyle w:val="FootnoteReference"/>
          <w:rFonts w:cstheme="minorHAnsi"/>
          <w:sz w:val="16"/>
          <w:szCs w:val="16"/>
          <w:vertAlign w:val="baseline"/>
        </w:rPr>
      </w:pPr>
      <w:r w:rsidRPr="00817921">
        <w:rPr>
          <w:rStyle w:val="FootnoteReference"/>
          <w:rFonts w:cstheme="minorHAnsi"/>
          <w:sz w:val="16"/>
          <w:szCs w:val="16"/>
        </w:rPr>
        <w:footnoteRef/>
      </w:r>
      <w:r w:rsidRPr="00817921">
        <w:rPr>
          <w:rFonts w:cstheme="minorHAnsi"/>
          <w:sz w:val="16"/>
          <w:szCs w:val="16"/>
        </w:rPr>
        <w:t xml:space="preserve"> </w:t>
      </w:r>
      <w:r w:rsidRPr="00817921">
        <w:rPr>
          <w:rStyle w:val="FootnoteReference"/>
          <w:rFonts w:cstheme="minorHAnsi"/>
          <w:sz w:val="16"/>
          <w:szCs w:val="16"/>
          <w:vertAlign w:val="baseline"/>
        </w:rPr>
        <w:t xml:space="preserve">INSTAT, 2022. Burra </w:t>
      </w:r>
      <w:r w:rsidRPr="00817921">
        <w:rPr>
          <w:rStyle w:val="FootnoteReference"/>
          <w:rFonts w:cstheme="minorHAnsi"/>
          <w:sz w:val="16"/>
          <w:szCs w:val="16"/>
          <w:vertAlign w:val="baseline"/>
        </w:rPr>
        <w:t>dhe gra 2022</w:t>
      </w:r>
      <w:r w:rsidRPr="00817921">
        <w:rPr>
          <w:rFonts w:cstheme="minorHAnsi"/>
          <w:sz w:val="16"/>
          <w:szCs w:val="16"/>
        </w:rPr>
        <w:t>.</w:t>
      </w:r>
    </w:p>
  </w:footnote>
  <w:footnote w:id="15">
    <w:p w14:paraId="6CB66C82" w14:textId="77777777" w:rsidR="007415CA" w:rsidRPr="00817921" w:rsidRDefault="007415CA" w:rsidP="00817921">
      <w:pPr>
        <w:pStyle w:val="FootnoteText"/>
        <w:spacing w:before="0" w:after="0" w:line="240" w:lineRule="auto"/>
        <w:rPr>
          <w:rStyle w:val="FootnoteReference"/>
          <w:rFonts w:cstheme="minorHAnsi"/>
          <w:sz w:val="16"/>
          <w:szCs w:val="16"/>
          <w:vertAlign w:val="baseline"/>
        </w:rPr>
      </w:pPr>
      <w:r w:rsidRPr="00817921">
        <w:rPr>
          <w:rStyle w:val="FootnoteReference"/>
          <w:rFonts w:cstheme="minorHAnsi"/>
          <w:sz w:val="16"/>
          <w:szCs w:val="16"/>
        </w:rPr>
        <w:footnoteRef/>
      </w:r>
      <w:r w:rsidRPr="00817921">
        <w:rPr>
          <w:rFonts w:cstheme="minorHAnsi"/>
          <w:sz w:val="16"/>
          <w:szCs w:val="16"/>
        </w:rPr>
        <w:t xml:space="preserve"> </w:t>
      </w:r>
      <w:r w:rsidRPr="00817921">
        <w:rPr>
          <w:rStyle w:val="FootnoteReference"/>
          <w:rFonts w:cstheme="minorHAnsi"/>
          <w:sz w:val="16"/>
          <w:szCs w:val="16"/>
          <w:vertAlign w:val="baseline"/>
        </w:rPr>
        <w:t xml:space="preserve">European </w:t>
      </w:r>
      <w:r w:rsidRPr="00817921">
        <w:rPr>
          <w:rStyle w:val="FootnoteReference"/>
          <w:rFonts w:cstheme="minorHAnsi"/>
          <w:sz w:val="16"/>
          <w:szCs w:val="16"/>
          <w:vertAlign w:val="baseline"/>
        </w:rPr>
        <w:t>Comission 2022. Albania 2022 report.</w:t>
      </w:r>
    </w:p>
  </w:footnote>
  <w:footnote w:id="16">
    <w:p w14:paraId="3E0505F7" w14:textId="5C0671E6" w:rsidR="007415CA" w:rsidRPr="004E5BFB" w:rsidRDefault="007415CA" w:rsidP="00817921">
      <w:pPr>
        <w:pStyle w:val="FootnoteText"/>
        <w:spacing w:before="0" w:after="0" w:line="240" w:lineRule="auto"/>
        <w:rPr>
          <w:rStyle w:val="FootnoteReference"/>
          <w:sz w:val="18"/>
          <w:szCs w:val="18"/>
          <w:vertAlign w:val="baseline"/>
        </w:rPr>
      </w:pPr>
      <w:r w:rsidRPr="00817921">
        <w:rPr>
          <w:rStyle w:val="FootnoteReference"/>
          <w:rFonts w:cstheme="minorHAnsi"/>
          <w:sz w:val="16"/>
          <w:szCs w:val="16"/>
        </w:rPr>
        <w:footnoteRef/>
      </w:r>
      <w:r w:rsidRPr="00817921">
        <w:rPr>
          <w:rFonts w:cstheme="minorHAnsi"/>
          <w:sz w:val="16"/>
          <w:szCs w:val="16"/>
        </w:rPr>
        <w:t xml:space="preserve"> </w:t>
      </w:r>
      <w:r w:rsidRPr="00817921">
        <w:rPr>
          <w:rStyle w:val="FootnoteReference"/>
          <w:rFonts w:cstheme="minorHAnsi"/>
          <w:sz w:val="16"/>
          <w:szCs w:val="16"/>
          <w:vertAlign w:val="baseline"/>
        </w:rPr>
        <w:t xml:space="preserve">Banka e </w:t>
      </w:r>
      <w:r w:rsidRPr="00817921">
        <w:rPr>
          <w:rStyle w:val="FootnoteReference"/>
          <w:rFonts w:cstheme="minorHAnsi"/>
          <w:sz w:val="16"/>
          <w:szCs w:val="16"/>
          <w:vertAlign w:val="baseline"/>
        </w:rPr>
        <w:t>Shqipërisë, njoftim për s</w:t>
      </w:r>
      <w:r w:rsidRPr="00817921">
        <w:rPr>
          <w:rFonts w:cstheme="minorHAnsi"/>
          <w:sz w:val="16"/>
          <w:szCs w:val="16"/>
        </w:rPr>
        <w:t>h</w:t>
      </w:r>
      <w:r w:rsidRPr="00817921">
        <w:rPr>
          <w:rStyle w:val="FootnoteReference"/>
          <w:rFonts w:cstheme="minorHAnsi"/>
          <w:sz w:val="16"/>
          <w:szCs w:val="16"/>
          <w:vertAlign w:val="baseline"/>
        </w:rPr>
        <w:t>typ, 02.08.2023.</w:t>
      </w:r>
    </w:p>
  </w:footnote>
  <w:footnote w:id="17">
    <w:p w14:paraId="08325EA8" w14:textId="77777777" w:rsidR="007415CA" w:rsidRPr="00817921" w:rsidRDefault="007415CA" w:rsidP="00817921">
      <w:pPr>
        <w:pStyle w:val="FootnoteText"/>
        <w:spacing w:before="0" w:after="0" w:line="240" w:lineRule="auto"/>
        <w:rPr>
          <w:sz w:val="16"/>
          <w:szCs w:val="16"/>
        </w:rPr>
      </w:pPr>
      <w:r w:rsidRPr="00817921">
        <w:rPr>
          <w:rStyle w:val="FootnoteReference"/>
          <w:sz w:val="16"/>
          <w:szCs w:val="16"/>
        </w:rPr>
        <w:footnoteRef/>
      </w:r>
      <w:r w:rsidRPr="00817921">
        <w:rPr>
          <w:sz w:val="16"/>
          <w:szCs w:val="16"/>
        </w:rPr>
        <w:t xml:space="preserve"> </w:t>
      </w:r>
      <w:r w:rsidRPr="00817921">
        <w:rPr>
          <w:sz w:val="16"/>
          <w:szCs w:val="16"/>
        </w:rPr>
        <w:t>Revista monitor.</w:t>
      </w:r>
    </w:p>
  </w:footnote>
  <w:footnote w:id="18">
    <w:p w14:paraId="589E74B1" w14:textId="655914E5" w:rsidR="007415CA" w:rsidRPr="001E0A83" w:rsidRDefault="007415CA" w:rsidP="00817921">
      <w:pPr>
        <w:spacing w:before="0" w:after="0" w:line="240" w:lineRule="auto"/>
      </w:pPr>
      <w:r w:rsidRPr="00817921">
        <w:rPr>
          <w:rStyle w:val="FootnoteReference"/>
          <w:sz w:val="16"/>
          <w:szCs w:val="16"/>
        </w:rPr>
        <w:footnoteRef/>
      </w:r>
      <w:r w:rsidRPr="00817921">
        <w:rPr>
          <w:rStyle w:val="FootnoteReference"/>
          <w:sz w:val="16"/>
          <w:szCs w:val="16"/>
        </w:rPr>
        <w:t xml:space="preserve"> </w:t>
      </w:r>
      <w:r w:rsidRPr="00817921">
        <w:rPr>
          <w:rStyle w:val="FootnoteReference"/>
          <w:sz w:val="16"/>
          <w:szCs w:val="16"/>
          <w:vertAlign w:val="baseline"/>
        </w:rPr>
        <w:t>Revista monitor, Cikli i ri i emigracionit: Të ardhurat nga remitancat arrijnë në nivelin më të lartë nga 2010-a.</w:t>
      </w:r>
    </w:p>
  </w:footnote>
  <w:footnote w:id="19">
    <w:p w14:paraId="387C7F0D" w14:textId="77777777" w:rsidR="007415CA" w:rsidRPr="00817921" w:rsidRDefault="007415CA" w:rsidP="00817921">
      <w:pPr>
        <w:pStyle w:val="FootnoteText"/>
        <w:spacing w:before="0" w:after="0" w:line="240" w:lineRule="auto"/>
        <w:rPr>
          <w:rStyle w:val="FootnoteReference"/>
          <w:sz w:val="16"/>
          <w:szCs w:val="16"/>
          <w:vertAlign w:val="baseline"/>
        </w:rPr>
      </w:pPr>
      <w:r w:rsidRPr="00817921">
        <w:rPr>
          <w:rStyle w:val="FootnoteReference"/>
          <w:sz w:val="16"/>
          <w:szCs w:val="16"/>
        </w:rPr>
        <w:footnoteRef/>
      </w:r>
      <w:r w:rsidRPr="00817921">
        <w:rPr>
          <w:rStyle w:val="FootnoteReference"/>
          <w:sz w:val="16"/>
          <w:szCs w:val="16"/>
        </w:rPr>
        <w:t xml:space="preserve"> </w:t>
      </w:r>
      <w:r w:rsidRPr="00817921">
        <w:rPr>
          <w:rStyle w:val="FootnoteReference"/>
          <w:sz w:val="16"/>
          <w:szCs w:val="16"/>
          <w:vertAlign w:val="baseline"/>
        </w:rPr>
        <w:t>Zotaj.E, Sfidat e zhvillimit dhe zbatimit të Politikës Rajonale në Shqipëri një hap i rëndësishëm drejt integrimit në Bashkimit Europian, Maj 2021.</w:t>
      </w:r>
    </w:p>
  </w:footnote>
  <w:footnote w:id="20">
    <w:p w14:paraId="36BEC009" w14:textId="77777777" w:rsidR="007415CA" w:rsidRPr="005F2FB7" w:rsidRDefault="007415CA" w:rsidP="00817921">
      <w:pPr>
        <w:pStyle w:val="FootnoteText"/>
        <w:spacing w:before="0" w:after="0" w:line="240" w:lineRule="auto"/>
        <w:rPr>
          <w:rStyle w:val="FootnoteReference"/>
          <w:sz w:val="18"/>
          <w:szCs w:val="18"/>
          <w:vertAlign w:val="baseline"/>
        </w:rPr>
      </w:pPr>
      <w:r w:rsidRPr="00817921">
        <w:rPr>
          <w:rStyle w:val="FootnoteReference"/>
          <w:sz w:val="16"/>
          <w:szCs w:val="16"/>
        </w:rPr>
        <w:footnoteRef/>
      </w:r>
      <w:r w:rsidRPr="00817921">
        <w:rPr>
          <w:sz w:val="16"/>
          <w:szCs w:val="16"/>
        </w:rPr>
        <w:t xml:space="preserve"> </w:t>
      </w:r>
      <w:r w:rsidRPr="00817921">
        <w:rPr>
          <w:rStyle w:val="FootnoteReference"/>
          <w:sz w:val="16"/>
          <w:szCs w:val="16"/>
          <w:vertAlign w:val="baseline"/>
        </w:rPr>
        <w:t>INSTAT</w:t>
      </w:r>
    </w:p>
  </w:footnote>
  <w:footnote w:id="21">
    <w:p w14:paraId="51D105C6" w14:textId="4FD49CF7" w:rsidR="007415CA" w:rsidRPr="00817921" w:rsidRDefault="007415CA" w:rsidP="00817921">
      <w:pPr>
        <w:pStyle w:val="FootnoteText"/>
        <w:spacing w:before="0" w:after="0" w:line="240" w:lineRule="auto"/>
        <w:rPr>
          <w:rStyle w:val="FootnoteReference"/>
          <w:rFonts w:cstheme="minorHAnsi"/>
          <w:sz w:val="16"/>
          <w:szCs w:val="16"/>
          <w:vertAlign w:val="baseline"/>
        </w:rPr>
      </w:pPr>
      <w:r w:rsidRPr="00817921">
        <w:rPr>
          <w:rStyle w:val="FootnoteReference"/>
          <w:rFonts w:cstheme="minorHAnsi"/>
          <w:sz w:val="16"/>
          <w:szCs w:val="16"/>
        </w:rPr>
        <w:footnoteRef/>
      </w:r>
      <w:r w:rsidRPr="00817921">
        <w:rPr>
          <w:rFonts w:cstheme="minorHAnsi"/>
          <w:sz w:val="16"/>
          <w:szCs w:val="16"/>
        </w:rPr>
        <w:t xml:space="preserve"> </w:t>
      </w:r>
      <w:r w:rsidRPr="00817921">
        <w:rPr>
          <w:rStyle w:val="FootnoteReference"/>
          <w:rFonts w:cstheme="minorHAnsi"/>
          <w:sz w:val="16"/>
          <w:szCs w:val="16"/>
          <w:vertAlign w:val="baseline"/>
        </w:rPr>
        <w:t xml:space="preserve">VKM Nr. 88 “Per </w:t>
      </w:r>
      <w:r w:rsidRPr="00817921">
        <w:rPr>
          <w:rStyle w:val="FootnoteReference"/>
          <w:rFonts w:cstheme="minorHAnsi"/>
          <w:sz w:val="16"/>
          <w:szCs w:val="16"/>
          <w:vertAlign w:val="baseline"/>
        </w:rPr>
        <w:t xml:space="preserve">miratimin e Strategjisë Kombëtare për Zhvillim dhe Integrim Evropian 2022-2030”, shkurt 2023. </w:t>
      </w:r>
    </w:p>
  </w:footnote>
  <w:footnote w:id="22">
    <w:p w14:paraId="74648F9F" w14:textId="1E584F63" w:rsidR="007415CA" w:rsidRPr="00817921" w:rsidRDefault="007415CA" w:rsidP="00817921">
      <w:pPr>
        <w:pStyle w:val="FootnoteText"/>
        <w:spacing w:before="0" w:after="0" w:line="240" w:lineRule="auto"/>
        <w:rPr>
          <w:rStyle w:val="FootnoteReference"/>
          <w:rFonts w:cstheme="minorHAnsi"/>
          <w:sz w:val="16"/>
          <w:szCs w:val="16"/>
          <w:vertAlign w:val="baseline"/>
        </w:rPr>
      </w:pPr>
      <w:r w:rsidRPr="00817921">
        <w:rPr>
          <w:rStyle w:val="FootnoteReference"/>
          <w:rFonts w:cstheme="minorHAnsi"/>
          <w:sz w:val="16"/>
          <w:szCs w:val="16"/>
        </w:rPr>
        <w:footnoteRef/>
      </w:r>
      <w:r w:rsidRPr="00817921">
        <w:rPr>
          <w:rFonts w:cstheme="minorHAnsi"/>
          <w:sz w:val="16"/>
          <w:szCs w:val="16"/>
        </w:rPr>
        <w:t xml:space="preserve"> </w:t>
      </w:r>
      <w:r w:rsidRPr="00817921">
        <w:rPr>
          <w:rStyle w:val="FootnoteReference"/>
          <w:rFonts w:cstheme="minorHAnsi"/>
          <w:sz w:val="16"/>
          <w:szCs w:val="16"/>
          <w:vertAlign w:val="baseline"/>
        </w:rPr>
        <w:t xml:space="preserve">Vizioni I BE përcakton pesë përparësi, “Europa intelighente”, “Europa e gjelbër”, “Europa komunikuese”, “Europa më sociale” dhe “Europa më pranë qytetarëve”. </w:t>
      </w:r>
    </w:p>
  </w:footnote>
  <w:footnote w:id="23">
    <w:p w14:paraId="50E6C1A5" w14:textId="77777777" w:rsidR="007415CA" w:rsidRPr="00817921" w:rsidRDefault="007415CA" w:rsidP="00817921">
      <w:pPr>
        <w:pStyle w:val="FootnoteText"/>
        <w:spacing w:before="0" w:after="0"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Style w:val="FootnoteReference"/>
          <w:rFonts w:cstheme="minorHAnsi"/>
          <w:sz w:val="16"/>
          <w:szCs w:val="16"/>
          <w:vertAlign w:val="baseline"/>
        </w:rPr>
        <w:t>Fondi Shqiptar i Zhvillimit, 2020</w:t>
      </w:r>
      <w:r w:rsidRPr="00817921">
        <w:rPr>
          <w:rFonts w:cstheme="minorHAnsi"/>
          <w:sz w:val="16"/>
          <w:szCs w:val="16"/>
        </w:rPr>
        <w:t>.</w:t>
      </w:r>
    </w:p>
  </w:footnote>
  <w:footnote w:id="24">
    <w:p w14:paraId="20C2EE7B" w14:textId="1A63A1FD"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UN, 2021, Budget Analysis of SDG-related Spending in Albania: 2015-2019.</w:t>
      </w:r>
    </w:p>
  </w:footnote>
  <w:footnote w:id="25">
    <w:p w14:paraId="7143B60E" w14:textId="6E37E360"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Eurostat, 2022.</w:t>
      </w:r>
    </w:p>
  </w:footnote>
  <w:footnote w:id="26">
    <w:p w14:paraId="4DAC1AF7" w14:textId="25837759"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692586">
        <w:rPr>
          <w:rFonts w:cstheme="minorHAnsi"/>
          <w:sz w:val="16"/>
          <w:szCs w:val="16"/>
          <w:lang w:val="it-IT"/>
        </w:rPr>
        <w:t>W</w:t>
      </w:r>
      <w:r w:rsidRPr="00817921">
        <w:rPr>
          <w:rFonts w:cstheme="minorHAnsi"/>
          <w:sz w:val="16"/>
          <w:szCs w:val="16"/>
          <w:lang w:val="it-IT"/>
        </w:rPr>
        <w:t>orld Bank Group, 2022, Albania Social Protection Situation Analysis.</w:t>
      </w:r>
    </w:p>
  </w:footnote>
  <w:footnote w:id="27">
    <w:p w14:paraId="644CB8D0"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INSTAT, Matja e të Ardhurave dhe Nivelit të jetesës në Shqipëri 2021, Dhjetor 2022.</w:t>
      </w:r>
    </w:p>
  </w:footnote>
  <w:footnote w:id="28">
    <w:p w14:paraId="58B07940"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 xml:space="preserve">Duke përfshirë përfituesit nga fondi 6 përqind, numri i përgjithshëm i familjeve përfituese të Ndihmës Ekonomike ishte 59,546 në vitin 2018, 63,455 në vitin 2019, 66,472 në vitin 2020 dhe 68,246 në vitin 2021. </w:t>
      </w:r>
    </w:p>
  </w:footnote>
  <w:footnote w:id="29">
    <w:p w14:paraId="52B8B05A" w14:textId="699036A1"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lang w:val="sq-AL"/>
        </w:rPr>
        <w:t xml:space="preserve"> </w:t>
      </w:r>
      <w:r w:rsidRPr="00817921">
        <w:rPr>
          <w:rFonts w:cstheme="minorHAnsi"/>
          <w:sz w:val="16"/>
          <w:szCs w:val="16"/>
          <w:lang w:val="it-IT"/>
        </w:rPr>
        <w:t>Anketa mbi të Ardhurat dhe Kushtet e Jetesës, 2020.</w:t>
      </w:r>
    </w:p>
  </w:footnote>
  <w:footnote w:id="30">
    <w:p w14:paraId="7643430F" w14:textId="3F866939" w:rsidR="007415CA" w:rsidRPr="00817921" w:rsidRDefault="007415CA" w:rsidP="00817921">
      <w:pPr>
        <w:pStyle w:val="FootnoteText"/>
        <w:spacing w:before="0" w:after="0" w:line="240" w:lineRule="auto"/>
        <w:rPr>
          <w:rFonts w:cstheme="minorHAnsi"/>
          <w:sz w:val="16"/>
          <w:szCs w:val="16"/>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 xml:space="preserve">INSTAT-UN </w:t>
      </w:r>
      <w:r>
        <w:rPr>
          <w:rFonts w:cstheme="minorHAnsi"/>
          <w:sz w:val="16"/>
          <w:szCs w:val="16"/>
          <w:lang w:val="it-IT"/>
        </w:rPr>
        <w:t>W</w:t>
      </w:r>
      <w:r w:rsidRPr="00817921">
        <w:rPr>
          <w:rFonts w:cstheme="minorHAnsi"/>
          <w:sz w:val="16"/>
          <w:szCs w:val="16"/>
          <w:lang w:val="it-IT"/>
        </w:rPr>
        <w:t>omen, 2021.</w:t>
      </w:r>
      <w:r w:rsidRPr="00817921">
        <w:rPr>
          <w:rFonts w:cstheme="minorHAnsi"/>
          <w:sz w:val="16"/>
          <w:szCs w:val="16"/>
        </w:rPr>
        <w:t xml:space="preserve"> </w:t>
      </w:r>
    </w:p>
  </w:footnote>
  <w:footnote w:id="31">
    <w:p w14:paraId="75B97F1F" w14:textId="227F8C05" w:rsidR="007415CA" w:rsidRPr="00817921" w:rsidRDefault="007415CA" w:rsidP="00817921">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 xml:space="preserve">World Bank Group, 2022. Albania – Social Protection Situational Analyses. </w:t>
      </w:r>
    </w:p>
  </w:footnote>
  <w:footnote w:id="32">
    <w:p w14:paraId="684ED1FA" w14:textId="122B6D44" w:rsidR="007415CA" w:rsidRPr="00817921" w:rsidRDefault="007415CA" w:rsidP="00817921">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World Bank Group, 2022. Albania – Social Protection Situational Analyses.</w:t>
      </w:r>
    </w:p>
  </w:footnote>
  <w:footnote w:id="33">
    <w:p w14:paraId="7352769D" w14:textId="270B8E30" w:rsidR="007415CA" w:rsidRPr="00817921" w:rsidRDefault="007415CA" w:rsidP="00817921">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European Commission-ESPN, Thematic Report on Social Protection for People with Disabilities, Albania, 2022.</w:t>
      </w:r>
    </w:p>
  </w:footnote>
  <w:footnote w:id="34">
    <w:p w14:paraId="58915D3B" w14:textId="015AA208" w:rsidR="007415CA" w:rsidRPr="00817921" w:rsidRDefault="007415CA" w:rsidP="00817921">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WFD, Impact of COVID 19 to People ëith Disabilities in Albania, 2021.</w:t>
      </w:r>
    </w:p>
  </w:footnote>
  <w:footnote w:id="35">
    <w:p w14:paraId="26622E02" w14:textId="51D06C7E" w:rsidR="007415CA" w:rsidRPr="00817921" w:rsidRDefault="007415CA" w:rsidP="00186F15">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ILO, Reforma e Programit të Ndihmës Ekonomike në Shqipëri, 2023.</w:t>
      </w:r>
    </w:p>
  </w:footnote>
  <w:footnote w:id="36">
    <w:p w14:paraId="1F8BBC33" w14:textId="43DEEED9" w:rsidR="007415CA" w:rsidRPr="00817921" w:rsidRDefault="007415CA" w:rsidP="00186F15">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 xml:space="preserve">Vendimi i Këshillit të Ministrave nr. 904, datë 12.12.2012, “Për përcaktimin e kritereve, procedurave dhe doku- mentacionit të përfitimit të ndihmës ekonomike në zonat pilot”. </w:t>
      </w:r>
    </w:p>
    <w:p w14:paraId="4EBFB037" w14:textId="77777777" w:rsidR="007415CA" w:rsidRPr="0028337F" w:rsidRDefault="007415CA" w:rsidP="00186F15">
      <w:pPr>
        <w:pStyle w:val="FootnoteText"/>
        <w:spacing w:before="0" w:after="0" w:line="240" w:lineRule="auto"/>
        <w:rPr>
          <w:lang w:val="it-IT"/>
        </w:rPr>
      </w:pPr>
    </w:p>
  </w:footnote>
  <w:footnote w:id="37">
    <w:p w14:paraId="5D0D9EDE" w14:textId="77777777" w:rsidR="007415CA" w:rsidRPr="00817921" w:rsidRDefault="007415CA" w:rsidP="00186F15">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ILO, Reforma e Programit të Ndihmës Ekonomike në Shqipëri, 2023.</w:t>
      </w:r>
    </w:p>
  </w:footnote>
  <w:footnote w:id="38">
    <w:p w14:paraId="1259635E" w14:textId="77777777" w:rsidR="007415CA" w:rsidRPr="00817921" w:rsidRDefault="007415CA" w:rsidP="00075C17">
      <w:pPr>
        <w:pStyle w:val="NoSpacing"/>
        <w:rPr>
          <w:rFonts w:asciiTheme="minorHAnsi" w:eastAsiaTheme="minorHAnsi" w:hAnsiTheme="minorHAnsi" w:cstheme="minorHAnsi"/>
          <w:sz w:val="16"/>
          <w:szCs w:val="16"/>
          <w:lang w:val="it-IT" w:eastAsia="en-US"/>
        </w:rPr>
      </w:pPr>
      <w:r w:rsidRPr="00817921">
        <w:rPr>
          <w:rStyle w:val="FootnoteReference"/>
          <w:rFonts w:asciiTheme="minorHAnsi" w:hAnsiTheme="minorHAnsi" w:cstheme="minorHAnsi"/>
          <w:sz w:val="16"/>
          <w:szCs w:val="16"/>
        </w:rPr>
        <w:footnoteRef/>
      </w:r>
      <w:r w:rsidRPr="00817921">
        <w:rPr>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MSHMS 2018, Raport I vlerësimit të zbatimit të Reformës së vlerësimit bi psiko social të aftësisë së kufizuar.</w:t>
      </w:r>
    </w:p>
  </w:footnote>
  <w:footnote w:id="39">
    <w:p w14:paraId="0A45C593" w14:textId="77777777" w:rsidR="007415CA" w:rsidRPr="00CF20E3" w:rsidRDefault="007415CA" w:rsidP="00075C17">
      <w:pPr>
        <w:pStyle w:val="NoSpacing"/>
        <w:rPr>
          <w:rFonts w:asciiTheme="minorHAnsi" w:eastAsiaTheme="minorHAnsi" w:hAnsiTheme="minorHAnsi" w:cstheme="minorHAnsi"/>
          <w:sz w:val="18"/>
          <w:szCs w:val="18"/>
          <w:lang w:val="it-IT" w:eastAsia="en-US"/>
        </w:rPr>
      </w:pPr>
      <w:r w:rsidRPr="00817921">
        <w:rPr>
          <w:rStyle w:val="FootnoteReference"/>
          <w:rFonts w:asciiTheme="minorHAnsi" w:hAnsiTheme="minorHAnsi" w:cstheme="minorHAnsi"/>
          <w:sz w:val="16"/>
          <w:szCs w:val="16"/>
        </w:rPr>
        <w:footnoteRef/>
      </w:r>
      <w:r w:rsidRPr="00817921">
        <w:rPr>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VKM Nr. 360, datë 05.06.2019, "Për miratimin e dokumentit të politikave" Reforma e Vlerësimit të Aftësisë së Kufizuar në Sistemin e Mbrojtjes Sociale dhe Planin e Veprimit të tij 2019-2024 ".</w:t>
      </w:r>
    </w:p>
  </w:footnote>
  <w:footnote w:id="40">
    <w:p w14:paraId="31B94343" w14:textId="77777777" w:rsidR="007415CA" w:rsidRPr="00817921" w:rsidRDefault="007415CA" w:rsidP="00817921">
      <w:pPr>
        <w:pStyle w:val="FootnoteText"/>
        <w:spacing w:line="240" w:lineRule="auto"/>
        <w:jc w:val="left"/>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lang w:val="it-IT"/>
        </w:rPr>
        <w:t>Raporti i monitorimit për vitin 2022, i Strategjisë së Mbrojtjes Sociale 2019-2023.</w:t>
      </w:r>
    </w:p>
  </w:footnote>
  <w:footnote w:id="41">
    <w:p w14:paraId="2B563749" w14:textId="77777777" w:rsidR="007415CA" w:rsidRPr="00817921" w:rsidRDefault="007415CA" w:rsidP="00817921">
      <w:pPr>
        <w:pStyle w:val="FootnoteText"/>
        <w:spacing w:line="240" w:lineRule="auto"/>
        <w:jc w:val="left"/>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lang w:val="it-IT"/>
        </w:rPr>
        <w:t>Personat me dëmtime të shikimit vlerësohen sipas VKM nr. 671, datë 15.12.2000 (i ndryshuar) "Për krijimin e Komisionit Mjekësor për Përcaktimin e Verbërisë". Ky komision administrohet nga SHSSH dhe mblidhet vetëm në Tiranë.</w:t>
      </w:r>
    </w:p>
  </w:footnote>
  <w:footnote w:id="42">
    <w:p w14:paraId="2593AC1C" w14:textId="77777777" w:rsidR="007415CA" w:rsidRPr="00817921" w:rsidRDefault="007415CA" w:rsidP="00817921">
      <w:pPr>
        <w:pStyle w:val="FootnoteText"/>
        <w:spacing w:line="240" w:lineRule="auto"/>
        <w:jc w:val="left"/>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Personat para-tetraplegjikë vlerësohen nga KMCAP për paraplegjinë, tetraplegjinë dhe neurologjinë, të administruar nga SSS</w:t>
      </w:r>
    </w:p>
  </w:footnote>
  <w:footnote w:id="43">
    <w:p w14:paraId="2D3E77AE" w14:textId="77777777" w:rsidR="007415CA" w:rsidRPr="00817921" w:rsidRDefault="007415CA" w:rsidP="00075C17">
      <w:pPr>
        <w:pStyle w:val="NoSpacing"/>
        <w:rPr>
          <w:rFonts w:asciiTheme="minorHAnsi" w:eastAsiaTheme="minorHAnsi" w:hAnsiTheme="minorHAnsi" w:cstheme="minorHAnsi"/>
          <w:sz w:val="16"/>
          <w:szCs w:val="16"/>
          <w:lang w:val="it-IT" w:eastAsia="en-US"/>
        </w:rPr>
      </w:pPr>
      <w:r w:rsidRPr="00817921">
        <w:rPr>
          <w:rStyle w:val="FootnoteReference"/>
          <w:rFonts w:asciiTheme="minorHAnsi" w:hAnsiTheme="minorHAnsi" w:cstheme="minorHAnsi"/>
          <w:sz w:val="16"/>
          <w:szCs w:val="16"/>
        </w:rPr>
        <w:footnoteRef/>
      </w:r>
      <w:r w:rsidRPr="00817921">
        <w:rPr>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MSHMS 2022, Raport I vlerësimit të zbatimit të Reformës së vlerësimit bi psiko social të aftësisë së kufizuar.</w:t>
      </w:r>
    </w:p>
  </w:footnote>
  <w:footnote w:id="44">
    <w:p w14:paraId="508208F4" w14:textId="77777777" w:rsidR="007415CA" w:rsidRPr="00817921" w:rsidRDefault="007415CA" w:rsidP="00075C17">
      <w:pPr>
        <w:pStyle w:val="NoSpacing"/>
        <w:rPr>
          <w:rFonts w:asciiTheme="minorHAnsi" w:eastAsiaTheme="minorHAnsi" w:hAnsiTheme="minorHAnsi" w:cstheme="minorHAnsi"/>
          <w:sz w:val="16"/>
          <w:szCs w:val="16"/>
          <w:lang w:val="it-IT" w:eastAsia="en-US"/>
        </w:rPr>
      </w:pPr>
      <w:r w:rsidRPr="00817921">
        <w:rPr>
          <w:rStyle w:val="FootnoteReference"/>
          <w:rFonts w:asciiTheme="minorHAnsi" w:hAnsiTheme="minorHAnsi" w:cstheme="minorHAnsi"/>
          <w:sz w:val="16"/>
          <w:szCs w:val="16"/>
        </w:rPr>
        <w:footnoteRef/>
      </w:r>
      <w:r w:rsidRPr="00817921">
        <w:rPr>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MSHMS 2018, Raport I vlerësimit të zbatimit të Reformës së vlerësimit bi psiko social të aftësisë së kufizuar.</w:t>
      </w:r>
    </w:p>
  </w:footnote>
  <w:footnote w:id="45">
    <w:p w14:paraId="279E6211" w14:textId="77777777" w:rsidR="007415CA" w:rsidRPr="00CF20E3" w:rsidRDefault="007415CA" w:rsidP="00075C17">
      <w:pPr>
        <w:pStyle w:val="NoSpacing"/>
        <w:rPr>
          <w:rFonts w:asciiTheme="minorHAnsi" w:eastAsiaTheme="minorHAnsi" w:hAnsiTheme="minorHAnsi" w:cstheme="minorHAnsi"/>
          <w:sz w:val="18"/>
          <w:szCs w:val="18"/>
          <w:lang w:val="it-IT" w:eastAsia="en-US"/>
        </w:rPr>
      </w:pPr>
      <w:r w:rsidRPr="00817921">
        <w:rPr>
          <w:rStyle w:val="FootnoteReference"/>
          <w:rFonts w:asciiTheme="minorHAnsi" w:hAnsiTheme="minorHAnsi" w:cstheme="minorHAnsi"/>
          <w:sz w:val="16"/>
          <w:szCs w:val="16"/>
        </w:rPr>
        <w:footnoteRef/>
      </w:r>
      <w:r w:rsidRPr="00817921">
        <w:rPr>
          <w:rStyle w:val="FootnoteReference"/>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MSHMS 2018, Raport I vlerësimit të zbatimit të Reformës së vlerësimit bi psiko social të aftësisë së kufizuar.</w:t>
      </w:r>
    </w:p>
  </w:footnote>
  <w:footnote w:id="46">
    <w:p w14:paraId="04372623" w14:textId="6A973076" w:rsidR="007415CA" w:rsidRPr="00CF20E3" w:rsidRDefault="007415CA" w:rsidP="00CF20E3">
      <w:pPr>
        <w:pStyle w:val="NoSpacing"/>
        <w:rPr>
          <w:rFonts w:asciiTheme="minorHAnsi" w:eastAsiaTheme="minorHAnsi" w:hAnsiTheme="minorHAnsi" w:cstheme="minorHAnsi"/>
          <w:sz w:val="18"/>
          <w:szCs w:val="18"/>
          <w:lang w:val="it-IT" w:eastAsia="en-US"/>
        </w:rPr>
      </w:pPr>
      <w:r w:rsidRPr="00CF20E3">
        <w:rPr>
          <w:rStyle w:val="FootnoteReference"/>
          <w:rFonts w:asciiTheme="majorHAnsi" w:hAnsiTheme="majorHAnsi" w:cstheme="majorHAnsi"/>
          <w:sz w:val="16"/>
          <w:szCs w:val="16"/>
        </w:rPr>
        <w:footnoteRef/>
      </w:r>
      <w:r w:rsidRPr="00CF20E3">
        <w:rPr>
          <w:rStyle w:val="FootnoteReference"/>
          <w:rFonts w:asciiTheme="majorHAnsi" w:hAnsiTheme="majorHAnsi" w:cstheme="majorHAnsi"/>
          <w:sz w:val="16"/>
          <w:szCs w:val="16"/>
        </w:rPr>
        <w:t xml:space="preserve"> </w:t>
      </w:r>
      <w:r w:rsidRPr="00CF20E3">
        <w:rPr>
          <w:rFonts w:asciiTheme="minorHAnsi" w:eastAsiaTheme="minorHAnsi" w:hAnsiTheme="minorHAnsi" w:cstheme="minorHAnsi"/>
          <w:sz w:val="18"/>
          <w:szCs w:val="18"/>
          <w:lang w:val="it-IT" w:eastAsia="en-US"/>
        </w:rPr>
        <w:t>The measure of disability severity is distinguished bet</w:t>
      </w:r>
      <w:r>
        <w:rPr>
          <w:rFonts w:asciiTheme="minorHAnsi" w:eastAsiaTheme="minorHAnsi" w:hAnsiTheme="minorHAnsi" w:cstheme="minorHAnsi"/>
          <w:sz w:val="18"/>
          <w:szCs w:val="18"/>
          <w:lang w:val="it-IT" w:eastAsia="en-US"/>
        </w:rPr>
        <w:t>w</w:t>
      </w:r>
      <w:r w:rsidRPr="00CF20E3">
        <w:rPr>
          <w:rFonts w:asciiTheme="minorHAnsi" w:eastAsiaTheme="minorHAnsi" w:hAnsiTheme="minorHAnsi" w:cstheme="minorHAnsi"/>
          <w:sz w:val="18"/>
          <w:szCs w:val="18"/>
          <w:lang w:val="it-IT" w:eastAsia="en-US"/>
        </w:rPr>
        <w:t xml:space="preserve">en light (5-24%), moderate (25-49%), heavy (50-95%) and full (96-100%) disability. Income support variesin accordance </w:t>
      </w:r>
      <w:r>
        <w:rPr>
          <w:rFonts w:asciiTheme="minorHAnsi" w:eastAsiaTheme="minorHAnsi" w:hAnsiTheme="minorHAnsi" w:cstheme="minorHAnsi"/>
          <w:sz w:val="18"/>
          <w:szCs w:val="18"/>
          <w:lang w:val="it-IT" w:eastAsia="en-US"/>
        </w:rPr>
        <w:t>w</w:t>
      </w:r>
      <w:r w:rsidRPr="00CF20E3">
        <w:rPr>
          <w:rFonts w:asciiTheme="minorHAnsi" w:eastAsiaTheme="minorHAnsi" w:hAnsiTheme="minorHAnsi" w:cstheme="minorHAnsi"/>
          <w:sz w:val="18"/>
          <w:szCs w:val="18"/>
          <w:lang w:val="it-IT" w:eastAsia="en-US"/>
        </w:rPr>
        <w:t xml:space="preserve">ith the severity of disability and the same </w:t>
      </w:r>
      <w:r>
        <w:rPr>
          <w:rFonts w:asciiTheme="minorHAnsi" w:eastAsiaTheme="minorHAnsi" w:hAnsiTheme="minorHAnsi" w:cstheme="minorHAnsi"/>
          <w:sz w:val="18"/>
          <w:szCs w:val="18"/>
          <w:lang w:val="it-IT" w:eastAsia="en-US"/>
        </w:rPr>
        <w:t>w</w:t>
      </w:r>
      <w:r w:rsidRPr="00CF20E3">
        <w:rPr>
          <w:rFonts w:asciiTheme="minorHAnsi" w:eastAsiaTheme="minorHAnsi" w:hAnsiTheme="minorHAnsi" w:cstheme="minorHAnsi"/>
          <w:sz w:val="18"/>
          <w:szCs w:val="18"/>
          <w:lang w:val="it-IT" w:eastAsia="en-US"/>
        </w:rPr>
        <w:t xml:space="preserve">ill happen regarding other non-cash benefits. </w:t>
      </w:r>
    </w:p>
  </w:footnote>
  <w:footnote w:id="47">
    <w:p w14:paraId="1A4BADF6" w14:textId="77777777" w:rsidR="007415CA" w:rsidRPr="00817921" w:rsidRDefault="007415CA" w:rsidP="00817921">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VKM Nr. 360, datë 05.06.2019, "Për miratimin e dokumentit të politikave" Reforma e Vlerësimit të Aftësisë së Kufizuar në Sistemin e Mbrojtjes Sociale dhe Planin e Veprimit të tij 2019-2024 ".</w:t>
      </w:r>
    </w:p>
  </w:footnote>
  <w:footnote w:id="48">
    <w:p w14:paraId="45766C55" w14:textId="77777777" w:rsidR="007415CA" w:rsidRPr="00817921" w:rsidRDefault="007415CA" w:rsidP="00817921">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VKM-së Nr 682, datë 29/07/2015 i ndryshuar, “PËR PËRDORIMIN E FONDEVE PUBLIKE PËR TRANSPORTIMIN E PUNONJËSVE ARSIMORË QË PUNOJNË DHE TË NXËNËSVE QË MËSOJNË JASHTË VENDBANIMIT”.</w:t>
      </w:r>
    </w:p>
  </w:footnote>
  <w:footnote w:id="49">
    <w:p w14:paraId="6B26D02B" w14:textId="77777777" w:rsidR="007415CA" w:rsidRPr="00817921" w:rsidRDefault="007415CA" w:rsidP="00817921">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VKM-në Nr. 753 datë 13/12/2017, “PËR KUOTAT FINANCIARE TË USHQIMIT NË MENSA E KONVIKTE, PËRCAKTIMIN E KRITEREVE PËR PËRFITIMIN E BURSAVE DHE PAGESAVE PËR NXËNËSIT E ARSIMIT PARAUNIVERSITAR NË INSTITUCIONET ARSIMORE PUBLIKE”.</w:t>
      </w:r>
    </w:p>
  </w:footnote>
  <w:footnote w:id="50">
    <w:p w14:paraId="4B0CF2EA" w14:textId="77777777" w:rsidR="007415CA" w:rsidRPr="00817921" w:rsidRDefault="007415CA" w:rsidP="00817921">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bazuar në VKM-në e përvitshme për tekstet shkollore falas për grupet e prekshme</w:t>
      </w:r>
    </w:p>
  </w:footnote>
  <w:footnote w:id="51">
    <w:p w14:paraId="4ACFC70F" w14:textId="77777777" w:rsidR="007415CA" w:rsidRPr="00CF20E3" w:rsidRDefault="007415CA" w:rsidP="00817921">
      <w:pPr>
        <w:pStyle w:val="FootnoteText"/>
        <w:spacing w:before="0" w:after="0" w:line="240" w:lineRule="auto"/>
        <w:jc w:val="left"/>
        <w:rPr>
          <w:rFonts w:cstheme="minorHAnsi"/>
          <w:sz w:val="18"/>
          <w:szCs w:val="18"/>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VKMsë Nr. 269, datë 29.03.2017 ndryshuar me VKM-në Nr. 40 datë 23.01.2019 dhe VKM-në Nr. 251 datë 27.03.2020, “Për përcaktimin e kategorive të individëve që plotësojnë kriteret e pranimit në një program të ciklit të parë të studimeve, në një program të integruar të studimeve ose në një program të studimeve profesionale në pamundësi financiare për të mbuluar tarifat vjetore të shkollimit’’.</w:t>
      </w:r>
    </w:p>
  </w:footnote>
  <w:footnote w:id="52">
    <w:p w14:paraId="79D6BD7D" w14:textId="1319C509" w:rsidR="007415CA" w:rsidRPr="00186F15" w:rsidRDefault="007415CA" w:rsidP="00817921">
      <w:pPr>
        <w:pStyle w:val="FootnoteText"/>
        <w:spacing w:before="0" w:after="0" w:line="240" w:lineRule="auto"/>
        <w:rPr>
          <w:rFonts w:cstheme="minorHAnsi"/>
          <w:sz w:val="16"/>
          <w:szCs w:val="16"/>
          <w:lang w:val="it-IT"/>
        </w:rPr>
      </w:pPr>
      <w:r w:rsidRPr="00186F15">
        <w:rPr>
          <w:rStyle w:val="FootnoteReference"/>
          <w:rFonts w:cstheme="minorHAnsi"/>
          <w:sz w:val="16"/>
          <w:szCs w:val="16"/>
          <w:lang w:val="sq-AL"/>
        </w:rPr>
        <w:footnoteRef/>
      </w:r>
      <w:r w:rsidRPr="00186F15">
        <w:rPr>
          <w:rFonts w:cstheme="minorHAnsi"/>
          <w:sz w:val="16"/>
          <w:szCs w:val="16"/>
          <w:lang w:val="sq-AL"/>
        </w:rPr>
        <w:t xml:space="preserve"> </w:t>
      </w:r>
      <w:r w:rsidRPr="00186F15">
        <w:rPr>
          <w:rFonts w:cstheme="minorHAnsi"/>
          <w:sz w:val="16"/>
          <w:szCs w:val="16"/>
          <w:lang w:val="it-IT"/>
        </w:rPr>
        <w:t>Qasja e integruar e shërbimeve me në qendër individin, për të mbështetur investimin në kapitalin social, përfshirjen e individit në matjen e performancës së sistemit të mbrojtje sociale.</w:t>
      </w:r>
    </w:p>
  </w:footnote>
  <w:footnote w:id="53">
    <w:p w14:paraId="3E306C41" w14:textId="5B8C18C9" w:rsidR="007415CA" w:rsidRPr="00186F15" w:rsidRDefault="007415CA" w:rsidP="00817921">
      <w:pPr>
        <w:pStyle w:val="FootnoteText"/>
        <w:spacing w:before="0" w:after="0" w:line="240" w:lineRule="auto"/>
        <w:rPr>
          <w:rFonts w:cstheme="minorHAnsi"/>
          <w:sz w:val="16"/>
          <w:szCs w:val="16"/>
          <w:lang w:val="it-IT"/>
        </w:rPr>
      </w:pPr>
      <w:r w:rsidRPr="00186F15">
        <w:rPr>
          <w:rStyle w:val="FootnoteReference"/>
          <w:rFonts w:cstheme="minorHAnsi"/>
          <w:sz w:val="16"/>
          <w:szCs w:val="16"/>
        </w:rPr>
        <w:footnoteRef/>
      </w:r>
      <w:r w:rsidRPr="00186F15">
        <w:rPr>
          <w:rFonts w:cstheme="minorHAnsi"/>
          <w:sz w:val="16"/>
          <w:szCs w:val="16"/>
        </w:rPr>
        <w:t xml:space="preserve"> </w:t>
      </w:r>
      <w:r w:rsidRPr="00186F15">
        <w:rPr>
          <w:rFonts w:cstheme="minorHAnsi"/>
          <w:sz w:val="16"/>
          <w:szCs w:val="16"/>
          <w:lang w:val="it-IT"/>
        </w:rPr>
        <w:t>EC, 2022, European Care Strategy for Caregivers and Care receivers.</w:t>
      </w:r>
    </w:p>
  </w:footnote>
  <w:footnote w:id="54">
    <w:p w14:paraId="62B5DF97" w14:textId="05316024" w:rsidR="007415CA" w:rsidRPr="00186F15" w:rsidRDefault="007415CA" w:rsidP="00817921">
      <w:pPr>
        <w:pStyle w:val="FootnoteText"/>
        <w:spacing w:before="0" w:after="0" w:line="240" w:lineRule="auto"/>
        <w:rPr>
          <w:rFonts w:cstheme="minorHAnsi"/>
          <w:sz w:val="16"/>
          <w:szCs w:val="16"/>
          <w:lang w:val="it-IT"/>
        </w:rPr>
      </w:pPr>
      <w:r w:rsidRPr="00186F15">
        <w:rPr>
          <w:rStyle w:val="FootnoteReference"/>
          <w:rFonts w:cstheme="minorHAnsi"/>
          <w:sz w:val="16"/>
          <w:szCs w:val="16"/>
        </w:rPr>
        <w:footnoteRef/>
      </w:r>
      <w:r w:rsidRPr="00186F15">
        <w:rPr>
          <w:rFonts w:cstheme="minorHAnsi"/>
          <w:sz w:val="16"/>
          <w:szCs w:val="16"/>
        </w:rPr>
        <w:t xml:space="preserve"> </w:t>
      </w:r>
      <w:r w:rsidRPr="00186F15">
        <w:rPr>
          <w:rFonts w:cstheme="minorHAnsi"/>
          <w:sz w:val="16"/>
          <w:szCs w:val="16"/>
          <w:lang w:val="it-IT"/>
        </w:rPr>
        <w:t>Fondi Social Europian, 25% e të cilit është përdorur për zhvillimin dhe modernizimin e shërbimeve sociale të integruara dhe cilësore, në kushtet e pabarazive mes vendeve anëtare.</w:t>
      </w:r>
    </w:p>
  </w:footnote>
  <w:footnote w:id="55">
    <w:p w14:paraId="764F85DC" w14:textId="452B1315" w:rsidR="007415CA" w:rsidRPr="00186F15" w:rsidRDefault="007415CA" w:rsidP="00817921">
      <w:pPr>
        <w:pStyle w:val="FootnoteText"/>
        <w:spacing w:before="0" w:after="0" w:line="240" w:lineRule="auto"/>
        <w:rPr>
          <w:rFonts w:cstheme="minorHAnsi"/>
          <w:sz w:val="16"/>
          <w:szCs w:val="16"/>
          <w:lang w:val="it-IT"/>
        </w:rPr>
      </w:pPr>
      <w:r w:rsidRPr="00186F15">
        <w:rPr>
          <w:rStyle w:val="FootnoteReference"/>
          <w:rFonts w:cstheme="minorHAnsi"/>
          <w:sz w:val="16"/>
          <w:szCs w:val="16"/>
        </w:rPr>
        <w:footnoteRef/>
      </w:r>
      <w:r w:rsidRPr="00186F15">
        <w:rPr>
          <w:rFonts w:cstheme="minorHAnsi"/>
          <w:sz w:val="16"/>
          <w:szCs w:val="16"/>
        </w:rPr>
        <w:t xml:space="preserve"> </w:t>
      </w:r>
      <w:hyperlink r:id="rId1" w:history="1">
        <w:r w:rsidRPr="00186F15">
          <w:rPr>
            <w:rStyle w:val="Hyperlink"/>
            <w:rFonts w:cstheme="minorHAnsi"/>
            <w:sz w:val="16"/>
            <w:szCs w:val="16"/>
          </w:rPr>
          <w:t>https://www.esn-eu.org/videos/30th-european-social-services-conference</w:t>
        </w:r>
      </w:hyperlink>
      <w:r w:rsidRPr="00186F15">
        <w:rPr>
          <w:rStyle w:val="Hyperlink"/>
          <w:rFonts w:cstheme="minorHAnsi"/>
          <w:sz w:val="16"/>
          <w:szCs w:val="16"/>
        </w:rPr>
        <w:t xml:space="preserve">  </w:t>
      </w:r>
      <w:r w:rsidRPr="00186F15">
        <w:rPr>
          <w:rFonts w:cstheme="minorHAnsi"/>
          <w:sz w:val="16"/>
          <w:szCs w:val="16"/>
        </w:rPr>
        <w:t xml:space="preserve"> </w:t>
      </w:r>
    </w:p>
  </w:footnote>
  <w:footnote w:id="56">
    <w:p w14:paraId="63CF393D" w14:textId="77777777" w:rsidR="007415CA" w:rsidRPr="00817921" w:rsidRDefault="007415CA" w:rsidP="00817921">
      <w:pPr>
        <w:pStyle w:val="FootnoteText"/>
        <w:spacing w:before="0" w:after="0" w:line="240" w:lineRule="auto"/>
        <w:rPr>
          <w:rFonts w:cstheme="minorHAnsi"/>
          <w:sz w:val="16"/>
          <w:szCs w:val="16"/>
          <w:lang w:val="it-IT"/>
        </w:rPr>
      </w:pPr>
      <w:r w:rsidRPr="00186F15">
        <w:rPr>
          <w:rStyle w:val="FootnoteReference"/>
          <w:rFonts w:cstheme="minorHAnsi"/>
          <w:sz w:val="16"/>
          <w:szCs w:val="16"/>
        </w:rPr>
        <w:footnoteRef/>
      </w:r>
      <w:r w:rsidRPr="00186F15">
        <w:rPr>
          <w:rFonts w:cstheme="minorHAnsi"/>
          <w:sz w:val="16"/>
          <w:szCs w:val="16"/>
        </w:rPr>
        <w:t xml:space="preserve"> </w:t>
      </w:r>
      <w:r w:rsidRPr="00186F15">
        <w:rPr>
          <w:rFonts w:cstheme="minorHAnsi"/>
          <w:sz w:val="16"/>
          <w:szCs w:val="16"/>
          <w:lang w:val="it-IT"/>
        </w:rPr>
        <w:t>MFE, 2022, Programi i Reformave Ekonomike, ERP 2022-2024</w:t>
      </w:r>
      <w:r w:rsidRPr="00817921">
        <w:rPr>
          <w:rFonts w:cstheme="minorHAnsi"/>
          <w:sz w:val="16"/>
          <w:szCs w:val="16"/>
          <w:lang w:val="it-IT"/>
        </w:rPr>
        <w:t xml:space="preserve"> </w:t>
      </w:r>
    </w:p>
  </w:footnote>
  <w:footnote w:id="57">
    <w:p w14:paraId="7124CAB4"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Banka Botërore, Rishikim i Shpenzimeve Publike, 2006.</w:t>
      </w:r>
    </w:p>
  </w:footnote>
  <w:footnote w:id="58">
    <w:p w14:paraId="2B8154B3"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 xml:space="preserve">Shih edhe Vendimin e Këshillit të Ministrave nr. 597, datë 4.09.2019, “Për procedurat, dokumentacionin dhe masën mujore të përfitimit të ndihmës ekonomike dhe përdorimin e fondit shtesë mbi fondin e ndihmës ekonomike të kushtëzuar”. </w:t>
      </w:r>
    </w:p>
  </w:footnote>
  <w:footnote w:id="59">
    <w:p w14:paraId="37353C3E" w14:textId="77777777" w:rsidR="007415CA" w:rsidRPr="00CF20E3" w:rsidRDefault="007415CA" w:rsidP="00817921">
      <w:pPr>
        <w:pStyle w:val="FootnoteText"/>
        <w:spacing w:before="0" w:after="0" w:line="240" w:lineRule="auto"/>
        <w:rPr>
          <w:rFonts w:cstheme="minorHAnsi"/>
          <w:sz w:val="18"/>
          <w:szCs w:val="18"/>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Vendimi i Këshillit të Ministrave nr.882, datë 24.12.2019</w:t>
      </w:r>
      <w:r w:rsidRPr="00CF20E3">
        <w:rPr>
          <w:rFonts w:cstheme="minorHAnsi"/>
          <w:sz w:val="18"/>
          <w:szCs w:val="18"/>
          <w:lang w:val="it-IT"/>
        </w:rPr>
        <w:t xml:space="preserve"> </w:t>
      </w:r>
    </w:p>
  </w:footnote>
  <w:footnote w:id="60">
    <w:p w14:paraId="2C218126"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 xml:space="preserve">Urdhër i përbashkët nr.52, datë 26.01.2022. </w:t>
      </w:r>
    </w:p>
  </w:footnote>
  <w:footnote w:id="61">
    <w:p w14:paraId="1C645CCF"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Urdhërit të Përbashkët të MSHMS dhe MFE nr.148, datë 28.02.2022.</w:t>
      </w:r>
    </w:p>
  </w:footnote>
  <w:footnote w:id="62">
    <w:p w14:paraId="5149280C"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UNICEF, Raporti Progresit të Strategjisë Kombëtare të Mbrojtjes Sociale 2019-2023, viti 2022.</w:t>
      </w:r>
    </w:p>
  </w:footnote>
  <w:footnote w:id="63">
    <w:p w14:paraId="7DFD83B8" w14:textId="77777777" w:rsidR="007415CA" w:rsidRPr="00CF20E3" w:rsidRDefault="007415CA" w:rsidP="00075C17">
      <w:pPr>
        <w:pStyle w:val="FootnoteText"/>
        <w:spacing w:before="0" w:after="0" w:line="240" w:lineRule="auto"/>
        <w:rPr>
          <w:rFonts w:cstheme="minorHAnsi"/>
          <w:sz w:val="18"/>
          <w:szCs w:val="18"/>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 xml:space="preserve">Disa nga objektivat e rëndësishëm të vendosura në nivel BE-je janë: deri në vitin 2030 të ulet shkalla e të rinjve NEET të moshës 15-29 vjeç në 9% nga 13.1% në vitin 2021; të rritet % e popullsisë së moshës 20 deri në 64 vjeç të punësuar në 78% nga 73.1% në vitin 2021; të rritet % e të gjithë të rriturve që marrin pjesë në mësim çdo vit në 60% nga 44% në vitin 2019. </w:t>
      </w:r>
    </w:p>
  </w:footnote>
  <w:footnote w:id="64">
    <w:p w14:paraId="1F14D46F" w14:textId="405D6EDF" w:rsidR="007415CA" w:rsidRPr="00817921" w:rsidRDefault="007415CA" w:rsidP="00817921">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Ligji nr. 15/2019 “Për Nxitjen e Punësimit”.</w:t>
      </w:r>
    </w:p>
  </w:footnote>
  <w:footnote w:id="65">
    <w:p w14:paraId="51FDD157" w14:textId="05A9984B" w:rsidR="007415CA" w:rsidRPr="00817921" w:rsidRDefault="007415CA" w:rsidP="00817921">
      <w:pPr>
        <w:pStyle w:val="NormalWeb"/>
        <w:spacing w:before="0" w:beforeAutospacing="0" w:after="0" w:afterAutospacing="0" w:line="240" w:lineRule="auto"/>
        <w:jc w:val="left"/>
        <w:rPr>
          <w:rFonts w:asciiTheme="minorHAnsi" w:eastAsiaTheme="minorHAnsi" w:hAnsiTheme="minorHAnsi" w:cstheme="minorHAnsi"/>
          <w:sz w:val="16"/>
          <w:szCs w:val="16"/>
          <w:lang w:val="it-IT" w:eastAsia="en-US"/>
        </w:rPr>
      </w:pPr>
      <w:r w:rsidRPr="00817921">
        <w:rPr>
          <w:rStyle w:val="FootnoteReference"/>
          <w:rFonts w:asciiTheme="minorHAnsi" w:hAnsiTheme="minorHAnsi" w:cstheme="minorHAnsi"/>
          <w:sz w:val="16"/>
          <w:szCs w:val="16"/>
        </w:rPr>
        <w:footnoteRef/>
      </w:r>
      <w:r w:rsidRPr="00817921">
        <w:rPr>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 xml:space="preserve">The quota/levy scheme introduced for public and private employers envisages that each employer </w:t>
      </w:r>
      <w:r w:rsidRPr="00075C17">
        <w:rPr>
          <w:rFonts w:asciiTheme="minorHAnsi" w:eastAsiaTheme="minorHAnsi" w:hAnsiTheme="minorHAnsi" w:cstheme="minorHAnsi"/>
          <w:sz w:val="16"/>
          <w:szCs w:val="16"/>
          <w:lang w:val="it-IT" w:eastAsia="en-US"/>
        </w:rPr>
        <w:t>w</w:t>
      </w:r>
      <w:r w:rsidRPr="00817921">
        <w:rPr>
          <w:rFonts w:asciiTheme="minorHAnsi" w:eastAsiaTheme="minorHAnsi" w:hAnsiTheme="minorHAnsi" w:cstheme="minorHAnsi"/>
          <w:sz w:val="16"/>
          <w:szCs w:val="16"/>
          <w:lang w:val="it-IT" w:eastAsia="en-US"/>
        </w:rPr>
        <w:t xml:space="preserve">ith more than 25 employees should employ one person </w:t>
      </w:r>
      <w:r w:rsidRPr="00075C17">
        <w:rPr>
          <w:rFonts w:asciiTheme="minorHAnsi" w:eastAsiaTheme="minorHAnsi" w:hAnsiTheme="minorHAnsi" w:cstheme="minorHAnsi"/>
          <w:sz w:val="16"/>
          <w:szCs w:val="16"/>
          <w:lang w:val="it-IT" w:eastAsia="en-US"/>
        </w:rPr>
        <w:t>w</w:t>
      </w:r>
      <w:r w:rsidRPr="00817921">
        <w:rPr>
          <w:rFonts w:asciiTheme="minorHAnsi" w:eastAsiaTheme="minorHAnsi" w:hAnsiTheme="minorHAnsi" w:cstheme="minorHAnsi"/>
          <w:sz w:val="16"/>
          <w:szCs w:val="16"/>
          <w:lang w:val="it-IT" w:eastAsia="en-US"/>
        </w:rPr>
        <w:t xml:space="preserve">ith disabilities, and an additional one for every 50 employees thereafter. If employers fail to fulfil this obligation, they </w:t>
      </w:r>
      <w:r w:rsidRPr="00075C17">
        <w:rPr>
          <w:rFonts w:asciiTheme="minorHAnsi" w:eastAsiaTheme="minorHAnsi" w:hAnsiTheme="minorHAnsi" w:cstheme="minorHAnsi"/>
          <w:sz w:val="16"/>
          <w:szCs w:val="16"/>
          <w:lang w:val="it-IT" w:eastAsia="en-US"/>
        </w:rPr>
        <w:t>w</w:t>
      </w:r>
      <w:r w:rsidRPr="00817921">
        <w:rPr>
          <w:rFonts w:asciiTheme="minorHAnsi" w:eastAsiaTheme="minorHAnsi" w:hAnsiTheme="minorHAnsi" w:cstheme="minorHAnsi"/>
          <w:sz w:val="16"/>
          <w:szCs w:val="16"/>
          <w:lang w:val="it-IT" w:eastAsia="en-US"/>
        </w:rPr>
        <w:t xml:space="preserve">ill have to contribute to the ESF an amount equal to 100% of the minimum </w:t>
      </w:r>
      <w:r w:rsidRPr="00075C17">
        <w:rPr>
          <w:rFonts w:asciiTheme="minorHAnsi" w:eastAsiaTheme="minorHAnsi" w:hAnsiTheme="minorHAnsi" w:cstheme="minorHAnsi"/>
          <w:sz w:val="16"/>
          <w:szCs w:val="16"/>
          <w:lang w:val="it-IT" w:eastAsia="en-US"/>
        </w:rPr>
        <w:t>w</w:t>
      </w:r>
      <w:r w:rsidRPr="00817921">
        <w:rPr>
          <w:rFonts w:asciiTheme="minorHAnsi" w:eastAsiaTheme="minorHAnsi" w:hAnsiTheme="minorHAnsi" w:cstheme="minorHAnsi"/>
          <w:sz w:val="16"/>
          <w:szCs w:val="16"/>
          <w:lang w:val="it-IT" w:eastAsia="en-US"/>
        </w:rPr>
        <w:t xml:space="preserve">age for every month in </w:t>
      </w:r>
      <w:r w:rsidRPr="00075C17">
        <w:rPr>
          <w:rFonts w:asciiTheme="minorHAnsi" w:eastAsiaTheme="minorHAnsi" w:hAnsiTheme="minorHAnsi" w:cstheme="minorHAnsi"/>
          <w:sz w:val="16"/>
          <w:szCs w:val="16"/>
          <w:lang w:val="it-IT" w:eastAsia="en-US"/>
        </w:rPr>
        <w:t>w</w:t>
      </w:r>
      <w:r w:rsidRPr="00817921">
        <w:rPr>
          <w:rFonts w:asciiTheme="minorHAnsi" w:eastAsiaTheme="minorHAnsi" w:hAnsiTheme="minorHAnsi" w:cstheme="minorHAnsi"/>
          <w:sz w:val="16"/>
          <w:szCs w:val="16"/>
          <w:lang w:val="it-IT" w:eastAsia="en-US"/>
        </w:rPr>
        <w:t xml:space="preserve">hich they do not employ the appropriate quota of people </w:t>
      </w:r>
      <w:r w:rsidRPr="00075C17">
        <w:rPr>
          <w:rFonts w:asciiTheme="minorHAnsi" w:eastAsiaTheme="minorHAnsi" w:hAnsiTheme="minorHAnsi" w:cstheme="minorHAnsi"/>
          <w:sz w:val="16"/>
          <w:szCs w:val="16"/>
          <w:lang w:val="it-IT" w:eastAsia="en-US"/>
        </w:rPr>
        <w:t>w</w:t>
      </w:r>
      <w:r w:rsidRPr="00817921">
        <w:rPr>
          <w:rFonts w:asciiTheme="minorHAnsi" w:eastAsiaTheme="minorHAnsi" w:hAnsiTheme="minorHAnsi" w:cstheme="minorHAnsi"/>
          <w:sz w:val="16"/>
          <w:szCs w:val="16"/>
          <w:lang w:val="it-IT" w:eastAsia="en-US"/>
        </w:rPr>
        <w:t xml:space="preserve">ith disabilities. </w:t>
      </w:r>
    </w:p>
  </w:footnote>
  <w:footnote w:id="66">
    <w:p w14:paraId="3C100443" w14:textId="5DDA82F9" w:rsidR="007415CA" w:rsidRPr="00817921" w:rsidRDefault="007415CA" w:rsidP="00817921">
      <w:pPr>
        <w:pStyle w:val="FootnoteText"/>
        <w:spacing w:before="0" w:after="0" w:line="240" w:lineRule="auto"/>
        <w:jc w:val="left"/>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DCM No. 177/2020.</w:t>
      </w:r>
    </w:p>
  </w:footnote>
  <w:footnote w:id="67">
    <w:p w14:paraId="229FA897" w14:textId="2AB2DD71" w:rsidR="007415CA" w:rsidRPr="00CF20E3" w:rsidRDefault="007415CA" w:rsidP="00817921">
      <w:pPr>
        <w:pStyle w:val="FootnoteText"/>
        <w:spacing w:line="240" w:lineRule="auto"/>
        <w:rPr>
          <w:rFonts w:cstheme="minorHAnsi"/>
          <w:sz w:val="18"/>
          <w:szCs w:val="18"/>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MSHMS, 2023, Raporti i monitorimit i SKMS për vitin 2022.</w:t>
      </w:r>
    </w:p>
  </w:footnote>
  <w:footnote w:id="68">
    <w:p w14:paraId="642C3323" w14:textId="42878CCD"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 xml:space="preserve">Ligji 65/2016 “Për ndërmarjet sociale në Republikën e Shqipërisë”. </w:t>
      </w:r>
    </w:p>
  </w:footnote>
  <w:footnote w:id="69">
    <w:p w14:paraId="4C145552" w14:textId="6DEB1F00"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Udhëzimi nr. 602, datë 1.8.2018 për procedurat dhe dokumentacioni për marrjen e statusit të ndërmarrjes sociale.</w:t>
      </w:r>
    </w:p>
  </w:footnote>
  <w:footnote w:id="70">
    <w:p w14:paraId="3840C6DA"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 xml:space="preserve">Vendimit të Këshillit të Ministrave nr. 789, datë 26.12.2018. </w:t>
      </w:r>
    </w:p>
  </w:footnote>
  <w:footnote w:id="71">
    <w:p w14:paraId="1C0EC82B" w14:textId="60BB413C"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 xml:space="preserve">VKM 174, 24.03.2023 “Për përcaktimin e formave të mbështetjes nëpërmjet subvencionit për ndërmarrjet sociale, për periudhën 2023-2025”. </w:t>
      </w:r>
    </w:p>
  </w:footnote>
  <w:footnote w:id="72">
    <w:p w14:paraId="5F76B936" w14:textId="56443430" w:rsidR="007415CA" w:rsidRPr="00817921" w:rsidRDefault="007415CA" w:rsidP="00817921">
      <w:pPr>
        <w:shd w:val="clear" w:color="auto" w:fill="FFFFFF"/>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 xml:space="preserve">UN </w:t>
      </w:r>
      <w:r>
        <w:rPr>
          <w:rFonts w:cstheme="minorHAnsi"/>
          <w:sz w:val="16"/>
          <w:szCs w:val="16"/>
          <w:lang w:val="it-IT"/>
        </w:rPr>
        <w:t>W</w:t>
      </w:r>
      <w:r w:rsidRPr="00817921">
        <w:rPr>
          <w:rFonts w:cstheme="minorHAnsi"/>
          <w:sz w:val="16"/>
          <w:szCs w:val="16"/>
          <w:lang w:val="it-IT"/>
        </w:rPr>
        <w:t>omen, 2016. Policy Brief, No. 5. Redistributing unpaid care and sustaining quality care services: a prerequisite for gender equality.</w:t>
      </w:r>
    </w:p>
  </w:footnote>
  <w:footnote w:id="73">
    <w:p w14:paraId="68AC36A3" w14:textId="75CECF16"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OECD, 2019. Gender index. https://ëëë.genderindex.org/ëp-content/uploads/files/datasheets/2019/AL.pdf</w:t>
      </w:r>
    </w:p>
  </w:footnote>
  <w:footnote w:id="74">
    <w:p w14:paraId="31B90C3E" w14:textId="40B3C7C1" w:rsidR="007415CA" w:rsidRPr="00817921" w:rsidRDefault="007415CA" w:rsidP="00817921">
      <w:pPr>
        <w:shd w:val="clear" w:color="auto" w:fill="FFFFFF"/>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Udhëzim i ministrit të Shëndetësisë dhe Mbrojtjes Sociale nr.670, datë 13.12.2022 “Për procedurën e aplikimit dhe përfitimit nga programi i mbrojtjes së veçantë nga shteti, për grate e papuna, me tre apo më shumë fëmijë të moshës deri në 18 vjeç".</w:t>
      </w:r>
    </w:p>
  </w:footnote>
  <w:footnote w:id="75">
    <w:p w14:paraId="712E7EEB"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European Comission 2022. Albania 2022 report.</w:t>
      </w:r>
    </w:p>
  </w:footnote>
  <w:footnote w:id="76">
    <w:p w14:paraId="1FC7EF1D"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UN, 2022. Common country analysis 2022, Albania.</w:t>
      </w:r>
    </w:p>
  </w:footnote>
  <w:footnote w:id="77">
    <w:p w14:paraId="5F478C5D"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Ministria e Drejtësisë, Drejtoria e Ndihmës Juridike Falas, Shkresë nr. 1323/1 Prot datë 13.06.2022 me objekt “ Kthim përgjigje mbi kërkesën për informacion”.</w:t>
      </w:r>
    </w:p>
  </w:footnote>
  <w:footnote w:id="78">
    <w:p w14:paraId="38A16B88"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Ministria e Financave dhe Ekonomisë, Drejtoria e Përgjithshme e Buxhetit, Drejtoria e Strehimit (2021), shkresë nr 15934 Prot, datë 16.08.2022 me objekt “Mbi kërkesën për informacion”.</w:t>
      </w:r>
    </w:p>
  </w:footnote>
  <w:footnote w:id="79">
    <w:p w14:paraId="775D641E" w14:textId="4D655DE5" w:rsidR="007415CA" w:rsidRPr="00817921" w:rsidRDefault="007415CA" w:rsidP="00817921">
      <w:pPr>
        <w:spacing w:before="0" w:after="0" w:line="240" w:lineRule="auto"/>
        <w:rPr>
          <w:rFonts w:cstheme="minorHAnsi"/>
          <w:kern w:val="2"/>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 xml:space="preserve">UN </w:t>
      </w:r>
      <w:r w:rsidR="00186F15">
        <w:rPr>
          <w:rFonts w:cstheme="minorHAnsi"/>
          <w:sz w:val="16"/>
          <w:szCs w:val="16"/>
          <w:lang w:val="it-IT"/>
        </w:rPr>
        <w:t>W</w:t>
      </w:r>
      <w:r w:rsidRPr="00817921">
        <w:rPr>
          <w:rFonts w:cstheme="minorHAnsi"/>
          <w:sz w:val="16"/>
          <w:szCs w:val="16"/>
          <w:lang w:val="it-IT"/>
        </w:rPr>
        <w:t>omen &amp; Avokati i Popullit 2023, Shpenzimet publike gjinore në  fushën e shërbimeve sociale.</w:t>
      </w:r>
    </w:p>
  </w:footnote>
  <w:footnote w:id="80">
    <w:p w14:paraId="54D6BAE6" w14:textId="09CD1A94" w:rsidR="007415CA" w:rsidRPr="00817921" w:rsidRDefault="007415CA" w:rsidP="00817921">
      <w:pPr>
        <w:pStyle w:val="FootnoteText"/>
        <w:spacing w:before="0" w:after="0"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INSTAT, 2022. Burra dhe gra 2022.</w:t>
      </w:r>
    </w:p>
  </w:footnote>
  <w:footnote w:id="81">
    <w:p w14:paraId="4CCCE7E4"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MSHMS, 2022. Strategjia Kombëtare e Mbrojtjes Sociale (2020-2-23). Raport Progresi 2021.</w:t>
      </w:r>
    </w:p>
  </w:footnote>
  <w:footnote w:id="82">
    <w:p w14:paraId="6BE8E39A" w14:textId="6C656B2A"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MSHMS, 2021. Plani Kombëtar i Veprimit për Barazinë, Përfshirjen dhe Pjesëmarrjen e Romëve dhe Egjiptianëve në Shqipëri (2021-2025).</w:t>
      </w:r>
    </w:p>
  </w:footnote>
  <w:footnote w:id="83">
    <w:p w14:paraId="4AE84F0C" w14:textId="0499F39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World Bank &amp; GFDRR, 2022. Entry Points for Social Inclusion and Gender in Disaster Risk Management and Climate Resilience Development Policy Operations.</w:t>
      </w:r>
    </w:p>
  </w:footnote>
  <w:footnote w:id="84">
    <w:p w14:paraId="4D2D6975"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UN, 2022. Albania progress report.</w:t>
      </w:r>
    </w:p>
  </w:footnote>
  <w:footnote w:id="85">
    <w:p w14:paraId="62338F22"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UN, 2022. Albania progress report.</w:t>
      </w:r>
    </w:p>
  </w:footnote>
  <w:footnote w:id="86">
    <w:p w14:paraId="5F2612BB" w14:textId="4851B62E"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World Bank &amp; GFDRR, 2022. Entry Points for Social Inclusion and Gender in Disaster Risk Management and Climate Resilience Development Policy Operations.</w:t>
      </w:r>
    </w:p>
  </w:footnote>
  <w:footnote w:id="87">
    <w:p w14:paraId="6F06FF30" w14:textId="444187D1" w:rsidR="007415CA" w:rsidRPr="006D0D64" w:rsidRDefault="007415CA" w:rsidP="00817921">
      <w:pPr>
        <w:pStyle w:val="FootnoteText"/>
        <w:spacing w:before="0" w:after="0" w:line="240" w:lineRule="auto"/>
        <w:rPr>
          <w:rFonts w:cstheme="minorHAnsi"/>
          <w:sz w:val="18"/>
          <w:szCs w:val="18"/>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World Bank &amp; GFDRR, 2022. Entry Points for Social Inclusion and Gender in Disaster Risk Management and Climate Resilience Development Policy Operations.</w:t>
      </w:r>
    </w:p>
  </w:footnote>
  <w:footnote w:id="88">
    <w:p w14:paraId="0774357C" w14:textId="77777777" w:rsidR="007415CA" w:rsidRPr="00817921" w:rsidRDefault="007415CA" w:rsidP="00817921">
      <w:pPr>
        <w:pStyle w:val="FootnoteText"/>
        <w:spacing w:before="0" w:after="0" w:line="240" w:lineRule="auto"/>
        <w:jc w:val="left"/>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UN, 2022. Albania progress report.</w:t>
      </w:r>
      <w:r w:rsidRPr="00817921">
        <w:rPr>
          <w:rFonts w:cstheme="minorHAnsi"/>
          <w:sz w:val="16"/>
          <w:szCs w:val="16"/>
        </w:rPr>
        <w:t xml:space="preserve"> </w:t>
      </w:r>
    </w:p>
  </w:footnote>
  <w:footnote w:id="89">
    <w:p w14:paraId="7DE21761" w14:textId="06F8E480" w:rsidR="007415CA" w:rsidRPr="00817921" w:rsidRDefault="007415CA" w:rsidP="00817921">
      <w:pPr>
        <w:pStyle w:val="FootnoteText"/>
        <w:spacing w:before="0" w:after="0" w:line="240" w:lineRule="auto"/>
        <w:jc w:val="left"/>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hyperlink r:id="rId2" w:history="1">
        <w:r w:rsidRPr="00817921">
          <w:rPr>
            <w:rFonts w:cstheme="minorHAnsi"/>
            <w:sz w:val="16"/>
            <w:szCs w:val="16"/>
            <w:lang w:val="it-IT"/>
          </w:rPr>
          <w:t>https://ec.europa.eu/social</w:t>
        </w:r>
      </w:hyperlink>
    </w:p>
  </w:footnote>
  <w:footnote w:id="90">
    <w:p w14:paraId="102A7CF1" w14:textId="4C3E7294" w:rsidR="007415CA" w:rsidRPr="00817921" w:rsidRDefault="007415CA" w:rsidP="00817921">
      <w:pPr>
        <w:pStyle w:val="FootnoteText"/>
        <w:spacing w:before="0" w:after="0" w:line="240" w:lineRule="auto"/>
        <w:jc w:val="left"/>
        <w:rPr>
          <w:rFonts w:cstheme="minorHAnsi"/>
          <w:sz w:val="16"/>
          <w:szCs w:val="16"/>
        </w:rPr>
      </w:pPr>
      <w:r w:rsidRPr="00817921">
        <w:rPr>
          <w:rStyle w:val="FootnoteReference"/>
          <w:rFonts w:cstheme="minorHAnsi"/>
          <w:sz w:val="16"/>
          <w:szCs w:val="16"/>
        </w:rPr>
        <w:footnoteRef/>
      </w:r>
      <w:r w:rsidRPr="00817921">
        <w:rPr>
          <w:rFonts w:cstheme="minorHAnsi"/>
          <w:b/>
          <w:bCs/>
          <w:sz w:val="16"/>
          <w:szCs w:val="16"/>
        </w:rPr>
        <w:t xml:space="preserve"> </w:t>
      </w:r>
      <w:hyperlink r:id="rId3" w:history="1">
        <w:r w:rsidRPr="00817921">
          <w:rPr>
            <w:rStyle w:val="Hyperlink"/>
            <w:rFonts w:cstheme="minorHAnsi"/>
            <w:sz w:val="16"/>
            <w:szCs w:val="16"/>
          </w:rPr>
          <w:t>https://</w:t>
        </w:r>
        <w:r w:rsidRPr="00A46431">
          <w:rPr>
            <w:rStyle w:val="Hyperlink"/>
            <w:rFonts w:cstheme="minorHAnsi"/>
            <w:sz w:val="16"/>
            <w:szCs w:val="16"/>
            <w:lang w:val="it-IT"/>
          </w:rPr>
          <w:t>www</w:t>
        </w:r>
        <w:r w:rsidRPr="00817921">
          <w:rPr>
            <w:rStyle w:val="Hyperlink"/>
            <w:rFonts w:cstheme="minorHAnsi"/>
            <w:sz w:val="16"/>
            <w:szCs w:val="16"/>
          </w:rPr>
          <w:t>.</w:t>
        </w:r>
        <w:r w:rsidRPr="00A46431">
          <w:rPr>
            <w:rStyle w:val="Hyperlink"/>
            <w:rFonts w:cstheme="minorHAnsi"/>
            <w:sz w:val="16"/>
            <w:szCs w:val="16"/>
            <w:lang w:val="it-IT"/>
          </w:rPr>
          <w:t>w</w:t>
        </w:r>
        <w:r w:rsidRPr="00817921">
          <w:rPr>
            <w:rStyle w:val="Hyperlink"/>
            <w:rFonts w:cstheme="minorHAnsi"/>
            <w:sz w:val="16"/>
            <w:szCs w:val="16"/>
          </w:rPr>
          <w:t>bif.eu/</w:t>
        </w:r>
        <w:r w:rsidRPr="00817921">
          <w:rPr>
            <w:rStyle w:val="Hyperlink"/>
            <w:rFonts w:cstheme="minorHAnsi"/>
            <w:sz w:val="16"/>
            <w:szCs w:val="16"/>
          </w:rPr>
          <w:t>eip</w:t>
        </w:r>
      </w:hyperlink>
    </w:p>
  </w:footnote>
  <w:footnote w:id="91">
    <w:p w14:paraId="364BB7E0" w14:textId="68F67F20" w:rsidR="007415CA" w:rsidRPr="00817921" w:rsidRDefault="007415CA" w:rsidP="00817921">
      <w:pPr>
        <w:pStyle w:val="FootnoteText"/>
        <w:spacing w:before="0" w:after="0" w:line="240" w:lineRule="auto"/>
        <w:jc w:val="left"/>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hyperlink r:id="rId4" w:history="1">
        <w:r w:rsidRPr="00817921">
          <w:rPr>
            <w:rFonts w:cstheme="minorHAnsi"/>
            <w:sz w:val="16"/>
            <w:szCs w:val="16"/>
            <w:lang w:val="it-IT"/>
          </w:rPr>
          <w:t>European Commission adopts the EU Strategy on the Rights of the Child and proposes a Council Recommendation for a European Child Guarantee - Employment, Social Affairs &amp; Inclusion - European Commission (europa.eu)</w:t>
        </w:r>
      </w:hyperlink>
      <w:r w:rsidRPr="00817921">
        <w:rPr>
          <w:rStyle w:val="Hyperlink"/>
          <w:rFonts w:cstheme="minorHAnsi"/>
          <w:sz w:val="16"/>
          <w:szCs w:val="16"/>
        </w:rPr>
        <w:t xml:space="preserve"> </w:t>
      </w:r>
    </w:p>
  </w:footnote>
  <w:footnote w:id="92">
    <w:p w14:paraId="700D54C2" w14:textId="5377E1F0" w:rsidR="007415CA" w:rsidRPr="0058436C" w:rsidRDefault="007415CA" w:rsidP="00817921">
      <w:pPr>
        <w:pStyle w:val="FootnoteText"/>
        <w:spacing w:before="0" w:after="0" w:line="240" w:lineRule="auto"/>
        <w:jc w:val="left"/>
        <w:rPr>
          <w:rFonts w:cs="Times New Roman"/>
          <w:sz w:val="16"/>
          <w:szCs w:val="16"/>
        </w:rPr>
      </w:pPr>
      <w:r w:rsidRPr="0058436C">
        <w:rPr>
          <w:rStyle w:val="FootnoteReference"/>
          <w:rFonts w:cstheme="minorHAnsi"/>
          <w:sz w:val="16"/>
          <w:szCs w:val="16"/>
        </w:rPr>
        <w:footnoteRef/>
      </w:r>
      <w:r w:rsidRPr="0058436C">
        <w:rPr>
          <w:rFonts w:cstheme="minorHAnsi"/>
          <w:sz w:val="16"/>
          <w:szCs w:val="16"/>
        </w:rPr>
        <w:t xml:space="preserve"> </w:t>
      </w:r>
      <w:r w:rsidRPr="00817921">
        <w:rPr>
          <w:rFonts w:cstheme="minorHAnsi"/>
          <w:sz w:val="16"/>
          <w:szCs w:val="16"/>
          <w:lang w:val="it-IT"/>
        </w:rPr>
        <w:t>Council Recommendation 2021/1005 on Child Guarantee.</w:t>
      </w:r>
    </w:p>
  </w:footnote>
  <w:footnote w:id="93">
    <w:p w14:paraId="61347C60" w14:textId="12BE7BCC" w:rsidR="007415CA" w:rsidRPr="00435961" w:rsidRDefault="007415CA" w:rsidP="00817921">
      <w:pPr>
        <w:spacing w:before="0" w:after="0" w:line="240" w:lineRule="auto"/>
        <w:ind w:right="-720"/>
        <w:jc w:val="left"/>
        <w:rPr>
          <w:rFonts w:cs="Times New Roman"/>
          <w:sz w:val="16"/>
          <w:szCs w:val="16"/>
        </w:rPr>
      </w:pPr>
      <w:r w:rsidRPr="00817921">
        <w:rPr>
          <w:rStyle w:val="FootnoteReference"/>
          <w:sz w:val="16"/>
          <w:szCs w:val="16"/>
        </w:rPr>
        <w:footnoteRef/>
      </w:r>
      <w:r w:rsidRPr="00817921">
        <w:rPr>
          <w:sz w:val="16"/>
          <w:szCs w:val="16"/>
        </w:rPr>
        <w:t xml:space="preserve"> </w:t>
      </w:r>
      <w:hyperlink r:id="rId5" w:history="1">
        <w:r w:rsidRPr="00817921">
          <w:rPr>
            <w:rFonts w:cstheme="minorHAnsi"/>
            <w:sz w:val="16"/>
            <w:szCs w:val="16"/>
            <w:lang w:val="it-IT"/>
          </w:rPr>
          <w:t xml:space="preserve">A new ambitious EU Disability Strategy for 2021-2030 </w:t>
        </w:r>
      </w:hyperlink>
    </w:p>
  </w:footnote>
  <w:footnote w:id="94">
    <w:p w14:paraId="5D0C96F8" w14:textId="637AA1A3" w:rsidR="007415CA" w:rsidRPr="00817921" w:rsidRDefault="007415CA" w:rsidP="00817921">
      <w:pPr>
        <w:spacing w:before="0" w:after="0" w:line="240" w:lineRule="auto"/>
        <w:ind w:right="-720"/>
        <w:jc w:val="left"/>
        <w:rPr>
          <w:rFonts w:cstheme="minorHAnsi"/>
          <w:b/>
          <w:bCs/>
          <w:color w:val="242424"/>
          <w:sz w:val="16"/>
          <w:szCs w:val="16"/>
          <w:bdr w:val="none" w:sz="0" w:space="0" w:color="auto" w:frame="1"/>
          <w:lang w:val="sq-AL"/>
        </w:rPr>
      </w:pPr>
      <w:r w:rsidRPr="00817921">
        <w:rPr>
          <w:rStyle w:val="FootnoteReference"/>
          <w:rFonts w:cstheme="minorHAnsi"/>
          <w:sz w:val="16"/>
          <w:szCs w:val="16"/>
        </w:rPr>
        <w:footnoteRef/>
      </w:r>
      <w:r w:rsidRPr="00817921">
        <w:rPr>
          <w:rFonts w:cstheme="minorHAnsi"/>
          <w:sz w:val="16"/>
          <w:szCs w:val="16"/>
        </w:rPr>
        <w:t xml:space="preserve"> </w:t>
      </w:r>
      <w:hyperlink r:id="rId6" w:history="1">
        <w:r w:rsidRPr="00817921">
          <w:rPr>
            <w:rFonts w:cstheme="minorHAnsi"/>
            <w:sz w:val="16"/>
            <w:szCs w:val="16"/>
            <w:lang w:val="it-IT"/>
          </w:rPr>
          <w:t>https://albania.un.org/sq/sdgs</w:t>
        </w:r>
      </w:hyperlink>
    </w:p>
  </w:footnote>
  <w:footnote w:id="95">
    <w:p w14:paraId="111F983E" w14:textId="77777777" w:rsidR="007415CA" w:rsidRPr="00817921" w:rsidRDefault="007415CA" w:rsidP="00817921">
      <w:pPr>
        <w:pStyle w:val="FootnoteText"/>
        <w:spacing w:before="0" w:after="0" w:line="240" w:lineRule="auto"/>
        <w:jc w:val="left"/>
        <w:rPr>
          <w:rFonts w:cstheme="minorHAnsi"/>
          <w:sz w:val="16"/>
          <w:szCs w:val="16"/>
          <w:lang w:val="sq-AL"/>
        </w:rPr>
      </w:pPr>
      <w:r w:rsidRPr="00817921">
        <w:rPr>
          <w:rStyle w:val="FootnoteReference"/>
          <w:rFonts w:cstheme="minorHAnsi"/>
          <w:sz w:val="16"/>
          <w:szCs w:val="16"/>
        </w:rPr>
        <w:footnoteRef/>
      </w:r>
      <w:r w:rsidRPr="00817921">
        <w:rPr>
          <w:rFonts w:cstheme="minorHAnsi"/>
          <w:sz w:val="16"/>
          <w:szCs w:val="16"/>
          <w:lang w:val="sq-AL"/>
        </w:rPr>
        <w:t xml:space="preserve"> </w:t>
      </w:r>
      <w:r w:rsidRPr="00817921">
        <w:rPr>
          <w:rFonts w:cstheme="minorHAnsi"/>
          <w:sz w:val="16"/>
          <w:szCs w:val="16"/>
          <w:lang w:val="it-IT"/>
        </w:rPr>
        <w:t>VKM nr.80, datë 22.02.2023 “Për miratimin e Strategjisë Kombëtare për Zhvillim dhe Integrim 2022-2023.</w:t>
      </w:r>
    </w:p>
  </w:footnote>
  <w:footnote w:id="96">
    <w:p w14:paraId="042040F1" w14:textId="772FDA0F" w:rsidR="007415CA" w:rsidRPr="00817921" w:rsidRDefault="007415CA" w:rsidP="00817921">
      <w:pPr>
        <w:shd w:val="clear" w:color="auto" w:fill="FFFFFF"/>
        <w:spacing w:before="0" w:after="0" w:line="240" w:lineRule="auto"/>
        <w:jc w:val="left"/>
        <w:rPr>
          <w:rFonts w:cstheme="minorHAnsi"/>
          <w:spacing w:val="-2"/>
          <w:sz w:val="16"/>
          <w:szCs w:val="16"/>
          <w:lang w:val="sq-AL" w:eastAsia="fr-FR"/>
        </w:rPr>
      </w:pPr>
      <w:r w:rsidRPr="00817921">
        <w:rPr>
          <w:rStyle w:val="FootnoteReference"/>
          <w:rFonts w:cstheme="minorHAnsi"/>
          <w:sz w:val="16"/>
          <w:szCs w:val="16"/>
        </w:rPr>
        <w:footnoteRef/>
      </w:r>
      <w:r w:rsidRPr="00817921">
        <w:rPr>
          <w:rFonts w:cstheme="minorHAnsi"/>
          <w:sz w:val="16"/>
          <w:szCs w:val="16"/>
          <w:lang w:val="sq-AL"/>
        </w:rPr>
        <w:t xml:space="preserve"> </w:t>
      </w:r>
      <w:r w:rsidRPr="00817921">
        <w:rPr>
          <w:rFonts w:cstheme="minorHAnsi"/>
          <w:sz w:val="16"/>
          <w:szCs w:val="16"/>
          <w:lang w:val="it-IT"/>
        </w:rPr>
        <w:t>VKM nr. 91, datë 9.02.2022 “Për miratimin e Planit Kombëtar për Integrim Europian 2022-2024 » https://qbz.gov.al/eli/vendim/2022/02/09/91</w:t>
      </w:r>
    </w:p>
  </w:footnote>
  <w:footnote w:id="97">
    <w:p w14:paraId="64681CCA" w14:textId="77777777" w:rsidR="007415CA" w:rsidRPr="00256D16" w:rsidRDefault="007415CA" w:rsidP="00817921">
      <w:pPr>
        <w:pStyle w:val="FootnoteText"/>
        <w:spacing w:before="0" w:after="0" w:line="240" w:lineRule="auto"/>
        <w:jc w:val="left"/>
        <w:rPr>
          <w:rFonts w:cstheme="minorHAnsi"/>
          <w:sz w:val="16"/>
          <w:szCs w:val="16"/>
          <w:lang w:val="sq-AL"/>
        </w:rPr>
      </w:pPr>
      <w:r w:rsidRPr="00817921">
        <w:rPr>
          <w:rStyle w:val="FootnoteReference"/>
          <w:rFonts w:cstheme="minorHAnsi"/>
          <w:sz w:val="16"/>
          <w:szCs w:val="16"/>
        </w:rPr>
        <w:footnoteRef/>
      </w:r>
      <w:r w:rsidRPr="00817921">
        <w:rPr>
          <w:rFonts w:cstheme="minorHAnsi"/>
          <w:sz w:val="16"/>
          <w:szCs w:val="16"/>
          <w:lang w:val="it-IT"/>
        </w:rPr>
        <w:t xml:space="preserve"> </w:t>
      </w:r>
      <w:hyperlink r:id="rId7" w:history="1">
        <w:r w:rsidRPr="00817921">
          <w:rPr>
            <w:rFonts w:cstheme="minorHAnsi"/>
            <w:sz w:val="16"/>
            <w:szCs w:val="16"/>
            <w:lang w:val="it-IT"/>
          </w:rPr>
          <w:t>https://shendetesia.gov.al/sp-content/uploads/2021/07/Strategjia-Kombetare-per-Barazine-Gjinore-2021-2030.docx</w:t>
        </w:r>
      </w:hyperlink>
    </w:p>
  </w:footnote>
  <w:footnote w:id="98">
    <w:p w14:paraId="092556EA" w14:textId="77777777" w:rsidR="007415CA" w:rsidRPr="00817921" w:rsidRDefault="007415CA" w:rsidP="00817921">
      <w:pPr>
        <w:pStyle w:val="FootnoteText"/>
        <w:spacing w:before="0" w:after="0"/>
        <w:rPr>
          <w:sz w:val="16"/>
          <w:szCs w:val="16"/>
          <w:lang w:val="sq-AL"/>
        </w:rPr>
      </w:pPr>
      <w:r w:rsidRPr="00817921">
        <w:rPr>
          <w:rStyle w:val="FootnoteReference"/>
          <w:sz w:val="16"/>
          <w:szCs w:val="16"/>
        </w:rPr>
        <w:footnoteRef/>
      </w:r>
      <w:r w:rsidRPr="00817921">
        <w:rPr>
          <w:sz w:val="16"/>
          <w:szCs w:val="16"/>
          <w:lang w:val="sq-AL"/>
        </w:rPr>
        <w:t xml:space="preserve"> </w:t>
      </w:r>
      <w:r w:rsidRPr="00817921">
        <w:rPr>
          <w:rFonts w:cstheme="minorHAnsi"/>
          <w:sz w:val="16"/>
          <w:szCs w:val="16"/>
          <w:lang w:val="it-IT"/>
        </w:rPr>
        <w:t>https://konsultimipublik.gov.al/documents/RENJK_567_SKNDQV-2023-2030.pdf</w:t>
      </w:r>
    </w:p>
  </w:footnote>
  <w:footnote w:id="99">
    <w:p w14:paraId="78840733" w14:textId="30A00765" w:rsidR="007415CA" w:rsidRPr="00FF2DA5" w:rsidRDefault="007415CA" w:rsidP="00817921">
      <w:pPr>
        <w:pStyle w:val="FootnoteText"/>
        <w:spacing w:before="0" w:after="0"/>
        <w:rPr>
          <w:sz w:val="16"/>
          <w:szCs w:val="16"/>
          <w:lang w:val="sq-AL"/>
        </w:rPr>
      </w:pPr>
      <w:r w:rsidRPr="00FF2DA5">
        <w:rPr>
          <w:rStyle w:val="FootnoteReference"/>
          <w:sz w:val="16"/>
          <w:szCs w:val="16"/>
        </w:rPr>
        <w:footnoteRef/>
      </w:r>
      <w:r w:rsidRPr="00FF2DA5">
        <w:rPr>
          <w:sz w:val="16"/>
          <w:szCs w:val="16"/>
          <w:lang w:val="sq-AL"/>
        </w:rPr>
        <w:t xml:space="preserve"> </w:t>
      </w:r>
      <w:r w:rsidRPr="00817921">
        <w:rPr>
          <w:rFonts w:cstheme="minorHAnsi"/>
          <w:sz w:val="16"/>
          <w:szCs w:val="16"/>
          <w:lang w:val="it-IT"/>
        </w:rPr>
        <w:t>VKM Nr.276,datë 12.05.2021”Për miratimin e Planit Kombëtar për Personat me Aftësi të Kufizuar 2021-2025” https://shendetesia.gov.al/wp-content/uploads/2022/03/Plani-Kombetar-PAK-_2021-2025_AL.pdf</w:t>
      </w:r>
    </w:p>
  </w:footnote>
  <w:footnote w:id="100">
    <w:p w14:paraId="7C153891" w14:textId="06486FB5" w:rsidR="007415CA" w:rsidRPr="00817921" w:rsidRDefault="007415CA" w:rsidP="00817921">
      <w:pPr>
        <w:pStyle w:val="FootnoteText"/>
        <w:spacing w:before="0" w:after="0"/>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lang w:val="it-IT"/>
        </w:rPr>
        <w:t>https://www.undp.org/sites/g/files/zskgke326/files/migration/al/46eb57a0095aac6d46fe42b6cfb302f66368453e0c284a07c0c7c9fd8d43760b.pdf</w:t>
      </w:r>
    </w:p>
  </w:footnote>
  <w:footnote w:id="101">
    <w:p w14:paraId="55281B6B" w14:textId="1BD6D56D" w:rsidR="007415CA" w:rsidRPr="00FF2DA5" w:rsidRDefault="007415CA" w:rsidP="00817921">
      <w:pPr>
        <w:pStyle w:val="FootnoteText"/>
        <w:spacing w:before="0" w:after="0"/>
        <w:rPr>
          <w:sz w:val="16"/>
          <w:szCs w:val="16"/>
          <w:lang w:val="sq-AL"/>
        </w:rPr>
      </w:pPr>
      <w:r w:rsidRPr="00817921">
        <w:rPr>
          <w:rStyle w:val="FootnoteReference"/>
          <w:rFonts w:cstheme="minorHAnsi"/>
          <w:sz w:val="16"/>
          <w:szCs w:val="16"/>
        </w:rPr>
        <w:footnoteRef/>
      </w:r>
      <w:r w:rsidRPr="00817921">
        <w:rPr>
          <w:rFonts w:cstheme="minorHAnsi"/>
          <w:sz w:val="16"/>
          <w:szCs w:val="16"/>
          <w:lang w:val="sq-AL"/>
        </w:rPr>
        <w:t xml:space="preserve"> </w:t>
      </w:r>
      <w:r w:rsidRPr="00817921">
        <w:rPr>
          <w:rFonts w:cstheme="minorHAnsi"/>
          <w:sz w:val="16"/>
          <w:szCs w:val="16"/>
          <w:lang w:val="it-IT"/>
        </w:rPr>
        <w:t>http://www.sherbimisocial.gov.al/</w:t>
      </w:r>
      <w:r>
        <w:rPr>
          <w:rFonts w:cstheme="minorHAnsi"/>
          <w:sz w:val="16"/>
          <w:szCs w:val="16"/>
          <w:lang w:val="it-IT"/>
        </w:rPr>
        <w:t>w</w:t>
      </w:r>
      <w:r w:rsidRPr="00817921">
        <w:rPr>
          <w:rFonts w:cstheme="minorHAnsi"/>
          <w:sz w:val="16"/>
          <w:szCs w:val="16"/>
          <w:lang w:val="it-IT"/>
        </w:rPr>
        <w:t>p-content/uploads/2020/01/vendim-2019-12-24-864.pdf</w:t>
      </w:r>
    </w:p>
  </w:footnote>
  <w:footnote w:id="102">
    <w:p w14:paraId="7EB0C4BD" w14:textId="1BC680C7" w:rsidR="007415CA" w:rsidRPr="008265AF" w:rsidRDefault="007415CA" w:rsidP="00817921">
      <w:pPr>
        <w:pStyle w:val="FootnoteText"/>
        <w:spacing w:before="0" w:after="0"/>
        <w:rPr>
          <w:sz w:val="14"/>
          <w:szCs w:val="14"/>
          <w:lang w:val="sq-AL"/>
        </w:rPr>
      </w:pPr>
      <w:r w:rsidRPr="00817921">
        <w:rPr>
          <w:rStyle w:val="FootnoteReference"/>
          <w:sz w:val="16"/>
          <w:szCs w:val="16"/>
        </w:rPr>
        <w:footnoteRef/>
      </w:r>
      <w:r w:rsidRPr="00817921">
        <w:rPr>
          <w:sz w:val="16"/>
          <w:szCs w:val="16"/>
          <w:lang w:val="sq-AL"/>
        </w:rPr>
        <w:t xml:space="preserve"> </w:t>
      </w:r>
      <w:r w:rsidRPr="00817921">
        <w:rPr>
          <w:rFonts w:cstheme="minorHAnsi"/>
          <w:sz w:val="16"/>
          <w:szCs w:val="16"/>
          <w:lang w:val="it-IT"/>
        </w:rPr>
        <w:t>https://shendetesia.gov.al/wp-content/uploads/2022/01/LGBTI-NAP-2021-2027-AL-final.pdf</w:t>
      </w:r>
    </w:p>
  </w:footnote>
  <w:footnote w:id="103">
    <w:p w14:paraId="5E7883F0" w14:textId="77777777" w:rsidR="007415CA" w:rsidRPr="00817921" w:rsidRDefault="007415CA" w:rsidP="00817921">
      <w:pPr>
        <w:pStyle w:val="FootnoteText"/>
        <w:spacing w:before="0" w:after="0" w:line="240" w:lineRule="auto"/>
        <w:rPr>
          <w:rFonts w:cstheme="minorHAnsi"/>
          <w:sz w:val="16"/>
          <w:szCs w:val="16"/>
          <w:lang w:val="sq-AL"/>
        </w:rPr>
      </w:pPr>
      <w:r w:rsidRPr="00817921">
        <w:rPr>
          <w:rStyle w:val="FootnoteReference"/>
          <w:rFonts w:cstheme="minorHAnsi"/>
          <w:sz w:val="16"/>
          <w:szCs w:val="16"/>
        </w:rPr>
        <w:footnoteRef/>
      </w:r>
      <w:r w:rsidRPr="00817921">
        <w:rPr>
          <w:rFonts w:cstheme="minorHAnsi"/>
          <w:sz w:val="16"/>
          <w:szCs w:val="16"/>
          <w:lang w:val="sq-AL"/>
        </w:rPr>
        <w:t xml:space="preserve"> </w:t>
      </w:r>
      <w:r w:rsidRPr="00817921">
        <w:rPr>
          <w:rFonts w:cstheme="minorHAnsi"/>
          <w:sz w:val="16"/>
          <w:szCs w:val="16"/>
          <w:lang w:val="it-IT"/>
        </w:rPr>
        <w:t>https://qbz.gov.al/previeë/f61689e7-a6b0-4e0a-95a1-ec652c465d3f/fz</w:t>
      </w:r>
    </w:p>
  </w:footnote>
  <w:footnote w:id="104">
    <w:p w14:paraId="506A8300" w14:textId="684F9043" w:rsidR="007415CA" w:rsidRPr="00817921" w:rsidRDefault="007415CA" w:rsidP="00817921">
      <w:pPr>
        <w:pStyle w:val="FootnoteText"/>
        <w:spacing w:before="0" w:after="0" w:line="240" w:lineRule="auto"/>
        <w:rPr>
          <w:rFonts w:cstheme="minorHAnsi"/>
          <w:sz w:val="16"/>
          <w:szCs w:val="16"/>
          <w:lang w:val="sq-AL"/>
        </w:rPr>
      </w:pPr>
      <w:r w:rsidRPr="00817921">
        <w:rPr>
          <w:rStyle w:val="FootnoteReference"/>
          <w:rFonts w:cstheme="minorHAnsi"/>
          <w:sz w:val="16"/>
          <w:szCs w:val="16"/>
        </w:rPr>
        <w:footnoteRef/>
      </w:r>
      <w:r w:rsidRPr="00817921">
        <w:rPr>
          <w:rFonts w:cstheme="minorHAnsi"/>
          <w:sz w:val="16"/>
          <w:szCs w:val="16"/>
          <w:lang w:val="sq-AL"/>
        </w:rPr>
        <w:t xml:space="preserve"> </w:t>
      </w:r>
      <w:r w:rsidRPr="00817921">
        <w:rPr>
          <w:rFonts w:cstheme="minorHAnsi"/>
          <w:sz w:val="16"/>
          <w:szCs w:val="16"/>
          <w:lang w:val="it-IT"/>
        </w:rPr>
        <w:t>https://www.konsultimipublik.gov.al/Konsultime/Detaje/561</w:t>
      </w:r>
    </w:p>
  </w:footnote>
  <w:footnote w:id="105">
    <w:p w14:paraId="213077A9" w14:textId="77777777" w:rsidR="007415CA" w:rsidRPr="00817921" w:rsidRDefault="007415CA" w:rsidP="00817921">
      <w:pPr>
        <w:pStyle w:val="FootnoteText"/>
        <w:spacing w:before="0" w:after="0" w:line="240" w:lineRule="auto"/>
        <w:rPr>
          <w:rFonts w:cstheme="minorHAnsi"/>
          <w:sz w:val="16"/>
          <w:szCs w:val="16"/>
          <w:lang w:val="sq-AL"/>
        </w:rPr>
      </w:pPr>
      <w:r w:rsidRPr="00817921">
        <w:rPr>
          <w:rStyle w:val="FootnoteReference"/>
          <w:rFonts w:cstheme="minorHAnsi"/>
          <w:sz w:val="16"/>
          <w:szCs w:val="16"/>
        </w:rPr>
        <w:footnoteRef/>
      </w:r>
      <w:r w:rsidRPr="00817921">
        <w:rPr>
          <w:rFonts w:cstheme="minorHAnsi"/>
          <w:sz w:val="16"/>
          <w:szCs w:val="16"/>
          <w:lang w:val="sq-AL"/>
        </w:rPr>
        <w:t xml:space="preserve"> </w:t>
      </w:r>
      <w:r w:rsidRPr="00817921">
        <w:rPr>
          <w:rFonts w:cstheme="minorHAnsi"/>
          <w:sz w:val="16"/>
          <w:szCs w:val="16"/>
          <w:lang w:val="it-IT"/>
        </w:rPr>
        <w:t>VKM nr 621, datë 22.10.2021 “Për miratimin e Strategjisë Kombëtare për Arsimin 2021-2026 dhe të Planit të Veprimit për Zbatimin e saj”</w:t>
      </w:r>
    </w:p>
  </w:footnote>
  <w:footnote w:id="106">
    <w:p w14:paraId="5B6B4E02" w14:textId="77777777" w:rsidR="007415CA" w:rsidRPr="00115639" w:rsidRDefault="007415CA" w:rsidP="00817921">
      <w:pPr>
        <w:pStyle w:val="FootnoteText"/>
        <w:spacing w:before="0" w:after="0" w:line="240" w:lineRule="auto"/>
        <w:rPr>
          <w:sz w:val="18"/>
          <w:szCs w:val="18"/>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Në këtë Strategji dhe Planin e saj të Veprimit termat ‘i/e mitur’ dhe ‘fëmijë’ janë përdorur si sinonime ekuivalente të njëri-tjetrit dhe nënkuptojnë individin që nuk ka mbushur ende moshën 18 vjeç.</w:t>
      </w:r>
    </w:p>
  </w:footnote>
  <w:footnote w:id="107">
    <w:p w14:paraId="086E035E" w14:textId="77777777" w:rsidR="007415CA" w:rsidRPr="00817921" w:rsidRDefault="007415CA" w:rsidP="007827BC">
      <w:pPr>
        <w:pStyle w:val="FootnoteText"/>
        <w:rPr>
          <w:sz w:val="16"/>
          <w:szCs w:val="16"/>
          <w:lang w:val="sq-AL"/>
        </w:rPr>
      </w:pPr>
      <w:r w:rsidRPr="00FF2DA5">
        <w:rPr>
          <w:rStyle w:val="FootnoteReference"/>
          <w:sz w:val="16"/>
          <w:szCs w:val="16"/>
        </w:rPr>
        <w:footnoteRef/>
      </w:r>
      <w:r w:rsidRPr="00FF2DA5">
        <w:rPr>
          <w:sz w:val="16"/>
          <w:szCs w:val="16"/>
          <w:lang w:val="sq-AL"/>
        </w:rPr>
        <w:t xml:space="preserve"> </w:t>
      </w:r>
      <w:r w:rsidRPr="00817921">
        <w:rPr>
          <w:rFonts w:cstheme="minorHAnsi"/>
          <w:sz w:val="16"/>
          <w:szCs w:val="16"/>
          <w:lang w:val="it-IT"/>
        </w:rPr>
        <w:t>VKM nr. 295/2013 “Për krijimin , organizimin dhe funksionimin e inspektoriatit shtetëror të punës dhe shërbimeve shoqërore”</w:t>
      </w:r>
    </w:p>
  </w:footnote>
  <w:footnote w:id="108">
    <w:p w14:paraId="7F83E019" w14:textId="77777777" w:rsidR="007415CA" w:rsidRPr="00A33A3F" w:rsidRDefault="007415CA" w:rsidP="007827BC">
      <w:pPr>
        <w:pStyle w:val="FootnoteText"/>
        <w:rPr>
          <w:sz w:val="16"/>
          <w:szCs w:val="16"/>
          <w:lang w:val="sq-AL"/>
        </w:rPr>
      </w:pPr>
      <w:r w:rsidRPr="00FF2DA5">
        <w:rPr>
          <w:rStyle w:val="FootnoteReference"/>
          <w:sz w:val="16"/>
          <w:szCs w:val="16"/>
        </w:rPr>
        <w:footnoteRef/>
      </w:r>
      <w:r w:rsidRPr="00FF2DA5">
        <w:rPr>
          <w:sz w:val="16"/>
          <w:szCs w:val="16"/>
          <w:lang w:val="sq-AL"/>
        </w:rPr>
        <w:t xml:space="preserve"> </w:t>
      </w:r>
      <w:r w:rsidRPr="00817921">
        <w:rPr>
          <w:rFonts w:cstheme="minorHAnsi"/>
          <w:sz w:val="16"/>
          <w:szCs w:val="16"/>
          <w:lang w:val="it-IT"/>
        </w:rPr>
        <w:t>VKM nr.637/2021” Për krijimin dhe funksionimin e Agjensisë së sigurimit të cilësisë sëkujdesit shëndetësor dhe shoqëror</w:t>
      </w:r>
    </w:p>
  </w:footnote>
  <w:footnote w:id="109">
    <w:p w14:paraId="65415EEE" w14:textId="77777777" w:rsidR="007415CA" w:rsidRPr="00115639" w:rsidRDefault="007415CA" w:rsidP="0049394A">
      <w:pPr>
        <w:pStyle w:val="FootnoteText"/>
        <w:spacing w:before="0" w:after="0" w:line="240" w:lineRule="auto"/>
        <w:jc w:val="left"/>
        <w:rPr>
          <w:rFonts w:cstheme="minorHAnsi"/>
          <w:sz w:val="18"/>
          <w:szCs w:val="18"/>
          <w:lang w:val="sq-AL"/>
        </w:rPr>
      </w:pPr>
      <w:r w:rsidRPr="00115639">
        <w:rPr>
          <w:rStyle w:val="FootnoteReference"/>
          <w:rFonts w:cstheme="minorHAnsi"/>
          <w:sz w:val="18"/>
          <w:szCs w:val="18"/>
        </w:rPr>
        <w:footnoteRef/>
      </w:r>
      <w:r w:rsidRPr="00115639">
        <w:rPr>
          <w:rStyle w:val="FootnoteReference"/>
          <w:rFonts w:cstheme="minorHAnsi"/>
          <w:sz w:val="18"/>
          <w:szCs w:val="18"/>
        </w:rPr>
        <w:t xml:space="preserve"> </w:t>
      </w:r>
      <w:r w:rsidRPr="00115639">
        <w:rPr>
          <w:rFonts w:cstheme="minorHAnsi"/>
          <w:sz w:val="18"/>
          <w:szCs w:val="18"/>
          <w:lang w:val="it-IT"/>
        </w:rPr>
        <w:t>Duke përfshirë përfituesit nga fondi 6 përqind, numri i përgjithshëm i familjeve përfituese të Ndihmës Ekonomike ishte 59,546 në vitin 2018, 63,455 në vitin 2019, 66,472 në vitin 2020 dhe 68,246 në vitin 2021.</w:t>
      </w:r>
      <w:r w:rsidRPr="00115639">
        <w:rPr>
          <w:rFonts w:cstheme="minorHAnsi"/>
          <w:sz w:val="18"/>
          <w:szCs w:val="18"/>
          <w:lang w:val="sq-AL"/>
        </w:rPr>
        <w:t xml:space="preserve"> </w:t>
      </w:r>
    </w:p>
  </w:footnote>
  <w:footnote w:id="110">
    <w:p w14:paraId="747CC120" w14:textId="77777777" w:rsidR="007415CA" w:rsidRPr="00115639" w:rsidRDefault="007415CA" w:rsidP="0049394A">
      <w:pPr>
        <w:pStyle w:val="FootnoteText"/>
        <w:spacing w:before="0" w:after="0" w:line="240" w:lineRule="auto"/>
        <w:jc w:val="left"/>
        <w:rPr>
          <w:rFonts w:cstheme="minorHAnsi"/>
          <w:sz w:val="18"/>
          <w:szCs w:val="18"/>
          <w:lang w:val="sq-AL"/>
        </w:rPr>
      </w:pPr>
      <w:r w:rsidRPr="00115639">
        <w:rPr>
          <w:rStyle w:val="FootnoteReference"/>
          <w:rFonts w:cstheme="minorHAnsi"/>
          <w:sz w:val="18"/>
          <w:szCs w:val="18"/>
        </w:rPr>
        <w:footnoteRef/>
      </w:r>
      <w:r w:rsidRPr="00115639">
        <w:rPr>
          <w:rFonts w:cstheme="minorHAnsi"/>
          <w:sz w:val="18"/>
          <w:szCs w:val="18"/>
          <w:lang w:val="de-DE"/>
        </w:rPr>
        <w:t xml:space="preserve"> </w:t>
      </w:r>
      <w:r w:rsidRPr="00115639">
        <w:rPr>
          <w:rFonts w:cstheme="minorHAnsi"/>
          <w:sz w:val="18"/>
          <w:szCs w:val="18"/>
          <w:lang w:val="it-IT"/>
        </w:rPr>
        <w:t>MSHMS, 2021. Strategjia Kombëtare e Mbrojtjes Sociale (2020-2-23). Raport Progresi 2020.</w:t>
      </w:r>
    </w:p>
  </w:footnote>
  <w:footnote w:id="111">
    <w:p w14:paraId="7109D964" w14:textId="51D60428" w:rsidR="007415CA" w:rsidRPr="00115639" w:rsidRDefault="007415CA" w:rsidP="0049394A">
      <w:pPr>
        <w:pStyle w:val="FootnoteText"/>
        <w:spacing w:before="0" w:after="0" w:line="240" w:lineRule="auto"/>
        <w:jc w:val="left"/>
        <w:rPr>
          <w:rFonts w:cstheme="minorHAnsi"/>
          <w:sz w:val="18"/>
          <w:szCs w:val="18"/>
          <w:lang w:val="de-DE"/>
        </w:rPr>
      </w:pPr>
      <w:r w:rsidRPr="00115639">
        <w:rPr>
          <w:rStyle w:val="FootnoteReference"/>
          <w:rFonts w:cstheme="minorHAnsi"/>
          <w:sz w:val="18"/>
          <w:szCs w:val="18"/>
        </w:rPr>
        <w:footnoteRef/>
      </w:r>
      <w:r w:rsidRPr="00115639">
        <w:rPr>
          <w:rFonts w:cstheme="minorHAnsi"/>
          <w:sz w:val="18"/>
          <w:szCs w:val="18"/>
          <w:lang w:val="de-DE"/>
        </w:rPr>
        <w:t xml:space="preserve"> </w:t>
      </w:r>
      <w:r w:rsidRPr="00115639">
        <w:rPr>
          <w:rFonts w:cstheme="minorHAnsi"/>
          <w:sz w:val="18"/>
          <w:szCs w:val="18"/>
          <w:lang w:val="it-IT"/>
        </w:rPr>
        <w:t xml:space="preserve">MSHMS, 2021. Raport mbi zbatimin e rekomandimeve adresuar Shqipërisë nga komiteti i palëve të konventës së këshillit të Evropës për </w:t>
      </w:r>
      <w:r>
        <w:rPr>
          <w:rFonts w:cstheme="minorHAnsi"/>
          <w:sz w:val="18"/>
          <w:szCs w:val="18"/>
          <w:lang w:val="it-IT"/>
        </w:rPr>
        <w:t>p</w:t>
      </w:r>
      <w:r w:rsidRPr="00115639">
        <w:rPr>
          <w:rFonts w:cstheme="minorHAnsi"/>
          <w:sz w:val="18"/>
          <w:szCs w:val="18"/>
          <w:lang w:val="it-IT"/>
        </w:rPr>
        <w:t>arandalimin dhe luftimin e dhunës ndaj grave dhe dhunës në familje (Konventa e Stambollit).</w:t>
      </w:r>
    </w:p>
  </w:footnote>
  <w:footnote w:id="112">
    <w:p w14:paraId="68D41337" w14:textId="297231AA" w:rsidR="007415CA" w:rsidRPr="00115639" w:rsidRDefault="007415CA" w:rsidP="0049394A">
      <w:pPr>
        <w:pStyle w:val="FootnoteText"/>
        <w:spacing w:before="0" w:after="0" w:line="240" w:lineRule="auto"/>
        <w:jc w:val="left"/>
        <w:rPr>
          <w:rFonts w:cstheme="minorHAnsi"/>
          <w:sz w:val="18"/>
          <w:szCs w:val="18"/>
          <w:lang w:val="sq-AL"/>
        </w:rPr>
      </w:pPr>
      <w:r w:rsidRPr="00115639">
        <w:rPr>
          <w:rStyle w:val="FootnoteReference"/>
          <w:rFonts w:cstheme="minorHAnsi"/>
          <w:sz w:val="18"/>
          <w:szCs w:val="18"/>
        </w:rPr>
        <w:footnoteRef/>
      </w:r>
      <w:r w:rsidRPr="00115639">
        <w:rPr>
          <w:rFonts w:cstheme="minorHAnsi"/>
          <w:sz w:val="18"/>
          <w:szCs w:val="18"/>
        </w:rPr>
        <w:t xml:space="preserve"> </w:t>
      </w:r>
      <w:r w:rsidRPr="00115639">
        <w:rPr>
          <w:rFonts w:cstheme="minorHAnsi"/>
          <w:sz w:val="18"/>
          <w:szCs w:val="18"/>
          <w:lang w:val="it-IT"/>
        </w:rPr>
        <w:t xml:space="preserve">UN, 2021. Fifth National Periodic Report on the implementation of the Convention on the Elimination of all Forms of Discrimination against </w:t>
      </w:r>
      <w:r>
        <w:rPr>
          <w:rFonts w:cstheme="minorHAnsi"/>
          <w:sz w:val="18"/>
          <w:szCs w:val="18"/>
          <w:lang w:val="it-IT"/>
        </w:rPr>
        <w:t>W</w:t>
      </w:r>
      <w:r w:rsidRPr="00115639">
        <w:rPr>
          <w:rFonts w:cstheme="minorHAnsi"/>
          <w:sz w:val="18"/>
          <w:szCs w:val="18"/>
          <w:lang w:val="it-IT"/>
        </w:rPr>
        <w:t xml:space="preserve">omen to the Committee on the Elimination of Discrimination against </w:t>
      </w:r>
      <w:r>
        <w:rPr>
          <w:rFonts w:cstheme="minorHAnsi"/>
          <w:sz w:val="18"/>
          <w:szCs w:val="18"/>
          <w:lang w:val="it-IT"/>
        </w:rPr>
        <w:t>W</w:t>
      </w:r>
      <w:r w:rsidRPr="00115639">
        <w:rPr>
          <w:rFonts w:cstheme="minorHAnsi"/>
          <w:sz w:val="18"/>
          <w:szCs w:val="18"/>
          <w:lang w:val="it-IT"/>
        </w:rPr>
        <w:t>omen.</w:t>
      </w:r>
    </w:p>
  </w:footnote>
  <w:footnote w:id="113">
    <w:p w14:paraId="2AF21F0B" w14:textId="77777777" w:rsidR="007415CA" w:rsidRPr="00115639" w:rsidRDefault="007415CA" w:rsidP="0049394A">
      <w:pPr>
        <w:spacing w:before="0" w:after="0" w:line="240" w:lineRule="auto"/>
        <w:jc w:val="left"/>
        <w:rPr>
          <w:rFonts w:cstheme="minorHAnsi"/>
          <w:sz w:val="18"/>
          <w:szCs w:val="18"/>
          <w:lang w:val="sq-AL"/>
        </w:rPr>
      </w:pPr>
      <w:r w:rsidRPr="00115639">
        <w:rPr>
          <w:rStyle w:val="FootnoteReference"/>
          <w:rFonts w:cstheme="minorHAnsi"/>
          <w:sz w:val="18"/>
          <w:szCs w:val="18"/>
        </w:rPr>
        <w:footnoteRef/>
      </w:r>
      <w:r w:rsidRPr="00115639">
        <w:rPr>
          <w:rFonts w:cstheme="minorHAnsi"/>
          <w:sz w:val="18"/>
          <w:szCs w:val="18"/>
          <w:lang w:val="de-DE"/>
        </w:rPr>
        <w:t xml:space="preserve"> </w:t>
      </w:r>
      <w:r w:rsidRPr="00115639">
        <w:rPr>
          <w:rFonts w:cstheme="minorHAnsi"/>
          <w:sz w:val="18"/>
          <w:szCs w:val="18"/>
          <w:lang w:val="it-IT"/>
        </w:rPr>
        <w:t>MSHMS, 2021. Raport mbi zbatimin e rekomandimeve adresuar Shqipërisë nga komiteti i palëve të konventës së këshillit të Evropës për arandalimin dhe luftimin e dhunës ndaj grave dhe dhunës në familje (Konventa e Stambollit).</w:t>
      </w:r>
    </w:p>
  </w:footnote>
  <w:footnote w:id="114">
    <w:p w14:paraId="131D0A89" w14:textId="77777777" w:rsidR="007415CA" w:rsidRPr="00115639" w:rsidRDefault="007415CA" w:rsidP="0049394A">
      <w:pPr>
        <w:pStyle w:val="FootnoteText"/>
        <w:spacing w:before="0" w:after="0" w:line="240" w:lineRule="auto"/>
        <w:jc w:val="left"/>
        <w:rPr>
          <w:rFonts w:cstheme="minorHAnsi"/>
          <w:sz w:val="18"/>
          <w:szCs w:val="18"/>
          <w:lang w:val="sq-AL"/>
        </w:rPr>
      </w:pPr>
      <w:r w:rsidRPr="00115639">
        <w:rPr>
          <w:rStyle w:val="FootnoteReference"/>
          <w:rFonts w:cstheme="minorHAnsi"/>
          <w:sz w:val="18"/>
          <w:szCs w:val="18"/>
        </w:rPr>
        <w:footnoteRef/>
      </w:r>
      <w:r w:rsidRPr="00115639">
        <w:rPr>
          <w:rFonts w:cstheme="minorHAnsi"/>
          <w:sz w:val="18"/>
          <w:szCs w:val="18"/>
          <w:lang w:val="it-IT"/>
        </w:rPr>
        <w:t xml:space="preserve"> ILO, Reforma e Programit të Ndihmës Ekonomike në Shqipëri, 2023.</w:t>
      </w:r>
    </w:p>
  </w:footnote>
  <w:footnote w:id="115">
    <w:p w14:paraId="5C29F1ED" w14:textId="77777777" w:rsidR="007415CA" w:rsidRPr="0045007D" w:rsidRDefault="007415CA" w:rsidP="0049394A">
      <w:pPr>
        <w:pStyle w:val="FootnoteText"/>
        <w:spacing w:before="0" w:after="0" w:line="240" w:lineRule="auto"/>
        <w:jc w:val="left"/>
        <w:rPr>
          <w:lang w:val="it-IT"/>
        </w:rPr>
      </w:pPr>
      <w:r w:rsidRPr="00115639">
        <w:rPr>
          <w:rStyle w:val="FootnoteReference"/>
          <w:rFonts w:cstheme="minorHAnsi"/>
          <w:sz w:val="18"/>
          <w:szCs w:val="18"/>
        </w:rPr>
        <w:footnoteRef/>
      </w:r>
      <w:r w:rsidRPr="00115639">
        <w:rPr>
          <w:rFonts w:cstheme="minorHAnsi"/>
          <w:sz w:val="18"/>
          <w:szCs w:val="18"/>
          <w:lang w:val="it-IT"/>
        </w:rPr>
        <w:t xml:space="preserve"> UNICEF, Raporti Progresit të Strategjisë Kombëtare të Mbrojtjes Sociale 2019-2023, viti 2022.</w:t>
      </w:r>
    </w:p>
  </w:footnote>
  <w:footnote w:id="116">
    <w:p w14:paraId="4D53E844" w14:textId="77777777" w:rsidR="007415CA" w:rsidRPr="00817921" w:rsidRDefault="007415CA" w:rsidP="0049394A">
      <w:pPr>
        <w:pStyle w:val="FootnoteText"/>
        <w:spacing w:before="0" w:after="0" w:line="240" w:lineRule="auto"/>
        <w:jc w:val="left"/>
        <w:rPr>
          <w:rFonts w:cstheme="minorHAnsi"/>
          <w:sz w:val="18"/>
          <w:szCs w:val="18"/>
          <w:lang w:val="sq-AL"/>
        </w:rPr>
      </w:pPr>
      <w:r w:rsidRPr="00817921">
        <w:rPr>
          <w:rStyle w:val="FootnoteReference"/>
          <w:rFonts w:cstheme="minorHAnsi"/>
          <w:sz w:val="18"/>
          <w:szCs w:val="18"/>
        </w:rPr>
        <w:footnoteRef/>
      </w:r>
      <w:r w:rsidRPr="00817921">
        <w:rPr>
          <w:rStyle w:val="FootnoteReference"/>
          <w:rFonts w:cstheme="minorHAnsi"/>
          <w:sz w:val="18"/>
          <w:szCs w:val="18"/>
        </w:rPr>
        <w:t xml:space="preserve"> </w:t>
      </w:r>
      <w:r w:rsidRPr="00D31E19">
        <w:rPr>
          <w:rFonts w:cstheme="minorHAnsi"/>
          <w:sz w:val="18"/>
          <w:szCs w:val="18"/>
          <w:lang w:val="it-IT"/>
        </w:rPr>
        <w:t>Të dhënat i referohen statistikave të SHSSH.</w:t>
      </w:r>
    </w:p>
  </w:footnote>
  <w:footnote w:id="117">
    <w:p w14:paraId="0DDA66F6" w14:textId="77777777" w:rsidR="007415CA" w:rsidRPr="00817921" w:rsidRDefault="007415CA" w:rsidP="00817921">
      <w:pPr>
        <w:spacing w:before="0" w:after="0" w:line="240" w:lineRule="auto"/>
        <w:rPr>
          <w:rFonts w:eastAsia="Times New Roman" w:cstheme="minorHAnsi"/>
          <w:color w:val="1D2228"/>
          <w:sz w:val="16"/>
          <w:szCs w:val="16"/>
          <w:lang w:val="de-DE"/>
        </w:rPr>
      </w:pPr>
      <w:r w:rsidRPr="00817921">
        <w:rPr>
          <w:rStyle w:val="FootnoteReference"/>
          <w:rFonts w:cstheme="minorHAnsi"/>
          <w:sz w:val="16"/>
          <w:szCs w:val="16"/>
        </w:rPr>
        <w:footnoteRef/>
      </w:r>
      <w:r w:rsidRPr="00817921">
        <w:rPr>
          <w:rFonts w:cstheme="minorHAnsi"/>
          <w:sz w:val="16"/>
          <w:szCs w:val="16"/>
          <w:lang w:val="de-DE"/>
        </w:rPr>
        <w:t xml:space="preserve"> </w:t>
      </w:r>
      <w:r w:rsidRPr="00817921">
        <w:rPr>
          <w:rFonts w:cstheme="minorHAnsi"/>
          <w:sz w:val="16"/>
          <w:szCs w:val="16"/>
          <w:lang w:val="it-IT"/>
        </w:rPr>
        <w:t>MSHMS, 2021. Raport mbi zbatimin e rekomandimeve adresuar Shqipërisë nga komiteti i palëve të konventës së këshillit të Evropës për arandalimin dhe luftimin e dhunës ndaj grave dhe dhunës në familje (Konventa e Stambollit).</w:t>
      </w:r>
    </w:p>
  </w:footnote>
  <w:footnote w:id="118">
    <w:p w14:paraId="17E3D011" w14:textId="77777777" w:rsidR="007415CA" w:rsidRPr="00817921" w:rsidRDefault="007415CA" w:rsidP="00817921">
      <w:pPr>
        <w:pStyle w:val="FootnoteText"/>
        <w:spacing w:before="0" w:after="0" w:line="240" w:lineRule="auto"/>
        <w:rPr>
          <w:rFonts w:cstheme="minorHAnsi"/>
          <w:sz w:val="16"/>
          <w:szCs w:val="16"/>
          <w:lang w:val="sq-AL"/>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ILO, Reforma e Programit të Ndihmës Ekonomike në Shqipëri, 2023.</w:t>
      </w:r>
    </w:p>
  </w:footnote>
  <w:footnote w:id="119">
    <w:p w14:paraId="19B1DC78" w14:textId="77777777" w:rsidR="007415CA" w:rsidRPr="00817921" w:rsidRDefault="007415CA" w:rsidP="00817921">
      <w:pPr>
        <w:pStyle w:val="FootnoteText"/>
        <w:spacing w:before="0" w:after="0" w:line="240" w:lineRule="auto"/>
        <w:rPr>
          <w:rFonts w:cstheme="minorHAnsi"/>
          <w:sz w:val="16"/>
          <w:szCs w:val="16"/>
          <w:lang w:val="sq-AL"/>
        </w:rPr>
      </w:pPr>
      <w:r w:rsidRPr="00817921">
        <w:rPr>
          <w:rStyle w:val="FootnoteReference"/>
          <w:rFonts w:cstheme="minorHAnsi"/>
          <w:sz w:val="16"/>
          <w:szCs w:val="16"/>
        </w:rPr>
        <w:footnoteRef/>
      </w:r>
      <w:r w:rsidRPr="00817921">
        <w:rPr>
          <w:rFonts w:cstheme="minorHAnsi"/>
          <w:sz w:val="16"/>
          <w:szCs w:val="16"/>
          <w:lang w:val="sq-AL"/>
        </w:rPr>
        <w:t xml:space="preserve"> </w:t>
      </w:r>
      <w:r w:rsidRPr="00817921">
        <w:rPr>
          <w:rFonts w:cstheme="minorHAnsi"/>
          <w:sz w:val="16"/>
          <w:szCs w:val="16"/>
          <w:lang w:val="it-IT"/>
        </w:rPr>
        <w:t>129 ankimime rezultojnë në total gjatë periudhës 2019-2020 nga të cilat 69 rregjistruar në vitin 2020.</w:t>
      </w:r>
    </w:p>
  </w:footnote>
  <w:footnote w:id="120">
    <w:p w14:paraId="57639539" w14:textId="1CE81369" w:rsidR="007415CA" w:rsidRPr="00817921" w:rsidRDefault="007415CA" w:rsidP="00817921">
      <w:pPr>
        <w:pStyle w:val="FootnoteText"/>
        <w:spacing w:before="0" w:after="0" w:line="240" w:lineRule="auto"/>
        <w:rPr>
          <w:rFonts w:ascii="Garamond" w:hAnsi="Garamond"/>
          <w:sz w:val="16"/>
          <w:szCs w:val="16"/>
          <w:lang w:val="sq-AL"/>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NE benefit levels are generated from MIS, Vendimi i Këshillit të Ministrave nr. 597, datë 4.9.2019, Vendimi i Këshillit të Ministrave nr. 617, datë 22.9.2022 dhe Udhëzimi i Ministrisë së Shëndetësisë dhe Mbrojtjes Sociale nr. 4, datë 17.02.2017 “Për përllogaritjen e përfitimit të ndihmës ekonomike.</w:t>
      </w:r>
    </w:p>
  </w:footnote>
  <w:footnote w:id="121">
    <w:p w14:paraId="22609D4D" w14:textId="77777777" w:rsidR="007415CA" w:rsidRPr="00817921" w:rsidRDefault="007415CA" w:rsidP="00817921">
      <w:pPr>
        <w:pStyle w:val="FootnoteText"/>
        <w:spacing w:before="0" w:after="0" w:line="240" w:lineRule="auto"/>
        <w:rPr>
          <w:rFonts w:cstheme="minorHAnsi"/>
          <w:sz w:val="18"/>
          <w:szCs w:val="18"/>
          <w:lang w:val="sq-AL"/>
        </w:rPr>
      </w:pPr>
      <w:r w:rsidRPr="00817921">
        <w:rPr>
          <w:rStyle w:val="FootnoteReference"/>
          <w:rFonts w:cstheme="minorHAnsi"/>
          <w:sz w:val="16"/>
          <w:szCs w:val="16"/>
        </w:rPr>
        <w:footnoteRef/>
      </w:r>
      <w:r w:rsidRPr="00817921">
        <w:rPr>
          <w:rStyle w:val="FootnoteReference"/>
          <w:rFonts w:cstheme="minorHAnsi"/>
          <w:sz w:val="16"/>
          <w:szCs w:val="16"/>
          <w:lang w:val="it-IT"/>
        </w:rPr>
        <w:t xml:space="preserve"> </w:t>
      </w:r>
      <w:r w:rsidRPr="00817921">
        <w:rPr>
          <w:rFonts w:cstheme="minorHAnsi"/>
          <w:sz w:val="16"/>
          <w:szCs w:val="16"/>
          <w:lang w:val="it-IT"/>
        </w:rPr>
        <w:t>Si rezultat, 15,000 familje kaluan nga përfitimet e pjesshme në përfitime të plota. Raportohet se rreth gjysma e familjeve përfituese të Ndihmës Ekonomike kanë marrë përfitime të pjesshme në vitin 2013.</w:t>
      </w:r>
      <w:r w:rsidRPr="00817921">
        <w:rPr>
          <w:rFonts w:cstheme="minorHAnsi"/>
          <w:sz w:val="16"/>
          <w:szCs w:val="16"/>
          <w:lang w:val="sq-AL"/>
        </w:rPr>
        <w:t xml:space="preserve"> </w:t>
      </w:r>
    </w:p>
  </w:footnote>
  <w:footnote w:id="122">
    <w:p w14:paraId="6F7F5488" w14:textId="77777777" w:rsidR="007415CA" w:rsidRPr="00817921" w:rsidRDefault="007415CA" w:rsidP="00817921">
      <w:pPr>
        <w:pStyle w:val="FootnoteText"/>
        <w:spacing w:before="0" w:after="0" w:line="240" w:lineRule="auto"/>
        <w:rPr>
          <w:rFonts w:cstheme="minorHAnsi"/>
          <w:sz w:val="16"/>
          <w:szCs w:val="16"/>
          <w:lang w:val="sq-AL"/>
        </w:rPr>
      </w:pPr>
      <w:r w:rsidRPr="00817921">
        <w:rPr>
          <w:rStyle w:val="FootnoteReference"/>
          <w:rFonts w:cstheme="minorHAnsi"/>
          <w:sz w:val="16"/>
          <w:szCs w:val="16"/>
        </w:rPr>
        <w:footnoteRef/>
      </w:r>
      <w:r w:rsidRPr="00817921">
        <w:rPr>
          <w:rStyle w:val="FootnoteReference"/>
          <w:rFonts w:cstheme="minorHAnsi"/>
          <w:sz w:val="16"/>
          <w:szCs w:val="16"/>
          <w:lang w:val="sq-AL"/>
        </w:rPr>
        <w:t xml:space="preserve"> </w:t>
      </w:r>
      <w:r w:rsidRPr="00817921">
        <w:rPr>
          <w:rFonts w:cstheme="minorHAnsi"/>
          <w:sz w:val="16"/>
          <w:szCs w:val="16"/>
          <w:lang w:val="it-IT"/>
        </w:rPr>
        <w:t>Vendimi nr.868, datë 29.12.2021, “Për disa ndryshime dhe shtesa në Vendimin nr. 597, datë 04.09.2019 të Këshillit të Ministrave “Për përcaktimin e proçedurave, dokumentacionit dhe masës mujore të përfitimit të ndihmës ekonomike dhe përdorimit të fondit shtesë mbi fondin e kushtëzuar për ndihmën ekonomike” .</w:t>
      </w:r>
    </w:p>
  </w:footnote>
  <w:footnote w:id="123">
    <w:p w14:paraId="02DAE324" w14:textId="77777777" w:rsidR="007415CA" w:rsidRPr="00817921" w:rsidRDefault="007415CA" w:rsidP="00817921">
      <w:pPr>
        <w:pStyle w:val="FootnoteText"/>
        <w:spacing w:before="0" w:after="0" w:line="240" w:lineRule="auto"/>
        <w:rPr>
          <w:rFonts w:cstheme="minorHAnsi"/>
          <w:sz w:val="16"/>
          <w:szCs w:val="16"/>
          <w:lang w:val="sq-AL"/>
        </w:rPr>
      </w:pPr>
      <w:r w:rsidRPr="00817921">
        <w:rPr>
          <w:rStyle w:val="FootnoteReference"/>
          <w:rFonts w:cstheme="minorHAnsi"/>
          <w:sz w:val="16"/>
          <w:szCs w:val="16"/>
        </w:rPr>
        <w:footnoteRef/>
      </w:r>
      <w:r w:rsidRPr="00817921">
        <w:rPr>
          <w:rStyle w:val="FootnoteReference"/>
          <w:rFonts w:cstheme="minorHAnsi"/>
          <w:sz w:val="16"/>
          <w:szCs w:val="16"/>
          <w:lang w:val="sq-AL"/>
        </w:rPr>
        <w:t xml:space="preserve"> </w:t>
      </w:r>
      <w:r w:rsidRPr="00817921">
        <w:rPr>
          <w:rFonts w:cstheme="minorHAnsi"/>
          <w:sz w:val="16"/>
          <w:szCs w:val="16"/>
          <w:lang w:val="it-IT"/>
        </w:rPr>
        <w:t>Vendimi nr. 617 ,datë 22.9.2022 “Për disa ndryshime dhe shtesa në Vendimin nr.597, datë 4.9.2019, të Këshillit të Ministrave “Për përcaktimin e proçedurave. të dokumentacionit dhe të masës mujore të përfitimit të ndihmës ekonomike dhe përdorimit të fondit shtesë mbi fondin e kushtëzuar për ndihmën ekonomike.</w:t>
      </w:r>
    </w:p>
  </w:footnote>
  <w:footnote w:id="124">
    <w:p w14:paraId="553693DA" w14:textId="66E54D3E" w:rsidR="007415CA" w:rsidRPr="00817921" w:rsidRDefault="007415CA" w:rsidP="00817921">
      <w:pPr>
        <w:pStyle w:val="FootnoteText"/>
        <w:spacing w:before="0" w:after="0" w:line="240" w:lineRule="auto"/>
        <w:rPr>
          <w:rFonts w:cstheme="minorHAnsi"/>
          <w:sz w:val="16"/>
          <w:szCs w:val="16"/>
          <w:lang w:val="sq-AL"/>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sq-AL"/>
        </w:rPr>
        <w:t>UN</w:t>
      </w:r>
      <w:r w:rsidRPr="00817921">
        <w:rPr>
          <w:rFonts w:cstheme="minorHAnsi"/>
          <w:sz w:val="16"/>
          <w:szCs w:val="16"/>
          <w:lang w:val="it-IT"/>
        </w:rPr>
        <w:t>, 2021. Fifth National Periodic Report on the implementation of the Convention on the Elimination of all Forms of Discrimination against Women to the Committee on the Elimination of Discrimination against Women.</w:t>
      </w:r>
    </w:p>
  </w:footnote>
  <w:footnote w:id="125">
    <w:p w14:paraId="29D2F0E8" w14:textId="77777777" w:rsidR="007415CA" w:rsidRPr="00817921" w:rsidRDefault="007415CA" w:rsidP="00817921">
      <w:pPr>
        <w:spacing w:before="0" w:after="0" w:line="240" w:lineRule="auto"/>
        <w:rPr>
          <w:rFonts w:ascii="Garamond" w:hAnsi="Garamond"/>
          <w:sz w:val="16"/>
          <w:szCs w:val="16"/>
          <w:lang w:val="sq-AL"/>
        </w:rPr>
      </w:pPr>
      <w:r w:rsidRPr="00817921">
        <w:rPr>
          <w:rStyle w:val="FootnoteReference"/>
          <w:rFonts w:cstheme="minorHAnsi"/>
          <w:sz w:val="16"/>
          <w:szCs w:val="16"/>
        </w:rPr>
        <w:footnoteRef/>
      </w:r>
      <w:r w:rsidRPr="00817921">
        <w:rPr>
          <w:rFonts w:cstheme="minorHAnsi"/>
          <w:sz w:val="16"/>
          <w:szCs w:val="16"/>
          <w:lang w:val="de-DE"/>
        </w:rPr>
        <w:t xml:space="preserve"> </w:t>
      </w:r>
      <w:r w:rsidRPr="00817921">
        <w:rPr>
          <w:rFonts w:cstheme="minorHAnsi"/>
          <w:sz w:val="16"/>
          <w:szCs w:val="16"/>
          <w:lang w:val="it-IT"/>
        </w:rPr>
        <w:t>MSHMS, 2021. Raport mbi zbatimin e rekomandimeve adresuar Shqipërisë nga komiteti i palëve të konventës së këshillit të Evropës për arandalimin dhe luftimin e dhunës ndaj grave dhe dhunës në familje (Konventa e Stambollit).</w:t>
      </w:r>
    </w:p>
  </w:footnote>
  <w:footnote w:id="126">
    <w:p w14:paraId="224887C3" w14:textId="77777777" w:rsidR="007415CA" w:rsidRPr="00817921" w:rsidRDefault="007415CA" w:rsidP="007A3AD7">
      <w:pPr>
        <w:pStyle w:val="FootnoteText"/>
        <w:jc w:val="left"/>
        <w:rPr>
          <w:rFonts w:ascii="Garamond" w:hAnsi="Garamond"/>
          <w:sz w:val="16"/>
          <w:szCs w:val="16"/>
          <w:lang w:val="sq-AL"/>
        </w:rPr>
      </w:pPr>
      <w:r w:rsidRPr="00817921">
        <w:rPr>
          <w:rStyle w:val="FootnoteReference"/>
          <w:sz w:val="16"/>
          <w:szCs w:val="16"/>
        </w:rPr>
        <w:footnoteRef/>
      </w:r>
      <w:r w:rsidRPr="00817921">
        <w:rPr>
          <w:rStyle w:val="FootnoteReference"/>
          <w:sz w:val="16"/>
          <w:szCs w:val="16"/>
        </w:rPr>
        <w:t xml:space="preserve"> </w:t>
      </w:r>
      <w:r w:rsidRPr="00817921">
        <w:rPr>
          <w:rFonts w:cstheme="minorHAnsi"/>
          <w:sz w:val="16"/>
          <w:szCs w:val="16"/>
          <w:lang w:val="it-IT"/>
        </w:rPr>
        <w:t>Shih edhe Vendimin e Këshillit të Ministrave nr. 597, datë 4.09.2019, “Për procedurat, dokumentacionin dhe masën mujore të përfitimit të ndihmës ekonomike dhe përdorimin e fondit shtesë mbi fondin e ndihmës ekonomike të kushtëzuar”.</w:t>
      </w:r>
      <w:r w:rsidRPr="00817921">
        <w:rPr>
          <w:rFonts w:ascii="Garamond" w:hAnsi="Garamond"/>
          <w:sz w:val="16"/>
          <w:szCs w:val="16"/>
          <w:lang w:val="sq-AL"/>
        </w:rPr>
        <w:t xml:space="preserve"> </w:t>
      </w:r>
    </w:p>
  </w:footnote>
  <w:footnote w:id="127">
    <w:p w14:paraId="538D19B6" w14:textId="77777777" w:rsidR="007415CA" w:rsidRPr="007A3AD7" w:rsidRDefault="007415CA" w:rsidP="007A3AD7">
      <w:pPr>
        <w:pStyle w:val="FootnoteText"/>
        <w:jc w:val="left"/>
        <w:rPr>
          <w:rFonts w:ascii="Garamond" w:hAnsi="Garamond"/>
          <w:sz w:val="18"/>
          <w:szCs w:val="18"/>
          <w:lang w:val="sq-AL"/>
        </w:rPr>
      </w:pPr>
      <w:r w:rsidRPr="00817921">
        <w:rPr>
          <w:rStyle w:val="FootnoteReference"/>
          <w:sz w:val="16"/>
          <w:szCs w:val="16"/>
        </w:rPr>
        <w:footnoteRef/>
      </w:r>
      <w:r w:rsidRPr="00817921">
        <w:rPr>
          <w:rStyle w:val="FootnoteReference"/>
          <w:sz w:val="16"/>
          <w:szCs w:val="16"/>
        </w:rPr>
        <w:t xml:space="preserve"> </w:t>
      </w:r>
      <w:r w:rsidRPr="00817921">
        <w:rPr>
          <w:rFonts w:cstheme="minorHAnsi"/>
          <w:sz w:val="16"/>
          <w:szCs w:val="16"/>
          <w:lang w:val="it-IT"/>
        </w:rPr>
        <w:t>Vendimi i Këshillit të Ministrave nr.882, datë 24.12.2019</w:t>
      </w:r>
      <w:r w:rsidRPr="00817921">
        <w:rPr>
          <w:rFonts w:ascii="Garamond" w:hAnsi="Garamond"/>
          <w:sz w:val="16"/>
          <w:szCs w:val="16"/>
          <w:lang w:val="sq-AL"/>
        </w:rPr>
        <w:t xml:space="preserve"> </w:t>
      </w:r>
    </w:p>
  </w:footnote>
  <w:footnote w:id="128">
    <w:p w14:paraId="67202BBD" w14:textId="77777777" w:rsidR="007415CA" w:rsidRPr="00817921" w:rsidRDefault="007415CA" w:rsidP="00817921">
      <w:pPr>
        <w:pStyle w:val="FootnoteText"/>
        <w:spacing w:before="0" w:after="0" w:line="240" w:lineRule="auto"/>
        <w:jc w:val="left"/>
        <w:rPr>
          <w:rFonts w:ascii="Garamond" w:hAnsi="Garamond"/>
          <w:sz w:val="16"/>
          <w:szCs w:val="16"/>
          <w:lang w:val="sq-AL"/>
        </w:rPr>
      </w:pPr>
      <w:r w:rsidRPr="00817921">
        <w:rPr>
          <w:rStyle w:val="FootnoteReference"/>
          <w:sz w:val="16"/>
          <w:szCs w:val="16"/>
        </w:rPr>
        <w:footnoteRef/>
      </w:r>
      <w:r w:rsidRPr="00817921">
        <w:rPr>
          <w:rStyle w:val="FootnoteReference"/>
          <w:sz w:val="16"/>
          <w:szCs w:val="16"/>
        </w:rPr>
        <w:t xml:space="preserve"> </w:t>
      </w:r>
      <w:r w:rsidRPr="00817921">
        <w:rPr>
          <w:rFonts w:cstheme="minorHAnsi"/>
          <w:sz w:val="16"/>
          <w:szCs w:val="16"/>
          <w:lang w:val="it-IT"/>
        </w:rPr>
        <w:t>Urdhërit të Përbashkët të MSHMS dhe MFE nr.148, datë 28.02.2022.</w:t>
      </w:r>
    </w:p>
  </w:footnote>
  <w:footnote w:id="129">
    <w:p w14:paraId="583ADC95" w14:textId="77777777" w:rsidR="007415CA" w:rsidRPr="00817921" w:rsidRDefault="007415CA" w:rsidP="00817921">
      <w:pPr>
        <w:pStyle w:val="FootnoteText"/>
        <w:spacing w:before="0" w:after="0" w:line="240" w:lineRule="auto"/>
        <w:jc w:val="left"/>
        <w:rPr>
          <w:rFonts w:cstheme="minorHAnsi"/>
          <w:sz w:val="16"/>
          <w:szCs w:val="16"/>
          <w:lang w:val="sq-AL"/>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UNICEF, Raporti Progresit të Strategjisë Kombëtare të Mbrojtjes Sociale 2019-2023, viti 2022.</w:t>
      </w:r>
    </w:p>
  </w:footnote>
  <w:footnote w:id="130">
    <w:p w14:paraId="652D21AF" w14:textId="77777777" w:rsidR="007415CA" w:rsidRPr="00817921" w:rsidRDefault="007415CA" w:rsidP="00817921">
      <w:pPr>
        <w:pStyle w:val="FootnoteText"/>
        <w:spacing w:before="0" w:after="0" w:line="240" w:lineRule="auto"/>
        <w:jc w:val="left"/>
        <w:rPr>
          <w:rFonts w:cstheme="minorHAnsi"/>
          <w:sz w:val="16"/>
          <w:szCs w:val="16"/>
          <w:lang w:val="sq-AL"/>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ILO, Reforma e Programit të Ndihmës Ekonomike në Shqipëri, 2023.</w:t>
      </w:r>
    </w:p>
  </w:footnote>
  <w:footnote w:id="131">
    <w:p w14:paraId="0F722373" w14:textId="77777777" w:rsidR="007415CA" w:rsidRPr="00817921" w:rsidRDefault="007415CA" w:rsidP="00817921">
      <w:pPr>
        <w:pStyle w:val="FootnoteText"/>
        <w:spacing w:before="0" w:after="0" w:line="240" w:lineRule="auto"/>
        <w:jc w:val="left"/>
        <w:rPr>
          <w:rFonts w:cstheme="minorHAnsi"/>
          <w:sz w:val="16"/>
          <w:szCs w:val="16"/>
          <w:lang w:val="sq-AL"/>
        </w:rPr>
      </w:pPr>
      <w:r w:rsidRPr="00817921">
        <w:rPr>
          <w:rStyle w:val="FootnoteReference"/>
          <w:rFonts w:cstheme="minorHAnsi"/>
          <w:sz w:val="16"/>
          <w:szCs w:val="16"/>
        </w:rPr>
        <w:footnoteRef/>
      </w:r>
      <w:r w:rsidRPr="00817921">
        <w:rPr>
          <w:rStyle w:val="FootnoteReference"/>
          <w:rFonts w:cstheme="minorHAnsi"/>
          <w:sz w:val="16"/>
          <w:szCs w:val="16"/>
        </w:rPr>
        <w:t xml:space="preserve"> </w:t>
      </w:r>
      <w:r w:rsidRPr="00817921">
        <w:rPr>
          <w:rFonts w:cstheme="minorHAnsi"/>
          <w:sz w:val="16"/>
          <w:szCs w:val="16"/>
          <w:lang w:val="it-IT"/>
        </w:rPr>
        <w:t>UNICEF, Raporti Progresit të Strategjisë Kombëtare të Mbrojtjes Sociale 2019-2023, viti 2022.</w:t>
      </w:r>
      <w:r w:rsidRPr="00817921">
        <w:rPr>
          <w:rFonts w:cstheme="minorHAnsi"/>
          <w:sz w:val="16"/>
          <w:szCs w:val="16"/>
          <w:lang w:val="sq-AL"/>
        </w:rPr>
        <w:t xml:space="preserve"> </w:t>
      </w:r>
    </w:p>
  </w:footnote>
  <w:footnote w:id="132">
    <w:p w14:paraId="28C6A355" w14:textId="77777777"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lang w:val="it-IT"/>
        </w:rPr>
        <w:t xml:space="preserve"> UNICEF, Raporti Progresit të Strategjisë Kombëtare të Mbrojtjes Sociale 2019-2023, viti 2022. </w:t>
      </w:r>
    </w:p>
  </w:footnote>
  <w:footnote w:id="133">
    <w:p w14:paraId="6774C254" w14:textId="77777777" w:rsidR="007415CA" w:rsidRPr="00817921" w:rsidRDefault="007415CA" w:rsidP="00817921">
      <w:pPr>
        <w:pStyle w:val="FootnoteText"/>
        <w:spacing w:before="0" w:after="0" w:line="240" w:lineRule="auto"/>
        <w:rPr>
          <w:rFonts w:cstheme="minorHAnsi"/>
          <w:sz w:val="16"/>
          <w:szCs w:val="16"/>
          <w:lang w:val="sq-AL"/>
        </w:rPr>
      </w:pPr>
      <w:r w:rsidRPr="00817921">
        <w:rPr>
          <w:rStyle w:val="FootnoteReference"/>
          <w:rFonts w:cstheme="minorHAnsi"/>
          <w:sz w:val="16"/>
          <w:szCs w:val="16"/>
        </w:rPr>
        <w:footnoteRef/>
      </w:r>
      <w:r w:rsidRPr="00817921">
        <w:rPr>
          <w:rFonts w:cstheme="minorHAnsi"/>
          <w:sz w:val="16"/>
          <w:szCs w:val="16"/>
          <w:lang w:val="sq-AL"/>
        </w:rPr>
        <w:t xml:space="preserve"> </w:t>
      </w:r>
      <w:r w:rsidRPr="00817921">
        <w:rPr>
          <w:rFonts w:cstheme="minorHAnsi"/>
          <w:sz w:val="16"/>
          <w:szCs w:val="16"/>
          <w:lang w:val="it-IT"/>
        </w:rPr>
        <w:t>Në zbatim të ligjit nr. 121/2016 “Për shërbimet e kujdesit social”, çdo njësie të pushtetit vendor i kërkohet të krijojë Njësinë e Vlerësimit të Nevojave dhe të Referimit.</w:t>
      </w:r>
      <w:r w:rsidRPr="00817921">
        <w:rPr>
          <w:rFonts w:cstheme="minorHAnsi"/>
          <w:sz w:val="16"/>
          <w:szCs w:val="16"/>
          <w:lang w:val="sq-AL"/>
        </w:rPr>
        <w:t xml:space="preserve"> </w:t>
      </w:r>
    </w:p>
  </w:footnote>
  <w:footnote w:id="134">
    <w:p w14:paraId="054FF12D" w14:textId="77777777" w:rsidR="007415CA" w:rsidRPr="00817921" w:rsidRDefault="007415CA" w:rsidP="00817921">
      <w:pPr>
        <w:pStyle w:val="FootnoteText"/>
        <w:spacing w:before="0" w:after="0" w:line="240" w:lineRule="auto"/>
        <w:rPr>
          <w:rFonts w:cstheme="minorHAnsi"/>
          <w:sz w:val="16"/>
          <w:szCs w:val="16"/>
          <w:lang w:val="sq-AL"/>
        </w:rPr>
      </w:pPr>
      <w:r w:rsidRPr="00817921">
        <w:rPr>
          <w:rStyle w:val="FootnoteReference"/>
          <w:rFonts w:cstheme="minorHAnsi"/>
          <w:sz w:val="16"/>
          <w:szCs w:val="16"/>
        </w:rPr>
        <w:footnoteRef/>
      </w:r>
      <w:r w:rsidRPr="00817921">
        <w:rPr>
          <w:rFonts w:cstheme="minorHAnsi"/>
          <w:sz w:val="16"/>
          <w:szCs w:val="16"/>
          <w:lang w:val="sq-AL"/>
        </w:rPr>
        <w:t xml:space="preserve"> </w:t>
      </w:r>
      <w:r w:rsidRPr="00817921">
        <w:rPr>
          <w:rFonts w:cstheme="minorHAnsi"/>
          <w:sz w:val="16"/>
          <w:szCs w:val="16"/>
          <w:lang w:val="it-IT"/>
        </w:rPr>
        <w:t>UNICEF, Kujdesi shoqëror në bashki-mjedisi institucional, kaacitetet, problematika, qershor 2022.</w:t>
      </w:r>
    </w:p>
  </w:footnote>
  <w:footnote w:id="135">
    <w:p w14:paraId="3508E0DB" w14:textId="3744B114" w:rsidR="007415CA" w:rsidRPr="00D0101B" w:rsidRDefault="007415CA" w:rsidP="00817921">
      <w:pPr>
        <w:pStyle w:val="FootnoteText"/>
        <w:spacing w:before="0" w:after="0" w:line="240" w:lineRule="auto"/>
        <w:rPr>
          <w:rFonts w:asciiTheme="majorHAnsi" w:hAnsiTheme="majorHAnsi" w:cstheme="maj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Të dhëna MSHMS, janar- shkurt 2023.</w:t>
      </w:r>
    </w:p>
  </w:footnote>
  <w:footnote w:id="136">
    <w:p w14:paraId="30A6EFD3" w14:textId="77777777" w:rsidR="007415CA" w:rsidRPr="00817921" w:rsidRDefault="007415CA" w:rsidP="00D31E19">
      <w:pPr>
        <w:pStyle w:val="NoSpacing"/>
        <w:rPr>
          <w:rFonts w:asciiTheme="minorHAnsi" w:hAnsiTheme="minorHAnsi" w:cstheme="minorHAnsi"/>
          <w:sz w:val="16"/>
          <w:szCs w:val="16"/>
        </w:rPr>
      </w:pPr>
      <w:r w:rsidRPr="00817921">
        <w:rPr>
          <w:rStyle w:val="FootnoteReference"/>
          <w:rFonts w:asciiTheme="minorHAnsi" w:hAnsiTheme="minorHAnsi" w:cstheme="minorHAnsi"/>
          <w:sz w:val="16"/>
          <w:szCs w:val="16"/>
        </w:rPr>
        <w:footnoteRef/>
      </w:r>
      <w:r w:rsidRPr="00817921">
        <w:rPr>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Të dhëna të MSHMS, janar-shkurt 2023.</w:t>
      </w:r>
    </w:p>
  </w:footnote>
  <w:footnote w:id="137">
    <w:p w14:paraId="0F4B4952" w14:textId="77777777" w:rsidR="007415CA" w:rsidRPr="00817921" w:rsidRDefault="007415CA" w:rsidP="00817921">
      <w:pPr>
        <w:pStyle w:val="FootnoteText"/>
        <w:spacing w:before="0" w:after="0"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VKM Nr. 360, datë 05.06.2019, "Për miratimin e dokumentit të politikave" Reforma e Vlerësimit të Aftësisë së Kufizuar në Sistemin e Mbrojtjes Sociale dhe Planin e Veprimit të tij 2019-2024 ".</w:t>
      </w:r>
    </w:p>
  </w:footnote>
  <w:footnote w:id="138">
    <w:p w14:paraId="56489632" w14:textId="77777777" w:rsidR="007415CA" w:rsidRPr="00817921" w:rsidRDefault="007415CA" w:rsidP="00817921">
      <w:pPr>
        <w:pStyle w:val="FootnoteText"/>
        <w:spacing w:before="0" w:after="0"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Të  dhëna të  MSHMS, Nëntor 2022, por pyet Enin pë r VKM përkatës.</w:t>
      </w:r>
    </w:p>
  </w:footnote>
  <w:footnote w:id="139">
    <w:p w14:paraId="39B6D9FA" w14:textId="77777777" w:rsidR="007415CA" w:rsidRPr="00817921" w:rsidRDefault="007415CA" w:rsidP="00817921">
      <w:pPr>
        <w:pStyle w:val="FootnoteText"/>
        <w:spacing w:before="0" w:after="0"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eastAsia="sq-AL"/>
        </w:rPr>
        <w:t>Raporti i monitorimit për vitin 2022, i Strategjisë së Mbrojtjes Sociale 2019-2023.</w:t>
      </w:r>
    </w:p>
  </w:footnote>
  <w:footnote w:id="140">
    <w:p w14:paraId="36D50F2F" w14:textId="77777777" w:rsidR="007415CA" w:rsidRPr="00817921" w:rsidRDefault="007415CA" w:rsidP="00817921">
      <w:pPr>
        <w:pStyle w:val="FootnoteText"/>
        <w:spacing w:before="0" w:after="0" w:line="240" w:lineRule="auto"/>
        <w:jc w:val="left"/>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VKM-së Nr 682, datë 29/07/2015 i ndryshuar, “PËR PËRDORIMIN E FONDEVE PUBLIKE PËR TRANSPORTIMIN E PUNONJËSVE ARSIMORË QË PUNOJNË DHE TË NXËNËSVE QË MËSOJNË JASHTË VENDBANIMIT”.</w:t>
      </w:r>
    </w:p>
  </w:footnote>
  <w:footnote w:id="141">
    <w:p w14:paraId="26B43CDE" w14:textId="77777777" w:rsidR="007415CA" w:rsidRPr="00817921" w:rsidRDefault="007415CA" w:rsidP="00817921">
      <w:pPr>
        <w:pStyle w:val="FootnoteText"/>
        <w:spacing w:before="0" w:after="0" w:line="240" w:lineRule="auto"/>
        <w:jc w:val="left"/>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VKM-në Nr. 753 datë 13/12/2017, “PËR KUOTAT FINANCIARE TË USHQIMIT NË MENSA E KONVIKTE, PËRCAKTIMIN E KRITEREVE PËR PËRFITIMIN E BURSAVE DHE PAGESAVE PËR NXËNËSIT E ARSIMIT PARAUNIVERSITAR NË INSTITUCIONET ARSIMORE PUBLIKE”.</w:t>
      </w:r>
    </w:p>
  </w:footnote>
  <w:footnote w:id="142">
    <w:p w14:paraId="6B8FCC5D" w14:textId="2A04A1B5" w:rsidR="007415CA" w:rsidRPr="00817921" w:rsidRDefault="007415CA" w:rsidP="00817921">
      <w:pPr>
        <w:pStyle w:val="FootnoteText"/>
        <w:spacing w:before="0" w:after="0" w:line="240" w:lineRule="auto"/>
        <w:jc w:val="left"/>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Bazuar në VKM-në e përvitshme për tekstet shkollore falas për grupet e prekshme.</w:t>
      </w:r>
    </w:p>
  </w:footnote>
  <w:footnote w:id="143">
    <w:p w14:paraId="06A00313" w14:textId="77777777" w:rsidR="007415CA" w:rsidRPr="00817921" w:rsidRDefault="007415CA" w:rsidP="00817921">
      <w:pPr>
        <w:pStyle w:val="FootnoteText"/>
        <w:spacing w:before="0" w:after="0" w:line="240" w:lineRule="auto"/>
        <w:jc w:val="left"/>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VKMsë Nr. 269, datë 29.03.2017 ndryshuar me VKM-në Nr. 40 datë 23.01.2019 dhe VKM-në Nr. 251 datë 27.03.2020, “Për përcaktimin e kategorive të individëve që plotësojnë kriteret e pranimit në një program të ciklit të parë të studimeve, në një program të integruar të studimeve ose në një program të studimeve profesionale në pamundësi financiare për të mbuluar tarifat vjetore të shkollimit’’.</w:t>
      </w:r>
    </w:p>
  </w:footnote>
  <w:footnote w:id="144">
    <w:p w14:paraId="43A2A9F9" w14:textId="77777777" w:rsidR="007415CA" w:rsidRPr="00817921" w:rsidRDefault="007415CA" w:rsidP="00817921">
      <w:pPr>
        <w:pStyle w:val="FootnoteText"/>
        <w:spacing w:before="0" w:after="0" w:line="240" w:lineRule="auto"/>
        <w:jc w:val="left"/>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VKM Nr. 161/2018, “Për pagesën e të ardhurës nga papunësia”.</w:t>
      </w:r>
    </w:p>
  </w:footnote>
  <w:footnote w:id="145">
    <w:p w14:paraId="525F8687" w14:textId="77777777" w:rsidR="007415CA" w:rsidRPr="00817921" w:rsidRDefault="007415CA" w:rsidP="00817921">
      <w:pPr>
        <w:pStyle w:val="FootnoteText"/>
        <w:spacing w:before="0" w:after="0" w:line="240" w:lineRule="auto"/>
        <w:jc w:val="left"/>
        <w:rPr>
          <w:rFonts w:cstheme="minorHAnsi"/>
          <w:sz w:val="16"/>
          <w:szCs w:val="16"/>
          <w:lang w:val="sq-AL"/>
        </w:rPr>
      </w:pPr>
      <w:r w:rsidRPr="00817921">
        <w:rPr>
          <w:rStyle w:val="FootnoteReference"/>
          <w:rFonts w:cstheme="minorHAnsi"/>
          <w:sz w:val="16"/>
          <w:szCs w:val="16"/>
        </w:rPr>
        <w:footnoteRef/>
      </w:r>
      <w:r w:rsidRPr="00817921">
        <w:rPr>
          <w:rFonts w:cstheme="minorHAnsi"/>
          <w:sz w:val="16"/>
          <w:szCs w:val="16"/>
          <w:lang w:val="it-IT"/>
        </w:rPr>
        <w:t>https://konsultimipublik.gov.al/Konsultime/Detaje/561</w:t>
      </w:r>
    </w:p>
  </w:footnote>
  <w:footnote w:id="146">
    <w:p w14:paraId="35B8D76A" w14:textId="0EBC5D6C" w:rsidR="007415CA" w:rsidRPr="00817921" w:rsidRDefault="007415CA" w:rsidP="00817921">
      <w:pPr>
        <w:spacing w:before="0" w:after="0" w:line="240" w:lineRule="auto"/>
        <w:jc w:val="left"/>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VKM Nr. 276, datë 12.5.2021 për miratimin e planit kombëtar për personat me aftësi të kufizuara, 2021–2025.</w:t>
      </w:r>
    </w:p>
  </w:footnote>
  <w:footnote w:id="147">
    <w:p w14:paraId="0F2CC657" w14:textId="77777777" w:rsidR="007415CA" w:rsidRPr="00817921" w:rsidRDefault="007415CA" w:rsidP="00817921">
      <w:pPr>
        <w:pStyle w:val="FootnoteText"/>
        <w:spacing w:before="0" w:after="0" w:line="240" w:lineRule="auto"/>
        <w:jc w:val="left"/>
        <w:rPr>
          <w:rFonts w:cstheme="minorHAnsi"/>
          <w:sz w:val="18"/>
          <w:szCs w:val="18"/>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Ligj. Nr. 15/2019 “Për nxitjen e punësimit”.</w:t>
      </w:r>
    </w:p>
  </w:footnote>
  <w:footnote w:id="148">
    <w:p w14:paraId="43C1C05C" w14:textId="77777777" w:rsidR="007415CA" w:rsidRPr="00817921" w:rsidRDefault="007415CA" w:rsidP="00817921">
      <w:pPr>
        <w:pStyle w:val="FootnoteText"/>
        <w:spacing w:before="0" w:after="0" w:line="240" w:lineRule="auto"/>
        <w:jc w:val="left"/>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https://konsultimipublik.gov.al/Konsultime/Detaje/561</w:t>
      </w:r>
    </w:p>
  </w:footnote>
  <w:footnote w:id="149">
    <w:p w14:paraId="7AFD7192" w14:textId="77777777" w:rsidR="007415CA" w:rsidRPr="00817921" w:rsidRDefault="007415CA" w:rsidP="00817921">
      <w:pPr>
        <w:pStyle w:val="FootnoteText"/>
        <w:spacing w:before="0" w:after="0"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https://konsultimipublik.gov.al/Konsultime/Detaje/561</w:t>
      </w:r>
    </w:p>
  </w:footnote>
  <w:footnote w:id="150">
    <w:p w14:paraId="67FADA4F" w14:textId="77777777" w:rsidR="007415CA" w:rsidRPr="00817921" w:rsidRDefault="007415CA" w:rsidP="00D31E19">
      <w:pPr>
        <w:pStyle w:val="NoSpacing"/>
        <w:rPr>
          <w:rFonts w:asciiTheme="minorHAnsi" w:eastAsiaTheme="minorHAnsi" w:hAnsiTheme="minorHAnsi" w:cstheme="minorHAnsi"/>
          <w:sz w:val="16"/>
          <w:szCs w:val="16"/>
          <w:lang w:val="it-IT" w:eastAsia="en-US"/>
        </w:rPr>
      </w:pPr>
      <w:r w:rsidRPr="00817921">
        <w:rPr>
          <w:rStyle w:val="FootnoteReference"/>
          <w:rFonts w:asciiTheme="minorHAnsi" w:hAnsiTheme="minorHAnsi" w:cstheme="minorHAnsi"/>
          <w:sz w:val="16"/>
          <w:szCs w:val="16"/>
        </w:rPr>
        <w:footnoteRef/>
      </w:r>
      <w:r w:rsidRPr="00817921">
        <w:rPr>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60 marrëveshje bashkëpunimi të firmosura me bashkitë.</w:t>
      </w:r>
    </w:p>
  </w:footnote>
  <w:footnote w:id="151">
    <w:p w14:paraId="2E4966C4" w14:textId="77777777" w:rsidR="007415CA" w:rsidRPr="00817921" w:rsidRDefault="007415CA" w:rsidP="00817921">
      <w:pPr>
        <w:pStyle w:val="FootnoteText"/>
        <w:spacing w:before="0" w:after="0"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KDPAK, Neni 28.</w:t>
      </w:r>
    </w:p>
  </w:footnote>
  <w:footnote w:id="152">
    <w:p w14:paraId="50F8495D" w14:textId="77777777" w:rsidR="007415CA" w:rsidRPr="00D0101B" w:rsidRDefault="007415CA" w:rsidP="00817921">
      <w:pPr>
        <w:pStyle w:val="FootnoteText"/>
        <w:spacing w:before="0" w:after="0" w:line="240" w:lineRule="auto"/>
        <w:rPr>
          <w:rFonts w:asciiTheme="majorHAnsi" w:hAnsiTheme="majorHAnsi" w:cstheme="maj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UNDP 2021. Mapping the social services in Albania.</w:t>
      </w:r>
    </w:p>
  </w:footnote>
  <w:footnote w:id="153">
    <w:p w14:paraId="60235EA8" w14:textId="77777777" w:rsidR="007415CA" w:rsidRPr="00817921" w:rsidRDefault="007415CA" w:rsidP="00817921">
      <w:pPr>
        <w:pStyle w:val="FootnoteText"/>
        <w:spacing w:before="0" w:after="0"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UNDP 2021. Mapping the social services in Albania.</w:t>
      </w:r>
    </w:p>
  </w:footnote>
  <w:footnote w:id="154">
    <w:p w14:paraId="78FAE450" w14:textId="77777777" w:rsidR="007415CA" w:rsidRPr="00817921" w:rsidRDefault="007415CA" w:rsidP="00D31E19">
      <w:pPr>
        <w:pStyle w:val="NoSpacing"/>
        <w:rPr>
          <w:rFonts w:asciiTheme="minorHAnsi" w:hAnsiTheme="minorHAnsi" w:cstheme="minorHAnsi"/>
          <w:sz w:val="16"/>
          <w:szCs w:val="16"/>
        </w:rPr>
      </w:pPr>
      <w:r w:rsidRPr="00817921">
        <w:rPr>
          <w:rStyle w:val="FootnoteReference"/>
          <w:rFonts w:asciiTheme="minorHAnsi" w:hAnsiTheme="minorHAnsi" w:cstheme="minorHAnsi"/>
          <w:sz w:val="16"/>
          <w:szCs w:val="16"/>
        </w:rPr>
        <w:footnoteRef/>
      </w:r>
      <w:r w:rsidRPr="00817921">
        <w:rPr>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Vlera e financuar për vitin 2022 nga Fondi Social për shërbimet e kujdesit shoqëror për Personat me Aftësi të Kufizuar është 14 794 184 lekë, për Bashkitë Librazhd, Lezhë, Rrogozhinë, Tiranë , Patos.</w:t>
      </w:r>
    </w:p>
  </w:footnote>
  <w:footnote w:id="155">
    <w:p w14:paraId="5BF5D01E" w14:textId="77777777" w:rsidR="007415CA" w:rsidRPr="00817921" w:rsidRDefault="007415CA" w:rsidP="00D31E19">
      <w:pPr>
        <w:pStyle w:val="NoSpacing"/>
        <w:rPr>
          <w:rFonts w:asciiTheme="minorHAnsi" w:hAnsiTheme="minorHAnsi" w:cstheme="minorHAnsi"/>
          <w:sz w:val="16"/>
          <w:szCs w:val="16"/>
        </w:rPr>
      </w:pPr>
      <w:r w:rsidRPr="00817921">
        <w:rPr>
          <w:rStyle w:val="FootnoteReference"/>
          <w:rFonts w:asciiTheme="minorHAnsi" w:hAnsiTheme="minorHAnsi" w:cstheme="minorHAnsi"/>
          <w:sz w:val="16"/>
          <w:szCs w:val="16"/>
        </w:rPr>
        <w:footnoteRef/>
      </w:r>
      <w:r w:rsidRPr="00817921">
        <w:rPr>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VKM “PËR MIRATIMIN E PLANIT KOMBËTAR TË DE-INSTITUCIONALIZIMIT 2020-2022 DHE TË PLANIT TË VEPRIMIT PËR ZBATIMIN E TIJ”</w:t>
      </w:r>
    </w:p>
  </w:footnote>
  <w:footnote w:id="156">
    <w:p w14:paraId="003DE84B" w14:textId="05D142E8" w:rsidR="007415CA" w:rsidRPr="00817921" w:rsidRDefault="007415CA" w:rsidP="00D31E19">
      <w:pPr>
        <w:pStyle w:val="NoSpacing"/>
        <w:rPr>
          <w:rFonts w:asciiTheme="minorHAnsi" w:hAnsiTheme="minorHAnsi" w:cstheme="minorHAnsi"/>
          <w:sz w:val="16"/>
          <w:szCs w:val="16"/>
        </w:rPr>
      </w:pPr>
      <w:r w:rsidRPr="00817921">
        <w:rPr>
          <w:rStyle w:val="FootnoteReference"/>
          <w:rFonts w:asciiTheme="minorHAnsi" w:hAnsiTheme="minorHAnsi" w:cstheme="minorHAnsi"/>
          <w:sz w:val="16"/>
          <w:szCs w:val="16"/>
        </w:rPr>
        <w:footnoteRef/>
      </w:r>
      <w:r w:rsidRPr="00817921">
        <w:rPr>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Të dhëna të MSHMS, Qershor 2023.</w:t>
      </w:r>
    </w:p>
  </w:footnote>
  <w:footnote w:id="157">
    <w:p w14:paraId="62052D1B" w14:textId="480069AA" w:rsidR="007415CA" w:rsidRPr="00D0101B" w:rsidRDefault="007415CA" w:rsidP="00D31E19">
      <w:pPr>
        <w:pStyle w:val="NoSpacing"/>
        <w:rPr>
          <w:rFonts w:asciiTheme="majorHAnsi" w:hAnsiTheme="majorHAnsi" w:cstheme="majorHAnsi"/>
          <w:sz w:val="16"/>
          <w:szCs w:val="16"/>
        </w:rPr>
      </w:pPr>
      <w:r w:rsidRPr="00817921">
        <w:rPr>
          <w:rStyle w:val="FootnoteReference"/>
          <w:rFonts w:asciiTheme="minorHAnsi" w:hAnsiTheme="minorHAnsi" w:cstheme="minorHAnsi"/>
          <w:sz w:val="16"/>
          <w:szCs w:val="16"/>
        </w:rPr>
        <w:footnoteRef/>
      </w:r>
      <w:r w:rsidRPr="00817921">
        <w:rPr>
          <w:rFonts w:asciiTheme="minorHAnsi" w:hAnsiTheme="minorHAnsi" w:cstheme="minorHAnsi"/>
          <w:sz w:val="16"/>
          <w:szCs w:val="16"/>
        </w:rPr>
        <w:t xml:space="preserve"> </w:t>
      </w:r>
      <w:r w:rsidRPr="00817921">
        <w:rPr>
          <w:rFonts w:asciiTheme="minorHAnsi" w:eastAsiaTheme="minorHAnsi" w:hAnsiTheme="minorHAnsi" w:cstheme="minorHAnsi"/>
          <w:sz w:val="16"/>
          <w:szCs w:val="16"/>
          <w:lang w:val="it-IT" w:eastAsia="en-US"/>
        </w:rPr>
        <w:t>Te dhënat nga raport i MSHMS/LNB për qëndrat komunitare (por duhet saktesuar Shkodra dhe Ura Vajgurore).</w:t>
      </w:r>
    </w:p>
  </w:footnote>
  <w:footnote w:id="158">
    <w:p w14:paraId="7BA056EC" w14:textId="77777777" w:rsidR="007415CA" w:rsidRPr="00817921" w:rsidRDefault="007415CA" w:rsidP="00817921">
      <w:pPr>
        <w:pStyle w:val="FootnoteText"/>
        <w:spacing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MSHMS, qershor 2023.</w:t>
      </w:r>
    </w:p>
  </w:footnote>
  <w:footnote w:id="159">
    <w:p w14:paraId="4406371B" w14:textId="77777777" w:rsidR="007415CA" w:rsidRPr="00817921" w:rsidRDefault="007415CA" w:rsidP="00817921">
      <w:pPr>
        <w:pStyle w:val="FootnoteText"/>
        <w:spacing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Raporti i monitorimit për vitin 2022, i Strategjisë së Mbrojtjes Sociale 2019-2023.</w:t>
      </w:r>
    </w:p>
  </w:footnote>
  <w:footnote w:id="160">
    <w:p w14:paraId="74010A77" w14:textId="4CCC9042" w:rsidR="007415CA" w:rsidRPr="00817921" w:rsidRDefault="007415CA" w:rsidP="00817921">
      <w:pPr>
        <w:pStyle w:val="FootnoteText"/>
        <w:spacing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MSHMS, 2023, Raporti i monitorimit të SKMS për vitin 2022.</w:t>
      </w:r>
    </w:p>
  </w:footnote>
  <w:footnote w:id="161">
    <w:p w14:paraId="29C91876" w14:textId="5EC71E4C" w:rsidR="007415CA" w:rsidRPr="00EC6CBE" w:rsidRDefault="007415CA" w:rsidP="00817921">
      <w:pPr>
        <w:pStyle w:val="FootnoteText"/>
        <w:spacing w:line="240" w:lineRule="auto"/>
        <w:rPr>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SHSSH, 2021, Hartëzimi i shërbimeve sociale në Shqipëri.</w:t>
      </w:r>
    </w:p>
  </w:footnote>
  <w:footnote w:id="162">
    <w:p w14:paraId="73BEBB0C" w14:textId="52E27F1D"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World Bank Group, 2022, Albania Social Protection Situation Analysis.</w:t>
      </w:r>
    </w:p>
  </w:footnote>
  <w:footnote w:id="163">
    <w:p w14:paraId="771AB87D" w14:textId="06416E8E"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EU4SI in Albania / GOPA, 2022, Functional Assessment Report</w:t>
      </w:r>
      <w:r w:rsidRPr="00817921">
        <w:rPr>
          <w:rFonts w:cstheme="minorHAnsi"/>
          <w:sz w:val="16"/>
          <w:szCs w:val="16"/>
        </w:rPr>
        <w:t>.</w:t>
      </w:r>
    </w:p>
  </w:footnote>
  <w:footnote w:id="164">
    <w:p w14:paraId="1982D0CC" w14:textId="173B0046" w:rsidR="007415CA" w:rsidRPr="00817921" w:rsidRDefault="007415CA" w:rsidP="00817921">
      <w:pPr>
        <w:pStyle w:val="FootnoteText"/>
        <w:spacing w:before="0" w:after="0"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MSHMS, 2023, Raporti i monitorimit i SKMS për vitin 2022.</w:t>
      </w:r>
    </w:p>
  </w:footnote>
  <w:footnote w:id="165">
    <w:p w14:paraId="75A77AF6" w14:textId="33DA9A3E" w:rsidR="007415CA" w:rsidRPr="00B06917" w:rsidRDefault="007415CA" w:rsidP="00817921">
      <w:pPr>
        <w:pStyle w:val="FootnoteText"/>
        <w:spacing w:before="0" w:after="0" w:line="240" w:lineRule="auto"/>
        <w:rPr>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UNICEF, 2021, Fondi social, nje realitet mes sfidash lokale.</w:t>
      </w:r>
    </w:p>
  </w:footnote>
  <w:footnote w:id="166">
    <w:p w14:paraId="23C539B7" w14:textId="7AD41CEC" w:rsidR="007415CA" w:rsidRPr="00817921" w:rsidRDefault="007415CA" w:rsidP="00817921">
      <w:pPr>
        <w:pStyle w:val="FootnoteText"/>
        <w:spacing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ILO, 2022, Fiscal space for social protection in Albania.</w:t>
      </w:r>
    </w:p>
  </w:footnote>
  <w:footnote w:id="167">
    <w:p w14:paraId="4C38127E" w14:textId="165C32CC" w:rsidR="007415CA" w:rsidRPr="00817921" w:rsidRDefault="007415CA" w:rsidP="00817921">
      <w:pPr>
        <w:pStyle w:val="FootnoteText"/>
        <w:spacing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UNICEF, 2022, Kujdesi shoqëror në bashki – mjedisi institucional, kapacitetet, problematika.</w:t>
      </w:r>
    </w:p>
  </w:footnote>
  <w:footnote w:id="168">
    <w:p w14:paraId="1E2A4923" w14:textId="2ABEF545" w:rsidR="007415CA" w:rsidRPr="00817921" w:rsidRDefault="007415CA" w:rsidP="00817921">
      <w:pPr>
        <w:pStyle w:val="FootnoteText"/>
        <w:spacing w:line="240" w:lineRule="auto"/>
        <w:rPr>
          <w:rFonts w:cstheme="minorHAnsi"/>
          <w:sz w:val="16"/>
          <w:szCs w:val="16"/>
          <w:lang w:val="it-IT"/>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SHSSH, 2021, Hartëzimi i shërbimeve sociale në Shqipëri.</w:t>
      </w:r>
    </w:p>
  </w:footnote>
  <w:footnote w:id="169">
    <w:p w14:paraId="4A5FF27D" w14:textId="77777777" w:rsidR="007415CA" w:rsidRPr="00817921" w:rsidRDefault="007415CA" w:rsidP="00817921">
      <w:pPr>
        <w:pStyle w:val="FootnoteText"/>
        <w:spacing w:before="0" w:after="0" w:line="240" w:lineRule="auto"/>
        <w:rPr>
          <w:rFonts w:cstheme="minorHAnsi"/>
          <w:sz w:val="16"/>
          <w:szCs w:val="16"/>
        </w:rPr>
      </w:pPr>
      <w:r w:rsidRPr="00817921">
        <w:rPr>
          <w:rStyle w:val="FootnoteReference"/>
          <w:rFonts w:cstheme="minorHAnsi"/>
          <w:sz w:val="16"/>
          <w:szCs w:val="16"/>
        </w:rPr>
        <w:footnoteRef/>
      </w:r>
      <w:r w:rsidRPr="00817921">
        <w:rPr>
          <w:rFonts w:cstheme="minorHAnsi"/>
          <w:sz w:val="16"/>
          <w:szCs w:val="16"/>
        </w:rPr>
        <w:t xml:space="preserve"> </w:t>
      </w:r>
      <w:r w:rsidRPr="00817921">
        <w:rPr>
          <w:rFonts w:cstheme="minorHAnsi"/>
          <w:sz w:val="16"/>
          <w:szCs w:val="16"/>
          <w:lang w:val="it-IT"/>
        </w:rPr>
        <w:t>EU4SI in Albania/GOPA, 2022, Functional Assessment Report</w:t>
      </w:r>
    </w:p>
  </w:footnote>
  <w:footnote w:id="170">
    <w:p w14:paraId="5DE67834" w14:textId="56336C00" w:rsidR="007415CA" w:rsidRPr="006A1421" w:rsidRDefault="007415CA" w:rsidP="00817921">
      <w:pPr>
        <w:pStyle w:val="FootnoteText"/>
        <w:spacing w:before="0" w:after="0" w:line="240" w:lineRule="auto"/>
        <w:rPr>
          <w:lang w:val="it-IT"/>
        </w:rPr>
      </w:pPr>
      <w:r w:rsidRPr="00817921">
        <w:rPr>
          <w:rStyle w:val="FootnoteReference"/>
          <w:rFonts w:cstheme="minorHAnsi"/>
          <w:sz w:val="16"/>
          <w:szCs w:val="16"/>
        </w:rPr>
        <w:footnoteRef/>
      </w:r>
      <w:r w:rsidRPr="00817921">
        <w:rPr>
          <w:rFonts w:cstheme="minorHAnsi"/>
          <w:sz w:val="16"/>
          <w:szCs w:val="16"/>
        </w:rPr>
        <w:t xml:space="preserve"> </w:t>
      </w:r>
      <w:r>
        <w:rPr>
          <w:rFonts w:cstheme="minorHAnsi"/>
          <w:sz w:val="16"/>
          <w:szCs w:val="16"/>
          <w:lang w:val="it-IT"/>
        </w:rPr>
        <w:t>W</w:t>
      </w:r>
      <w:r w:rsidRPr="00817921">
        <w:rPr>
          <w:rFonts w:cstheme="minorHAnsi"/>
          <w:sz w:val="16"/>
          <w:szCs w:val="16"/>
          <w:lang w:val="it-IT"/>
        </w:rPr>
        <w:t>orld Bank, 2021, Adaptive Social Protection System in Albania: The case of social assistance.</w:t>
      </w:r>
    </w:p>
  </w:footnote>
  <w:footnote w:id="171">
    <w:p w14:paraId="142A383A" w14:textId="77777777" w:rsidR="007415CA" w:rsidRPr="0022653D" w:rsidRDefault="007415CA" w:rsidP="00E26288">
      <w:pPr>
        <w:pStyle w:val="NoSpacing"/>
        <w:rPr>
          <w:rFonts w:asciiTheme="majorHAnsi" w:hAnsiTheme="majorHAnsi" w:cstheme="majorHAnsi"/>
          <w:sz w:val="16"/>
          <w:szCs w:val="16"/>
        </w:rPr>
      </w:pPr>
      <w:r w:rsidRPr="0022653D">
        <w:rPr>
          <w:rStyle w:val="FootnoteReference"/>
          <w:rFonts w:eastAsiaTheme="majorEastAsia" w:cstheme="majorHAnsi"/>
          <w:sz w:val="16"/>
          <w:szCs w:val="16"/>
        </w:rPr>
        <w:footnoteRef/>
      </w:r>
      <w:r w:rsidRPr="0022653D">
        <w:rPr>
          <w:rFonts w:asciiTheme="majorHAnsi" w:hAnsiTheme="majorHAnsi" w:cstheme="majorHAnsi"/>
          <w:sz w:val="16"/>
          <w:szCs w:val="16"/>
        </w:rPr>
        <w:t xml:space="preserve"> VKM Nr. 276 “</w:t>
      </w:r>
      <w:r w:rsidRPr="0022653D">
        <w:rPr>
          <w:rFonts w:asciiTheme="majorHAnsi" w:hAnsiTheme="majorHAnsi" w:cstheme="majorHAnsi"/>
          <w:i/>
          <w:iCs/>
          <w:sz w:val="16"/>
          <w:szCs w:val="16"/>
          <w:lang w:val="pt-BR"/>
        </w:rPr>
        <w:t>Plani Kombëtar për Personat me Aftësi të Kufizuar 2021-2025”.</w:t>
      </w:r>
    </w:p>
  </w:footnote>
  <w:footnote w:id="172">
    <w:p w14:paraId="13D7FA8C" w14:textId="4BC27B38" w:rsidR="007415CA" w:rsidRPr="006A1421" w:rsidRDefault="007415CA" w:rsidP="00157322">
      <w:pPr>
        <w:pStyle w:val="FootnoteText"/>
        <w:rPr>
          <w:lang w:val="it-IT"/>
        </w:rPr>
      </w:pPr>
      <w:r w:rsidRPr="00933F04">
        <w:rPr>
          <w:rStyle w:val="FootnoteReference"/>
          <w:rFonts w:ascii="Times New Roman" w:hAnsi="Times New Roman" w:cs="Times New Roman"/>
        </w:rPr>
        <w:footnoteRef/>
      </w:r>
      <w:r w:rsidRPr="00933F04">
        <w:rPr>
          <w:rFonts w:ascii="Times New Roman" w:hAnsi="Times New Roman" w:cs="Times New Roman"/>
        </w:rPr>
        <w:t xml:space="preserve"> </w:t>
      </w:r>
      <w:r>
        <w:rPr>
          <w:rFonts w:ascii="Times New Roman" w:hAnsi="Times New Roman" w:cs="Times New Roman"/>
          <w:lang w:val="it-IT"/>
        </w:rPr>
        <w:t>W</w:t>
      </w:r>
      <w:r w:rsidRPr="00933F04">
        <w:rPr>
          <w:rFonts w:ascii="Times New Roman" w:hAnsi="Times New Roman" w:cs="Times New Roman"/>
          <w:lang w:val="it-IT"/>
        </w:rPr>
        <w:t>orld Bank, 2021, Adaptive Social Protection System in Albania: The case of social assistance</w:t>
      </w:r>
      <w:r>
        <w:rPr>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7F83" w14:textId="77777777" w:rsidR="007415CA" w:rsidRDefault="003E5D5A" w:rsidP="00E14B65">
    <w:pPr>
      <w:pStyle w:val="Header"/>
    </w:pPr>
    <w:r>
      <w:rPr>
        <w:noProof/>
      </w:rPr>
    </w:r>
    <w:r w:rsidR="003E5D5A">
      <w:rPr>
        <w:noProof/>
      </w:rPr>
      <w:pict w14:anchorId="0A13A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left:0;text-align:left;margin-left:0;margin-top:0;width:228.4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259B" w14:textId="77777777" w:rsidR="007415CA" w:rsidRDefault="003E5D5A" w:rsidP="00E14B65">
    <w:pPr>
      <w:pStyle w:val="Header"/>
    </w:pPr>
    <w:r>
      <w:rPr>
        <w:noProof/>
      </w:rPr>
    </w:r>
    <w:r w:rsidR="003E5D5A">
      <w:rPr>
        <w:noProof/>
      </w:rPr>
      <w:pict w14:anchorId="1285B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left:0;text-align:left;margin-left:0;margin-top:0;width:228.4pt;height:76.1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7E99" w14:textId="77777777" w:rsidR="007415CA" w:rsidRDefault="003E5D5A" w:rsidP="00E14B65">
    <w:pPr>
      <w:pStyle w:val="Header"/>
    </w:pPr>
    <w:r>
      <w:rPr>
        <w:noProof/>
      </w:rPr>
    </w:r>
    <w:r w:rsidR="003E5D5A">
      <w:rPr>
        <w:noProof/>
      </w:rPr>
      <w:pict w14:anchorId="75A0F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left:0;text-align:left;margin-left:0;margin-top:0;width:228.4pt;height:76.1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C888" w14:textId="76216A4C" w:rsidR="007415CA" w:rsidRDefault="003E5D5A" w:rsidP="00E14B65">
    <w:pPr>
      <w:pStyle w:val="Header"/>
    </w:pPr>
    <w:r>
      <w:rPr>
        <w:noProof/>
      </w:rPr>
    </w:r>
    <w:r w:rsidR="003E5D5A">
      <w:rPr>
        <w:noProof/>
      </w:rPr>
      <w:pict w14:anchorId="36664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549" o:spid="_x0000_s1027" type="#_x0000_t136" alt="" style="position:absolute;left:0;text-align:left;margin-left:0;margin-top:0;width:228.4pt;height:76.1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FADB" w14:textId="0787B86F" w:rsidR="007415CA" w:rsidRDefault="003E5D5A" w:rsidP="00E14B65">
    <w:pPr>
      <w:pStyle w:val="Header"/>
    </w:pPr>
    <w:r>
      <w:rPr>
        <w:noProof/>
      </w:rPr>
    </w:r>
    <w:r w:rsidR="003E5D5A">
      <w:rPr>
        <w:noProof/>
      </w:rPr>
      <w:pict w14:anchorId="67A99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550" o:spid="_x0000_s1026" type="#_x0000_t136" alt="" style="position:absolute;left:0;text-align:left;margin-left:0;margin-top:0;width:228.4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C1CE" w14:textId="5DD81986" w:rsidR="007415CA" w:rsidRDefault="003E5D5A" w:rsidP="00E14B65">
    <w:pPr>
      <w:pStyle w:val="Header"/>
    </w:pPr>
    <w:r>
      <w:rPr>
        <w:noProof/>
      </w:rPr>
    </w:r>
    <w:r w:rsidR="003E5D5A">
      <w:rPr>
        <w:noProof/>
      </w:rPr>
      <w:pict w14:anchorId="611A0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548" o:spid="_x0000_s1025" type="#_x0000_t136" alt="" style="position:absolute;left:0;text-align:left;margin-left:0;margin-top:0;width:228.4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24E5"/>
    <w:multiLevelType w:val="multilevel"/>
    <w:tmpl w:val="1C0EC5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34C55"/>
    <w:multiLevelType w:val="multilevel"/>
    <w:tmpl w:val="3A843B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7E003F"/>
    <w:multiLevelType w:val="hybridMultilevel"/>
    <w:tmpl w:val="66BCAA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6B4461"/>
    <w:multiLevelType w:val="multilevel"/>
    <w:tmpl w:val="DC94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D6665"/>
    <w:multiLevelType w:val="hybridMultilevel"/>
    <w:tmpl w:val="06845C4C"/>
    <w:lvl w:ilvl="0" w:tplc="4D38D546">
      <w:start w:val="1"/>
      <w:numFmt w:val="bullet"/>
      <w:lvlText w:val=""/>
      <w:lvlJc w:val="left"/>
      <w:pPr>
        <w:tabs>
          <w:tab w:val="num" w:pos="720"/>
        </w:tabs>
        <w:ind w:left="720" w:hanging="360"/>
      </w:pPr>
      <w:rPr>
        <w:rFonts w:ascii="Wingdings" w:hAnsi="Wingdings" w:hint="default"/>
      </w:rPr>
    </w:lvl>
    <w:lvl w:ilvl="1" w:tplc="6F929680" w:tentative="1">
      <w:start w:val="1"/>
      <w:numFmt w:val="bullet"/>
      <w:lvlText w:val=""/>
      <w:lvlJc w:val="left"/>
      <w:pPr>
        <w:tabs>
          <w:tab w:val="num" w:pos="1440"/>
        </w:tabs>
        <w:ind w:left="1440" w:hanging="360"/>
      </w:pPr>
      <w:rPr>
        <w:rFonts w:ascii="Wingdings" w:hAnsi="Wingdings" w:hint="default"/>
      </w:rPr>
    </w:lvl>
    <w:lvl w:ilvl="2" w:tplc="531A861A" w:tentative="1">
      <w:start w:val="1"/>
      <w:numFmt w:val="bullet"/>
      <w:lvlText w:val=""/>
      <w:lvlJc w:val="left"/>
      <w:pPr>
        <w:tabs>
          <w:tab w:val="num" w:pos="2160"/>
        </w:tabs>
        <w:ind w:left="2160" w:hanging="360"/>
      </w:pPr>
      <w:rPr>
        <w:rFonts w:ascii="Wingdings" w:hAnsi="Wingdings" w:hint="default"/>
      </w:rPr>
    </w:lvl>
    <w:lvl w:ilvl="3" w:tplc="33D831D4" w:tentative="1">
      <w:start w:val="1"/>
      <w:numFmt w:val="bullet"/>
      <w:lvlText w:val=""/>
      <w:lvlJc w:val="left"/>
      <w:pPr>
        <w:tabs>
          <w:tab w:val="num" w:pos="2880"/>
        </w:tabs>
        <w:ind w:left="2880" w:hanging="360"/>
      </w:pPr>
      <w:rPr>
        <w:rFonts w:ascii="Wingdings" w:hAnsi="Wingdings" w:hint="default"/>
      </w:rPr>
    </w:lvl>
    <w:lvl w:ilvl="4" w:tplc="F5BE3484" w:tentative="1">
      <w:start w:val="1"/>
      <w:numFmt w:val="bullet"/>
      <w:lvlText w:val=""/>
      <w:lvlJc w:val="left"/>
      <w:pPr>
        <w:tabs>
          <w:tab w:val="num" w:pos="3600"/>
        </w:tabs>
        <w:ind w:left="3600" w:hanging="360"/>
      </w:pPr>
      <w:rPr>
        <w:rFonts w:ascii="Wingdings" w:hAnsi="Wingdings" w:hint="default"/>
      </w:rPr>
    </w:lvl>
    <w:lvl w:ilvl="5" w:tplc="2AB498C8" w:tentative="1">
      <w:start w:val="1"/>
      <w:numFmt w:val="bullet"/>
      <w:lvlText w:val=""/>
      <w:lvlJc w:val="left"/>
      <w:pPr>
        <w:tabs>
          <w:tab w:val="num" w:pos="4320"/>
        </w:tabs>
        <w:ind w:left="4320" w:hanging="360"/>
      </w:pPr>
      <w:rPr>
        <w:rFonts w:ascii="Wingdings" w:hAnsi="Wingdings" w:hint="default"/>
      </w:rPr>
    </w:lvl>
    <w:lvl w:ilvl="6" w:tplc="D5E0984E" w:tentative="1">
      <w:start w:val="1"/>
      <w:numFmt w:val="bullet"/>
      <w:lvlText w:val=""/>
      <w:lvlJc w:val="left"/>
      <w:pPr>
        <w:tabs>
          <w:tab w:val="num" w:pos="5040"/>
        </w:tabs>
        <w:ind w:left="5040" w:hanging="360"/>
      </w:pPr>
      <w:rPr>
        <w:rFonts w:ascii="Wingdings" w:hAnsi="Wingdings" w:hint="default"/>
      </w:rPr>
    </w:lvl>
    <w:lvl w:ilvl="7" w:tplc="5930E46A" w:tentative="1">
      <w:start w:val="1"/>
      <w:numFmt w:val="bullet"/>
      <w:lvlText w:val=""/>
      <w:lvlJc w:val="left"/>
      <w:pPr>
        <w:tabs>
          <w:tab w:val="num" w:pos="5760"/>
        </w:tabs>
        <w:ind w:left="5760" w:hanging="360"/>
      </w:pPr>
      <w:rPr>
        <w:rFonts w:ascii="Wingdings" w:hAnsi="Wingdings" w:hint="default"/>
      </w:rPr>
    </w:lvl>
    <w:lvl w:ilvl="8" w:tplc="4B0C72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922A0"/>
    <w:multiLevelType w:val="hybridMultilevel"/>
    <w:tmpl w:val="095E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A0F4E"/>
    <w:multiLevelType w:val="hybridMultilevel"/>
    <w:tmpl w:val="F5E4E49A"/>
    <w:lvl w:ilvl="0" w:tplc="43162DD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14FD9"/>
    <w:multiLevelType w:val="hybridMultilevel"/>
    <w:tmpl w:val="773A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504B9"/>
    <w:multiLevelType w:val="hybridMultilevel"/>
    <w:tmpl w:val="BF4436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26C34"/>
    <w:multiLevelType w:val="multilevel"/>
    <w:tmpl w:val="9D36BC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DC4EFC"/>
    <w:multiLevelType w:val="hybridMultilevel"/>
    <w:tmpl w:val="9E14DBB2"/>
    <w:lvl w:ilvl="0" w:tplc="1F7E6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37885"/>
    <w:multiLevelType w:val="hybridMultilevel"/>
    <w:tmpl w:val="3F76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0265C"/>
    <w:multiLevelType w:val="hybridMultilevel"/>
    <w:tmpl w:val="57B423F4"/>
    <w:lvl w:ilvl="0" w:tplc="C28E4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E210F"/>
    <w:multiLevelType w:val="multilevel"/>
    <w:tmpl w:val="F596454A"/>
    <w:lvl w:ilvl="0">
      <w:start w:val="1"/>
      <w:numFmt w:val="upperRoman"/>
      <w:pStyle w:val="Heading1"/>
      <w:lvlText w:val="%1."/>
      <w:lvlJc w:val="right"/>
      <w:pPr>
        <w:ind w:left="720" w:hanging="180"/>
      </w:pPr>
      <w:rPr>
        <w:b w:val="0"/>
        <w:bCs/>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4" w15:restartNumberingAfterBreak="0">
    <w:nsid w:val="31B644C6"/>
    <w:multiLevelType w:val="multilevel"/>
    <w:tmpl w:val="2036FD4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40BF1"/>
    <w:multiLevelType w:val="multilevel"/>
    <w:tmpl w:val="B6EE42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C4EF7"/>
    <w:multiLevelType w:val="hybridMultilevel"/>
    <w:tmpl w:val="45B0C6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39495F3A"/>
    <w:multiLevelType w:val="hybridMultilevel"/>
    <w:tmpl w:val="3A183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2319F"/>
    <w:multiLevelType w:val="multilevel"/>
    <w:tmpl w:val="D29418B4"/>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8C3892"/>
    <w:multiLevelType w:val="hybridMultilevel"/>
    <w:tmpl w:val="38F44EA8"/>
    <w:lvl w:ilvl="0" w:tplc="19843C3A">
      <w:start w:val="1"/>
      <w:numFmt w:val="decimal"/>
      <w:pStyle w:val="Normal0"/>
      <w:lvlText w:val="%1."/>
      <w:lvlJc w:val="left"/>
      <w:pPr>
        <w:ind w:left="360" w:hanging="360"/>
      </w:pPr>
      <w:rPr>
        <w:rFonts w:hint="default"/>
      </w:rPr>
    </w:lvl>
    <w:lvl w:ilvl="1" w:tplc="0C709C70">
      <w:start w:val="1"/>
      <w:numFmt w:val="lowerLetter"/>
      <w:lvlText w:val="%2."/>
      <w:lvlJc w:val="left"/>
      <w:pPr>
        <w:ind w:left="2074" w:hanging="360"/>
      </w:pPr>
    </w:lvl>
    <w:lvl w:ilvl="2" w:tplc="0720C608" w:tentative="1">
      <w:start w:val="1"/>
      <w:numFmt w:val="lowerRoman"/>
      <w:lvlText w:val="%3."/>
      <w:lvlJc w:val="right"/>
      <w:pPr>
        <w:ind w:left="2794" w:hanging="180"/>
      </w:pPr>
    </w:lvl>
    <w:lvl w:ilvl="3" w:tplc="B0006DD8" w:tentative="1">
      <w:start w:val="1"/>
      <w:numFmt w:val="decimal"/>
      <w:lvlText w:val="%4."/>
      <w:lvlJc w:val="left"/>
      <w:pPr>
        <w:ind w:left="3514" w:hanging="360"/>
      </w:pPr>
    </w:lvl>
    <w:lvl w:ilvl="4" w:tplc="922AC792" w:tentative="1">
      <w:start w:val="1"/>
      <w:numFmt w:val="lowerLetter"/>
      <w:lvlText w:val="%5."/>
      <w:lvlJc w:val="left"/>
      <w:pPr>
        <w:ind w:left="4234" w:hanging="360"/>
      </w:pPr>
    </w:lvl>
    <w:lvl w:ilvl="5" w:tplc="BF8CF50E" w:tentative="1">
      <w:start w:val="1"/>
      <w:numFmt w:val="lowerRoman"/>
      <w:lvlText w:val="%6."/>
      <w:lvlJc w:val="right"/>
      <w:pPr>
        <w:ind w:left="4954" w:hanging="180"/>
      </w:pPr>
    </w:lvl>
    <w:lvl w:ilvl="6" w:tplc="A1048FA8" w:tentative="1">
      <w:start w:val="1"/>
      <w:numFmt w:val="decimal"/>
      <w:lvlText w:val="%7."/>
      <w:lvlJc w:val="left"/>
      <w:pPr>
        <w:ind w:left="5674" w:hanging="360"/>
      </w:pPr>
    </w:lvl>
    <w:lvl w:ilvl="7" w:tplc="BC3845C4" w:tentative="1">
      <w:start w:val="1"/>
      <w:numFmt w:val="lowerLetter"/>
      <w:lvlText w:val="%8."/>
      <w:lvlJc w:val="left"/>
      <w:pPr>
        <w:ind w:left="6394" w:hanging="360"/>
      </w:pPr>
    </w:lvl>
    <w:lvl w:ilvl="8" w:tplc="F3FEECFC" w:tentative="1">
      <w:start w:val="1"/>
      <w:numFmt w:val="lowerRoman"/>
      <w:lvlText w:val="%9."/>
      <w:lvlJc w:val="right"/>
      <w:pPr>
        <w:ind w:left="7114" w:hanging="180"/>
      </w:pPr>
    </w:lvl>
  </w:abstractNum>
  <w:abstractNum w:abstractNumId="20" w15:restartNumberingAfterBreak="0">
    <w:nsid w:val="3F6B3B8E"/>
    <w:multiLevelType w:val="multilevel"/>
    <w:tmpl w:val="D5607A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5A2877"/>
    <w:multiLevelType w:val="hybridMultilevel"/>
    <w:tmpl w:val="0128B38A"/>
    <w:lvl w:ilvl="0" w:tplc="1F7E6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44271"/>
    <w:multiLevelType w:val="hybridMultilevel"/>
    <w:tmpl w:val="479C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1420E"/>
    <w:multiLevelType w:val="hybridMultilevel"/>
    <w:tmpl w:val="9222A7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138CD"/>
    <w:multiLevelType w:val="hybridMultilevel"/>
    <w:tmpl w:val="A4BA1534"/>
    <w:lvl w:ilvl="0" w:tplc="1F7E6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C3EE0"/>
    <w:multiLevelType w:val="hybridMultilevel"/>
    <w:tmpl w:val="57BE8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106047"/>
    <w:multiLevelType w:val="multilevel"/>
    <w:tmpl w:val="C06A4A2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13E1144"/>
    <w:multiLevelType w:val="multilevel"/>
    <w:tmpl w:val="20581DE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DA1225"/>
    <w:multiLevelType w:val="hybridMultilevel"/>
    <w:tmpl w:val="8BE4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33D0C"/>
    <w:multiLevelType w:val="multilevel"/>
    <w:tmpl w:val="6092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DF5228"/>
    <w:multiLevelType w:val="hybridMultilevel"/>
    <w:tmpl w:val="1C4CEC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616A7CFA"/>
    <w:multiLevelType w:val="hybridMultilevel"/>
    <w:tmpl w:val="899ED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955E0"/>
    <w:multiLevelType w:val="multilevel"/>
    <w:tmpl w:val="8642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0767AC"/>
    <w:multiLevelType w:val="hybridMultilevel"/>
    <w:tmpl w:val="DC5C6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310E3"/>
    <w:multiLevelType w:val="hybridMultilevel"/>
    <w:tmpl w:val="E3E6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F127A"/>
    <w:multiLevelType w:val="hybridMultilevel"/>
    <w:tmpl w:val="B2B8C536"/>
    <w:lvl w:ilvl="0" w:tplc="8774E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F1D62"/>
    <w:multiLevelType w:val="hybridMultilevel"/>
    <w:tmpl w:val="BF54A9BE"/>
    <w:lvl w:ilvl="0" w:tplc="6D68C54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0F24BF"/>
    <w:multiLevelType w:val="multilevel"/>
    <w:tmpl w:val="D1D0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197B3F"/>
    <w:multiLevelType w:val="hybridMultilevel"/>
    <w:tmpl w:val="106A3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B94D7D"/>
    <w:multiLevelType w:val="hybridMultilevel"/>
    <w:tmpl w:val="CE7CE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92AA2"/>
    <w:multiLevelType w:val="multilevel"/>
    <w:tmpl w:val="8038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32470C"/>
    <w:multiLevelType w:val="multilevel"/>
    <w:tmpl w:val="C00A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7427755">
    <w:abstractNumId w:val="13"/>
  </w:num>
  <w:num w:numId="2" w16cid:durableId="947617698">
    <w:abstractNumId w:val="9"/>
  </w:num>
  <w:num w:numId="3" w16cid:durableId="44718045">
    <w:abstractNumId w:val="36"/>
  </w:num>
  <w:num w:numId="4" w16cid:durableId="13833643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620168">
    <w:abstractNumId w:val="30"/>
  </w:num>
  <w:num w:numId="6" w16cid:durableId="40982518">
    <w:abstractNumId w:val="7"/>
  </w:num>
  <w:num w:numId="7" w16cid:durableId="1057436147">
    <w:abstractNumId w:val="39"/>
  </w:num>
  <w:num w:numId="8" w16cid:durableId="303632253">
    <w:abstractNumId w:val="31"/>
  </w:num>
  <w:num w:numId="9" w16cid:durableId="275143987">
    <w:abstractNumId w:val="35"/>
  </w:num>
  <w:num w:numId="10" w16cid:durableId="305284572">
    <w:abstractNumId w:val="25"/>
  </w:num>
  <w:num w:numId="11" w16cid:durableId="1541091675">
    <w:abstractNumId w:val="4"/>
  </w:num>
  <w:num w:numId="12" w16cid:durableId="400251045">
    <w:abstractNumId w:val="34"/>
  </w:num>
  <w:num w:numId="13" w16cid:durableId="148644414">
    <w:abstractNumId w:val="18"/>
  </w:num>
  <w:num w:numId="14" w16cid:durableId="2114862075">
    <w:abstractNumId w:val="1"/>
  </w:num>
  <w:num w:numId="15" w16cid:durableId="192420641">
    <w:abstractNumId w:val="16"/>
  </w:num>
  <w:num w:numId="16" w16cid:durableId="603222281">
    <w:abstractNumId w:val="33"/>
  </w:num>
  <w:num w:numId="17" w16cid:durableId="568031487">
    <w:abstractNumId w:val="29"/>
  </w:num>
  <w:num w:numId="18" w16cid:durableId="459884532">
    <w:abstractNumId w:val="19"/>
  </w:num>
  <w:num w:numId="19" w16cid:durableId="78453946">
    <w:abstractNumId w:val="0"/>
  </w:num>
  <w:num w:numId="20" w16cid:durableId="840506668">
    <w:abstractNumId w:val="20"/>
  </w:num>
  <w:num w:numId="21" w16cid:durableId="1193418852">
    <w:abstractNumId w:val="6"/>
  </w:num>
  <w:num w:numId="22" w16cid:durableId="543641439">
    <w:abstractNumId w:val="41"/>
  </w:num>
  <w:num w:numId="23" w16cid:durableId="1381632879">
    <w:abstractNumId w:val="3"/>
  </w:num>
  <w:num w:numId="24" w16cid:durableId="548152316">
    <w:abstractNumId w:val="40"/>
  </w:num>
  <w:num w:numId="25" w16cid:durableId="596135737">
    <w:abstractNumId w:val="32"/>
  </w:num>
  <w:num w:numId="26" w16cid:durableId="743718760">
    <w:abstractNumId w:val="37"/>
  </w:num>
  <w:num w:numId="27" w16cid:durableId="15087308">
    <w:abstractNumId w:val="15"/>
  </w:num>
  <w:num w:numId="28" w16cid:durableId="701857694">
    <w:abstractNumId w:val="14"/>
  </w:num>
  <w:num w:numId="29" w16cid:durableId="131945056">
    <w:abstractNumId w:val="27"/>
  </w:num>
  <w:num w:numId="30" w16cid:durableId="1402482826">
    <w:abstractNumId w:val="12"/>
  </w:num>
  <w:num w:numId="31" w16cid:durableId="1876310246">
    <w:abstractNumId w:val="24"/>
  </w:num>
  <w:num w:numId="32" w16cid:durableId="1506938131">
    <w:abstractNumId w:val="10"/>
  </w:num>
  <w:num w:numId="33" w16cid:durableId="117769019">
    <w:abstractNumId w:val="23"/>
  </w:num>
  <w:num w:numId="34" w16cid:durableId="1333070162">
    <w:abstractNumId w:val="8"/>
  </w:num>
  <w:num w:numId="35" w16cid:durableId="625114887">
    <w:abstractNumId w:val="28"/>
  </w:num>
  <w:num w:numId="36" w16cid:durableId="1257713350">
    <w:abstractNumId w:val="36"/>
  </w:num>
  <w:num w:numId="37" w16cid:durableId="124549793">
    <w:abstractNumId w:val="36"/>
  </w:num>
  <w:num w:numId="38" w16cid:durableId="1518697444">
    <w:abstractNumId w:val="36"/>
  </w:num>
  <w:num w:numId="39" w16cid:durableId="1801412281">
    <w:abstractNumId w:val="36"/>
  </w:num>
  <w:num w:numId="40" w16cid:durableId="1415005938">
    <w:abstractNumId w:val="38"/>
  </w:num>
  <w:num w:numId="41" w16cid:durableId="1008363420">
    <w:abstractNumId w:val="2"/>
  </w:num>
  <w:num w:numId="42" w16cid:durableId="539439256">
    <w:abstractNumId w:val="17"/>
  </w:num>
  <w:num w:numId="43" w16cid:durableId="1131021684">
    <w:abstractNumId w:val="11"/>
  </w:num>
  <w:num w:numId="44" w16cid:durableId="212011948">
    <w:abstractNumId w:val="21"/>
  </w:num>
  <w:num w:numId="45" w16cid:durableId="2070374376">
    <w:abstractNumId w:val="19"/>
    <w:lvlOverride w:ilvl="0">
      <w:startOverride w:val="1"/>
    </w:lvlOverride>
  </w:num>
  <w:num w:numId="46" w16cid:durableId="192882845">
    <w:abstractNumId w:val="5"/>
  </w:num>
  <w:num w:numId="47" w16cid:durableId="981233190">
    <w:abstractNumId w:val="26"/>
  </w:num>
  <w:num w:numId="48" w16cid:durableId="1086263124">
    <w:abstractNumId w:val="22"/>
  </w:num>
  <w:num w:numId="49" w16cid:durableId="1023480415">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hideGrammaticalErrors/>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22"/>
    <w:rsid w:val="00001EB0"/>
    <w:rsid w:val="00005EEE"/>
    <w:rsid w:val="00007E0E"/>
    <w:rsid w:val="00011153"/>
    <w:rsid w:val="00011FDD"/>
    <w:rsid w:val="00017C83"/>
    <w:rsid w:val="000249A1"/>
    <w:rsid w:val="00025307"/>
    <w:rsid w:val="0002574D"/>
    <w:rsid w:val="00027580"/>
    <w:rsid w:val="00032A5F"/>
    <w:rsid w:val="00033AC6"/>
    <w:rsid w:val="000454EB"/>
    <w:rsid w:val="0004579A"/>
    <w:rsid w:val="00050D6A"/>
    <w:rsid w:val="000513BB"/>
    <w:rsid w:val="0005304E"/>
    <w:rsid w:val="00053C61"/>
    <w:rsid w:val="00054692"/>
    <w:rsid w:val="00062E24"/>
    <w:rsid w:val="00062FBD"/>
    <w:rsid w:val="00064D0A"/>
    <w:rsid w:val="0006500E"/>
    <w:rsid w:val="0006511D"/>
    <w:rsid w:val="00073198"/>
    <w:rsid w:val="00075C17"/>
    <w:rsid w:val="000760A9"/>
    <w:rsid w:val="00085291"/>
    <w:rsid w:val="000856A3"/>
    <w:rsid w:val="00087118"/>
    <w:rsid w:val="00087B05"/>
    <w:rsid w:val="00090F10"/>
    <w:rsid w:val="00093ABF"/>
    <w:rsid w:val="00096A64"/>
    <w:rsid w:val="000A22D0"/>
    <w:rsid w:val="000A64D3"/>
    <w:rsid w:val="000B0CBA"/>
    <w:rsid w:val="000B27BC"/>
    <w:rsid w:val="000B4B6D"/>
    <w:rsid w:val="000C4761"/>
    <w:rsid w:val="000C59F1"/>
    <w:rsid w:val="000D24B6"/>
    <w:rsid w:val="000D3E1A"/>
    <w:rsid w:val="000D48BC"/>
    <w:rsid w:val="000D4F28"/>
    <w:rsid w:val="000E03D6"/>
    <w:rsid w:val="000E36E2"/>
    <w:rsid w:val="000E3F5A"/>
    <w:rsid w:val="000E57AF"/>
    <w:rsid w:val="000E6EE8"/>
    <w:rsid w:val="000F115D"/>
    <w:rsid w:val="000F5AAF"/>
    <w:rsid w:val="00105D15"/>
    <w:rsid w:val="00110DE4"/>
    <w:rsid w:val="00114CF6"/>
    <w:rsid w:val="00115639"/>
    <w:rsid w:val="00122AF1"/>
    <w:rsid w:val="00123574"/>
    <w:rsid w:val="00124BA8"/>
    <w:rsid w:val="0013073D"/>
    <w:rsid w:val="00133BA5"/>
    <w:rsid w:val="00134F50"/>
    <w:rsid w:val="001434FC"/>
    <w:rsid w:val="001468F6"/>
    <w:rsid w:val="0015157F"/>
    <w:rsid w:val="00152B0D"/>
    <w:rsid w:val="00153B6B"/>
    <w:rsid w:val="00156396"/>
    <w:rsid w:val="00156FFE"/>
    <w:rsid w:val="00157322"/>
    <w:rsid w:val="00161124"/>
    <w:rsid w:val="001647B9"/>
    <w:rsid w:val="00165F89"/>
    <w:rsid w:val="001717DE"/>
    <w:rsid w:val="00171A9B"/>
    <w:rsid w:val="00172076"/>
    <w:rsid w:val="001774A0"/>
    <w:rsid w:val="00177767"/>
    <w:rsid w:val="00181E7E"/>
    <w:rsid w:val="0018236C"/>
    <w:rsid w:val="00184F64"/>
    <w:rsid w:val="00186F15"/>
    <w:rsid w:val="001923CA"/>
    <w:rsid w:val="0019255F"/>
    <w:rsid w:val="001A17E6"/>
    <w:rsid w:val="001A1F8A"/>
    <w:rsid w:val="001A282D"/>
    <w:rsid w:val="001A3552"/>
    <w:rsid w:val="001A399A"/>
    <w:rsid w:val="001A3D8C"/>
    <w:rsid w:val="001A5605"/>
    <w:rsid w:val="001A5BD0"/>
    <w:rsid w:val="001A683F"/>
    <w:rsid w:val="001A7EA8"/>
    <w:rsid w:val="001B487D"/>
    <w:rsid w:val="001B4A3C"/>
    <w:rsid w:val="001C0990"/>
    <w:rsid w:val="001C4ED5"/>
    <w:rsid w:val="001C72E6"/>
    <w:rsid w:val="001D1530"/>
    <w:rsid w:val="001D1DA8"/>
    <w:rsid w:val="001D463B"/>
    <w:rsid w:val="001D584F"/>
    <w:rsid w:val="001D6094"/>
    <w:rsid w:val="001D7CE2"/>
    <w:rsid w:val="001E0A83"/>
    <w:rsid w:val="001E5830"/>
    <w:rsid w:val="001E615D"/>
    <w:rsid w:val="001E6424"/>
    <w:rsid w:val="001E76FF"/>
    <w:rsid w:val="001F5814"/>
    <w:rsid w:val="001F5FD2"/>
    <w:rsid w:val="00212693"/>
    <w:rsid w:val="00212ED3"/>
    <w:rsid w:val="00214E80"/>
    <w:rsid w:val="00216173"/>
    <w:rsid w:val="0022420C"/>
    <w:rsid w:val="002307F4"/>
    <w:rsid w:val="00235A83"/>
    <w:rsid w:val="00235F7A"/>
    <w:rsid w:val="002373C8"/>
    <w:rsid w:val="002374DC"/>
    <w:rsid w:val="002415A1"/>
    <w:rsid w:val="00243164"/>
    <w:rsid w:val="00243BCB"/>
    <w:rsid w:val="002463C3"/>
    <w:rsid w:val="002555F6"/>
    <w:rsid w:val="00255D1D"/>
    <w:rsid w:val="002564AD"/>
    <w:rsid w:val="00256D16"/>
    <w:rsid w:val="00260FFF"/>
    <w:rsid w:val="0026230C"/>
    <w:rsid w:val="00264E77"/>
    <w:rsid w:val="00267598"/>
    <w:rsid w:val="00267A4A"/>
    <w:rsid w:val="00273875"/>
    <w:rsid w:val="00275B5A"/>
    <w:rsid w:val="00276B6A"/>
    <w:rsid w:val="002809C7"/>
    <w:rsid w:val="00280F5D"/>
    <w:rsid w:val="0028587F"/>
    <w:rsid w:val="00286E2F"/>
    <w:rsid w:val="00291B83"/>
    <w:rsid w:val="002928E6"/>
    <w:rsid w:val="0029386B"/>
    <w:rsid w:val="00296DE9"/>
    <w:rsid w:val="002A0736"/>
    <w:rsid w:val="002A673E"/>
    <w:rsid w:val="002B0569"/>
    <w:rsid w:val="002B2F8D"/>
    <w:rsid w:val="002B4379"/>
    <w:rsid w:val="002B58F1"/>
    <w:rsid w:val="002C332C"/>
    <w:rsid w:val="002C3393"/>
    <w:rsid w:val="002C3B48"/>
    <w:rsid w:val="002D4CE8"/>
    <w:rsid w:val="002E1371"/>
    <w:rsid w:val="002E3677"/>
    <w:rsid w:val="002E3B4D"/>
    <w:rsid w:val="002E5360"/>
    <w:rsid w:val="002F20AD"/>
    <w:rsid w:val="002F5E2C"/>
    <w:rsid w:val="002F6067"/>
    <w:rsid w:val="002F7ADE"/>
    <w:rsid w:val="00300ED3"/>
    <w:rsid w:val="00301BDD"/>
    <w:rsid w:val="00305692"/>
    <w:rsid w:val="00306091"/>
    <w:rsid w:val="00310386"/>
    <w:rsid w:val="00311134"/>
    <w:rsid w:val="00311DC6"/>
    <w:rsid w:val="003142DF"/>
    <w:rsid w:val="00323C28"/>
    <w:rsid w:val="00327296"/>
    <w:rsid w:val="003278F9"/>
    <w:rsid w:val="00330E89"/>
    <w:rsid w:val="00331D91"/>
    <w:rsid w:val="003325C4"/>
    <w:rsid w:val="00335551"/>
    <w:rsid w:val="00337660"/>
    <w:rsid w:val="003432EB"/>
    <w:rsid w:val="0034706E"/>
    <w:rsid w:val="00350315"/>
    <w:rsid w:val="0035431E"/>
    <w:rsid w:val="003551B4"/>
    <w:rsid w:val="00355964"/>
    <w:rsid w:val="00355AD1"/>
    <w:rsid w:val="00355BD1"/>
    <w:rsid w:val="00355DE7"/>
    <w:rsid w:val="00361F07"/>
    <w:rsid w:val="00363CAA"/>
    <w:rsid w:val="00363FAD"/>
    <w:rsid w:val="003641BD"/>
    <w:rsid w:val="0036714B"/>
    <w:rsid w:val="003716C6"/>
    <w:rsid w:val="003742D8"/>
    <w:rsid w:val="0037633E"/>
    <w:rsid w:val="00377CCB"/>
    <w:rsid w:val="00377DF2"/>
    <w:rsid w:val="003810B6"/>
    <w:rsid w:val="00381DEA"/>
    <w:rsid w:val="00387DA1"/>
    <w:rsid w:val="0039285F"/>
    <w:rsid w:val="003944C5"/>
    <w:rsid w:val="003952F3"/>
    <w:rsid w:val="003953E4"/>
    <w:rsid w:val="003A0365"/>
    <w:rsid w:val="003A776D"/>
    <w:rsid w:val="003A7E79"/>
    <w:rsid w:val="003B0C7B"/>
    <w:rsid w:val="003B2767"/>
    <w:rsid w:val="003B2A20"/>
    <w:rsid w:val="003B2EFD"/>
    <w:rsid w:val="003B31E8"/>
    <w:rsid w:val="003B78BC"/>
    <w:rsid w:val="003C0C4E"/>
    <w:rsid w:val="003C1514"/>
    <w:rsid w:val="003C1635"/>
    <w:rsid w:val="003C27D5"/>
    <w:rsid w:val="003C3772"/>
    <w:rsid w:val="003D14D0"/>
    <w:rsid w:val="003D207D"/>
    <w:rsid w:val="003D4F76"/>
    <w:rsid w:val="003D5405"/>
    <w:rsid w:val="003D54CA"/>
    <w:rsid w:val="003D705A"/>
    <w:rsid w:val="003D7812"/>
    <w:rsid w:val="003E27E0"/>
    <w:rsid w:val="003E4562"/>
    <w:rsid w:val="003E5914"/>
    <w:rsid w:val="003E5D5A"/>
    <w:rsid w:val="003E6738"/>
    <w:rsid w:val="003F2DC2"/>
    <w:rsid w:val="003F69E4"/>
    <w:rsid w:val="003F7CF5"/>
    <w:rsid w:val="00401444"/>
    <w:rsid w:val="0040315D"/>
    <w:rsid w:val="00413BD6"/>
    <w:rsid w:val="004175BA"/>
    <w:rsid w:val="004201D4"/>
    <w:rsid w:val="004277E6"/>
    <w:rsid w:val="00427BAB"/>
    <w:rsid w:val="004308D4"/>
    <w:rsid w:val="00431C87"/>
    <w:rsid w:val="00435961"/>
    <w:rsid w:val="004375F4"/>
    <w:rsid w:val="004469C8"/>
    <w:rsid w:val="00447267"/>
    <w:rsid w:val="00450E4F"/>
    <w:rsid w:val="00451589"/>
    <w:rsid w:val="004538E8"/>
    <w:rsid w:val="00455AA6"/>
    <w:rsid w:val="00455AC9"/>
    <w:rsid w:val="00457C3F"/>
    <w:rsid w:val="0046080B"/>
    <w:rsid w:val="004624A8"/>
    <w:rsid w:val="00476884"/>
    <w:rsid w:val="00477133"/>
    <w:rsid w:val="00477ACB"/>
    <w:rsid w:val="00477F39"/>
    <w:rsid w:val="00480609"/>
    <w:rsid w:val="00487227"/>
    <w:rsid w:val="0048762E"/>
    <w:rsid w:val="00491B02"/>
    <w:rsid w:val="0049277B"/>
    <w:rsid w:val="0049394A"/>
    <w:rsid w:val="00493DC0"/>
    <w:rsid w:val="004969C5"/>
    <w:rsid w:val="00496A9E"/>
    <w:rsid w:val="00496FC8"/>
    <w:rsid w:val="004A4875"/>
    <w:rsid w:val="004A4FDF"/>
    <w:rsid w:val="004A5CE6"/>
    <w:rsid w:val="004A5D71"/>
    <w:rsid w:val="004A6988"/>
    <w:rsid w:val="004B11D4"/>
    <w:rsid w:val="004B17BA"/>
    <w:rsid w:val="004B47B6"/>
    <w:rsid w:val="004B5254"/>
    <w:rsid w:val="004B58FA"/>
    <w:rsid w:val="004C22C3"/>
    <w:rsid w:val="004C2903"/>
    <w:rsid w:val="004C3C19"/>
    <w:rsid w:val="004C437A"/>
    <w:rsid w:val="004C56F3"/>
    <w:rsid w:val="004C62C5"/>
    <w:rsid w:val="004D2647"/>
    <w:rsid w:val="004D2A35"/>
    <w:rsid w:val="004D3828"/>
    <w:rsid w:val="004D4ACA"/>
    <w:rsid w:val="004E35E7"/>
    <w:rsid w:val="004E36C1"/>
    <w:rsid w:val="004E48EE"/>
    <w:rsid w:val="004E5BFB"/>
    <w:rsid w:val="004E6694"/>
    <w:rsid w:val="004E7E1E"/>
    <w:rsid w:val="004F08F7"/>
    <w:rsid w:val="004F1FF6"/>
    <w:rsid w:val="004F4045"/>
    <w:rsid w:val="004F43F5"/>
    <w:rsid w:val="0050138C"/>
    <w:rsid w:val="00506D16"/>
    <w:rsid w:val="00511380"/>
    <w:rsid w:val="005175AC"/>
    <w:rsid w:val="00520818"/>
    <w:rsid w:val="00523C32"/>
    <w:rsid w:val="005240C4"/>
    <w:rsid w:val="00524267"/>
    <w:rsid w:val="005248FF"/>
    <w:rsid w:val="00525AF3"/>
    <w:rsid w:val="005263C7"/>
    <w:rsid w:val="005323F6"/>
    <w:rsid w:val="005361D8"/>
    <w:rsid w:val="00536CD5"/>
    <w:rsid w:val="0054561B"/>
    <w:rsid w:val="00552057"/>
    <w:rsid w:val="005524C2"/>
    <w:rsid w:val="0055423A"/>
    <w:rsid w:val="00555F6B"/>
    <w:rsid w:val="00560E41"/>
    <w:rsid w:val="005620A4"/>
    <w:rsid w:val="005646B5"/>
    <w:rsid w:val="0058022B"/>
    <w:rsid w:val="005838DE"/>
    <w:rsid w:val="0058436C"/>
    <w:rsid w:val="00590D80"/>
    <w:rsid w:val="0059694F"/>
    <w:rsid w:val="00597953"/>
    <w:rsid w:val="005A0A00"/>
    <w:rsid w:val="005A0DD6"/>
    <w:rsid w:val="005A2EF3"/>
    <w:rsid w:val="005A4552"/>
    <w:rsid w:val="005A6310"/>
    <w:rsid w:val="005B2985"/>
    <w:rsid w:val="005B2EC6"/>
    <w:rsid w:val="005B3CAF"/>
    <w:rsid w:val="005B4081"/>
    <w:rsid w:val="005B57E9"/>
    <w:rsid w:val="005B59D2"/>
    <w:rsid w:val="005C0117"/>
    <w:rsid w:val="005C0406"/>
    <w:rsid w:val="005C271C"/>
    <w:rsid w:val="005C314B"/>
    <w:rsid w:val="005C3D8A"/>
    <w:rsid w:val="005D74DA"/>
    <w:rsid w:val="005D78B3"/>
    <w:rsid w:val="005E2147"/>
    <w:rsid w:val="005E2FB9"/>
    <w:rsid w:val="005E5AF0"/>
    <w:rsid w:val="005E6417"/>
    <w:rsid w:val="005E66F0"/>
    <w:rsid w:val="005F1953"/>
    <w:rsid w:val="005F1A83"/>
    <w:rsid w:val="005F1B52"/>
    <w:rsid w:val="005F272A"/>
    <w:rsid w:val="005F462D"/>
    <w:rsid w:val="00604099"/>
    <w:rsid w:val="00604812"/>
    <w:rsid w:val="00611476"/>
    <w:rsid w:val="00614F39"/>
    <w:rsid w:val="0061550F"/>
    <w:rsid w:val="006167E8"/>
    <w:rsid w:val="006217FF"/>
    <w:rsid w:val="0062322E"/>
    <w:rsid w:val="00624BC4"/>
    <w:rsid w:val="00630A1E"/>
    <w:rsid w:val="0063736C"/>
    <w:rsid w:val="0064123E"/>
    <w:rsid w:val="0064200F"/>
    <w:rsid w:val="00643A0A"/>
    <w:rsid w:val="0064416B"/>
    <w:rsid w:val="006443B3"/>
    <w:rsid w:val="00651095"/>
    <w:rsid w:val="00651593"/>
    <w:rsid w:val="00651B7A"/>
    <w:rsid w:val="00653662"/>
    <w:rsid w:val="0065493E"/>
    <w:rsid w:val="00655B64"/>
    <w:rsid w:val="006561C5"/>
    <w:rsid w:val="00657518"/>
    <w:rsid w:val="006623D2"/>
    <w:rsid w:val="00662AA4"/>
    <w:rsid w:val="00663BE4"/>
    <w:rsid w:val="00664995"/>
    <w:rsid w:val="00666975"/>
    <w:rsid w:val="00667D5F"/>
    <w:rsid w:val="00670E2F"/>
    <w:rsid w:val="00673E2B"/>
    <w:rsid w:val="00676F48"/>
    <w:rsid w:val="0067736C"/>
    <w:rsid w:val="006836A5"/>
    <w:rsid w:val="00685913"/>
    <w:rsid w:val="00690EE4"/>
    <w:rsid w:val="00692586"/>
    <w:rsid w:val="00694F94"/>
    <w:rsid w:val="00695DD4"/>
    <w:rsid w:val="006A3FFA"/>
    <w:rsid w:val="006A5710"/>
    <w:rsid w:val="006A68E7"/>
    <w:rsid w:val="006B0094"/>
    <w:rsid w:val="006B1122"/>
    <w:rsid w:val="006B19E2"/>
    <w:rsid w:val="006B5136"/>
    <w:rsid w:val="006B559E"/>
    <w:rsid w:val="006B5E73"/>
    <w:rsid w:val="006C55A2"/>
    <w:rsid w:val="006C5687"/>
    <w:rsid w:val="006C6D43"/>
    <w:rsid w:val="006D06CF"/>
    <w:rsid w:val="006D0D64"/>
    <w:rsid w:val="006D3E58"/>
    <w:rsid w:val="006D59CD"/>
    <w:rsid w:val="006D7E2C"/>
    <w:rsid w:val="006E09F0"/>
    <w:rsid w:val="006E35D1"/>
    <w:rsid w:val="006E394C"/>
    <w:rsid w:val="006E513A"/>
    <w:rsid w:val="006E7758"/>
    <w:rsid w:val="006F00A2"/>
    <w:rsid w:val="006F03B6"/>
    <w:rsid w:val="006F147F"/>
    <w:rsid w:val="006F3836"/>
    <w:rsid w:val="006F54E3"/>
    <w:rsid w:val="00703F35"/>
    <w:rsid w:val="007072E2"/>
    <w:rsid w:val="00707C5B"/>
    <w:rsid w:val="0071013F"/>
    <w:rsid w:val="007101D6"/>
    <w:rsid w:val="00714246"/>
    <w:rsid w:val="00714845"/>
    <w:rsid w:val="00714A3B"/>
    <w:rsid w:val="00714B60"/>
    <w:rsid w:val="00715237"/>
    <w:rsid w:val="00715FD9"/>
    <w:rsid w:val="00716706"/>
    <w:rsid w:val="00717572"/>
    <w:rsid w:val="00722143"/>
    <w:rsid w:val="00725882"/>
    <w:rsid w:val="00727609"/>
    <w:rsid w:val="007336AA"/>
    <w:rsid w:val="00733EF8"/>
    <w:rsid w:val="0073512D"/>
    <w:rsid w:val="007415CA"/>
    <w:rsid w:val="00746F32"/>
    <w:rsid w:val="00750FD6"/>
    <w:rsid w:val="00752B93"/>
    <w:rsid w:val="007545D8"/>
    <w:rsid w:val="00756254"/>
    <w:rsid w:val="0076203B"/>
    <w:rsid w:val="00763B74"/>
    <w:rsid w:val="00765F0B"/>
    <w:rsid w:val="00766DAC"/>
    <w:rsid w:val="00770060"/>
    <w:rsid w:val="00773071"/>
    <w:rsid w:val="00777911"/>
    <w:rsid w:val="00780539"/>
    <w:rsid w:val="007827BC"/>
    <w:rsid w:val="00782A04"/>
    <w:rsid w:val="00782AE6"/>
    <w:rsid w:val="00783BF7"/>
    <w:rsid w:val="00784EA1"/>
    <w:rsid w:val="00787892"/>
    <w:rsid w:val="00787AED"/>
    <w:rsid w:val="00787B30"/>
    <w:rsid w:val="00787D62"/>
    <w:rsid w:val="007931D7"/>
    <w:rsid w:val="007A3AD7"/>
    <w:rsid w:val="007A525C"/>
    <w:rsid w:val="007A7501"/>
    <w:rsid w:val="007A7C87"/>
    <w:rsid w:val="007B2D8F"/>
    <w:rsid w:val="007B3957"/>
    <w:rsid w:val="007B4AED"/>
    <w:rsid w:val="007B5350"/>
    <w:rsid w:val="007C55E7"/>
    <w:rsid w:val="007C69D7"/>
    <w:rsid w:val="007D3E1E"/>
    <w:rsid w:val="007D5EEF"/>
    <w:rsid w:val="007D6F4D"/>
    <w:rsid w:val="007F152F"/>
    <w:rsid w:val="007F2812"/>
    <w:rsid w:val="007F41E4"/>
    <w:rsid w:val="007F5E6B"/>
    <w:rsid w:val="007F68C7"/>
    <w:rsid w:val="00801086"/>
    <w:rsid w:val="00801E20"/>
    <w:rsid w:val="00802F3D"/>
    <w:rsid w:val="008114A3"/>
    <w:rsid w:val="00811B86"/>
    <w:rsid w:val="008120BE"/>
    <w:rsid w:val="00812430"/>
    <w:rsid w:val="008171AD"/>
    <w:rsid w:val="00817921"/>
    <w:rsid w:val="00823FF0"/>
    <w:rsid w:val="008253DB"/>
    <w:rsid w:val="008319D3"/>
    <w:rsid w:val="00831E96"/>
    <w:rsid w:val="00832C35"/>
    <w:rsid w:val="00832C3A"/>
    <w:rsid w:val="00833D22"/>
    <w:rsid w:val="00836929"/>
    <w:rsid w:val="00836A93"/>
    <w:rsid w:val="00840174"/>
    <w:rsid w:val="008451AE"/>
    <w:rsid w:val="00850D18"/>
    <w:rsid w:val="00853961"/>
    <w:rsid w:val="00855E6A"/>
    <w:rsid w:val="00863AC7"/>
    <w:rsid w:val="00866CEF"/>
    <w:rsid w:val="0087130F"/>
    <w:rsid w:val="00872443"/>
    <w:rsid w:val="008745A3"/>
    <w:rsid w:val="008831E9"/>
    <w:rsid w:val="00886E03"/>
    <w:rsid w:val="00895181"/>
    <w:rsid w:val="00895CB4"/>
    <w:rsid w:val="00897257"/>
    <w:rsid w:val="00897630"/>
    <w:rsid w:val="008A020D"/>
    <w:rsid w:val="008A2086"/>
    <w:rsid w:val="008A5B2B"/>
    <w:rsid w:val="008A6BE9"/>
    <w:rsid w:val="008A7013"/>
    <w:rsid w:val="008B0A2C"/>
    <w:rsid w:val="008B4398"/>
    <w:rsid w:val="008B6DAA"/>
    <w:rsid w:val="008C2A8B"/>
    <w:rsid w:val="008C3FF5"/>
    <w:rsid w:val="008C453D"/>
    <w:rsid w:val="008C6700"/>
    <w:rsid w:val="008D0175"/>
    <w:rsid w:val="008D262F"/>
    <w:rsid w:val="008D5279"/>
    <w:rsid w:val="008D68CA"/>
    <w:rsid w:val="008D7BAA"/>
    <w:rsid w:val="008E088C"/>
    <w:rsid w:val="008F09BD"/>
    <w:rsid w:val="008F175A"/>
    <w:rsid w:val="008F26F3"/>
    <w:rsid w:val="008F2A50"/>
    <w:rsid w:val="008F3983"/>
    <w:rsid w:val="008F3B9F"/>
    <w:rsid w:val="008F5078"/>
    <w:rsid w:val="00902314"/>
    <w:rsid w:val="00902FB3"/>
    <w:rsid w:val="00904C5D"/>
    <w:rsid w:val="009109FD"/>
    <w:rsid w:val="00910F50"/>
    <w:rsid w:val="0092055E"/>
    <w:rsid w:val="00924A24"/>
    <w:rsid w:val="00925099"/>
    <w:rsid w:val="00926B82"/>
    <w:rsid w:val="009309C4"/>
    <w:rsid w:val="0093207B"/>
    <w:rsid w:val="0093449F"/>
    <w:rsid w:val="0093524C"/>
    <w:rsid w:val="00937F96"/>
    <w:rsid w:val="00942922"/>
    <w:rsid w:val="009479B7"/>
    <w:rsid w:val="00950D6B"/>
    <w:rsid w:val="009544B7"/>
    <w:rsid w:val="00954517"/>
    <w:rsid w:val="00966408"/>
    <w:rsid w:val="0097264A"/>
    <w:rsid w:val="00974B0F"/>
    <w:rsid w:val="00974C05"/>
    <w:rsid w:val="00974E1E"/>
    <w:rsid w:val="0098176B"/>
    <w:rsid w:val="00984EF8"/>
    <w:rsid w:val="00992FD4"/>
    <w:rsid w:val="00994EA0"/>
    <w:rsid w:val="00994ED2"/>
    <w:rsid w:val="00995E1A"/>
    <w:rsid w:val="00996964"/>
    <w:rsid w:val="009A2CCC"/>
    <w:rsid w:val="009A5A0E"/>
    <w:rsid w:val="009A6292"/>
    <w:rsid w:val="009A713A"/>
    <w:rsid w:val="009B5933"/>
    <w:rsid w:val="009B644A"/>
    <w:rsid w:val="009B6BF2"/>
    <w:rsid w:val="009C2964"/>
    <w:rsid w:val="009C755C"/>
    <w:rsid w:val="009D0087"/>
    <w:rsid w:val="009D6564"/>
    <w:rsid w:val="009E103E"/>
    <w:rsid w:val="009E2AF0"/>
    <w:rsid w:val="009F6F5B"/>
    <w:rsid w:val="00A039AE"/>
    <w:rsid w:val="00A03EB7"/>
    <w:rsid w:val="00A04588"/>
    <w:rsid w:val="00A12F7D"/>
    <w:rsid w:val="00A14983"/>
    <w:rsid w:val="00A16E5E"/>
    <w:rsid w:val="00A260FF"/>
    <w:rsid w:val="00A27DFA"/>
    <w:rsid w:val="00A31784"/>
    <w:rsid w:val="00A31802"/>
    <w:rsid w:val="00A33EC6"/>
    <w:rsid w:val="00A34238"/>
    <w:rsid w:val="00A35920"/>
    <w:rsid w:val="00A371A1"/>
    <w:rsid w:val="00A52F0A"/>
    <w:rsid w:val="00A54B94"/>
    <w:rsid w:val="00A6068D"/>
    <w:rsid w:val="00A61BD9"/>
    <w:rsid w:val="00A62B3D"/>
    <w:rsid w:val="00A65287"/>
    <w:rsid w:val="00A655EA"/>
    <w:rsid w:val="00A6594D"/>
    <w:rsid w:val="00A65B8D"/>
    <w:rsid w:val="00A66D98"/>
    <w:rsid w:val="00A6787D"/>
    <w:rsid w:val="00A67F3A"/>
    <w:rsid w:val="00A71248"/>
    <w:rsid w:val="00A71AD3"/>
    <w:rsid w:val="00A756A3"/>
    <w:rsid w:val="00A772B2"/>
    <w:rsid w:val="00A77C8E"/>
    <w:rsid w:val="00A77D37"/>
    <w:rsid w:val="00AA3BA2"/>
    <w:rsid w:val="00AA6CB5"/>
    <w:rsid w:val="00AB0488"/>
    <w:rsid w:val="00AB34E9"/>
    <w:rsid w:val="00AB4D37"/>
    <w:rsid w:val="00AB4DDE"/>
    <w:rsid w:val="00AC1699"/>
    <w:rsid w:val="00AC170C"/>
    <w:rsid w:val="00AC1DAE"/>
    <w:rsid w:val="00AC2E9D"/>
    <w:rsid w:val="00AC79B6"/>
    <w:rsid w:val="00AD1196"/>
    <w:rsid w:val="00AD20C7"/>
    <w:rsid w:val="00AE2962"/>
    <w:rsid w:val="00AE369D"/>
    <w:rsid w:val="00AE771B"/>
    <w:rsid w:val="00AF3C4C"/>
    <w:rsid w:val="00AF6068"/>
    <w:rsid w:val="00AF7BFB"/>
    <w:rsid w:val="00B00FAF"/>
    <w:rsid w:val="00B037E3"/>
    <w:rsid w:val="00B0791A"/>
    <w:rsid w:val="00B10894"/>
    <w:rsid w:val="00B13C0A"/>
    <w:rsid w:val="00B17302"/>
    <w:rsid w:val="00B20987"/>
    <w:rsid w:val="00B21B3A"/>
    <w:rsid w:val="00B21B83"/>
    <w:rsid w:val="00B23C6D"/>
    <w:rsid w:val="00B322E1"/>
    <w:rsid w:val="00B32D8A"/>
    <w:rsid w:val="00B35E28"/>
    <w:rsid w:val="00B369E4"/>
    <w:rsid w:val="00B47D62"/>
    <w:rsid w:val="00B5007E"/>
    <w:rsid w:val="00B50311"/>
    <w:rsid w:val="00B539CC"/>
    <w:rsid w:val="00B555A9"/>
    <w:rsid w:val="00B55DA1"/>
    <w:rsid w:val="00B57A6B"/>
    <w:rsid w:val="00B62FFC"/>
    <w:rsid w:val="00B6485B"/>
    <w:rsid w:val="00B704A8"/>
    <w:rsid w:val="00B70ACF"/>
    <w:rsid w:val="00B739D8"/>
    <w:rsid w:val="00B7421C"/>
    <w:rsid w:val="00B74F71"/>
    <w:rsid w:val="00B824B2"/>
    <w:rsid w:val="00B830E0"/>
    <w:rsid w:val="00B84BCB"/>
    <w:rsid w:val="00B85D27"/>
    <w:rsid w:val="00B8682F"/>
    <w:rsid w:val="00B90E7A"/>
    <w:rsid w:val="00BA0BC3"/>
    <w:rsid w:val="00BA2214"/>
    <w:rsid w:val="00BA49AF"/>
    <w:rsid w:val="00BA59AD"/>
    <w:rsid w:val="00BA600A"/>
    <w:rsid w:val="00BB1771"/>
    <w:rsid w:val="00BB33BB"/>
    <w:rsid w:val="00BB63B1"/>
    <w:rsid w:val="00BB74DA"/>
    <w:rsid w:val="00BB75A2"/>
    <w:rsid w:val="00BC40ED"/>
    <w:rsid w:val="00BC631C"/>
    <w:rsid w:val="00BC66E9"/>
    <w:rsid w:val="00BD17D4"/>
    <w:rsid w:val="00BD2F50"/>
    <w:rsid w:val="00BD5FFD"/>
    <w:rsid w:val="00BD7BDA"/>
    <w:rsid w:val="00BE610F"/>
    <w:rsid w:val="00BF16C3"/>
    <w:rsid w:val="00BF1F01"/>
    <w:rsid w:val="00BF64E0"/>
    <w:rsid w:val="00BF7189"/>
    <w:rsid w:val="00C01E16"/>
    <w:rsid w:val="00C03975"/>
    <w:rsid w:val="00C0451C"/>
    <w:rsid w:val="00C05FF5"/>
    <w:rsid w:val="00C062D8"/>
    <w:rsid w:val="00C068E8"/>
    <w:rsid w:val="00C10868"/>
    <w:rsid w:val="00C13BD8"/>
    <w:rsid w:val="00C22263"/>
    <w:rsid w:val="00C33F67"/>
    <w:rsid w:val="00C3783D"/>
    <w:rsid w:val="00C41665"/>
    <w:rsid w:val="00C4294C"/>
    <w:rsid w:val="00C44029"/>
    <w:rsid w:val="00C44B9F"/>
    <w:rsid w:val="00C457FF"/>
    <w:rsid w:val="00C462AA"/>
    <w:rsid w:val="00C46AE6"/>
    <w:rsid w:val="00C55328"/>
    <w:rsid w:val="00C57094"/>
    <w:rsid w:val="00C60B19"/>
    <w:rsid w:val="00C63BBA"/>
    <w:rsid w:val="00C6755C"/>
    <w:rsid w:val="00C67E1E"/>
    <w:rsid w:val="00C7107F"/>
    <w:rsid w:val="00C74563"/>
    <w:rsid w:val="00C74A26"/>
    <w:rsid w:val="00C8143B"/>
    <w:rsid w:val="00C82604"/>
    <w:rsid w:val="00C9042D"/>
    <w:rsid w:val="00C906D4"/>
    <w:rsid w:val="00C9103E"/>
    <w:rsid w:val="00C9117B"/>
    <w:rsid w:val="00C9173A"/>
    <w:rsid w:val="00C91FCA"/>
    <w:rsid w:val="00C92987"/>
    <w:rsid w:val="00CA15B6"/>
    <w:rsid w:val="00CA2B51"/>
    <w:rsid w:val="00CA5B2C"/>
    <w:rsid w:val="00CB1D24"/>
    <w:rsid w:val="00CB654A"/>
    <w:rsid w:val="00CC4511"/>
    <w:rsid w:val="00CC45E7"/>
    <w:rsid w:val="00CC5071"/>
    <w:rsid w:val="00CD653D"/>
    <w:rsid w:val="00CD7AEE"/>
    <w:rsid w:val="00CE1867"/>
    <w:rsid w:val="00CE2702"/>
    <w:rsid w:val="00CE29D0"/>
    <w:rsid w:val="00CE3B5F"/>
    <w:rsid w:val="00CE46BE"/>
    <w:rsid w:val="00CE534B"/>
    <w:rsid w:val="00CE56F1"/>
    <w:rsid w:val="00CE5E1F"/>
    <w:rsid w:val="00CF0359"/>
    <w:rsid w:val="00CF12C6"/>
    <w:rsid w:val="00CF1E7A"/>
    <w:rsid w:val="00CF20E3"/>
    <w:rsid w:val="00D0281C"/>
    <w:rsid w:val="00D02E9F"/>
    <w:rsid w:val="00D129B6"/>
    <w:rsid w:val="00D13C56"/>
    <w:rsid w:val="00D14A7C"/>
    <w:rsid w:val="00D203E5"/>
    <w:rsid w:val="00D22187"/>
    <w:rsid w:val="00D22CBB"/>
    <w:rsid w:val="00D31E19"/>
    <w:rsid w:val="00D32134"/>
    <w:rsid w:val="00D3766D"/>
    <w:rsid w:val="00D43BBD"/>
    <w:rsid w:val="00D5184C"/>
    <w:rsid w:val="00D52B01"/>
    <w:rsid w:val="00D60FCE"/>
    <w:rsid w:val="00D63129"/>
    <w:rsid w:val="00D767C8"/>
    <w:rsid w:val="00D907A9"/>
    <w:rsid w:val="00D92E4A"/>
    <w:rsid w:val="00D97C64"/>
    <w:rsid w:val="00DA0C3E"/>
    <w:rsid w:val="00DA0F89"/>
    <w:rsid w:val="00DA2563"/>
    <w:rsid w:val="00DA3B90"/>
    <w:rsid w:val="00DA4EE3"/>
    <w:rsid w:val="00DA6CC7"/>
    <w:rsid w:val="00DA74D5"/>
    <w:rsid w:val="00DB4A2B"/>
    <w:rsid w:val="00DB7506"/>
    <w:rsid w:val="00DC52B0"/>
    <w:rsid w:val="00DC65A5"/>
    <w:rsid w:val="00DC7FD7"/>
    <w:rsid w:val="00DD0777"/>
    <w:rsid w:val="00DD2638"/>
    <w:rsid w:val="00DD3C05"/>
    <w:rsid w:val="00DD44FF"/>
    <w:rsid w:val="00DD5B62"/>
    <w:rsid w:val="00DE6D4E"/>
    <w:rsid w:val="00DF0933"/>
    <w:rsid w:val="00DF1D34"/>
    <w:rsid w:val="00DF6317"/>
    <w:rsid w:val="00DF6B70"/>
    <w:rsid w:val="00DF7CCB"/>
    <w:rsid w:val="00E00193"/>
    <w:rsid w:val="00E040F2"/>
    <w:rsid w:val="00E13F8E"/>
    <w:rsid w:val="00E145A4"/>
    <w:rsid w:val="00E14B65"/>
    <w:rsid w:val="00E15085"/>
    <w:rsid w:val="00E16DC5"/>
    <w:rsid w:val="00E2177F"/>
    <w:rsid w:val="00E22EC4"/>
    <w:rsid w:val="00E22F4F"/>
    <w:rsid w:val="00E26288"/>
    <w:rsid w:val="00E2717B"/>
    <w:rsid w:val="00E32630"/>
    <w:rsid w:val="00E330B5"/>
    <w:rsid w:val="00E35157"/>
    <w:rsid w:val="00E35625"/>
    <w:rsid w:val="00E40C26"/>
    <w:rsid w:val="00E42CC4"/>
    <w:rsid w:val="00E51BB6"/>
    <w:rsid w:val="00E51BC2"/>
    <w:rsid w:val="00E54E6B"/>
    <w:rsid w:val="00E55B54"/>
    <w:rsid w:val="00E60534"/>
    <w:rsid w:val="00E62B82"/>
    <w:rsid w:val="00E6376D"/>
    <w:rsid w:val="00E6390C"/>
    <w:rsid w:val="00E73358"/>
    <w:rsid w:val="00E773DD"/>
    <w:rsid w:val="00E81F42"/>
    <w:rsid w:val="00E825AF"/>
    <w:rsid w:val="00E839B2"/>
    <w:rsid w:val="00E9006B"/>
    <w:rsid w:val="00E9088D"/>
    <w:rsid w:val="00E93434"/>
    <w:rsid w:val="00EA00D9"/>
    <w:rsid w:val="00EA0B1A"/>
    <w:rsid w:val="00EA19F8"/>
    <w:rsid w:val="00EA1F24"/>
    <w:rsid w:val="00EA500A"/>
    <w:rsid w:val="00EA65A9"/>
    <w:rsid w:val="00EA7432"/>
    <w:rsid w:val="00EA7AC8"/>
    <w:rsid w:val="00EB5B12"/>
    <w:rsid w:val="00EB6BCB"/>
    <w:rsid w:val="00EC0C64"/>
    <w:rsid w:val="00EC1F29"/>
    <w:rsid w:val="00EC5DA2"/>
    <w:rsid w:val="00EC796A"/>
    <w:rsid w:val="00ED1FEA"/>
    <w:rsid w:val="00ED5B31"/>
    <w:rsid w:val="00EE074A"/>
    <w:rsid w:val="00EE099D"/>
    <w:rsid w:val="00EE2FAC"/>
    <w:rsid w:val="00EF04C3"/>
    <w:rsid w:val="00F00244"/>
    <w:rsid w:val="00F03140"/>
    <w:rsid w:val="00F03F95"/>
    <w:rsid w:val="00F05E64"/>
    <w:rsid w:val="00F10DF2"/>
    <w:rsid w:val="00F11FF1"/>
    <w:rsid w:val="00F30292"/>
    <w:rsid w:val="00F3146F"/>
    <w:rsid w:val="00F32E40"/>
    <w:rsid w:val="00F367DE"/>
    <w:rsid w:val="00F37FFE"/>
    <w:rsid w:val="00F429E3"/>
    <w:rsid w:val="00F439D1"/>
    <w:rsid w:val="00F43B49"/>
    <w:rsid w:val="00F4478F"/>
    <w:rsid w:val="00F523C8"/>
    <w:rsid w:val="00F55289"/>
    <w:rsid w:val="00F5532D"/>
    <w:rsid w:val="00F55F10"/>
    <w:rsid w:val="00F56F28"/>
    <w:rsid w:val="00F571FF"/>
    <w:rsid w:val="00F6125B"/>
    <w:rsid w:val="00F62BA8"/>
    <w:rsid w:val="00F63323"/>
    <w:rsid w:val="00F63B84"/>
    <w:rsid w:val="00F643DC"/>
    <w:rsid w:val="00F6446D"/>
    <w:rsid w:val="00F64783"/>
    <w:rsid w:val="00F66C86"/>
    <w:rsid w:val="00F71AB8"/>
    <w:rsid w:val="00F71E0D"/>
    <w:rsid w:val="00F73824"/>
    <w:rsid w:val="00F74D23"/>
    <w:rsid w:val="00F75847"/>
    <w:rsid w:val="00F7758F"/>
    <w:rsid w:val="00F77CD2"/>
    <w:rsid w:val="00F81EA0"/>
    <w:rsid w:val="00F824AE"/>
    <w:rsid w:val="00F858E2"/>
    <w:rsid w:val="00F92A52"/>
    <w:rsid w:val="00F936CC"/>
    <w:rsid w:val="00F93767"/>
    <w:rsid w:val="00F95D9F"/>
    <w:rsid w:val="00F9724B"/>
    <w:rsid w:val="00FA3F46"/>
    <w:rsid w:val="00FA5222"/>
    <w:rsid w:val="00FB0768"/>
    <w:rsid w:val="00FB6043"/>
    <w:rsid w:val="00FB6787"/>
    <w:rsid w:val="00FB79DB"/>
    <w:rsid w:val="00FC2034"/>
    <w:rsid w:val="00FC3EC3"/>
    <w:rsid w:val="00FC44BA"/>
    <w:rsid w:val="00FC682F"/>
    <w:rsid w:val="00FC739E"/>
    <w:rsid w:val="00FD1606"/>
    <w:rsid w:val="00FD3657"/>
    <w:rsid w:val="00FE008B"/>
    <w:rsid w:val="00FE29E1"/>
    <w:rsid w:val="00FE3076"/>
    <w:rsid w:val="00FE61DF"/>
    <w:rsid w:val="00FE6270"/>
    <w:rsid w:val="00FE7CE2"/>
    <w:rsid w:val="00FF2DA5"/>
    <w:rsid w:val="00FF474C"/>
    <w:rsid w:val="00FF5515"/>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E4C9D"/>
  <w15:chartTrackingRefBased/>
  <w15:docId w15:val="{B07318BC-A886-FB47-9402-1307B518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B65"/>
    <w:pPr>
      <w:spacing w:before="60" w:after="60" w:line="276" w:lineRule="auto"/>
      <w:jc w:val="both"/>
    </w:pPr>
    <w:rPr>
      <w:sz w:val="22"/>
    </w:rPr>
  </w:style>
  <w:style w:type="paragraph" w:styleId="Heading1">
    <w:name w:val="heading 1"/>
    <w:basedOn w:val="Normal"/>
    <w:next w:val="Normal"/>
    <w:link w:val="Heading1Char"/>
    <w:uiPriority w:val="9"/>
    <w:qFormat/>
    <w:rsid w:val="008C3FF5"/>
    <w:pPr>
      <w:keepNext/>
      <w:keepLines/>
      <w:numPr>
        <w:numId w:val="1"/>
      </w:numPr>
      <w:spacing w:before="24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F6317"/>
    <w:pPr>
      <w:keepNext/>
      <w:keepLines/>
      <w:numPr>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631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35A8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F5E2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F5E2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List Paragraph 1,Akapit z listą BS,Bullets,Bullet Points,Liste Paragraf,Paragraph,Citation List,Resume Title,Paragraphe de liste PBLH,Normal bullet 2,Bullet list,Figure_name,Equipment,lp1,References"/>
    <w:basedOn w:val="Normal"/>
    <w:link w:val="ListParagraphChar"/>
    <w:uiPriority w:val="34"/>
    <w:qFormat/>
    <w:rsid w:val="00942922"/>
    <w:pPr>
      <w:ind w:left="720"/>
      <w:contextualSpacing/>
    </w:pPr>
  </w:style>
  <w:style w:type="character" w:customStyle="1" w:styleId="Heading1Char">
    <w:name w:val="Heading 1 Char"/>
    <w:basedOn w:val="DefaultParagraphFont"/>
    <w:link w:val="Heading1"/>
    <w:uiPriority w:val="9"/>
    <w:rsid w:val="008C3FF5"/>
    <w:rPr>
      <w:rFonts w:asciiTheme="majorHAnsi" w:eastAsiaTheme="majorEastAsia" w:hAnsiTheme="majorHAnsi" w:cstheme="majorBidi"/>
      <w:color w:val="2F5496" w:themeColor="accent1" w:themeShade="BF"/>
      <w:sz w:val="28"/>
      <w:szCs w:val="32"/>
    </w:rPr>
  </w:style>
  <w:style w:type="character" w:customStyle="1" w:styleId="Heading2Char">
    <w:name w:val="Heading 2 Char"/>
    <w:basedOn w:val="DefaultParagraphFont"/>
    <w:link w:val="Heading2"/>
    <w:uiPriority w:val="9"/>
    <w:rsid w:val="00DF631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6317"/>
    <w:rPr>
      <w:rFonts w:asciiTheme="majorHAnsi" w:eastAsiaTheme="majorEastAsia" w:hAnsiTheme="majorHAnsi" w:cstheme="majorBidi"/>
      <w:color w:val="1F3763" w:themeColor="accent1" w:themeShade="7F"/>
    </w:rPr>
  </w:style>
  <w:style w:type="paragraph" w:styleId="FootnoteText">
    <w:name w:val="footnote text"/>
    <w:aliases w:val="fn,single space,footnote text,FOOTNOTES,Footnote Text Char Char Char Char Char Char,stile 1,Testo_note,Testo_note1,Testo_note2,Footnote Text Char3 Char,Footnote Text Char2 Char Char,ft Char1 Char Char Char,Footnote,Fußnote,FSR footno,Char"/>
    <w:basedOn w:val="Normal"/>
    <w:link w:val="FootnoteTextChar"/>
    <w:uiPriority w:val="99"/>
    <w:unhideWhenUsed/>
    <w:qFormat/>
    <w:rsid w:val="00E9088D"/>
    <w:rPr>
      <w:sz w:val="20"/>
      <w:szCs w:val="20"/>
    </w:rPr>
  </w:style>
  <w:style w:type="character" w:customStyle="1" w:styleId="FootnoteTextChar">
    <w:name w:val="Footnote Text Char"/>
    <w:aliases w:val="fn Char,single space Char,footnote text Char,FOOTNOTES Char,Footnote Text Char Char Char Char Char Char Char,stile 1 Char,Testo_note Char,Testo_note1 Char,Testo_note2 Char,Footnote Text Char3 Char Char,ft Char1 Char Char Char Char"/>
    <w:basedOn w:val="DefaultParagraphFont"/>
    <w:link w:val="FootnoteText"/>
    <w:uiPriority w:val="99"/>
    <w:qFormat/>
    <w:rsid w:val="00E9088D"/>
    <w:rPr>
      <w:sz w:val="20"/>
      <w:szCs w:val="20"/>
    </w:rPr>
  </w:style>
  <w:style w:type="character" w:styleId="FootnoteReference">
    <w:name w:val="footnote reference"/>
    <w:aliases w:val="fr,Footnote Reference Number,Footnote Reference_LVL6,Footnote Reference_LVL61,Footnote Reference_LVL62,Footnote Reference_LVL63,Footnote Reference_LVL64,SUPERS,EN Footnote Reference,number,BVI fnr,ftref,16 Point,Superscript 6 Point"/>
    <w:basedOn w:val="DefaultParagraphFont"/>
    <w:link w:val="BVIfnrCarCarCarCarChar"/>
    <w:uiPriority w:val="99"/>
    <w:unhideWhenUsed/>
    <w:qFormat/>
    <w:rsid w:val="00E9088D"/>
    <w:rPr>
      <w:vertAlign w:val="superscript"/>
    </w:rPr>
  </w:style>
  <w:style w:type="paragraph" w:styleId="Caption">
    <w:name w:val="caption"/>
    <w:basedOn w:val="Normal"/>
    <w:next w:val="Normal"/>
    <w:uiPriority w:val="35"/>
    <w:unhideWhenUsed/>
    <w:qFormat/>
    <w:rsid w:val="00E9088D"/>
    <w:pPr>
      <w:spacing w:after="200"/>
    </w:pPr>
    <w:rPr>
      <w:i/>
      <w:iCs/>
      <w:color w:val="44546A" w:themeColor="text2"/>
      <w:sz w:val="18"/>
      <w:szCs w:val="18"/>
    </w:rPr>
  </w:style>
  <w:style w:type="table" w:styleId="TableGrid">
    <w:name w:val="Table Grid"/>
    <w:basedOn w:val="TableNormal"/>
    <w:uiPriority w:val="39"/>
    <w:rsid w:val="00E908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15085"/>
    <w:pPr>
      <w:tabs>
        <w:tab w:val="center" w:pos="4513"/>
        <w:tab w:val="right" w:pos="9026"/>
      </w:tabs>
    </w:pPr>
  </w:style>
  <w:style w:type="character" w:customStyle="1" w:styleId="FooterChar">
    <w:name w:val="Footer Char"/>
    <w:basedOn w:val="DefaultParagraphFont"/>
    <w:link w:val="Footer"/>
    <w:uiPriority w:val="99"/>
    <w:rsid w:val="00E15085"/>
  </w:style>
  <w:style w:type="character" w:styleId="PageNumber">
    <w:name w:val="page number"/>
    <w:basedOn w:val="DefaultParagraphFont"/>
    <w:uiPriority w:val="99"/>
    <w:semiHidden/>
    <w:unhideWhenUsed/>
    <w:rsid w:val="00E15085"/>
  </w:style>
  <w:style w:type="character" w:styleId="Hyperlink">
    <w:name w:val="Hyperlink"/>
    <w:basedOn w:val="DefaultParagraphFont"/>
    <w:uiPriority w:val="99"/>
    <w:unhideWhenUsed/>
    <w:rsid w:val="00E15085"/>
    <w:rPr>
      <w:color w:val="0563C1" w:themeColor="hyperlink"/>
      <w:u w:val="single"/>
    </w:rPr>
  </w:style>
  <w:style w:type="character" w:customStyle="1" w:styleId="UnresolvedMention1">
    <w:name w:val="Unresolved Mention1"/>
    <w:basedOn w:val="DefaultParagraphFont"/>
    <w:uiPriority w:val="99"/>
    <w:semiHidden/>
    <w:unhideWhenUsed/>
    <w:rsid w:val="00E15085"/>
    <w:rPr>
      <w:color w:val="605E5C"/>
      <w:shd w:val="clear" w:color="auto" w:fill="E1DFDD"/>
    </w:rPr>
  </w:style>
  <w:style w:type="paragraph" w:customStyle="1" w:styleId="BVIfnrCarCarCarCarChar">
    <w:name w:val="BVI fnr Car Car Car Car Char"/>
    <w:basedOn w:val="Normal"/>
    <w:link w:val="FootnoteReference"/>
    <w:uiPriority w:val="99"/>
    <w:rsid w:val="002E5360"/>
    <w:pPr>
      <w:spacing w:after="160" w:line="240" w:lineRule="exact"/>
    </w:pPr>
    <w:rPr>
      <w:vertAlign w:val="superscript"/>
    </w:rPr>
  </w:style>
  <w:style w:type="paragraph" w:customStyle="1" w:styleId="Default">
    <w:name w:val="Default"/>
    <w:rsid w:val="002E5360"/>
    <w:pPr>
      <w:autoSpaceDE w:val="0"/>
      <w:autoSpaceDN w:val="0"/>
      <w:adjustRightInd w:val="0"/>
    </w:pPr>
    <w:rPr>
      <w:rFonts w:ascii="EC Square Sans Pro" w:hAnsi="EC Square Sans Pro" w:cs="EC Square Sans Pro"/>
      <w:color w:val="000000"/>
    </w:rPr>
  </w:style>
  <w:style w:type="character" w:customStyle="1" w:styleId="Heading4Char">
    <w:name w:val="Heading 4 Char"/>
    <w:basedOn w:val="DefaultParagraphFont"/>
    <w:link w:val="Heading4"/>
    <w:uiPriority w:val="9"/>
    <w:rsid w:val="00235A83"/>
    <w:rPr>
      <w:rFonts w:asciiTheme="majorHAnsi" w:eastAsiaTheme="majorEastAsia" w:hAnsiTheme="majorHAnsi" w:cstheme="majorBidi"/>
      <w:i/>
      <w:iCs/>
      <w:color w:val="2F5496" w:themeColor="accent1" w:themeShade="BF"/>
      <w:sz w:val="22"/>
    </w:rPr>
  </w:style>
  <w:style w:type="paragraph" w:styleId="Title">
    <w:name w:val="Title"/>
    <w:basedOn w:val="Normal"/>
    <w:next w:val="Normal"/>
    <w:link w:val="TitleChar"/>
    <w:uiPriority w:val="10"/>
    <w:qFormat/>
    <w:rsid w:val="00F66C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C86"/>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B2D8F"/>
    <w:rPr>
      <w:sz w:val="16"/>
      <w:szCs w:val="16"/>
    </w:rPr>
  </w:style>
  <w:style w:type="paragraph" w:styleId="CommentText">
    <w:name w:val="annotation text"/>
    <w:basedOn w:val="Normal"/>
    <w:link w:val="CommentTextChar"/>
    <w:uiPriority w:val="99"/>
    <w:unhideWhenUsed/>
    <w:rsid w:val="007B2D8F"/>
    <w:rPr>
      <w:sz w:val="20"/>
      <w:szCs w:val="20"/>
    </w:rPr>
  </w:style>
  <w:style w:type="character" w:customStyle="1" w:styleId="CommentTextChar">
    <w:name w:val="Comment Text Char"/>
    <w:basedOn w:val="DefaultParagraphFont"/>
    <w:link w:val="CommentText"/>
    <w:uiPriority w:val="99"/>
    <w:rsid w:val="007B2D8F"/>
    <w:rPr>
      <w:sz w:val="20"/>
      <w:szCs w:val="20"/>
    </w:rPr>
  </w:style>
  <w:style w:type="paragraph" w:styleId="CommentSubject">
    <w:name w:val="annotation subject"/>
    <w:basedOn w:val="CommentText"/>
    <w:next w:val="CommentText"/>
    <w:link w:val="CommentSubjectChar"/>
    <w:uiPriority w:val="99"/>
    <w:semiHidden/>
    <w:unhideWhenUsed/>
    <w:rsid w:val="007B2D8F"/>
    <w:rPr>
      <w:b/>
      <w:bCs/>
    </w:rPr>
  </w:style>
  <w:style w:type="character" w:customStyle="1" w:styleId="CommentSubjectChar">
    <w:name w:val="Comment Subject Char"/>
    <w:basedOn w:val="CommentTextChar"/>
    <w:link w:val="CommentSubject"/>
    <w:uiPriority w:val="99"/>
    <w:semiHidden/>
    <w:rsid w:val="007B2D8F"/>
    <w:rPr>
      <w:b/>
      <w:bCs/>
      <w:sz w:val="20"/>
      <w:szCs w:val="20"/>
    </w:rPr>
  </w:style>
  <w:style w:type="paragraph" w:styleId="TOCHeading">
    <w:name w:val="TOC Heading"/>
    <w:basedOn w:val="Heading1"/>
    <w:next w:val="Normal"/>
    <w:uiPriority w:val="39"/>
    <w:unhideWhenUsed/>
    <w:qFormat/>
    <w:rsid w:val="005240C4"/>
    <w:pPr>
      <w:numPr>
        <w:numId w:val="0"/>
      </w:numPr>
      <w:spacing w:before="480"/>
      <w:outlineLvl w:val="9"/>
    </w:pPr>
    <w:rPr>
      <w:b/>
      <w:bCs/>
      <w:szCs w:val="28"/>
    </w:rPr>
  </w:style>
  <w:style w:type="paragraph" w:styleId="TOC1">
    <w:name w:val="toc 1"/>
    <w:basedOn w:val="Normal"/>
    <w:next w:val="Normal"/>
    <w:autoRedefine/>
    <w:uiPriority w:val="39"/>
    <w:unhideWhenUsed/>
    <w:rsid w:val="00817921"/>
    <w:pPr>
      <w:spacing w:before="120" w:after="120"/>
      <w:jc w:val="left"/>
    </w:pPr>
    <w:rPr>
      <w:rFonts w:cstheme="minorHAnsi"/>
      <w:b/>
      <w:bCs/>
      <w:caps/>
      <w:sz w:val="20"/>
      <w:szCs w:val="20"/>
    </w:rPr>
  </w:style>
  <w:style w:type="paragraph" w:styleId="TOC2">
    <w:name w:val="toc 2"/>
    <w:basedOn w:val="Normal"/>
    <w:next w:val="Normal"/>
    <w:autoRedefine/>
    <w:uiPriority w:val="39"/>
    <w:unhideWhenUsed/>
    <w:rsid w:val="00B5007E"/>
    <w:pPr>
      <w:spacing w:before="0" w:after="0"/>
      <w:ind w:left="220"/>
      <w:jc w:val="left"/>
    </w:pPr>
    <w:rPr>
      <w:rFonts w:cstheme="minorHAnsi"/>
      <w:smallCaps/>
      <w:sz w:val="20"/>
      <w:szCs w:val="20"/>
    </w:rPr>
  </w:style>
  <w:style w:type="paragraph" w:styleId="TOC3">
    <w:name w:val="toc 3"/>
    <w:basedOn w:val="Normal"/>
    <w:next w:val="Normal"/>
    <w:autoRedefine/>
    <w:uiPriority w:val="39"/>
    <w:unhideWhenUsed/>
    <w:rsid w:val="005240C4"/>
    <w:pPr>
      <w:spacing w:before="0" w:after="0"/>
      <w:ind w:left="440"/>
      <w:jc w:val="left"/>
    </w:pPr>
    <w:rPr>
      <w:rFonts w:cstheme="minorHAnsi"/>
      <w:i/>
      <w:iCs/>
      <w:sz w:val="20"/>
      <w:szCs w:val="20"/>
    </w:rPr>
  </w:style>
  <w:style w:type="paragraph" w:styleId="TOC4">
    <w:name w:val="toc 4"/>
    <w:basedOn w:val="Normal"/>
    <w:next w:val="Normal"/>
    <w:autoRedefine/>
    <w:uiPriority w:val="39"/>
    <w:unhideWhenUsed/>
    <w:rsid w:val="00817921"/>
    <w:pPr>
      <w:spacing w:before="0" w:after="0"/>
      <w:ind w:left="660"/>
      <w:jc w:val="left"/>
    </w:pPr>
    <w:rPr>
      <w:rFonts w:cstheme="minorHAnsi"/>
      <w:sz w:val="18"/>
      <w:szCs w:val="18"/>
    </w:rPr>
  </w:style>
  <w:style w:type="paragraph" w:styleId="TOC5">
    <w:name w:val="toc 5"/>
    <w:basedOn w:val="Normal"/>
    <w:next w:val="Normal"/>
    <w:autoRedefine/>
    <w:uiPriority w:val="39"/>
    <w:unhideWhenUsed/>
    <w:rsid w:val="005240C4"/>
    <w:pPr>
      <w:spacing w:before="0" w:after="0"/>
      <w:ind w:left="880"/>
      <w:jc w:val="left"/>
    </w:pPr>
    <w:rPr>
      <w:rFonts w:cstheme="minorHAnsi"/>
      <w:sz w:val="18"/>
      <w:szCs w:val="18"/>
    </w:rPr>
  </w:style>
  <w:style w:type="paragraph" w:styleId="TOC6">
    <w:name w:val="toc 6"/>
    <w:basedOn w:val="Normal"/>
    <w:next w:val="Normal"/>
    <w:autoRedefine/>
    <w:uiPriority w:val="39"/>
    <w:unhideWhenUsed/>
    <w:rsid w:val="005240C4"/>
    <w:pPr>
      <w:spacing w:before="0" w:after="0"/>
      <w:ind w:left="1100"/>
      <w:jc w:val="left"/>
    </w:pPr>
    <w:rPr>
      <w:rFonts w:cstheme="minorHAnsi"/>
      <w:sz w:val="18"/>
      <w:szCs w:val="18"/>
    </w:rPr>
  </w:style>
  <w:style w:type="paragraph" w:styleId="TOC7">
    <w:name w:val="toc 7"/>
    <w:basedOn w:val="Normal"/>
    <w:next w:val="Normal"/>
    <w:autoRedefine/>
    <w:uiPriority w:val="39"/>
    <w:unhideWhenUsed/>
    <w:rsid w:val="005240C4"/>
    <w:pPr>
      <w:spacing w:before="0" w:after="0"/>
      <w:ind w:left="1320"/>
      <w:jc w:val="left"/>
    </w:pPr>
    <w:rPr>
      <w:rFonts w:cstheme="minorHAnsi"/>
      <w:sz w:val="18"/>
      <w:szCs w:val="18"/>
    </w:rPr>
  </w:style>
  <w:style w:type="paragraph" w:styleId="TOC8">
    <w:name w:val="toc 8"/>
    <w:basedOn w:val="Normal"/>
    <w:next w:val="Normal"/>
    <w:autoRedefine/>
    <w:uiPriority w:val="39"/>
    <w:unhideWhenUsed/>
    <w:rsid w:val="005240C4"/>
    <w:pPr>
      <w:spacing w:before="0" w:after="0"/>
      <w:ind w:left="1540"/>
      <w:jc w:val="left"/>
    </w:pPr>
    <w:rPr>
      <w:rFonts w:cstheme="minorHAnsi"/>
      <w:sz w:val="18"/>
      <w:szCs w:val="18"/>
    </w:rPr>
  </w:style>
  <w:style w:type="paragraph" w:styleId="TOC9">
    <w:name w:val="toc 9"/>
    <w:basedOn w:val="Normal"/>
    <w:next w:val="Normal"/>
    <w:autoRedefine/>
    <w:uiPriority w:val="39"/>
    <w:unhideWhenUsed/>
    <w:rsid w:val="005240C4"/>
    <w:pPr>
      <w:spacing w:before="0" w:after="0"/>
      <w:ind w:left="1760"/>
      <w:jc w:val="left"/>
    </w:pPr>
    <w:rPr>
      <w:rFonts w:cstheme="minorHAnsi"/>
      <w:sz w:val="18"/>
      <w:szCs w:val="18"/>
    </w:rPr>
  </w:style>
  <w:style w:type="paragraph" w:customStyle="1" w:styleId="NoSpacing1">
    <w:name w:val="No Spacing1"/>
    <w:qFormat/>
    <w:rsid w:val="00ED1FEA"/>
    <w:rPr>
      <w:rFonts w:ascii="Calibri" w:eastAsia="Calibri" w:hAnsi="Calibri" w:cs="Times New Roman"/>
      <w:sz w:val="22"/>
      <w:szCs w:val="22"/>
      <w:lang w:val="sq-AL"/>
    </w:rPr>
  </w:style>
  <w:style w:type="paragraph" w:customStyle="1" w:styleId="FootnoteReferneceCarcter">
    <w:name w:val="Footnote Refernece Carácter"/>
    <w:aliases w:val="ftref Carácter,4_G Carácter"/>
    <w:basedOn w:val="Normal"/>
    <w:uiPriority w:val="99"/>
    <w:rsid w:val="005A0A00"/>
    <w:pPr>
      <w:spacing w:line="240" w:lineRule="exact"/>
    </w:pPr>
    <w:rPr>
      <w:vertAlign w:val="superscript"/>
      <w:lang w:val="en-GB"/>
    </w:rPr>
  </w:style>
  <w:style w:type="paragraph" w:styleId="NoSpacing">
    <w:name w:val="No Spacing"/>
    <w:link w:val="NoSpacingChar"/>
    <w:uiPriority w:val="1"/>
    <w:qFormat/>
    <w:rsid w:val="005A0A00"/>
    <w:rPr>
      <w:rFonts w:ascii="Calibri" w:eastAsia="Times New Roman" w:hAnsi="Calibri" w:cs="Times New Roman"/>
      <w:sz w:val="22"/>
      <w:szCs w:val="22"/>
      <w:lang w:val="en-GB" w:eastAsia="en-GB"/>
    </w:rPr>
  </w:style>
  <w:style w:type="character" w:customStyle="1" w:styleId="NoSpacingChar">
    <w:name w:val="No Spacing Char"/>
    <w:link w:val="NoSpacing"/>
    <w:uiPriority w:val="1"/>
    <w:rsid w:val="005A0A00"/>
    <w:rPr>
      <w:rFonts w:ascii="Calibri" w:eastAsia="Times New Roman" w:hAnsi="Calibri" w:cs="Times New Roman"/>
      <w:sz w:val="22"/>
      <w:szCs w:val="22"/>
      <w:lang w:val="en-GB" w:eastAsia="en-GB"/>
    </w:rPr>
  </w:style>
  <w:style w:type="character" w:customStyle="1" w:styleId="ListParagraphChar">
    <w:name w:val="List Paragraph Char"/>
    <w:aliases w:val="Normal 1 Char,List Paragraph (numbered (a)) Char,List Paragraph 1 Char,Akapit z listą BS Char,Bullets Char,Bullet Points Char,Liste Paragraf Char,Paragraph Char,Citation List Char,Resume Title Char,Paragraphe de liste PBLH Char"/>
    <w:link w:val="ListParagraph"/>
    <w:uiPriority w:val="34"/>
    <w:qFormat/>
    <w:locked/>
    <w:rsid w:val="005A0A00"/>
  </w:style>
  <w:style w:type="paragraph" w:styleId="NormalWeb">
    <w:name w:val="Normal (Web)"/>
    <w:basedOn w:val="Normal"/>
    <w:uiPriority w:val="99"/>
    <w:unhideWhenUsed/>
    <w:rsid w:val="005A0A00"/>
    <w:pPr>
      <w:spacing w:before="100" w:beforeAutospacing="1" w:after="100" w:afterAutospacing="1"/>
    </w:pPr>
    <w:rPr>
      <w:rFonts w:ascii="Times New Roman" w:eastAsia="Times New Roman" w:hAnsi="Times New Roman" w:cs="Times New Roman"/>
      <w:lang w:val="en-GB" w:eastAsia="en-GB"/>
    </w:rPr>
  </w:style>
  <w:style w:type="character" w:customStyle="1" w:styleId="a">
    <w:name w:val="_"/>
    <w:basedOn w:val="DefaultParagraphFont"/>
    <w:rsid w:val="005A0A00"/>
  </w:style>
  <w:style w:type="character" w:customStyle="1" w:styleId="ffa">
    <w:name w:val="ffa"/>
    <w:basedOn w:val="DefaultParagraphFont"/>
    <w:rsid w:val="005A0A00"/>
  </w:style>
  <w:style w:type="character" w:customStyle="1" w:styleId="ff7">
    <w:name w:val="ff7"/>
    <w:basedOn w:val="DefaultParagraphFont"/>
    <w:rsid w:val="005A0A00"/>
  </w:style>
  <w:style w:type="character" w:customStyle="1" w:styleId="ls5">
    <w:name w:val="ls5"/>
    <w:basedOn w:val="DefaultParagraphFont"/>
    <w:rsid w:val="005A0A00"/>
  </w:style>
  <w:style w:type="character" w:customStyle="1" w:styleId="lsb">
    <w:name w:val="lsb"/>
    <w:basedOn w:val="DefaultParagraphFont"/>
    <w:rsid w:val="005A0A00"/>
  </w:style>
  <w:style w:type="character" w:customStyle="1" w:styleId="ff8">
    <w:name w:val="ff8"/>
    <w:basedOn w:val="DefaultParagraphFont"/>
    <w:rsid w:val="005A0A00"/>
  </w:style>
  <w:style w:type="paragraph" w:styleId="Revision">
    <w:name w:val="Revision"/>
    <w:hidden/>
    <w:uiPriority w:val="99"/>
    <w:semiHidden/>
    <w:rsid w:val="005A0A00"/>
    <w:rPr>
      <w:rFonts w:ascii="Calibri" w:eastAsia="Times New Roman" w:hAnsi="Calibri" w:cs="Times New Roman"/>
      <w:sz w:val="22"/>
      <w:szCs w:val="22"/>
      <w:lang w:val="en-GB" w:eastAsia="en-GB"/>
    </w:rPr>
  </w:style>
  <w:style w:type="paragraph" w:styleId="BalloonText">
    <w:name w:val="Balloon Text"/>
    <w:basedOn w:val="Normal"/>
    <w:link w:val="BalloonTextChar"/>
    <w:uiPriority w:val="99"/>
    <w:semiHidden/>
    <w:unhideWhenUsed/>
    <w:rsid w:val="005A0A00"/>
    <w:rPr>
      <w:rFonts w:ascii="Times New Roman" w:eastAsia="Times New Roman" w:hAnsi="Times New Roman" w:cs="Times New Roman"/>
      <w:sz w:val="18"/>
      <w:szCs w:val="18"/>
      <w:lang w:val="en-GB" w:eastAsia="en-GB"/>
    </w:rPr>
  </w:style>
  <w:style w:type="character" w:customStyle="1" w:styleId="BalloonTextChar">
    <w:name w:val="Balloon Text Char"/>
    <w:basedOn w:val="DefaultParagraphFont"/>
    <w:link w:val="BalloonText"/>
    <w:uiPriority w:val="99"/>
    <w:semiHidden/>
    <w:rsid w:val="005A0A00"/>
    <w:rPr>
      <w:rFonts w:ascii="Times New Roman" w:eastAsia="Times New Roman" w:hAnsi="Times New Roman" w:cs="Times New Roman"/>
      <w:sz w:val="18"/>
      <w:szCs w:val="18"/>
      <w:lang w:val="en-GB" w:eastAsia="en-GB"/>
    </w:rPr>
  </w:style>
  <w:style w:type="table" w:styleId="GridTable4-Accent1">
    <w:name w:val="Grid Table 4 Accent 1"/>
    <w:basedOn w:val="TableNormal"/>
    <w:uiPriority w:val="49"/>
    <w:rsid w:val="005A0A0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5A0A00"/>
    <w:rPr>
      <w:color w:val="954F72" w:themeColor="followedHyperlink"/>
      <w:u w:val="single"/>
    </w:rPr>
  </w:style>
  <w:style w:type="character" w:customStyle="1" w:styleId="apple-converted-space">
    <w:name w:val="apple-converted-space"/>
    <w:basedOn w:val="DefaultParagraphFont"/>
    <w:rsid w:val="0006511D"/>
  </w:style>
  <w:style w:type="paragraph" w:styleId="Header">
    <w:name w:val="header"/>
    <w:basedOn w:val="Normal"/>
    <w:link w:val="HeaderChar"/>
    <w:uiPriority w:val="99"/>
    <w:unhideWhenUsed/>
    <w:rsid w:val="005F1953"/>
    <w:pPr>
      <w:tabs>
        <w:tab w:val="center" w:pos="4513"/>
        <w:tab w:val="right" w:pos="9026"/>
      </w:tabs>
    </w:pPr>
  </w:style>
  <w:style w:type="character" w:customStyle="1" w:styleId="HeaderChar">
    <w:name w:val="Header Char"/>
    <w:basedOn w:val="DefaultParagraphFont"/>
    <w:link w:val="Header"/>
    <w:uiPriority w:val="99"/>
    <w:rsid w:val="005F1953"/>
  </w:style>
  <w:style w:type="paragraph" w:styleId="HTMLPreformatted">
    <w:name w:val="HTML Preformatted"/>
    <w:basedOn w:val="Normal"/>
    <w:link w:val="HTMLPreformattedChar"/>
    <w:uiPriority w:val="99"/>
    <w:semiHidden/>
    <w:unhideWhenUsed/>
    <w:rsid w:val="004B17B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17BA"/>
    <w:rPr>
      <w:rFonts w:ascii="Consolas" w:hAnsi="Consolas"/>
      <w:sz w:val="20"/>
      <w:szCs w:val="20"/>
    </w:rPr>
  </w:style>
  <w:style w:type="character" w:customStyle="1" w:styleId="UnresolvedMention2">
    <w:name w:val="Unresolved Mention2"/>
    <w:basedOn w:val="DefaultParagraphFont"/>
    <w:uiPriority w:val="99"/>
    <w:semiHidden/>
    <w:unhideWhenUsed/>
    <w:rsid w:val="006F3836"/>
    <w:rPr>
      <w:color w:val="605E5C"/>
      <w:shd w:val="clear" w:color="auto" w:fill="E1DFDD"/>
    </w:rPr>
  </w:style>
  <w:style w:type="character" w:customStyle="1" w:styleId="Heading5Char">
    <w:name w:val="Heading 5 Char"/>
    <w:basedOn w:val="DefaultParagraphFont"/>
    <w:link w:val="Heading5"/>
    <w:uiPriority w:val="9"/>
    <w:rsid w:val="002F5E2C"/>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rsid w:val="002F5E2C"/>
    <w:rPr>
      <w:rFonts w:asciiTheme="majorHAnsi" w:eastAsiaTheme="majorEastAsia" w:hAnsiTheme="majorHAnsi" w:cstheme="majorBidi"/>
      <w:color w:val="1F3763" w:themeColor="accent1" w:themeShade="7F"/>
      <w:sz w:val="22"/>
    </w:rPr>
  </w:style>
  <w:style w:type="character" w:styleId="Strong">
    <w:name w:val="Strong"/>
    <w:basedOn w:val="DefaultParagraphFont"/>
    <w:uiPriority w:val="22"/>
    <w:qFormat/>
    <w:rsid w:val="0039285F"/>
    <w:rPr>
      <w:b/>
      <w:bCs/>
    </w:rPr>
  </w:style>
  <w:style w:type="paragraph" w:customStyle="1" w:styleId="Times10Point">
    <w:name w:val="Times 10 Point"/>
    <w:aliases w:val="Error-Fußnotenzeichen5,Error-Fußnotenzeichen6,Exposant 3 Point,Footnote reference number,Footnote symbol,Footnotes re,note TESI,nota pié di pagina,Footnote Reference Char Char Char, Exposant 3 Point, BVI fnr"/>
    <w:basedOn w:val="Normal"/>
    <w:uiPriority w:val="99"/>
    <w:rsid w:val="00855E6A"/>
    <w:pPr>
      <w:spacing w:before="0" w:after="160" w:line="240" w:lineRule="exact"/>
    </w:pPr>
    <w:rPr>
      <w:sz w:val="24"/>
      <w:vertAlign w:val="superscript"/>
    </w:rPr>
  </w:style>
  <w:style w:type="paragraph" w:customStyle="1" w:styleId="CharCharCharCharCarChar">
    <w:name w:val="Char Char Char Char Car Char"/>
    <w:aliases w:val="Char Char,Char Char Char Char Car Char Char1,Char Char Char1,16 Point Char1,Superscript 6 Point Char1,ftref Char1,Char Char Char1 Char Char Char"/>
    <w:basedOn w:val="Normal"/>
    <w:next w:val="Normal"/>
    <w:uiPriority w:val="99"/>
    <w:rsid w:val="00855E6A"/>
    <w:pPr>
      <w:spacing w:before="120" w:after="160" w:line="240" w:lineRule="exact"/>
      <w:jc w:val="left"/>
    </w:pPr>
    <w:rPr>
      <w:szCs w:val="22"/>
      <w:vertAlign w:val="superscript"/>
    </w:rPr>
  </w:style>
  <w:style w:type="paragraph" w:customStyle="1" w:styleId="MediumGrid22">
    <w:name w:val="Medium Grid 22"/>
    <w:uiPriority w:val="1"/>
    <w:qFormat/>
    <w:rsid w:val="007827BC"/>
    <w:pPr>
      <w:widowControl w:val="0"/>
    </w:pPr>
    <w:rPr>
      <w:rFonts w:ascii="Cambria" w:eastAsia="Cambria" w:hAnsi="Cambria" w:cs="Times New Roman"/>
      <w:sz w:val="22"/>
      <w:szCs w:val="22"/>
      <w:lang w:val="sq-AL"/>
    </w:rPr>
  </w:style>
  <w:style w:type="paragraph" w:customStyle="1" w:styleId="AAAAATEXT">
    <w:name w:val="AAAAATEXT"/>
    <w:basedOn w:val="Normal"/>
    <w:rsid w:val="007827BC"/>
    <w:pPr>
      <w:spacing w:before="100" w:after="0" w:line="240" w:lineRule="auto"/>
      <w:ind w:firstLine="284"/>
      <w:jc w:val="left"/>
    </w:pPr>
    <w:rPr>
      <w:rFonts w:ascii="Garamond" w:eastAsiaTheme="minorEastAsia" w:hAnsi="Garamond"/>
      <w:sz w:val="24"/>
    </w:rPr>
  </w:style>
  <w:style w:type="paragraph" w:customStyle="1" w:styleId="Normal0">
    <w:name w:val="Normal_0"/>
    <w:qFormat/>
    <w:rsid w:val="003B2EFD"/>
    <w:pPr>
      <w:numPr>
        <w:numId w:val="18"/>
      </w:numPr>
      <w:spacing w:after="60"/>
      <w:jc w:val="both"/>
    </w:pPr>
    <w:rPr>
      <w:rFonts w:ascii="Calibri" w:hAnsi="Calibri" w:cs="Calibri"/>
      <w:sz w:val="22"/>
      <w:szCs w:val="22"/>
    </w:rPr>
  </w:style>
  <w:style w:type="paragraph" w:customStyle="1" w:styleId="xxxmsonormal">
    <w:name w:val="x_x_x_msonormal"/>
    <w:basedOn w:val="Normal"/>
    <w:rsid w:val="005175AC"/>
    <w:pPr>
      <w:spacing w:before="100" w:beforeAutospacing="1" w:after="100" w:afterAutospacing="1" w:line="240" w:lineRule="auto"/>
      <w:jc w:val="left"/>
    </w:pPr>
    <w:rPr>
      <w:rFonts w:ascii="Times New Roman" w:eastAsiaTheme="minorEastAsia" w:hAnsi="Times New Roman"/>
      <w:sz w:val="24"/>
    </w:rPr>
  </w:style>
  <w:style w:type="character" w:styleId="Emphasis">
    <w:name w:val="Emphasis"/>
    <w:basedOn w:val="DefaultParagraphFont"/>
    <w:uiPriority w:val="20"/>
    <w:qFormat/>
    <w:rsid w:val="005175AC"/>
    <w:rPr>
      <w:i/>
      <w:iCs/>
    </w:rPr>
  </w:style>
  <w:style w:type="character" w:customStyle="1" w:styleId="UnresolvedMention3">
    <w:name w:val="Unresolved Mention3"/>
    <w:basedOn w:val="DefaultParagraphFont"/>
    <w:uiPriority w:val="99"/>
    <w:semiHidden/>
    <w:unhideWhenUsed/>
    <w:rsid w:val="0002574D"/>
    <w:rPr>
      <w:color w:val="605E5C"/>
      <w:shd w:val="clear" w:color="auto" w:fill="E1DFDD"/>
    </w:rPr>
  </w:style>
  <w:style w:type="character" w:customStyle="1" w:styleId="UnresolvedMention4">
    <w:name w:val="Unresolved Mention4"/>
    <w:basedOn w:val="DefaultParagraphFont"/>
    <w:uiPriority w:val="99"/>
    <w:semiHidden/>
    <w:unhideWhenUsed/>
    <w:rsid w:val="00075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242">
      <w:bodyDiv w:val="1"/>
      <w:marLeft w:val="0"/>
      <w:marRight w:val="0"/>
      <w:marTop w:val="0"/>
      <w:marBottom w:val="0"/>
      <w:divBdr>
        <w:top w:val="none" w:sz="0" w:space="0" w:color="auto"/>
        <w:left w:val="none" w:sz="0" w:space="0" w:color="auto"/>
        <w:bottom w:val="none" w:sz="0" w:space="0" w:color="auto"/>
        <w:right w:val="none" w:sz="0" w:space="0" w:color="auto"/>
      </w:divBdr>
    </w:div>
    <w:div w:id="157113292">
      <w:bodyDiv w:val="1"/>
      <w:marLeft w:val="0"/>
      <w:marRight w:val="0"/>
      <w:marTop w:val="0"/>
      <w:marBottom w:val="0"/>
      <w:divBdr>
        <w:top w:val="none" w:sz="0" w:space="0" w:color="auto"/>
        <w:left w:val="none" w:sz="0" w:space="0" w:color="auto"/>
        <w:bottom w:val="none" w:sz="0" w:space="0" w:color="auto"/>
        <w:right w:val="none" w:sz="0" w:space="0" w:color="auto"/>
      </w:divBdr>
    </w:div>
    <w:div w:id="183832164">
      <w:bodyDiv w:val="1"/>
      <w:marLeft w:val="0"/>
      <w:marRight w:val="0"/>
      <w:marTop w:val="0"/>
      <w:marBottom w:val="0"/>
      <w:divBdr>
        <w:top w:val="none" w:sz="0" w:space="0" w:color="auto"/>
        <w:left w:val="none" w:sz="0" w:space="0" w:color="auto"/>
        <w:bottom w:val="none" w:sz="0" w:space="0" w:color="auto"/>
        <w:right w:val="none" w:sz="0" w:space="0" w:color="auto"/>
      </w:divBdr>
      <w:divsChild>
        <w:div w:id="1388995037">
          <w:marLeft w:val="0"/>
          <w:marRight w:val="0"/>
          <w:marTop w:val="0"/>
          <w:marBottom w:val="0"/>
          <w:divBdr>
            <w:top w:val="none" w:sz="0" w:space="0" w:color="auto"/>
            <w:left w:val="none" w:sz="0" w:space="0" w:color="auto"/>
            <w:bottom w:val="none" w:sz="0" w:space="0" w:color="auto"/>
            <w:right w:val="none" w:sz="0" w:space="0" w:color="auto"/>
          </w:divBdr>
          <w:divsChild>
            <w:div w:id="1427578687">
              <w:marLeft w:val="0"/>
              <w:marRight w:val="0"/>
              <w:marTop w:val="0"/>
              <w:marBottom w:val="0"/>
              <w:divBdr>
                <w:top w:val="none" w:sz="0" w:space="0" w:color="auto"/>
                <w:left w:val="none" w:sz="0" w:space="0" w:color="auto"/>
                <w:bottom w:val="none" w:sz="0" w:space="0" w:color="auto"/>
                <w:right w:val="none" w:sz="0" w:space="0" w:color="auto"/>
              </w:divBdr>
              <w:divsChild>
                <w:div w:id="184617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19767">
      <w:bodyDiv w:val="1"/>
      <w:marLeft w:val="0"/>
      <w:marRight w:val="0"/>
      <w:marTop w:val="0"/>
      <w:marBottom w:val="0"/>
      <w:divBdr>
        <w:top w:val="none" w:sz="0" w:space="0" w:color="auto"/>
        <w:left w:val="none" w:sz="0" w:space="0" w:color="auto"/>
        <w:bottom w:val="none" w:sz="0" w:space="0" w:color="auto"/>
        <w:right w:val="none" w:sz="0" w:space="0" w:color="auto"/>
      </w:divBdr>
      <w:divsChild>
        <w:div w:id="789596159">
          <w:marLeft w:val="0"/>
          <w:marRight w:val="0"/>
          <w:marTop w:val="0"/>
          <w:marBottom w:val="0"/>
          <w:divBdr>
            <w:top w:val="none" w:sz="0" w:space="0" w:color="auto"/>
            <w:left w:val="none" w:sz="0" w:space="0" w:color="auto"/>
            <w:bottom w:val="none" w:sz="0" w:space="0" w:color="auto"/>
            <w:right w:val="none" w:sz="0" w:space="0" w:color="auto"/>
          </w:divBdr>
          <w:divsChild>
            <w:div w:id="1953591048">
              <w:marLeft w:val="0"/>
              <w:marRight w:val="0"/>
              <w:marTop w:val="0"/>
              <w:marBottom w:val="0"/>
              <w:divBdr>
                <w:top w:val="none" w:sz="0" w:space="0" w:color="auto"/>
                <w:left w:val="none" w:sz="0" w:space="0" w:color="auto"/>
                <w:bottom w:val="none" w:sz="0" w:space="0" w:color="auto"/>
                <w:right w:val="none" w:sz="0" w:space="0" w:color="auto"/>
              </w:divBdr>
              <w:divsChild>
                <w:div w:id="16062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3965">
      <w:bodyDiv w:val="1"/>
      <w:marLeft w:val="0"/>
      <w:marRight w:val="0"/>
      <w:marTop w:val="0"/>
      <w:marBottom w:val="0"/>
      <w:divBdr>
        <w:top w:val="none" w:sz="0" w:space="0" w:color="auto"/>
        <w:left w:val="none" w:sz="0" w:space="0" w:color="auto"/>
        <w:bottom w:val="none" w:sz="0" w:space="0" w:color="auto"/>
        <w:right w:val="none" w:sz="0" w:space="0" w:color="auto"/>
      </w:divBdr>
    </w:div>
    <w:div w:id="319777872">
      <w:bodyDiv w:val="1"/>
      <w:marLeft w:val="0"/>
      <w:marRight w:val="0"/>
      <w:marTop w:val="0"/>
      <w:marBottom w:val="0"/>
      <w:divBdr>
        <w:top w:val="none" w:sz="0" w:space="0" w:color="auto"/>
        <w:left w:val="none" w:sz="0" w:space="0" w:color="auto"/>
        <w:bottom w:val="none" w:sz="0" w:space="0" w:color="auto"/>
        <w:right w:val="none" w:sz="0" w:space="0" w:color="auto"/>
      </w:divBdr>
    </w:div>
    <w:div w:id="347223297">
      <w:bodyDiv w:val="1"/>
      <w:marLeft w:val="0"/>
      <w:marRight w:val="0"/>
      <w:marTop w:val="0"/>
      <w:marBottom w:val="0"/>
      <w:divBdr>
        <w:top w:val="none" w:sz="0" w:space="0" w:color="auto"/>
        <w:left w:val="none" w:sz="0" w:space="0" w:color="auto"/>
        <w:bottom w:val="none" w:sz="0" w:space="0" w:color="auto"/>
        <w:right w:val="none" w:sz="0" w:space="0" w:color="auto"/>
      </w:divBdr>
    </w:div>
    <w:div w:id="385420064">
      <w:bodyDiv w:val="1"/>
      <w:marLeft w:val="0"/>
      <w:marRight w:val="0"/>
      <w:marTop w:val="0"/>
      <w:marBottom w:val="0"/>
      <w:divBdr>
        <w:top w:val="none" w:sz="0" w:space="0" w:color="auto"/>
        <w:left w:val="none" w:sz="0" w:space="0" w:color="auto"/>
        <w:bottom w:val="none" w:sz="0" w:space="0" w:color="auto"/>
        <w:right w:val="none" w:sz="0" w:space="0" w:color="auto"/>
      </w:divBdr>
      <w:divsChild>
        <w:div w:id="403263874">
          <w:marLeft w:val="0"/>
          <w:marRight w:val="0"/>
          <w:marTop w:val="0"/>
          <w:marBottom w:val="0"/>
          <w:divBdr>
            <w:top w:val="none" w:sz="0" w:space="0" w:color="auto"/>
            <w:left w:val="none" w:sz="0" w:space="0" w:color="auto"/>
            <w:bottom w:val="none" w:sz="0" w:space="0" w:color="auto"/>
            <w:right w:val="none" w:sz="0" w:space="0" w:color="auto"/>
          </w:divBdr>
          <w:divsChild>
            <w:div w:id="790242577">
              <w:marLeft w:val="0"/>
              <w:marRight w:val="0"/>
              <w:marTop w:val="0"/>
              <w:marBottom w:val="0"/>
              <w:divBdr>
                <w:top w:val="none" w:sz="0" w:space="0" w:color="auto"/>
                <w:left w:val="none" w:sz="0" w:space="0" w:color="auto"/>
                <w:bottom w:val="none" w:sz="0" w:space="0" w:color="auto"/>
                <w:right w:val="none" w:sz="0" w:space="0" w:color="auto"/>
              </w:divBdr>
              <w:divsChild>
                <w:div w:id="10067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34482">
      <w:bodyDiv w:val="1"/>
      <w:marLeft w:val="0"/>
      <w:marRight w:val="0"/>
      <w:marTop w:val="0"/>
      <w:marBottom w:val="0"/>
      <w:divBdr>
        <w:top w:val="none" w:sz="0" w:space="0" w:color="auto"/>
        <w:left w:val="none" w:sz="0" w:space="0" w:color="auto"/>
        <w:bottom w:val="none" w:sz="0" w:space="0" w:color="auto"/>
        <w:right w:val="none" w:sz="0" w:space="0" w:color="auto"/>
      </w:divBdr>
    </w:div>
    <w:div w:id="630943784">
      <w:bodyDiv w:val="1"/>
      <w:marLeft w:val="0"/>
      <w:marRight w:val="0"/>
      <w:marTop w:val="0"/>
      <w:marBottom w:val="0"/>
      <w:divBdr>
        <w:top w:val="none" w:sz="0" w:space="0" w:color="auto"/>
        <w:left w:val="none" w:sz="0" w:space="0" w:color="auto"/>
        <w:bottom w:val="none" w:sz="0" w:space="0" w:color="auto"/>
        <w:right w:val="none" w:sz="0" w:space="0" w:color="auto"/>
      </w:divBdr>
      <w:divsChild>
        <w:div w:id="310402075">
          <w:marLeft w:val="0"/>
          <w:marRight w:val="0"/>
          <w:marTop w:val="0"/>
          <w:marBottom w:val="0"/>
          <w:divBdr>
            <w:top w:val="none" w:sz="0" w:space="0" w:color="auto"/>
            <w:left w:val="none" w:sz="0" w:space="0" w:color="auto"/>
            <w:bottom w:val="none" w:sz="0" w:space="0" w:color="auto"/>
            <w:right w:val="none" w:sz="0" w:space="0" w:color="auto"/>
          </w:divBdr>
          <w:divsChild>
            <w:div w:id="100076475">
              <w:marLeft w:val="0"/>
              <w:marRight w:val="0"/>
              <w:marTop w:val="0"/>
              <w:marBottom w:val="0"/>
              <w:divBdr>
                <w:top w:val="none" w:sz="0" w:space="0" w:color="auto"/>
                <w:left w:val="none" w:sz="0" w:space="0" w:color="auto"/>
                <w:bottom w:val="none" w:sz="0" w:space="0" w:color="auto"/>
                <w:right w:val="none" w:sz="0" w:space="0" w:color="auto"/>
              </w:divBdr>
              <w:divsChild>
                <w:div w:id="13736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62532">
      <w:bodyDiv w:val="1"/>
      <w:marLeft w:val="0"/>
      <w:marRight w:val="0"/>
      <w:marTop w:val="0"/>
      <w:marBottom w:val="0"/>
      <w:divBdr>
        <w:top w:val="none" w:sz="0" w:space="0" w:color="auto"/>
        <w:left w:val="none" w:sz="0" w:space="0" w:color="auto"/>
        <w:bottom w:val="none" w:sz="0" w:space="0" w:color="auto"/>
        <w:right w:val="none" w:sz="0" w:space="0" w:color="auto"/>
      </w:divBdr>
    </w:div>
    <w:div w:id="741366320">
      <w:bodyDiv w:val="1"/>
      <w:marLeft w:val="0"/>
      <w:marRight w:val="0"/>
      <w:marTop w:val="0"/>
      <w:marBottom w:val="0"/>
      <w:divBdr>
        <w:top w:val="none" w:sz="0" w:space="0" w:color="auto"/>
        <w:left w:val="none" w:sz="0" w:space="0" w:color="auto"/>
        <w:bottom w:val="none" w:sz="0" w:space="0" w:color="auto"/>
        <w:right w:val="none" w:sz="0" w:space="0" w:color="auto"/>
      </w:divBdr>
      <w:divsChild>
        <w:div w:id="320279538">
          <w:marLeft w:val="0"/>
          <w:marRight w:val="0"/>
          <w:marTop w:val="0"/>
          <w:marBottom w:val="0"/>
          <w:divBdr>
            <w:top w:val="none" w:sz="0" w:space="0" w:color="auto"/>
            <w:left w:val="none" w:sz="0" w:space="0" w:color="auto"/>
            <w:bottom w:val="none" w:sz="0" w:space="0" w:color="auto"/>
            <w:right w:val="none" w:sz="0" w:space="0" w:color="auto"/>
          </w:divBdr>
          <w:divsChild>
            <w:div w:id="1323048626">
              <w:marLeft w:val="0"/>
              <w:marRight w:val="0"/>
              <w:marTop w:val="0"/>
              <w:marBottom w:val="0"/>
              <w:divBdr>
                <w:top w:val="none" w:sz="0" w:space="0" w:color="auto"/>
                <w:left w:val="none" w:sz="0" w:space="0" w:color="auto"/>
                <w:bottom w:val="none" w:sz="0" w:space="0" w:color="auto"/>
                <w:right w:val="none" w:sz="0" w:space="0" w:color="auto"/>
              </w:divBdr>
              <w:divsChild>
                <w:div w:id="14498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49502">
      <w:bodyDiv w:val="1"/>
      <w:marLeft w:val="0"/>
      <w:marRight w:val="0"/>
      <w:marTop w:val="0"/>
      <w:marBottom w:val="0"/>
      <w:divBdr>
        <w:top w:val="none" w:sz="0" w:space="0" w:color="auto"/>
        <w:left w:val="none" w:sz="0" w:space="0" w:color="auto"/>
        <w:bottom w:val="none" w:sz="0" w:space="0" w:color="auto"/>
        <w:right w:val="none" w:sz="0" w:space="0" w:color="auto"/>
      </w:divBdr>
    </w:div>
    <w:div w:id="811094221">
      <w:bodyDiv w:val="1"/>
      <w:marLeft w:val="0"/>
      <w:marRight w:val="0"/>
      <w:marTop w:val="0"/>
      <w:marBottom w:val="0"/>
      <w:divBdr>
        <w:top w:val="none" w:sz="0" w:space="0" w:color="auto"/>
        <w:left w:val="none" w:sz="0" w:space="0" w:color="auto"/>
        <w:bottom w:val="none" w:sz="0" w:space="0" w:color="auto"/>
        <w:right w:val="none" w:sz="0" w:space="0" w:color="auto"/>
      </w:divBdr>
      <w:divsChild>
        <w:div w:id="1190799567">
          <w:marLeft w:val="0"/>
          <w:marRight w:val="0"/>
          <w:marTop w:val="0"/>
          <w:marBottom w:val="0"/>
          <w:divBdr>
            <w:top w:val="none" w:sz="0" w:space="0" w:color="auto"/>
            <w:left w:val="none" w:sz="0" w:space="0" w:color="auto"/>
            <w:bottom w:val="none" w:sz="0" w:space="0" w:color="auto"/>
            <w:right w:val="none" w:sz="0" w:space="0" w:color="auto"/>
          </w:divBdr>
          <w:divsChild>
            <w:div w:id="99224302">
              <w:marLeft w:val="0"/>
              <w:marRight w:val="0"/>
              <w:marTop w:val="0"/>
              <w:marBottom w:val="0"/>
              <w:divBdr>
                <w:top w:val="none" w:sz="0" w:space="0" w:color="auto"/>
                <w:left w:val="none" w:sz="0" w:space="0" w:color="auto"/>
                <w:bottom w:val="none" w:sz="0" w:space="0" w:color="auto"/>
                <w:right w:val="none" w:sz="0" w:space="0" w:color="auto"/>
              </w:divBdr>
              <w:divsChild>
                <w:div w:id="5323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14365">
      <w:bodyDiv w:val="1"/>
      <w:marLeft w:val="0"/>
      <w:marRight w:val="0"/>
      <w:marTop w:val="0"/>
      <w:marBottom w:val="0"/>
      <w:divBdr>
        <w:top w:val="none" w:sz="0" w:space="0" w:color="auto"/>
        <w:left w:val="none" w:sz="0" w:space="0" w:color="auto"/>
        <w:bottom w:val="none" w:sz="0" w:space="0" w:color="auto"/>
        <w:right w:val="none" w:sz="0" w:space="0" w:color="auto"/>
      </w:divBdr>
      <w:divsChild>
        <w:div w:id="922910563">
          <w:marLeft w:val="0"/>
          <w:marRight w:val="0"/>
          <w:marTop w:val="15"/>
          <w:marBottom w:val="0"/>
          <w:divBdr>
            <w:top w:val="none" w:sz="0" w:space="0" w:color="auto"/>
            <w:left w:val="none" w:sz="0" w:space="0" w:color="auto"/>
            <w:bottom w:val="none" w:sz="0" w:space="0" w:color="auto"/>
            <w:right w:val="none" w:sz="0" w:space="0" w:color="auto"/>
          </w:divBdr>
          <w:divsChild>
            <w:div w:id="793138050">
              <w:marLeft w:val="0"/>
              <w:marRight w:val="0"/>
              <w:marTop w:val="0"/>
              <w:marBottom w:val="0"/>
              <w:divBdr>
                <w:top w:val="none" w:sz="0" w:space="0" w:color="auto"/>
                <w:left w:val="none" w:sz="0" w:space="0" w:color="auto"/>
                <w:bottom w:val="none" w:sz="0" w:space="0" w:color="auto"/>
                <w:right w:val="none" w:sz="0" w:space="0" w:color="auto"/>
              </w:divBdr>
              <w:divsChild>
                <w:div w:id="250940083">
                  <w:marLeft w:val="0"/>
                  <w:marRight w:val="0"/>
                  <w:marTop w:val="0"/>
                  <w:marBottom w:val="0"/>
                  <w:divBdr>
                    <w:top w:val="none" w:sz="0" w:space="0" w:color="auto"/>
                    <w:left w:val="none" w:sz="0" w:space="0" w:color="auto"/>
                    <w:bottom w:val="none" w:sz="0" w:space="0" w:color="auto"/>
                    <w:right w:val="none" w:sz="0" w:space="0" w:color="auto"/>
                  </w:divBdr>
                </w:div>
                <w:div w:id="45956898">
                  <w:marLeft w:val="0"/>
                  <w:marRight w:val="0"/>
                  <w:marTop w:val="0"/>
                  <w:marBottom w:val="0"/>
                  <w:divBdr>
                    <w:top w:val="none" w:sz="0" w:space="0" w:color="auto"/>
                    <w:left w:val="none" w:sz="0" w:space="0" w:color="auto"/>
                    <w:bottom w:val="none" w:sz="0" w:space="0" w:color="auto"/>
                    <w:right w:val="none" w:sz="0" w:space="0" w:color="auto"/>
                  </w:divBdr>
                </w:div>
                <w:div w:id="187960620">
                  <w:marLeft w:val="0"/>
                  <w:marRight w:val="0"/>
                  <w:marTop w:val="0"/>
                  <w:marBottom w:val="0"/>
                  <w:divBdr>
                    <w:top w:val="none" w:sz="0" w:space="0" w:color="auto"/>
                    <w:left w:val="none" w:sz="0" w:space="0" w:color="auto"/>
                    <w:bottom w:val="none" w:sz="0" w:space="0" w:color="auto"/>
                    <w:right w:val="none" w:sz="0" w:space="0" w:color="auto"/>
                  </w:divBdr>
                </w:div>
                <w:div w:id="1777940729">
                  <w:marLeft w:val="0"/>
                  <w:marRight w:val="0"/>
                  <w:marTop w:val="0"/>
                  <w:marBottom w:val="0"/>
                  <w:divBdr>
                    <w:top w:val="none" w:sz="0" w:space="0" w:color="auto"/>
                    <w:left w:val="none" w:sz="0" w:space="0" w:color="auto"/>
                    <w:bottom w:val="none" w:sz="0" w:space="0" w:color="auto"/>
                    <w:right w:val="none" w:sz="0" w:space="0" w:color="auto"/>
                  </w:divBdr>
                </w:div>
                <w:div w:id="886645511">
                  <w:marLeft w:val="0"/>
                  <w:marRight w:val="0"/>
                  <w:marTop w:val="0"/>
                  <w:marBottom w:val="0"/>
                  <w:divBdr>
                    <w:top w:val="none" w:sz="0" w:space="0" w:color="auto"/>
                    <w:left w:val="none" w:sz="0" w:space="0" w:color="auto"/>
                    <w:bottom w:val="none" w:sz="0" w:space="0" w:color="auto"/>
                    <w:right w:val="none" w:sz="0" w:space="0" w:color="auto"/>
                  </w:divBdr>
                </w:div>
                <w:div w:id="1665544868">
                  <w:marLeft w:val="0"/>
                  <w:marRight w:val="0"/>
                  <w:marTop w:val="0"/>
                  <w:marBottom w:val="0"/>
                  <w:divBdr>
                    <w:top w:val="none" w:sz="0" w:space="0" w:color="auto"/>
                    <w:left w:val="none" w:sz="0" w:space="0" w:color="auto"/>
                    <w:bottom w:val="none" w:sz="0" w:space="0" w:color="auto"/>
                    <w:right w:val="none" w:sz="0" w:space="0" w:color="auto"/>
                  </w:divBdr>
                </w:div>
                <w:div w:id="16726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4685">
      <w:bodyDiv w:val="1"/>
      <w:marLeft w:val="0"/>
      <w:marRight w:val="0"/>
      <w:marTop w:val="0"/>
      <w:marBottom w:val="0"/>
      <w:divBdr>
        <w:top w:val="none" w:sz="0" w:space="0" w:color="auto"/>
        <w:left w:val="none" w:sz="0" w:space="0" w:color="auto"/>
        <w:bottom w:val="none" w:sz="0" w:space="0" w:color="auto"/>
        <w:right w:val="none" w:sz="0" w:space="0" w:color="auto"/>
      </w:divBdr>
      <w:divsChild>
        <w:div w:id="935402403">
          <w:marLeft w:val="0"/>
          <w:marRight w:val="0"/>
          <w:marTop w:val="0"/>
          <w:marBottom w:val="0"/>
          <w:divBdr>
            <w:top w:val="none" w:sz="0" w:space="0" w:color="auto"/>
            <w:left w:val="none" w:sz="0" w:space="0" w:color="auto"/>
            <w:bottom w:val="none" w:sz="0" w:space="0" w:color="auto"/>
            <w:right w:val="none" w:sz="0" w:space="0" w:color="auto"/>
          </w:divBdr>
          <w:divsChild>
            <w:div w:id="520120285">
              <w:marLeft w:val="0"/>
              <w:marRight w:val="0"/>
              <w:marTop w:val="0"/>
              <w:marBottom w:val="0"/>
              <w:divBdr>
                <w:top w:val="none" w:sz="0" w:space="0" w:color="auto"/>
                <w:left w:val="none" w:sz="0" w:space="0" w:color="auto"/>
                <w:bottom w:val="none" w:sz="0" w:space="0" w:color="auto"/>
                <w:right w:val="none" w:sz="0" w:space="0" w:color="auto"/>
              </w:divBdr>
              <w:divsChild>
                <w:div w:id="17985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4367">
      <w:bodyDiv w:val="1"/>
      <w:marLeft w:val="0"/>
      <w:marRight w:val="0"/>
      <w:marTop w:val="0"/>
      <w:marBottom w:val="0"/>
      <w:divBdr>
        <w:top w:val="none" w:sz="0" w:space="0" w:color="auto"/>
        <w:left w:val="none" w:sz="0" w:space="0" w:color="auto"/>
        <w:bottom w:val="none" w:sz="0" w:space="0" w:color="auto"/>
        <w:right w:val="none" w:sz="0" w:space="0" w:color="auto"/>
      </w:divBdr>
    </w:div>
    <w:div w:id="1026830091">
      <w:bodyDiv w:val="1"/>
      <w:marLeft w:val="0"/>
      <w:marRight w:val="0"/>
      <w:marTop w:val="0"/>
      <w:marBottom w:val="0"/>
      <w:divBdr>
        <w:top w:val="none" w:sz="0" w:space="0" w:color="auto"/>
        <w:left w:val="none" w:sz="0" w:space="0" w:color="auto"/>
        <w:bottom w:val="none" w:sz="0" w:space="0" w:color="auto"/>
        <w:right w:val="none" w:sz="0" w:space="0" w:color="auto"/>
      </w:divBdr>
      <w:divsChild>
        <w:div w:id="332487352">
          <w:marLeft w:val="0"/>
          <w:marRight w:val="0"/>
          <w:marTop w:val="0"/>
          <w:marBottom w:val="0"/>
          <w:divBdr>
            <w:top w:val="none" w:sz="0" w:space="0" w:color="auto"/>
            <w:left w:val="none" w:sz="0" w:space="0" w:color="auto"/>
            <w:bottom w:val="none" w:sz="0" w:space="0" w:color="auto"/>
            <w:right w:val="none" w:sz="0" w:space="0" w:color="auto"/>
          </w:divBdr>
          <w:divsChild>
            <w:div w:id="643192827">
              <w:marLeft w:val="0"/>
              <w:marRight w:val="0"/>
              <w:marTop w:val="0"/>
              <w:marBottom w:val="0"/>
              <w:divBdr>
                <w:top w:val="none" w:sz="0" w:space="0" w:color="auto"/>
                <w:left w:val="none" w:sz="0" w:space="0" w:color="auto"/>
                <w:bottom w:val="none" w:sz="0" w:space="0" w:color="auto"/>
                <w:right w:val="none" w:sz="0" w:space="0" w:color="auto"/>
              </w:divBdr>
              <w:divsChild>
                <w:div w:id="1045300806">
                  <w:marLeft w:val="0"/>
                  <w:marRight w:val="0"/>
                  <w:marTop w:val="0"/>
                  <w:marBottom w:val="0"/>
                  <w:divBdr>
                    <w:top w:val="none" w:sz="0" w:space="0" w:color="auto"/>
                    <w:left w:val="none" w:sz="0" w:space="0" w:color="auto"/>
                    <w:bottom w:val="none" w:sz="0" w:space="0" w:color="auto"/>
                    <w:right w:val="none" w:sz="0" w:space="0" w:color="auto"/>
                  </w:divBdr>
                </w:div>
              </w:divsChild>
            </w:div>
            <w:div w:id="1674916004">
              <w:marLeft w:val="0"/>
              <w:marRight w:val="0"/>
              <w:marTop w:val="0"/>
              <w:marBottom w:val="0"/>
              <w:divBdr>
                <w:top w:val="none" w:sz="0" w:space="0" w:color="auto"/>
                <w:left w:val="none" w:sz="0" w:space="0" w:color="auto"/>
                <w:bottom w:val="none" w:sz="0" w:space="0" w:color="auto"/>
                <w:right w:val="none" w:sz="0" w:space="0" w:color="auto"/>
              </w:divBdr>
              <w:divsChild>
                <w:div w:id="14301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3637">
          <w:marLeft w:val="0"/>
          <w:marRight w:val="0"/>
          <w:marTop w:val="0"/>
          <w:marBottom w:val="0"/>
          <w:divBdr>
            <w:top w:val="none" w:sz="0" w:space="0" w:color="auto"/>
            <w:left w:val="none" w:sz="0" w:space="0" w:color="auto"/>
            <w:bottom w:val="none" w:sz="0" w:space="0" w:color="auto"/>
            <w:right w:val="none" w:sz="0" w:space="0" w:color="auto"/>
          </w:divBdr>
          <w:divsChild>
            <w:div w:id="1267806379">
              <w:marLeft w:val="0"/>
              <w:marRight w:val="0"/>
              <w:marTop w:val="0"/>
              <w:marBottom w:val="0"/>
              <w:divBdr>
                <w:top w:val="none" w:sz="0" w:space="0" w:color="auto"/>
                <w:left w:val="none" w:sz="0" w:space="0" w:color="auto"/>
                <w:bottom w:val="none" w:sz="0" w:space="0" w:color="auto"/>
                <w:right w:val="none" w:sz="0" w:space="0" w:color="auto"/>
              </w:divBdr>
              <w:divsChild>
                <w:div w:id="1521627024">
                  <w:marLeft w:val="0"/>
                  <w:marRight w:val="0"/>
                  <w:marTop w:val="0"/>
                  <w:marBottom w:val="0"/>
                  <w:divBdr>
                    <w:top w:val="none" w:sz="0" w:space="0" w:color="auto"/>
                    <w:left w:val="none" w:sz="0" w:space="0" w:color="auto"/>
                    <w:bottom w:val="none" w:sz="0" w:space="0" w:color="auto"/>
                    <w:right w:val="none" w:sz="0" w:space="0" w:color="auto"/>
                  </w:divBdr>
                </w:div>
              </w:divsChild>
            </w:div>
            <w:div w:id="1885210235">
              <w:marLeft w:val="0"/>
              <w:marRight w:val="0"/>
              <w:marTop w:val="0"/>
              <w:marBottom w:val="0"/>
              <w:divBdr>
                <w:top w:val="none" w:sz="0" w:space="0" w:color="auto"/>
                <w:left w:val="none" w:sz="0" w:space="0" w:color="auto"/>
                <w:bottom w:val="none" w:sz="0" w:space="0" w:color="auto"/>
                <w:right w:val="none" w:sz="0" w:space="0" w:color="auto"/>
              </w:divBdr>
              <w:divsChild>
                <w:div w:id="3451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3738">
      <w:bodyDiv w:val="1"/>
      <w:marLeft w:val="0"/>
      <w:marRight w:val="0"/>
      <w:marTop w:val="0"/>
      <w:marBottom w:val="0"/>
      <w:divBdr>
        <w:top w:val="none" w:sz="0" w:space="0" w:color="auto"/>
        <w:left w:val="none" w:sz="0" w:space="0" w:color="auto"/>
        <w:bottom w:val="none" w:sz="0" w:space="0" w:color="auto"/>
        <w:right w:val="none" w:sz="0" w:space="0" w:color="auto"/>
      </w:divBdr>
      <w:divsChild>
        <w:div w:id="54159569">
          <w:marLeft w:val="0"/>
          <w:marRight w:val="0"/>
          <w:marTop w:val="0"/>
          <w:marBottom w:val="0"/>
          <w:divBdr>
            <w:top w:val="none" w:sz="0" w:space="0" w:color="auto"/>
            <w:left w:val="none" w:sz="0" w:space="0" w:color="auto"/>
            <w:bottom w:val="none" w:sz="0" w:space="0" w:color="auto"/>
            <w:right w:val="none" w:sz="0" w:space="0" w:color="auto"/>
          </w:divBdr>
          <w:divsChild>
            <w:div w:id="4939609">
              <w:marLeft w:val="0"/>
              <w:marRight w:val="0"/>
              <w:marTop w:val="0"/>
              <w:marBottom w:val="0"/>
              <w:divBdr>
                <w:top w:val="none" w:sz="0" w:space="0" w:color="auto"/>
                <w:left w:val="none" w:sz="0" w:space="0" w:color="auto"/>
                <w:bottom w:val="none" w:sz="0" w:space="0" w:color="auto"/>
                <w:right w:val="none" w:sz="0" w:space="0" w:color="auto"/>
              </w:divBdr>
              <w:divsChild>
                <w:div w:id="15082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3064">
      <w:bodyDiv w:val="1"/>
      <w:marLeft w:val="0"/>
      <w:marRight w:val="0"/>
      <w:marTop w:val="0"/>
      <w:marBottom w:val="0"/>
      <w:divBdr>
        <w:top w:val="none" w:sz="0" w:space="0" w:color="auto"/>
        <w:left w:val="none" w:sz="0" w:space="0" w:color="auto"/>
        <w:bottom w:val="none" w:sz="0" w:space="0" w:color="auto"/>
        <w:right w:val="none" w:sz="0" w:space="0" w:color="auto"/>
      </w:divBdr>
    </w:div>
    <w:div w:id="1213690305">
      <w:bodyDiv w:val="1"/>
      <w:marLeft w:val="0"/>
      <w:marRight w:val="0"/>
      <w:marTop w:val="0"/>
      <w:marBottom w:val="0"/>
      <w:divBdr>
        <w:top w:val="none" w:sz="0" w:space="0" w:color="auto"/>
        <w:left w:val="none" w:sz="0" w:space="0" w:color="auto"/>
        <w:bottom w:val="none" w:sz="0" w:space="0" w:color="auto"/>
        <w:right w:val="none" w:sz="0" w:space="0" w:color="auto"/>
      </w:divBdr>
    </w:div>
    <w:div w:id="1226915381">
      <w:bodyDiv w:val="1"/>
      <w:marLeft w:val="0"/>
      <w:marRight w:val="0"/>
      <w:marTop w:val="0"/>
      <w:marBottom w:val="0"/>
      <w:divBdr>
        <w:top w:val="none" w:sz="0" w:space="0" w:color="auto"/>
        <w:left w:val="none" w:sz="0" w:space="0" w:color="auto"/>
        <w:bottom w:val="none" w:sz="0" w:space="0" w:color="auto"/>
        <w:right w:val="none" w:sz="0" w:space="0" w:color="auto"/>
      </w:divBdr>
    </w:div>
    <w:div w:id="1364599510">
      <w:bodyDiv w:val="1"/>
      <w:marLeft w:val="0"/>
      <w:marRight w:val="0"/>
      <w:marTop w:val="0"/>
      <w:marBottom w:val="0"/>
      <w:divBdr>
        <w:top w:val="none" w:sz="0" w:space="0" w:color="auto"/>
        <w:left w:val="none" w:sz="0" w:space="0" w:color="auto"/>
        <w:bottom w:val="none" w:sz="0" w:space="0" w:color="auto"/>
        <w:right w:val="none" w:sz="0" w:space="0" w:color="auto"/>
      </w:divBdr>
      <w:divsChild>
        <w:div w:id="1396703768">
          <w:marLeft w:val="0"/>
          <w:marRight w:val="0"/>
          <w:marTop w:val="0"/>
          <w:marBottom w:val="0"/>
          <w:divBdr>
            <w:top w:val="none" w:sz="0" w:space="0" w:color="auto"/>
            <w:left w:val="none" w:sz="0" w:space="0" w:color="auto"/>
            <w:bottom w:val="none" w:sz="0" w:space="0" w:color="auto"/>
            <w:right w:val="none" w:sz="0" w:space="0" w:color="auto"/>
          </w:divBdr>
          <w:divsChild>
            <w:div w:id="443765564">
              <w:marLeft w:val="0"/>
              <w:marRight w:val="0"/>
              <w:marTop w:val="0"/>
              <w:marBottom w:val="0"/>
              <w:divBdr>
                <w:top w:val="none" w:sz="0" w:space="0" w:color="auto"/>
                <w:left w:val="none" w:sz="0" w:space="0" w:color="auto"/>
                <w:bottom w:val="none" w:sz="0" w:space="0" w:color="auto"/>
                <w:right w:val="none" w:sz="0" w:space="0" w:color="auto"/>
              </w:divBdr>
              <w:divsChild>
                <w:div w:id="19783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43213">
      <w:bodyDiv w:val="1"/>
      <w:marLeft w:val="0"/>
      <w:marRight w:val="0"/>
      <w:marTop w:val="0"/>
      <w:marBottom w:val="0"/>
      <w:divBdr>
        <w:top w:val="none" w:sz="0" w:space="0" w:color="auto"/>
        <w:left w:val="none" w:sz="0" w:space="0" w:color="auto"/>
        <w:bottom w:val="none" w:sz="0" w:space="0" w:color="auto"/>
        <w:right w:val="none" w:sz="0" w:space="0" w:color="auto"/>
      </w:divBdr>
    </w:div>
    <w:div w:id="1480465157">
      <w:bodyDiv w:val="1"/>
      <w:marLeft w:val="0"/>
      <w:marRight w:val="0"/>
      <w:marTop w:val="0"/>
      <w:marBottom w:val="0"/>
      <w:divBdr>
        <w:top w:val="none" w:sz="0" w:space="0" w:color="auto"/>
        <w:left w:val="none" w:sz="0" w:space="0" w:color="auto"/>
        <w:bottom w:val="none" w:sz="0" w:space="0" w:color="auto"/>
        <w:right w:val="none" w:sz="0" w:space="0" w:color="auto"/>
      </w:divBdr>
    </w:div>
    <w:div w:id="1505633158">
      <w:bodyDiv w:val="1"/>
      <w:marLeft w:val="0"/>
      <w:marRight w:val="0"/>
      <w:marTop w:val="0"/>
      <w:marBottom w:val="0"/>
      <w:divBdr>
        <w:top w:val="none" w:sz="0" w:space="0" w:color="auto"/>
        <w:left w:val="none" w:sz="0" w:space="0" w:color="auto"/>
        <w:bottom w:val="none" w:sz="0" w:space="0" w:color="auto"/>
        <w:right w:val="none" w:sz="0" w:space="0" w:color="auto"/>
      </w:divBdr>
    </w:div>
    <w:div w:id="1538544118">
      <w:bodyDiv w:val="1"/>
      <w:marLeft w:val="0"/>
      <w:marRight w:val="0"/>
      <w:marTop w:val="0"/>
      <w:marBottom w:val="0"/>
      <w:divBdr>
        <w:top w:val="none" w:sz="0" w:space="0" w:color="auto"/>
        <w:left w:val="none" w:sz="0" w:space="0" w:color="auto"/>
        <w:bottom w:val="none" w:sz="0" w:space="0" w:color="auto"/>
        <w:right w:val="none" w:sz="0" w:space="0" w:color="auto"/>
      </w:divBdr>
    </w:div>
    <w:div w:id="1612933243">
      <w:bodyDiv w:val="1"/>
      <w:marLeft w:val="0"/>
      <w:marRight w:val="0"/>
      <w:marTop w:val="0"/>
      <w:marBottom w:val="0"/>
      <w:divBdr>
        <w:top w:val="none" w:sz="0" w:space="0" w:color="auto"/>
        <w:left w:val="none" w:sz="0" w:space="0" w:color="auto"/>
        <w:bottom w:val="none" w:sz="0" w:space="0" w:color="auto"/>
        <w:right w:val="none" w:sz="0" w:space="0" w:color="auto"/>
      </w:divBdr>
      <w:divsChild>
        <w:div w:id="1369840124">
          <w:marLeft w:val="0"/>
          <w:marRight w:val="0"/>
          <w:marTop w:val="0"/>
          <w:marBottom w:val="0"/>
          <w:divBdr>
            <w:top w:val="none" w:sz="0" w:space="0" w:color="auto"/>
            <w:left w:val="none" w:sz="0" w:space="0" w:color="auto"/>
            <w:bottom w:val="none" w:sz="0" w:space="0" w:color="auto"/>
            <w:right w:val="none" w:sz="0" w:space="0" w:color="auto"/>
          </w:divBdr>
          <w:divsChild>
            <w:div w:id="321281653">
              <w:marLeft w:val="0"/>
              <w:marRight w:val="0"/>
              <w:marTop w:val="0"/>
              <w:marBottom w:val="0"/>
              <w:divBdr>
                <w:top w:val="none" w:sz="0" w:space="0" w:color="auto"/>
                <w:left w:val="none" w:sz="0" w:space="0" w:color="auto"/>
                <w:bottom w:val="none" w:sz="0" w:space="0" w:color="auto"/>
                <w:right w:val="none" w:sz="0" w:space="0" w:color="auto"/>
              </w:divBdr>
              <w:divsChild>
                <w:div w:id="1126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70429">
      <w:bodyDiv w:val="1"/>
      <w:marLeft w:val="0"/>
      <w:marRight w:val="0"/>
      <w:marTop w:val="0"/>
      <w:marBottom w:val="0"/>
      <w:divBdr>
        <w:top w:val="none" w:sz="0" w:space="0" w:color="auto"/>
        <w:left w:val="none" w:sz="0" w:space="0" w:color="auto"/>
        <w:bottom w:val="none" w:sz="0" w:space="0" w:color="auto"/>
        <w:right w:val="none" w:sz="0" w:space="0" w:color="auto"/>
      </w:divBdr>
      <w:divsChild>
        <w:div w:id="1411268882">
          <w:marLeft w:val="0"/>
          <w:marRight w:val="0"/>
          <w:marTop w:val="0"/>
          <w:marBottom w:val="0"/>
          <w:divBdr>
            <w:top w:val="none" w:sz="0" w:space="0" w:color="auto"/>
            <w:left w:val="none" w:sz="0" w:space="0" w:color="auto"/>
            <w:bottom w:val="none" w:sz="0" w:space="0" w:color="auto"/>
            <w:right w:val="none" w:sz="0" w:space="0" w:color="auto"/>
          </w:divBdr>
          <w:divsChild>
            <w:div w:id="1380782600">
              <w:marLeft w:val="0"/>
              <w:marRight w:val="0"/>
              <w:marTop w:val="0"/>
              <w:marBottom w:val="0"/>
              <w:divBdr>
                <w:top w:val="none" w:sz="0" w:space="0" w:color="auto"/>
                <w:left w:val="none" w:sz="0" w:space="0" w:color="auto"/>
                <w:bottom w:val="none" w:sz="0" w:space="0" w:color="auto"/>
                <w:right w:val="none" w:sz="0" w:space="0" w:color="auto"/>
              </w:divBdr>
              <w:divsChild>
                <w:div w:id="13085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78150">
      <w:bodyDiv w:val="1"/>
      <w:marLeft w:val="0"/>
      <w:marRight w:val="0"/>
      <w:marTop w:val="0"/>
      <w:marBottom w:val="0"/>
      <w:divBdr>
        <w:top w:val="none" w:sz="0" w:space="0" w:color="auto"/>
        <w:left w:val="none" w:sz="0" w:space="0" w:color="auto"/>
        <w:bottom w:val="none" w:sz="0" w:space="0" w:color="auto"/>
        <w:right w:val="none" w:sz="0" w:space="0" w:color="auto"/>
      </w:divBdr>
      <w:divsChild>
        <w:div w:id="1178229509">
          <w:marLeft w:val="0"/>
          <w:marRight w:val="0"/>
          <w:marTop w:val="0"/>
          <w:marBottom w:val="0"/>
          <w:divBdr>
            <w:top w:val="none" w:sz="0" w:space="0" w:color="auto"/>
            <w:left w:val="none" w:sz="0" w:space="0" w:color="auto"/>
            <w:bottom w:val="none" w:sz="0" w:space="0" w:color="auto"/>
            <w:right w:val="none" w:sz="0" w:space="0" w:color="auto"/>
          </w:divBdr>
          <w:divsChild>
            <w:div w:id="901644800">
              <w:marLeft w:val="0"/>
              <w:marRight w:val="0"/>
              <w:marTop w:val="0"/>
              <w:marBottom w:val="0"/>
              <w:divBdr>
                <w:top w:val="none" w:sz="0" w:space="0" w:color="auto"/>
                <w:left w:val="none" w:sz="0" w:space="0" w:color="auto"/>
                <w:bottom w:val="none" w:sz="0" w:space="0" w:color="auto"/>
                <w:right w:val="none" w:sz="0" w:space="0" w:color="auto"/>
              </w:divBdr>
              <w:divsChild>
                <w:div w:id="13849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659627">
      <w:bodyDiv w:val="1"/>
      <w:marLeft w:val="0"/>
      <w:marRight w:val="0"/>
      <w:marTop w:val="0"/>
      <w:marBottom w:val="0"/>
      <w:divBdr>
        <w:top w:val="none" w:sz="0" w:space="0" w:color="auto"/>
        <w:left w:val="none" w:sz="0" w:space="0" w:color="auto"/>
        <w:bottom w:val="none" w:sz="0" w:space="0" w:color="auto"/>
        <w:right w:val="none" w:sz="0" w:space="0" w:color="auto"/>
      </w:divBdr>
      <w:divsChild>
        <w:div w:id="157505592">
          <w:marLeft w:val="0"/>
          <w:marRight w:val="0"/>
          <w:marTop w:val="0"/>
          <w:marBottom w:val="0"/>
          <w:divBdr>
            <w:top w:val="none" w:sz="0" w:space="0" w:color="auto"/>
            <w:left w:val="none" w:sz="0" w:space="0" w:color="auto"/>
            <w:bottom w:val="none" w:sz="0" w:space="0" w:color="auto"/>
            <w:right w:val="none" w:sz="0" w:space="0" w:color="auto"/>
          </w:divBdr>
          <w:divsChild>
            <w:div w:id="168839697">
              <w:marLeft w:val="0"/>
              <w:marRight w:val="0"/>
              <w:marTop w:val="0"/>
              <w:marBottom w:val="0"/>
              <w:divBdr>
                <w:top w:val="none" w:sz="0" w:space="0" w:color="auto"/>
                <w:left w:val="none" w:sz="0" w:space="0" w:color="auto"/>
                <w:bottom w:val="none" w:sz="0" w:space="0" w:color="auto"/>
                <w:right w:val="none" w:sz="0" w:space="0" w:color="auto"/>
              </w:divBdr>
              <w:divsChild>
                <w:div w:id="15635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1594">
      <w:bodyDiv w:val="1"/>
      <w:marLeft w:val="0"/>
      <w:marRight w:val="0"/>
      <w:marTop w:val="0"/>
      <w:marBottom w:val="0"/>
      <w:divBdr>
        <w:top w:val="none" w:sz="0" w:space="0" w:color="auto"/>
        <w:left w:val="none" w:sz="0" w:space="0" w:color="auto"/>
        <w:bottom w:val="none" w:sz="0" w:space="0" w:color="auto"/>
        <w:right w:val="none" w:sz="0" w:space="0" w:color="auto"/>
      </w:divBdr>
      <w:divsChild>
        <w:div w:id="1329291651">
          <w:marLeft w:val="547"/>
          <w:marRight w:val="0"/>
          <w:marTop w:val="0"/>
          <w:marBottom w:val="0"/>
          <w:divBdr>
            <w:top w:val="none" w:sz="0" w:space="0" w:color="auto"/>
            <w:left w:val="none" w:sz="0" w:space="0" w:color="auto"/>
            <w:bottom w:val="none" w:sz="0" w:space="0" w:color="auto"/>
            <w:right w:val="none" w:sz="0" w:space="0" w:color="auto"/>
          </w:divBdr>
        </w:div>
        <w:div w:id="195706221">
          <w:marLeft w:val="547"/>
          <w:marRight w:val="0"/>
          <w:marTop w:val="0"/>
          <w:marBottom w:val="0"/>
          <w:divBdr>
            <w:top w:val="none" w:sz="0" w:space="0" w:color="auto"/>
            <w:left w:val="none" w:sz="0" w:space="0" w:color="auto"/>
            <w:bottom w:val="none" w:sz="0" w:space="0" w:color="auto"/>
            <w:right w:val="none" w:sz="0" w:space="0" w:color="auto"/>
          </w:divBdr>
        </w:div>
        <w:div w:id="778110646">
          <w:marLeft w:val="547"/>
          <w:marRight w:val="0"/>
          <w:marTop w:val="0"/>
          <w:marBottom w:val="0"/>
          <w:divBdr>
            <w:top w:val="none" w:sz="0" w:space="0" w:color="auto"/>
            <w:left w:val="none" w:sz="0" w:space="0" w:color="auto"/>
            <w:bottom w:val="none" w:sz="0" w:space="0" w:color="auto"/>
            <w:right w:val="none" w:sz="0" w:space="0" w:color="auto"/>
          </w:divBdr>
        </w:div>
        <w:div w:id="1888224663">
          <w:marLeft w:val="547"/>
          <w:marRight w:val="0"/>
          <w:marTop w:val="0"/>
          <w:marBottom w:val="0"/>
          <w:divBdr>
            <w:top w:val="none" w:sz="0" w:space="0" w:color="auto"/>
            <w:left w:val="none" w:sz="0" w:space="0" w:color="auto"/>
            <w:bottom w:val="none" w:sz="0" w:space="0" w:color="auto"/>
            <w:right w:val="none" w:sz="0" w:space="0" w:color="auto"/>
          </w:divBdr>
        </w:div>
        <w:div w:id="1048265471">
          <w:marLeft w:val="547"/>
          <w:marRight w:val="0"/>
          <w:marTop w:val="0"/>
          <w:marBottom w:val="0"/>
          <w:divBdr>
            <w:top w:val="none" w:sz="0" w:space="0" w:color="auto"/>
            <w:left w:val="none" w:sz="0" w:space="0" w:color="auto"/>
            <w:bottom w:val="none" w:sz="0" w:space="0" w:color="auto"/>
            <w:right w:val="none" w:sz="0" w:space="0" w:color="auto"/>
          </w:divBdr>
        </w:div>
        <w:div w:id="482429467">
          <w:marLeft w:val="547"/>
          <w:marRight w:val="0"/>
          <w:marTop w:val="0"/>
          <w:marBottom w:val="0"/>
          <w:divBdr>
            <w:top w:val="none" w:sz="0" w:space="0" w:color="auto"/>
            <w:left w:val="none" w:sz="0" w:space="0" w:color="auto"/>
            <w:bottom w:val="none" w:sz="0" w:space="0" w:color="auto"/>
            <w:right w:val="none" w:sz="0" w:space="0" w:color="auto"/>
          </w:divBdr>
        </w:div>
        <w:div w:id="1506555049">
          <w:marLeft w:val="547"/>
          <w:marRight w:val="0"/>
          <w:marTop w:val="0"/>
          <w:marBottom w:val="0"/>
          <w:divBdr>
            <w:top w:val="none" w:sz="0" w:space="0" w:color="auto"/>
            <w:left w:val="none" w:sz="0" w:space="0" w:color="auto"/>
            <w:bottom w:val="none" w:sz="0" w:space="0" w:color="auto"/>
            <w:right w:val="none" w:sz="0" w:space="0" w:color="auto"/>
          </w:divBdr>
        </w:div>
        <w:div w:id="59110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wbif.eu/eip" TargetMode="External"/><Relationship Id="rId7" Type="http://schemas.openxmlformats.org/officeDocument/2006/relationships/hyperlink" Target="https://shendetesia.gov.al/sp-content/uploads/2021/07/Strategjia-Kombetare-per-Barazine-Gjinore-2021-2030.docx" TargetMode="External"/><Relationship Id="rId2" Type="http://schemas.openxmlformats.org/officeDocument/2006/relationships/hyperlink" Target="https://ec.europa.eu/social" TargetMode="External"/><Relationship Id="rId1" Type="http://schemas.openxmlformats.org/officeDocument/2006/relationships/hyperlink" Target="https://www.esn-eu.org/videos/30th-european-social-services-conference" TargetMode="External"/><Relationship Id="rId6" Type="http://schemas.openxmlformats.org/officeDocument/2006/relationships/hyperlink" Target="https://albania.un.org/sq/sdgs" TargetMode="External"/><Relationship Id="rId5" Type="http://schemas.openxmlformats.org/officeDocument/2006/relationships/hyperlink" Target="https://www.europarl.europa.eu/news/en/headlines/society/20200604STO80506/a-new-ambitious-eu-disability-strategy-for-2021-2030" TargetMode="External"/><Relationship Id="rId4" Type="http://schemas.openxmlformats.org/officeDocument/2006/relationships/hyperlink" Target="https://ec.europa.eu/social/main.jsp?catId=89&amp;newsId=9971&amp;furtherNews=yes&amp;langId=en&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55116-EF3A-49A9-8927-AA761AEC89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25946</Words>
  <Characters>147898</Characters>
  <Application>Microsoft Office Word</Application>
  <DocSecurity>0</DocSecurity>
  <Lines>1232</Lines>
  <Paragraphs>346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dc:creator>
  <cp:keywords/>
  <dc:description/>
  <cp:lastModifiedBy>Nertila Topulli</cp:lastModifiedBy>
  <cp:revision>2</cp:revision>
  <cp:lastPrinted>2023-10-24T14:20:00Z</cp:lastPrinted>
  <dcterms:created xsi:type="dcterms:W3CDTF">2023-11-23T20:08:00Z</dcterms:created>
  <dcterms:modified xsi:type="dcterms:W3CDTF">2023-11-23T20:08:00Z</dcterms:modified>
  <cp:category/>
</cp:coreProperties>
</file>