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5F015" w14:textId="6CE4B88D" w:rsidR="008D79F2" w:rsidRPr="009475CC" w:rsidRDefault="00FB36DA" w:rsidP="00FB36DA">
      <w:pPr>
        <w:jc w:val="center"/>
        <w:rPr>
          <w:rFonts w:cs="Times New Roman"/>
          <w:sz w:val="52"/>
          <w:szCs w:val="52"/>
          <w:lang w:val="sq-AL"/>
        </w:rPr>
      </w:pPr>
      <w:bookmarkStart w:id="0" w:name="_GoBack"/>
      <w:bookmarkEnd w:id="0"/>
      <w:r w:rsidRPr="009475CC">
        <w:rPr>
          <w:rFonts w:cs="Times New Roman"/>
          <w:sz w:val="52"/>
          <w:szCs w:val="52"/>
          <w:lang w:val="sq-AL"/>
        </w:rPr>
        <w:t>Ministria e Financave dhe Ekonomisë</w:t>
      </w:r>
    </w:p>
    <w:p w14:paraId="1D88D922" w14:textId="25FEB403" w:rsidR="00FB36DA" w:rsidRPr="009475CC" w:rsidRDefault="00FB36DA" w:rsidP="00FB36DA">
      <w:pPr>
        <w:jc w:val="center"/>
        <w:rPr>
          <w:rFonts w:cs="Times New Roman"/>
          <w:sz w:val="52"/>
          <w:szCs w:val="52"/>
          <w:lang w:val="sq-AL"/>
        </w:rPr>
      </w:pPr>
    </w:p>
    <w:p w14:paraId="374C9595" w14:textId="10133B57" w:rsidR="00FB36DA" w:rsidRPr="009475CC" w:rsidRDefault="00FB36DA" w:rsidP="00FB36DA">
      <w:pPr>
        <w:jc w:val="center"/>
        <w:rPr>
          <w:rFonts w:cs="Times New Roman"/>
          <w:sz w:val="52"/>
          <w:szCs w:val="52"/>
          <w:lang w:val="sq-AL"/>
        </w:rPr>
      </w:pPr>
    </w:p>
    <w:p w14:paraId="4CD833A6" w14:textId="1D42463E" w:rsidR="00FB36DA" w:rsidRPr="009475CC" w:rsidRDefault="00FB36DA" w:rsidP="00FB36DA">
      <w:pPr>
        <w:jc w:val="center"/>
        <w:rPr>
          <w:rFonts w:cs="Times New Roman"/>
          <w:sz w:val="52"/>
          <w:szCs w:val="52"/>
          <w:lang w:val="sq-AL"/>
        </w:rPr>
      </w:pPr>
    </w:p>
    <w:p w14:paraId="77578E52" w14:textId="1B738551" w:rsidR="00FB36DA" w:rsidRPr="00B6745F" w:rsidRDefault="00FB36DA" w:rsidP="00B6745F">
      <w:pPr>
        <w:pStyle w:val="Title"/>
        <w:spacing w:line="360" w:lineRule="auto"/>
        <w:jc w:val="right"/>
        <w:rPr>
          <w:rFonts w:ascii="Times New Roman" w:hAnsi="Times New Roman" w:cs="Times New Roman"/>
          <w:color w:val="2F5496" w:themeColor="accent5" w:themeShade="BF"/>
          <w:sz w:val="40"/>
          <w:szCs w:val="40"/>
          <w:lang w:val="sq-AL"/>
        </w:rPr>
      </w:pPr>
      <w:r w:rsidRPr="00B6745F">
        <w:rPr>
          <w:rFonts w:ascii="Times New Roman" w:hAnsi="Times New Roman" w:cs="Times New Roman"/>
          <w:color w:val="2F5496" w:themeColor="accent5" w:themeShade="BF"/>
          <w:sz w:val="40"/>
          <w:szCs w:val="40"/>
          <w:lang w:val="sq-AL"/>
        </w:rPr>
        <w:t>STRATEGJIA NDËRSEKTORIALE</w:t>
      </w:r>
    </w:p>
    <w:p w14:paraId="02D935FA" w14:textId="6B477CA4" w:rsidR="00FB36DA" w:rsidRPr="00B6745F" w:rsidRDefault="00FB36DA" w:rsidP="00B6745F">
      <w:pPr>
        <w:pStyle w:val="Title"/>
        <w:spacing w:line="360" w:lineRule="auto"/>
        <w:jc w:val="right"/>
        <w:rPr>
          <w:rFonts w:ascii="Times New Roman" w:hAnsi="Times New Roman" w:cs="Times New Roman"/>
          <w:color w:val="2F5496" w:themeColor="accent5" w:themeShade="BF"/>
          <w:sz w:val="40"/>
          <w:szCs w:val="40"/>
          <w:lang w:val="sq-AL"/>
        </w:rPr>
      </w:pPr>
      <w:r w:rsidRPr="00B6745F">
        <w:rPr>
          <w:rFonts w:ascii="Times New Roman" w:hAnsi="Times New Roman" w:cs="Times New Roman"/>
          <w:color w:val="2F5496" w:themeColor="accent5" w:themeShade="BF"/>
          <w:sz w:val="40"/>
          <w:szCs w:val="40"/>
          <w:lang w:val="sq-AL"/>
        </w:rPr>
        <w:t>PËR MBROJTJEN E KONSUMATORËVE DHE MBIKQYRJEN E TREGUT</w:t>
      </w:r>
    </w:p>
    <w:p w14:paraId="361499D1" w14:textId="5A788F57" w:rsidR="00FB36DA" w:rsidRPr="00B6745F" w:rsidRDefault="00FB36DA" w:rsidP="00B6745F">
      <w:pPr>
        <w:pStyle w:val="Title"/>
        <w:spacing w:line="360" w:lineRule="auto"/>
        <w:jc w:val="right"/>
        <w:rPr>
          <w:rFonts w:ascii="Times New Roman" w:hAnsi="Times New Roman" w:cs="Times New Roman"/>
          <w:color w:val="2F5496" w:themeColor="accent5" w:themeShade="BF"/>
          <w:sz w:val="40"/>
          <w:szCs w:val="40"/>
          <w:lang w:val="sq-AL"/>
        </w:rPr>
      </w:pPr>
      <w:r w:rsidRPr="00B6745F">
        <w:rPr>
          <w:rFonts w:ascii="Times New Roman" w:hAnsi="Times New Roman" w:cs="Times New Roman"/>
          <w:color w:val="2F5496" w:themeColor="accent5" w:themeShade="BF"/>
          <w:sz w:val="40"/>
          <w:szCs w:val="40"/>
          <w:lang w:val="sq-AL"/>
        </w:rPr>
        <w:t>2023 – 2030</w:t>
      </w:r>
    </w:p>
    <w:p w14:paraId="603486BC" w14:textId="5E1FF517" w:rsidR="00FB36DA" w:rsidRPr="009475CC" w:rsidRDefault="00FB36DA" w:rsidP="00FB36DA">
      <w:pPr>
        <w:jc w:val="center"/>
        <w:rPr>
          <w:rFonts w:cs="Times New Roman"/>
          <w:sz w:val="52"/>
          <w:szCs w:val="52"/>
          <w:lang w:val="sq-AL"/>
        </w:rPr>
      </w:pPr>
    </w:p>
    <w:p w14:paraId="0B0A5032" w14:textId="25B343AA" w:rsidR="00FB36DA" w:rsidRPr="009475CC" w:rsidRDefault="00FB36DA" w:rsidP="00FB36DA">
      <w:pPr>
        <w:jc w:val="center"/>
        <w:rPr>
          <w:rFonts w:cs="Times New Roman"/>
          <w:sz w:val="52"/>
          <w:szCs w:val="52"/>
          <w:lang w:val="sq-AL"/>
        </w:rPr>
      </w:pPr>
    </w:p>
    <w:p w14:paraId="4CC5384E" w14:textId="450DF56E" w:rsidR="00FB36DA" w:rsidRPr="009475CC" w:rsidRDefault="00FB36DA" w:rsidP="00FB36DA">
      <w:pPr>
        <w:jc w:val="center"/>
        <w:rPr>
          <w:rFonts w:cs="Times New Roman"/>
          <w:sz w:val="52"/>
          <w:szCs w:val="52"/>
          <w:lang w:val="sq-AL"/>
        </w:rPr>
      </w:pPr>
    </w:p>
    <w:p w14:paraId="438D68C8" w14:textId="22F9A91C" w:rsidR="00FB36DA" w:rsidRPr="009475CC" w:rsidRDefault="00FB36DA" w:rsidP="00FB36DA">
      <w:pPr>
        <w:jc w:val="center"/>
        <w:rPr>
          <w:rFonts w:cs="Times New Roman"/>
          <w:sz w:val="52"/>
          <w:szCs w:val="52"/>
          <w:lang w:val="sq-AL"/>
        </w:rPr>
      </w:pPr>
    </w:p>
    <w:p w14:paraId="5ED95297" w14:textId="52424644" w:rsidR="00FB36DA" w:rsidRPr="009475CC" w:rsidRDefault="00FB36DA" w:rsidP="00FB36DA">
      <w:pPr>
        <w:jc w:val="center"/>
        <w:rPr>
          <w:rFonts w:cs="Times New Roman"/>
          <w:sz w:val="52"/>
          <w:szCs w:val="52"/>
          <w:lang w:val="sq-AL"/>
        </w:rPr>
      </w:pPr>
    </w:p>
    <w:p w14:paraId="538E8F9F" w14:textId="1F289657" w:rsidR="00FB36DA" w:rsidRPr="009475CC" w:rsidRDefault="00FB36DA" w:rsidP="00FB36DA">
      <w:pPr>
        <w:jc w:val="center"/>
        <w:rPr>
          <w:rFonts w:cs="Times New Roman"/>
          <w:sz w:val="52"/>
          <w:szCs w:val="52"/>
          <w:lang w:val="sq-AL"/>
        </w:rPr>
      </w:pPr>
    </w:p>
    <w:p w14:paraId="731C3755" w14:textId="1C83ACC5" w:rsidR="00FB36DA" w:rsidRPr="009475CC" w:rsidRDefault="00FB36DA" w:rsidP="00FB36DA">
      <w:pPr>
        <w:jc w:val="center"/>
        <w:rPr>
          <w:rFonts w:cs="Times New Roman"/>
          <w:sz w:val="52"/>
          <w:szCs w:val="52"/>
          <w:lang w:val="sq-AL"/>
        </w:rPr>
      </w:pPr>
    </w:p>
    <w:p w14:paraId="46C30ADF" w14:textId="58648524" w:rsidR="00EE4CB6" w:rsidRDefault="00EE4CB6" w:rsidP="00EE4CB6">
      <w:pPr>
        <w:pStyle w:val="ListParagraph"/>
        <w:jc w:val="center"/>
        <w:rPr>
          <w:rFonts w:cs="Times New Roman"/>
          <w:sz w:val="40"/>
          <w:szCs w:val="40"/>
          <w:lang w:val="sq-AL"/>
        </w:rPr>
      </w:pPr>
      <w:r>
        <w:rPr>
          <w:rFonts w:cs="Times New Roman"/>
          <w:sz w:val="40"/>
          <w:szCs w:val="40"/>
          <w:lang w:val="sq-AL"/>
        </w:rPr>
        <w:t>Draft</w:t>
      </w:r>
    </w:p>
    <w:p w14:paraId="6EFD2C48" w14:textId="0B3F9748" w:rsidR="00FB36DA" w:rsidRPr="00EE4CB6" w:rsidRDefault="00FB36DA" w:rsidP="00EE4CB6">
      <w:pPr>
        <w:pStyle w:val="ListParagraph"/>
        <w:jc w:val="center"/>
        <w:rPr>
          <w:rFonts w:cs="Times New Roman"/>
          <w:sz w:val="40"/>
          <w:szCs w:val="40"/>
          <w:lang w:val="sq-AL"/>
        </w:rPr>
      </w:pPr>
      <w:r w:rsidRPr="00EE4CB6">
        <w:rPr>
          <w:rFonts w:cs="Times New Roman"/>
          <w:sz w:val="40"/>
          <w:szCs w:val="40"/>
          <w:lang w:val="sq-AL"/>
        </w:rPr>
        <w:t>Dhjetor 202</w:t>
      </w:r>
      <w:r w:rsidR="00B94CC2">
        <w:rPr>
          <w:rFonts w:cs="Times New Roman"/>
          <w:sz w:val="40"/>
          <w:szCs w:val="40"/>
          <w:lang w:val="sq-AL"/>
        </w:rPr>
        <w:t>3</w:t>
      </w:r>
    </w:p>
    <w:p w14:paraId="33BB3DDE" w14:textId="77777777" w:rsidR="00B6745F" w:rsidRDefault="00B6745F" w:rsidP="00FB36DA">
      <w:pPr>
        <w:jc w:val="center"/>
        <w:rPr>
          <w:lang w:val="sq-AL"/>
        </w:rPr>
        <w:sectPr w:rsidR="00B6745F">
          <w:footerReference w:type="default" r:id="rId11"/>
          <w:pgSz w:w="11906" w:h="16838"/>
          <w:pgMar w:top="1440" w:right="1440" w:bottom="1440" w:left="1440" w:header="708" w:footer="708" w:gutter="0"/>
          <w:cols w:space="708"/>
          <w:docGrid w:linePitch="360"/>
        </w:sectPr>
      </w:pPr>
    </w:p>
    <w:sdt>
      <w:sdtPr>
        <w:rPr>
          <w:rFonts w:ascii="Times New Roman" w:eastAsiaTheme="minorHAnsi" w:hAnsi="Times New Roman" w:cstheme="minorBidi"/>
          <w:color w:val="000000" w:themeColor="text1"/>
          <w:sz w:val="24"/>
          <w:szCs w:val="22"/>
          <w:lang w:val="en-GB"/>
        </w:rPr>
        <w:id w:val="1906946707"/>
        <w:docPartObj>
          <w:docPartGallery w:val="Table of Contents"/>
          <w:docPartUnique/>
        </w:docPartObj>
      </w:sdtPr>
      <w:sdtEndPr>
        <w:rPr>
          <w:b/>
          <w:bCs/>
          <w:noProof/>
        </w:rPr>
      </w:sdtEndPr>
      <w:sdtContent>
        <w:p w14:paraId="707E3A3A" w14:textId="2AE159A8" w:rsidR="00720A77" w:rsidRPr="00C86B53" w:rsidRDefault="0018774C" w:rsidP="007A3E00">
          <w:pPr>
            <w:pStyle w:val="TOCHeading"/>
            <w:numPr>
              <w:ilvl w:val="0"/>
              <w:numId w:val="0"/>
            </w:numPr>
          </w:pPr>
          <w:r>
            <w:t>P</w:t>
          </w:r>
          <w:r w:rsidR="00D21F98">
            <w:t>ë</w:t>
          </w:r>
          <w:r>
            <w:t>rmbajtja</w:t>
          </w:r>
        </w:p>
        <w:p w14:paraId="65219CD2" w14:textId="1660F61E" w:rsidR="007B7A75" w:rsidRDefault="000A0299" w:rsidP="007B7A75">
          <w:pPr>
            <w:pStyle w:val="TOC1"/>
            <w:rPr>
              <w:rFonts w:asciiTheme="minorHAnsi" w:eastAsiaTheme="minorEastAsia" w:hAnsiTheme="minorHAnsi" w:cstheme="minorBidi"/>
              <w:noProof/>
              <w:color w:val="auto"/>
              <w:sz w:val="22"/>
              <w:szCs w:val="22"/>
              <w:lang w:eastAsia="en-GB"/>
            </w:rPr>
          </w:pPr>
          <w:r w:rsidRPr="00C86B53">
            <w:rPr>
              <w:rFonts w:cs="Times New Roman"/>
              <w:sz w:val="24"/>
              <w:szCs w:val="24"/>
            </w:rPr>
            <w:fldChar w:fldCharType="begin"/>
          </w:r>
          <w:r w:rsidRPr="00C86B53">
            <w:rPr>
              <w:rFonts w:cs="Times New Roman"/>
              <w:sz w:val="24"/>
              <w:szCs w:val="24"/>
            </w:rPr>
            <w:instrText xml:space="preserve"> TOC \o "1-5" \h \z \u </w:instrText>
          </w:r>
          <w:r w:rsidRPr="00C86B53">
            <w:rPr>
              <w:rFonts w:cs="Times New Roman"/>
              <w:sz w:val="24"/>
              <w:szCs w:val="24"/>
            </w:rPr>
            <w:fldChar w:fldCharType="separate"/>
          </w:r>
          <w:hyperlink w:anchor="_Toc132277316" w:history="1">
            <w:r w:rsidR="007B7A75" w:rsidRPr="0007200F">
              <w:rPr>
                <w:rStyle w:val="Hyperlink"/>
                <w:noProof/>
              </w:rPr>
              <w:t>KONTEKSTI STRATEGJIK</w:t>
            </w:r>
            <w:r w:rsidR="007B7A75">
              <w:rPr>
                <w:noProof/>
                <w:webHidden/>
              </w:rPr>
              <w:tab/>
            </w:r>
            <w:r w:rsidR="007B7A75">
              <w:rPr>
                <w:noProof/>
                <w:webHidden/>
              </w:rPr>
              <w:fldChar w:fldCharType="begin"/>
            </w:r>
            <w:r w:rsidR="007B7A75">
              <w:rPr>
                <w:noProof/>
                <w:webHidden/>
              </w:rPr>
              <w:instrText xml:space="preserve"> PAGEREF _Toc132277316 \h </w:instrText>
            </w:r>
            <w:r w:rsidR="007B7A75">
              <w:rPr>
                <w:noProof/>
                <w:webHidden/>
              </w:rPr>
            </w:r>
            <w:r w:rsidR="007B7A75">
              <w:rPr>
                <w:noProof/>
                <w:webHidden/>
              </w:rPr>
              <w:fldChar w:fldCharType="separate"/>
            </w:r>
            <w:r w:rsidR="007B7A75">
              <w:rPr>
                <w:noProof/>
                <w:webHidden/>
              </w:rPr>
              <w:t>6</w:t>
            </w:r>
            <w:r w:rsidR="007B7A75">
              <w:rPr>
                <w:noProof/>
                <w:webHidden/>
              </w:rPr>
              <w:fldChar w:fldCharType="end"/>
            </w:r>
          </w:hyperlink>
        </w:p>
        <w:p w14:paraId="5589FECD" w14:textId="26423614"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17" w:history="1">
            <w:r w:rsidR="007B7A75" w:rsidRPr="0007200F">
              <w:rPr>
                <w:rStyle w:val="Hyperlink"/>
                <w:noProof/>
              </w:rPr>
              <w:t>Hyrje</w:t>
            </w:r>
            <w:r w:rsidR="007B7A75">
              <w:rPr>
                <w:noProof/>
                <w:webHidden/>
              </w:rPr>
              <w:tab/>
            </w:r>
            <w:r w:rsidR="007B7A75">
              <w:rPr>
                <w:noProof/>
                <w:webHidden/>
              </w:rPr>
              <w:fldChar w:fldCharType="begin"/>
            </w:r>
            <w:r w:rsidR="007B7A75">
              <w:rPr>
                <w:noProof/>
                <w:webHidden/>
              </w:rPr>
              <w:instrText xml:space="preserve"> PAGEREF _Toc132277317 \h </w:instrText>
            </w:r>
            <w:r w:rsidR="007B7A75">
              <w:rPr>
                <w:noProof/>
                <w:webHidden/>
              </w:rPr>
            </w:r>
            <w:r w:rsidR="007B7A75">
              <w:rPr>
                <w:noProof/>
                <w:webHidden/>
              </w:rPr>
              <w:fldChar w:fldCharType="separate"/>
            </w:r>
            <w:r w:rsidR="007B7A75">
              <w:rPr>
                <w:noProof/>
                <w:webHidden/>
              </w:rPr>
              <w:t>6</w:t>
            </w:r>
            <w:r w:rsidR="007B7A75">
              <w:rPr>
                <w:noProof/>
                <w:webHidden/>
              </w:rPr>
              <w:fldChar w:fldCharType="end"/>
            </w:r>
          </w:hyperlink>
        </w:p>
        <w:p w14:paraId="2A00E87F" w14:textId="53D0F2E6" w:rsidR="007B7A75" w:rsidRDefault="009B18B8" w:rsidP="007B7A75">
          <w:pPr>
            <w:pStyle w:val="TOC1"/>
            <w:rPr>
              <w:rFonts w:asciiTheme="minorHAnsi" w:eastAsiaTheme="minorEastAsia" w:hAnsiTheme="minorHAnsi" w:cstheme="minorBidi"/>
              <w:noProof/>
              <w:color w:val="auto"/>
              <w:sz w:val="22"/>
              <w:szCs w:val="22"/>
              <w:lang w:eastAsia="en-GB"/>
            </w:rPr>
          </w:pPr>
          <w:hyperlink w:anchor="_Toc132277318" w:history="1">
            <w:r w:rsidR="007B7A75" w:rsidRPr="0007200F">
              <w:rPr>
                <w:rStyle w:val="Hyperlink"/>
                <w:noProof/>
              </w:rPr>
              <w:t>I.</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KAPITULLI I: SITUATA AKTUALE</w:t>
            </w:r>
            <w:r w:rsidR="007B7A75">
              <w:rPr>
                <w:noProof/>
                <w:webHidden/>
              </w:rPr>
              <w:tab/>
            </w:r>
            <w:r w:rsidR="007B7A75">
              <w:rPr>
                <w:noProof/>
                <w:webHidden/>
              </w:rPr>
              <w:fldChar w:fldCharType="begin"/>
            </w:r>
            <w:r w:rsidR="007B7A75">
              <w:rPr>
                <w:noProof/>
                <w:webHidden/>
              </w:rPr>
              <w:instrText xml:space="preserve"> PAGEREF _Toc132277318 \h </w:instrText>
            </w:r>
            <w:r w:rsidR="007B7A75">
              <w:rPr>
                <w:noProof/>
                <w:webHidden/>
              </w:rPr>
            </w:r>
            <w:r w:rsidR="007B7A75">
              <w:rPr>
                <w:noProof/>
                <w:webHidden/>
              </w:rPr>
              <w:fldChar w:fldCharType="separate"/>
            </w:r>
            <w:r w:rsidR="007B7A75">
              <w:rPr>
                <w:noProof/>
                <w:webHidden/>
              </w:rPr>
              <w:t>7</w:t>
            </w:r>
            <w:r w:rsidR="007B7A75">
              <w:rPr>
                <w:noProof/>
                <w:webHidden/>
              </w:rPr>
              <w:fldChar w:fldCharType="end"/>
            </w:r>
          </w:hyperlink>
        </w:p>
        <w:p w14:paraId="7FE42ACC" w14:textId="6BCDF422"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19" w:history="1">
            <w:r w:rsidR="007B7A75" w:rsidRPr="0007200F">
              <w:rPr>
                <w:rStyle w:val="Hyperlink"/>
                <w:noProof/>
              </w:rPr>
              <w:t>I.1 Shtylla I: Siguria e produkteve ushqimore dhe e produkteve jo-ushqimore</w:t>
            </w:r>
            <w:r w:rsidR="007B7A75">
              <w:rPr>
                <w:noProof/>
                <w:webHidden/>
              </w:rPr>
              <w:tab/>
            </w:r>
            <w:r w:rsidR="007B7A75">
              <w:rPr>
                <w:noProof/>
                <w:webHidden/>
              </w:rPr>
              <w:fldChar w:fldCharType="begin"/>
            </w:r>
            <w:r w:rsidR="007B7A75">
              <w:rPr>
                <w:noProof/>
                <w:webHidden/>
              </w:rPr>
              <w:instrText xml:space="preserve"> PAGEREF _Toc132277319 \h </w:instrText>
            </w:r>
            <w:r w:rsidR="007B7A75">
              <w:rPr>
                <w:noProof/>
                <w:webHidden/>
              </w:rPr>
            </w:r>
            <w:r w:rsidR="007B7A75">
              <w:rPr>
                <w:noProof/>
                <w:webHidden/>
              </w:rPr>
              <w:fldChar w:fldCharType="separate"/>
            </w:r>
            <w:r w:rsidR="007B7A75">
              <w:rPr>
                <w:noProof/>
                <w:webHidden/>
              </w:rPr>
              <w:t>7</w:t>
            </w:r>
            <w:r w:rsidR="007B7A75">
              <w:rPr>
                <w:noProof/>
                <w:webHidden/>
              </w:rPr>
              <w:fldChar w:fldCharType="end"/>
            </w:r>
          </w:hyperlink>
        </w:p>
        <w:p w14:paraId="6F4ACC11" w14:textId="3A91A721"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20" w:history="1">
            <w:r w:rsidR="007B7A75" w:rsidRPr="0007200F">
              <w:rPr>
                <w:rStyle w:val="Hyperlink"/>
                <w:noProof/>
              </w:rPr>
              <w:t>1.1.</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Siguria e produkteve ushqimore</w:t>
            </w:r>
            <w:r w:rsidR="007B7A75">
              <w:rPr>
                <w:noProof/>
                <w:webHidden/>
              </w:rPr>
              <w:tab/>
            </w:r>
            <w:r w:rsidR="007B7A75">
              <w:rPr>
                <w:noProof/>
                <w:webHidden/>
              </w:rPr>
              <w:fldChar w:fldCharType="begin"/>
            </w:r>
            <w:r w:rsidR="007B7A75">
              <w:rPr>
                <w:noProof/>
                <w:webHidden/>
              </w:rPr>
              <w:instrText xml:space="preserve"> PAGEREF _Toc132277320 \h </w:instrText>
            </w:r>
            <w:r w:rsidR="007B7A75">
              <w:rPr>
                <w:noProof/>
                <w:webHidden/>
              </w:rPr>
            </w:r>
            <w:r w:rsidR="007B7A75">
              <w:rPr>
                <w:noProof/>
                <w:webHidden/>
              </w:rPr>
              <w:fldChar w:fldCharType="separate"/>
            </w:r>
            <w:r w:rsidR="007B7A75">
              <w:rPr>
                <w:noProof/>
                <w:webHidden/>
              </w:rPr>
              <w:t>7</w:t>
            </w:r>
            <w:r w:rsidR="007B7A75">
              <w:rPr>
                <w:noProof/>
                <w:webHidden/>
              </w:rPr>
              <w:fldChar w:fldCharType="end"/>
            </w:r>
          </w:hyperlink>
        </w:p>
        <w:p w14:paraId="2383A10A" w14:textId="6D22FDDC"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21" w:history="1">
            <w:r w:rsidR="007B7A75" w:rsidRPr="0007200F">
              <w:rPr>
                <w:rStyle w:val="Hyperlink"/>
                <w:noProof/>
              </w:rPr>
              <w:t>1.2.</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Siguria e produkteve joushqimore</w:t>
            </w:r>
            <w:r w:rsidR="007B7A75">
              <w:rPr>
                <w:noProof/>
                <w:webHidden/>
              </w:rPr>
              <w:tab/>
            </w:r>
            <w:r w:rsidR="007B7A75">
              <w:rPr>
                <w:noProof/>
                <w:webHidden/>
              </w:rPr>
              <w:fldChar w:fldCharType="begin"/>
            </w:r>
            <w:r w:rsidR="007B7A75">
              <w:rPr>
                <w:noProof/>
                <w:webHidden/>
              </w:rPr>
              <w:instrText xml:space="preserve"> PAGEREF _Toc132277321 \h </w:instrText>
            </w:r>
            <w:r w:rsidR="007B7A75">
              <w:rPr>
                <w:noProof/>
                <w:webHidden/>
              </w:rPr>
            </w:r>
            <w:r w:rsidR="007B7A75">
              <w:rPr>
                <w:noProof/>
                <w:webHidden/>
              </w:rPr>
              <w:fldChar w:fldCharType="separate"/>
            </w:r>
            <w:r w:rsidR="007B7A75">
              <w:rPr>
                <w:noProof/>
                <w:webHidden/>
              </w:rPr>
              <w:t>9</w:t>
            </w:r>
            <w:r w:rsidR="007B7A75">
              <w:rPr>
                <w:noProof/>
                <w:webHidden/>
              </w:rPr>
              <w:fldChar w:fldCharType="end"/>
            </w:r>
          </w:hyperlink>
        </w:p>
        <w:p w14:paraId="0BC5AFAA" w14:textId="2A18B827"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22" w:history="1">
            <w:r w:rsidR="007B7A75" w:rsidRPr="0007200F">
              <w:rPr>
                <w:rStyle w:val="Hyperlink"/>
                <w:noProof/>
              </w:rPr>
              <w:t>1.3.</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Infrastruktura e Cilësisë</w:t>
            </w:r>
            <w:r w:rsidR="007B7A75">
              <w:rPr>
                <w:noProof/>
                <w:webHidden/>
              </w:rPr>
              <w:tab/>
            </w:r>
            <w:r w:rsidR="007B7A75">
              <w:rPr>
                <w:noProof/>
                <w:webHidden/>
              </w:rPr>
              <w:fldChar w:fldCharType="begin"/>
            </w:r>
            <w:r w:rsidR="007B7A75">
              <w:rPr>
                <w:noProof/>
                <w:webHidden/>
              </w:rPr>
              <w:instrText xml:space="preserve"> PAGEREF _Toc132277322 \h </w:instrText>
            </w:r>
            <w:r w:rsidR="007B7A75">
              <w:rPr>
                <w:noProof/>
                <w:webHidden/>
              </w:rPr>
            </w:r>
            <w:r w:rsidR="007B7A75">
              <w:rPr>
                <w:noProof/>
                <w:webHidden/>
              </w:rPr>
              <w:fldChar w:fldCharType="separate"/>
            </w:r>
            <w:r w:rsidR="007B7A75">
              <w:rPr>
                <w:noProof/>
                <w:webHidden/>
              </w:rPr>
              <w:t>15</w:t>
            </w:r>
            <w:r w:rsidR="007B7A75">
              <w:rPr>
                <w:noProof/>
                <w:webHidden/>
              </w:rPr>
              <w:fldChar w:fldCharType="end"/>
            </w:r>
          </w:hyperlink>
        </w:p>
        <w:p w14:paraId="39F0B49F" w14:textId="5EF7F8F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3" w:history="1">
            <w:r w:rsidR="007B7A75" w:rsidRPr="0007200F">
              <w:rPr>
                <w:rStyle w:val="Hyperlink"/>
                <w:noProof/>
                <w:lang w:val="en-IE"/>
              </w:rPr>
              <w:t>1.3.1.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Standardizimi</w:t>
            </w:r>
            <w:r w:rsidR="007B7A75">
              <w:rPr>
                <w:noProof/>
                <w:webHidden/>
              </w:rPr>
              <w:tab/>
            </w:r>
            <w:r w:rsidR="007B7A75">
              <w:rPr>
                <w:noProof/>
                <w:webHidden/>
              </w:rPr>
              <w:fldChar w:fldCharType="begin"/>
            </w:r>
            <w:r w:rsidR="007B7A75">
              <w:rPr>
                <w:noProof/>
                <w:webHidden/>
              </w:rPr>
              <w:instrText xml:space="preserve"> PAGEREF _Toc132277323 \h </w:instrText>
            </w:r>
            <w:r w:rsidR="007B7A75">
              <w:rPr>
                <w:noProof/>
                <w:webHidden/>
              </w:rPr>
            </w:r>
            <w:r w:rsidR="007B7A75">
              <w:rPr>
                <w:noProof/>
                <w:webHidden/>
              </w:rPr>
              <w:fldChar w:fldCharType="separate"/>
            </w:r>
            <w:r w:rsidR="007B7A75">
              <w:rPr>
                <w:noProof/>
                <w:webHidden/>
              </w:rPr>
              <w:t>16</w:t>
            </w:r>
            <w:r w:rsidR="007B7A75">
              <w:rPr>
                <w:noProof/>
                <w:webHidden/>
              </w:rPr>
              <w:fldChar w:fldCharType="end"/>
            </w:r>
          </w:hyperlink>
        </w:p>
        <w:p w14:paraId="624E0383" w14:textId="1DD5C11D"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4" w:history="1">
            <w:r w:rsidR="007B7A75" w:rsidRPr="0007200F">
              <w:rPr>
                <w:rStyle w:val="Hyperlink"/>
                <w:noProof/>
                <w:lang w:val="en-IE"/>
              </w:rPr>
              <w:t>1.3.2.</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Akreditimi</w:t>
            </w:r>
            <w:r w:rsidR="007B7A75">
              <w:rPr>
                <w:noProof/>
                <w:webHidden/>
              </w:rPr>
              <w:tab/>
            </w:r>
            <w:r w:rsidR="007B7A75">
              <w:rPr>
                <w:noProof/>
                <w:webHidden/>
              </w:rPr>
              <w:fldChar w:fldCharType="begin"/>
            </w:r>
            <w:r w:rsidR="007B7A75">
              <w:rPr>
                <w:noProof/>
                <w:webHidden/>
              </w:rPr>
              <w:instrText xml:space="preserve"> PAGEREF _Toc132277324 \h </w:instrText>
            </w:r>
            <w:r w:rsidR="007B7A75">
              <w:rPr>
                <w:noProof/>
                <w:webHidden/>
              </w:rPr>
            </w:r>
            <w:r w:rsidR="007B7A75">
              <w:rPr>
                <w:noProof/>
                <w:webHidden/>
              </w:rPr>
              <w:fldChar w:fldCharType="separate"/>
            </w:r>
            <w:r w:rsidR="007B7A75">
              <w:rPr>
                <w:noProof/>
                <w:webHidden/>
              </w:rPr>
              <w:t>18</w:t>
            </w:r>
            <w:r w:rsidR="007B7A75">
              <w:rPr>
                <w:noProof/>
                <w:webHidden/>
              </w:rPr>
              <w:fldChar w:fldCharType="end"/>
            </w:r>
          </w:hyperlink>
        </w:p>
        <w:p w14:paraId="65E9AAEE" w14:textId="5A4DE3B7"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5" w:history="1">
            <w:r w:rsidR="007B7A75" w:rsidRPr="0007200F">
              <w:rPr>
                <w:rStyle w:val="Hyperlink"/>
                <w:noProof/>
                <w:lang w:val="en-IE"/>
              </w:rPr>
              <w:t>1.3.3.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Metrologjia</w:t>
            </w:r>
            <w:r w:rsidR="007B7A75">
              <w:rPr>
                <w:noProof/>
                <w:webHidden/>
              </w:rPr>
              <w:tab/>
            </w:r>
            <w:r w:rsidR="007B7A75">
              <w:rPr>
                <w:noProof/>
                <w:webHidden/>
              </w:rPr>
              <w:fldChar w:fldCharType="begin"/>
            </w:r>
            <w:r w:rsidR="007B7A75">
              <w:rPr>
                <w:noProof/>
                <w:webHidden/>
              </w:rPr>
              <w:instrText xml:space="preserve"> PAGEREF _Toc132277325 \h </w:instrText>
            </w:r>
            <w:r w:rsidR="007B7A75">
              <w:rPr>
                <w:noProof/>
                <w:webHidden/>
              </w:rPr>
            </w:r>
            <w:r w:rsidR="007B7A75">
              <w:rPr>
                <w:noProof/>
                <w:webHidden/>
              </w:rPr>
              <w:fldChar w:fldCharType="separate"/>
            </w:r>
            <w:r w:rsidR="007B7A75">
              <w:rPr>
                <w:noProof/>
                <w:webHidden/>
              </w:rPr>
              <w:t>20</w:t>
            </w:r>
            <w:r w:rsidR="007B7A75">
              <w:rPr>
                <w:noProof/>
                <w:webHidden/>
              </w:rPr>
              <w:fldChar w:fldCharType="end"/>
            </w:r>
          </w:hyperlink>
        </w:p>
        <w:p w14:paraId="504F4D58" w14:textId="3833026C"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26" w:history="1">
            <w:r w:rsidR="007B7A75" w:rsidRPr="0007200F">
              <w:rPr>
                <w:rStyle w:val="Hyperlink"/>
                <w:noProof/>
              </w:rPr>
              <w:t>1.4.</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Mbikëqyrja e tregut</w:t>
            </w:r>
            <w:r w:rsidR="007B7A75">
              <w:rPr>
                <w:noProof/>
                <w:webHidden/>
              </w:rPr>
              <w:tab/>
            </w:r>
            <w:r w:rsidR="007B7A75">
              <w:rPr>
                <w:noProof/>
                <w:webHidden/>
              </w:rPr>
              <w:fldChar w:fldCharType="begin"/>
            </w:r>
            <w:r w:rsidR="007B7A75">
              <w:rPr>
                <w:noProof/>
                <w:webHidden/>
              </w:rPr>
              <w:instrText xml:space="preserve"> PAGEREF _Toc132277326 \h </w:instrText>
            </w:r>
            <w:r w:rsidR="007B7A75">
              <w:rPr>
                <w:noProof/>
                <w:webHidden/>
              </w:rPr>
            </w:r>
            <w:r w:rsidR="007B7A75">
              <w:rPr>
                <w:noProof/>
                <w:webHidden/>
              </w:rPr>
              <w:fldChar w:fldCharType="separate"/>
            </w:r>
            <w:r w:rsidR="007B7A75">
              <w:rPr>
                <w:noProof/>
                <w:webHidden/>
              </w:rPr>
              <w:t>22</w:t>
            </w:r>
            <w:r w:rsidR="007B7A75">
              <w:rPr>
                <w:noProof/>
                <w:webHidden/>
              </w:rPr>
              <w:fldChar w:fldCharType="end"/>
            </w:r>
          </w:hyperlink>
        </w:p>
        <w:p w14:paraId="0D56FD7E" w14:textId="0298A3F8"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7" w:history="1">
            <w:r w:rsidR="007B7A75" w:rsidRPr="0007200F">
              <w:rPr>
                <w:rStyle w:val="Hyperlink"/>
                <w:noProof/>
                <w:lang w:val="en-IE"/>
              </w:rPr>
              <w:t>1.4.1.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Kombëtar i Ushqimit</w:t>
            </w:r>
            <w:r w:rsidR="007B7A75">
              <w:rPr>
                <w:noProof/>
                <w:webHidden/>
              </w:rPr>
              <w:tab/>
            </w:r>
            <w:r w:rsidR="007B7A75">
              <w:rPr>
                <w:noProof/>
                <w:webHidden/>
              </w:rPr>
              <w:fldChar w:fldCharType="begin"/>
            </w:r>
            <w:r w:rsidR="007B7A75">
              <w:rPr>
                <w:noProof/>
                <w:webHidden/>
              </w:rPr>
              <w:instrText xml:space="preserve"> PAGEREF _Toc132277327 \h </w:instrText>
            </w:r>
            <w:r w:rsidR="007B7A75">
              <w:rPr>
                <w:noProof/>
                <w:webHidden/>
              </w:rPr>
            </w:r>
            <w:r w:rsidR="007B7A75">
              <w:rPr>
                <w:noProof/>
                <w:webHidden/>
              </w:rPr>
              <w:fldChar w:fldCharType="separate"/>
            </w:r>
            <w:r w:rsidR="007B7A75">
              <w:rPr>
                <w:noProof/>
                <w:webHidden/>
              </w:rPr>
              <w:t>22</w:t>
            </w:r>
            <w:r w:rsidR="007B7A75">
              <w:rPr>
                <w:noProof/>
                <w:webHidden/>
              </w:rPr>
              <w:fldChar w:fldCharType="end"/>
            </w:r>
          </w:hyperlink>
        </w:p>
        <w:p w14:paraId="5D477A0D" w14:textId="084FC376"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8" w:history="1">
            <w:r w:rsidR="007B7A75" w:rsidRPr="0007200F">
              <w:rPr>
                <w:rStyle w:val="Hyperlink"/>
                <w:noProof/>
                <w:lang w:val="en-IE"/>
              </w:rPr>
              <w:t>1.4.2.</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Inspektorati Shtetëror Shëndetësor</w:t>
            </w:r>
            <w:r w:rsidR="007B7A75">
              <w:rPr>
                <w:noProof/>
                <w:webHidden/>
              </w:rPr>
              <w:tab/>
            </w:r>
            <w:r w:rsidR="007B7A75">
              <w:rPr>
                <w:noProof/>
                <w:webHidden/>
              </w:rPr>
              <w:fldChar w:fldCharType="begin"/>
            </w:r>
            <w:r w:rsidR="007B7A75">
              <w:rPr>
                <w:noProof/>
                <w:webHidden/>
              </w:rPr>
              <w:instrText xml:space="preserve"> PAGEREF _Toc132277328 \h </w:instrText>
            </w:r>
            <w:r w:rsidR="007B7A75">
              <w:rPr>
                <w:noProof/>
                <w:webHidden/>
              </w:rPr>
            </w:r>
            <w:r w:rsidR="007B7A75">
              <w:rPr>
                <w:noProof/>
                <w:webHidden/>
              </w:rPr>
              <w:fldChar w:fldCharType="separate"/>
            </w:r>
            <w:r w:rsidR="007B7A75">
              <w:rPr>
                <w:noProof/>
                <w:webHidden/>
              </w:rPr>
              <w:t>24</w:t>
            </w:r>
            <w:r w:rsidR="007B7A75">
              <w:rPr>
                <w:noProof/>
                <w:webHidden/>
              </w:rPr>
              <w:fldChar w:fldCharType="end"/>
            </w:r>
          </w:hyperlink>
        </w:p>
        <w:p w14:paraId="1A22362B" w14:textId="0963C9BF"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29" w:history="1">
            <w:r w:rsidR="007B7A75" w:rsidRPr="0007200F">
              <w:rPr>
                <w:rStyle w:val="Hyperlink"/>
                <w:noProof/>
                <w:lang w:val="en-IE"/>
              </w:rPr>
              <w:t>1.4.3.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Inspektorati Shtetëror i Mbikëqyrjes së Tregut</w:t>
            </w:r>
            <w:r w:rsidR="007B7A75">
              <w:rPr>
                <w:noProof/>
                <w:webHidden/>
              </w:rPr>
              <w:tab/>
            </w:r>
            <w:r w:rsidR="007B7A75">
              <w:rPr>
                <w:noProof/>
                <w:webHidden/>
              </w:rPr>
              <w:fldChar w:fldCharType="begin"/>
            </w:r>
            <w:r w:rsidR="007B7A75">
              <w:rPr>
                <w:noProof/>
                <w:webHidden/>
              </w:rPr>
              <w:instrText xml:space="preserve"> PAGEREF _Toc132277329 \h </w:instrText>
            </w:r>
            <w:r w:rsidR="007B7A75">
              <w:rPr>
                <w:noProof/>
                <w:webHidden/>
              </w:rPr>
            </w:r>
            <w:r w:rsidR="007B7A75">
              <w:rPr>
                <w:noProof/>
                <w:webHidden/>
              </w:rPr>
              <w:fldChar w:fldCharType="separate"/>
            </w:r>
            <w:r w:rsidR="007B7A75">
              <w:rPr>
                <w:noProof/>
                <w:webHidden/>
              </w:rPr>
              <w:t>25</w:t>
            </w:r>
            <w:r w:rsidR="007B7A75">
              <w:rPr>
                <w:noProof/>
                <w:webHidden/>
              </w:rPr>
              <w:fldChar w:fldCharType="end"/>
            </w:r>
          </w:hyperlink>
        </w:p>
        <w:p w14:paraId="2D84C340" w14:textId="3D9BB411"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0" w:history="1">
            <w:r w:rsidR="007B7A75" w:rsidRPr="0007200F">
              <w:rPr>
                <w:rStyle w:val="Hyperlink"/>
                <w:noProof/>
                <w:lang w:val="en-IE"/>
              </w:rPr>
              <w:t>1.4.4.</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Inspektorati Shtetëror Teknik dhe Industrial</w:t>
            </w:r>
            <w:r w:rsidR="007B7A75">
              <w:rPr>
                <w:noProof/>
                <w:webHidden/>
              </w:rPr>
              <w:tab/>
            </w:r>
            <w:r w:rsidR="007B7A75">
              <w:rPr>
                <w:noProof/>
                <w:webHidden/>
              </w:rPr>
              <w:fldChar w:fldCharType="begin"/>
            </w:r>
            <w:r w:rsidR="007B7A75">
              <w:rPr>
                <w:noProof/>
                <w:webHidden/>
              </w:rPr>
              <w:instrText xml:space="preserve"> PAGEREF _Toc132277330 \h </w:instrText>
            </w:r>
            <w:r w:rsidR="007B7A75">
              <w:rPr>
                <w:noProof/>
                <w:webHidden/>
              </w:rPr>
            </w:r>
            <w:r w:rsidR="007B7A75">
              <w:rPr>
                <w:noProof/>
                <w:webHidden/>
              </w:rPr>
              <w:fldChar w:fldCharType="separate"/>
            </w:r>
            <w:r w:rsidR="007B7A75">
              <w:rPr>
                <w:noProof/>
                <w:webHidden/>
              </w:rPr>
              <w:t>28</w:t>
            </w:r>
            <w:r w:rsidR="007B7A75">
              <w:rPr>
                <w:noProof/>
                <w:webHidden/>
              </w:rPr>
              <w:fldChar w:fldCharType="end"/>
            </w:r>
          </w:hyperlink>
        </w:p>
        <w:p w14:paraId="5943277E" w14:textId="4404AA5B"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31" w:history="1">
            <w:r w:rsidR="007B7A75" w:rsidRPr="0007200F">
              <w:rPr>
                <w:rStyle w:val="Hyperlink"/>
                <w:noProof/>
              </w:rPr>
              <w:t>1.5.</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Kuadri ligjor i produkteve ushqimore dhe jo ushqimore</w:t>
            </w:r>
            <w:r w:rsidR="007B7A75">
              <w:rPr>
                <w:noProof/>
                <w:webHidden/>
              </w:rPr>
              <w:tab/>
            </w:r>
            <w:r w:rsidR="007B7A75">
              <w:rPr>
                <w:noProof/>
                <w:webHidden/>
              </w:rPr>
              <w:fldChar w:fldCharType="begin"/>
            </w:r>
            <w:r w:rsidR="007B7A75">
              <w:rPr>
                <w:noProof/>
                <w:webHidden/>
              </w:rPr>
              <w:instrText xml:space="preserve"> PAGEREF _Toc132277331 \h </w:instrText>
            </w:r>
            <w:r w:rsidR="007B7A75">
              <w:rPr>
                <w:noProof/>
                <w:webHidden/>
              </w:rPr>
            </w:r>
            <w:r w:rsidR="007B7A75">
              <w:rPr>
                <w:noProof/>
                <w:webHidden/>
              </w:rPr>
              <w:fldChar w:fldCharType="separate"/>
            </w:r>
            <w:r w:rsidR="007B7A75">
              <w:rPr>
                <w:noProof/>
                <w:webHidden/>
              </w:rPr>
              <w:t>30</w:t>
            </w:r>
            <w:r w:rsidR="007B7A75">
              <w:rPr>
                <w:noProof/>
                <w:webHidden/>
              </w:rPr>
              <w:fldChar w:fldCharType="end"/>
            </w:r>
          </w:hyperlink>
        </w:p>
        <w:p w14:paraId="004F044A" w14:textId="475B82A1"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2" w:history="1">
            <w:r w:rsidR="007B7A75" w:rsidRPr="0007200F">
              <w:rPr>
                <w:rStyle w:val="Hyperlink"/>
                <w:noProof/>
                <w:lang w:val="en-IE"/>
              </w:rPr>
              <w:t>1.5.1.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Kuadri ligjor i produkteve ushqimore</w:t>
            </w:r>
            <w:r w:rsidR="007B7A75">
              <w:rPr>
                <w:noProof/>
                <w:webHidden/>
              </w:rPr>
              <w:tab/>
            </w:r>
            <w:r w:rsidR="007B7A75">
              <w:rPr>
                <w:noProof/>
                <w:webHidden/>
              </w:rPr>
              <w:fldChar w:fldCharType="begin"/>
            </w:r>
            <w:r w:rsidR="007B7A75">
              <w:rPr>
                <w:noProof/>
                <w:webHidden/>
              </w:rPr>
              <w:instrText xml:space="preserve"> PAGEREF _Toc132277332 \h </w:instrText>
            </w:r>
            <w:r w:rsidR="007B7A75">
              <w:rPr>
                <w:noProof/>
                <w:webHidden/>
              </w:rPr>
            </w:r>
            <w:r w:rsidR="007B7A75">
              <w:rPr>
                <w:noProof/>
                <w:webHidden/>
              </w:rPr>
              <w:fldChar w:fldCharType="separate"/>
            </w:r>
            <w:r w:rsidR="007B7A75">
              <w:rPr>
                <w:noProof/>
                <w:webHidden/>
              </w:rPr>
              <w:t>30</w:t>
            </w:r>
            <w:r w:rsidR="007B7A75">
              <w:rPr>
                <w:noProof/>
                <w:webHidden/>
              </w:rPr>
              <w:fldChar w:fldCharType="end"/>
            </w:r>
          </w:hyperlink>
        </w:p>
        <w:p w14:paraId="7264337E" w14:textId="0BCC7AC8"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3" w:history="1">
            <w:r w:rsidR="007B7A75" w:rsidRPr="0007200F">
              <w:rPr>
                <w:rStyle w:val="Hyperlink"/>
                <w:noProof/>
                <w:lang w:val="en-IE"/>
              </w:rPr>
              <w:t>1.5.2.</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Kuadri ligjor i produkteve jo ushqimore</w:t>
            </w:r>
            <w:r w:rsidR="007B7A75">
              <w:rPr>
                <w:noProof/>
                <w:webHidden/>
              </w:rPr>
              <w:tab/>
            </w:r>
            <w:r w:rsidR="007B7A75">
              <w:rPr>
                <w:noProof/>
                <w:webHidden/>
              </w:rPr>
              <w:fldChar w:fldCharType="begin"/>
            </w:r>
            <w:r w:rsidR="007B7A75">
              <w:rPr>
                <w:noProof/>
                <w:webHidden/>
              </w:rPr>
              <w:instrText xml:space="preserve"> PAGEREF _Toc132277333 \h </w:instrText>
            </w:r>
            <w:r w:rsidR="007B7A75">
              <w:rPr>
                <w:noProof/>
                <w:webHidden/>
              </w:rPr>
            </w:r>
            <w:r w:rsidR="007B7A75">
              <w:rPr>
                <w:noProof/>
                <w:webHidden/>
              </w:rPr>
              <w:fldChar w:fldCharType="separate"/>
            </w:r>
            <w:r w:rsidR="007B7A75">
              <w:rPr>
                <w:noProof/>
                <w:webHidden/>
              </w:rPr>
              <w:t>31</w:t>
            </w:r>
            <w:r w:rsidR="007B7A75">
              <w:rPr>
                <w:noProof/>
                <w:webHidden/>
              </w:rPr>
              <w:fldChar w:fldCharType="end"/>
            </w:r>
          </w:hyperlink>
        </w:p>
        <w:p w14:paraId="091853DA" w14:textId="7CF6AA8F"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4" w:history="1">
            <w:r w:rsidR="007B7A75" w:rsidRPr="0007200F">
              <w:rPr>
                <w:rStyle w:val="Hyperlink"/>
                <w:noProof/>
                <w:lang w:val="en-IE"/>
              </w:rPr>
              <w:t>1.5.3.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Kuadri Ligjor mbi Infrastrukturën e Cilësisë</w:t>
            </w:r>
            <w:r w:rsidR="007B7A75">
              <w:rPr>
                <w:noProof/>
                <w:webHidden/>
              </w:rPr>
              <w:tab/>
            </w:r>
            <w:r w:rsidR="007B7A75">
              <w:rPr>
                <w:noProof/>
                <w:webHidden/>
              </w:rPr>
              <w:fldChar w:fldCharType="begin"/>
            </w:r>
            <w:r w:rsidR="007B7A75">
              <w:rPr>
                <w:noProof/>
                <w:webHidden/>
              </w:rPr>
              <w:instrText xml:space="preserve"> PAGEREF _Toc132277334 \h </w:instrText>
            </w:r>
            <w:r w:rsidR="007B7A75">
              <w:rPr>
                <w:noProof/>
                <w:webHidden/>
              </w:rPr>
            </w:r>
            <w:r w:rsidR="007B7A75">
              <w:rPr>
                <w:noProof/>
                <w:webHidden/>
              </w:rPr>
              <w:fldChar w:fldCharType="separate"/>
            </w:r>
            <w:r w:rsidR="007B7A75">
              <w:rPr>
                <w:noProof/>
                <w:webHidden/>
              </w:rPr>
              <w:t>32</w:t>
            </w:r>
            <w:r w:rsidR="007B7A75">
              <w:rPr>
                <w:noProof/>
                <w:webHidden/>
              </w:rPr>
              <w:fldChar w:fldCharType="end"/>
            </w:r>
          </w:hyperlink>
        </w:p>
        <w:p w14:paraId="0555836D" w14:textId="7BBCCB5F"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5" w:history="1">
            <w:r w:rsidR="007B7A75" w:rsidRPr="0007200F">
              <w:rPr>
                <w:rStyle w:val="Hyperlink"/>
                <w:noProof/>
                <w:lang w:val="en-IE"/>
              </w:rPr>
              <w:t>1.5.4.</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Kuadri ligjor i mbikëqyrjes së tregut</w:t>
            </w:r>
            <w:r w:rsidR="007B7A75">
              <w:rPr>
                <w:noProof/>
                <w:webHidden/>
              </w:rPr>
              <w:tab/>
            </w:r>
            <w:r w:rsidR="007B7A75">
              <w:rPr>
                <w:noProof/>
                <w:webHidden/>
              </w:rPr>
              <w:fldChar w:fldCharType="begin"/>
            </w:r>
            <w:r w:rsidR="007B7A75">
              <w:rPr>
                <w:noProof/>
                <w:webHidden/>
              </w:rPr>
              <w:instrText xml:space="preserve"> PAGEREF _Toc132277335 \h </w:instrText>
            </w:r>
            <w:r w:rsidR="007B7A75">
              <w:rPr>
                <w:noProof/>
                <w:webHidden/>
              </w:rPr>
            </w:r>
            <w:r w:rsidR="007B7A75">
              <w:rPr>
                <w:noProof/>
                <w:webHidden/>
              </w:rPr>
              <w:fldChar w:fldCharType="separate"/>
            </w:r>
            <w:r w:rsidR="007B7A75">
              <w:rPr>
                <w:noProof/>
                <w:webHidden/>
              </w:rPr>
              <w:t>34</w:t>
            </w:r>
            <w:r w:rsidR="007B7A75">
              <w:rPr>
                <w:noProof/>
                <w:webHidden/>
              </w:rPr>
              <w:fldChar w:fldCharType="end"/>
            </w:r>
          </w:hyperlink>
        </w:p>
        <w:p w14:paraId="3C9FAD09" w14:textId="3DF1B426"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36" w:history="1">
            <w:r w:rsidR="007B7A75" w:rsidRPr="0007200F">
              <w:rPr>
                <w:rStyle w:val="Hyperlink"/>
                <w:noProof/>
              </w:rPr>
              <w:t>I.2 Shtylla II: Çështje të mbrojtjes së konsumatorëve që nuk lidhen me aspektet e sigurisë</w:t>
            </w:r>
            <w:r w:rsidR="007B7A75">
              <w:rPr>
                <w:noProof/>
                <w:webHidden/>
              </w:rPr>
              <w:tab/>
            </w:r>
            <w:r w:rsidR="007B7A75">
              <w:rPr>
                <w:noProof/>
                <w:webHidden/>
              </w:rPr>
              <w:fldChar w:fldCharType="begin"/>
            </w:r>
            <w:r w:rsidR="007B7A75">
              <w:rPr>
                <w:noProof/>
                <w:webHidden/>
              </w:rPr>
              <w:instrText xml:space="preserve"> PAGEREF _Toc132277336 \h </w:instrText>
            </w:r>
            <w:r w:rsidR="007B7A75">
              <w:rPr>
                <w:noProof/>
                <w:webHidden/>
              </w:rPr>
            </w:r>
            <w:r w:rsidR="007B7A75">
              <w:rPr>
                <w:noProof/>
                <w:webHidden/>
              </w:rPr>
              <w:fldChar w:fldCharType="separate"/>
            </w:r>
            <w:r w:rsidR="007B7A75">
              <w:rPr>
                <w:noProof/>
                <w:webHidden/>
              </w:rPr>
              <w:t>35</w:t>
            </w:r>
            <w:r w:rsidR="007B7A75">
              <w:rPr>
                <w:noProof/>
                <w:webHidden/>
              </w:rPr>
              <w:fldChar w:fldCharType="end"/>
            </w:r>
          </w:hyperlink>
        </w:p>
        <w:p w14:paraId="54BE1433" w14:textId="404053AA"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37" w:history="1">
            <w:r w:rsidR="007B7A75" w:rsidRPr="0007200F">
              <w:rPr>
                <w:rStyle w:val="Hyperlink"/>
                <w:noProof/>
              </w:rPr>
              <w:t>2.1.</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Kuadri institucional</w:t>
            </w:r>
            <w:r w:rsidR="007B7A75">
              <w:rPr>
                <w:noProof/>
                <w:webHidden/>
              </w:rPr>
              <w:tab/>
            </w:r>
            <w:r w:rsidR="007B7A75">
              <w:rPr>
                <w:noProof/>
                <w:webHidden/>
              </w:rPr>
              <w:fldChar w:fldCharType="begin"/>
            </w:r>
            <w:r w:rsidR="007B7A75">
              <w:rPr>
                <w:noProof/>
                <w:webHidden/>
              </w:rPr>
              <w:instrText xml:space="preserve"> PAGEREF _Toc132277337 \h </w:instrText>
            </w:r>
            <w:r w:rsidR="007B7A75">
              <w:rPr>
                <w:noProof/>
                <w:webHidden/>
              </w:rPr>
            </w:r>
            <w:r w:rsidR="007B7A75">
              <w:rPr>
                <w:noProof/>
                <w:webHidden/>
              </w:rPr>
              <w:fldChar w:fldCharType="separate"/>
            </w:r>
            <w:r w:rsidR="007B7A75">
              <w:rPr>
                <w:noProof/>
                <w:webHidden/>
              </w:rPr>
              <w:t>35</w:t>
            </w:r>
            <w:r w:rsidR="007B7A75">
              <w:rPr>
                <w:noProof/>
                <w:webHidden/>
              </w:rPr>
              <w:fldChar w:fldCharType="end"/>
            </w:r>
          </w:hyperlink>
        </w:p>
        <w:p w14:paraId="1B19D1E1" w14:textId="029A502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8" w:history="1">
            <w:r w:rsidR="007B7A75" w:rsidRPr="0007200F">
              <w:rPr>
                <w:rStyle w:val="Hyperlink"/>
                <w:noProof/>
                <w:lang w:val="en-IE"/>
              </w:rPr>
              <w:t>2.1.1.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Ministria e Financave dhe Ekonomisë</w:t>
            </w:r>
            <w:r w:rsidR="007B7A75">
              <w:rPr>
                <w:noProof/>
                <w:webHidden/>
              </w:rPr>
              <w:tab/>
            </w:r>
            <w:r w:rsidR="007B7A75">
              <w:rPr>
                <w:noProof/>
                <w:webHidden/>
              </w:rPr>
              <w:fldChar w:fldCharType="begin"/>
            </w:r>
            <w:r w:rsidR="007B7A75">
              <w:rPr>
                <w:noProof/>
                <w:webHidden/>
              </w:rPr>
              <w:instrText xml:space="preserve"> PAGEREF _Toc132277338 \h </w:instrText>
            </w:r>
            <w:r w:rsidR="007B7A75">
              <w:rPr>
                <w:noProof/>
                <w:webHidden/>
              </w:rPr>
            </w:r>
            <w:r w:rsidR="007B7A75">
              <w:rPr>
                <w:noProof/>
                <w:webHidden/>
              </w:rPr>
              <w:fldChar w:fldCharType="separate"/>
            </w:r>
            <w:r w:rsidR="007B7A75">
              <w:rPr>
                <w:noProof/>
                <w:webHidden/>
              </w:rPr>
              <w:t>35</w:t>
            </w:r>
            <w:r w:rsidR="007B7A75">
              <w:rPr>
                <w:noProof/>
                <w:webHidden/>
              </w:rPr>
              <w:fldChar w:fldCharType="end"/>
            </w:r>
          </w:hyperlink>
        </w:p>
        <w:p w14:paraId="4895670D" w14:textId="09A5028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39" w:history="1">
            <w:r w:rsidR="007B7A75" w:rsidRPr="0007200F">
              <w:rPr>
                <w:rStyle w:val="Hyperlink"/>
                <w:noProof/>
                <w:lang w:val="en-IE"/>
              </w:rPr>
              <w:t>2.1.2.</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Ministria e Turizmit dhe Mjedisit</w:t>
            </w:r>
            <w:r w:rsidR="007B7A75">
              <w:rPr>
                <w:noProof/>
                <w:webHidden/>
              </w:rPr>
              <w:tab/>
            </w:r>
            <w:r w:rsidR="007B7A75">
              <w:rPr>
                <w:noProof/>
                <w:webHidden/>
              </w:rPr>
              <w:fldChar w:fldCharType="begin"/>
            </w:r>
            <w:r w:rsidR="007B7A75">
              <w:rPr>
                <w:noProof/>
                <w:webHidden/>
              </w:rPr>
              <w:instrText xml:space="preserve"> PAGEREF _Toc132277339 \h </w:instrText>
            </w:r>
            <w:r w:rsidR="007B7A75">
              <w:rPr>
                <w:noProof/>
                <w:webHidden/>
              </w:rPr>
            </w:r>
            <w:r w:rsidR="007B7A75">
              <w:rPr>
                <w:noProof/>
                <w:webHidden/>
              </w:rPr>
              <w:fldChar w:fldCharType="separate"/>
            </w:r>
            <w:r w:rsidR="007B7A75">
              <w:rPr>
                <w:noProof/>
                <w:webHidden/>
              </w:rPr>
              <w:t>37</w:t>
            </w:r>
            <w:r w:rsidR="007B7A75">
              <w:rPr>
                <w:noProof/>
                <w:webHidden/>
              </w:rPr>
              <w:fldChar w:fldCharType="end"/>
            </w:r>
          </w:hyperlink>
        </w:p>
        <w:p w14:paraId="269F2E0C" w14:textId="143F8DE1"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0" w:history="1">
            <w:r w:rsidR="007B7A75" w:rsidRPr="0007200F">
              <w:rPr>
                <w:rStyle w:val="Hyperlink"/>
                <w:noProof/>
                <w:lang w:val="en-IE"/>
              </w:rPr>
              <w:t>2.1.3.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Energjisë</w:t>
            </w:r>
            <w:r w:rsidR="007B7A75">
              <w:rPr>
                <w:noProof/>
                <w:webHidden/>
              </w:rPr>
              <w:tab/>
            </w:r>
            <w:r w:rsidR="007B7A75">
              <w:rPr>
                <w:noProof/>
                <w:webHidden/>
              </w:rPr>
              <w:fldChar w:fldCharType="begin"/>
            </w:r>
            <w:r w:rsidR="007B7A75">
              <w:rPr>
                <w:noProof/>
                <w:webHidden/>
              </w:rPr>
              <w:instrText xml:space="preserve"> PAGEREF _Toc132277340 \h </w:instrText>
            </w:r>
            <w:r w:rsidR="007B7A75">
              <w:rPr>
                <w:noProof/>
                <w:webHidden/>
              </w:rPr>
            </w:r>
            <w:r w:rsidR="007B7A75">
              <w:rPr>
                <w:noProof/>
                <w:webHidden/>
              </w:rPr>
              <w:fldChar w:fldCharType="separate"/>
            </w:r>
            <w:r w:rsidR="007B7A75">
              <w:rPr>
                <w:noProof/>
                <w:webHidden/>
              </w:rPr>
              <w:t>39</w:t>
            </w:r>
            <w:r w:rsidR="007B7A75">
              <w:rPr>
                <w:noProof/>
                <w:webHidden/>
              </w:rPr>
              <w:fldChar w:fldCharType="end"/>
            </w:r>
          </w:hyperlink>
        </w:p>
        <w:p w14:paraId="43B65169" w14:textId="75A28D8D"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1" w:history="1">
            <w:r w:rsidR="007B7A75" w:rsidRPr="0007200F">
              <w:rPr>
                <w:rStyle w:val="Hyperlink"/>
                <w:noProof/>
                <w:lang w:val="en-IE"/>
              </w:rPr>
              <w:t>2.1.4.</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Ujit</w:t>
            </w:r>
            <w:r w:rsidR="007B7A75">
              <w:rPr>
                <w:noProof/>
                <w:webHidden/>
              </w:rPr>
              <w:tab/>
            </w:r>
            <w:r w:rsidR="007B7A75">
              <w:rPr>
                <w:noProof/>
                <w:webHidden/>
              </w:rPr>
              <w:fldChar w:fldCharType="begin"/>
            </w:r>
            <w:r w:rsidR="007B7A75">
              <w:rPr>
                <w:noProof/>
                <w:webHidden/>
              </w:rPr>
              <w:instrText xml:space="preserve"> PAGEREF _Toc132277341 \h </w:instrText>
            </w:r>
            <w:r w:rsidR="007B7A75">
              <w:rPr>
                <w:noProof/>
                <w:webHidden/>
              </w:rPr>
            </w:r>
            <w:r w:rsidR="007B7A75">
              <w:rPr>
                <w:noProof/>
                <w:webHidden/>
              </w:rPr>
              <w:fldChar w:fldCharType="separate"/>
            </w:r>
            <w:r w:rsidR="007B7A75">
              <w:rPr>
                <w:noProof/>
                <w:webHidden/>
              </w:rPr>
              <w:t>41</w:t>
            </w:r>
            <w:r w:rsidR="007B7A75">
              <w:rPr>
                <w:noProof/>
                <w:webHidden/>
              </w:rPr>
              <w:fldChar w:fldCharType="end"/>
            </w:r>
          </w:hyperlink>
        </w:p>
        <w:p w14:paraId="445DF4D2" w14:textId="61F5A654"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2" w:history="1">
            <w:r w:rsidR="007B7A75" w:rsidRPr="0007200F">
              <w:rPr>
                <w:rStyle w:val="Hyperlink"/>
                <w:rFonts w:eastAsia="MS Mincho"/>
                <w:noProof/>
                <w:lang w:val="en-IE"/>
              </w:rPr>
              <w:t>2.1.5.</w:t>
            </w:r>
            <w:r w:rsidR="007B7A75">
              <w:rPr>
                <w:rFonts w:asciiTheme="minorHAnsi" w:eastAsiaTheme="minorEastAsia" w:hAnsiTheme="minorHAnsi" w:cstheme="minorBidi"/>
                <w:noProof/>
                <w:color w:val="auto"/>
                <w:sz w:val="22"/>
                <w:szCs w:val="22"/>
                <w:lang w:eastAsia="en-GB"/>
              </w:rPr>
              <w:tab/>
            </w:r>
            <w:r w:rsidR="007B7A75" w:rsidRPr="0007200F">
              <w:rPr>
                <w:rStyle w:val="Hyperlink"/>
                <w:rFonts w:eastAsia="MS Mincho"/>
                <w:noProof/>
              </w:rPr>
              <w:t>Autoriteti i Komunikimeve Elektronike dhe Postare</w:t>
            </w:r>
            <w:r w:rsidR="007B7A75">
              <w:rPr>
                <w:noProof/>
                <w:webHidden/>
              </w:rPr>
              <w:tab/>
            </w:r>
            <w:r w:rsidR="007B7A75">
              <w:rPr>
                <w:noProof/>
                <w:webHidden/>
              </w:rPr>
              <w:fldChar w:fldCharType="begin"/>
            </w:r>
            <w:r w:rsidR="007B7A75">
              <w:rPr>
                <w:noProof/>
                <w:webHidden/>
              </w:rPr>
              <w:instrText xml:space="preserve"> PAGEREF _Toc132277342 \h </w:instrText>
            </w:r>
            <w:r w:rsidR="007B7A75">
              <w:rPr>
                <w:noProof/>
                <w:webHidden/>
              </w:rPr>
            </w:r>
            <w:r w:rsidR="007B7A75">
              <w:rPr>
                <w:noProof/>
                <w:webHidden/>
              </w:rPr>
              <w:fldChar w:fldCharType="separate"/>
            </w:r>
            <w:r w:rsidR="007B7A75">
              <w:rPr>
                <w:noProof/>
                <w:webHidden/>
              </w:rPr>
              <w:t>43</w:t>
            </w:r>
            <w:r w:rsidR="007B7A75">
              <w:rPr>
                <w:noProof/>
                <w:webHidden/>
              </w:rPr>
              <w:fldChar w:fldCharType="end"/>
            </w:r>
          </w:hyperlink>
        </w:p>
        <w:p w14:paraId="638607A9" w14:textId="1E11D6DA"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3" w:history="1">
            <w:r w:rsidR="007B7A75" w:rsidRPr="0007200F">
              <w:rPr>
                <w:rStyle w:val="Hyperlink"/>
                <w:rFonts w:eastAsia="MS Mincho"/>
                <w:noProof/>
                <w:lang w:val="en-IE"/>
              </w:rPr>
              <w:t>2.1.6.</w:t>
            </w:r>
            <w:r w:rsidR="007B7A75">
              <w:rPr>
                <w:rFonts w:asciiTheme="minorHAnsi" w:eastAsiaTheme="minorEastAsia" w:hAnsiTheme="minorHAnsi" w:cstheme="minorBidi"/>
                <w:noProof/>
                <w:color w:val="auto"/>
                <w:sz w:val="22"/>
                <w:szCs w:val="22"/>
                <w:lang w:eastAsia="en-GB"/>
              </w:rPr>
              <w:tab/>
            </w:r>
            <w:r w:rsidR="007B7A75" w:rsidRPr="0007200F">
              <w:rPr>
                <w:rStyle w:val="Hyperlink"/>
                <w:rFonts w:eastAsia="MS Mincho"/>
                <w:noProof/>
              </w:rPr>
              <w:t>Autoriteti Mbikëqyrjes Financiare</w:t>
            </w:r>
            <w:r w:rsidR="007B7A75">
              <w:rPr>
                <w:noProof/>
                <w:webHidden/>
              </w:rPr>
              <w:tab/>
            </w:r>
            <w:r w:rsidR="007B7A75">
              <w:rPr>
                <w:noProof/>
                <w:webHidden/>
              </w:rPr>
              <w:fldChar w:fldCharType="begin"/>
            </w:r>
            <w:r w:rsidR="007B7A75">
              <w:rPr>
                <w:noProof/>
                <w:webHidden/>
              </w:rPr>
              <w:instrText xml:space="preserve"> PAGEREF _Toc132277343 \h </w:instrText>
            </w:r>
            <w:r w:rsidR="007B7A75">
              <w:rPr>
                <w:noProof/>
                <w:webHidden/>
              </w:rPr>
            </w:r>
            <w:r w:rsidR="007B7A75">
              <w:rPr>
                <w:noProof/>
                <w:webHidden/>
              </w:rPr>
              <w:fldChar w:fldCharType="separate"/>
            </w:r>
            <w:r w:rsidR="007B7A75">
              <w:rPr>
                <w:noProof/>
                <w:webHidden/>
              </w:rPr>
              <w:t>45</w:t>
            </w:r>
            <w:r w:rsidR="007B7A75">
              <w:rPr>
                <w:noProof/>
                <w:webHidden/>
              </w:rPr>
              <w:fldChar w:fldCharType="end"/>
            </w:r>
          </w:hyperlink>
        </w:p>
        <w:p w14:paraId="27E0C366" w14:textId="57E5D76B"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4" w:history="1">
            <w:r w:rsidR="007B7A75" w:rsidRPr="0007200F">
              <w:rPr>
                <w:rStyle w:val="Hyperlink"/>
                <w:noProof/>
                <w:lang w:val="en-IE"/>
              </w:rPr>
              <w:t>2.1.7.</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Banka e Shqipërisë</w:t>
            </w:r>
            <w:r w:rsidR="007B7A75">
              <w:rPr>
                <w:noProof/>
                <w:webHidden/>
              </w:rPr>
              <w:tab/>
            </w:r>
            <w:r w:rsidR="007B7A75">
              <w:rPr>
                <w:noProof/>
                <w:webHidden/>
              </w:rPr>
              <w:fldChar w:fldCharType="begin"/>
            </w:r>
            <w:r w:rsidR="007B7A75">
              <w:rPr>
                <w:noProof/>
                <w:webHidden/>
              </w:rPr>
              <w:instrText xml:space="preserve"> PAGEREF _Toc132277344 \h </w:instrText>
            </w:r>
            <w:r w:rsidR="007B7A75">
              <w:rPr>
                <w:noProof/>
                <w:webHidden/>
              </w:rPr>
            </w:r>
            <w:r w:rsidR="007B7A75">
              <w:rPr>
                <w:noProof/>
                <w:webHidden/>
              </w:rPr>
              <w:fldChar w:fldCharType="separate"/>
            </w:r>
            <w:r w:rsidR="007B7A75">
              <w:rPr>
                <w:noProof/>
                <w:webHidden/>
              </w:rPr>
              <w:t>46</w:t>
            </w:r>
            <w:r w:rsidR="007B7A75">
              <w:rPr>
                <w:noProof/>
                <w:webHidden/>
              </w:rPr>
              <w:fldChar w:fldCharType="end"/>
            </w:r>
          </w:hyperlink>
        </w:p>
        <w:p w14:paraId="74B4F432" w14:textId="36FAA7C7"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5" w:history="1">
            <w:r w:rsidR="007B7A75" w:rsidRPr="0007200F">
              <w:rPr>
                <w:rStyle w:val="Hyperlink"/>
                <w:noProof/>
                <w:lang w:val="en-IE"/>
              </w:rPr>
              <w:t>2.1.8.</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i Aviacionit Civil</w:t>
            </w:r>
            <w:r w:rsidR="007B7A75">
              <w:rPr>
                <w:noProof/>
                <w:webHidden/>
              </w:rPr>
              <w:tab/>
            </w:r>
            <w:r w:rsidR="007B7A75">
              <w:rPr>
                <w:noProof/>
                <w:webHidden/>
              </w:rPr>
              <w:fldChar w:fldCharType="begin"/>
            </w:r>
            <w:r w:rsidR="007B7A75">
              <w:rPr>
                <w:noProof/>
                <w:webHidden/>
              </w:rPr>
              <w:instrText xml:space="preserve"> PAGEREF _Toc132277345 \h </w:instrText>
            </w:r>
            <w:r w:rsidR="007B7A75">
              <w:rPr>
                <w:noProof/>
                <w:webHidden/>
              </w:rPr>
            </w:r>
            <w:r w:rsidR="007B7A75">
              <w:rPr>
                <w:noProof/>
                <w:webHidden/>
              </w:rPr>
              <w:fldChar w:fldCharType="separate"/>
            </w:r>
            <w:r w:rsidR="007B7A75">
              <w:rPr>
                <w:noProof/>
                <w:webHidden/>
              </w:rPr>
              <w:t>48</w:t>
            </w:r>
            <w:r w:rsidR="007B7A75">
              <w:rPr>
                <w:noProof/>
                <w:webHidden/>
              </w:rPr>
              <w:fldChar w:fldCharType="end"/>
            </w:r>
          </w:hyperlink>
        </w:p>
        <w:p w14:paraId="5D0921B1" w14:textId="5A5D5F48"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46" w:history="1">
            <w:r w:rsidR="007B7A75" w:rsidRPr="0007200F">
              <w:rPr>
                <w:rStyle w:val="Hyperlink"/>
                <w:noProof/>
              </w:rPr>
              <w:t>2.2.</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Kuadri ligjor mbi çështjet e mbrojtjes së konsumatorëve që nuk lidhen me aspektet e sigurisë</w:t>
            </w:r>
            <w:r w:rsidR="007B7A75">
              <w:rPr>
                <w:noProof/>
                <w:webHidden/>
              </w:rPr>
              <w:tab/>
            </w:r>
            <w:r w:rsidR="007B7A75">
              <w:rPr>
                <w:noProof/>
                <w:webHidden/>
              </w:rPr>
              <w:fldChar w:fldCharType="begin"/>
            </w:r>
            <w:r w:rsidR="007B7A75">
              <w:rPr>
                <w:noProof/>
                <w:webHidden/>
              </w:rPr>
              <w:instrText xml:space="preserve"> PAGEREF _Toc132277346 \h </w:instrText>
            </w:r>
            <w:r w:rsidR="007B7A75">
              <w:rPr>
                <w:noProof/>
                <w:webHidden/>
              </w:rPr>
            </w:r>
            <w:r w:rsidR="007B7A75">
              <w:rPr>
                <w:noProof/>
                <w:webHidden/>
              </w:rPr>
              <w:fldChar w:fldCharType="separate"/>
            </w:r>
            <w:r w:rsidR="007B7A75">
              <w:rPr>
                <w:noProof/>
                <w:webHidden/>
              </w:rPr>
              <w:t>50</w:t>
            </w:r>
            <w:r w:rsidR="007B7A75">
              <w:rPr>
                <w:noProof/>
                <w:webHidden/>
              </w:rPr>
              <w:fldChar w:fldCharType="end"/>
            </w:r>
          </w:hyperlink>
        </w:p>
        <w:p w14:paraId="425E6322" w14:textId="656F3FC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7" w:history="1">
            <w:r w:rsidR="007B7A75" w:rsidRPr="0007200F">
              <w:rPr>
                <w:rStyle w:val="Hyperlink"/>
                <w:noProof/>
                <w:lang w:val="en-IE"/>
              </w:rPr>
              <w:t>2.2.1.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Ministria e Financave dhe Ekonomisë</w:t>
            </w:r>
            <w:r w:rsidR="007B7A75">
              <w:rPr>
                <w:noProof/>
                <w:webHidden/>
              </w:rPr>
              <w:tab/>
            </w:r>
            <w:r w:rsidR="007B7A75">
              <w:rPr>
                <w:noProof/>
                <w:webHidden/>
              </w:rPr>
              <w:fldChar w:fldCharType="begin"/>
            </w:r>
            <w:r w:rsidR="007B7A75">
              <w:rPr>
                <w:noProof/>
                <w:webHidden/>
              </w:rPr>
              <w:instrText xml:space="preserve"> PAGEREF _Toc132277347 \h </w:instrText>
            </w:r>
            <w:r w:rsidR="007B7A75">
              <w:rPr>
                <w:noProof/>
                <w:webHidden/>
              </w:rPr>
            </w:r>
            <w:r w:rsidR="007B7A75">
              <w:rPr>
                <w:noProof/>
                <w:webHidden/>
              </w:rPr>
              <w:fldChar w:fldCharType="separate"/>
            </w:r>
            <w:r w:rsidR="007B7A75">
              <w:rPr>
                <w:noProof/>
                <w:webHidden/>
              </w:rPr>
              <w:t>50</w:t>
            </w:r>
            <w:r w:rsidR="007B7A75">
              <w:rPr>
                <w:noProof/>
                <w:webHidden/>
              </w:rPr>
              <w:fldChar w:fldCharType="end"/>
            </w:r>
          </w:hyperlink>
        </w:p>
        <w:p w14:paraId="3A0DF568" w14:textId="1F85E792"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8" w:history="1">
            <w:r w:rsidR="007B7A75" w:rsidRPr="0007200F">
              <w:rPr>
                <w:rStyle w:val="Hyperlink"/>
                <w:noProof/>
                <w:lang w:val="en-IE"/>
              </w:rPr>
              <w:t>2.2.2.</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Ministria e Turizmi dhe Mjedisit</w:t>
            </w:r>
            <w:r w:rsidR="007B7A75">
              <w:rPr>
                <w:noProof/>
                <w:webHidden/>
              </w:rPr>
              <w:tab/>
            </w:r>
            <w:r w:rsidR="007B7A75">
              <w:rPr>
                <w:noProof/>
                <w:webHidden/>
              </w:rPr>
              <w:fldChar w:fldCharType="begin"/>
            </w:r>
            <w:r w:rsidR="007B7A75">
              <w:rPr>
                <w:noProof/>
                <w:webHidden/>
              </w:rPr>
              <w:instrText xml:space="preserve"> PAGEREF _Toc132277348 \h </w:instrText>
            </w:r>
            <w:r w:rsidR="007B7A75">
              <w:rPr>
                <w:noProof/>
                <w:webHidden/>
              </w:rPr>
            </w:r>
            <w:r w:rsidR="007B7A75">
              <w:rPr>
                <w:noProof/>
                <w:webHidden/>
              </w:rPr>
              <w:fldChar w:fldCharType="separate"/>
            </w:r>
            <w:r w:rsidR="007B7A75">
              <w:rPr>
                <w:noProof/>
                <w:webHidden/>
              </w:rPr>
              <w:t>51</w:t>
            </w:r>
            <w:r w:rsidR="007B7A75">
              <w:rPr>
                <w:noProof/>
                <w:webHidden/>
              </w:rPr>
              <w:fldChar w:fldCharType="end"/>
            </w:r>
          </w:hyperlink>
        </w:p>
        <w:p w14:paraId="448C5964" w14:textId="42A6794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49" w:history="1">
            <w:r w:rsidR="007B7A75" w:rsidRPr="0007200F">
              <w:rPr>
                <w:rStyle w:val="Hyperlink"/>
                <w:noProof/>
                <w:lang w:val="en-IE"/>
              </w:rPr>
              <w:t>2.2.3.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Energjisë</w:t>
            </w:r>
            <w:r w:rsidR="007B7A75">
              <w:rPr>
                <w:noProof/>
                <w:webHidden/>
              </w:rPr>
              <w:tab/>
            </w:r>
            <w:r w:rsidR="007B7A75">
              <w:rPr>
                <w:noProof/>
                <w:webHidden/>
              </w:rPr>
              <w:fldChar w:fldCharType="begin"/>
            </w:r>
            <w:r w:rsidR="007B7A75">
              <w:rPr>
                <w:noProof/>
                <w:webHidden/>
              </w:rPr>
              <w:instrText xml:space="preserve"> PAGEREF _Toc132277349 \h </w:instrText>
            </w:r>
            <w:r w:rsidR="007B7A75">
              <w:rPr>
                <w:noProof/>
                <w:webHidden/>
              </w:rPr>
            </w:r>
            <w:r w:rsidR="007B7A75">
              <w:rPr>
                <w:noProof/>
                <w:webHidden/>
              </w:rPr>
              <w:fldChar w:fldCharType="separate"/>
            </w:r>
            <w:r w:rsidR="007B7A75">
              <w:rPr>
                <w:noProof/>
                <w:webHidden/>
              </w:rPr>
              <w:t>51</w:t>
            </w:r>
            <w:r w:rsidR="007B7A75">
              <w:rPr>
                <w:noProof/>
                <w:webHidden/>
              </w:rPr>
              <w:fldChar w:fldCharType="end"/>
            </w:r>
          </w:hyperlink>
        </w:p>
        <w:p w14:paraId="574E3D86" w14:textId="77E52D46"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0" w:history="1">
            <w:r w:rsidR="007B7A75" w:rsidRPr="0007200F">
              <w:rPr>
                <w:rStyle w:val="Hyperlink"/>
                <w:noProof/>
                <w:lang w:val="en-IE"/>
              </w:rPr>
              <w:t>2.2.4.</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Ujit</w:t>
            </w:r>
            <w:r w:rsidR="007B7A75">
              <w:rPr>
                <w:noProof/>
                <w:webHidden/>
              </w:rPr>
              <w:tab/>
            </w:r>
            <w:r w:rsidR="007B7A75">
              <w:rPr>
                <w:noProof/>
                <w:webHidden/>
              </w:rPr>
              <w:fldChar w:fldCharType="begin"/>
            </w:r>
            <w:r w:rsidR="007B7A75">
              <w:rPr>
                <w:noProof/>
                <w:webHidden/>
              </w:rPr>
              <w:instrText xml:space="preserve"> PAGEREF _Toc132277350 \h </w:instrText>
            </w:r>
            <w:r w:rsidR="007B7A75">
              <w:rPr>
                <w:noProof/>
                <w:webHidden/>
              </w:rPr>
            </w:r>
            <w:r w:rsidR="007B7A75">
              <w:rPr>
                <w:noProof/>
                <w:webHidden/>
              </w:rPr>
              <w:fldChar w:fldCharType="separate"/>
            </w:r>
            <w:r w:rsidR="007B7A75">
              <w:rPr>
                <w:noProof/>
                <w:webHidden/>
              </w:rPr>
              <w:t>51</w:t>
            </w:r>
            <w:r w:rsidR="007B7A75">
              <w:rPr>
                <w:noProof/>
                <w:webHidden/>
              </w:rPr>
              <w:fldChar w:fldCharType="end"/>
            </w:r>
          </w:hyperlink>
        </w:p>
        <w:p w14:paraId="6F9B229B" w14:textId="4490F734"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1" w:history="1">
            <w:r w:rsidR="007B7A75" w:rsidRPr="0007200F">
              <w:rPr>
                <w:rStyle w:val="Hyperlink"/>
                <w:noProof/>
                <w:lang w:val="en-IE"/>
              </w:rPr>
              <w:t>2.2.5.</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i Komunikimeve Elektronike dhe Postare</w:t>
            </w:r>
            <w:r w:rsidR="007B7A75">
              <w:rPr>
                <w:noProof/>
                <w:webHidden/>
              </w:rPr>
              <w:tab/>
            </w:r>
            <w:r w:rsidR="007B7A75">
              <w:rPr>
                <w:noProof/>
                <w:webHidden/>
              </w:rPr>
              <w:fldChar w:fldCharType="begin"/>
            </w:r>
            <w:r w:rsidR="007B7A75">
              <w:rPr>
                <w:noProof/>
                <w:webHidden/>
              </w:rPr>
              <w:instrText xml:space="preserve"> PAGEREF _Toc132277351 \h </w:instrText>
            </w:r>
            <w:r w:rsidR="007B7A75">
              <w:rPr>
                <w:noProof/>
                <w:webHidden/>
              </w:rPr>
            </w:r>
            <w:r w:rsidR="007B7A75">
              <w:rPr>
                <w:noProof/>
                <w:webHidden/>
              </w:rPr>
              <w:fldChar w:fldCharType="separate"/>
            </w:r>
            <w:r w:rsidR="007B7A75">
              <w:rPr>
                <w:noProof/>
                <w:webHidden/>
              </w:rPr>
              <w:t>51</w:t>
            </w:r>
            <w:r w:rsidR="007B7A75">
              <w:rPr>
                <w:noProof/>
                <w:webHidden/>
              </w:rPr>
              <w:fldChar w:fldCharType="end"/>
            </w:r>
          </w:hyperlink>
        </w:p>
        <w:p w14:paraId="2D8B87D9" w14:textId="38F8EBB5"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2" w:history="1">
            <w:r w:rsidR="007B7A75" w:rsidRPr="0007200F">
              <w:rPr>
                <w:rStyle w:val="Hyperlink"/>
                <w:noProof/>
                <w:lang w:val="en-IE"/>
              </w:rPr>
              <w:t>2.2.6.</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i Mbikëqyrjes Financiare</w:t>
            </w:r>
            <w:r w:rsidR="007B7A75">
              <w:rPr>
                <w:noProof/>
                <w:webHidden/>
              </w:rPr>
              <w:tab/>
            </w:r>
            <w:r w:rsidR="007B7A75">
              <w:rPr>
                <w:noProof/>
                <w:webHidden/>
              </w:rPr>
              <w:fldChar w:fldCharType="begin"/>
            </w:r>
            <w:r w:rsidR="007B7A75">
              <w:rPr>
                <w:noProof/>
                <w:webHidden/>
              </w:rPr>
              <w:instrText xml:space="preserve"> PAGEREF _Toc132277352 \h </w:instrText>
            </w:r>
            <w:r w:rsidR="007B7A75">
              <w:rPr>
                <w:noProof/>
                <w:webHidden/>
              </w:rPr>
            </w:r>
            <w:r w:rsidR="007B7A75">
              <w:rPr>
                <w:noProof/>
                <w:webHidden/>
              </w:rPr>
              <w:fldChar w:fldCharType="separate"/>
            </w:r>
            <w:r w:rsidR="007B7A75">
              <w:rPr>
                <w:noProof/>
                <w:webHidden/>
              </w:rPr>
              <w:t>52</w:t>
            </w:r>
            <w:r w:rsidR="007B7A75">
              <w:rPr>
                <w:noProof/>
                <w:webHidden/>
              </w:rPr>
              <w:fldChar w:fldCharType="end"/>
            </w:r>
          </w:hyperlink>
        </w:p>
        <w:p w14:paraId="5CE76D44" w14:textId="3201486E"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3" w:history="1">
            <w:r w:rsidR="007B7A75" w:rsidRPr="0007200F">
              <w:rPr>
                <w:rStyle w:val="Hyperlink"/>
                <w:noProof/>
                <w:lang w:val="en-IE"/>
              </w:rPr>
              <w:t>2.2.7.</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Banka e Shqipërisë</w:t>
            </w:r>
            <w:r w:rsidR="007B7A75">
              <w:rPr>
                <w:noProof/>
                <w:webHidden/>
              </w:rPr>
              <w:tab/>
            </w:r>
            <w:r w:rsidR="007B7A75">
              <w:rPr>
                <w:noProof/>
                <w:webHidden/>
              </w:rPr>
              <w:fldChar w:fldCharType="begin"/>
            </w:r>
            <w:r w:rsidR="007B7A75">
              <w:rPr>
                <w:noProof/>
                <w:webHidden/>
              </w:rPr>
              <w:instrText xml:space="preserve"> PAGEREF _Toc132277353 \h </w:instrText>
            </w:r>
            <w:r w:rsidR="007B7A75">
              <w:rPr>
                <w:noProof/>
                <w:webHidden/>
              </w:rPr>
            </w:r>
            <w:r w:rsidR="007B7A75">
              <w:rPr>
                <w:noProof/>
                <w:webHidden/>
              </w:rPr>
              <w:fldChar w:fldCharType="separate"/>
            </w:r>
            <w:r w:rsidR="007B7A75">
              <w:rPr>
                <w:noProof/>
                <w:webHidden/>
              </w:rPr>
              <w:t>53</w:t>
            </w:r>
            <w:r w:rsidR="007B7A75">
              <w:rPr>
                <w:noProof/>
                <w:webHidden/>
              </w:rPr>
              <w:fldChar w:fldCharType="end"/>
            </w:r>
          </w:hyperlink>
        </w:p>
        <w:p w14:paraId="3557B6F3" w14:textId="358BF27C"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4" w:history="1">
            <w:r w:rsidR="007B7A75" w:rsidRPr="0007200F">
              <w:rPr>
                <w:rStyle w:val="Hyperlink"/>
                <w:noProof/>
                <w:lang w:val="en-IE"/>
              </w:rPr>
              <w:t>2.2.8.</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i Aviacionit Civil</w:t>
            </w:r>
            <w:r w:rsidR="007B7A75">
              <w:rPr>
                <w:noProof/>
                <w:webHidden/>
              </w:rPr>
              <w:tab/>
            </w:r>
            <w:r w:rsidR="007B7A75">
              <w:rPr>
                <w:noProof/>
                <w:webHidden/>
              </w:rPr>
              <w:fldChar w:fldCharType="begin"/>
            </w:r>
            <w:r w:rsidR="007B7A75">
              <w:rPr>
                <w:noProof/>
                <w:webHidden/>
              </w:rPr>
              <w:instrText xml:space="preserve"> PAGEREF _Toc132277354 \h </w:instrText>
            </w:r>
            <w:r w:rsidR="007B7A75">
              <w:rPr>
                <w:noProof/>
                <w:webHidden/>
              </w:rPr>
            </w:r>
            <w:r w:rsidR="007B7A75">
              <w:rPr>
                <w:noProof/>
                <w:webHidden/>
              </w:rPr>
              <w:fldChar w:fldCharType="separate"/>
            </w:r>
            <w:r w:rsidR="007B7A75">
              <w:rPr>
                <w:noProof/>
                <w:webHidden/>
              </w:rPr>
              <w:t>53</w:t>
            </w:r>
            <w:r w:rsidR="007B7A75">
              <w:rPr>
                <w:noProof/>
                <w:webHidden/>
              </w:rPr>
              <w:fldChar w:fldCharType="end"/>
            </w:r>
          </w:hyperlink>
        </w:p>
        <w:p w14:paraId="01125BAD" w14:textId="4A0155AD"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55" w:history="1">
            <w:r w:rsidR="007B7A75" w:rsidRPr="0007200F">
              <w:rPr>
                <w:rStyle w:val="Hyperlink"/>
                <w:noProof/>
              </w:rPr>
              <w:t xml:space="preserve">I.3 Shtylla III: Informimi dhe ndërgjegjësimi </w:t>
            </w:r>
            <w:r w:rsidR="007B7A75">
              <w:rPr>
                <w:noProof/>
                <w:webHidden/>
              </w:rPr>
              <w:tab/>
            </w:r>
            <w:r w:rsidR="007B7A75">
              <w:rPr>
                <w:noProof/>
                <w:webHidden/>
              </w:rPr>
              <w:fldChar w:fldCharType="begin"/>
            </w:r>
            <w:r w:rsidR="007B7A75">
              <w:rPr>
                <w:noProof/>
                <w:webHidden/>
              </w:rPr>
              <w:instrText xml:space="preserve"> PAGEREF _Toc132277355 \h </w:instrText>
            </w:r>
            <w:r w:rsidR="007B7A75">
              <w:rPr>
                <w:noProof/>
                <w:webHidden/>
              </w:rPr>
            </w:r>
            <w:r w:rsidR="007B7A75">
              <w:rPr>
                <w:noProof/>
                <w:webHidden/>
              </w:rPr>
              <w:fldChar w:fldCharType="separate"/>
            </w:r>
            <w:r w:rsidR="007B7A75">
              <w:rPr>
                <w:noProof/>
                <w:webHidden/>
              </w:rPr>
              <w:t>53</w:t>
            </w:r>
            <w:r w:rsidR="007B7A75">
              <w:rPr>
                <w:noProof/>
                <w:webHidden/>
              </w:rPr>
              <w:fldChar w:fldCharType="end"/>
            </w:r>
          </w:hyperlink>
        </w:p>
        <w:p w14:paraId="3853B5B1" w14:textId="3B30111B" w:rsidR="007B7A75" w:rsidRDefault="009B18B8">
          <w:pPr>
            <w:pStyle w:val="TOC3"/>
            <w:tabs>
              <w:tab w:val="left" w:pos="1100"/>
              <w:tab w:val="right" w:leader="dot" w:pos="9016"/>
            </w:tabs>
            <w:rPr>
              <w:rFonts w:asciiTheme="minorHAnsi" w:eastAsiaTheme="minorEastAsia" w:hAnsiTheme="minorHAnsi" w:cstheme="minorBidi"/>
              <w:i w:val="0"/>
              <w:iCs w:val="0"/>
              <w:noProof/>
              <w:color w:val="auto"/>
              <w:sz w:val="22"/>
              <w:szCs w:val="22"/>
              <w:lang w:eastAsia="en-GB"/>
            </w:rPr>
          </w:pPr>
          <w:hyperlink w:anchor="_Toc132277356" w:history="1">
            <w:r w:rsidR="007B7A75" w:rsidRPr="0007200F">
              <w:rPr>
                <w:rStyle w:val="Hyperlink"/>
                <w:noProof/>
              </w:rPr>
              <w:t>3.1.</w:t>
            </w:r>
            <w:r w:rsidR="007B7A75">
              <w:rPr>
                <w:rFonts w:asciiTheme="minorHAnsi" w:eastAsiaTheme="minorEastAsia" w:hAnsiTheme="minorHAnsi" w:cstheme="minorBidi"/>
                <w:i w:val="0"/>
                <w:iCs w:val="0"/>
                <w:noProof/>
                <w:color w:val="auto"/>
                <w:sz w:val="22"/>
                <w:szCs w:val="22"/>
                <w:lang w:eastAsia="en-GB"/>
              </w:rPr>
              <w:tab/>
            </w:r>
            <w:r w:rsidR="007B7A75" w:rsidRPr="0007200F">
              <w:rPr>
                <w:rStyle w:val="Hyperlink"/>
                <w:noProof/>
              </w:rPr>
              <w:t>Aktivitet ndërgjegjësuese</w:t>
            </w:r>
            <w:r w:rsidR="007B7A75">
              <w:rPr>
                <w:noProof/>
                <w:webHidden/>
              </w:rPr>
              <w:tab/>
            </w:r>
            <w:r w:rsidR="007B7A75">
              <w:rPr>
                <w:noProof/>
                <w:webHidden/>
              </w:rPr>
              <w:fldChar w:fldCharType="begin"/>
            </w:r>
            <w:r w:rsidR="007B7A75">
              <w:rPr>
                <w:noProof/>
                <w:webHidden/>
              </w:rPr>
              <w:instrText xml:space="preserve"> PAGEREF _Toc132277356 \h </w:instrText>
            </w:r>
            <w:r w:rsidR="007B7A75">
              <w:rPr>
                <w:noProof/>
                <w:webHidden/>
              </w:rPr>
            </w:r>
            <w:r w:rsidR="007B7A75">
              <w:rPr>
                <w:noProof/>
                <w:webHidden/>
              </w:rPr>
              <w:fldChar w:fldCharType="separate"/>
            </w:r>
            <w:r w:rsidR="007B7A75">
              <w:rPr>
                <w:noProof/>
                <w:webHidden/>
              </w:rPr>
              <w:t>53</w:t>
            </w:r>
            <w:r w:rsidR="007B7A75">
              <w:rPr>
                <w:noProof/>
                <w:webHidden/>
              </w:rPr>
              <w:fldChar w:fldCharType="end"/>
            </w:r>
          </w:hyperlink>
        </w:p>
        <w:p w14:paraId="7E6E29D4" w14:textId="7AC8DC90"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7" w:history="1">
            <w:r w:rsidR="007B7A75" w:rsidRPr="0007200F">
              <w:rPr>
                <w:rStyle w:val="Hyperlink"/>
                <w:noProof/>
                <w:lang w:val="en-IE"/>
              </w:rPr>
              <w:t>3.1.1.</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Ministria e Financave dhe Ekonomisë</w:t>
            </w:r>
            <w:r w:rsidR="007B7A75">
              <w:rPr>
                <w:noProof/>
                <w:webHidden/>
              </w:rPr>
              <w:tab/>
            </w:r>
            <w:r w:rsidR="007B7A75">
              <w:rPr>
                <w:noProof/>
                <w:webHidden/>
              </w:rPr>
              <w:fldChar w:fldCharType="begin"/>
            </w:r>
            <w:r w:rsidR="007B7A75">
              <w:rPr>
                <w:noProof/>
                <w:webHidden/>
              </w:rPr>
              <w:instrText xml:space="preserve"> PAGEREF _Toc132277357 \h </w:instrText>
            </w:r>
            <w:r w:rsidR="007B7A75">
              <w:rPr>
                <w:noProof/>
                <w:webHidden/>
              </w:rPr>
            </w:r>
            <w:r w:rsidR="007B7A75">
              <w:rPr>
                <w:noProof/>
                <w:webHidden/>
              </w:rPr>
              <w:fldChar w:fldCharType="separate"/>
            </w:r>
            <w:r w:rsidR="007B7A75">
              <w:rPr>
                <w:noProof/>
                <w:webHidden/>
              </w:rPr>
              <w:t>53</w:t>
            </w:r>
            <w:r w:rsidR="007B7A75">
              <w:rPr>
                <w:noProof/>
                <w:webHidden/>
              </w:rPr>
              <w:fldChar w:fldCharType="end"/>
            </w:r>
          </w:hyperlink>
        </w:p>
        <w:p w14:paraId="6347B036" w14:textId="15DBDA48"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8" w:history="1">
            <w:r w:rsidR="007B7A75" w:rsidRPr="0007200F">
              <w:rPr>
                <w:rStyle w:val="Hyperlink"/>
                <w:rFonts w:eastAsia="MS Mincho"/>
                <w:noProof/>
                <w:lang w:val="en-IE"/>
              </w:rPr>
              <w:t>3.1.2.</w:t>
            </w:r>
            <w:r w:rsidR="007B7A75">
              <w:rPr>
                <w:rFonts w:asciiTheme="minorHAnsi" w:eastAsiaTheme="minorEastAsia" w:hAnsiTheme="minorHAnsi" w:cstheme="minorBidi"/>
                <w:noProof/>
                <w:color w:val="auto"/>
                <w:sz w:val="22"/>
                <w:szCs w:val="22"/>
                <w:lang w:eastAsia="en-GB"/>
              </w:rPr>
              <w:tab/>
            </w:r>
            <w:r w:rsidR="007B7A75" w:rsidRPr="0007200F">
              <w:rPr>
                <w:rStyle w:val="Hyperlink"/>
                <w:rFonts w:eastAsia="MS Mincho"/>
                <w:noProof/>
              </w:rPr>
              <w:t>Ministria e Turizmit dhe Mjedisit</w:t>
            </w:r>
            <w:r w:rsidR="007B7A75">
              <w:rPr>
                <w:noProof/>
                <w:webHidden/>
              </w:rPr>
              <w:tab/>
            </w:r>
            <w:r w:rsidR="007B7A75">
              <w:rPr>
                <w:noProof/>
                <w:webHidden/>
              </w:rPr>
              <w:fldChar w:fldCharType="begin"/>
            </w:r>
            <w:r w:rsidR="007B7A75">
              <w:rPr>
                <w:noProof/>
                <w:webHidden/>
              </w:rPr>
              <w:instrText xml:space="preserve"> PAGEREF _Toc132277358 \h </w:instrText>
            </w:r>
            <w:r w:rsidR="007B7A75">
              <w:rPr>
                <w:noProof/>
                <w:webHidden/>
              </w:rPr>
            </w:r>
            <w:r w:rsidR="007B7A75">
              <w:rPr>
                <w:noProof/>
                <w:webHidden/>
              </w:rPr>
              <w:fldChar w:fldCharType="separate"/>
            </w:r>
            <w:r w:rsidR="007B7A75">
              <w:rPr>
                <w:noProof/>
                <w:webHidden/>
              </w:rPr>
              <w:t>55</w:t>
            </w:r>
            <w:r w:rsidR="007B7A75">
              <w:rPr>
                <w:noProof/>
                <w:webHidden/>
              </w:rPr>
              <w:fldChar w:fldCharType="end"/>
            </w:r>
          </w:hyperlink>
        </w:p>
        <w:p w14:paraId="503FEDBE" w14:textId="7D866E49"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59" w:history="1">
            <w:r w:rsidR="007B7A75" w:rsidRPr="0007200F">
              <w:rPr>
                <w:rStyle w:val="Hyperlink"/>
                <w:noProof/>
                <w:lang w:val="en-IE"/>
              </w:rPr>
              <w:t>3.1.3.</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Akreditimi</w:t>
            </w:r>
            <w:r w:rsidR="007B7A75">
              <w:rPr>
                <w:noProof/>
                <w:webHidden/>
              </w:rPr>
              <w:tab/>
            </w:r>
            <w:r w:rsidR="007B7A75">
              <w:rPr>
                <w:noProof/>
                <w:webHidden/>
              </w:rPr>
              <w:fldChar w:fldCharType="begin"/>
            </w:r>
            <w:r w:rsidR="007B7A75">
              <w:rPr>
                <w:noProof/>
                <w:webHidden/>
              </w:rPr>
              <w:instrText xml:space="preserve"> PAGEREF _Toc132277359 \h </w:instrText>
            </w:r>
            <w:r w:rsidR="007B7A75">
              <w:rPr>
                <w:noProof/>
                <w:webHidden/>
              </w:rPr>
            </w:r>
            <w:r w:rsidR="007B7A75">
              <w:rPr>
                <w:noProof/>
                <w:webHidden/>
              </w:rPr>
              <w:fldChar w:fldCharType="separate"/>
            </w:r>
            <w:r w:rsidR="007B7A75">
              <w:rPr>
                <w:noProof/>
                <w:webHidden/>
              </w:rPr>
              <w:t>55</w:t>
            </w:r>
            <w:r w:rsidR="007B7A75">
              <w:rPr>
                <w:noProof/>
                <w:webHidden/>
              </w:rPr>
              <w:fldChar w:fldCharType="end"/>
            </w:r>
          </w:hyperlink>
        </w:p>
        <w:p w14:paraId="3F9081F7" w14:textId="1662447F"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0" w:history="1">
            <w:r w:rsidR="007B7A75" w:rsidRPr="0007200F">
              <w:rPr>
                <w:rStyle w:val="Hyperlink"/>
                <w:noProof/>
                <w:lang w:val="en-IE"/>
              </w:rPr>
              <w:t>3.1.4.</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Metrologjia</w:t>
            </w:r>
            <w:r w:rsidR="007B7A75">
              <w:rPr>
                <w:noProof/>
                <w:webHidden/>
              </w:rPr>
              <w:tab/>
            </w:r>
            <w:r w:rsidR="007B7A75">
              <w:rPr>
                <w:noProof/>
                <w:webHidden/>
              </w:rPr>
              <w:fldChar w:fldCharType="begin"/>
            </w:r>
            <w:r w:rsidR="007B7A75">
              <w:rPr>
                <w:noProof/>
                <w:webHidden/>
              </w:rPr>
              <w:instrText xml:space="preserve"> PAGEREF _Toc132277360 \h </w:instrText>
            </w:r>
            <w:r w:rsidR="007B7A75">
              <w:rPr>
                <w:noProof/>
                <w:webHidden/>
              </w:rPr>
            </w:r>
            <w:r w:rsidR="007B7A75">
              <w:rPr>
                <w:noProof/>
                <w:webHidden/>
              </w:rPr>
              <w:fldChar w:fldCharType="separate"/>
            </w:r>
            <w:r w:rsidR="007B7A75">
              <w:rPr>
                <w:noProof/>
                <w:webHidden/>
              </w:rPr>
              <w:t>55</w:t>
            </w:r>
            <w:r w:rsidR="007B7A75">
              <w:rPr>
                <w:noProof/>
                <w:webHidden/>
              </w:rPr>
              <w:fldChar w:fldCharType="end"/>
            </w:r>
          </w:hyperlink>
        </w:p>
        <w:p w14:paraId="25D6C8CF" w14:textId="13B3E326"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1" w:history="1">
            <w:r w:rsidR="007B7A75" w:rsidRPr="0007200F">
              <w:rPr>
                <w:rStyle w:val="Hyperlink"/>
                <w:noProof/>
                <w:lang w:val="en-IE"/>
              </w:rPr>
              <w:t>3.1.5.</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Kombëtar i Ushqimit</w:t>
            </w:r>
            <w:r w:rsidR="007B7A75">
              <w:rPr>
                <w:noProof/>
                <w:webHidden/>
              </w:rPr>
              <w:tab/>
            </w:r>
            <w:r w:rsidR="007B7A75">
              <w:rPr>
                <w:noProof/>
                <w:webHidden/>
              </w:rPr>
              <w:fldChar w:fldCharType="begin"/>
            </w:r>
            <w:r w:rsidR="007B7A75">
              <w:rPr>
                <w:noProof/>
                <w:webHidden/>
              </w:rPr>
              <w:instrText xml:space="preserve"> PAGEREF _Toc132277361 \h </w:instrText>
            </w:r>
            <w:r w:rsidR="007B7A75">
              <w:rPr>
                <w:noProof/>
                <w:webHidden/>
              </w:rPr>
            </w:r>
            <w:r w:rsidR="007B7A75">
              <w:rPr>
                <w:noProof/>
                <w:webHidden/>
              </w:rPr>
              <w:fldChar w:fldCharType="separate"/>
            </w:r>
            <w:r w:rsidR="007B7A75">
              <w:rPr>
                <w:noProof/>
                <w:webHidden/>
              </w:rPr>
              <w:t>56</w:t>
            </w:r>
            <w:r w:rsidR="007B7A75">
              <w:rPr>
                <w:noProof/>
                <w:webHidden/>
              </w:rPr>
              <w:fldChar w:fldCharType="end"/>
            </w:r>
          </w:hyperlink>
        </w:p>
        <w:p w14:paraId="3BE26C24" w14:textId="18E77F26"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2" w:history="1">
            <w:r w:rsidR="007B7A75" w:rsidRPr="0007200F">
              <w:rPr>
                <w:rStyle w:val="Hyperlink"/>
                <w:noProof/>
                <w:lang w:val="en-IE"/>
              </w:rPr>
              <w:t>3.1.6.</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Inspektorati Shtetëror i Mbikqyrjes së Tregut</w:t>
            </w:r>
            <w:r w:rsidR="007B7A75">
              <w:rPr>
                <w:noProof/>
                <w:webHidden/>
              </w:rPr>
              <w:tab/>
            </w:r>
            <w:r w:rsidR="007B7A75">
              <w:rPr>
                <w:noProof/>
                <w:webHidden/>
              </w:rPr>
              <w:fldChar w:fldCharType="begin"/>
            </w:r>
            <w:r w:rsidR="007B7A75">
              <w:rPr>
                <w:noProof/>
                <w:webHidden/>
              </w:rPr>
              <w:instrText xml:space="preserve"> PAGEREF _Toc132277362 \h </w:instrText>
            </w:r>
            <w:r w:rsidR="007B7A75">
              <w:rPr>
                <w:noProof/>
                <w:webHidden/>
              </w:rPr>
            </w:r>
            <w:r w:rsidR="007B7A75">
              <w:rPr>
                <w:noProof/>
                <w:webHidden/>
              </w:rPr>
              <w:fldChar w:fldCharType="separate"/>
            </w:r>
            <w:r w:rsidR="007B7A75">
              <w:rPr>
                <w:noProof/>
                <w:webHidden/>
              </w:rPr>
              <w:t>57</w:t>
            </w:r>
            <w:r w:rsidR="007B7A75">
              <w:rPr>
                <w:noProof/>
                <w:webHidden/>
              </w:rPr>
              <w:fldChar w:fldCharType="end"/>
            </w:r>
          </w:hyperlink>
        </w:p>
        <w:p w14:paraId="785B6ABB" w14:textId="122E58F3"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3" w:history="1">
            <w:r w:rsidR="007B7A75" w:rsidRPr="0007200F">
              <w:rPr>
                <w:rStyle w:val="Hyperlink"/>
                <w:noProof/>
                <w:lang w:val="en-IE"/>
              </w:rPr>
              <w:t>3.1.7.</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Energjisë</w:t>
            </w:r>
            <w:r w:rsidR="007B7A75">
              <w:rPr>
                <w:noProof/>
                <w:webHidden/>
              </w:rPr>
              <w:tab/>
            </w:r>
            <w:r w:rsidR="007B7A75">
              <w:rPr>
                <w:noProof/>
                <w:webHidden/>
              </w:rPr>
              <w:fldChar w:fldCharType="begin"/>
            </w:r>
            <w:r w:rsidR="007B7A75">
              <w:rPr>
                <w:noProof/>
                <w:webHidden/>
              </w:rPr>
              <w:instrText xml:space="preserve"> PAGEREF _Toc132277363 \h </w:instrText>
            </w:r>
            <w:r w:rsidR="007B7A75">
              <w:rPr>
                <w:noProof/>
                <w:webHidden/>
              </w:rPr>
            </w:r>
            <w:r w:rsidR="007B7A75">
              <w:rPr>
                <w:noProof/>
                <w:webHidden/>
              </w:rPr>
              <w:fldChar w:fldCharType="separate"/>
            </w:r>
            <w:r w:rsidR="007B7A75">
              <w:rPr>
                <w:noProof/>
                <w:webHidden/>
              </w:rPr>
              <w:t>57</w:t>
            </w:r>
            <w:r w:rsidR="007B7A75">
              <w:rPr>
                <w:noProof/>
                <w:webHidden/>
              </w:rPr>
              <w:fldChar w:fldCharType="end"/>
            </w:r>
          </w:hyperlink>
        </w:p>
        <w:p w14:paraId="661A76FA" w14:textId="4C5AC098"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4" w:history="1">
            <w:r w:rsidR="007B7A75" w:rsidRPr="0007200F">
              <w:rPr>
                <w:rStyle w:val="Hyperlink"/>
                <w:noProof/>
                <w:lang w:val="en-IE"/>
              </w:rPr>
              <w:t>3.1.8.</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Enti Rregullator i Ujit</w:t>
            </w:r>
            <w:r w:rsidR="007B7A75">
              <w:rPr>
                <w:noProof/>
                <w:webHidden/>
              </w:rPr>
              <w:tab/>
            </w:r>
            <w:r w:rsidR="007B7A75">
              <w:rPr>
                <w:noProof/>
                <w:webHidden/>
              </w:rPr>
              <w:fldChar w:fldCharType="begin"/>
            </w:r>
            <w:r w:rsidR="007B7A75">
              <w:rPr>
                <w:noProof/>
                <w:webHidden/>
              </w:rPr>
              <w:instrText xml:space="preserve"> PAGEREF _Toc132277364 \h </w:instrText>
            </w:r>
            <w:r w:rsidR="007B7A75">
              <w:rPr>
                <w:noProof/>
                <w:webHidden/>
              </w:rPr>
            </w:r>
            <w:r w:rsidR="007B7A75">
              <w:rPr>
                <w:noProof/>
                <w:webHidden/>
              </w:rPr>
              <w:fldChar w:fldCharType="separate"/>
            </w:r>
            <w:r w:rsidR="007B7A75">
              <w:rPr>
                <w:noProof/>
                <w:webHidden/>
              </w:rPr>
              <w:t>58</w:t>
            </w:r>
            <w:r w:rsidR="007B7A75">
              <w:rPr>
                <w:noProof/>
                <w:webHidden/>
              </w:rPr>
              <w:fldChar w:fldCharType="end"/>
            </w:r>
          </w:hyperlink>
        </w:p>
        <w:p w14:paraId="20533628" w14:textId="358527CA" w:rsidR="007B7A75" w:rsidRDefault="009B18B8">
          <w:pPr>
            <w:pStyle w:val="TOC5"/>
            <w:tabs>
              <w:tab w:val="left" w:pos="1540"/>
              <w:tab w:val="right" w:leader="dot" w:pos="9016"/>
            </w:tabs>
            <w:rPr>
              <w:rFonts w:asciiTheme="minorHAnsi" w:eastAsiaTheme="minorEastAsia" w:hAnsiTheme="minorHAnsi" w:cstheme="minorBidi"/>
              <w:noProof/>
              <w:color w:val="auto"/>
              <w:sz w:val="22"/>
              <w:szCs w:val="22"/>
              <w:lang w:eastAsia="en-GB"/>
            </w:rPr>
          </w:pPr>
          <w:hyperlink w:anchor="_Toc132277365" w:history="1">
            <w:r w:rsidR="007B7A75" w:rsidRPr="0007200F">
              <w:rPr>
                <w:rStyle w:val="Hyperlink"/>
                <w:noProof/>
                <w:lang w:val="en-IE"/>
              </w:rPr>
              <w:t>3.1.9.</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Autoriteti i Aviacionit Civil</w:t>
            </w:r>
            <w:r w:rsidR="007B7A75">
              <w:rPr>
                <w:noProof/>
                <w:webHidden/>
              </w:rPr>
              <w:tab/>
            </w:r>
            <w:r w:rsidR="007B7A75">
              <w:rPr>
                <w:noProof/>
                <w:webHidden/>
              </w:rPr>
              <w:fldChar w:fldCharType="begin"/>
            </w:r>
            <w:r w:rsidR="007B7A75">
              <w:rPr>
                <w:noProof/>
                <w:webHidden/>
              </w:rPr>
              <w:instrText xml:space="preserve"> PAGEREF _Toc132277365 \h </w:instrText>
            </w:r>
            <w:r w:rsidR="007B7A75">
              <w:rPr>
                <w:noProof/>
                <w:webHidden/>
              </w:rPr>
            </w:r>
            <w:r w:rsidR="007B7A75">
              <w:rPr>
                <w:noProof/>
                <w:webHidden/>
              </w:rPr>
              <w:fldChar w:fldCharType="separate"/>
            </w:r>
            <w:r w:rsidR="007B7A75">
              <w:rPr>
                <w:noProof/>
                <w:webHidden/>
              </w:rPr>
              <w:t>58</w:t>
            </w:r>
            <w:r w:rsidR="007B7A75">
              <w:rPr>
                <w:noProof/>
                <w:webHidden/>
              </w:rPr>
              <w:fldChar w:fldCharType="end"/>
            </w:r>
          </w:hyperlink>
        </w:p>
        <w:p w14:paraId="33514E23" w14:textId="06161F07" w:rsidR="007B7A75" w:rsidRDefault="009B18B8" w:rsidP="007B7A75">
          <w:pPr>
            <w:pStyle w:val="TOC1"/>
            <w:rPr>
              <w:rFonts w:asciiTheme="minorHAnsi" w:eastAsiaTheme="minorEastAsia" w:hAnsiTheme="minorHAnsi" w:cstheme="minorBidi"/>
              <w:noProof/>
              <w:color w:val="auto"/>
              <w:sz w:val="22"/>
              <w:szCs w:val="22"/>
              <w:lang w:eastAsia="en-GB"/>
            </w:rPr>
          </w:pPr>
          <w:hyperlink w:anchor="_Toc132277366" w:history="1">
            <w:r w:rsidR="007B7A75" w:rsidRPr="0007200F">
              <w:rPr>
                <w:rStyle w:val="Hyperlink"/>
                <w:noProof/>
              </w:rPr>
              <w:t>II.</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KAPITULLI II: VIZIONI, POLITIKAT, QËLLIMET E POLITIKAVE DHE OBJEKTIVAT</w:t>
            </w:r>
            <w:r w:rsidR="007B7A75">
              <w:rPr>
                <w:noProof/>
                <w:webHidden/>
              </w:rPr>
              <w:tab/>
            </w:r>
            <w:r w:rsidR="007B7A75">
              <w:rPr>
                <w:noProof/>
                <w:webHidden/>
              </w:rPr>
              <w:fldChar w:fldCharType="begin"/>
            </w:r>
            <w:r w:rsidR="007B7A75">
              <w:rPr>
                <w:noProof/>
                <w:webHidden/>
              </w:rPr>
              <w:instrText xml:space="preserve"> PAGEREF _Toc132277366 \h </w:instrText>
            </w:r>
            <w:r w:rsidR="007B7A75">
              <w:rPr>
                <w:noProof/>
                <w:webHidden/>
              </w:rPr>
            </w:r>
            <w:r w:rsidR="007B7A75">
              <w:rPr>
                <w:noProof/>
                <w:webHidden/>
              </w:rPr>
              <w:fldChar w:fldCharType="separate"/>
            </w:r>
            <w:r w:rsidR="007B7A75">
              <w:rPr>
                <w:noProof/>
                <w:webHidden/>
              </w:rPr>
              <w:t>58</w:t>
            </w:r>
            <w:r w:rsidR="007B7A75">
              <w:rPr>
                <w:noProof/>
                <w:webHidden/>
              </w:rPr>
              <w:fldChar w:fldCharType="end"/>
            </w:r>
          </w:hyperlink>
        </w:p>
        <w:p w14:paraId="512F51A1" w14:textId="6AE65F16"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67" w:history="1">
            <w:r w:rsidR="007B7A75" w:rsidRPr="0007200F">
              <w:rPr>
                <w:rStyle w:val="Hyperlink"/>
                <w:noProof/>
              </w:rPr>
              <w:t>Vizioni i strategjisë</w:t>
            </w:r>
            <w:r w:rsidR="007B7A75">
              <w:rPr>
                <w:noProof/>
                <w:webHidden/>
              </w:rPr>
              <w:tab/>
            </w:r>
            <w:r w:rsidR="007B7A75">
              <w:rPr>
                <w:noProof/>
                <w:webHidden/>
              </w:rPr>
              <w:fldChar w:fldCharType="begin"/>
            </w:r>
            <w:r w:rsidR="007B7A75">
              <w:rPr>
                <w:noProof/>
                <w:webHidden/>
              </w:rPr>
              <w:instrText xml:space="preserve"> PAGEREF _Toc132277367 \h </w:instrText>
            </w:r>
            <w:r w:rsidR="007B7A75">
              <w:rPr>
                <w:noProof/>
                <w:webHidden/>
              </w:rPr>
            </w:r>
            <w:r w:rsidR="007B7A75">
              <w:rPr>
                <w:noProof/>
                <w:webHidden/>
              </w:rPr>
              <w:fldChar w:fldCharType="separate"/>
            </w:r>
            <w:r w:rsidR="007B7A75">
              <w:rPr>
                <w:noProof/>
                <w:webHidden/>
              </w:rPr>
              <w:t>59</w:t>
            </w:r>
            <w:r w:rsidR="007B7A75">
              <w:rPr>
                <w:noProof/>
                <w:webHidden/>
              </w:rPr>
              <w:fldChar w:fldCharType="end"/>
            </w:r>
          </w:hyperlink>
        </w:p>
        <w:p w14:paraId="1F5B812E" w14:textId="6EB8C96F"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68" w:history="1">
            <w:r w:rsidR="007B7A75" w:rsidRPr="0007200F">
              <w:rPr>
                <w:rStyle w:val="Hyperlink"/>
                <w:noProof/>
              </w:rPr>
              <w:t>Qëllimet e politikave</w:t>
            </w:r>
            <w:r w:rsidR="007B7A75">
              <w:rPr>
                <w:noProof/>
                <w:webHidden/>
              </w:rPr>
              <w:tab/>
            </w:r>
            <w:r w:rsidR="007B7A75">
              <w:rPr>
                <w:noProof/>
                <w:webHidden/>
              </w:rPr>
              <w:fldChar w:fldCharType="begin"/>
            </w:r>
            <w:r w:rsidR="007B7A75">
              <w:rPr>
                <w:noProof/>
                <w:webHidden/>
              </w:rPr>
              <w:instrText xml:space="preserve"> PAGEREF _Toc132277368 \h </w:instrText>
            </w:r>
            <w:r w:rsidR="007B7A75">
              <w:rPr>
                <w:noProof/>
                <w:webHidden/>
              </w:rPr>
            </w:r>
            <w:r w:rsidR="007B7A75">
              <w:rPr>
                <w:noProof/>
                <w:webHidden/>
              </w:rPr>
              <w:fldChar w:fldCharType="separate"/>
            </w:r>
            <w:r w:rsidR="007B7A75">
              <w:rPr>
                <w:noProof/>
                <w:webHidden/>
              </w:rPr>
              <w:t>59</w:t>
            </w:r>
            <w:r w:rsidR="007B7A75">
              <w:rPr>
                <w:noProof/>
                <w:webHidden/>
              </w:rPr>
              <w:fldChar w:fldCharType="end"/>
            </w:r>
          </w:hyperlink>
        </w:p>
        <w:p w14:paraId="14778693" w14:textId="08527161"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69" w:history="1">
            <w:r w:rsidR="007B7A75" w:rsidRPr="0007200F">
              <w:rPr>
                <w:rStyle w:val="Hyperlink"/>
                <w:noProof/>
              </w:rPr>
              <w:t>Objektivat, masat dhe indikatorët sipas fushave</w:t>
            </w:r>
            <w:r w:rsidR="007B7A75">
              <w:rPr>
                <w:noProof/>
                <w:webHidden/>
              </w:rPr>
              <w:tab/>
            </w:r>
            <w:r w:rsidR="007B7A75">
              <w:rPr>
                <w:noProof/>
                <w:webHidden/>
              </w:rPr>
              <w:fldChar w:fldCharType="begin"/>
            </w:r>
            <w:r w:rsidR="007B7A75">
              <w:rPr>
                <w:noProof/>
                <w:webHidden/>
              </w:rPr>
              <w:instrText xml:space="preserve"> PAGEREF _Toc132277369 \h </w:instrText>
            </w:r>
            <w:r w:rsidR="007B7A75">
              <w:rPr>
                <w:noProof/>
                <w:webHidden/>
              </w:rPr>
            </w:r>
            <w:r w:rsidR="007B7A75">
              <w:rPr>
                <w:noProof/>
                <w:webHidden/>
              </w:rPr>
              <w:fldChar w:fldCharType="separate"/>
            </w:r>
            <w:r w:rsidR="007B7A75">
              <w:rPr>
                <w:noProof/>
                <w:webHidden/>
              </w:rPr>
              <w:t>59</w:t>
            </w:r>
            <w:r w:rsidR="007B7A75">
              <w:rPr>
                <w:noProof/>
                <w:webHidden/>
              </w:rPr>
              <w:fldChar w:fldCharType="end"/>
            </w:r>
          </w:hyperlink>
        </w:p>
        <w:p w14:paraId="4872661B" w14:textId="46F76666"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70" w:history="1">
            <w:r w:rsidR="007B7A75" w:rsidRPr="0007200F">
              <w:rPr>
                <w:rStyle w:val="Hyperlink"/>
                <w:noProof/>
              </w:rPr>
              <w:t>II.1 Shtylla I: Siguria e produkteve ushqimore dhe e produkteve jo-ushqimore</w:t>
            </w:r>
            <w:r w:rsidR="007B7A75">
              <w:rPr>
                <w:noProof/>
                <w:webHidden/>
              </w:rPr>
              <w:tab/>
            </w:r>
            <w:r w:rsidR="007B7A75">
              <w:rPr>
                <w:noProof/>
                <w:webHidden/>
              </w:rPr>
              <w:fldChar w:fldCharType="begin"/>
            </w:r>
            <w:r w:rsidR="007B7A75">
              <w:rPr>
                <w:noProof/>
                <w:webHidden/>
              </w:rPr>
              <w:instrText xml:space="preserve"> PAGEREF _Toc132277370 \h </w:instrText>
            </w:r>
            <w:r w:rsidR="007B7A75">
              <w:rPr>
                <w:noProof/>
                <w:webHidden/>
              </w:rPr>
            </w:r>
            <w:r w:rsidR="007B7A75">
              <w:rPr>
                <w:noProof/>
                <w:webHidden/>
              </w:rPr>
              <w:fldChar w:fldCharType="separate"/>
            </w:r>
            <w:r w:rsidR="007B7A75">
              <w:rPr>
                <w:noProof/>
                <w:webHidden/>
              </w:rPr>
              <w:t>59</w:t>
            </w:r>
            <w:r w:rsidR="007B7A75">
              <w:rPr>
                <w:noProof/>
                <w:webHidden/>
              </w:rPr>
              <w:fldChar w:fldCharType="end"/>
            </w:r>
          </w:hyperlink>
        </w:p>
        <w:p w14:paraId="67C3F631" w14:textId="7C337457" w:rsidR="007B7A75" w:rsidRDefault="009B18B8">
          <w:pPr>
            <w:pStyle w:val="TOC3"/>
            <w:tabs>
              <w:tab w:val="right" w:leader="dot" w:pos="9016"/>
            </w:tabs>
            <w:rPr>
              <w:rFonts w:asciiTheme="minorHAnsi" w:eastAsiaTheme="minorEastAsia" w:hAnsiTheme="minorHAnsi" w:cstheme="minorBidi"/>
              <w:i w:val="0"/>
              <w:iCs w:val="0"/>
              <w:noProof/>
              <w:color w:val="auto"/>
              <w:sz w:val="22"/>
              <w:szCs w:val="22"/>
              <w:lang w:eastAsia="en-GB"/>
            </w:rPr>
          </w:pPr>
          <w:hyperlink w:anchor="_Toc132277371" w:history="1">
            <w:r w:rsidR="007B7A75" w:rsidRPr="0007200F">
              <w:rPr>
                <w:rStyle w:val="Hyperlink"/>
                <w:noProof/>
              </w:rPr>
              <w:t>II.1.1 Objektivat, masat dhe indikatorët për sigurinë e produkteve ushqimore</w:t>
            </w:r>
            <w:r w:rsidR="007B7A75">
              <w:rPr>
                <w:noProof/>
                <w:webHidden/>
              </w:rPr>
              <w:tab/>
            </w:r>
            <w:r w:rsidR="007B7A75">
              <w:rPr>
                <w:noProof/>
                <w:webHidden/>
              </w:rPr>
              <w:fldChar w:fldCharType="begin"/>
            </w:r>
            <w:r w:rsidR="007B7A75">
              <w:rPr>
                <w:noProof/>
                <w:webHidden/>
              </w:rPr>
              <w:instrText xml:space="preserve"> PAGEREF _Toc132277371 \h </w:instrText>
            </w:r>
            <w:r w:rsidR="007B7A75">
              <w:rPr>
                <w:noProof/>
                <w:webHidden/>
              </w:rPr>
            </w:r>
            <w:r w:rsidR="007B7A75">
              <w:rPr>
                <w:noProof/>
                <w:webHidden/>
              </w:rPr>
              <w:fldChar w:fldCharType="separate"/>
            </w:r>
            <w:r w:rsidR="007B7A75">
              <w:rPr>
                <w:noProof/>
                <w:webHidden/>
              </w:rPr>
              <w:t>60</w:t>
            </w:r>
            <w:r w:rsidR="007B7A75">
              <w:rPr>
                <w:noProof/>
                <w:webHidden/>
              </w:rPr>
              <w:fldChar w:fldCharType="end"/>
            </w:r>
          </w:hyperlink>
        </w:p>
        <w:p w14:paraId="63C8B494" w14:textId="01C91C8D"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2" w:history="1">
            <w:r w:rsidR="007B7A75" w:rsidRPr="0007200F">
              <w:rPr>
                <w:rStyle w:val="Hyperlink"/>
                <w:noProof/>
                <w:lang w:val="sq-AL"/>
              </w:rPr>
              <w:t>Ministria e Bujqësisë dhe Zhvillimit Rural</w:t>
            </w:r>
            <w:r w:rsidR="007B7A75">
              <w:rPr>
                <w:noProof/>
                <w:webHidden/>
              </w:rPr>
              <w:tab/>
            </w:r>
            <w:r w:rsidR="007B7A75">
              <w:rPr>
                <w:noProof/>
                <w:webHidden/>
              </w:rPr>
              <w:fldChar w:fldCharType="begin"/>
            </w:r>
            <w:r w:rsidR="007B7A75">
              <w:rPr>
                <w:noProof/>
                <w:webHidden/>
              </w:rPr>
              <w:instrText xml:space="preserve"> PAGEREF _Toc132277372 \h </w:instrText>
            </w:r>
            <w:r w:rsidR="007B7A75">
              <w:rPr>
                <w:noProof/>
                <w:webHidden/>
              </w:rPr>
            </w:r>
            <w:r w:rsidR="007B7A75">
              <w:rPr>
                <w:noProof/>
                <w:webHidden/>
              </w:rPr>
              <w:fldChar w:fldCharType="separate"/>
            </w:r>
            <w:r w:rsidR="007B7A75">
              <w:rPr>
                <w:noProof/>
                <w:webHidden/>
              </w:rPr>
              <w:t>60</w:t>
            </w:r>
            <w:r w:rsidR="007B7A75">
              <w:rPr>
                <w:noProof/>
                <w:webHidden/>
              </w:rPr>
              <w:fldChar w:fldCharType="end"/>
            </w:r>
          </w:hyperlink>
        </w:p>
        <w:p w14:paraId="25C4787F" w14:textId="3A07ADAC" w:rsidR="007B7A75" w:rsidRDefault="009B18B8">
          <w:pPr>
            <w:pStyle w:val="TOC3"/>
            <w:tabs>
              <w:tab w:val="right" w:leader="dot" w:pos="9016"/>
            </w:tabs>
            <w:rPr>
              <w:rFonts w:asciiTheme="minorHAnsi" w:eastAsiaTheme="minorEastAsia" w:hAnsiTheme="minorHAnsi" w:cstheme="minorBidi"/>
              <w:i w:val="0"/>
              <w:iCs w:val="0"/>
              <w:noProof/>
              <w:color w:val="auto"/>
              <w:sz w:val="22"/>
              <w:szCs w:val="22"/>
              <w:lang w:eastAsia="en-GB"/>
            </w:rPr>
          </w:pPr>
          <w:hyperlink w:anchor="_Toc132277373" w:history="1">
            <w:r w:rsidR="007B7A75" w:rsidRPr="0007200F">
              <w:rPr>
                <w:rStyle w:val="Hyperlink"/>
                <w:noProof/>
              </w:rPr>
              <w:t>II.1.2 Objektivat, masat dhe indikatorët për sigurinë e produkteve jo-ushqimore.</w:t>
            </w:r>
            <w:r w:rsidR="007B7A75">
              <w:rPr>
                <w:noProof/>
                <w:webHidden/>
              </w:rPr>
              <w:tab/>
            </w:r>
            <w:r w:rsidR="007B7A75">
              <w:rPr>
                <w:noProof/>
                <w:webHidden/>
              </w:rPr>
              <w:fldChar w:fldCharType="begin"/>
            </w:r>
            <w:r w:rsidR="007B7A75">
              <w:rPr>
                <w:noProof/>
                <w:webHidden/>
              </w:rPr>
              <w:instrText xml:space="preserve"> PAGEREF _Toc132277373 \h </w:instrText>
            </w:r>
            <w:r w:rsidR="007B7A75">
              <w:rPr>
                <w:noProof/>
                <w:webHidden/>
              </w:rPr>
            </w:r>
            <w:r w:rsidR="007B7A75">
              <w:rPr>
                <w:noProof/>
                <w:webHidden/>
              </w:rPr>
              <w:fldChar w:fldCharType="separate"/>
            </w:r>
            <w:r w:rsidR="007B7A75">
              <w:rPr>
                <w:noProof/>
                <w:webHidden/>
              </w:rPr>
              <w:t>61</w:t>
            </w:r>
            <w:r w:rsidR="007B7A75">
              <w:rPr>
                <w:noProof/>
                <w:webHidden/>
              </w:rPr>
              <w:fldChar w:fldCharType="end"/>
            </w:r>
          </w:hyperlink>
        </w:p>
        <w:p w14:paraId="7D4F54BC" w14:textId="6D8A86EA"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4" w:history="1">
            <w:r w:rsidR="007B7A75" w:rsidRPr="0007200F">
              <w:rPr>
                <w:rStyle w:val="Hyperlink"/>
                <w:noProof/>
                <w:lang w:val="sq-AL"/>
              </w:rPr>
              <w:t>Ministria e Financave dhe Ekonomisë</w:t>
            </w:r>
            <w:r w:rsidR="007B7A75">
              <w:rPr>
                <w:noProof/>
                <w:webHidden/>
              </w:rPr>
              <w:tab/>
            </w:r>
            <w:r w:rsidR="007B7A75">
              <w:rPr>
                <w:noProof/>
                <w:webHidden/>
              </w:rPr>
              <w:fldChar w:fldCharType="begin"/>
            </w:r>
            <w:r w:rsidR="007B7A75">
              <w:rPr>
                <w:noProof/>
                <w:webHidden/>
              </w:rPr>
              <w:instrText xml:space="preserve"> PAGEREF _Toc132277374 \h </w:instrText>
            </w:r>
            <w:r w:rsidR="007B7A75">
              <w:rPr>
                <w:noProof/>
                <w:webHidden/>
              </w:rPr>
            </w:r>
            <w:r w:rsidR="007B7A75">
              <w:rPr>
                <w:noProof/>
                <w:webHidden/>
              </w:rPr>
              <w:fldChar w:fldCharType="separate"/>
            </w:r>
            <w:r w:rsidR="007B7A75">
              <w:rPr>
                <w:noProof/>
                <w:webHidden/>
              </w:rPr>
              <w:t>61</w:t>
            </w:r>
            <w:r w:rsidR="007B7A75">
              <w:rPr>
                <w:noProof/>
                <w:webHidden/>
              </w:rPr>
              <w:fldChar w:fldCharType="end"/>
            </w:r>
          </w:hyperlink>
        </w:p>
        <w:p w14:paraId="67729DC4" w14:textId="3C5676F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5" w:history="1">
            <w:r w:rsidR="007B7A75" w:rsidRPr="0007200F">
              <w:rPr>
                <w:rStyle w:val="Hyperlink"/>
                <w:noProof/>
                <w:lang w:val="sq-AL"/>
              </w:rPr>
              <w:t>Ministria e Turizmit dhe Mjedisit</w:t>
            </w:r>
            <w:r w:rsidR="007B7A75">
              <w:rPr>
                <w:noProof/>
                <w:webHidden/>
              </w:rPr>
              <w:tab/>
            </w:r>
            <w:r w:rsidR="007B7A75">
              <w:rPr>
                <w:noProof/>
                <w:webHidden/>
              </w:rPr>
              <w:fldChar w:fldCharType="begin"/>
            </w:r>
            <w:r w:rsidR="007B7A75">
              <w:rPr>
                <w:noProof/>
                <w:webHidden/>
              </w:rPr>
              <w:instrText xml:space="preserve"> PAGEREF _Toc132277375 \h </w:instrText>
            </w:r>
            <w:r w:rsidR="007B7A75">
              <w:rPr>
                <w:noProof/>
                <w:webHidden/>
              </w:rPr>
            </w:r>
            <w:r w:rsidR="007B7A75">
              <w:rPr>
                <w:noProof/>
                <w:webHidden/>
              </w:rPr>
              <w:fldChar w:fldCharType="separate"/>
            </w:r>
            <w:r w:rsidR="007B7A75">
              <w:rPr>
                <w:noProof/>
                <w:webHidden/>
              </w:rPr>
              <w:t>62</w:t>
            </w:r>
            <w:r w:rsidR="007B7A75">
              <w:rPr>
                <w:noProof/>
                <w:webHidden/>
              </w:rPr>
              <w:fldChar w:fldCharType="end"/>
            </w:r>
          </w:hyperlink>
        </w:p>
        <w:p w14:paraId="331B5094" w14:textId="59B59CD6"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6" w:history="1">
            <w:r w:rsidR="007B7A75" w:rsidRPr="0007200F">
              <w:rPr>
                <w:rStyle w:val="Hyperlink"/>
                <w:noProof/>
                <w:lang w:val="sq-AL"/>
              </w:rPr>
              <w:t>Ministria e Shëndetësisë dhe Mbrojtjes Sociale</w:t>
            </w:r>
            <w:r w:rsidR="007B7A75">
              <w:rPr>
                <w:noProof/>
                <w:webHidden/>
              </w:rPr>
              <w:tab/>
            </w:r>
            <w:r w:rsidR="007B7A75">
              <w:rPr>
                <w:noProof/>
                <w:webHidden/>
              </w:rPr>
              <w:fldChar w:fldCharType="begin"/>
            </w:r>
            <w:r w:rsidR="007B7A75">
              <w:rPr>
                <w:noProof/>
                <w:webHidden/>
              </w:rPr>
              <w:instrText xml:space="preserve"> PAGEREF _Toc132277376 \h </w:instrText>
            </w:r>
            <w:r w:rsidR="007B7A75">
              <w:rPr>
                <w:noProof/>
                <w:webHidden/>
              </w:rPr>
            </w:r>
            <w:r w:rsidR="007B7A75">
              <w:rPr>
                <w:noProof/>
                <w:webHidden/>
              </w:rPr>
              <w:fldChar w:fldCharType="separate"/>
            </w:r>
            <w:r w:rsidR="007B7A75">
              <w:rPr>
                <w:noProof/>
                <w:webHidden/>
              </w:rPr>
              <w:t>63</w:t>
            </w:r>
            <w:r w:rsidR="007B7A75">
              <w:rPr>
                <w:noProof/>
                <w:webHidden/>
              </w:rPr>
              <w:fldChar w:fldCharType="end"/>
            </w:r>
          </w:hyperlink>
        </w:p>
        <w:p w14:paraId="39EF1894" w14:textId="4C443372"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7" w:history="1">
            <w:r w:rsidR="007B7A75" w:rsidRPr="0007200F">
              <w:rPr>
                <w:rStyle w:val="Hyperlink"/>
                <w:noProof/>
                <w:lang w:val="sq-AL"/>
              </w:rPr>
              <w:t>Infrastruktura e Cilësisë</w:t>
            </w:r>
            <w:r w:rsidR="007B7A75">
              <w:rPr>
                <w:noProof/>
                <w:webHidden/>
              </w:rPr>
              <w:tab/>
            </w:r>
            <w:r w:rsidR="007B7A75">
              <w:rPr>
                <w:noProof/>
                <w:webHidden/>
              </w:rPr>
              <w:fldChar w:fldCharType="begin"/>
            </w:r>
            <w:r w:rsidR="007B7A75">
              <w:rPr>
                <w:noProof/>
                <w:webHidden/>
              </w:rPr>
              <w:instrText xml:space="preserve"> PAGEREF _Toc132277377 \h </w:instrText>
            </w:r>
            <w:r w:rsidR="007B7A75">
              <w:rPr>
                <w:noProof/>
                <w:webHidden/>
              </w:rPr>
            </w:r>
            <w:r w:rsidR="007B7A75">
              <w:rPr>
                <w:noProof/>
                <w:webHidden/>
              </w:rPr>
              <w:fldChar w:fldCharType="separate"/>
            </w:r>
            <w:r w:rsidR="007B7A75">
              <w:rPr>
                <w:noProof/>
                <w:webHidden/>
              </w:rPr>
              <w:t>64</w:t>
            </w:r>
            <w:r w:rsidR="007B7A75">
              <w:rPr>
                <w:noProof/>
                <w:webHidden/>
              </w:rPr>
              <w:fldChar w:fldCharType="end"/>
            </w:r>
          </w:hyperlink>
        </w:p>
        <w:p w14:paraId="248EC54D" w14:textId="19584DF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8" w:history="1">
            <w:r w:rsidR="007B7A75" w:rsidRPr="0007200F">
              <w:rPr>
                <w:rStyle w:val="Hyperlink"/>
                <w:noProof/>
                <w:lang w:val="sq-AL"/>
              </w:rPr>
              <w:t>Standardizimi</w:t>
            </w:r>
            <w:r w:rsidR="007B7A75">
              <w:rPr>
                <w:noProof/>
                <w:webHidden/>
              </w:rPr>
              <w:tab/>
            </w:r>
            <w:r w:rsidR="007B7A75">
              <w:rPr>
                <w:noProof/>
                <w:webHidden/>
              </w:rPr>
              <w:fldChar w:fldCharType="begin"/>
            </w:r>
            <w:r w:rsidR="007B7A75">
              <w:rPr>
                <w:noProof/>
                <w:webHidden/>
              </w:rPr>
              <w:instrText xml:space="preserve"> PAGEREF _Toc132277378 \h </w:instrText>
            </w:r>
            <w:r w:rsidR="007B7A75">
              <w:rPr>
                <w:noProof/>
                <w:webHidden/>
              </w:rPr>
            </w:r>
            <w:r w:rsidR="007B7A75">
              <w:rPr>
                <w:noProof/>
                <w:webHidden/>
              </w:rPr>
              <w:fldChar w:fldCharType="separate"/>
            </w:r>
            <w:r w:rsidR="007B7A75">
              <w:rPr>
                <w:noProof/>
                <w:webHidden/>
              </w:rPr>
              <w:t>64</w:t>
            </w:r>
            <w:r w:rsidR="007B7A75">
              <w:rPr>
                <w:noProof/>
                <w:webHidden/>
              </w:rPr>
              <w:fldChar w:fldCharType="end"/>
            </w:r>
          </w:hyperlink>
        </w:p>
        <w:p w14:paraId="1433E528" w14:textId="32331D82"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79" w:history="1">
            <w:r w:rsidR="007B7A75" w:rsidRPr="0007200F">
              <w:rPr>
                <w:rStyle w:val="Hyperlink"/>
                <w:noProof/>
                <w:lang w:val="sq-AL"/>
              </w:rPr>
              <w:t>Akreditimi</w:t>
            </w:r>
            <w:r w:rsidR="007B7A75">
              <w:rPr>
                <w:noProof/>
                <w:webHidden/>
              </w:rPr>
              <w:tab/>
            </w:r>
            <w:r w:rsidR="007B7A75">
              <w:rPr>
                <w:noProof/>
                <w:webHidden/>
              </w:rPr>
              <w:fldChar w:fldCharType="begin"/>
            </w:r>
            <w:r w:rsidR="007B7A75">
              <w:rPr>
                <w:noProof/>
                <w:webHidden/>
              </w:rPr>
              <w:instrText xml:space="preserve"> PAGEREF _Toc132277379 \h </w:instrText>
            </w:r>
            <w:r w:rsidR="007B7A75">
              <w:rPr>
                <w:noProof/>
                <w:webHidden/>
              </w:rPr>
            </w:r>
            <w:r w:rsidR="007B7A75">
              <w:rPr>
                <w:noProof/>
                <w:webHidden/>
              </w:rPr>
              <w:fldChar w:fldCharType="separate"/>
            </w:r>
            <w:r w:rsidR="007B7A75">
              <w:rPr>
                <w:noProof/>
                <w:webHidden/>
              </w:rPr>
              <w:t>66</w:t>
            </w:r>
            <w:r w:rsidR="007B7A75">
              <w:rPr>
                <w:noProof/>
                <w:webHidden/>
              </w:rPr>
              <w:fldChar w:fldCharType="end"/>
            </w:r>
          </w:hyperlink>
        </w:p>
        <w:p w14:paraId="25EADC44" w14:textId="2FD8A2E2"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0" w:history="1">
            <w:r w:rsidR="007B7A75" w:rsidRPr="0007200F">
              <w:rPr>
                <w:rStyle w:val="Hyperlink"/>
                <w:noProof/>
                <w:lang w:val="sq-AL"/>
              </w:rPr>
              <w:t>Metrologjia</w:t>
            </w:r>
            <w:r w:rsidR="007B7A75">
              <w:rPr>
                <w:noProof/>
                <w:webHidden/>
              </w:rPr>
              <w:tab/>
            </w:r>
            <w:r w:rsidR="007B7A75">
              <w:rPr>
                <w:noProof/>
                <w:webHidden/>
              </w:rPr>
              <w:fldChar w:fldCharType="begin"/>
            </w:r>
            <w:r w:rsidR="007B7A75">
              <w:rPr>
                <w:noProof/>
                <w:webHidden/>
              </w:rPr>
              <w:instrText xml:space="preserve"> PAGEREF _Toc132277380 \h </w:instrText>
            </w:r>
            <w:r w:rsidR="007B7A75">
              <w:rPr>
                <w:noProof/>
                <w:webHidden/>
              </w:rPr>
            </w:r>
            <w:r w:rsidR="007B7A75">
              <w:rPr>
                <w:noProof/>
                <w:webHidden/>
              </w:rPr>
              <w:fldChar w:fldCharType="separate"/>
            </w:r>
            <w:r w:rsidR="007B7A75">
              <w:rPr>
                <w:noProof/>
                <w:webHidden/>
              </w:rPr>
              <w:t>67</w:t>
            </w:r>
            <w:r w:rsidR="007B7A75">
              <w:rPr>
                <w:noProof/>
                <w:webHidden/>
              </w:rPr>
              <w:fldChar w:fldCharType="end"/>
            </w:r>
          </w:hyperlink>
        </w:p>
        <w:p w14:paraId="3E10E10A" w14:textId="448F0895"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1" w:history="1">
            <w:r w:rsidR="007B7A75" w:rsidRPr="0007200F">
              <w:rPr>
                <w:rStyle w:val="Hyperlink"/>
                <w:noProof/>
                <w:lang w:val="sq-AL"/>
              </w:rPr>
              <w:t>Mbikqyrja e tregut</w:t>
            </w:r>
            <w:r w:rsidR="007B7A75">
              <w:rPr>
                <w:noProof/>
                <w:webHidden/>
              </w:rPr>
              <w:tab/>
            </w:r>
            <w:r w:rsidR="007B7A75">
              <w:rPr>
                <w:noProof/>
                <w:webHidden/>
              </w:rPr>
              <w:fldChar w:fldCharType="begin"/>
            </w:r>
            <w:r w:rsidR="007B7A75">
              <w:rPr>
                <w:noProof/>
                <w:webHidden/>
              </w:rPr>
              <w:instrText xml:space="preserve"> PAGEREF _Toc132277381 \h </w:instrText>
            </w:r>
            <w:r w:rsidR="007B7A75">
              <w:rPr>
                <w:noProof/>
                <w:webHidden/>
              </w:rPr>
            </w:r>
            <w:r w:rsidR="007B7A75">
              <w:rPr>
                <w:noProof/>
                <w:webHidden/>
              </w:rPr>
              <w:fldChar w:fldCharType="separate"/>
            </w:r>
            <w:r w:rsidR="007B7A75">
              <w:rPr>
                <w:noProof/>
                <w:webHidden/>
              </w:rPr>
              <w:t>70</w:t>
            </w:r>
            <w:r w:rsidR="007B7A75">
              <w:rPr>
                <w:noProof/>
                <w:webHidden/>
              </w:rPr>
              <w:fldChar w:fldCharType="end"/>
            </w:r>
          </w:hyperlink>
        </w:p>
        <w:p w14:paraId="28960949" w14:textId="179C01B0"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2" w:history="1">
            <w:r w:rsidR="007B7A75" w:rsidRPr="0007200F">
              <w:rPr>
                <w:rStyle w:val="Hyperlink"/>
                <w:noProof/>
                <w:lang w:val="sq-AL"/>
              </w:rPr>
              <w:t>Autoriteti Kombëtar i Ushqimit</w:t>
            </w:r>
            <w:r w:rsidR="007B7A75">
              <w:rPr>
                <w:noProof/>
                <w:webHidden/>
              </w:rPr>
              <w:tab/>
            </w:r>
            <w:r w:rsidR="007B7A75">
              <w:rPr>
                <w:noProof/>
                <w:webHidden/>
              </w:rPr>
              <w:fldChar w:fldCharType="begin"/>
            </w:r>
            <w:r w:rsidR="007B7A75">
              <w:rPr>
                <w:noProof/>
                <w:webHidden/>
              </w:rPr>
              <w:instrText xml:space="preserve"> PAGEREF _Toc132277382 \h </w:instrText>
            </w:r>
            <w:r w:rsidR="007B7A75">
              <w:rPr>
                <w:noProof/>
                <w:webHidden/>
              </w:rPr>
            </w:r>
            <w:r w:rsidR="007B7A75">
              <w:rPr>
                <w:noProof/>
                <w:webHidden/>
              </w:rPr>
              <w:fldChar w:fldCharType="separate"/>
            </w:r>
            <w:r w:rsidR="007B7A75">
              <w:rPr>
                <w:noProof/>
                <w:webHidden/>
              </w:rPr>
              <w:t>70</w:t>
            </w:r>
            <w:r w:rsidR="007B7A75">
              <w:rPr>
                <w:noProof/>
                <w:webHidden/>
              </w:rPr>
              <w:fldChar w:fldCharType="end"/>
            </w:r>
          </w:hyperlink>
        </w:p>
        <w:p w14:paraId="1EEF0864" w14:textId="26C1BA15"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3" w:history="1">
            <w:r w:rsidR="007B7A75" w:rsidRPr="0007200F">
              <w:rPr>
                <w:rStyle w:val="Hyperlink"/>
                <w:noProof/>
                <w:lang w:val="sq-AL"/>
              </w:rPr>
              <w:t>Inspektoriati Shtetëror Shëndetësor</w:t>
            </w:r>
            <w:r w:rsidR="007B7A75">
              <w:rPr>
                <w:noProof/>
                <w:webHidden/>
              </w:rPr>
              <w:tab/>
            </w:r>
            <w:r w:rsidR="007B7A75">
              <w:rPr>
                <w:noProof/>
                <w:webHidden/>
              </w:rPr>
              <w:fldChar w:fldCharType="begin"/>
            </w:r>
            <w:r w:rsidR="007B7A75">
              <w:rPr>
                <w:noProof/>
                <w:webHidden/>
              </w:rPr>
              <w:instrText xml:space="preserve"> PAGEREF _Toc132277383 \h </w:instrText>
            </w:r>
            <w:r w:rsidR="007B7A75">
              <w:rPr>
                <w:noProof/>
                <w:webHidden/>
              </w:rPr>
            </w:r>
            <w:r w:rsidR="007B7A75">
              <w:rPr>
                <w:noProof/>
                <w:webHidden/>
              </w:rPr>
              <w:fldChar w:fldCharType="separate"/>
            </w:r>
            <w:r w:rsidR="007B7A75">
              <w:rPr>
                <w:noProof/>
                <w:webHidden/>
              </w:rPr>
              <w:t>71</w:t>
            </w:r>
            <w:r w:rsidR="007B7A75">
              <w:rPr>
                <w:noProof/>
                <w:webHidden/>
              </w:rPr>
              <w:fldChar w:fldCharType="end"/>
            </w:r>
          </w:hyperlink>
        </w:p>
        <w:p w14:paraId="5321BA1F" w14:textId="0CF7D69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4" w:history="1">
            <w:r w:rsidR="007B7A75" w:rsidRPr="0007200F">
              <w:rPr>
                <w:rStyle w:val="Hyperlink"/>
                <w:noProof/>
                <w:lang w:val="sq-AL"/>
              </w:rPr>
              <w:t>Inspektorati Shtetëror i Mbikqyrjes së Tregut</w:t>
            </w:r>
            <w:r w:rsidR="007B7A75">
              <w:rPr>
                <w:noProof/>
                <w:webHidden/>
              </w:rPr>
              <w:tab/>
            </w:r>
            <w:r w:rsidR="007B7A75">
              <w:rPr>
                <w:noProof/>
                <w:webHidden/>
              </w:rPr>
              <w:fldChar w:fldCharType="begin"/>
            </w:r>
            <w:r w:rsidR="007B7A75">
              <w:rPr>
                <w:noProof/>
                <w:webHidden/>
              </w:rPr>
              <w:instrText xml:space="preserve"> PAGEREF _Toc132277384 \h </w:instrText>
            </w:r>
            <w:r w:rsidR="007B7A75">
              <w:rPr>
                <w:noProof/>
                <w:webHidden/>
              </w:rPr>
            </w:r>
            <w:r w:rsidR="007B7A75">
              <w:rPr>
                <w:noProof/>
                <w:webHidden/>
              </w:rPr>
              <w:fldChar w:fldCharType="separate"/>
            </w:r>
            <w:r w:rsidR="007B7A75">
              <w:rPr>
                <w:noProof/>
                <w:webHidden/>
              </w:rPr>
              <w:t>72</w:t>
            </w:r>
            <w:r w:rsidR="007B7A75">
              <w:rPr>
                <w:noProof/>
                <w:webHidden/>
              </w:rPr>
              <w:fldChar w:fldCharType="end"/>
            </w:r>
          </w:hyperlink>
        </w:p>
        <w:p w14:paraId="4FEE1047" w14:textId="0887C203"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5" w:history="1">
            <w:r w:rsidR="007B7A75" w:rsidRPr="0007200F">
              <w:rPr>
                <w:rStyle w:val="Hyperlink"/>
                <w:noProof/>
                <w:lang w:val="sq-AL"/>
              </w:rPr>
              <w:t>Inspektorati Shtetëror Teknik dhe Industrial</w:t>
            </w:r>
            <w:r w:rsidR="007B7A75">
              <w:rPr>
                <w:noProof/>
                <w:webHidden/>
              </w:rPr>
              <w:tab/>
            </w:r>
            <w:r w:rsidR="007B7A75">
              <w:rPr>
                <w:noProof/>
                <w:webHidden/>
              </w:rPr>
              <w:fldChar w:fldCharType="begin"/>
            </w:r>
            <w:r w:rsidR="007B7A75">
              <w:rPr>
                <w:noProof/>
                <w:webHidden/>
              </w:rPr>
              <w:instrText xml:space="preserve"> PAGEREF _Toc132277385 \h </w:instrText>
            </w:r>
            <w:r w:rsidR="007B7A75">
              <w:rPr>
                <w:noProof/>
                <w:webHidden/>
              </w:rPr>
            </w:r>
            <w:r w:rsidR="007B7A75">
              <w:rPr>
                <w:noProof/>
                <w:webHidden/>
              </w:rPr>
              <w:fldChar w:fldCharType="separate"/>
            </w:r>
            <w:r w:rsidR="007B7A75">
              <w:rPr>
                <w:noProof/>
                <w:webHidden/>
              </w:rPr>
              <w:t>73</w:t>
            </w:r>
            <w:r w:rsidR="007B7A75">
              <w:rPr>
                <w:noProof/>
                <w:webHidden/>
              </w:rPr>
              <w:fldChar w:fldCharType="end"/>
            </w:r>
          </w:hyperlink>
        </w:p>
        <w:p w14:paraId="7AF34589" w14:textId="2B0AF8A8"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86" w:history="1">
            <w:r w:rsidR="007B7A75" w:rsidRPr="0007200F">
              <w:rPr>
                <w:rStyle w:val="Hyperlink"/>
                <w:noProof/>
              </w:rPr>
              <w:t>II.2 Shtylla II Çështje të mbrojtjes së konsumatorëve që nuk lidhen me aspektet e sigurisë</w:t>
            </w:r>
            <w:r w:rsidR="007B7A75">
              <w:rPr>
                <w:noProof/>
                <w:webHidden/>
              </w:rPr>
              <w:tab/>
            </w:r>
            <w:r w:rsidR="007B7A75">
              <w:rPr>
                <w:noProof/>
                <w:webHidden/>
              </w:rPr>
              <w:fldChar w:fldCharType="begin"/>
            </w:r>
            <w:r w:rsidR="007B7A75">
              <w:rPr>
                <w:noProof/>
                <w:webHidden/>
              </w:rPr>
              <w:instrText xml:space="preserve"> PAGEREF _Toc132277386 \h </w:instrText>
            </w:r>
            <w:r w:rsidR="007B7A75">
              <w:rPr>
                <w:noProof/>
                <w:webHidden/>
              </w:rPr>
            </w:r>
            <w:r w:rsidR="007B7A75">
              <w:rPr>
                <w:noProof/>
                <w:webHidden/>
              </w:rPr>
              <w:fldChar w:fldCharType="separate"/>
            </w:r>
            <w:r w:rsidR="007B7A75">
              <w:rPr>
                <w:noProof/>
                <w:webHidden/>
              </w:rPr>
              <w:t>74</w:t>
            </w:r>
            <w:r w:rsidR="007B7A75">
              <w:rPr>
                <w:noProof/>
                <w:webHidden/>
              </w:rPr>
              <w:fldChar w:fldCharType="end"/>
            </w:r>
          </w:hyperlink>
        </w:p>
        <w:p w14:paraId="61BF9F7D" w14:textId="2AD325D7" w:rsidR="007B7A75" w:rsidRDefault="009B18B8">
          <w:pPr>
            <w:pStyle w:val="TOC3"/>
            <w:tabs>
              <w:tab w:val="right" w:leader="dot" w:pos="9016"/>
            </w:tabs>
            <w:rPr>
              <w:rFonts w:asciiTheme="minorHAnsi" w:eastAsiaTheme="minorEastAsia" w:hAnsiTheme="minorHAnsi" w:cstheme="minorBidi"/>
              <w:i w:val="0"/>
              <w:iCs w:val="0"/>
              <w:noProof/>
              <w:color w:val="auto"/>
              <w:sz w:val="22"/>
              <w:szCs w:val="22"/>
              <w:lang w:eastAsia="en-GB"/>
            </w:rPr>
          </w:pPr>
          <w:hyperlink w:anchor="_Toc132277387" w:history="1">
            <w:r w:rsidR="007B7A75" w:rsidRPr="0007200F">
              <w:rPr>
                <w:rStyle w:val="Hyperlink"/>
                <w:noProof/>
              </w:rPr>
              <w:t>II.2.1 Objektivat, masat dhe indikatorët</w:t>
            </w:r>
            <w:r w:rsidR="007B7A75">
              <w:rPr>
                <w:noProof/>
                <w:webHidden/>
              </w:rPr>
              <w:tab/>
            </w:r>
            <w:r w:rsidR="007B7A75">
              <w:rPr>
                <w:noProof/>
                <w:webHidden/>
              </w:rPr>
              <w:fldChar w:fldCharType="begin"/>
            </w:r>
            <w:r w:rsidR="007B7A75">
              <w:rPr>
                <w:noProof/>
                <w:webHidden/>
              </w:rPr>
              <w:instrText xml:space="preserve"> PAGEREF _Toc132277387 \h </w:instrText>
            </w:r>
            <w:r w:rsidR="007B7A75">
              <w:rPr>
                <w:noProof/>
                <w:webHidden/>
              </w:rPr>
            </w:r>
            <w:r w:rsidR="007B7A75">
              <w:rPr>
                <w:noProof/>
                <w:webHidden/>
              </w:rPr>
              <w:fldChar w:fldCharType="separate"/>
            </w:r>
            <w:r w:rsidR="007B7A75">
              <w:rPr>
                <w:noProof/>
                <w:webHidden/>
              </w:rPr>
              <w:t>75</w:t>
            </w:r>
            <w:r w:rsidR="007B7A75">
              <w:rPr>
                <w:noProof/>
                <w:webHidden/>
              </w:rPr>
              <w:fldChar w:fldCharType="end"/>
            </w:r>
          </w:hyperlink>
        </w:p>
        <w:p w14:paraId="0F566F08" w14:textId="33509C26"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8" w:history="1">
            <w:r w:rsidR="007B7A75" w:rsidRPr="0007200F">
              <w:rPr>
                <w:rStyle w:val="Hyperlink"/>
                <w:noProof/>
                <w:lang w:val="sq-AL"/>
              </w:rPr>
              <w:t>Ministria e Financave dhe Ekonomisë</w:t>
            </w:r>
            <w:r w:rsidR="007B7A75">
              <w:rPr>
                <w:noProof/>
                <w:webHidden/>
              </w:rPr>
              <w:tab/>
            </w:r>
            <w:r w:rsidR="007B7A75">
              <w:rPr>
                <w:noProof/>
                <w:webHidden/>
              </w:rPr>
              <w:fldChar w:fldCharType="begin"/>
            </w:r>
            <w:r w:rsidR="007B7A75">
              <w:rPr>
                <w:noProof/>
                <w:webHidden/>
              </w:rPr>
              <w:instrText xml:space="preserve"> PAGEREF _Toc132277388 \h </w:instrText>
            </w:r>
            <w:r w:rsidR="007B7A75">
              <w:rPr>
                <w:noProof/>
                <w:webHidden/>
              </w:rPr>
            </w:r>
            <w:r w:rsidR="007B7A75">
              <w:rPr>
                <w:noProof/>
                <w:webHidden/>
              </w:rPr>
              <w:fldChar w:fldCharType="separate"/>
            </w:r>
            <w:r w:rsidR="007B7A75">
              <w:rPr>
                <w:noProof/>
                <w:webHidden/>
              </w:rPr>
              <w:t>75</w:t>
            </w:r>
            <w:r w:rsidR="007B7A75">
              <w:rPr>
                <w:noProof/>
                <w:webHidden/>
              </w:rPr>
              <w:fldChar w:fldCharType="end"/>
            </w:r>
          </w:hyperlink>
        </w:p>
        <w:p w14:paraId="01EE399C" w14:textId="606A19EF"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89" w:history="1">
            <w:r w:rsidR="007B7A75" w:rsidRPr="0007200F">
              <w:rPr>
                <w:rStyle w:val="Hyperlink"/>
                <w:noProof/>
                <w:lang w:val="sq-AL"/>
              </w:rPr>
              <w:t>Ministria e Mjedisit dhe Turizmit</w:t>
            </w:r>
            <w:r w:rsidR="007B7A75">
              <w:rPr>
                <w:noProof/>
                <w:webHidden/>
              </w:rPr>
              <w:tab/>
            </w:r>
            <w:r w:rsidR="007B7A75">
              <w:rPr>
                <w:noProof/>
                <w:webHidden/>
              </w:rPr>
              <w:fldChar w:fldCharType="begin"/>
            </w:r>
            <w:r w:rsidR="007B7A75">
              <w:rPr>
                <w:noProof/>
                <w:webHidden/>
              </w:rPr>
              <w:instrText xml:space="preserve"> PAGEREF _Toc132277389 \h </w:instrText>
            </w:r>
            <w:r w:rsidR="007B7A75">
              <w:rPr>
                <w:noProof/>
                <w:webHidden/>
              </w:rPr>
            </w:r>
            <w:r w:rsidR="007B7A75">
              <w:rPr>
                <w:noProof/>
                <w:webHidden/>
              </w:rPr>
              <w:fldChar w:fldCharType="separate"/>
            </w:r>
            <w:r w:rsidR="007B7A75">
              <w:rPr>
                <w:noProof/>
                <w:webHidden/>
              </w:rPr>
              <w:t>76</w:t>
            </w:r>
            <w:r w:rsidR="007B7A75">
              <w:rPr>
                <w:noProof/>
                <w:webHidden/>
              </w:rPr>
              <w:fldChar w:fldCharType="end"/>
            </w:r>
          </w:hyperlink>
        </w:p>
        <w:p w14:paraId="2B24D5E3" w14:textId="48D5B992"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0" w:history="1">
            <w:r w:rsidR="007B7A75" w:rsidRPr="0007200F">
              <w:rPr>
                <w:rStyle w:val="Hyperlink"/>
                <w:noProof/>
                <w:lang w:val="sq-AL"/>
              </w:rPr>
              <w:t>Enti Rregullator i Energjisë</w:t>
            </w:r>
            <w:r w:rsidR="007B7A75">
              <w:rPr>
                <w:noProof/>
                <w:webHidden/>
              </w:rPr>
              <w:tab/>
            </w:r>
            <w:r w:rsidR="007B7A75">
              <w:rPr>
                <w:noProof/>
                <w:webHidden/>
              </w:rPr>
              <w:fldChar w:fldCharType="begin"/>
            </w:r>
            <w:r w:rsidR="007B7A75">
              <w:rPr>
                <w:noProof/>
                <w:webHidden/>
              </w:rPr>
              <w:instrText xml:space="preserve"> PAGEREF _Toc132277390 \h </w:instrText>
            </w:r>
            <w:r w:rsidR="007B7A75">
              <w:rPr>
                <w:noProof/>
                <w:webHidden/>
              </w:rPr>
            </w:r>
            <w:r w:rsidR="007B7A75">
              <w:rPr>
                <w:noProof/>
                <w:webHidden/>
              </w:rPr>
              <w:fldChar w:fldCharType="separate"/>
            </w:r>
            <w:r w:rsidR="007B7A75">
              <w:rPr>
                <w:noProof/>
                <w:webHidden/>
              </w:rPr>
              <w:t>77</w:t>
            </w:r>
            <w:r w:rsidR="007B7A75">
              <w:rPr>
                <w:noProof/>
                <w:webHidden/>
              </w:rPr>
              <w:fldChar w:fldCharType="end"/>
            </w:r>
          </w:hyperlink>
        </w:p>
        <w:p w14:paraId="3F2E327E" w14:textId="30E45AE2"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1" w:history="1">
            <w:r w:rsidR="007B7A75" w:rsidRPr="0007200F">
              <w:rPr>
                <w:rStyle w:val="Hyperlink"/>
                <w:noProof/>
                <w:lang w:val="sq-AL"/>
              </w:rPr>
              <w:t>Enti Rregullator i Ujit</w:t>
            </w:r>
            <w:r w:rsidR="007B7A75">
              <w:rPr>
                <w:noProof/>
                <w:webHidden/>
              </w:rPr>
              <w:tab/>
            </w:r>
            <w:r w:rsidR="007B7A75">
              <w:rPr>
                <w:noProof/>
                <w:webHidden/>
              </w:rPr>
              <w:fldChar w:fldCharType="begin"/>
            </w:r>
            <w:r w:rsidR="007B7A75">
              <w:rPr>
                <w:noProof/>
                <w:webHidden/>
              </w:rPr>
              <w:instrText xml:space="preserve"> PAGEREF _Toc132277391 \h </w:instrText>
            </w:r>
            <w:r w:rsidR="007B7A75">
              <w:rPr>
                <w:noProof/>
                <w:webHidden/>
              </w:rPr>
            </w:r>
            <w:r w:rsidR="007B7A75">
              <w:rPr>
                <w:noProof/>
                <w:webHidden/>
              </w:rPr>
              <w:fldChar w:fldCharType="separate"/>
            </w:r>
            <w:r w:rsidR="007B7A75">
              <w:rPr>
                <w:noProof/>
                <w:webHidden/>
              </w:rPr>
              <w:t>78</w:t>
            </w:r>
            <w:r w:rsidR="007B7A75">
              <w:rPr>
                <w:noProof/>
                <w:webHidden/>
              </w:rPr>
              <w:fldChar w:fldCharType="end"/>
            </w:r>
          </w:hyperlink>
        </w:p>
        <w:p w14:paraId="6A53F220" w14:textId="6158548A"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2" w:history="1">
            <w:r w:rsidR="007B7A75" w:rsidRPr="0007200F">
              <w:rPr>
                <w:rStyle w:val="Hyperlink"/>
                <w:noProof/>
                <w:lang w:val="sq-AL"/>
              </w:rPr>
              <w:t>Autoriteti i Komunikimeve Elektronike dhe Postare</w:t>
            </w:r>
            <w:r w:rsidR="007B7A75">
              <w:rPr>
                <w:noProof/>
                <w:webHidden/>
              </w:rPr>
              <w:tab/>
            </w:r>
            <w:r w:rsidR="007B7A75">
              <w:rPr>
                <w:noProof/>
                <w:webHidden/>
              </w:rPr>
              <w:fldChar w:fldCharType="begin"/>
            </w:r>
            <w:r w:rsidR="007B7A75">
              <w:rPr>
                <w:noProof/>
                <w:webHidden/>
              </w:rPr>
              <w:instrText xml:space="preserve"> PAGEREF _Toc132277392 \h </w:instrText>
            </w:r>
            <w:r w:rsidR="007B7A75">
              <w:rPr>
                <w:noProof/>
                <w:webHidden/>
              </w:rPr>
            </w:r>
            <w:r w:rsidR="007B7A75">
              <w:rPr>
                <w:noProof/>
                <w:webHidden/>
              </w:rPr>
              <w:fldChar w:fldCharType="separate"/>
            </w:r>
            <w:r w:rsidR="007B7A75">
              <w:rPr>
                <w:noProof/>
                <w:webHidden/>
              </w:rPr>
              <w:t>79</w:t>
            </w:r>
            <w:r w:rsidR="007B7A75">
              <w:rPr>
                <w:noProof/>
                <w:webHidden/>
              </w:rPr>
              <w:fldChar w:fldCharType="end"/>
            </w:r>
          </w:hyperlink>
        </w:p>
        <w:p w14:paraId="317C941C" w14:textId="189CBDE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3" w:history="1">
            <w:r w:rsidR="007B7A75" w:rsidRPr="00B94CC2">
              <w:rPr>
                <w:rStyle w:val="Hyperlink"/>
                <w:noProof/>
              </w:rPr>
              <w:t>Autoriteti i Mbikqyrjes Financiare</w:t>
            </w:r>
            <w:r w:rsidR="007B7A75" w:rsidRPr="00B94CC2">
              <w:rPr>
                <w:noProof/>
                <w:webHidden/>
              </w:rPr>
              <w:tab/>
            </w:r>
            <w:r w:rsidR="007B7A75" w:rsidRPr="00B94CC2">
              <w:rPr>
                <w:noProof/>
                <w:webHidden/>
              </w:rPr>
              <w:fldChar w:fldCharType="begin"/>
            </w:r>
            <w:r w:rsidR="007B7A75" w:rsidRPr="00B94CC2">
              <w:rPr>
                <w:noProof/>
                <w:webHidden/>
              </w:rPr>
              <w:instrText xml:space="preserve"> PAGEREF _Toc132277393 \h </w:instrText>
            </w:r>
            <w:r w:rsidR="007B7A75" w:rsidRPr="00B94CC2">
              <w:rPr>
                <w:noProof/>
                <w:webHidden/>
              </w:rPr>
            </w:r>
            <w:r w:rsidR="007B7A75" w:rsidRPr="00B94CC2">
              <w:rPr>
                <w:noProof/>
                <w:webHidden/>
              </w:rPr>
              <w:fldChar w:fldCharType="separate"/>
            </w:r>
            <w:r w:rsidR="007B7A75" w:rsidRPr="00B94CC2">
              <w:rPr>
                <w:noProof/>
                <w:webHidden/>
              </w:rPr>
              <w:t>80</w:t>
            </w:r>
            <w:r w:rsidR="007B7A75" w:rsidRPr="00B94CC2">
              <w:rPr>
                <w:noProof/>
                <w:webHidden/>
              </w:rPr>
              <w:fldChar w:fldCharType="end"/>
            </w:r>
          </w:hyperlink>
        </w:p>
        <w:p w14:paraId="134AD1E3" w14:textId="53127FB4"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4" w:history="1">
            <w:r w:rsidR="007B7A75" w:rsidRPr="0007200F">
              <w:rPr>
                <w:rStyle w:val="Hyperlink"/>
                <w:noProof/>
              </w:rPr>
              <w:t>Banka e Shqipërisë</w:t>
            </w:r>
            <w:r w:rsidR="007B7A75">
              <w:rPr>
                <w:noProof/>
                <w:webHidden/>
              </w:rPr>
              <w:tab/>
            </w:r>
            <w:r w:rsidR="007B7A75">
              <w:rPr>
                <w:noProof/>
                <w:webHidden/>
              </w:rPr>
              <w:fldChar w:fldCharType="begin"/>
            </w:r>
            <w:r w:rsidR="007B7A75">
              <w:rPr>
                <w:noProof/>
                <w:webHidden/>
              </w:rPr>
              <w:instrText xml:space="preserve"> PAGEREF _Toc132277394 \h </w:instrText>
            </w:r>
            <w:r w:rsidR="007B7A75">
              <w:rPr>
                <w:noProof/>
                <w:webHidden/>
              </w:rPr>
            </w:r>
            <w:r w:rsidR="007B7A75">
              <w:rPr>
                <w:noProof/>
                <w:webHidden/>
              </w:rPr>
              <w:fldChar w:fldCharType="separate"/>
            </w:r>
            <w:r w:rsidR="007B7A75">
              <w:rPr>
                <w:noProof/>
                <w:webHidden/>
              </w:rPr>
              <w:t>81</w:t>
            </w:r>
            <w:r w:rsidR="007B7A75">
              <w:rPr>
                <w:noProof/>
                <w:webHidden/>
              </w:rPr>
              <w:fldChar w:fldCharType="end"/>
            </w:r>
          </w:hyperlink>
        </w:p>
        <w:p w14:paraId="3862B188" w14:textId="3C3E1DCB"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5" w:history="1">
            <w:r w:rsidR="007B7A75" w:rsidRPr="0007200F">
              <w:rPr>
                <w:rStyle w:val="Hyperlink"/>
                <w:noProof/>
                <w:lang w:val="sq-AL"/>
              </w:rPr>
              <w:t>Autoriteti i Aviacionit Civil</w:t>
            </w:r>
            <w:r w:rsidR="007B7A75">
              <w:rPr>
                <w:noProof/>
                <w:webHidden/>
              </w:rPr>
              <w:tab/>
            </w:r>
            <w:r w:rsidR="007B7A75">
              <w:rPr>
                <w:noProof/>
                <w:webHidden/>
              </w:rPr>
              <w:fldChar w:fldCharType="begin"/>
            </w:r>
            <w:r w:rsidR="007B7A75">
              <w:rPr>
                <w:noProof/>
                <w:webHidden/>
              </w:rPr>
              <w:instrText xml:space="preserve"> PAGEREF _Toc132277395 \h </w:instrText>
            </w:r>
            <w:r w:rsidR="007B7A75">
              <w:rPr>
                <w:noProof/>
                <w:webHidden/>
              </w:rPr>
            </w:r>
            <w:r w:rsidR="007B7A75">
              <w:rPr>
                <w:noProof/>
                <w:webHidden/>
              </w:rPr>
              <w:fldChar w:fldCharType="separate"/>
            </w:r>
            <w:r w:rsidR="007B7A75">
              <w:rPr>
                <w:noProof/>
                <w:webHidden/>
              </w:rPr>
              <w:t>81</w:t>
            </w:r>
            <w:r w:rsidR="007B7A75">
              <w:rPr>
                <w:noProof/>
                <w:webHidden/>
              </w:rPr>
              <w:fldChar w:fldCharType="end"/>
            </w:r>
          </w:hyperlink>
        </w:p>
        <w:p w14:paraId="3D416D7F" w14:textId="1BC7F274"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396" w:history="1">
            <w:r w:rsidR="007B7A75" w:rsidRPr="0007200F">
              <w:rPr>
                <w:rStyle w:val="Hyperlink"/>
                <w:noProof/>
              </w:rPr>
              <w:t>II.3 Shtylla III Informimi dhe ndërgjegjësimi i konsumatorëve dhe i subjekteve, si dhe bashkëpunimi ndërinstitucional dhe me të gjithë aktorët e tjerë</w:t>
            </w:r>
            <w:r w:rsidR="007B7A75">
              <w:rPr>
                <w:noProof/>
                <w:webHidden/>
              </w:rPr>
              <w:tab/>
            </w:r>
            <w:r w:rsidR="007B7A75">
              <w:rPr>
                <w:noProof/>
                <w:webHidden/>
              </w:rPr>
              <w:fldChar w:fldCharType="begin"/>
            </w:r>
            <w:r w:rsidR="007B7A75">
              <w:rPr>
                <w:noProof/>
                <w:webHidden/>
              </w:rPr>
              <w:instrText xml:space="preserve"> PAGEREF _Toc132277396 \h </w:instrText>
            </w:r>
            <w:r w:rsidR="007B7A75">
              <w:rPr>
                <w:noProof/>
                <w:webHidden/>
              </w:rPr>
            </w:r>
            <w:r w:rsidR="007B7A75">
              <w:rPr>
                <w:noProof/>
                <w:webHidden/>
              </w:rPr>
              <w:fldChar w:fldCharType="separate"/>
            </w:r>
            <w:r w:rsidR="007B7A75">
              <w:rPr>
                <w:noProof/>
                <w:webHidden/>
              </w:rPr>
              <w:t>82</w:t>
            </w:r>
            <w:r w:rsidR="007B7A75">
              <w:rPr>
                <w:noProof/>
                <w:webHidden/>
              </w:rPr>
              <w:fldChar w:fldCharType="end"/>
            </w:r>
          </w:hyperlink>
        </w:p>
        <w:p w14:paraId="121278BB" w14:textId="6B9F7842" w:rsidR="007B7A75" w:rsidRDefault="009B18B8">
          <w:pPr>
            <w:pStyle w:val="TOC3"/>
            <w:tabs>
              <w:tab w:val="right" w:leader="dot" w:pos="9016"/>
            </w:tabs>
            <w:rPr>
              <w:rFonts w:asciiTheme="minorHAnsi" w:eastAsiaTheme="minorEastAsia" w:hAnsiTheme="minorHAnsi" w:cstheme="minorBidi"/>
              <w:i w:val="0"/>
              <w:iCs w:val="0"/>
              <w:noProof/>
              <w:color w:val="auto"/>
              <w:sz w:val="22"/>
              <w:szCs w:val="22"/>
              <w:lang w:eastAsia="en-GB"/>
            </w:rPr>
          </w:pPr>
          <w:hyperlink w:anchor="_Toc132277397" w:history="1">
            <w:r w:rsidR="007B7A75" w:rsidRPr="0007200F">
              <w:rPr>
                <w:rStyle w:val="Hyperlink"/>
                <w:noProof/>
              </w:rPr>
              <w:t>II.3.1 Objektivat, masat dhe indikatorët lidhur me informimin dhe ndërgjegjwsimin për çështje që lidhen me aspekte të sigurisë:</w:t>
            </w:r>
            <w:r w:rsidR="007B7A75">
              <w:rPr>
                <w:noProof/>
                <w:webHidden/>
              </w:rPr>
              <w:tab/>
            </w:r>
            <w:r w:rsidR="007B7A75">
              <w:rPr>
                <w:noProof/>
                <w:webHidden/>
              </w:rPr>
              <w:fldChar w:fldCharType="begin"/>
            </w:r>
            <w:r w:rsidR="007B7A75">
              <w:rPr>
                <w:noProof/>
                <w:webHidden/>
              </w:rPr>
              <w:instrText xml:space="preserve"> PAGEREF _Toc132277397 \h </w:instrText>
            </w:r>
            <w:r w:rsidR="007B7A75">
              <w:rPr>
                <w:noProof/>
                <w:webHidden/>
              </w:rPr>
            </w:r>
            <w:r w:rsidR="007B7A75">
              <w:rPr>
                <w:noProof/>
                <w:webHidden/>
              </w:rPr>
              <w:fldChar w:fldCharType="separate"/>
            </w:r>
            <w:r w:rsidR="007B7A75">
              <w:rPr>
                <w:noProof/>
                <w:webHidden/>
              </w:rPr>
              <w:t>82</w:t>
            </w:r>
            <w:r w:rsidR="007B7A75">
              <w:rPr>
                <w:noProof/>
                <w:webHidden/>
              </w:rPr>
              <w:fldChar w:fldCharType="end"/>
            </w:r>
          </w:hyperlink>
        </w:p>
        <w:p w14:paraId="69AE5E5F" w14:textId="52F1FF86"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8" w:history="1">
            <w:r w:rsidR="007B7A75" w:rsidRPr="0007200F">
              <w:rPr>
                <w:rStyle w:val="Hyperlink"/>
                <w:noProof/>
                <w:lang w:val="sq-AL"/>
              </w:rPr>
              <w:t>Ministria e Bujqësisë dhe Zhvillimit Rural</w:t>
            </w:r>
            <w:r w:rsidR="007B7A75">
              <w:rPr>
                <w:noProof/>
                <w:webHidden/>
              </w:rPr>
              <w:tab/>
            </w:r>
            <w:r w:rsidR="007B7A75">
              <w:rPr>
                <w:noProof/>
                <w:webHidden/>
              </w:rPr>
              <w:fldChar w:fldCharType="begin"/>
            </w:r>
            <w:r w:rsidR="007B7A75">
              <w:rPr>
                <w:noProof/>
                <w:webHidden/>
              </w:rPr>
              <w:instrText xml:space="preserve"> PAGEREF _Toc132277398 \h </w:instrText>
            </w:r>
            <w:r w:rsidR="007B7A75">
              <w:rPr>
                <w:noProof/>
                <w:webHidden/>
              </w:rPr>
            </w:r>
            <w:r w:rsidR="007B7A75">
              <w:rPr>
                <w:noProof/>
                <w:webHidden/>
              </w:rPr>
              <w:fldChar w:fldCharType="separate"/>
            </w:r>
            <w:r w:rsidR="007B7A75">
              <w:rPr>
                <w:noProof/>
                <w:webHidden/>
              </w:rPr>
              <w:t>82</w:t>
            </w:r>
            <w:r w:rsidR="007B7A75">
              <w:rPr>
                <w:noProof/>
                <w:webHidden/>
              </w:rPr>
              <w:fldChar w:fldCharType="end"/>
            </w:r>
          </w:hyperlink>
        </w:p>
        <w:p w14:paraId="61674471" w14:textId="28366B2D"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399" w:history="1">
            <w:r w:rsidR="007B7A75" w:rsidRPr="0007200F">
              <w:rPr>
                <w:rStyle w:val="Hyperlink"/>
                <w:noProof/>
                <w:lang w:val="sq-AL"/>
              </w:rPr>
              <w:t>Ministria e Financave dhe Ekonomisë</w:t>
            </w:r>
            <w:r w:rsidR="007B7A75">
              <w:rPr>
                <w:noProof/>
                <w:webHidden/>
              </w:rPr>
              <w:tab/>
            </w:r>
            <w:r w:rsidR="007B7A75">
              <w:rPr>
                <w:noProof/>
                <w:webHidden/>
              </w:rPr>
              <w:fldChar w:fldCharType="begin"/>
            </w:r>
            <w:r w:rsidR="007B7A75">
              <w:rPr>
                <w:noProof/>
                <w:webHidden/>
              </w:rPr>
              <w:instrText xml:space="preserve"> PAGEREF _Toc132277399 \h </w:instrText>
            </w:r>
            <w:r w:rsidR="007B7A75">
              <w:rPr>
                <w:noProof/>
                <w:webHidden/>
              </w:rPr>
            </w:r>
            <w:r w:rsidR="007B7A75">
              <w:rPr>
                <w:noProof/>
                <w:webHidden/>
              </w:rPr>
              <w:fldChar w:fldCharType="separate"/>
            </w:r>
            <w:r w:rsidR="007B7A75">
              <w:rPr>
                <w:noProof/>
                <w:webHidden/>
              </w:rPr>
              <w:t>83</w:t>
            </w:r>
            <w:r w:rsidR="007B7A75">
              <w:rPr>
                <w:noProof/>
                <w:webHidden/>
              </w:rPr>
              <w:fldChar w:fldCharType="end"/>
            </w:r>
          </w:hyperlink>
        </w:p>
        <w:p w14:paraId="51B98C66" w14:textId="23925218"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0" w:history="1">
            <w:r w:rsidR="007B7A75" w:rsidRPr="0007200F">
              <w:rPr>
                <w:rStyle w:val="Hyperlink"/>
                <w:noProof/>
                <w:lang w:val="sq-AL"/>
              </w:rPr>
              <w:t>Ministria e Turizmit dhe Mjedisit</w:t>
            </w:r>
            <w:r w:rsidR="007B7A75">
              <w:rPr>
                <w:noProof/>
                <w:webHidden/>
              </w:rPr>
              <w:tab/>
            </w:r>
            <w:r w:rsidR="007B7A75">
              <w:rPr>
                <w:noProof/>
                <w:webHidden/>
              </w:rPr>
              <w:fldChar w:fldCharType="begin"/>
            </w:r>
            <w:r w:rsidR="007B7A75">
              <w:rPr>
                <w:noProof/>
                <w:webHidden/>
              </w:rPr>
              <w:instrText xml:space="preserve"> PAGEREF _Toc132277400 \h </w:instrText>
            </w:r>
            <w:r w:rsidR="007B7A75">
              <w:rPr>
                <w:noProof/>
                <w:webHidden/>
              </w:rPr>
            </w:r>
            <w:r w:rsidR="007B7A75">
              <w:rPr>
                <w:noProof/>
                <w:webHidden/>
              </w:rPr>
              <w:fldChar w:fldCharType="separate"/>
            </w:r>
            <w:r w:rsidR="007B7A75">
              <w:rPr>
                <w:noProof/>
                <w:webHidden/>
              </w:rPr>
              <w:t>84</w:t>
            </w:r>
            <w:r w:rsidR="007B7A75">
              <w:rPr>
                <w:noProof/>
                <w:webHidden/>
              </w:rPr>
              <w:fldChar w:fldCharType="end"/>
            </w:r>
          </w:hyperlink>
        </w:p>
        <w:p w14:paraId="564C0DBA" w14:textId="7EB6A3FF"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1" w:history="1">
            <w:r w:rsidR="007B7A75" w:rsidRPr="0007200F">
              <w:rPr>
                <w:rStyle w:val="Hyperlink"/>
                <w:noProof/>
              </w:rPr>
              <w:t>Akreditimi</w:t>
            </w:r>
            <w:r w:rsidR="007B7A75">
              <w:rPr>
                <w:noProof/>
                <w:webHidden/>
              </w:rPr>
              <w:tab/>
            </w:r>
            <w:r w:rsidR="007B7A75">
              <w:rPr>
                <w:noProof/>
                <w:webHidden/>
              </w:rPr>
              <w:fldChar w:fldCharType="begin"/>
            </w:r>
            <w:r w:rsidR="007B7A75">
              <w:rPr>
                <w:noProof/>
                <w:webHidden/>
              </w:rPr>
              <w:instrText xml:space="preserve"> PAGEREF _Toc132277401 \h </w:instrText>
            </w:r>
            <w:r w:rsidR="007B7A75">
              <w:rPr>
                <w:noProof/>
                <w:webHidden/>
              </w:rPr>
            </w:r>
            <w:r w:rsidR="007B7A75">
              <w:rPr>
                <w:noProof/>
                <w:webHidden/>
              </w:rPr>
              <w:fldChar w:fldCharType="separate"/>
            </w:r>
            <w:r w:rsidR="007B7A75">
              <w:rPr>
                <w:noProof/>
                <w:webHidden/>
              </w:rPr>
              <w:t>84</w:t>
            </w:r>
            <w:r w:rsidR="007B7A75">
              <w:rPr>
                <w:noProof/>
                <w:webHidden/>
              </w:rPr>
              <w:fldChar w:fldCharType="end"/>
            </w:r>
          </w:hyperlink>
        </w:p>
        <w:p w14:paraId="3EB78F42" w14:textId="134B5347"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2" w:history="1">
            <w:r w:rsidR="007B7A75" w:rsidRPr="0007200F">
              <w:rPr>
                <w:rStyle w:val="Hyperlink"/>
                <w:noProof/>
              </w:rPr>
              <w:t>Autoriteti Kombëtar i Ushqimit</w:t>
            </w:r>
            <w:r w:rsidR="007B7A75">
              <w:rPr>
                <w:noProof/>
                <w:webHidden/>
              </w:rPr>
              <w:tab/>
            </w:r>
            <w:r w:rsidR="007B7A75">
              <w:rPr>
                <w:noProof/>
                <w:webHidden/>
              </w:rPr>
              <w:fldChar w:fldCharType="begin"/>
            </w:r>
            <w:r w:rsidR="007B7A75">
              <w:rPr>
                <w:noProof/>
                <w:webHidden/>
              </w:rPr>
              <w:instrText xml:space="preserve"> PAGEREF _Toc132277402 \h </w:instrText>
            </w:r>
            <w:r w:rsidR="007B7A75">
              <w:rPr>
                <w:noProof/>
                <w:webHidden/>
              </w:rPr>
            </w:r>
            <w:r w:rsidR="007B7A75">
              <w:rPr>
                <w:noProof/>
                <w:webHidden/>
              </w:rPr>
              <w:fldChar w:fldCharType="separate"/>
            </w:r>
            <w:r w:rsidR="007B7A75">
              <w:rPr>
                <w:noProof/>
                <w:webHidden/>
              </w:rPr>
              <w:t>84</w:t>
            </w:r>
            <w:r w:rsidR="007B7A75">
              <w:rPr>
                <w:noProof/>
                <w:webHidden/>
              </w:rPr>
              <w:fldChar w:fldCharType="end"/>
            </w:r>
          </w:hyperlink>
        </w:p>
        <w:p w14:paraId="22FFA607" w14:textId="5504DFBB"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3" w:history="1">
            <w:r w:rsidR="007B7A75" w:rsidRPr="0007200F">
              <w:rPr>
                <w:rStyle w:val="Hyperlink"/>
                <w:noProof/>
                <w:lang w:val="sq-AL"/>
              </w:rPr>
              <w:t>Inspektorati Shtetëror i Mbikqyrjes së Tregut</w:t>
            </w:r>
            <w:r w:rsidR="007B7A75">
              <w:rPr>
                <w:noProof/>
                <w:webHidden/>
              </w:rPr>
              <w:tab/>
            </w:r>
            <w:r w:rsidR="007B7A75">
              <w:rPr>
                <w:noProof/>
                <w:webHidden/>
              </w:rPr>
              <w:fldChar w:fldCharType="begin"/>
            </w:r>
            <w:r w:rsidR="007B7A75">
              <w:rPr>
                <w:noProof/>
                <w:webHidden/>
              </w:rPr>
              <w:instrText xml:space="preserve"> PAGEREF _Toc132277403 \h </w:instrText>
            </w:r>
            <w:r w:rsidR="007B7A75">
              <w:rPr>
                <w:noProof/>
                <w:webHidden/>
              </w:rPr>
            </w:r>
            <w:r w:rsidR="007B7A75">
              <w:rPr>
                <w:noProof/>
                <w:webHidden/>
              </w:rPr>
              <w:fldChar w:fldCharType="separate"/>
            </w:r>
            <w:r w:rsidR="007B7A75">
              <w:rPr>
                <w:noProof/>
                <w:webHidden/>
              </w:rPr>
              <w:t>85</w:t>
            </w:r>
            <w:r w:rsidR="007B7A75">
              <w:rPr>
                <w:noProof/>
                <w:webHidden/>
              </w:rPr>
              <w:fldChar w:fldCharType="end"/>
            </w:r>
          </w:hyperlink>
        </w:p>
        <w:p w14:paraId="44912638" w14:textId="4ECF526D" w:rsidR="007B7A75" w:rsidRDefault="009B18B8">
          <w:pPr>
            <w:pStyle w:val="TOC3"/>
            <w:tabs>
              <w:tab w:val="right" w:leader="dot" w:pos="9016"/>
            </w:tabs>
            <w:rPr>
              <w:rFonts w:asciiTheme="minorHAnsi" w:eastAsiaTheme="minorEastAsia" w:hAnsiTheme="minorHAnsi" w:cstheme="minorBidi"/>
              <w:i w:val="0"/>
              <w:iCs w:val="0"/>
              <w:noProof/>
              <w:color w:val="auto"/>
              <w:sz w:val="22"/>
              <w:szCs w:val="22"/>
              <w:lang w:eastAsia="en-GB"/>
            </w:rPr>
          </w:pPr>
          <w:hyperlink w:anchor="_Toc132277404" w:history="1">
            <w:r w:rsidR="007B7A75" w:rsidRPr="0007200F">
              <w:rPr>
                <w:rStyle w:val="Hyperlink"/>
                <w:noProof/>
              </w:rPr>
              <w:t>II.3.2 Objektivat, masat dhe indikatorët në lidhje me informimi dhe ndërgjegjësimin,si dhe bashkëpunimi ndërinstitucional dhe aktorët e tjerë  pë çështje që nuk lidhen me aspektet e sigurisë</w:t>
            </w:r>
            <w:r w:rsidR="007B7A75">
              <w:rPr>
                <w:noProof/>
                <w:webHidden/>
              </w:rPr>
              <w:tab/>
            </w:r>
            <w:r w:rsidR="007B7A75">
              <w:rPr>
                <w:noProof/>
                <w:webHidden/>
              </w:rPr>
              <w:fldChar w:fldCharType="begin"/>
            </w:r>
            <w:r w:rsidR="007B7A75">
              <w:rPr>
                <w:noProof/>
                <w:webHidden/>
              </w:rPr>
              <w:instrText xml:space="preserve"> PAGEREF _Toc132277404 \h </w:instrText>
            </w:r>
            <w:r w:rsidR="007B7A75">
              <w:rPr>
                <w:noProof/>
                <w:webHidden/>
              </w:rPr>
            </w:r>
            <w:r w:rsidR="007B7A75">
              <w:rPr>
                <w:noProof/>
                <w:webHidden/>
              </w:rPr>
              <w:fldChar w:fldCharType="separate"/>
            </w:r>
            <w:r w:rsidR="007B7A75">
              <w:rPr>
                <w:noProof/>
                <w:webHidden/>
              </w:rPr>
              <w:t>86</w:t>
            </w:r>
            <w:r w:rsidR="007B7A75">
              <w:rPr>
                <w:noProof/>
                <w:webHidden/>
              </w:rPr>
              <w:fldChar w:fldCharType="end"/>
            </w:r>
          </w:hyperlink>
        </w:p>
        <w:p w14:paraId="0F741DB8" w14:textId="7AD1AFC8"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5" w:history="1">
            <w:r w:rsidR="007B7A75" w:rsidRPr="0007200F">
              <w:rPr>
                <w:rStyle w:val="Hyperlink"/>
                <w:noProof/>
                <w:lang w:val="sq-AL"/>
              </w:rPr>
              <w:t>Ministria e Financave dhe Ekonomisë</w:t>
            </w:r>
            <w:r w:rsidR="007B7A75">
              <w:rPr>
                <w:noProof/>
                <w:webHidden/>
              </w:rPr>
              <w:tab/>
            </w:r>
            <w:r w:rsidR="007B7A75">
              <w:rPr>
                <w:noProof/>
                <w:webHidden/>
              </w:rPr>
              <w:fldChar w:fldCharType="begin"/>
            </w:r>
            <w:r w:rsidR="007B7A75">
              <w:rPr>
                <w:noProof/>
                <w:webHidden/>
              </w:rPr>
              <w:instrText xml:space="preserve"> PAGEREF _Toc132277405 \h </w:instrText>
            </w:r>
            <w:r w:rsidR="007B7A75">
              <w:rPr>
                <w:noProof/>
                <w:webHidden/>
              </w:rPr>
            </w:r>
            <w:r w:rsidR="007B7A75">
              <w:rPr>
                <w:noProof/>
                <w:webHidden/>
              </w:rPr>
              <w:fldChar w:fldCharType="separate"/>
            </w:r>
            <w:r w:rsidR="007B7A75">
              <w:rPr>
                <w:noProof/>
                <w:webHidden/>
              </w:rPr>
              <w:t>86</w:t>
            </w:r>
            <w:r w:rsidR="007B7A75">
              <w:rPr>
                <w:noProof/>
                <w:webHidden/>
              </w:rPr>
              <w:fldChar w:fldCharType="end"/>
            </w:r>
          </w:hyperlink>
        </w:p>
        <w:p w14:paraId="74A4DA7B" w14:textId="4C2391D4"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6" w:history="1">
            <w:r w:rsidR="007B7A75" w:rsidRPr="0007200F">
              <w:rPr>
                <w:rStyle w:val="Hyperlink"/>
                <w:noProof/>
                <w:lang w:val="sq-AL"/>
              </w:rPr>
              <w:t>Ministria e Turizmit dhe Mjedisit</w:t>
            </w:r>
            <w:r w:rsidR="007B7A75">
              <w:rPr>
                <w:noProof/>
                <w:webHidden/>
              </w:rPr>
              <w:tab/>
            </w:r>
            <w:r w:rsidR="007B7A75">
              <w:rPr>
                <w:noProof/>
                <w:webHidden/>
              </w:rPr>
              <w:fldChar w:fldCharType="begin"/>
            </w:r>
            <w:r w:rsidR="007B7A75">
              <w:rPr>
                <w:noProof/>
                <w:webHidden/>
              </w:rPr>
              <w:instrText xml:space="preserve"> PAGEREF _Toc132277406 \h </w:instrText>
            </w:r>
            <w:r w:rsidR="007B7A75">
              <w:rPr>
                <w:noProof/>
                <w:webHidden/>
              </w:rPr>
            </w:r>
            <w:r w:rsidR="007B7A75">
              <w:rPr>
                <w:noProof/>
                <w:webHidden/>
              </w:rPr>
              <w:fldChar w:fldCharType="separate"/>
            </w:r>
            <w:r w:rsidR="007B7A75">
              <w:rPr>
                <w:noProof/>
                <w:webHidden/>
              </w:rPr>
              <w:t>88</w:t>
            </w:r>
            <w:r w:rsidR="007B7A75">
              <w:rPr>
                <w:noProof/>
                <w:webHidden/>
              </w:rPr>
              <w:fldChar w:fldCharType="end"/>
            </w:r>
          </w:hyperlink>
        </w:p>
        <w:p w14:paraId="735E9B30" w14:textId="42F6F846"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7" w:history="1">
            <w:r w:rsidR="007B7A75" w:rsidRPr="0007200F">
              <w:rPr>
                <w:rStyle w:val="Hyperlink"/>
                <w:noProof/>
                <w:lang w:val="sq-AL"/>
              </w:rPr>
              <w:t>Enti Rregullator i Energjisë</w:t>
            </w:r>
            <w:r w:rsidR="007B7A75">
              <w:rPr>
                <w:noProof/>
                <w:webHidden/>
              </w:rPr>
              <w:tab/>
            </w:r>
            <w:r w:rsidR="007B7A75">
              <w:rPr>
                <w:noProof/>
                <w:webHidden/>
              </w:rPr>
              <w:fldChar w:fldCharType="begin"/>
            </w:r>
            <w:r w:rsidR="007B7A75">
              <w:rPr>
                <w:noProof/>
                <w:webHidden/>
              </w:rPr>
              <w:instrText xml:space="preserve"> PAGEREF _Toc132277407 \h </w:instrText>
            </w:r>
            <w:r w:rsidR="007B7A75">
              <w:rPr>
                <w:noProof/>
                <w:webHidden/>
              </w:rPr>
            </w:r>
            <w:r w:rsidR="007B7A75">
              <w:rPr>
                <w:noProof/>
                <w:webHidden/>
              </w:rPr>
              <w:fldChar w:fldCharType="separate"/>
            </w:r>
            <w:r w:rsidR="007B7A75">
              <w:rPr>
                <w:noProof/>
                <w:webHidden/>
              </w:rPr>
              <w:t>89</w:t>
            </w:r>
            <w:r w:rsidR="007B7A75">
              <w:rPr>
                <w:noProof/>
                <w:webHidden/>
              </w:rPr>
              <w:fldChar w:fldCharType="end"/>
            </w:r>
          </w:hyperlink>
        </w:p>
        <w:p w14:paraId="0F74800B" w14:textId="2E14B3B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8" w:history="1">
            <w:r w:rsidR="007B7A75" w:rsidRPr="0007200F">
              <w:rPr>
                <w:rStyle w:val="Hyperlink"/>
                <w:noProof/>
                <w:lang w:val="sq-AL"/>
              </w:rPr>
              <w:t>Enti Rregullator i Ujit</w:t>
            </w:r>
            <w:r w:rsidR="007B7A75">
              <w:rPr>
                <w:noProof/>
                <w:webHidden/>
              </w:rPr>
              <w:tab/>
            </w:r>
            <w:r w:rsidR="007B7A75">
              <w:rPr>
                <w:noProof/>
                <w:webHidden/>
              </w:rPr>
              <w:fldChar w:fldCharType="begin"/>
            </w:r>
            <w:r w:rsidR="007B7A75">
              <w:rPr>
                <w:noProof/>
                <w:webHidden/>
              </w:rPr>
              <w:instrText xml:space="preserve"> PAGEREF _Toc132277408 \h </w:instrText>
            </w:r>
            <w:r w:rsidR="007B7A75">
              <w:rPr>
                <w:noProof/>
                <w:webHidden/>
              </w:rPr>
            </w:r>
            <w:r w:rsidR="007B7A75">
              <w:rPr>
                <w:noProof/>
                <w:webHidden/>
              </w:rPr>
              <w:fldChar w:fldCharType="separate"/>
            </w:r>
            <w:r w:rsidR="007B7A75">
              <w:rPr>
                <w:noProof/>
                <w:webHidden/>
              </w:rPr>
              <w:t>89</w:t>
            </w:r>
            <w:r w:rsidR="007B7A75">
              <w:rPr>
                <w:noProof/>
                <w:webHidden/>
              </w:rPr>
              <w:fldChar w:fldCharType="end"/>
            </w:r>
          </w:hyperlink>
        </w:p>
        <w:p w14:paraId="0360E65D" w14:textId="7CD2D2DE"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09" w:history="1">
            <w:r w:rsidR="007B7A75" w:rsidRPr="0007200F">
              <w:rPr>
                <w:rStyle w:val="Hyperlink"/>
                <w:rFonts w:eastAsia="MS Mincho"/>
                <w:noProof/>
                <w:lang w:val="en-US"/>
              </w:rPr>
              <w:t>Autoriteti Mbikëqyrjes Financiare</w:t>
            </w:r>
            <w:r w:rsidR="007B7A75">
              <w:rPr>
                <w:noProof/>
                <w:webHidden/>
              </w:rPr>
              <w:tab/>
            </w:r>
            <w:r w:rsidR="007B7A75">
              <w:rPr>
                <w:noProof/>
                <w:webHidden/>
              </w:rPr>
              <w:fldChar w:fldCharType="begin"/>
            </w:r>
            <w:r w:rsidR="007B7A75">
              <w:rPr>
                <w:noProof/>
                <w:webHidden/>
              </w:rPr>
              <w:instrText xml:space="preserve"> PAGEREF _Toc132277409 \h </w:instrText>
            </w:r>
            <w:r w:rsidR="007B7A75">
              <w:rPr>
                <w:noProof/>
                <w:webHidden/>
              </w:rPr>
            </w:r>
            <w:r w:rsidR="007B7A75">
              <w:rPr>
                <w:noProof/>
                <w:webHidden/>
              </w:rPr>
              <w:fldChar w:fldCharType="separate"/>
            </w:r>
            <w:r w:rsidR="007B7A75">
              <w:rPr>
                <w:noProof/>
                <w:webHidden/>
              </w:rPr>
              <w:t>90</w:t>
            </w:r>
            <w:r w:rsidR="007B7A75">
              <w:rPr>
                <w:noProof/>
                <w:webHidden/>
              </w:rPr>
              <w:fldChar w:fldCharType="end"/>
            </w:r>
          </w:hyperlink>
        </w:p>
        <w:p w14:paraId="37723263" w14:textId="7C7F6B19"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10" w:history="1">
            <w:r w:rsidR="007B7A75" w:rsidRPr="0007200F">
              <w:rPr>
                <w:rStyle w:val="Hyperlink"/>
                <w:noProof/>
                <w:lang w:val="sq-AL"/>
              </w:rPr>
              <w:t>Banka e Shqipërisë</w:t>
            </w:r>
            <w:r w:rsidR="007B7A75">
              <w:rPr>
                <w:noProof/>
                <w:webHidden/>
              </w:rPr>
              <w:tab/>
            </w:r>
            <w:r w:rsidR="007B7A75">
              <w:rPr>
                <w:noProof/>
                <w:webHidden/>
              </w:rPr>
              <w:fldChar w:fldCharType="begin"/>
            </w:r>
            <w:r w:rsidR="007B7A75">
              <w:rPr>
                <w:noProof/>
                <w:webHidden/>
              </w:rPr>
              <w:instrText xml:space="preserve"> PAGEREF _Toc132277410 \h </w:instrText>
            </w:r>
            <w:r w:rsidR="007B7A75">
              <w:rPr>
                <w:noProof/>
                <w:webHidden/>
              </w:rPr>
            </w:r>
            <w:r w:rsidR="007B7A75">
              <w:rPr>
                <w:noProof/>
                <w:webHidden/>
              </w:rPr>
              <w:fldChar w:fldCharType="separate"/>
            </w:r>
            <w:r w:rsidR="007B7A75">
              <w:rPr>
                <w:noProof/>
                <w:webHidden/>
              </w:rPr>
              <w:t>91</w:t>
            </w:r>
            <w:r w:rsidR="007B7A75">
              <w:rPr>
                <w:noProof/>
                <w:webHidden/>
              </w:rPr>
              <w:fldChar w:fldCharType="end"/>
            </w:r>
          </w:hyperlink>
        </w:p>
        <w:p w14:paraId="3303C713" w14:textId="0F4F0E21" w:rsidR="007B7A75" w:rsidRDefault="009B18B8">
          <w:pPr>
            <w:pStyle w:val="TOC4"/>
            <w:tabs>
              <w:tab w:val="right" w:leader="dot" w:pos="9016"/>
            </w:tabs>
            <w:rPr>
              <w:rFonts w:asciiTheme="minorHAnsi" w:eastAsiaTheme="minorEastAsia" w:hAnsiTheme="minorHAnsi" w:cstheme="minorBidi"/>
              <w:noProof/>
              <w:color w:val="auto"/>
              <w:sz w:val="22"/>
              <w:szCs w:val="22"/>
              <w:lang w:eastAsia="en-GB"/>
            </w:rPr>
          </w:pPr>
          <w:hyperlink w:anchor="_Toc132277411" w:history="1">
            <w:r w:rsidR="007B7A75" w:rsidRPr="0007200F">
              <w:rPr>
                <w:rStyle w:val="Hyperlink"/>
                <w:noProof/>
              </w:rPr>
              <w:t>Autoriteti i Aviacionit Civil</w:t>
            </w:r>
            <w:r w:rsidR="007B7A75">
              <w:rPr>
                <w:noProof/>
                <w:webHidden/>
              </w:rPr>
              <w:tab/>
            </w:r>
            <w:r w:rsidR="007B7A75">
              <w:rPr>
                <w:noProof/>
                <w:webHidden/>
              </w:rPr>
              <w:fldChar w:fldCharType="begin"/>
            </w:r>
            <w:r w:rsidR="007B7A75">
              <w:rPr>
                <w:noProof/>
                <w:webHidden/>
              </w:rPr>
              <w:instrText xml:space="preserve"> PAGEREF _Toc132277411 \h </w:instrText>
            </w:r>
            <w:r w:rsidR="007B7A75">
              <w:rPr>
                <w:noProof/>
                <w:webHidden/>
              </w:rPr>
            </w:r>
            <w:r w:rsidR="007B7A75">
              <w:rPr>
                <w:noProof/>
                <w:webHidden/>
              </w:rPr>
              <w:fldChar w:fldCharType="separate"/>
            </w:r>
            <w:r w:rsidR="007B7A75">
              <w:rPr>
                <w:noProof/>
                <w:webHidden/>
              </w:rPr>
              <w:t>91</w:t>
            </w:r>
            <w:r w:rsidR="007B7A75">
              <w:rPr>
                <w:noProof/>
                <w:webHidden/>
              </w:rPr>
              <w:fldChar w:fldCharType="end"/>
            </w:r>
          </w:hyperlink>
        </w:p>
        <w:p w14:paraId="32F8E5D7" w14:textId="1488B2BE" w:rsidR="007B7A75" w:rsidRDefault="009B18B8" w:rsidP="007B7A75">
          <w:pPr>
            <w:pStyle w:val="TOC1"/>
            <w:rPr>
              <w:rFonts w:asciiTheme="minorHAnsi" w:eastAsiaTheme="minorEastAsia" w:hAnsiTheme="minorHAnsi" w:cstheme="minorBidi"/>
              <w:noProof/>
              <w:color w:val="auto"/>
              <w:sz w:val="22"/>
              <w:szCs w:val="22"/>
              <w:lang w:eastAsia="en-GB"/>
            </w:rPr>
          </w:pPr>
          <w:hyperlink w:anchor="_Toc132277412" w:history="1">
            <w:r w:rsidR="007B7A75" w:rsidRPr="0007200F">
              <w:rPr>
                <w:rStyle w:val="Hyperlink"/>
                <w:noProof/>
              </w:rPr>
              <w:t>III.</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KAPITULLI III: BURIMET FINANCIARE</w:t>
            </w:r>
            <w:r w:rsidR="007B7A75">
              <w:rPr>
                <w:noProof/>
                <w:webHidden/>
              </w:rPr>
              <w:tab/>
            </w:r>
            <w:r w:rsidR="007B7A75">
              <w:rPr>
                <w:noProof/>
                <w:webHidden/>
              </w:rPr>
              <w:fldChar w:fldCharType="begin"/>
            </w:r>
            <w:r w:rsidR="007B7A75">
              <w:rPr>
                <w:noProof/>
                <w:webHidden/>
              </w:rPr>
              <w:instrText xml:space="preserve"> PAGEREF _Toc132277412 \h </w:instrText>
            </w:r>
            <w:r w:rsidR="007B7A75">
              <w:rPr>
                <w:noProof/>
                <w:webHidden/>
              </w:rPr>
            </w:r>
            <w:r w:rsidR="007B7A75">
              <w:rPr>
                <w:noProof/>
                <w:webHidden/>
              </w:rPr>
              <w:fldChar w:fldCharType="separate"/>
            </w:r>
            <w:r w:rsidR="007B7A75">
              <w:rPr>
                <w:noProof/>
                <w:webHidden/>
              </w:rPr>
              <w:t>92</w:t>
            </w:r>
            <w:r w:rsidR="007B7A75">
              <w:rPr>
                <w:noProof/>
                <w:webHidden/>
              </w:rPr>
              <w:fldChar w:fldCharType="end"/>
            </w:r>
          </w:hyperlink>
        </w:p>
        <w:p w14:paraId="11963CF4" w14:textId="40289531" w:rsidR="007B7A75" w:rsidRDefault="009B18B8" w:rsidP="007B7A75">
          <w:pPr>
            <w:pStyle w:val="TOC1"/>
            <w:rPr>
              <w:rFonts w:asciiTheme="minorHAnsi" w:eastAsiaTheme="minorEastAsia" w:hAnsiTheme="minorHAnsi" w:cstheme="minorBidi"/>
              <w:noProof/>
              <w:color w:val="auto"/>
              <w:sz w:val="22"/>
              <w:szCs w:val="22"/>
              <w:lang w:eastAsia="en-GB"/>
            </w:rPr>
          </w:pPr>
          <w:hyperlink w:anchor="_Toc132277413" w:history="1">
            <w:r w:rsidR="007B7A75" w:rsidRPr="0007200F">
              <w:rPr>
                <w:rStyle w:val="Hyperlink"/>
                <w:noProof/>
              </w:rPr>
              <w:t>IV.</w:t>
            </w:r>
            <w:r w:rsidR="007B7A75">
              <w:rPr>
                <w:rFonts w:asciiTheme="minorHAnsi" w:eastAsiaTheme="minorEastAsia" w:hAnsiTheme="minorHAnsi" w:cstheme="minorBidi"/>
                <w:noProof/>
                <w:color w:val="auto"/>
                <w:sz w:val="22"/>
                <w:szCs w:val="22"/>
                <w:lang w:eastAsia="en-GB"/>
              </w:rPr>
              <w:tab/>
            </w:r>
            <w:r w:rsidR="007B7A75" w:rsidRPr="0007200F">
              <w:rPr>
                <w:rStyle w:val="Hyperlink"/>
                <w:noProof/>
              </w:rPr>
              <w:t>KAPITULLI IV: LLOGARIDHËNIA, MONITORIMI DHE ANALIZA VLERËSUESE</w:t>
            </w:r>
            <w:r w:rsidR="007B7A75">
              <w:rPr>
                <w:noProof/>
                <w:webHidden/>
              </w:rPr>
              <w:tab/>
            </w:r>
            <w:r w:rsidR="007B7A75">
              <w:rPr>
                <w:noProof/>
                <w:webHidden/>
              </w:rPr>
              <w:fldChar w:fldCharType="begin"/>
            </w:r>
            <w:r w:rsidR="007B7A75">
              <w:rPr>
                <w:noProof/>
                <w:webHidden/>
              </w:rPr>
              <w:instrText xml:space="preserve"> PAGEREF _Toc132277413 \h </w:instrText>
            </w:r>
            <w:r w:rsidR="007B7A75">
              <w:rPr>
                <w:noProof/>
                <w:webHidden/>
              </w:rPr>
            </w:r>
            <w:r w:rsidR="007B7A75">
              <w:rPr>
                <w:noProof/>
                <w:webHidden/>
              </w:rPr>
              <w:fldChar w:fldCharType="separate"/>
            </w:r>
            <w:r w:rsidR="007B7A75">
              <w:rPr>
                <w:noProof/>
                <w:webHidden/>
              </w:rPr>
              <w:t>92</w:t>
            </w:r>
            <w:r w:rsidR="007B7A75">
              <w:rPr>
                <w:noProof/>
                <w:webHidden/>
              </w:rPr>
              <w:fldChar w:fldCharType="end"/>
            </w:r>
          </w:hyperlink>
        </w:p>
        <w:p w14:paraId="4BAD19EE" w14:textId="43FB7DD1" w:rsidR="007B7A75" w:rsidRDefault="009B18B8">
          <w:pPr>
            <w:pStyle w:val="TOC2"/>
            <w:tabs>
              <w:tab w:val="right" w:leader="dot" w:pos="9016"/>
            </w:tabs>
            <w:rPr>
              <w:rFonts w:asciiTheme="minorHAnsi" w:eastAsiaTheme="minorEastAsia" w:hAnsiTheme="minorHAnsi" w:cstheme="minorBidi"/>
              <w:smallCaps w:val="0"/>
              <w:noProof/>
              <w:color w:val="auto"/>
              <w:sz w:val="22"/>
              <w:szCs w:val="22"/>
              <w:lang w:eastAsia="en-GB"/>
            </w:rPr>
          </w:pPr>
          <w:hyperlink w:anchor="_Toc132277414" w:history="1">
            <w:r w:rsidR="007B7A75" w:rsidRPr="0007200F">
              <w:rPr>
                <w:rStyle w:val="Hyperlink"/>
                <w:rFonts w:eastAsia="Times New Roman"/>
                <w:noProof/>
              </w:rPr>
              <w:t>4.1 Monitorimi i strategjisë, strukturat përgjegjëse</w:t>
            </w:r>
            <w:r w:rsidR="007B7A75">
              <w:rPr>
                <w:noProof/>
                <w:webHidden/>
              </w:rPr>
              <w:tab/>
            </w:r>
            <w:r w:rsidR="007B7A75">
              <w:rPr>
                <w:noProof/>
                <w:webHidden/>
              </w:rPr>
              <w:fldChar w:fldCharType="begin"/>
            </w:r>
            <w:r w:rsidR="007B7A75">
              <w:rPr>
                <w:noProof/>
                <w:webHidden/>
              </w:rPr>
              <w:instrText xml:space="preserve"> PAGEREF _Toc132277414 \h </w:instrText>
            </w:r>
            <w:r w:rsidR="007B7A75">
              <w:rPr>
                <w:noProof/>
                <w:webHidden/>
              </w:rPr>
            </w:r>
            <w:r w:rsidR="007B7A75">
              <w:rPr>
                <w:noProof/>
                <w:webHidden/>
              </w:rPr>
              <w:fldChar w:fldCharType="separate"/>
            </w:r>
            <w:r w:rsidR="007B7A75">
              <w:rPr>
                <w:noProof/>
                <w:webHidden/>
              </w:rPr>
              <w:t>92</w:t>
            </w:r>
            <w:r w:rsidR="007B7A75">
              <w:rPr>
                <w:noProof/>
                <w:webHidden/>
              </w:rPr>
              <w:fldChar w:fldCharType="end"/>
            </w:r>
          </w:hyperlink>
        </w:p>
        <w:p w14:paraId="4AC8AFA1" w14:textId="09346E5B" w:rsidR="007B7A75" w:rsidRDefault="009B18B8" w:rsidP="007B7A75">
          <w:pPr>
            <w:pStyle w:val="TOC1"/>
            <w:rPr>
              <w:rFonts w:asciiTheme="minorHAnsi" w:eastAsiaTheme="minorEastAsia" w:hAnsiTheme="minorHAnsi" w:cstheme="minorBidi"/>
              <w:noProof/>
              <w:color w:val="auto"/>
              <w:sz w:val="22"/>
              <w:szCs w:val="22"/>
              <w:lang w:eastAsia="en-GB"/>
            </w:rPr>
          </w:pPr>
          <w:hyperlink w:anchor="_Toc132277415" w:history="1">
            <w:r w:rsidR="007B7A75" w:rsidRPr="0007200F">
              <w:rPr>
                <w:rStyle w:val="Hyperlink"/>
                <w:noProof/>
              </w:rPr>
              <w:t>ANEKS: PLANI I VEPRIMIT TË STRATEGJISË SË MBROJTJES SË KONSUMATORËVE DHE MBIKËQYRJES SË TREGUT</w:t>
            </w:r>
            <w:r w:rsidR="007B7A75">
              <w:rPr>
                <w:noProof/>
                <w:webHidden/>
              </w:rPr>
              <w:tab/>
            </w:r>
            <w:r w:rsidR="007B7A75">
              <w:rPr>
                <w:noProof/>
                <w:webHidden/>
              </w:rPr>
              <w:fldChar w:fldCharType="begin"/>
            </w:r>
            <w:r w:rsidR="007B7A75">
              <w:rPr>
                <w:noProof/>
                <w:webHidden/>
              </w:rPr>
              <w:instrText xml:space="preserve"> PAGEREF _Toc132277415 \h </w:instrText>
            </w:r>
            <w:r w:rsidR="007B7A75">
              <w:rPr>
                <w:noProof/>
                <w:webHidden/>
              </w:rPr>
            </w:r>
            <w:r w:rsidR="007B7A75">
              <w:rPr>
                <w:noProof/>
                <w:webHidden/>
              </w:rPr>
              <w:fldChar w:fldCharType="separate"/>
            </w:r>
            <w:r w:rsidR="007B7A75">
              <w:rPr>
                <w:noProof/>
                <w:webHidden/>
              </w:rPr>
              <w:t>93</w:t>
            </w:r>
            <w:r w:rsidR="007B7A75">
              <w:rPr>
                <w:noProof/>
                <w:webHidden/>
              </w:rPr>
              <w:fldChar w:fldCharType="end"/>
            </w:r>
          </w:hyperlink>
        </w:p>
        <w:p w14:paraId="358CBB68" w14:textId="10068A1C" w:rsidR="00720A77" w:rsidRDefault="000A0299">
          <w:r w:rsidRPr="00C86B53">
            <w:rPr>
              <w:rFonts w:cs="Times New Roman"/>
              <w:szCs w:val="24"/>
            </w:rPr>
            <w:fldChar w:fldCharType="end"/>
          </w:r>
        </w:p>
      </w:sdtContent>
    </w:sdt>
    <w:p w14:paraId="59E52CDC" w14:textId="47F6ED28" w:rsidR="00FB36DA" w:rsidRDefault="00FB36DA" w:rsidP="00FB36DA">
      <w:pPr>
        <w:jc w:val="center"/>
        <w:rPr>
          <w:lang w:val="sq-AL"/>
        </w:rPr>
      </w:pPr>
    </w:p>
    <w:p w14:paraId="66F4F8C9" w14:textId="77777777" w:rsidR="00FB36DA" w:rsidRDefault="00FB36DA" w:rsidP="009475CC">
      <w:pPr>
        <w:jc w:val="center"/>
        <w:rPr>
          <w:lang w:val="sq-AL"/>
        </w:rPr>
      </w:pPr>
    </w:p>
    <w:p w14:paraId="467F9602" w14:textId="77777777" w:rsidR="003D7CA7" w:rsidRDefault="003D7CA7" w:rsidP="00126667">
      <w:pPr>
        <w:rPr>
          <w:rFonts w:cs="Times New Roman"/>
          <w:b/>
          <w:bCs/>
          <w:szCs w:val="24"/>
          <w:lang w:val="sq-AL"/>
        </w:rPr>
      </w:pPr>
    </w:p>
    <w:p w14:paraId="163EDD4E" w14:textId="6733BA51" w:rsidR="00637880" w:rsidRPr="008B0B47" w:rsidRDefault="00126667" w:rsidP="00126667">
      <w:pPr>
        <w:rPr>
          <w:rFonts w:cs="Times New Roman"/>
          <w:b/>
          <w:bCs/>
          <w:szCs w:val="24"/>
          <w:lang w:val="sq-AL"/>
        </w:rPr>
      </w:pPr>
      <w:r w:rsidRPr="008B0B47">
        <w:rPr>
          <w:rFonts w:cs="Times New Roman"/>
          <w:b/>
          <w:bCs/>
          <w:szCs w:val="24"/>
          <w:lang w:val="sq-AL"/>
        </w:rPr>
        <w:lastRenderedPageBreak/>
        <w:t xml:space="preserve">AKRONIME </w:t>
      </w:r>
    </w:p>
    <w:tbl>
      <w:tblPr>
        <w:tblStyle w:val="TableGrid"/>
        <w:tblW w:w="0" w:type="auto"/>
        <w:tblLook w:val="04A0" w:firstRow="1" w:lastRow="0" w:firstColumn="1" w:lastColumn="0" w:noHBand="0" w:noVBand="1"/>
      </w:tblPr>
      <w:tblGrid>
        <w:gridCol w:w="1705"/>
        <w:gridCol w:w="7311"/>
      </w:tblGrid>
      <w:tr w:rsidR="00FB36DA" w:rsidRPr="009475CC" w14:paraId="784F084D" w14:textId="77777777" w:rsidTr="000E3440">
        <w:tc>
          <w:tcPr>
            <w:tcW w:w="1705" w:type="dxa"/>
            <w:vAlign w:val="center"/>
          </w:tcPr>
          <w:p w14:paraId="5E4BE8F3" w14:textId="5B3BBF07" w:rsidR="00FB36DA" w:rsidRPr="00FB36DA" w:rsidRDefault="00FB36DA" w:rsidP="000E3440">
            <w:pPr>
              <w:spacing w:line="360" w:lineRule="auto"/>
              <w:rPr>
                <w:rFonts w:cs="Times New Roman"/>
                <w:szCs w:val="24"/>
                <w:lang w:val="sq-AL"/>
              </w:rPr>
            </w:pPr>
            <w:r>
              <w:rPr>
                <w:rFonts w:cs="Times New Roman"/>
                <w:szCs w:val="24"/>
                <w:lang w:val="sq-AL"/>
              </w:rPr>
              <w:t>BE</w:t>
            </w:r>
          </w:p>
        </w:tc>
        <w:tc>
          <w:tcPr>
            <w:tcW w:w="7311" w:type="dxa"/>
            <w:vAlign w:val="center"/>
          </w:tcPr>
          <w:p w14:paraId="21348E97" w14:textId="1F0359B7" w:rsidR="00FB36DA" w:rsidRPr="00FB36DA" w:rsidRDefault="00FB36DA" w:rsidP="000E3440">
            <w:pPr>
              <w:spacing w:line="276" w:lineRule="auto"/>
              <w:rPr>
                <w:rFonts w:cs="Times New Roman"/>
                <w:szCs w:val="24"/>
                <w:lang w:val="sq-AL"/>
              </w:rPr>
            </w:pPr>
            <w:r>
              <w:rPr>
                <w:rFonts w:cs="Times New Roman"/>
                <w:szCs w:val="24"/>
                <w:lang w:val="sq-AL"/>
              </w:rPr>
              <w:t>Bashkimi Evropian</w:t>
            </w:r>
          </w:p>
        </w:tc>
      </w:tr>
      <w:tr w:rsidR="00637880" w:rsidRPr="009475CC" w14:paraId="117DDED4" w14:textId="77777777" w:rsidTr="000E3440">
        <w:tc>
          <w:tcPr>
            <w:tcW w:w="1705" w:type="dxa"/>
            <w:vAlign w:val="center"/>
          </w:tcPr>
          <w:p w14:paraId="72EDD04C"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MFE</w:t>
            </w:r>
          </w:p>
        </w:tc>
        <w:tc>
          <w:tcPr>
            <w:tcW w:w="7311" w:type="dxa"/>
            <w:vAlign w:val="center"/>
          </w:tcPr>
          <w:p w14:paraId="285CF709"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Financave dhe Ekonomisë </w:t>
            </w:r>
          </w:p>
        </w:tc>
      </w:tr>
      <w:tr w:rsidR="00637880" w:rsidRPr="009475CC" w14:paraId="7FECD8C7" w14:textId="77777777" w:rsidTr="000E3440">
        <w:tc>
          <w:tcPr>
            <w:tcW w:w="1705" w:type="dxa"/>
            <w:vAlign w:val="center"/>
          </w:tcPr>
          <w:p w14:paraId="24DA143A"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MIE</w:t>
            </w:r>
          </w:p>
        </w:tc>
        <w:tc>
          <w:tcPr>
            <w:tcW w:w="7311" w:type="dxa"/>
            <w:vAlign w:val="center"/>
          </w:tcPr>
          <w:p w14:paraId="5D46CB29"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Infrastrukturës dhe Energjisë </w:t>
            </w:r>
          </w:p>
        </w:tc>
      </w:tr>
      <w:tr w:rsidR="00637880" w:rsidRPr="009475CC" w14:paraId="229BC958" w14:textId="77777777" w:rsidTr="000E3440">
        <w:tc>
          <w:tcPr>
            <w:tcW w:w="1705" w:type="dxa"/>
            <w:vAlign w:val="center"/>
          </w:tcPr>
          <w:p w14:paraId="3C455848"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MBZHR</w:t>
            </w:r>
          </w:p>
        </w:tc>
        <w:tc>
          <w:tcPr>
            <w:tcW w:w="7311" w:type="dxa"/>
            <w:vAlign w:val="center"/>
          </w:tcPr>
          <w:p w14:paraId="4B58A416"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Bujqësisë dhe Zhvillimit Rural </w:t>
            </w:r>
          </w:p>
        </w:tc>
      </w:tr>
      <w:tr w:rsidR="00637880" w:rsidRPr="009475CC" w14:paraId="7DAA1EBB" w14:textId="77777777" w:rsidTr="000E3440">
        <w:tc>
          <w:tcPr>
            <w:tcW w:w="1705" w:type="dxa"/>
            <w:vAlign w:val="center"/>
          </w:tcPr>
          <w:p w14:paraId="4D87F748"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MTM</w:t>
            </w:r>
          </w:p>
        </w:tc>
        <w:tc>
          <w:tcPr>
            <w:tcW w:w="7311" w:type="dxa"/>
            <w:vAlign w:val="center"/>
          </w:tcPr>
          <w:p w14:paraId="7426557A"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Turizmit dhe Mjedisit </w:t>
            </w:r>
          </w:p>
        </w:tc>
      </w:tr>
      <w:tr w:rsidR="00637880" w:rsidRPr="009475CC" w14:paraId="4FBEE7C8" w14:textId="77777777" w:rsidTr="000E3440">
        <w:tc>
          <w:tcPr>
            <w:tcW w:w="1705" w:type="dxa"/>
            <w:vAlign w:val="center"/>
          </w:tcPr>
          <w:p w14:paraId="0269DE0E"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MM</w:t>
            </w:r>
          </w:p>
        </w:tc>
        <w:tc>
          <w:tcPr>
            <w:tcW w:w="7311" w:type="dxa"/>
            <w:vAlign w:val="center"/>
          </w:tcPr>
          <w:p w14:paraId="327864C7"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Mbrojtjes </w:t>
            </w:r>
          </w:p>
        </w:tc>
      </w:tr>
      <w:tr w:rsidR="00637880" w:rsidRPr="009475CC" w14:paraId="5F97F6CC" w14:textId="77777777" w:rsidTr="000E3440">
        <w:tc>
          <w:tcPr>
            <w:tcW w:w="1705" w:type="dxa"/>
            <w:vAlign w:val="center"/>
          </w:tcPr>
          <w:p w14:paraId="69CECB0E"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MSHMS</w:t>
            </w:r>
          </w:p>
        </w:tc>
        <w:tc>
          <w:tcPr>
            <w:tcW w:w="7311" w:type="dxa"/>
            <w:vAlign w:val="center"/>
          </w:tcPr>
          <w:p w14:paraId="3D50CB67"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Ministria e Shëndetësisë dhe Mbrojtjes Sociale </w:t>
            </w:r>
          </w:p>
        </w:tc>
      </w:tr>
      <w:tr w:rsidR="00637880" w:rsidRPr="009475CC" w14:paraId="6089F5A5" w14:textId="77777777" w:rsidTr="000E3440">
        <w:tc>
          <w:tcPr>
            <w:tcW w:w="1705" w:type="dxa"/>
            <w:vAlign w:val="center"/>
          </w:tcPr>
          <w:p w14:paraId="63E3DBC8"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DPA</w:t>
            </w:r>
          </w:p>
        </w:tc>
        <w:tc>
          <w:tcPr>
            <w:tcW w:w="7311" w:type="dxa"/>
            <w:vAlign w:val="center"/>
          </w:tcPr>
          <w:p w14:paraId="3773622C"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Drejtoria e Përgjithshme e Akreditimit </w:t>
            </w:r>
          </w:p>
        </w:tc>
      </w:tr>
      <w:tr w:rsidR="00637880" w:rsidRPr="009475CC" w14:paraId="64C892B3" w14:textId="77777777" w:rsidTr="000E3440">
        <w:tc>
          <w:tcPr>
            <w:tcW w:w="1705" w:type="dxa"/>
            <w:vAlign w:val="center"/>
          </w:tcPr>
          <w:p w14:paraId="27A1959B"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DPS</w:t>
            </w:r>
          </w:p>
        </w:tc>
        <w:tc>
          <w:tcPr>
            <w:tcW w:w="7311" w:type="dxa"/>
            <w:vAlign w:val="center"/>
          </w:tcPr>
          <w:p w14:paraId="7CF52CE7"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Drejtoria e Përgjithshme e Standardizimit </w:t>
            </w:r>
          </w:p>
        </w:tc>
      </w:tr>
      <w:tr w:rsidR="00637880" w:rsidRPr="009475CC" w14:paraId="3B8A7248" w14:textId="77777777" w:rsidTr="000E3440">
        <w:tc>
          <w:tcPr>
            <w:tcW w:w="1705" w:type="dxa"/>
            <w:vAlign w:val="center"/>
          </w:tcPr>
          <w:p w14:paraId="7DB0D5BC"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DPM</w:t>
            </w:r>
          </w:p>
        </w:tc>
        <w:tc>
          <w:tcPr>
            <w:tcW w:w="7311" w:type="dxa"/>
            <w:vAlign w:val="center"/>
          </w:tcPr>
          <w:p w14:paraId="04047F0B"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Drejtoria e Përgjithshme e Metrologjisë </w:t>
            </w:r>
          </w:p>
        </w:tc>
      </w:tr>
      <w:tr w:rsidR="00637880" w:rsidRPr="009475CC" w14:paraId="34509663" w14:textId="77777777" w:rsidTr="000E3440">
        <w:tc>
          <w:tcPr>
            <w:tcW w:w="1705" w:type="dxa"/>
            <w:vAlign w:val="center"/>
          </w:tcPr>
          <w:p w14:paraId="494F1138"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ISHMT</w:t>
            </w:r>
          </w:p>
        </w:tc>
        <w:tc>
          <w:tcPr>
            <w:tcW w:w="7311" w:type="dxa"/>
            <w:vAlign w:val="center"/>
          </w:tcPr>
          <w:p w14:paraId="79545BBF"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Inspektorati Shtetëror i Mbikëqyrjes së Tregut </w:t>
            </w:r>
          </w:p>
        </w:tc>
      </w:tr>
      <w:tr w:rsidR="00637880" w:rsidRPr="009475CC" w14:paraId="35526B0F" w14:textId="77777777" w:rsidTr="000E3440">
        <w:tc>
          <w:tcPr>
            <w:tcW w:w="1705" w:type="dxa"/>
            <w:vAlign w:val="center"/>
          </w:tcPr>
          <w:p w14:paraId="12A6324D"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ISHTI</w:t>
            </w:r>
          </w:p>
        </w:tc>
        <w:tc>
          <w:tcPr>
            <w:tcW w:w="7311" w:type="dxa"/>
            <w:vAlign w:val="center"/>
          </w:tcPr>
          <w:p w14:paraId="0CE481C0"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Inspektorati Shtetëror Teknik dhe Industrial </w:t>
            </w:r>
          </w:p>
        </w:tc>
      </w:tr>
      <w:tr w:rsidR="00637880" w:rsidRPr="009475CC" w14:paraId="12D3531B" w14:textId="77777777" w:rsidTr="000E3440">
        <w:tc>
          <w:tcPr>
            <w:tcW w:w="1705" w:type="dxa"/>
            <w:vAlign w:val="center"/>
          </w:tcPr>
          <w:p w14:paraId="35E1DCCA"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AKU</w:t>
            </w:r>
          </w:p>
        </w:tc>
        <w:tc>
          <w:tcPr>
            <w:tcW w:w="7311" w:type="dxa"/>
            <w:vAlign w:val="center"/>
          </w:tcPr>
          <w:p w14:paraId="34E01005"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Autoriteti Kombëtar i Ushqimit </w:t>
            </w:r>
          </w:p>
        </w:tc>
      </w:tr>
      <w:tr w:rsidR="00637880" w:rsidRPr="009475CC" w14:paraId="73973ED9" w14:textId="77777777" w:rsidTr="000E3440">
        <w:tc>
          <w:tcPr>
            <w:tcW w:w="1705" w:type="dxa"/>
            <w:vAlign w:val="center"/>
          </w:tcPr>
          <w:p w14:paraId="5027EAA1"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ISHSH</w:t>
            </w:r>
          </w:p>
        </w:tc>
        <w:tc>
          <w:tcPr>
            <w:tcW w:w="7311" w:type="dxa"/>
            <w:vAlign w:val="center"/>
          </w:tcPr>
          <w:p w14:paraId="266108B1"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Inspektorati Shtetëror Shëndetësor </w:t>
            </w:r>
          </w:p>
        </w:tc>
      </w:tr>
      <w:tr w:rsidR="00637880" w:rsidRPr="009475CC" w14:paraId="5538AAE7" w14:textId="77777777" w:rsidTr="000E3440">
        <w:tc>
          <w:tcPr>
            <w:tcW w:w="1705" w:type="dxa"/>
            <w:vAlign w:val="center"/>
          </w:tcPr>
          <w:p w14:paraId="0C52EECA"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AKEP</w:t>
            </w:r>
          </w:p>
        </w:tc>
        <w:tc>
          <w:tcPr>
            <w:tcW w:w="7311" w:type="dxa"/>
            <w:vAlign w:val="center"/>
          </w:tcPr>
          <w:p w14:paraId="649F7AD8"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Autoriteti i Komunikimeve Elektronike dhe Postare </w:t>
            </w:r>
          </w:p>
        </w:tc>
      </w:tr>
      <w:tr w:rsidR="00637880" w:rsidRPr="009475CC" w14:paraId="7A1EEF58" w14:textId="77777777" w:rsidTr="000E3440">
        <w:tc>
          <w:tcPr>
            <w:tcW w:w="1705" w:type="dxa"/>
            <w:vAlign w:val="center"/>
          </w:tcPr>
          <w:p w14:paraId="7A01321C"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ERRE</w:t>
            </w:r>
          </w:p>
        </w:tc>
        <w:tc>
          <w:tcPr>
            <w:tcW w:w="7311" w:type="dxa"/>
            <w:vAlign w:val="center"/>
          </w:tcPr>
          <w:p w14:paraId="1AEC6658"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Enti Rregullator i Energjisë </w:t>
            </w:r>
          </w:p>
        </w:tc>
      </w:tr>
      <w:tr w:rsidR="00637880" w:rsidRPr="009475CC" w14:paraId="620BFCE4" w14:textId="77777777" w:rsidTr="000E3440">
        <w:tc>
          <w:tcPr>
            <w:tcW w:w="1705" w:type="dxa"/>
            <w:vAlign w:val="center"/>
          </w:tcPr>
          <w:p w14:paraId="0FD0F7B6"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ERRU</w:t>
            </w:r>
          </w:p>
        </w:tc>
        <w:tc>
          <w:tcPr>
            <w:tcW w:w="7311" w:type="dxa"/>
            <w:vAlign w:val="center"/>
          </w:tcPr>
          <w:p w14:paraId="5EBBB497"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Enti Rregullator i Sektorit të Furnizimit me Ujë </w:t>
            </w:r>
          </w:p>
        </w:tc>
      </w:tr>
      <w:tr w:rsidR="00637880" w:rsidRPr="009475CC" w14:paraId="1C3BE6CC" w14:textId="77777777" w:rsidTr="000E3440">
        <w:tc>
          <w:tcPr>
            <w:tcW w:w="1705" w:type="dxa"/>
            <w:vAlign w:val="center"/>
          </w:tcPr>
          <w:p w14:paraId="00F19039"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AMF</w:t>
            </w:r>
          </w:p>
        </w:tc>
        <w:tc>
          <w:tcPr>
            <w:tcW w:w="7311" w:type="dxa"/>
            <w:vAlign w:val="center"/>
          </w:tcPr>
          <w:p w14:paraId="4E368291"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Autoriteti i Mbikëqyrjes Financiare </w:t>
            </w:r>
          </w:p>
        </w:tc>
      </w:tr>
      <w:tr w:rsidR="00116857" w:rsidRPr="009475CC" w14:paraId="4F7BD7AC" w14:textId="77777777" w:rsidTr="000E3440">
        <w:tc>
          <w:tcPr>
            <w:tcW w:w="1705" w:type="dxa"/>
            <w:vAlign w:val="center"/>
          </w:tcPr>
          <w:p w14:paraId="553DBF57" w14:textId="2176EC3C" w:rsidR="00116857" w:rsidRPr="009475CC" w:rsidRDefault="00116857" w:rsidP="000E3440">
            <w:pPr>
              <w:spacing w:line="360" w:lineRule="auto"/>
              <w:rPr>
                <w:rFonts w:cs="Times New Roman"/>
                <w:szCs w:val="24"/>
                <w:lang w:val="sq-AL"/>
              </w:rPr>
            </w:pPr>
            <w:r>
              <w:rPr>
                <w:rFonts w:cs="Times New Roman"/>
                <w:szCs w:val="24"/>
                <w:lang w:val="sq-AL"/>
              </w:rPr>
              <w:t>ETSI</w:t>
            </w:r>
          </w:p>
        </w:tc>
        <w:tc>
          <w:tcPr>
            <w:tcW w:w="7311" w:type="dxa"/>
            <w:vAlign w:val="center"/>
          </w:tcPr>
          <w:p w14:paraId="3CE244F2" w14:textId="48A1BB22" w:rsidR="00116857" w:rsidRPr="009475CC" w:rsidRDefault="00116857" w:rsidP="000E3440">
            <w:pPr>
              <w:spacing w:line="276" w:lineRule="auto"/>
              <w:rPr>
                <w:rFonts w:cs="Times New Roman"/>
                <w:szCs w:val="24"/>
                <w:lang w:val="sq-AL"/>
              </w:rPr>
            </w:pPr>
            <w:r w:rsidRPr="009475CC">
              <w:rPr>
                <w:rFonts w:cs="Times New Roman"/>
                <w:szCs w:val="24"/>
                <w:lang w:val="sq-AL"/>
              </w:rPr>
              <w:t xml:space="preserve">Instituti Evropian </w:t>
            </w:r>
            <w:r>
              <w:rPr>
                <w:rFonts w:cs="Times New Roman"/>
                <w:szCs w:val="24"/>
                <w:lang w:val="sq-AL"/>
              </w:rPr>
              <w:t>i</w:t>
            </w:r>
            <w:r w:rsidRPr="009475CC">
              <w:rPr>
                <w:rFonts w:cs="Times New Roman"/>
                <w:szCs w:val="24"/>
                <w:lang w:val="sq-AL"/>
              </w:rPr>
              <w:t xml:space="preserve"> Standardeve të Telekomunikacionit</w:t>
            </w:r>
          </w:p>
        </w:tc>
      </w:tr>
      <w:tr w:rsidR="00637880" w:rsidRPr="009475CC" w14:paraId="18262F26" w14:textId="77777777" w:rsidTr="000E3440">
        <w:tc>
          <w:tcPr>
            <w:tcW w:w="1705" w:type="dxa"/>
            <w:vAlign w:val="center"/>
          </w:tcPr>
          <w:p w14:paraId="4111D130"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AAC</w:t>
            </w:r>
          </w:p>
        </w:tc>
        <w:tc>
          <w:tcPr>
            <w:tcW w:w="7311" w:type="dxa"/>
            <w:vAlign w:val="center"/>
          </w:tcPr>
          <w:p w14:paraId="6392F74D"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Autoriteti i Aviacionit Civil </w:t>
            </w:r>
          </w:p>
        </w:tc>
      </w:tr>
      <w:tr w:rsidR="00637880" w:rsidRPr="009475CC" w14:paraId="0B6AA1DF" w14:textId="77777777" w:rsidTr="000E3440">
        <w:tc>
          <w:tcPr>
            <w:tcW w:w="1705" w:type="dxa"/>
            <w:vAlign w:val="center"/>
          </w:tcPr>
          <w:p w14:paraId="0BEB870B" w14:textId="77777777" w:rsidR="00637880" w:rsidRPr="009475CC" w:rsidRDefault="00637880" w:rsidP="000E3440">
            <w:pPr>
              <w:spacing w:line="360" w:lineRule="auto"/>
              <w:rPr>
                <w:rFonts w:cs="Times New Roman"/>
                <w:szCs w:val="24"/>
                <w:lang w:val="sq-AL"/>
              </w:rPr>
            </w:pPr>
            <w:r w:rsidRPr="009475CC">
              <w:rPr>
                <w:rFonts w:cs="Times New Roman"/>
                <w:szCs w:val="24"/>
                <w:lang w:val="sq-AL"/>
              </w:rPr>
              <w:t>BSH</w:t>
            </w:r>
          </w:p>
        </w:tc>
        <w:tc>
          <w:tcPr>
            <w:tcW w:w="7311" w:type="dxa"/>
            <w:vAlign w:val="center"/>
          </w:tcPr>
          <w:p w14:paraId="65A87A59" w14:textId="77777777" w:rsidR="00637880" w:rsidRPr="009475CC" w:rsidRDefault="00637880" w:rsidP="000E3440">
            <w:pPr>
              <w:spacing w:line="276" w:lineRule="auto"/>
              <w:rPr>
                <w:rFonts w:cs="Times New Roman"/>
                <w:szCs w:val="24"/>
                <w:lang w:val="sq-AL"/>
              </w:rPr>
            </w:pPr>
            <w:r w:rsidRPr="009475CC">
              <w:rPr>
                <w:rFonts w:cs="Times New Roman"/>
                <w:szCs w:val="24"/>
                <w:lang w:val="sq-AL"/>
              </w:rPr>
              <w:t xml:space="preserve">Banka e Shqipërisë  </w:t>
            </w:r>
          </w:p>
        </w:tc>
      </w:tr>
      <w:tr w:rsidR="0022797D" w:rsidRPr="009475CC" w14:paraId="157BA288" w14:textId="77777777" w:rsidTr="000E3440">
        <w:tc>
          <w:tcPr>
            <w:tcW w:w="1705" w:type="dxa"/>
            <w:vAlign w:val="center"/>
          </w:tcPr>
          <w:p w14:paraId="61F23F85" w14:textId="2D51D8FC" w:rsidR="0022797D" w:rsidRPr="0022797D" w:rsidRDefault="0022797D" w:rsidP="000E3440">
            <w:pPr>
              <w:spacing w:line="360" w:lineRule="auto"/>
              <w:rPr>
                <w:rFonts w:cs="Times New Roman"/>
                <w:szCs w:val="24"/>
                <w:lang w:val="sq-AL"/>
              </w:rPr>
            </w:pPr>
            <w:r>
              <w:rPr>
                <w:rFonts w:cs="Times New Roman"/>
                <w:szCs w:val="24"/>
                <w:lang w:val="sq-AL"/>
              </w:rPr>
              <w:t>MSA</w:t>
            </w:r>
          </w:p>
        </w:tc>
        <w:tc>
          <w:tcPr>
            <w:tcW w:w="7311" w:type="dxa"/>
            <w:vAlign w:val="center"/>
          </w:tcPr>
          <w:p w14:paraId="257BB280" w14:textId="34112884" w:rsidR="0022797D" w:rsidRPr="0022797D" w:rsidRDefault="0022797D" w:rsidP="000E3440">
            <w:pPr>
              <w:spacing w:line="276" w:lineRule="auto"/>
              <w:rPr>
                <w:rFonts w:cs="Times New Roman"/>
                <w:szCs w:val="24"/>
                <w:lang w:val="sq-AL"/>
              </w:rPr>
            </w:pPr>
            <w:r>
              <w:rPr>
                <w:rFonts w:cs="Times New Roman"/>
                <w:szCs w:val="24"/>
                <w:lang w:val="sq-AL"/>
              </w:rPr>
              <w:t>Marrëveshja  e Stabilizim  Asociimit</w:t>
            </w:r>
          </w:p>
        </w:tc>
      </w:tr>
      <w:tr w:rsidR="0022797D" w:rsidRPr="009475CC" w14:paraId="39B0CE4A" w14:textId="77777777" w:rsidTr="000E3440">
        <w:tc>
          <w:tcPr>
            <w:tcW w:w="1705" w:type="dxa"/>
            <w:vAlign w:val="center"/>
          </w:tcPr>
          <w:p w14:paraId="3EBA9484" w14:textId="4E3925FA" w:rsidR="0022797D" w:rsidRPr="0022797D" w:rsidRDefault="0022797D" w:rsidP="000E3440">
            <w:pPr>
              <w:spacing w:line="360" w:lineRule="auto"/>
              <w:rPr>
                <w:rFonts w:cs="Times New Roman"/>
                <w:szCs w:val="24"/>
                <w:lang w:val="sq-AL"/>
              </w:rPr>
            </w:pPr>
            <w:r>
              <w:rPr>
                <w:rFonts w:cs="Times New Roman"/>
                <w:szCs w:val="24"/>
                <w:lang w:val="sq-AL"/>
              </w:rPr>
              <w:t>SKZHI</w:t>
            </w:r>
          </w:p>
        </w:tc>
        <w:tc>
          <w:tcPr>
            <w:tcW w:w="7311" w:type="dxa"/>
            <w:vAlign w:val="center"/>
          </w:tcPr>
          <w:p w14:paraId="16E065DF" w14:textId="694B67DE" w:rsidR="0022797D" w:rsidRPr="0022797D" w:rsidRDefault="0022797D" w:rsidP="000E3440">
            <w:pPr>
              <w:spacing w:line="276" w:lineRule="auto"/>
              <w:rPr>
                <w:rFonts w:cs="Times New Roman"/>
                <w:szCs w:val="24"/>
                <w:lang w:val="sq-AL"/>
              </w:rPr>
            </w:pPr>
            <w:r>
              <w:rPr>
                <w:rFonts w:cs="Times New Roman"/>
                <w:szCs w:val="24"/>
                <w:lang w:val="sq-AL"/>
              </w:rPr>
              <w:t>Strategjia Kombëtare për Zhvillim dhe Integrim</w:t>
            </w:r>
          </w:p>
        </w:tc>
      </w:tr>
      <w:tr w:rsidR="0022797D" w:rsidRPr="009475CC" w14:paraId="43FCEDCC" w14:textId="77777777" w:rsidTr="000E3440">
        <w:tc>
          <w:tcPr>
            <w:tcW w:w="1705" w:type="dxa"/>
            <w:vAlign w:val="center"/>
          </w:tcPr>
          <w:p w14:paraId="4EE6C227" w14:textId="5B3952B3" w:rsidR="0022797D" w:rsidRPr="0022797D" w:rsidRDefault="009A0DA1" w:rsidP="000E3440">
            <w:pPr>
              <w:spacing w:line="360" w:lineRule="auto"/>
              <w:rPr>
                <w:rFonts w:cs="Times New Roman"/>
                <w:szCs w:val="24"/>
                <w:lang w:val="sq-AL"/>
              </w:rPr>
            </w:pPr>
            <w:r w:rsidRPr="00F32E3B">
              <w:rPr>
                <w:rFonts w:cs="Times New Roman"/>
                <w:szCs w:val="24"/>
                <w:lang w:val="sq-AL"/>
              </w:rPr>
              <w:t>ISUV</w:t>
            </w:r>
          </w:p>
        </w:tc>
        <w:tc>
          <w:tcPr>
            <w:tcW w:w="7311" w:type="dxa"/>
            <w:vAlign w:val="center"/>
          </w:tcPr>
          <w:p w14:paraId="05B320C6" w14:textId="6659C54E" w:rsidR="0022797D" w:rsidRPr="0022797D" w:rsidRDefault="009A0DA1" w:rsidP="009A0DA1">
            <w:pPr>
              <w:spacing w:line="276" w:lineRule="auto"/>
              <w:rPr>
                <w:rFonts w:cs="Times New Roman"/>
                <w:szCs w:val="24"/>
                <w:lang w:val="sq-AL"/>
              </w:rPr>
            </w:pPr>
            <w:r w:rsidRPr="00F32E3B">
              <w:rPr>
                <w:rFonts w:cs="Times New Roman"/>
                <w:szCs w:val="24"/>
                <w:lang w:val="sq-AL"/>
              </w:rPr>
              <w:t>Instituti i Sigurisë Ushqimore dhe Veterinarisë</w:t>
            </w:r>
          </w:p>
        </w:tc>
      </w:tr>
      <w:tr w:rsidR="004B4979" w:rsidRPr="009475CC" w14:paraId="0F56E9E4" w14:textId="77777777" w:rsidTr="000E3440">
        <w:tc>
          <w:tcPr>
            <w:tcW w:w="1705" w:type="dxa"/>
            <w:vAlign w:val="center"/>
          </w:tcPr>
          <w:p w14:paraId="6E2B78B6" w14:textId="52B291DF" w:rsidR="004B4979" w:rsidRPr="0022797D" w:rsidRDefault="009A0DA1" w:rsidP="009475CC">
            <w:pPr>
              <w:rPr>
                <w:rFonts w:cs="Times New Roman"/>
                <w:szCs w:val="24"/>
                <w:lang w:val="sq-AL"/>
              </w:rPr>
            </w:pPr>
            <w:r w:rsidRPr="00F32E3B">
              <w:rPr>
                <w:rFonts w:cs="Times New Roman"/>
                <w:szCs w:val="24"/>
                <w:lang w:val="sq-AL"/>
              </w:rPr>
              <w:t>AKVMB</w:t>
            </w:r>
          </w:p>
        </w:tc>
        <w:tc>
          <w:tcPr>
            <w:tcW w:w="7311" w:type="dxa"/>
            <w:vAlign w:val="center"/>
          </w:tcPr>
          <w:p w14:paraId="14C2C6F2" w14:textId="39612D33" w:rsidR="004B4979" w:rsidRPr="0022797D" w:rsidRDefault="009A0DA1" w:rsidP="009475CC">
            <w:pPr>
              <w:rPr>
                <w:rFonts w:cs="Times New Roman"/>
                <w:szCs w:val="24"/>
                <w:lang w:val="sq-AL"/>
              </w:rPr>
            </w:pPr>
            <w:r w:rsidRPr="00F32E3B">
              <w:rPr>
                <w:rFonts w:cs="Times New Roman"/>
                <w:szCs w:val="24"/>
                <w:lang w:val="sq-AL"/>
              </w:rPr>
              <w:t xml:space="preserve">Autoriteti Kombëtar i Veterinarisë dhe Mbrojtjes së Bimëve </w:t>
            </w:r>
          </w:p>
        </w:tc>
      </w:tr>
      <w:tr w:rsidR="004B4979" w:rsidRPr="009475CC" w14:paraId="0D64A2B9" w14:textId="77777777" w:rsidTr="000E3440">
        <w:tc>
          <w:tcPr>
            <w:tcW w:w="1705" w:type="dxa"/>
            <w:vAlign w:val="center"/>
          </w:tcPr>
          <w:p w14:paraId="1457773E" w14:textId="19E16C1D" w:rsidR="004B4979" w:rsidRPr="0022797D" w:rsidRDefault="009A0DA1" w:rsidP="000E3440">
            <w:pPr>
              <w:spacing w:line="360" w:lineRule="auto"/>
              <w:rPr>
                <w:rFonts w:cs="Times New Roman"/>
                <w:szCs w:val="24"/>
                <w:lang w:val="sq-AL"/>
              </w:rPr>
            </w:pPr>
            <w:r w:rsidRPr="00F32E3B">
              <w:rPr>
                <w:rFonts w:cs="Times New Roman"/>
                <w:szCs w:val="24"/>
                <w:lang w:val="sq-AL"/>
              </w:rPr>
              <w:t>DPSU</w:t>
            </w:r>
          </w:p>
        </w:tc>
        <w:tc>
          <w:tcPr>
            <w:tcW w:w="7311" w:type="dxa"/>
            <w:vAlign w:val="center"/>
          </w:tcPr>
          <w:p w14:paraId="7A864DD3" w14:textId="77FD4C5B" w:rsidR="004B4979" w:rsidRPr="0022797D" w:rsidRDefault="009A0DA1" w:rsidP="009475CC">
            <w:pPr>
              <w:rPr>
                <w:rFonts w:cs="Times New Roman"/>
                <w:szCs w:val="24"/>
                <w:lang w:val="sq-AL"/>
              </w:rPr>
            </w:pPr>
            <w:r w:rsidRPr="00F32E3B">
              <w:rPr>
                <w:rFonts w:cs="Times New Roman"/>
                <w:szCs w:val="24"/>
                <w:lang w:val="sq-AL"/>
              </w:rPr>
              <w:t xml:space="preserve">Drejtoria e Politikave të Sigurisë Ushqimore </w:t>
            </w:r>
          </w:p>
        </w:tc>
      </w:tr>
      <w:tr w:rsidR="004B4979" w:rsidRPr="009475CC" w14:paraId="7B81B846" w14:textId="77777777" w:rsidTr="000E3440">
        <w:tc>
          <w:tcPr>
            <w:tcW w:w="1705" w:type="dxa"/>
            <w:vAlign w:val="center"/>
          </w:tcPr>
          <w:p w14:paraId="68C34B7A" w14:textId="05AFA0CA" w:rsidR="004B4979" w:rsidRPr="0022797D" w:rsidRDefault="009A0DA1" w:rsidP="009475CC">
            <w:pPr>
              <w:rPr>
                <w:rFonts w:cs="Times New Roman"/>
                <w:szCs w:val="24"/>
                <w:lang w:val="sq-AL"/>
              </w:rPr>
            </w:pPr>
            <w:r w:rsidRPr="00F32E3B">
              <w:rPr>
                <w:rFonts w:cs="Times New Roman"/>
                <w:szCs w:val="24"/>
                <w:lang w:val="sq-AL"/>
              </w:rPr>
              <w:t>PKIE</w:t>
            </w:r>
          </w:p>
        </w:tc>
        <w:tc>
          <w:tcPr>
            <w:tcW w:w="7311" w:type="dxa"/>
            <w:vAlign w:val="center"/>
          </w:tcPr>
          <w:p w14:paraId="273370F9" w14:textId="26ABAA36" w:rsidR="004B4979" w:rsidRPr="0022797D" w:rsidRDefault="00855F1D" w:rsidP="000E3440">
            <w:pPr>
              <w:spacing w:line="276" w:lineRule="auto"/>
              <w:rPr>
                <w:rFonts w:cs="Times New Roman"/>
                <w:szCs w:val="24"/>
                <w:lang w:val="sq-AL"/>
              </w:rPr>
            </w:pPr>
            <w:r>
              <w:rPr>
                <w:rFonts w:cs="Times New Roman"/>
                <w:szCs w:val="24"/>
                <w:lang w:val="sq-AL"/>
              </w:rPr>
              <w:t xml:space="preserve">Plani Kombetar i Integrimit </w:t>
            </w:r>
          </w:p>
        </w:tc>
      </w:tr>
      <w:tr w:rsidR="004B4979" w:rsidRPr="009475CC" w14:paraId="558FA307" w14:textId="77777777" w:rsidTr="000E3440">
        <w:tc>
          <w:tcPr>
            <w:tcW w:w="1705" w:type="dxa"/>
            <w:vAlign w:val="center"/>
          </w:tcPr>
          <w:p w14:paraId="3A8761FF" w14:textId="423C2EF6" w:rsidR="009A0DA1" w:rsidRPr="0022797D" w:rsidRDefault="009A0DA1" w:rsidP="009475CC">
            <w:pPr>
              <w:rPr>
                <w:rFonts w:cs="Times New Roman"/>
                <w:szCs w:val="24"/>
                <w:lang w:val="sq-AL"/>
              </w:rPr>
            </w:pPr>
            <w:r w:rsidRPr="00F32E3B">
              <w:rPr>
                <w:rFonts w:cs="Times New Roman"/>
                <w:szCs w:val="24"/>
                <w:lang w:val="sq-AL"/>
              </w:rPr>
              <w:t>DG-SANTE</w:t>
            </w:r>
          </w:p>
        </w:tc>
        <w:tc>
          <w:tcPr>
            <w:tcW w:w="7311" w:type="dxa"/>
            <w:vAlign w:val="center"/>
          </w:tcPr>
          <w:p w14:paraId="76C7442E" w14:textId="70CD47BC" w:rsidR="004B4979" w:rsidRPr="0022797D" w:rsidRDefault="00AF48CC" w:rsidP="000E3440">
            <w:pPr>
              <w:spacing w:line="276" w:lineRule="auto"/>
              <w:rPr>
                <w:rFonts w:cs="Times New Roman"/>
                <w:szCs w:val="24"/>
                <w:lang w:val="sq-AL"/>
              </w:rPr>
            </w:pPr>
            <w:r w:rsidRPr="00AF48CC">
              <w:rPr>
                <w:rFonts w:cs="Times New Roman"/>
                <w:szCs w:val="24"/>
                <w:lang w:val="sq-AL"/>
              </w:rPr>
              <w:t>General for Health and Food Safety</w:t>
            </w:r>
          </w:p>
        </w:tc>
      </w:tr>
      <w:tr w:rsidR="004B4979" w:rsidRPr="009475CC" w14:paraId="4C1B2754" w14:textId="77777777" w:rsidTr="000E3440">
        <w:tc>
          <w:tcPr>
            <w:tcW w:w="1705" w:type="dxa"/>
            <w:vAlign w:val="center"/>
          </w:tcPr>
          <w:p w14:paraId="026E2960" w14:textId="2CF23939" w:rsidR="004B4979" w:rsidRPr="0022797D" w:rsidRDefault="009A0DA1" w:rsidP="000E3440">
            <w:pPr>
              <w:spacing w:line="360" w:lineRule="auto"/>
              <w:rPr>
                <w:rFonts w:cs="Times New Roman"/>
                <w:szCs w:val="24"/>
                <w:lang w:val="sq-AL"/>
              </w:rPr>
            </w:pPr>
            <w:r>
              <w:rPr>
                <w:rFonts w:cs="Times New Roman"/>
                <w:szCs w:val="24"/>
                <w:lang w:val="sq-AL"/>
              </w:rPr>
              <w:t>PIK</w:t>
            </w:r>
          </w:p>
        </w:tc>
        <w:tc>
          <w:tcPr>
            <w:tcW w:w="7311" w:type="dxa"/>
            <w:vAlign w:val="center"/>
          </w:tcPr>
          <w:p w14:paraId="5735F595" w14:textId="638A01B8" w:rsidR="004B4979" w:rsidRPr="0022797D" w:rsidRDefault="009A0DA1" w:rsidP="009475CC">
            <w:pPr>
              <w:rPr>
                <w:rFonts w:cs="Times New Roman"/>
                <w:szCs w:val="24"/>
                <w:lang w:val="sq-AL"/>
              </w:rPr>
            </w:pPr>
            <w:r w:rsidRPr="00F32E3B">
              <w:rPr>
                <w:rFonts w:cs="Times New Roman"/>
                <w:szCs w:val="24"/>
                <w:lang w:val="sq-AL"/>
              </w:rPr>
              <w:t>Pika e Inspektimit Kufitar</w:t>
            </w:r>
          </w:p>
        </w:tc>
      </w:tr>
      <w:tr w:rsidR="004B4979" w:rsidRPr="009475CC" w14:paraId="53D7EE32" w14:textId="77777777" w:rsidTr="000E3440">
        <w:tc>
          <w:tcPr>
            <w:tcW w:w="1705" w:type="dxa"/>
            <w:vAlign w:val="center"/>
          </w:tcPr>
          <w:p w14:paraId="48C095F6" w14:textId="4F1367C4" w:rsidR="004B4979" w:rsidRPr="0022797D" w:rsidRDefault="009A0DA1" w:rsidP="000E3440">
            <w:pPr>
              <w:spacing w:line="360" w:lineRule="auto"/>
              <w:rPr>
                <w:rFonts w:cs="Times New Roman"/>
                <w:szCs w:val="24"/>
                <w:lang w:val="sq-AL"/>
              </w:rPr>
            </w:pPr>
            <w:r>
              <w:rPr>
                <w:rFonts w:cs="Times New Roman"/>
                <w:szCs w:val="24"/>
                <w:lang w:val="sq-AL"/>
              </w:rPr>
              <w:t>DRAKU</w:t>
            </w:r>
          </w:p>
        </w:tc>
        <w:tc>
          <w:tcPr>
            <w:tcW w:w="7311" w:type="dxa"/>
            <w:vAlign w:val="center"/>
          </w:tcPr>
          <w:p w14:paraId="1F45CD0B" w14:textId="1D545A07" w:rsidR="004B4979" w:rsidRPr="0022797D" w:rsidRDefault="009A0DA1" w:rsidP="009475CC">
            <w:pPr>
              <w:rPr>
                <w:rFonts w:cs="Times New Roman"/>
                <w:szCs w:val="24"/>
                <w:lang w:val="sq-AL"/>
              </w:rPr>
            </w:pPr>
            <w:r w:rsidRPr="00F32E3B">
              <w:rPr>
                <w:rFonts w:cs="Times New Roman"/>
                <w:szCs w:val="24"/>
                <w:lang w:val="sq-AL"/>
              </w:rPr>
              <w:t>Drejtorite Rajonale te AKU</w:t>
            </w:r>
          </w:p>
        </w:tc>
      </w:tr>
      <w:tr w:rsidR="009A0DA1" w:rsidRPr="009475CC" w14:paraId="4593F931" w14:textId="77777777" w:rsidTr="000E3440">
        <w:tc>
          <w:tcPr>
            <w:tcW w:w="1705" w:type="dxa"/>
            <w:vAlign w:val="center"/>
          </w:tcPr>
          <w:p w14:paraId="3B55A717" w14:textId="030ED6E9" w:rsidR="009A0DA1" w:rsidRPr="0022797D" w:rsidRDefault="009A0DA1" w:rsidP="000E3440">
            <w:pPr>
              <w:spacing w:line="360" w:lineRule="auto"/>
              <w:rPr>
                <w:rFonts w:cs="Times New Roman"/>
                <w:szCs w:val="24"/>
                <w:lang w:val="sq-AL"/>
              </w:rPr>
            </w:pPr>
            <w:r w:rsidRPr="00F32E3B">
              <w:rPr>
                <w:rFonts w:cs="Times New Roman"/>
                <w:szCs w:val="24"/>
                <w:lang w:val="sq-AL"/>
              </w:rPr>
              <w:t>TFBE</w:t>
            </w:r>
          </w:p>
        </w:tc>
        <w:tc>
          <w:tcPr>
            <w:tcW w:w="7311" w:type="dxa"/>
            <w:vAlign w:val="center"/>
          </w:tcPr>
          <w:p w14:paraId="5FF7EEE0" w14:textId="56319E4E" w:rsidR="009A0DA1" w:rsidRPr="0022797D" w:rsidRDefault="009A0DA1" w:rsidP="009475CC">
            <w:pPr>
              <w:rPr>
                <w:rFonts w:cs="Times New Roman"/>
                <w:szCs w:val="24"/>
                <w:lang w:val="sq-AL"/>
              </w:rPr>
            </w:pPr>
            <w:r w:rsidRPr="00F32E3B">
              <w:rPr>
                <w:rFonts w:cs="Times New Roman"/>
                <w:szCs w:val="24"/>
                <w:lang w:val="sq-AL"/>
              </w:rPr>
              <w:t xml:space="preserve">Traktatit të Funksionimit të Bashkimit Europian </w:t>
            </w:r>
          </w:p>
        </w:tc>
      </w:tr>
      <w:tr w:rsidR="009A0DA1" w:rsidRPr="009475CC" w14:paraId="0DBCDA90" w14:textId="77777777" w:rsidTr="000E3440">
        <w:tc>
          <w:tcPr>
            <w:tcW w:w="1705" w:type="dxa"/>
            <w:vAlign w:val="center"/>
          </w:tcPr>
          <w:p w14:paraId="58CBA344" w14:textId="6DFE0B57" w:rsidR="009A0DA1" w:rsidRPr="009475CC" w:rsidRDefault="009A0DA1" w:rsidP="009475CC">
            <w:pPr>
              <w:rPr>
                <w:lang w:val="sq-AL"/>
              </w:rPr>
            </w:pPr>
            <w:r>
              <w:rPr>
                <w:lang w:val="sq-AL"/>
              </w:rPr>
              <w:t>REACH</w:t>
            </w:r>
          </w:p>
        </w:tc>
        <w:tc>
          <w:tcPr>
            <w:tcW w:w="7311" w:type="dxa"/>
            <w:vAlign w:val="center"/>
          </w:tcPr>
          <w:p w14:paraId="45441F5A" w14:textId="4BAA61D5" w:rsidR="007B7707" w:rsidRDefault="007B7707" w:rsidP="000E3440">
            <w:pPr>
              <w:spacing w:line="276" w:lineRule="auto"/>
              <w:rPr>
                <w:rFonts w:cs="Times New Roman"/>
                <w:szCs w:val="24"/>
                <w:lang w:val="sq-AL"/>
              </w:rPr>
            </w:pPr>
            <w:r>
              <w:rPr>
                <w:rFonts w:cs="Times New Roman"/>
                <w:szCs w:val="24"/>
                <w:lang w:val="sq-AL"/>
              </w:rPr>
              <w:t>Regjistrimi, Vlerësimi, Autorizimi dhe Kufizimi i Kimikateve</w:t>
            </w:r>
          </w:p>
          <w:p w14:paraId="17435913" w14:textId="3EA8C713" w:rsidR="009A0DA1" w:rsidRPr="0022797D" w:rsidRDefault="007B7707" w:rsidP="000E3440">
            <w:pPr>
              <w:spacing w:line="276" w:lineRule="auto"/>
              <w:rPr>
                <w:rFonts w:cs="Times New Roman"/>
                <w:szCs w:val="24"/>
                <w:lang w:val="sq-AL"/>
              </w:rPr>
            </w:pPr>
            <w:r>
              <w:rPr>
                <w:rFonts w:cs="Times New Roman"/>
                <w:szCs w:val="24"/>
                <w:lang w:val="sq-AL"/>
              </w:rPr>
              <w:t>(</w:t>
            </w:r>
            <w:r w:rsidRPr="007B7707">
              <w:rPr>
                <w:rFonts w:cs="Times New Roman"/>
                <w:i/>
                <w:iCs/>
                <w:szCs w:val="24"/>
                <w:lang w:val="sq-AL"/>
              </w:rPr>
              <w:t>Registration, Evaluation, Authorisation and Restriction of Chemicals</w:t>
            </w:r>
            <w:r>
              <w:rPr>
                <w:rFonts w:cs="Times New Roman"/>
                <w:szCs w:val="24"/>
                <w:lang w:val="sq-AL"/>
              </w:rPr>
              <w:t>)</w:t>
            </w:r>
          </w:p>
        </w:tc>
      </w:tr>
      <w:tr w:rsidR="009A0DA1" w:rsidRPr="009475CC" w14:paraId="7774183E" w14:textId="77777777" w:rsidTr="000E3440">
        <w:tc>
          <w:tcPr>
            <w:tcW w:w="1705" w:type="dxa"/>
            <w:vAlign w:val="center"/>
          </w:tcPr>
          <w:p w14:paraId="11EE015E" w14:textId="038C3514" w:rsidR="009A0DA1" w:rsidRPr="009475CC" w:rsidRDefault="009A0DA1" w:rsidP="009475CC">
            <w:pPr>
              <w:rPr>
                <w:lang w:val="sq-AL"/>
              </w:rPr>
            </w:pPr>
            <w:r>
              <w:rPr>
                <w:lang w:val="sq-AL"/>
              </w:rPr>
              <w:lastRenderedPageBreak/>
              <w:t>CLP</w:t>
            </w:r>
          </w:p>
        </w:tc>
        <w:tc>
          <w:tcPr>
            <w:tcW w:w="7311" w:type="dxa"/>
            <w:vAlign w:val="center"/>
          </w:tcPr>
          <w:p w14:paraId="4D0A9AE3" w14:textId="77777777" w:rsidR="009A0DA1" w:rsidRDefault="00EE4CB6" w:rsidP="000E3440">
            <w:pPr>
              <w:spacing w:line="276" w:lineRule="auto"/>
              <w:rPr>
                <w:rFonts w:cs="Times New Roman"/>
                <w:szCs w:val="24"/>
                <w:lang w:val="sq-AL"/>
              </w:rPr>
            </w:pPr>
            <w:r>
              <w:rPr>
                <w:rFonts w:cs="Times New Roman"/>
                <w:szCs w:val="24"/>
                <w:lang w:val="sq-AL"/>
              </w:rPr>
              <w:t>Klasifikimi, Etiketimi dhe paketimi (i kimikateve)</w:t>
            </w:r>
          </w:p>
          <w:p w14:paraId="72B72785" w14:textId="5B778616" w:rsidR="00EE4CB6" w:rsidRPr="0022797D" w:rsidRDefault="00EE4CB6" w:rsidP="000E3440">
            <w:pPr>
              <w:spacing w:line="276" w:lineRule="auto"/>
              <w:rPr>
                <w:rFonts w:cs="Times New Roman"/>
                <w:szCs w:val="24"/>
                <w:lang w:val="sq-AL"/>
              </w:rPr>
            </w:pPr>
            <w:r>
              <w:rPr>
                <w:rFonts w:cs="Times New Roman"/>
                <w:szCs w:val="24"/>
                <w:lang w:val="sq-AL"/>
              </w:rPr>
              <w:t>(</w:t>
            </w:r>
            <w:r w:rsidRPr="00EE4CB6">
              <w:rPr>
                <w:rFonts w:cs="Times New Roman"/>
                <w:i/>
                <w:iCs/>
                <w:szCs w:val="24"/>
                <w:lang w:val="en-GB"/>
              </w:rPr>
              <w:t>Classification, Labeling and Packaging)</w:t>
            </w:r>
            <w:r>
              <w:rPr>
                <w:rFonts w:cs="Times New Roman"/>
                <w:szCs w:val="24"/>
                <w:lang w:val="sq-AL"/>
              </w:rPr>
              <w:t xml:space="preserve"> </w:t>
            </w:r>
          </w:p>
        </w:tc>
      </w:tr>
      <w:tr w:rsidR="009A0DA1" w:rsidRPr="009475CC" w14:paraId="487F0367" w14:textId="77777777" w:rsidTr="000E3440">
        <w:tc>
          <w:tcPr>
            <w:tcW w:w="1705" w:type="dxa"/>
            <w:vAlign w:val="center"/>
          </w:tcPr>
          <w:p w14:paraId="3BD2F756" w14:textId="7D2D5E81" w:rsidR="009A0DA1" w:rsidRPr="0022797D" w:rsidRDefault="009A0DA1" w:rsidP="000E3440">
            <w:pPr>
              <w:spacing w:line="360" w:lineRule="auto"/>
              <w:rPr>
                <w:rFonts w:cs="Times New Roman"/>
                <w:szCs w:val="24"/>
                <w:lang w:val="sq-AL"/>
              </w:rPr>
            </w:pPr>
            <w:r w:rsidRPr="00F32E3B">
              <w:rPr>
                <w:rFonts w:cs="Times New Roman"/>
                <w:szCs w:val="24"/>
                <w:lang w:val="sq-AL"/>
              </w:rPr>
              <w:t>GHS</w:t>
            </w:r>
          </w:p>
        </w:tc>
        <w:tc>
          <w:tcPr>
            <w:tcW w:w="7311" w:type="dxa"/>
            <w:vAlign w:val="center"/>
          </w:tcPr>
          <w:p w14:paraId="27677EFA" w14:textId="508F86AE" w:rsidR="009A0DA1" w:rsidRPr="0022797D" w:rsidRDefault="009A0DA1" w:rsidP="000E3440">
            <w:pPr>
              <w:spacing w:line="276" w:lineRule="auto"/>
              <w:rPr>
                <w:rFonts w:cs="Times New Roman"/>
                <w:szCs w:val="24"/>
                <w:lang w:val="sq-AL"/>
              </w:rPr>
            </w:pPr>
            <w:r>
              <w:rPr>
                <w:lang w:val="sq-AL"/>
              </w:rPr>
              <w:t>S</w:t>
            </w:r>
            <w:r w:rsidRPr="00F32E3B">
              <w:rPr>
                <w:rFonts w:cs="Times New Roman"/>
                <w:szCs w:val="24"/>
                <w:lang w:val="sq-AL"/>
              </w:rPr>
              <w:t>istemi i Harmonizuar Global i Klasifikimit dhe Etiketimit të Kimikateve</w:t>
            </w:r>
          </w:p>
        </w:tc>
      </w:tr>
      <w:tr w:rsidR="009A0DA1" w:rsidRPr="009475CC" w14:paraId="545A51A1" w14:textId="77777777" w:rsidTr="000E3440">
        <w:tc>
          <w:tcPr>
            <w:tcW w:w="1705" w:type="dxa"/>
            <w:vAlign w:val="center"/>
          </w:tcPr>
          <w:p w14:paraId="2F270A4B" w14:textId="313C8B8A" w:rsidR="009A0DA1" w:rsidRPr="0022797D" w:rsidRDefault="009A0DA1" w:rsidP="000E3440">
            <w:pPr>
              <w:spacing w:line="360" w:lineRule="auto"/>
              <w:rPr>
                <w:rFonts w:cs="Times New Roman"/>
                <w:szCs w:val="24"/>
                <w:lang w:val="sq-AL"/>
              </w:rPr>
            </w:pPr>
            <w:r w:rsidRPr="00F32E3B">
              <w:rPr>
                <w:rFonts w:cs="Times New Roman"/>
                <w:szCs w:val="24"/>
                <w:lang w:val="sq-AL"/>
              </w:rPr>
              <w:t>OBT</w:t>
            </w:r>
          </w:p>
        </w:tc>
        <w:tc>
          <w:tcPr>
            <w:tcW w:w="7311" w:type="dxa"/>
            <w:vAlign w:val="center"/>
          </w:tcPr>
          <w:p w14:paraId="07C2B9B0" w14:textId="486A4DEE" w:rsidR="009A0DA1" w:rsidRPr="0022797D" w:rsidRDefault="009A0DA1" w:rsidP="009475CC">
            <w:pPr>
              <w:rPr>
                <w:rFonts w:cs="Times New Roman"/>
                <w:szCs w:val="24"/>
                <w:lang w:val="sq-AL"/>
              </w:rPr>
            </w:pPr>
            <w:r w:rsidRPr="00F32E3B">
              <w:rPr>
                <w:rFonts w:cs="Times New Roman"/>
                <w:szCs w:val="24"/>
                <w:lang w:val="sq-AL"/>
              </w:rPr>
              <w:t>Organizatës Botërore të Tregtisë</w:t>
            </w:r>
          </w:p>
        </w:tc>
      </w:tr>
      <w:tr w:rsidR="009A0DA1" w:rsidRPr="009475CC" w14:paraId="418BFE9C" w14:textId="77777777" w:rsidTr="000E3440">
        <w:tc>
          <w:tcPr>
            <w:tcW w:w="1705" w:type="dxa"/>
            <w:vAlign w:val="center"/>
          </w:tcPr>
          <w:p w14:paraId="27FA6C46" w14:textId="3E14D1D0" w:rsidR="009A0DA1" w:rsidRPr="0022797D" w:rsidRDefault="009A0DA1" w:rsidP="000E3440">
            <w:pPr>
              <w:spacing w:line="360" w:lineRule="auto"/>
              <w:rPr>
                <w:rFonts w:cs="Times New Roman"/>
                <w:szCs w:val="24"/>
                <w:lang w:val="sq-AL"/>
              </w:rPr>
            </w:pPr>
            <w:r w:rsidRPr="00F32E3B">
              <w:rPr>
                <w:rFonts w:cs="Times New Roman"/>
                <w:szCs w:val="24"/>
                <w:lang w:val="sq-AL"/>
              </w:rPr>
              <w:t>SSH</w:t>
            </w:r>
          </w:p>
        </w:tc>
        <w:tc>
          <w:tcPr>
            <w:tcW w:w="7311" w:type="dxa"/>
            <w:vAlign w:val="center"/>
          </w:tcPr>
          <w:p w14:paraId="4D188AA7" w14:textId="39CD4F8F" w:rsidR="009A0DA1" w:rsidRPr="0022797D" w:rsidRDefault="009A0DA1" w:rsidP="009475CC">
            <w:pPr>
              <w:rPr>
                <w:rFonts w:cs="Times New Roman"/>
                <w:szCs w:val="24"/>
                <w:lang w:val="sq-AL"/>
              </w:rPr>
            </w:pPr>
            <w:r w:rsidRPr="00F32E3B">
              <w:rPr>
                <w:rFonts w:cs="Times New Roman"/>
                <w:szCs w:val="24"/>
                <w:lang w:val="sq-AL"/>
              </w:rPr>
              <w:t xml:space="preserve">Standarde Shqiptare </w:t>
            </w:r>
          </w:p>
        </w:tc>
      </w:tr>
      <w:tr w:rsidR="009A0DA1" w:rsidRPr="009475CC" w14:paraId="7D848D98" w14:textId="77777777" w:rsidTr="000E3440">
        <w:tc>
          <w:tcPr>
            <w:tcW w:w="1705" w:type="dxa"/>
            <w:vAlign w:val="center"/>
          </w:tcPr>
          <w:p w14:paraId="32B38DA0" w14:textId="2DB46A1B" w:rsidR="009A0DA1" w:rsidRPr="0022797D" w:rsidRDefault="009475CC" w:rsidP="000E3440">
            <w:pPr>
              <w:spacing w:line="360" w:lineRule="auto"/>
              <w:rPr>
                <w:rFonts w:cs="Times New Roman"/>
                <w:szCs w:val="24"/>
                <w:lang w:val="sq-AL"/>
              </w:rPr>
            </w:pPr>
            <w:r w:rsidRPr="00F32E3B">
              <w:rPr>
                <w:rFonts w:cs="Times New Roman"/>
                <w:szCs w:val="24"/>
                <w:lang w:val="sq-AL"/>
              </w:rPr>
              <w:t>KT</w:t>
            </w:r>
          </w:p>
        </w:tc>
        <w:tc>
          <w:tcPr>
            <w:tcW w:w="7311" w:type="dxa"/>
            <w:vAlign w:val="center"/>
          </w:tcPr>
          <w:p w14:paraId="2D4CFCA2" w14:textId="2376B6E6" w:rsidR="009A0DA1" w:rsidRPr="0022797D" w:rsidRDefault="009475CC" w:rsidP="009475CC">
            <w:pPr>
              <w:rPr>
                <w:rFonts w:cs="Times New Roman"/>
                <w:szCs w:val="24"/>
                <w:lang w:val="sq-AL"/>
              </w:rPr>
            </w:pPr>
            <w:r w:rsidRPr="00F32E3B">
              <w:rPr>
                <w:rFonts w:cs="Times New Roman"/>
                <w:szCs w:val="24"/>
                <w:lang w:val="sq-AL"/>
              </w:rPr>
              <w:t>Komiteteve Teknike</w:t>
            </w:r>
            <w:r>
              <w:rPr>
                <w:rFonts w:cs="Times New Roman"/>
                <w:szCs w:val="24"/>
                <w:lang w:val="sq-AL"/>
              </w:rPr>
              <w:t xml:space="preserve"> </w:t>
            </w:r>
          </w:p>
        </w:tc>
      </w:tr>
      <w:tr w:rsidR="009A0DA1" w:rsidRPr="009475CC" w14:paraId="39DEBEC8" w14:textId="77777777" w:rsidTr="000E3440">
        <w:tc>
          <w:tcPr>
            <w:tcW w:w="1705" w:type="dxa"/>
            <w:vAlign w:val="center"/>
          </w:tcPr>
          <w:p w14:paraId="6138E9A4" w14:textId="3B86A15E" w:rsidR="009A0DA1" w:rsidRPr="0022797D" w:rsidRDefault="009475CC" w:rsidP="000E3440">
            <w:pPr>
              <w:spacing w:line="360" w:lineRule="auto"/>
              <w:rPr>
                <w:rFonts w:cs="Times New Roman"/>
                <w:szCs w:val="24"/>
                <w:lang w:val="sq-AL"/>
              </w:rPr>
            </w:pPr>
            <w:r w:rsidRPr="00F32E3B">
              <w:rPr>
                <w:rFonts w:cs="Times New Roman"/>
                <w:szCs w:val="24"/>
                <w:lang w:val="sq-AL"/>
              </w:rPr>
              <w:t>OVK</w:t>
            </w:r>
          </w:p>
        </w:tc>
        <w:tc>
          <w:tcPr>
            <w:tcW w:w="7311" w:type="dxa"/>
            <w:vAlign w:val="center"/>
          </w:tcPr>
          <w:p w14:paraId="5F68284B" w14:textId="1AF4AF65" w:rsidR="009A0DA1" w:rsidRPr="0022797D" w:rsidRDefault="009475CC" w:rsidP="009475CC">
            <w:pPr>
              <w:rPr>
                <w:rFonts w:cs="Times New Roman"/>
                <w:szCs w:val="24"/>
                <w:lang w:val="sq-AL"/>
              </w:rPr>
            </w:pPr>
            <w:r>
              <w:rPr>
                <w:rFonts w:cs="Times New Roman"/>
                <w:szCs w:val="24"/>
                <w:lang w:val="sq-AL"/>
              </w:rPr>
              <w:t>O</w:t>
            </w:r>
            <w:r w:rsidRPr="00F32E3B">
              <w:rPr>
                <w:rFonts w:cs="Times New Roman"/>
                <w:szCs w:val="24"/>
                <w:lang w:val="sq-AL"/>
              </w:rPr>
              <w:t>rgane</w:t>
            </w:r>
            <w:r>
              <w:rPr>
                <w:rFonts w:cs="Times New Roman"/>
                <w:szCs w:val="24"/>
                <w:lang w:val="sq-AL"/>
              </w:rPr>
              <w:t>t e V</w:t>
            </w:r>
            <w:r w:rsidRPr="00F32E3B">
              <w:rPr>
                <w:rFonts w:cs="Times New Roman"/>
                <w:szCs w:val="24"/>
                <w:lang w:val="sq-AL"/>
              </w:rPr>
              <w:t xml:space="preserve">lerësimit të </w:t>
            </w:r>
            <w:r>
              <w:rPr>
                <w:rFonts w:cs="Times New Roman"/>
                <w:szCs w:val="24"/>
                <w:lang w:val="sq-AL"/>
              </w:rPr>
              <w:t>K</w:t>
            </w:r>
            <w:r w:rsidRPr="00F32E3B">
              <w:rPr>
                <w:rFonts w:cs="Times New Roman"/>
                <w:szCs w:val="24"/>
                <w:lang w:val="sq-AL"/>
              </w:rPr>
              <w:t xml:space="preserve">onformitetit </w:t>
            </w:r>
          </w:p>
        </w:tc>
      </w:tr>
      <w:tr w:rsidR="009A0DA1" w:rsidRPr="009475CC" w14:paraId="540B30CA" w14:textId="77777777" w:rsidTr="000E3440">
        <w:tc>
          <w:tcPr>
            <w:tcW w:w="1705" w:type="dxa"/>
            <w:vAlign w:val="center"/>
          </w:tcPr>
          <w:p w14:paraId="4BB2644D" w14:textId="68061B1C" w:rsidR="009A0DA1" w:rsidRPr="0022797D" w:rsidRDefault="009475CC" w:rsidP="000E3440">
            <w:pPr>
              <w:spacing w:line="360" w:lineRule="auto"/>
              <w:rPr>
                <w:rFonts w:cs="Times New Roman"/>
                <w:szCs w:val="24"/>
                <w:lang w:val="sq-AL"/>
              </w:rPr>
            </w:pPr>
            <w:r>
              <w:rPr>
                <w:rFonts w:cs="Times New Roman"/>
                <w:szCs w:val="24"/>
                <w:lang w:val="sq-AL"/>
              </w:rPr>
              <w:t>BP</w:t>
            </w:r>
          </w:p>
        </w:tc>
        <w:tc>
          <w:tcPr>
            <w:tcW w:w="7311" w:type="dxa"/>
            <w:vAlign w:val="center"/>
          </w:tcPr>
          <w:p w14:paraId="15BECEAB" w14:textId="7FEADAB5" w:rsidR="009A0DA1" w:rsidRPr="009475CC" w:rsidRDefault="009475CC" w:rsidP="009475CC">
            <w:pPr>
              <w:rPr>
                <w:rFonts w:eastAsia="MS Mincho" w:cs="Times New Roman"/>
                <w:iCs/>
                <w:szCs w:val="24"/>
              </w:rPr>
            </w:pPr>
            <w:r w:rsidRPr="00F32E3B">
              <w:rPr>
                <w:rFonts w:eastAsia="MS Mincho" w:cs="Times New Roman"/>
                <w:iCs/>
                <w:szCs w:val="24"/>
              </w:rPr>
              <w:t xml:space="preserve">Ballkanit Perëndimor </w:t>
            </w:r>
          </w:p>
        </w:tc>
      </w:tr>
      <w:tr w:rsidR="009A0DA1" w:rsidRPr="009475CC" w14:paraId="649DA70D" w14:textId="77777777" w:rsidTr="000E3440">
        <w:tc>
          <w:tcPr>
            <w:tcW w:w="1705" w:type="dxa"/>
            <w:vAlign w:val="center"/>
          </w:tcPr>
          <w:p w14:paraId="4C5B97D7" w14:textId="0CF9D74F" w:rsidR="009A0DA1" w:rsidRPr="0022797D" w:rsidRDefault="009475CC" w:rsidP="000E3440">
            <w:pPr>
              <w:spacing w:line="360" w:lineRule="auto"/>
              <w:rPr>
                <w:rFonts w:cs="Times New Roman"/>
                <w:szCs w:val="24"/>
                <w:lang w:val="sq-AL"/>
              </w:rPr>
            </w:pPr>
            <w:r w:rsidRPr="00F32E3B">
              <w:rPr>
                <w:rFonts w:eastAsia="MS Mincho" w:cs="Times New Roman"/>
                <w:iCs/>
                <w:szCs w:val="24"/>
              </w:rPr>
              <w:t>RLAH</w:t>
            </w:r>
          </w:p>
        </w:tc>
        <w:tc>
          <w:tcPr>
            <w:tcW w:w="7311" w:type="dxa"/>
            <w:vAlign w:val="center"/>
          </w:tcPr>
          <w:p w14:paraId="70DCE081" w14:textId="54D9CB2F" w:rsidR="009A0DA1" w:rsidRPr="0022797D" w:rsidRDefault="009475CC" w:rsidP="009475CC">
            <w:pPr>
              <w:rPr>
                <w:rFonts w:cs="Times New Roman"/>
                <w:szCs w:val="24"/>
                <w:lang w:val="sq-AL"/>
              </w:rPr>
            </w:pPr>
            <w:r w:rsidRPr="00F32E3B">
              <w:rPr>
                <w:rFonts w:eastAsia="MS Mincho" w:cs="Times New Roman"/>
                <w:iCs/>
                <w:szCs w:val="24"/>
              </w:rPr>
              <w:t>Roam Like At Hom</w:t>
            </w:r>
            <w:r>
              <w:rPr>
                <w:rFonts w:eastAsia="MS Mincho" w:cs="Times New Roman"/>
                <w:iCs/>
                <w:szCs w:val="24"/>
              </w:rPr>
              <w:t>e</w:t>
            </w:r>
          </w:p>
        </w:tc>
      </w:tr>
      <w:tr w:rsidR="009475CC" w:rsidRPr="009475CC" w14:paraId="02C146AC" w14:textId="77777777" w:rsidTr="000E3440">
        <w:tc>
          <w:tcPr>
            <w:tcW w:w="1705" w:type="dxa"/>
            <w:vAlign w:val="center"/>
          </w:tcPr>
          <w:p w14:paraId="7B3C12A1" w14:textId="7FB971A0" w:rsidR="009475CC" w:rsidRPr="00F32E3B" w:rsidRDefault="009475CC" w:rsidP="000E3440">
            <w:pPr>
              <w:spacing w:line="360" w:lineRule="auto"/>
              <w:rPr>
                <w:rFonts w:eastAsia="MS Mincho" w:cs="Times New Roman"/>
                <w:iCs/>
                <w:szCs w:val="24"/>
              </w:rPr>
            </w:pPr>
            <w:r w:rsidRPr="00FB36DA">
              <w:rPr>
                <w:rFonts w:cs="Times New Roman"/>
                <w:szCs w:val="24"/>
              </w:rPr>
              <w:t>SDP</w:t>
            </w:r>
          </w:p>
        </w:tc>
        <w:tc>
          <w:tcPr>
            <w:tcW w:w="7311" w:type="dxa"/>
            <w:vAlign w:val="center"/>
          </w:tcPr>
          <w:p w14:paraId="4AA3A36C" w14:textId="0E8DB50B" w:rsidR="009475CC" w:rsidRPr="009475CC" w:rsidRDefault="009475CC" w:rsidP="009475CC">
            <w:pPr>
              <w:rPr>
                <w:rFonts w:cs="Times New Roman"/>
                <w:szCs w:val="24"/>
                <w:lang w:val="sq-AL"/>
              </w:rPr>
            </w:pPr>
            <w:r w:rsidRPr="00FB36DA">
              <w:rPr>
                <w:rFonts w:cs="Times New Roman"/>
                <w:szCs w:val="24"/>
              </w:rPr>
              <w:t>Sektori i të Drejtave të Pasagjerëve</w:t>
            </w:r>
          </w:p>
        </w:tc>
      </w:tr>
      <w:tr w:rsidR="00BF45D7" w:rsidRPr="009475CC" w14:paraId="5AD5277A" w14:textId="77777777" w:rsidTr="000E3440">
        <w:tc>
          <w:tcPr>
            <w:tcW w:w="1705" w:type="dxa"/>
            <w:vAlign w:val="center"/>
          </w:tcPr>
          <w:p w14:paraId="5DAB2291" w14:textId="594F578C" w:rsidR="00BF45D7" w:rsidRPr="00FB36DA" w:rsidRDefault="00BF45D7" w:rsidP="000E3440">
            <w:pPr>
              <w:spacing w:line="360" w:lineRule="auto"/>
              <w:rPr>
                <w:rFonts w:cs="Times New Roman"/>
                <w:szCs w:val="24"/>
              </w:rPr>
            </w:pPr>
            <w:r>
              <w:rPr>
                <w:rFonts w:cs="Times New Roman"/>
                <w:szCs w:val="24"/>
              </w:rPr>
              <w:t>CEN/ CENELEC</w:t>
            </w:r>
          </w:p>
        </w:tc>
        <w:tc>
          <w:tcPr>
            <w:tcW w:w="7311" w:type="dxa"/>
            <w:vAlign w:val="center"/>
          </w:tcPr>
          <w:p w14:paraId="125BE6B4" w14:textId="77777777" w:rsidR="00A860DF" w:rsidRPr="00A860DF" w:rsidRDefault="00A860DF" w:rsidP="00A860DF">
            <w:pPr>
              <w:rPr>
                <w:rFonts w:cs="Times New Roman"/>
                <w:szCs w:val="24"/>
              </w:rPr>
            </w:pPr>
            <w:r w:rsidRPr="00A860DF">
              <w:rPr>
                <w:rFonts w:cs="Times New Roman"/>
                <w:szCs w:val="24"/>
              </w:rPr>
              <w:t>European Committee for Standardization</w:t>
            </w:r>
          </w:p>
          <w:p w14:paraId="0959F33D" w14:textId="05892817" w:rsidR="00BF45D7" w:rsidRPr="00FB36DA" w:rsidRDefault="00A860DF" w:rsidP="00A860DF">
            <w:pPr>
              <w:rPr>
                <w:rFonts w:cs="Times New Roman"/>
                <w:szCs w:val="24"/>
              </w:rPr>
            </w:pPr>
            <w:r w:rsidRPr="00A860DF">
              <w:rPr>
                <w:rFonts w:cs="Times New Roman"/>
                <w:szCs w:val="24"/>
              </w:rPr>
              <w:t>European Committee for Electrotechnical Standardization</w:t>
            </w:r>
          </w:p>
        </w:tc>
      </w:tr>
      <w:tr w:rsidR="00BF45D7" w:rsidRPr="009475CC" w14:paraId="5922C9A2" w14:textId="77777777" w:rsidTr="000E3440">
        <w:tc>
          <w:tcPr>
            <w:tcW w:w="1705" w:type="dxa"/>
            <w:vAlign w:val="center"/>
          </w:tcPr>
          <w:p w14:paraId="27F7092E" w14:textId="204A617A" w:rsidR="00BF45D7" w:rsidRDefault="00BF45D7" w:rsidP="000E3440">
            <w:pPr>
              <w:spacing w:line="360" w:lineRule="auto"/>
              <w:rPr>
                <w:rFonts w:cs="Times New Roman"/>
                <w:szCs w:val="24"/>
              </w:rPr>
            </w:pPr>
            <w:r>
              <w:rPr>
                <w:rFonts w:cs="Times New Roman"/>
                <w:szCs w:val="24"/>
              </w:rPr>
              <w:t>ISO/ IEC</w:t>
            </w:r>
          </w:p>
        </w:tc>
        <w:tc>
          <w:tcPr>
            <w:tcW w:w="7311" w:type="dxa"/>
            <w:vAlign w:val="center"/>
          </w:tcPr>
          <w:p w14:paraId="22D20C79" w14:textId="77777777" w:rsidR="005C7FCF" w:rsidRPr="005C7FCF" w:rsidRDefault="005C7FCF" w:rsidP="005C7FCF">
            <w:pPr>
              <w:rPr>
                <w:rFonts w:cs="Times New Roman"/>
                <w:szCs w:val="24"/>
              </w:rPr>
            </w:pPr>
            <w:r w:rsidRPr="005C7FCF">
              <w:rPr>
                <w:rFonts w:cs="Times New Roman"/>
                <w:szCs w:val="24"/>
              </w:rPr>
              <w:t>International Organization for Standardization</w:t>
            </w:r>
          </w:p>
          <w:p w14:paraId="4B2803B3" w14:textId="4A9116EA" w:rsidR="00BF45D7" w:rsidRPr="00FB36DA" w:rsidRDefault="005C7FCF" w:rsidP="005C7FCF">
            <w:pPr>
              <w:rPr>
                <w:rFonts w:cs="Times New Roman"/>
                <w:szCs w:val="24"/>
              </w:rPr>
            </w:pPr>
            <w:r w:rsidRPr="005C7FCF">
              <w:rPr>
                <w:rFonts w:cs="Times New Roman"/>
                <w:szCs w:val="24"/>
              </w:rPr>
              <w:t>International Organization for Standardization/International Electrotechnical Commission</w:t>
            </w:r>
          </w:p>
        </w:tc>
      </w:tr>
      <w:tr w:rsidR="00706A2E" w:rsidRPr="009475CC" w14:paraId="25E8EACE" w14:textId="77777777" w:rsidTr="000E3440">
        <w:tc>
          <w:tcPr>
            <w:tcW w:w="1705" w:type="dxa"/>
            <w:vAlign w:val="center"/>
          </w:tcPr>
          <w:p w14:paraId="152A7AED" w14:textId="378EB62A" w:rsidR="00706A2E" w:rsidRDefault="00B40EA6" w:rsidP="000E3440">
            <w:pPr>
              <w:spacing w:line="360" w:lineRule="auto"/>
              <w:rPr>
                <w:rFonts w:cs="Times New Roman"/>
                <w:szCs w:val="24"/>
              </w:rPr>
            </w:pPr>
            <w:r w:rsidRPr="009475CC">
              <w:rPr>
                <w:rFonts w:cs="Times New Roman"/>
                <w:szCs w:val="24"/>
                <w:lang w:val="sq-AL"/>
              </w:rPr>
              <w:t>BTSF</w:t>
            </w:r>
          </w:p>
        </w:tc>
        <w:tc>
          <w:tcPr>
            <w:tcW w:w="7311" w:type="dxa"/>
            <w:vAlign w:val="center"/>
          </w:tcPr>
          <w:p w14:paraId="19BA94BE" w14:textId="22563DAA" w:rsidR="00706A2E" w:rsidRPr="00FB36DA" w:rsidRDefault="00A860DF" w:rsidP="009475CC">
            <w:pPr>
              <w:rPr>
                <w:rFonts w:cs="Times New Roman"/>
                <w:szCs w:val="24"/>
              </w:rPr>
            </w:pPr>
            <w:r w:rsidRPr="00A860DF">
              <w:rPr>
                <w:rFonts w:cs="Times New Roman"/>
                <w:szCs w:val="24"/>
              </w:rPr>
              <w:t>Better Training for Safer Food (European Commission)</w:t>
            </w:r>
          </w:p>
        </w:tc>
      </w:tr>
      <w:tr w:rsidR="004D214D" w:rsidRPr="009475CC" w14:paraId="4B09F76B" w14:textId="77777777" w:rsidTr="000E3440">
        <w:tc>
          <w:tcPr>
            <w:tcW w:w="1705" w:type="dxa"/>
            <w:vAlign w:val="center"/>
          </w:tcPr>
          <w:p w14:paraId="7A7A6788" w14:textId="34D7818F" w:rsidR="004D214D" w:rsidRPr="009475CC" w:rsidRDefault="004D214D" w:rsidP="000E3440">
            <w:pPr>
              <w:spacing w:line="360" w:lineRule="auto"/>
              <w:rPr>
                <w:rFonts w:cs="Times New Roman"/>
                <w:szCs w:val="24"/>
                <w:lang w:val="sq-AL"/>
              </w:rPr>
            </w:pPr>
            <w:r>
              <w:rPr>
                <w:rFonts w:cs="Times New Roman"/>
                <w:szCs w:val="24"/>
                <w:lang w:val="sq-AL"/>
              </w:rPr>
              <w:t>RASFF</w:t>
            </w:r>
          </w:p>
        </w:tc>
        <w:tc>
          <w:tcPr>
            <w:tcW w:w="7311" w:type="dxa"/>
            <w:vAlign w:val="center"/>
          </w:tcPr>
          <w:p w14:paraId="44E2C770" w14:textId="6E79FB93" w:rsidR="004D214D" w:rsidRPr="00FB36DA" w:rsidRDefault="00CB4B7B" w:rsidP="009475CC">
            <w:pPr>
              <w:rPr>
                <w:rFonts w:cs="Times New Roman"/>
                <w:szCs w:val="24"/>
              </w:rPr>
            </w:pPr>
            <w:r w:rsidRPr="00CB4B7B">
              <w:rPr>
                <w:rFonts w:cs="Times New Roman"/>
                <w:szCs w:val="24"/>
              </w:rPr>
              <w:t xml:space="preserve"> Rapid Alert System for Food and Feed</w:t>
            </w:r>
          </w:p>
        </w:tc>
      </w:tr>
      <w:tr w:rsidR="004D214D" w:rsidRPr="009475CC" w14:paraId="118F8E9F" w14:textId="77777777" w:rsidTr="000E3440">
        <w:tc>
          <w:tcPr>
            <w:tcW w:w="1705" w:type="dxa"/>
            <w:vAlign w:val="center"/>
          </w:tcPr>
          <w:p w14:paraId="18D922F8" w14:textId="4B5F1346" w:rsidR="004D214D" w:rsidRDefault="004D214D" w:rsidP="000E3440">
            <w:pPr>
              <w:spacing w:line="360" w:lineRule="auto"/>
              <w:rPr>
                <w:rFonts w:cs="Times New Roman"/>
                <w:szCs w:val="24"/>
                <w:lang w:val="sq-AL"/>
              </w:rPr>
            </w:pPr>
            <w:r>
              <w:rPr>
                <w:rFonts w:cs="Times New Roman"/>
                <w:szCs w:val="24"/>
                <w:lang w:val="sq-AL"/>
              </w:rPr>
              <w:t>EFSA</w:t>
            </w:r>
          </w:p>
        </w:tc>
        <w:tc>
          <w:tcPr>
            <w:tcW w:w="7311" w:type="dxa"/>
            <w:vAlign w:val="center"/>
          </w:tcPr>
          <w:p w14:paraId="5D1F370B" w14:textId="75B5527B" w:rsidR="004D214D" w:rsidRPr="00FB36DA" w:rsidRDefault="00A860DF" w:rsidP="009475CC">
            <w:pPr>
              <w:rPr>
                <w:rFonts w:cs="Times New Roman"/>
                <w:szCs w:val="24"/>
              </w:rPr>
            </w:pPr>
            <w:r w:rsidRPr="00A860DF">
              <w:rPr>
                <w:rFonts w:cs="Times New Roman"/>
                <w:szCs w:val="24"/>
              </w:rPr>
              <w:t>European Food Safety Authority</w:t>
            </w:r>
          </w:p>
        </w:tc>
      </w:tr>
      <w:tr w:rsidR="004D214D" w:rsidRPr="009475CC" w14:paraId="3D3AEFCB" w14:textId="77777777" w:rsidTr="000E3440">
        <w:tc>
          <w:tcPr>
            <w:tcW w:w="1705" w:type="dxa"/>
            <w:vAlign w:val="center"/>
          </w:tcPr>
          <w:p w14:paraId="5C81CAD2" w14:textId="190E08B4" w:rsidR="004D214D" w:rsidRDefault="004D214D" w:rsidP="000E3440">
            <w:pPr>
              <w:spacing w:line="360" w:lineRule="auto"/>
              <w:rPr>
                <w:rFonts w:cs="Times New Roman"/>
                <w:szCs w:val="24"/>
                <w:lang w:val="sq-AL"/>
              </w:rPr>
            </w:pPr>
            <w:r>
              <w:rPr>
                <w:rFonts w:cs="Times New Roman"/>
                <w:szCs w:val="24"/>
                <w:lang w:val="sq-AL"/>
              </w:rPr>
              <w:t>TAIEX</w:t>
            </w:r>
          </w:p>
        </w:tc>
        <w:tc>
          <w:tcPr>
            <w:tcW w:w="7311" w:type="dxa"/>
            <w:vAlign w:val="center"/>
          </w:tcPr>
          <w:p w14:paraId="7A4ED47E" w14:textId="37C68F0B" w:rsidR="004D214D" w:rsidRPr="00FB36DA" w:rsidRDefault="00A860DF" w:rsidP="009475CC">
            <w:pPr>
              <w:rPr>
                <w:rFonts w:cs="Times New Roman"/>
                <w:szCs w:val="24"/>
              </w:rPr>
            </w:pPr>
            <w:r w:rsidRPr="00A860DF">
              <w:rPr>
                <w:rFonts w:cs="Times New Roman"/>
                <w:szCs w:val="24"/>
              </w:rPr>
              <w:t>Technical Assistance and Information Exchange instrument of the European Commission</w:t>
            </w:r>
          </w:p>
        </w:tc>
      </w:tr>
      <w:tr w:rsidR="00467638" w:rsidRPr="009475CC" w14:paraId="0D97BB6A" w14:textId="77777777" w:rsidTr="000E3440">
        <w:tc>
          <w:tcPr>
            <w:tcW w:w="1705" w:type="dxa"/>
            <w:vAlign w:val="center"/>
          </w:tcPr>
          <w:p w14:paraId="6DD73892" w14:textId="0CEE3E01" w:rsidR="00467638" w:rsidRDefault="00467638" w:rsidP="000E3440">
            <w:pPr>
              <w:spacing w:line="360" w:lineRule="auto"/>
              <w:rPr>
                <w:rFonts w:cs="Times New Roman"/>
                <w:szCs w:val="24"/>
                <w:lang w:val="sq-AL"/>
              </w:rPr>
            </w:pPr>
            <w:r w:rsidRPr="00855F1D">
              <w:t>MAS</w:t>
            </w:r>
          </w:p>
        </w:tc>
        <w:tc>
          <w:tcPr>
            <w:tcW w:w="7311" w:type="dxa"/>
            <w:vAlign w:val="center"/>
          </w:tcPr>
          <w:p w14:paraId="74A23352" w14:textId="061D3F08" w:rsidR="00467638" w:rsidRDefault="00467638" w:rsidP="009475CC">
            <w:pPr>
              <w:rPr>
                <w:rFonts w:cs="Times New Roman"/>
                <w:szCs w:val="24"/>
              </w:rPr>
            </w:pPr>
            <w:r>
              <w:rPr>
                <w:rFonts w:cs="Times New Roman"/>
                <w:szCs w:val="24"/>
              </w:rPr>
              <w:t>Ministria e Arsimit dhe Sporteve</w:t>
            </w:r>
          </w:p>
        </w:tc>
      </w:tr>
      <w:tr w:rsidR="00972897" w:rsidRPr="009475CC" w14:paraId="7C30B5A3" w14:textId="77777777" w:rsidTr="000E3440">
        <w:tc>
          <w:tcPr>
            <w:tcW w:w="1705" w:type="dxa"/>
            <w:vAlign w:val="center"/>
          </w:tcPr>
          <w:p w14:paraId="74E1A3E6" w14:textId="3504CFBC" w:rsidR="00972897" w:rsidRPr="009475CC" w:rsidRDefault="00104DCF" w:rsidP="000E3440">
            <w:pPr>
              <w:spacing w:line="360" w:lineRule="auto"/>
              <w:rPr>
                <w:bCs/>
                <w:lang w:val="sq-AL"/>
              </w:rPr>
            </w:pPr>
            <w:r w:rsidRPr="009475CC">
              <w:rPr>
                <w:rFonts w:cs="Times New Roman"/>
                <w:szCs w:val="24"/>
                <w:lang w:val="sq-AL"/>
              </w:rPr>
              <w:t>LVD</w:t>
            </w:r>
          </w:p>
        </w:tc>
        <w:tc>
          <w:tcPr>
            <w:tcW w:w="7311" w:type="dxa"/>
            <w:vAlign w:val="center"/>
          </w:tcPr>
          <w:p w14:paraId="0F599EE0" w14:textId="110AFF2A" w:rsidR="00972897" w:rsidRDefault="00DD4B1A" w:rsidP="009475CC">
            <w:pPr>
              <w:rPr>
                <w:rFonts w:cs="Times New Roman"/>
                <w:szCs w:val="24"/>
              </w:rPr>
            </w:pPr>
            <w:r>
              <w:rPr>
                <w:rFonts w:cs="Times New Roman"/>
                <w:szCs w:val="24"/>
              </w:rPr>
              <w:t>Direktiva e Tensionit t</w:t>
            </w:r>
            <w:r w:rsidR="006D61C0">
              <w:rPr>
                <w:rFonts w:cs="Times New Roman"/>
                <w:szCs w:val="24"/>
              </w:rPr>
              <w:t>ë</w:t>
            </w:r>
            <w:r>
              <w:rPr>
                <w:rFonts w:cs="Times New Roman"/>
                <w:szCs w:val="24"/>
              </w:rPr>
              <w:t xml:space="preserve"> ul</w:t>
            </w:r>
            <w:r w:rsidR="006D61C0">
              <w:rPr>
                <w:rFonts w:cs="Times New Roman"/>
                <w:szCs w:val="24"/>
              </w:rPr>
              <w:t>ë</w:t>
            </w:r>
            <w:r>
              <w:rPr>
                <w:rFonts w:cs="Times New Roman"/>
                <w:szCs w:val="24"/>
              </w:rPr>
              <w:t xml:space="preserve">t </w:t>
            </w:r>
          </w:p>
        </w:tc>
      </w:tr>
      <w:tr w:rsidR="00972897" w:rsidRPr="009475CC" w14:paraId="2D3BBEE0" w14:textId="77777777" w:rsidTr="000E3440">
        <w:tc>
          <w:tcPr>
            <w:tcW w:w="1705" w:type="dxa"/>
            <w:vAlign w:val="center"/>
          </w:tcPr>
          <w:p w14:paraId="73B52C3E" w14:textId="0AE4342F" w:rsidR="00972897" w:rsidRPr="009475CC" w:rsidRDefault="00C04034" w:rsidP="000E3440">
            <w:pPr>
              <w:spacing w:line="360" w:lineRule="auto"/>
              <w:rPr>
                <w:bCs/>
                <w:lang w:val="sq-AL"/>
              </w:rPr>
            </w:pPr>
            <w:r w:rsidRPr="009475CC">
              <w:rPr>
                <w:rFonts w:cs="Times New Roman"/>
                <w:szCs w:val="24"/>
                <w:lang w:val="sq-AL"/>
              </w:rPr>
              <w:t>FSHU</w:t>
            </w:r>
          </w:p>
        </w:tc>
        <w:tc>
          <w:tcPr>
            <w:tcW w:w="7311" w:type="dxa"/>
            <w:vAlign w:val="center"/>
          </w:tcPr>
          <w:p w14:paraId="086F3472" w14:textId="46B15C73" w:rsidR="00972897" w:rsidRDefault="00C04034" w:rsidP="009475CC">
            <w:pPr>
              <w:rPr>
                <w:rFonts w:cs="Times New Roman"/>
                <w:szCs w:val="24"/>
              </w:rPr>
            </w:pPr>
            <w:r w:rsidRPr="009475CC">
              <w:rPr>
                <w:rFonts w:cs="Times New Roman"/>
                <w:szCs w:val="24"/>
                <w:lang w:val="sq-AL"/>
              </w:rPr>
              <w:t>Furnizuesi</w:t>
            </w:r>
            <w:r>
              <w:rPr>
                <w:rFonts w:cs="Times New Roman"/>
                <w:szCs w:val="24"/>
                <w:lang w:val="sq-AL"/>
              </w:rPr>
              <w:t xml:space="preserve"> i</w:t>
            </w:r>
            <w:r w:rsidRPr="009475CC">
              <w:rPr>
                <w:rFonts w:cs="Times New Roman"/>
                <w:szCs w:val="24"/>
                <w:lang w:val="sq-AL"/>
              </w:rPr>
              <w:t xml:space="preserve"> Shërbimit Universal</w:t>
            </w:r>
          </w:p>
        </w:tc>
      </w:tr>
      <w:tr w:rsidR="00FF3E5D" w:rsidRPr="009475CC" w14:paraId="67D42224" w14:textId="77777777" w:rsidTr="000E3440">
        <w:tc>
          <w:tcPr>
            <w:tcW w:w="1705" w:type="dxa"/>
            <w:vAlign w:val="center"/>
          </w:tcPr>
          <w:p w14:paraId="77091336" w14:textId="27E0D335" w:rsidR="00FF3E5D" w:rsidRPr="009475CC" w:rsidRDefault="00FF3E5D" w:rsidP="000E3440">
            <w:pPr>
              <w:spacing w:line="360" w:lineRule="auto"/>
              <w:rPr>
                <w:rFonts w:cs="Times New Roman"/>
                <w:szCs w:val="24"/>
                <w:lang w:val="sq-AL"/>
              </w:rPr>
            </w:pPr>
            <w:r>
              <w:rPr>
                <w:rFonts w:cs="Times New Roman"/>
                <w:szCs w:val="24"/>
                <w:lang w:val="sq-AL"/>
              </w:rPr>
              <w:t>UK</w:t>
            </w:r>
          </w:p>
        </w:tc>
        <w:tc>
          <w:tcPr>
            <w:tcW w:w="7311" w:type="dxa"/>
            <w:vAlign w:val="center"/>
          </w:tcPr>
          <w:p w14:paraId="3232F455" w14:textId="670168C7" w:rsidR="00FF3E5D" w:rsidRPr="009475CC" w:rsidRDefault="00FF3E5D" w:rsidP="009475CC">
            <w:pPr>
              <w:rPr>
                <w:rFonts w:cs="Times New Roman"/>
                <w:szCs w:val="24"/>
                <w:lang w:val="sq-AL"/>
              </w:rPr>
            </w:pPr>
            <w:r>
              <w:rPr>
                <w:rFonts w:cs="Times New Roman"/>
                <w:szCs w:val="24"/>
                <w:lang w:val="sq-AL"/>
              </w:rPr>
              <w:t>Ujësjellës - kanalizime</w:t>
            </w:r>
          </w:p>
        </w:tc>
      </w:tr>
      <w:tr w:rsidR="006E44E7" w:rsidRPr="009475CC" w14:paraId="67AF7E6A" w14:textId="77777777" w:rsidTr="000E3440">
        <w:tc>
          <w:tcPr>
            <w:tcW w:w="1705" w:type="dxa"/>
            <w:vAlign w:val="center"/>
          </w:tcPr>
          <w:p w14:paraId="612A507E" w14:textId="63196556" w:rsidR="006E44E7" w:rsidRDefault="006E44E7" w:rsidP="000E3440">
            <w:pPr>
              <w:spacing w:line="360" w:lineRule="auto"/>
              <w:rPr>
                <w:rFonts w:cs="Times New Roman"/>
                <w:szCs w:val="24"/>
                <w:lang w:val="sq-AL"/>
              </w:rPr>
            </w:pPr>
            <w:r>
              <w:rPr>
                <w:rFonts w:cs="Times New Roman"/>
                <w:szCs w:val="24"/>
                <w:lang w:val="sq-AL"/>
              </w:rPr>
              <w:t>TIA</w:t>
            </w:r>
          </w:p>
        </w:tc>
        <w:tc>
          <w:tcPr>
            <w:tcW w:w="7311" w:type="dxa"/>
            <w:vAlign w:val="center"/>
          </w:tcPr>
          <w:p w14:paraId="2F5EECCF" w14:textId="28152D59" w:rsidR="006E44E7" w:rsidRDefault="006E44E7" w:rsidP="009475CC">
            <w:pPr>
              <w:rPr>
                <w:rFonts w:cs="Times New Roman"/>
                <w:szCs w:val="24"/>
                <w:lang w:val="sq-AL"/>
              </w:rPr>
            </w:pPr>
            <w:r>
              <w:rPr>
                <w:rFonts w:cs="Times New Roman"/>
                <w:szCs w:val="24"/>
                <w:lang w:val="sq-AL"/>
              </w:rPr>
              <w:t>Tirana International Airport</w:t>
            </w:r>
          </w:p>
        </w:tc>
      </w:tr>
    </w:tbl>
    <w:p w14:paraId="42DDD4AC" w14:textId="77777777" w:rsidR="00637880" w:rsidRPr="009475CC" w:rsidRDefault="00637880" w:rsidP="00126667">
      <w:pPr>
        <w:rPr>
          <w:rFonts w:cs="Times New Roman"/>
          <w:szCs w:val="24"/>
          <w:lang w:val="sq-AL"/>
        </w:rPr>
      </w:pPr>
    </w:p>
    <w:p w14:paraId="3CBCBEA2" w14:textId="77777777" w:rsidR="00A96C84" w:rsidRDefault="00A96C84" w:rsidP="00126667">
      <w:pPr>
        <w:rPr>
          <w:rFonts w:cs="Times New Roman"/>
          <w:szCs w:val="24"/>
          <w:lang w:val="sq-AL"/>
        </w:rPr>
        <w:sectPr w:rsidR="00A96C84">
          <w:pgSz w:w="11906" w:h="16838"/>
          <w:pgMar w:top="1440" w:right="1440" w:bottom="1440" w:left="1440" w:header="708" w:footer="708" w:gutter="0"/>
          <w:cols w:space="708"/>
          <w:docGrid w:linePitch="360"/>
        </w:sectPr>
      </w:pPr>
    </w:p>
    <w:p w14:paraId="1784B555" w14:textId="0291757E" w:rsidR="00082C54" w:rsidRPr="009475CC" w:rsidRDefault="00082C54" w:rsidP="007A3E00">
      <w:pPr>
        <w:pStyle w:val="Heading1"/>
        <w:numPr>
          <w:ilvl w:val="0"/>
          <w:numId w:val="0"/>
        </w:numPr>
      </w:pPr>
      <w:bookmarkStart w:id="1" w:name="_Toc130994970"/>
      <w:bookmarkStart w:id="2" w:name="_Toc132277316"/>
      <w:r w:rsidRPr="009475CC">
        <w:lastRenderedPageBreak/>
        <w:t>KONTEKSTI STRATEGJIK</w:t>
      </w:r>
      <w:bookmarkEnd w:id="1"/>
      <w:bookmarkEnd w:id="2"/>
    </w:p>
    <w:p w14:paraId="592D425D" w14:textId="77777777" w:rsidR="00082C54" w:rsidRDefault="00082C54" w:rsidP="00CD6F88">
      <w:pPr>
        <w:pStyle w:val="Heading2"/>
      </w:pPr>
      <w:bookmarkStart w:id="3" w:name="_Toc130994971"/>
      <w:bookmarkStart w:id="4" w:name="_Toc132277317"/>
      <w:r w:rsidRPr="009475CC">
        <w:t>Hyrje</w:t>
      </w:r>
      <w:bookmarkEnd w:id="3"/>
      <w:bookmarkEnd w:id="4"/>
    </w:p>
    <w:p w14:paraId="6362466C" w14:textId="77777777" w:rsidR="001054B4" w:rsidRPr="001054B4" w:rsidRDefault="001054B4" w:rsidP="001054B4">
      <w:pPr>
        <w:spacing w:after="0"/>
        <w:rPr>
          <w:lang w:val="sq-AL" w:eastAsia="zh-TW"/>
        </w:rPr>
      </w:pPr>
    </w:p>
    <w:p w14:paraId="3857C460" w14:textId="2EE7F258" w:rsidR="00082C54" w:rsidRPr="009475CC" w:rsidRDefault="00082C54" w:rsidP="00082C54">
      <w:pPr>
        <w:jc w:val="both"/>
        <w:rPr>
          <w:rFonts w:cs="Times New Roman"/>
          <w:szCs w:val="24"/>
          <w:lang w:val="sq-AL"/>
        </w:rPr>
      </w:pPr>
      <w:r w:rsidRPr="009475CC">
        <w:rPr>
          <w:rFonts w:cs="Times New Roman"/>
          <w:szCs w:val="24"/>
          <w:lang w:val="sq-AL"/>
        </w:rPr>
        <w:t xml:space="preserve">Strategjia </w:t>
      </w:r>
      <w:r w:rsidR="008B0B47">
        <w:rPr>
          <w:rFonts w:cs="Times New Roman"/>
          <w:szCs w:val="24"/>
          <w:lang w:val="sq-AL"/>
        </w:rPr>
        <w:t>Ndërs</w:t>
      </w:r>
      <w:r w:rsidRPr="009475CC">
        <w:rPr>
          <w:rFonts w:cs="Times New Roman"/>
          <w:szCs w:val="24"/>
          <w:lang w:val="sq-AL"/>
        </w:rPr>
        <w:t>e</w:t>
      </w:r>
      <w:r w:rsidR="008B0B47">
        <w:rPr>
          <w:rFonts w:cs="Times New Roman"/>
          <w:szCs w:val="24"/>
          <w:lang w:val="sq-AL"/>
        </w:rPr>
        <w:t>ktoriale “Për M</w:t>
      </w:r>
      <w:r w:rsidRPr="009475CC">
        <w:rPr>
          <w:rFonts w:cs="Times New Roman"/>
          <w:szCs w:val="24"/>
          <w:lang w:val="sq-AL"/>
        </w:rPr>
        <w:t>brojtje</w:t>
      </w:r>
      <w:r w:rsidR="008B0B47">
        <w:rPr>
          <w:rFonts w:cs="Times New Roman"/>
          <w:szCs w:val="24"/>
          <w:lang w:val="sq-AL"/>
        </w:rPr>
        <w:t>n e</w:t>
      </w:r>
      <w:r w:rsidRPr="009475CC">
        <w:rPr>
          <w:rFonts w:cs="Times New Roman"/>
          <w:szCs w:val="24"/>
          <w:lang w:val="sq-AL"/>
        </w:rPr>
        <w:t xml:space="preserve"> Konsumatorëve dhe Mbikqyrj</w:t>
      </w:r>
      <w:r w:rsidR="008B0B47">
        <w:rPr>
          <w:rFonts w:cs="Times New Roman"/>
          <w:szCs w:val="24"/>
          <w:lang w:val="sq-AL"/>
        </w:rPr>
        <w:t xml:space="preserve">en e </w:t>
      </w:r>
      <w:r w:rsidRPr="009475CC">
        <w:rPr>
          <w:rFonts w:cs="Times New Roman"/>
          <w:szCs w:val="24"/>
          <w:lang w:val="sq-AL"/>
        </w:rPr>
        <w:t>Tregut 2023-2030</w:t>
      </w:r>
      <w:r w:rsidR="008B0B47">
        <w:rPr>
          <w:rFonts w:cs="Times New Roman"/>
          <w:szCs w:val="24"/>
          <w:lang w:val="sq-AL"/>
        </w:rPr>
        <w:t>”</w:t>
      </w:r>
      <w:r w:rsidRPr="009475CC">
        <w:rPr>
          <w:rFonts w:cs="Times New Roman"/>
          <w:szCs w:val="24"/>
          <w:lang w:val="sq-AL"/>
        </w:rPr>
        <w:t xml:space="preserve"> është dokumenti politik i cili vendos në qendër të tij konsumatorët dhe synon fuqizimin e tyre për një rol aktiv në treg, duke ushtruar të drejtat dhe fuqinë e tyre të zgjedhjes së mirë</w:t>
      </w:r>
      <w:r w:rsidR="008B0B47">
        <w:rPr>
          <w:rFonts w:cs="Times New Roman"/>
          <w:szCs w:val="24"/>
          <w:lang w:val="sq-AL"/>
        </w:rPr>
        <w:t>-</w:t>
      </w:r>
      <w:r w:rsidRPr="009475CC">
        <w:rPr>
          <w:rFonts w:cs="Times New Roman"/>
          <w:szCs w:val="24"/>
          <w:lang w:val="sq-AL"/>
        </w:rPr>
        <w:t>informuar në blerjen e mallrave dhe shërbimeve.</w:t>
      </w:r>
    </w:p>
    <w:p w14:paraId="1A156182" w14:textId="3D926A9D" w:rsidR="00082C54" w:rsidRPr="009475CC" w:rsidRDefault="00082C54" w:rsidP="00082C54">
      <w:pPr>
        <w:jc w:val="both"/>
        <w:rPr>
          <w:rFonts w:cs="Times New Roman"/>
          <w:szCs w:val="24"/>
          <w:lang w:val="sq-AL"/>
        </w:rPr>
      </w:pPr>
      <w:r w:rsidRPr="009475CC">
        <w:rPr>
          <w:rFonts w:cs="Times New Roman"/>
          <w:szCs w:val="24"/>
          <w:lang w:val="sq-AL"/>
        </w:rPr>
        <w:t>Qeveria shqiptare është e përkushtuar ndaj synimeve të saj strategjike për integrimin e plotë të ekonomisë shqiptare në tregun e përbashkët të Bashkimit Evropian. Integrimi në BE rezulton në akses të hapur në tregun e më shumë se 500 milionë konsumatorëve, si dhe integrimin e ekonomisë shqiptare në tregtinë ndërkombëtare.</w:t>
      </w:r>
    </w:p>
    <w:p w14:paraId="414A6868" w14:textId="74FAB3BF" w:rsidR="00082C54" w:rsidRPr="009475CC" w:rsidRDefault="00082C54" w:rsidP="00082C54">
      <w:pPr>
        <w:jc w:val="both"/>
        <w:rPr>
          <w:rFonts w:cs="Times New Roman"/>
          <w:szCs w:val="24"/>
          <w:lang w:val="sq-AL"/>
        </w:rPr>
      </w:pPr>
      <w:r w:rsidRPr="009475CC">
        <w:rPr>
          <w:rFonts w:cs="Times New Roman"/>
          <w:szCs w:val="24"/>
          <w:lang w:val="sq-AL"/>
        </w:rPr>
        <w:t>Strategjia synon rritje, zhvillim të qëndrueshëm dhe gjithëpërfshirës. Politika të mirë-hartuara dhe të zbatuara për mbrojtjen e konsumatorëve i mundësojnë atyre të bëjnë zgjedhje të mirë-informuara, duke ndikuar pozitivisht në krijimin e një konkurrence të ndershme dhe rritje të qëndrueshme, forcimin e besimit të konsumatorëve në blerjen e mallrave dhe shërbimeve, me synim</w:t>
      </w:r>
      <w:r w:rsidR="00FB36DA">
        <w:rPr>
          <w:rFonts w:cs="Times New Roman"/>
          <w:szCs w:val="24"/>
          <w:lang w:val="sq-AL"/>
        </w:rPr>
        <w:t>in</w:t>
      </w:r>
      <w:r w:rsidRPr="009475CC">
        <w:rPr>
          <w:rFonts w:cs="Times New Roman"/>
          <w:szCs w:val="24"/>
          <w:lang w:val="sq-AL"/>
        </w:rPr>
        <w:t xml:space="preserve"> final konsumatorë të fuqizuar që luajnë një rol aktiv në treg. Rritja e aftësisë së konsumatorëve për blerje të mirë-informuara sjell padyshim rritjen e impaktit që ata kanë në forcimin e tregut funksional, nxitjen e inovacionit dhe rritje</w:t>
      </w:r>
      <w:r w:rsidR="008B0B47">
        <w:rPr>
          <w:rFonts w:cs="Times New Roman"/>
          <w:szCs w:val="24"/>
          <w:lang w:val="sq-AL"/>
        </w:rPr>
        <w:t>n</w:t>
      </w:r>
      <w:r w:rsidRPr="009475CC">
        <w:rPr>
          <w:rFonts w:cs="Times New Roman"/>
          <w:szCs w:val="24"/>
          <w:lang w:val="sq-AL"/>
        </w:rPr>
        <w:t xml:space="preserve"> ekonomike, duke rritur kërkesën për shumëllojshmëri dhe cilësi mallrash dhe shërbimesh me çmime konkurruese, hapjen e tregut dhe rritjen e punësimit.  </w:t>
      </w:r>
    </w:p>
    <w:p w14:paraId="75F8CE03" w14:textId="426D1826" w:rsidR="00082C54" w:rsidRPr="009475CC" w:rsidRDefault="00082C54" w:rsidP="00082C54">
      <w:pPr>
        <w:jc w:val="both"/>
        <w:rPr>
          <w:rFonts w:cs="Times New Roman"/>
          <w:szCs w:val="24"/>
          <w:lang w:val="sq-AL"/>
        </w:rPr>
      </w:pPr>
      <w:r w:rsidRPr="009475CC">
        <w:rPr>
          <w:rFonts w:cs="Times New Roman"/>
          <w:szCs w:val="24"/>
          <w:lang w:val="sq-AL"/>
        </w:rPr>
        <w:t xml:space="preserve">Fuqizimi i konsumatorëve nuk është vetëm një e drejtë, por </w:t>
      </w:r>
      <w:r w:rsidR="007B7707">
        <w:rPr>
          <w:rFonts w:cs="Times New Roman"/>
          <w:szCs w:val="24"/>
          <w:lang w:val="sq-AL"/>
        </w:rPr>
        <w:t xml:space="preserve">lidhet më së shumti </w:t>
      </w:r>
      <w:r w:rsidRPr="009475CC">
        <w:rPr>
          <w:rFonts w:cs="Times New Roman"/>
          <w:szCs w:val="24"/>
          <w:lang w:val="sq-AL"/>
        </w:rPr>
        <w:t xml:space="preserve"> me krijimin e një mjedisi të përgjithshëm që i mundëson atyre të shfrytëzojnë këto të drejta dhe të përfitojnë prej tyre, që do të thotë krijimin e një sistemi në të cilin ata mund të mbështeten dhe që u garanton sigurinë e mallrave dhe shërbimeve si dhe mbrojtjen efektive të interesave të tyre ekonomike</w:t>
      </w:r>
      <w:r w:rsidR="007B7707">
        <w:rPr>
          <w:rFonts w:cs="Times New Roman"/>
          <w:szCs w:val="24"/>
          <w:lang w:val="sq-AL"/>
        </w:rPr>
        <w:t>,</w:t>
      </w:r>
      <w:r w:rsidRPr="009475CC">
        <w:rPr>
          <w:rFonts w:cs="Times New Roman"/>
          <w:szCs w:val="24"/>
          <w:lang w:val="sq-AL"/>
        </w:rPr>
        <w:t xml:space="preserve"> kur këto vihen në rrezik. Garantimi i qarkullimit të lirë të produkteve të sigurta në treg me të njëjtat kërkesa teknike me ato evropiane</w:t>
      </w:r>
      <w:r w:rsidR="007B7707">
        <w:rPr>
          <w:rFonts w:cs="Times New Roman"/>
          <w:szCs w:val="24"/>
          <w:lang w:val="sq-AL"/>
        </w:rPr>
        <w:t>,</w:t>
      </w:r>
      <w:r w:rsidRPr="009475CC">
        <w:rPr>
          <w:rFonts w:cs="Times New Roman"/>
          <w:szCs w:val="24"/>
          <w:lang w:val="sq-AL"/>
        </w:rPr>
        <w:t xml:space="preserve"> qëndron në themel të politikave të konsumatorëve dhe një nga liritë themelore të përcaktuara në Traktatin e Funksionimit të BE</w:t>
      </w:r>
      <w:r w:rsidR="0022797D">
        <w:rPr>
          <w:rFonts w:cs="Times New Roman"/>
          <w:szCs w:val="24"/>
          <w:lang w:val="sq-AL"/>
        </w:rPr>
        <w:t>-së</w:t>
      </w:r>
      <w:r w:rsidRPr="009475CC">
        <w:rPr>
          <w:rFonts w:cs="Times New Roman"/>
          <w:szCs w:val="24"/>
          <w:lang w:val="sq-AL"/>
        </w:rPr>
        <w:t xml:space="preserve">. </w:t>
      </w:r>
      <w:r w:rsidR="0022797D">
        <w:rPr>
          <w:rFonts w:cs="Times New Roman"/>
          <w:szCs w:val="24"/>
          <w:lang w:val="sq-AL"/>
        </w:rPr>
        <w:t>R</w:t>
      </w:r>
      <w:r w:rsidRPr="009475CC">
        <w:rPr>
          <w:rFonts w:cs="Times New Roman"/>
          <w:szCs w:val="24"/>
          <w:lang w:val="sq-AL"/>
        </w:rPr>
        <w:t>ëni</w:t>
      </w:r>
      <w:r w:rsidR="0022797D">
        <w:rPr>
          <w:rFonts w:cs="Times New Roman"/>
          <w:szCs w:val="24"/>
          <w:lang w:val="sq-AL"/>
        </w:rPr>
        <w:t>a</w:t>
      </w:r>
      <w:r w:rsidRPr="009475CC">
        <w:rPr>
          <w:rFonts w:cs="Times New Roman"/>
          <w:szCs w:val="24"/>
          <w:lang w:val="sq-AL"/>
        </w:rPr>
        <w:t xml:space="preserve"> ekonomike, e kushtëzuar dukshëm  nga situata globale e </w:t>
      </w:r>
      <w:r w:rsidR="0022797D">
        <w:rPr>
          <w:rFonts w:cs="Times New Roman"/>
          <w:szCs w:val="24"/>
          <w:lang w:val="sq-AL"/>
        </w:rPr>
        <w:t>P</w:t>
      </w:r>
      <w:r w:rsidRPr="009475CC">
        <w:rPr>
          <w:rFonts w:cs="Times New Roman"/>
          <w:szCs w:val="24"/>
          <w:lang w:val="sq-AL"/>
        </w:rPr>
        <w:t xml:space="preserve">andemisë  Covid-19 dhe konfliktit që çoi në luftën midis Rusisë dhe Ukrainës, solli ndikim në shumë fusha të jetës së konsumatorëve, duke nxjerrë në pah edhe boshllëqe në kuadrin e mbrojtjes së konsumatorëve e duke theksuar njëkohësisht rëndësinë për rritjen e nivelit të mbrojtjes së tyre. </w:t>
      </w:r>
      <w:r w:rsidR="008B0B47">
        <w:rPr>
          <w:rFonts w:cs="Times New Roman"/>
          <w:szCs w:val="24"/>
          <w:lang w:val="sq-AL"/>
        </w:rPr>
        <w:t>H</w:t>
      </w:r>
      <w:r w:rsidRPr="009475CC">
        <w:rPr>
          <w:rFonts w:cs="Times New Roman"/>
          <w:szCs w:val="24"/>
          <w:lang w:val="sq-AL"/>
        </w:rPr>
        <w:t>artimi dhe zbatimi i një kuadri efektiv ligjor merr një rëndësi parësore në rritjen e besimit të konsumatorëve në treg, duke ndikuar në raportin kërkesë ofertë në treg, si motor i rigjenerimit të ekonomisë.</w:t>
      </w:r>
    </w:p>
    <w:p w14:paraId="65042D31" w14:textId="06DBEA30" w:rsidR="00082C54" w:rsidRPr="009475CC" w:rsidRDefault="00082C54" w:rsidP="00082C54">
      <w:pPr>
        <w:jc w:val="both"/>
        <w:rPr>
          <w:rFonts w:cs="Times New Roman"/>
          <w:szCs w:val="24"/>
          <w:lang w:val="sq-AL"/>
        </w:rPr>
      </w:pPr>
      <w:r w:rsidRPr="009475CC">
        <w:rPr>
          <w:rFonts w:cs="Times New Roman"/>
          <w:szCs w:val="24"/>
          <w:lang w:val="sq-AL"/>
        </w:rPr>
        <w:t>Kjo Strategji vjen në vijim të masave që përmbante strategjia e mëparshme e Mbrojtjes së Konsumatorëve dhe Mbikqyrjes së Tregut 2020, duke orientuar fushat që do të kenë më shumë vëmendje  deri në vitin 2030.</w:t>
      </w:r>
    </w:p>
    <w:p w14:paraId="6C46A46A" w14:textId="7B2A5193" w:rsidR="00082C54" w:rsidRPr="009475CC" w:rsidRDefault="00082C54" w:rsidP="00082C54">
      <w:pPr>
        <w:jc w:val="both"/>
        <w:rPr>
          <w:rFonts w:cs="Times New Roman"/>
          <w:szCs w:val="24"/>
          <w:lang w:val="sq-AL"/>
        </w:rPr>
      </w:pPr>
      <w:r w:rsidRPr="009475CC">
        <w:rPr>
          <w:rFonts w:cs="Times New Roman"/>
          <w:szCs w:val="24"/>
          <w:lang w:val="sq-AL"/>
        </w:rPr>
        <w:t>Strategjia</w:t>
      </w:r>
      <w:r w:rsidR="008B0B47">
        <w:rPr>
          <w:rFonts w:cs="Times New Roman"/>
          <w:szCs w:val="24"/>
          <w:lang w:val="sq-AL"/>
        </w:rPr>
        <w:t xml:space="preserve"> Ndërsektoriale “P</w:t>
      </w:r>
      <w:r w:rsidRPr="009475CC">
        <w:rPr>
          <w:rFonts w:cs="Times New Roman"/>
          <w:szCs w:val="24"/>
          <w:lang w:val="sq-AL"/>
        </w:rPr>
        <w:t>ër Mbrojtjen e Konsumatorëve dhe Mbikqyrjen e Tregut 2023-2030</w:t>
      </w:r>
      <w:r w:rsidR="008B0B47">
        <w:rPr>
          <w:rFonts w:cs="Times New Roman"/>
          <w:szCs w:val="24"/>
          <w:lang w:val="sq-AL"/>
        </w:rPr>
        <w:t>”</w:t>
      </w:r>
      <w:r w:rsidRPr="009475CC">
        <w:rPr>
          <w:rFonts w:cs="Times New Roman"/>
          <w:szCs w:val="24"/>
          <w:lang w:val="sq-AL"/>
        </w:rPr>
        <w:t xml:space="preserve"> është në përputhje me Programin e Qeverisë 2021-2025 dhe është pjesë përbërëse e Strategjisë Kombëtare për Zhvillim dhe Integrim. Ajo është në përputhje me parashikimet dhe parimet e Marrëveshjes së Stabilizim-Asocimit.</w:t>
      </w:r>
    </w:p>
    <w:p w14:paraId="6D1E5AC2" w14:textId="0B926416" w:rsidR="00082C54" w:rsidRPr="009475CC" w:rsidRDefault="00082C54" w:rsidP="00082C54">
      <w:pPr>
        <w:jc w:val="both"/>
        <w:rPr>
          <w:rFonts w:cs="Times New Roman"/>
          <w:szCs w:val="24"/>
          <w:lang w:val="sq-AL"/>
        </w:rPr>
      </w:pPr>
      <w:r w:rsidRPr="009475CC">
        <w:rPr>
          <w:rFonts w:cs="Times New Roman"/>
          <w:szCs w:val="24"/>
          <w:lang w:val="sq-AL"/>
        </w:rPr>
        <w:lastRenderedPageBreak/>
        <w:t>Ky dokument strategik përbëhet nga tre shtylla  kryesore</w:t>
      </w:r>
      <w:r w:rsidR="008B0B47">
        <w:rPr>
          <w:rFonts w:cs="Times New Roman"/>
          <w:szCs w:val="24"/>
          <w:lang w:val="sq-AL"/>
        </w:rPr>
        <w:t xml:space="preserve"> që përfshijnë </w:t>
      </w:r>
      <w:r w:rsidRPr="009475CC">
        <w:rPr>
          <w:rFonts w:cs="Times New Roman"/>
          <w:szCs w:val="24"/>
          <w:lang w:val="sq-AL"/>
        </w:rPr>
        <w:t xml:space="preserve">çështjet </w:t>
      </w:r>
      <w:r w:rsidR="008B0B47">
        <w:rPr>
          <w:rFonts w:cs="Times New Roman"/>
          <w:szCs w:val="24"/>
          <w:lang w:val="sq-AL"/>
        </w:rPr>
        <w:t>kry</w:t>
      </w:r>
      <w:r w:rsidRPr="009475CC">
        <w:rPr>
          <w:rFonts w:cs="Times New Roman"/>
          <w:szCs w:val="24"/>
          <w:lang w:val="sq-AL"/>
        </w:rPr>
        <w:t>e</w:t>
      </w:r>
      <w:r w:rsidR="008B0B47">
        <w:rPr>
          <w:rFonts w:cs="Times New Roman"/>
          <w:szCs w:val="24"/>
          <w:lang w:val="sq-AL"/>
        </w:rPr>
        <w:t>sore të</w:t>
      </w:r>
      <w:r w:rsidRPr="009475CC">
        <w:rPr>
          <w:rFonts w:cs="Times New Roman"/>
          <w:szCs w:val="24"/>
          <w:lang w:val="sq-AL"/>
        </w:rPr>
        <w:t xml:space="preserve">  mbrojtjes së konsumatorëve dhe mbikqyrje</w:t>
      </w:r>
      <w:r w:rsidR="008B0B47">
        <w:rPr>
          <w:rFonts w:cs="Times New Roman"/>
          <w:szCs w:val="24"/>
          <w:lang w:val="sq-AL"/>
        </w:rPr>
        <w:t>s</w:t>
      </w:r>
      <w:r w:rsidRPr="009475CC">
        <w:rPr>
          <w:rFonts w:cs="Times New Roman"/>
          <w:szCs w:val="24"/>
          <w:lang w:val="sq-AL"/>
        </w:rPr>
        <w:t xml:space="preserve"> </w:t>
      </w:r>
      <w:r w:rsidR="008B0B47">
        <w:rPr>
          <w:rFonts w:cs="Times New Roman"/>
          <w:szCs w:val="24"/>
          <w:lang w:val="sq-AL"/>
        </w:rPr>
        <w:t>së</w:t>
      </w:r>
      <w:r w:rsidRPr="009475CC">
        <w:rPr>
          <w:rFonts w:cs="Times New Roman"/>
          <w:szCs w:val="24"/>
          <w:lang w:val="sq-AL"/>
        </w:rPr>
        <w:t xml:space="preserve"> tregut 2023-2030:</w:t>
      </w:r>
    </w:p>
    <w:p w14:paraId="408CC62D" w14:textId="4AA7ECB5" w:rsidR="00082C54" w:rsidRPr="009475CC" w:rsidRDefault="00082C54" w:rsidP="009475CC">
      <w:pPr>
        <w:shd w:val="clear" w:color="auto" w:fill="FFFFFF" w:themeFill="background1"/>
        <w:jc w:val="both"/>
        <w:rPr>
          <w:rFonts w:cs="Times New Roman"/>
          <w:i/>
          <w:szCs w:val="24"/>
          <w:lang w:val="sq-AL"/>
        </w:rPr>
      </w:pPr>
      <w:r w:rsidRPr="009475CC">
        <w:rPr>
          <w:rFonts w:cs="Times New Roman"/>
          <w:szCs w:val="24"/>
          <w:lang w:val="sq-AL"/>
        </w:rPr>
        <w:t>I</w:t>
      </w:r>
      <w:r w:rsidRPr="009475CC">
        <w:rPr>
          <w:rFonts w:cs="Times New Roman"/>
          <w:b/>
          <w:szCs w:val="24"/>
          <w:lang w:val="sq-AL"/>
        </w:rPr>
        <w:t xml:space="preserve">. </w:t>
      </w:r>
      <w:r w:rsidRPr="009475CC">
        <w:rPr>
          <w:rFonts w:cs="Times New Roman"/>
          <w:b/>
          <w:i/>
          <w:szCs w:val="24"/>
          <w:lang w:val="sq-AL"/>
        </w:rPr>
        <w:t>Siguria e produkteve</w:t>
      </w:r>
      <w:r w:rsidR="008B0B47">
        <w:rPr>
          <w:rFonts w:cs="Times New Roman"/>
          <w:b/>
          <w:i/>
          <w:szCs w:val="24"/>
          <w:lang w:val="sq-AL"/>
        </w:rPr>
        <w:t xml:space="preserve">, </w:t>
      </w:r>
      <w:r w:rsidR="008B0B47">
        <w:rPr>
          <w:rFonts w:cs="Times New Roman"/>
          <w:bCs/>
          <w:iCs/>
          <w:szCs w:val="24"/>
          <w:lang w:val="sq-AL"/>
        </w:rPr>
        <w:t>ku përfshihen: siguria e produkteve</w:t>
      </w:r>
      <w:r w:rsidRPr="009475CC">
        <w:rPr>
          <w:rFonts w:cs="Times New Roman"/>
          <w:i/>
          <w:szCs w:val="24"/>
          <w:lang w:val="sq-AL"/>
        </w:rPr>
        <w:t xml:space="preserve"> </w:t>
      </w:r>
      <w:r w:rsidRPr="009475CC">
        <w:rPr>
          <w:rFonts w:cs="Times New Roman"/>
          <w:szCs w:val="24"/>
          <w:lang w:val="sq-AL"/>
        </w:rPr>
        <w:t>ushqimore dhe e produkteve jo-ushqimore; barnat për përdorim njerëzor; kozmetika; fusha e infrastrukturës së cilësisë; mbikqyrja e tregut etj.</w:t>
      </w:r>
    </w:p>
    <w:p w14:paraId="739B965E" w14:textId="47E4200F" w:rsidR="00082C54" w:rsidRPr="009475CC" w:rsidRDefault="00082C54" w:rsidP="009475CC">
      <w:pPr>
        <w:shd w:val="clear" w:color="auto" w:fill="FFFFFF" w:themeFill="background1"/>
        <w:jc w:val="both"/>
        <w:rPr>
          <w:rFonts w:cs="Times New Roman"/>
          <w:szCs w:val="24"/>
          <w:lang w:val="sq-AL"/>
        </w:rPr>
      </w:pPr>
      <w:r w:rsidRPr="009475CC">
        <w:rPr>
          <w:rFonts w:cs="Times New Roman"/>
          <w:szCs w:val="24"/>
          <w:lang w:val="sq-AL"/>
        </w:rPr>
        <w:t xml:space="preserve">II. </w:t>
      </w:r>
      <w:r w:rsidRPr="009475CC">
        <w:rPr>
          <w:rFonts w:cs="Times New Roman"/>
          <w:b/>
          <w:i/>
          <w:szCs w:val="24"/>
          <w:lang w:val="sq-AL"/>
        </w:rPr>
        <w:t>Çështje të mbrojtjes së konsumatorëve që nuk lidhen me aspektet e sigurisë</w:t>
      </w:r>
      <w:r w:rsidRPr="009475CC">
        <w:rPr>
          <w:rFonts w:cs="Times New Roman"/>
          <w:szCs w:val="24"/>
          <w:lang w:val="sq-AL"/>
        </w:rPr>
        <w:t xml:space="preserve"> (interesat ekonomike)</w:t>
      </w:r>
      <w:r w:rsidR="008B0B47">
        <w:rPr>
          <w:rFonts w:cs="Times New Roman"/>
          <w:szCs w:val="24"/>
          <w:lang w:val="sq-AL"/>
        </w:rPr>
        <w:t>, ku përfshihen</w:t>
      </w:r>
      <w:r w:rsidRPr="009475CC">
        <w:rPr>
          <w:rFonts w:cs="Times New Roman"/>
          <w:szCs w:val="24"/>
          <w:lang w:val="sq-AL"/>
        </w:rPr>
        <w:t xml:space="preserve">: praktikat tregtare; zbatimi i të drejtave të konsumatorëve; kushtet e padrejta në kontrata, zgjidhja alternative dhe online e mosmarrëveshjeve; mjedisi; turizmi; digjitalizimi etj. </w:t>
      </w:r>
    </w:p>
    <w:p w14:paraId="32E4952D" w14:textId="13803EAF" w:rsidR="00082C54" w:rsidRDefault="00082C54" w:rsidP="009475CC">
      <w:pPr>
        <w:shd w:val="clear" w:color="auto" w:fill="FFFFFF" w:themeFill="background1"/>
        <w:jc w:val="both"/>
        <w:rPr>
          <w:rFonts w:cs="Times New Roman"/>
          <w:szCs w:val="24"/>
          <w:lang w:val="sq-AL"/>
        </w:rPr>
      </w:pPr>
      <w:r w:rsidRPr="009475CC">
        <w:rPr>
          <w:rFonts w:cs="Times New Roman"/>
          <w:szCs w:val="24"/>
          <w:lang w:val="sq-AL"/>
        </w:rPr>
        <w:t xml:space="preserve">III. </w:t>
      </w:r>
      <w:r w:rsidRPr="009475CC">
        <w:rPr>
          <w:rFonts w:cs="Times New Roman"/>
          <w:b/>
          <w:i/>
          <w:szCs w:val="24"/>
          <w:lang w:val="sq-AL"/>
        </w:rPr>
        <w:t>Informimi dhe ndërgjegjësimi</w:t>
      </w:r>
      <w:r w:rsidRPr="009475CC">
        <w:rPr>
          <w:rFonts w:cs="Times New Roman"/>
          <w:b/>
          <w:szCs w:val="24"/>
          <w:lang w:val="sq-AL"/>
        </w:rPr>
        <w:t xml:space="preserve"> i konsumatorëve </w:t>
      </w:r>
      <w:r w:rsidRPr="009475CC">
        <w:rPr>
          <w:rFonts w:cs="Times New Roman"/>
          <w:szCs w:val="24"/>
          <w:lang w:val="sq-AL"/>
        </w:rPr>
        <w:t>dhe i subjekteve, si dhe bashkëpunimi ndërinstitucional dhe me të gjithë aktorët e tjerë: organizatat e konsumatorëve, shoqëria civile, biznesi, akademikët</w:t>
      </w:r>
      <w:r w:rsidR="008B0B47">
        <w:rPr>
          <w:rFonts w:cs="Times New Roman"/>
          <w:szCs w:val="24"/>
          <w:lang w:val="sq-AL"/>
        </w:rPr>
        <w:t xml:space="preserve"> etj</w:t>
      </w:r>
      <w:r w:rsidRPr="009475CC">
        <w:rPr>
          <w:rFonts w:cs="Times New Roman"/>
          <w:szCs w:val="24"/>
          <w:lang w:val="sq-AL"/>
        </w:rPr>
        <w:t>.</w:t>
      </w:r>
    </w:p>
    <w:p w14:paraId="7AFDB97F" w14:textId="11F3947D" w:rsidR="0022797D" w:rsidRPr="00437686" w:rsidRDefault="00591D77" w:rsidP="00623352">
      <w:pPr>
        <w:pStyle w:val="Heading1"/>
        <w:numPr>
          <w:ilvl w:val="0"/>
          <w:numId w:val="29"/>
        </w:numPr>
      </w:pPr>
      <w:bookmarkStart w:id="5" w:name="_Toc130994972"/>
      <w:bookmarkStart w:id="6" w:name="_Toc132277318"/>
      <w:r w:rsidRPr="00437686">
        <w:t>KAPITULLI I: SITUATA AKTUALE</w:t>
      </w:r>
      <w:bookmarkEnd w:id="5"/>
      <w:bookmarkEnd w:id="6"/>
    </w:p>
    <w:p w14:paraId="3238267F" w14:textId="11BD2F0C" w:rsidR="0022797D" w:rsidRPr="00B03832" w:rsidRDefault="009F49BA" w:rsidP="00CD6F88">
      <w:pPr>
        <w:pStyle w:val="Heading2"/>
      </w:pPr>
      <w:bookmarkStart w:id="7" w:name="_Toc130994973"/>
      <w:bookmarkStart w:id="8" w:name="_Toc132277319"/>
      <w:r w:rsidRPr="00B03832">
        <w:t xml:space="preserve">I.1 </w:t>
      </w:r>
      <w:r w:rsidR="0022797D" w:rsidRPr="00B03832">
        <w:t>Shtylla I</w:t>
      </w:r>
      <w:r w:rsidR="007B7707">
        <w:t>:</w:t>
      </w:r>
      <w:r w:rsidR="0022797D" w:rsidRPr="00B03832">
        <w:t xml:space="preserve"> Siguria e produkteve ushqimore dhe e produkteve jo-ushqimore</w:t>
      </w:r>
      <w:bookmarkEnd w:id="7"/>
      <w:bookmarkEnd w:id="8"/>
    </w:p>
    <w:p w14:paraId="2D1B5FB0" w14:textId="63D5B84C" w:rsidR="00E22766" w:rsidRPr="00430E69" w:rsidRDefault="00122EFD" w:rsidP="00623352">
      <w:pPr>
        <w:pStyle w:val="Heading3"/>
      </w:pPr>
      <w:bookmarkStart w:id="9" w:name="_Toc130994974"/>
      <w:bookmarkStart w:id="10" w:name="_Toc132277320"/>
      <w:r w:rsidRPr="00430E69">
        <w:t>Siguria e produkteve ushqimore</w:t>
      </w:r>
      <w:bookmarkEnd w:id="9"/>
      <w:bookmarkEnd w:id="10"/>
    </w:p>
    <w:p w14:paraId="28D83BED" w14:textId="5A7AE8D6" w:rsidR="00430E69" w:rsidRPr="009475CC" w:rsidRDefault="00E22766" w:rsidP="00430E69">
      <w:pPr>
        <w:jc w:val="both"/>
        <w:rPr>
          <w:rFonts w:cs="Times New Roman"/>
          <w:szCs w:val="24"/>
          <w:lang w:val="sq-AL"/>
        </w:rPr>
      </w:pPr>
      <w:r w:rsidRPr="009475CC">
        <w:rPr>
          <w:rFonts w:cs="Times New Roman"/>
          <w:szCs w:val="24"/>
          <w:lang w:val="sq-AL"/>
        </w:rPr>
        <w:t>Shqipëria synon të ndjekë një qasj</w:t>
      </w:r>
      <w:r w:rsidR="0022797D">
        <w:rPr>
          <w:rFonts w:cs="Times New Roman"/>
          <w:szCs w:val="24"/>
          <w:lang w:val="sq-AL"/>
        </w:rPr>
        <w:t>e</w:t>
      </w:r>
      <w:r w:rsidRPr="009475CC">
        <w:rPr>
          <w:rFonts w:cs="Times New Roman"/>
          <w:szCs w:val="24"/>
          <w:lang w:val="sq-AL"/>
        </w:rPr>
        <w:t xml:space="preserve"> të integruar me Bashkimin Evropian në fushën e sigurisë ushqimore që ka për qëllim të sigurojë një nivel të lartë të sigurisë ushqimore nëpërmjet masave koherente dhe monitorimit të përshtatshëm nga ferma në tavolinë, duke siguruar funksionimin efektiv të tregut të brendshëm dhe eksportin e produkteve ushqimore shqiptare në tregun evropian dhe më gjerë.</w:t>
      </w:r>
    </w:p>
    <w:p w14:paraId="1A0DBB74" w14:textId="54C12B1D" w:rsidR="00E22766" w:rsidRPr="009475CC" w:rsidRDefault="00E22766" w:rsidP="00430E69">
      <w:pPr>
        <w:jc w:val="both"/>
        <w:rPr>
          <w:rFonts w:cs="Times New Roman"/>
          <w:szCs w:val="24"/>
          <w:lang w:val="sq-AL"/>
        </w:rPr>
      </w:pPr>
      <w:r w:rsidRPr="009475CC">
        <w:rPr>
          <w:rFonts w:cs="Times New Roman"/>
          <w:szCs w:val="24"/>
          <w:lang w:val="sq-AL"/>
        </w:rPr>
        <w:t>Objektivi strategjik i Ministrisë së Bujqësisë dhe Zhvillimit Rural është garantimi në shkallën më të lartë të shëndetit të konsumatorëve shqiptar</w:t>
      </w:r>
      <w:r w:rsidR="0093142A">
        <w:rPr>
          <w:rFonts w:cs="Times New Roman"/>
          <w:szCs w:val="24"/>
          <w:lang w:val="sq-AL"/>
        </w:rPr>
        <w:t>ë</w:t>
      </w:r>
      <w:r w:rsidRPr="009475CC">
        <w:rPr>
          <w:rFonts w:cs="Times New Roman"/>
          <w:szCs w:val="24"/>
          <w:lang w:val="sq-AL"/>
        </w:rPr>
        <w:t xml:space="preserve"> dhe përmirësimin e sistemit të mbikqyrjes dhe garantimit të sigurisë ushqimore. Ky sistem do të shërbejë për mbrojtjen e shëndetit të konsumatorëve nga sëmundjet/</w:t>
      </w:r>
      <w:r w:rsidR="00027F29">
        <w:rPr>
          <w:rFonts w:cs="Times New Roman"/>
          <w:szCs w:val="24"/>
          <w:lang w:val="sq-AL"/>
        </w:rPr>
        <w:t xml:space="preserve"> </w:t>
      </w:r>
      <w:r w:rsidRPr="009475CC">
        <w:rPr>
          <w:rFonts w:cs="Times New Roman"/>
          <w:szCs w:val="24"/>
          <w:lang w:val="sq-AL"/>
        </w:rPr>
        <w:t>dëmtimet si pasojë e konsumit të produkteve ushqimore me origjinë bimore ose shtazore. Nga ana tjetër do të garantoj</w:t>
      </w:r>
      <w:r w:rsidR="0093142A">
        <w:rPr>
          <w:rFonts w:cs="Times New Roman"/>
          <w:szCs w:val="24"/>
          <w:lang w:val="sq-AL"/>
        </w:rPr>
        <w:t>ë</w:t>
      </w:r>
      <w:r w:rsidRPr="009475CC">
        <w:rPr>
          <w:rFonts w:cs="Times New Roman"/>
          <w:szCs w:val="24"/>
          <w:lang w:val="sq-AL"/>
        </w:rPr>
        <w:t xml:space="preserve"> dhe një konkurrencë të ndershme në treg të operatorëve të biznesit ushqimor.</w:t>
      </w:r>
    </w:p>
    <w:p w14:paraId="1BDD02AC" w14:textId="3A896270" w:rsidR="00E22766" w:rsidRPr="009475CC" w:rsidRDefault="00E22766" w:rsidP="00430E69">
      <w:pPr>
        <w:jc w:val="both"/>
        <w:rPr>
          <w:rFonts w:cs="Times New Roman"/>
          <w:szCs w:val="24"/>
          <w:lang w:val="sq-AL"/>
        </w:rPr>
      </w:pPr>
      <w:r w:rsidRPr="009475CC">
        <w:rPr>
          <w:rFonts w:cs="Times New Roman"/>
          <w:szCs w:val="24"/>
          <w:lang w:val="sq-AL"/>
        </w:rPr>
        <w:t>Vizioni, prioritetet dhe qëllimet strategjike synojnë fuqizimin e një sistemi me funksionim të plotë të sigurisë ushqimore dhe të mbrojtjes së konsumatorit, nga ferma në tavolinë, që mbulon të gjithë vendin si dhe monitorim dhe kontroll modern në përputhje me standardet e BE-së. Rëndësia e vendosjes së politikës ushqimore dhe të ushqyerit si një synim kyç i politikës së zhvillimit është një objektiv strategjik dhe reflekton trendet globale dhe vendore. Çdo hallkë e vetme e zinxhirit duhet të jetë shumë e fortë në rast se synohet që shëndeti i konsumator</w:t>
      </w:r>
      <w:r w:rsidR="0093142A">
        <w:rPr>
          <w:rFonts w:cs="Times New Roman"/>
          <w:szCs w:val="24"/>
          <w:lang w:val="sq-AL"/>
        </w:rPr>
        <w:t>ëve</w:t>
      </w:r>
      <w:r w:rsidRPr="009475CC">
        <w:rPr>
          <w:rFonts w:cs="Times New Roman"/>
          <w:szCs w:val="24"/>
          <w:lang w:val="sq-AL"/>
        </w:rPr>
        <w:t xml:space="preserve"> të jetë plotësisht i mbrojtur.</w:t>
      </w:r>
    </w:p>
    <w:p w14:paraId="08BC3670" w14:textId="33BC51A4" w:rsidR="00E22766" w:rsidRPr="009475CC" w:rsidRDefault="00E22766" w:rsidP="00430E69">
      <w:pPr>
        <w:jc w:val="both"/>
        <w:rPr>
          <w:rFonts w:cs="Times New Roman"/>
          <w:szCs w:val="24"/>
          <w:lang w:val="sq-AL"/>
        </w:rPr>
      </w:pPr>
      <w:r w:rsidRPr="009475CC">
        <w:rPr>
          <w:rFonts w:cs="Times New Roman"/>
          <w:szCs w:val="24"/>
          <w:lang w:val="sq-AL"/>
        </w:rPr>
        <w:t>Ky parim ësht</w:t>
      </w:r>
      <w:r w:rsidR="0093142A">
        <w:rPr>
          <w:rFonts w:cs="Times New Roman"/>
          <w:szCs w:val="24"/>
          <w:lang w:val="sq-AL"/>
        </w:rPr>
        <w:t>ë</w:t>
      </w:r>
      <w:r w:rsidRPr="009475CC">
        <w:rPr>
          <w:rFonts w:cs="Times New Roman"/>
          <w:szCs w:val="24"/>
          <w:lang w:val="sq-AL"/>
        </w:rPr>
        <w:t xml:space="preserve"> i vlefshëm pavarësisht nga fakti nëse ushqimet prodhohen në Shqipëri apo importohen nga v</w:t>
      </w:r>
      <w:r w:rsidR="0093142A">
        <w:rPr>
          <w:rFonts w:cs="Times New Roman"/>
          <w:szCs w:val="24"/>
          <w:lang w:val="sq-AL"/>
        </w:rPr>
        <w:t>e</w:t>
      </w:r>
      <w:r w:rsidRPr="009475CC">
        <w:rPr>
          <w:rFonts w:cs="Times New Roman"/>
          <w:szCs w:val="24"/>
          <w:lang w:val="sq-AL"/>
        </w:rPr>
        <w:t xml:space="preserve">nde të tjera. Për këtë arsye Qeveria </w:t>
      </w:r>
      <w:r w:rsidR="0093142A">
        <w:rPr>
          <w:rFonts w:cs="Times New Roman"/>
          <w:szCs w:val="24"/>
          <w:lang w:val="sq-AL"/>
        </w:rPr>
        <w:t>S</w:t>
      </w:r>
      <w:r w:rsidRPr="009475CC">
        <w:rPr>
          <w:rFonts w:cs="Times New Roman"/>
          <w:szCs w:val="24"/>
          <w:lang w:val="sq-AL"/>
        </w:rPr>
        <w:t>hqiptare do të ketë në vëmendjen e saj forcimin e kontrollit dhe të monitorimit të ushqimeve që tregtohen në tregun shqiptar të destinuara për konsum human si dhe të ushqimeve që përdoren për kafshë.</w:t>
      </w:r>
    </w:p>
    <w:p w14:paraId="378111C6" w14:textId="04E13148" w:rsidR="00E22766" w:rsidRPr="009475CC" w:rsidRDefault="00E22766" w:rsidP="00430E69">
      <w:pPr>
        <w:jc w:val="both"/>
        <w:rPr>
          <w:rFonts w:cs="Times New Roman"/>
          <w:szCs w:val="24"/>
          <w:lang w:val="sq-AL"/>
        </w:rPr>
      </w:pPr>
      <w:r w:rsidRPr="009475CC">
        <w:rPr>
          <w:rFonts w:cs="Times New Roman"/>
          <w:szCs w:val="24"/>
          <w:lang w:val="sq-AL"/>
        </w:rPr>
        <w:t>Qeveria shqiptare i konsideron politikat për sigurinë ushqimore dhe mbrojtjen e konsumatorit si një prioritet i rëndësishëm. Këto politika janë nën përgjegjësinë e MBZHR</w:t>
      </w:r>
      <w:r w:rsidR="00027F29">
        <w:rPr>
          <w:rFonts w:cs="Times New Roman"/>
          <w:szCs w:val="24"/>
          <w:lang w:val="sq-AL"/>
        </w:rPr>
        <w:t xml:space="preserve">-së </w:t>
      </w:r>
      <w:r w:rsidRPr="009475CC">
        <w:rPr>
          <w:rFonts w:cs="Times New Roman"/>
          <w:szCs w:val="24"/>
          <w:lang w:val="sq-AL"/>
        </w:rPr>
        <w:t xml:space="preserve">e cila është përgjegjëse për krijimin e kuadrit ligjor dhe koordinimin e harmonizimit të legjislacionit me </w:t>
      </w:r>
      <w:r w:rsidRPr="009475CC">
        <w:rPr>
          <w:rFonts w:cs="Times New Roman"/>
          <w:szCs w:val="24"/>
          <w:lang w:val="sq-AL"/>
        </w:rPr>
        <w:lastRenderedPageBreak/>
        <w:t xml:space="preserve">kuadrin ligjor të BE-së si dhe të strategjisë për zbatimin e këtyre politikave dhe legjislacionit në këtë fushë. </w:t>
      </w:r>
    </w:p>
    <w:p w14:paraId="6D939D69" w14:textId="4EE85673" w:rsidR="00E22766" w:rsidRPr="009475CC" w:rsidRDefault="00E22766" w:rsidP="00430E69">
      <w:pPr>
        <w:jc w:val="both"/>
        <w:rPr>
          <w:rFonts w:cs="Times New Roman"/>
          <w:szCs w:val="24"/>
          <w:lang w:val="sq-AL"/>
        </w:rPr>
      </w:pPr>
      <w:r w:rsidRPr="009475CC">
        <w:rPr>
          <w:rFonts w:cs="Times New Roman"/>
          <w:szCs w:val="24"/>
          <w:lang w:val="sq-AL"/>
        </w:rPr>
        <w:t xml:space="preserve">Si vend kandidat për anëtarësim të plotë në BE, Shqipëria është e angazhuar për të </w:t>
      </w:r>
      <w:r w:rsidR="007B7707">
        <w:rPr>
          <w:rFonts w:cs="Times New Roman"/>
          <w:szCs w:val="24"/>
          <w:lang w:val="sq-AL"/>
        </w:rPr>
        <w:t>harmonizuar</w:t>
      </w:r>
      <w:r w:rsidR="007B7707" w:rsidRPr="009475CC">
        <w:rPr>
          <w:rFonts w:cs="Times New Roman"/>
          <w:szCs w:val="24"/>
          <w:lang w:val="sq-AL"/>
        </w:rPr>
        <w:t xml:space="preserve"> </w:t>
      </w:r>
      <w:r w:rsidRPr="009475CC">
        <w:rPr>
          <w:rFonts w:cs="Times New Roman"/>
          <w:szCs w:val="24"/>
          <w:lang w:val="sq-AL"/>
        </w:rPr>
        <w:t xml:space="preserve">dhe zbatuar plotësisht </w:t>
      </w:r>
      <w:r w:rsidR="007B7707" w:rsidRPr="007B7707">
        <w:rPr>
          <w:rFonts w:cs="Times New Roman"/>
          <w:i/>
          <w:iCs/>
          <w:szCs w:val="24"/>
          <w:lang w:val="sq-AL"/>
        </w:rPr>
        <w:t>a</w:t>
      </w:r>
      <w:r w:rsidRPr="007B7707">
        <w:rPr>
          <w:rFonts w:cs="Times New Roman"/>
          <w:i/>
          <w:iCs/>
          <w:szCs w:val="24"/>
          <w:lang w:val="sq-AL"/>
        </w:rPr>
        <w:t>cquis</w:t>
      </w:r>
      <w:r w:rsidR="007B7707">
        <w:rPr>
          <w:rFonts w:cs="Times New Roman"/>
          <w:szCs w:val="24"/>
          <w:lang w:val="sq-AL"/>
        </w:rPr>
        <w:t>-</w:t>
      </w:r>
      <w:r w:rsidR="00027F29">
        <w:rPr>
          <w:rFonts w:cs="Times New Roman"/>
          <w:szCs w:val="24"/>
          <w:lang w:val="sq-AL"/>
        </w:rPr>
        <w:t xml:space="preserve"> e</w:t>
      </w:r>
      <w:r w:rsidRPr="009475CC">
        <w:rPr>
          <w:rFonts w:cs="Times New Roman"/>
          <w:szCs w:val="24"/>
          <w:lang w:val="sq-AL"/>
        </w:rPr>
        <w:t xml:space="preserve"> BE-së. Legjislacioni i BE-së për sigurinë ushqimore, shëndetin e kafshëve dhe shëndetin e bimëve, siç përshkruhet në Kapitullin 12 të </w:t>
      </w:r>
      <w:r w:rsidR="007B7707" w:rsidRPr="007B7707">
        <w:rPr>
          <w:rFonts w:cs="Times New Roman"/>
          <w:i/>
          <w:iCs/>
          <w:szCs w:val="24"/>
          <w:lang w:val="sq-AL"/>
        </w:rPr>
        <w:t>acquis</w:t>
      </w:r>
      <w:r w:rsidR="007B7707" w:rsidRPr="009475CC">
        <w:rPr>
          <w:rFonts w:cs="Times New Roman"/>
          <w:szCs w:val="24"/>
          <w:lang w:val="sq-AL"/>
        </w:rPr>
        <w:t xml:space="preserve"> </w:t>
      </w:r>
      <w:r w:rsidRPr="009475CC">
        <w:rPr>
          <w:rFonts w:cs="Times New Roman"/>
          <w:szCs w:val="24"/>
          <w:lang w:val="sq-AL"/>
        </w:rPr>
        <w:t>të BE-së, përbëhet nga më shumë se 440 pjesë legjislacioni. Për arritjen e një përafrimi të plotë, kërkohet rritje e kapaciteteve të institucioneve në politikëbërje dhe agjencive të përfshira në zbatimin e kontrolleve zyrtare.</w:t>
      </w:r>
    </w:p>
    <w:p w14:paraId="5F5E77C9" w14:textId="77777777" w:rsidR="00E22766" w:rsidRPr="009475CC" w:rsidRDefault="00E22766" w:rsidP="00430E69">
      <w:pPr>
        <w:jc w:val="both"/>
        <w:rPr>
          <w:rFonts w:cs="Times New Roman"/>
          <w:szCs w:val="24"/>
          <w:lang w:val="sq-AL"/>
        </w:rPr>
      </w:pPr>
      <w:r w:rsidRPr="009475CC">
        <w:rPr>
          <w:rFonts w:cs="Times New Roman"/>
          <w:szCs w:val="24"/>
          <w:lang w:val="sq-AL"/>
        </w:rPr>
        <w:t>MBZHR ka përgjegjësinë për hartimin e politikave dhe legjislacionit dhe ka bërë progres në procesin e transpozimit të legjislacionit shqiptar me atë të BE-së. Gjatë viteve 2017 - 2021 janë miratuar, në fushën e sigurisë ushqimore afërsisht 15 akte nënligjore dhe janë amenduar 3 ligje.</w:t>
      </w:r>
    </w:p>
    <w:p w14:paraId="46263788" w14:textId="300B34EB" w:rsidR="00E22766" w:rsidRPr="009475CC" w:rsidRDefault="00E22766" w:rsidP="00430E69">
      <w:pPr>
        <w:jc w:val="both"/>
        <w:rPr>
          <w:rFonts w:cs="Times New Roman"/>
          <w:szCs w:val="24"/>
          <w:lang w:val="sq-AL"/>
        </w:rPr>
      </w:pPr>
      <w:r w:rsidRPr="009475CC">
        <w:rPr>
          <w:rFonts w:cs="Times New Roman"/>
          <w:szCs w:val="24"/>
          <w:lang w:val="sq-AL"/>
        </w:rPr>
        <w:t>Institucionet e tjera të vartësisë si</w:t>
      </w:r>
      <w:r w:rsidR="00027F29">
        <w:rPr>
          <w:rFonts w:cs="Times New Roman"/>
          <w:szCs w:val="24"/>
          <w:lang w:val="sq-AL"/>
        </w:rPr>
        <w:t>:</w:t>
      </w:r>
      <w:r w:rsidRPr="009475CC">
        <w:rPr>
          <w:rFonts w:cs="Times New Roman"/>
          <w:szCs w:val="24"/>
          <w:lang w:val="sq-AL"/>
        </w:rPr>
        <w:t xml:space="preserve"> </w:t>
      </w:r>
      <w:bookmarkStart w:id="11" w:name="_Hlk121681813"/>
      <w:r w:rsidRPr="009475CC">
        <w:rPr>
          <w:rFonts w:cs="Times New Roman"/>
          <w:szCs w:val="24"/>
          <w:lang w:val="sq-AL"/>
        </w:rPr>
        <w:t>Instituti i Sigurisë Ushqimore dhe Veterinarisë (ISUV), Autoriteti Kombëtar i Ushqimit (AKU) dhe Autoriteti Kombëtar i Veterinarisë dhe Mbrojtjes së Bimëve (AKVMB)</w:t>
      </w:r>
      <w:bookmarkEnd w:id="11"/>
      <w:r w:rsidRPr="009475CC">
        <w:rPr>
          <w:rFonts w:cs="Times New Roman"/>
          <w:szCs w:val="24"/>
          <w:lang w:val="sq-AL"/>
        </w:rPr>
        <w:t xml:space="preserve"> kanë përgjegjësinë për zbatimin e këtij legjislacioni</w:t>
      </w:r>
      <w:r w:rsidR="00554681">
        <w:rPr>
          <w:rFonts w:cs="Times New Roman"/>
          <w:szCs w:val="24"/>
          <w:lang w:val="sq-AL"/>
        </w:rPr>
        <w:t>.</w:t>
      </w:r>
    </w:p>
    <w:p w14:paraId="36BAF540" w14:textId="77777777" w:rsidR="00E22766" w:rsidRPr="009475CC" w:rsidRDefault="00E22766" w:rsidP="00430E69">
      <w:pPr>
        <w:jc w:val="both"/>
        <w:rPr>
          <w:rFonts w:cs="Times New Roman"/>
          <w:szCs w:val="24"/>
          <w:lang w:val="sq-AL"/>
        </w:rPr>
      </w:pPr>
      <w:r w:rsidRPr="009475CC">
        <w:rPr>
          <w:rFonts w:cs="Times New Roman"/>
          <w:szCs w:val="24"/>
          <w:lang w:val="sq-AL"/>
        </w:rPr>
        <w:t>Gjatë gjithë këtij procesi, Ministria e Bujqësisë dhe Zhvillimit Rural angazhohet për të siguruar një komunikim efektiv me të gjitha palët e interesuara, duke përfshirë konsumatorët, operatorët e biznesit ushqimor dhe palët e tjera të interesuara në nivel kombëtar, rajonal dhe lokal.</w:t>
      </w:r>
    </w:p>
    <w:p w14:paraId="12AB6264" w14:textId="0FBC7859" w:rsidR="00E22766" w:rsidRPr="009475CC" w:rsidRDefault="00E22766" w:rsidP="00430E69">
      <w:pPr>
        <w:jc w:val="both"/>
        <w:rPr>
          <w:rFonts w:cs="Times New Roman"/>
          <w:szCs w:val="24"/>
          <w:lang w:val="sq-AL"/>
        </w:rPr>
      </w:pPr>
      <w:r w:rsidRPr="009475CC">
        <w:rPr>
          <w:rFonts w:cs="Times New Roman"/>
          <w:szCs w:val="24"/>
          <w:lang w:val="sq-AL"/>
        </w:rPr>
        <w:t>Për sa i përket strukturës, organizimit, kompetencave dhe shpërndarjes së burimeve përkatëse të administratës përgjegjëse për sigurinë ushqimore, politik</w:t>
      </w:r>
      <w:r w:rsidR="00027F29">
        <w:rPr>
          <w:rFonts w:cs="Times New Roman"/>
          <w:szCs w:val="24"/>
          <w:lang w:val="sq-AL"/>
        </w:rPr>
        <w:t>at</w:t>
      </w:r>
      <w:r w:rsidRPr="009475CC">
        <w:rPr>
          <w:rFonts w:cs="Times New Roman"/>
          <w:szCs w:val="24"/>
          <w:lang w:val="sq-AL"/>
        </w:rPr>
        <w:t xml:space="preserve"> veterinare dhe fitosanitare, ka një organizim të ri në nivel q</w:t>
      </w:r>
      <w:r w:rsidR="00027F29">
        <w:rPr>
          <w:rFonts w:cs="Times New Roman"/>
          <w:szCs w:val="24"/>
          <w:lang w:val="sq-AL"/>
        </w:rPr>
        <w:t>e</w:t>
      </w:r>
      <w:r w:rsidRPr="009475CC">
        <w:rPr>
          <w:rFonts w:cs="Times New Roman"/>
          <w:szCs w:val="24"/>
          <w:lang w:val="sq-AL"/>
        </w:rPr>
        <w:t>ndror bazuar në Urdhrin e Kryeministrit nr. 88</w:t>
      </w:r>
      <w:r w:rsidR="0093142A">
        <w:rPr>
          <w:rFonts w:cs="Times New Roman"/>
          <w:szCs w:val="24"/>
          <w:lang w:val="sq-AL"/>
        </w:rPr>
        <w:t>,</w:t>
      </w:r>
      <w:r w:rsidRPr="009475CC">
        <w:rPr>
          <w:rFonts w:cs="Times New Roman"/>
          <w:szCs w:val="24"/>
          <w:lang w:val="sq-AL"/>
        </w:rPr>
        <w:t xml:space="preserve"> datë 20.05.2022 “Për miratimin e strukturës dhe organikës së Ministrisë së Bujqësisë dhe Zhvillimit Rural</w:t>
      </w:r>
      <w:r w:rsidR="0093142A">
        <w:rPr>
          <w:rFonts w:cs="Times New Roman"/>
          <w:szCs w:val="24"/>
          <w:lang w:val="sq-AL"/>
        </w:rPr>
        <w:t>”</w:t>
      </w:r>
      <w:r w:rsidRPr="009475CC">
        <w:rPr>
          <w:rFonts w:cs="Times New Roman"/>
          <w:szCs w:val="24"/>
          <w:lang w:val="sq-AL"/>
        </w:rPr>
        <w:t xml:space="preserve"> dhe Urdhrit të Ministrit nr. 318 datë 4.7.2022 “Për miratimin e strukturës së Ministrisë së Bujqësisë dhe Zhvillimit Rural”.</w:t>
      </w:r>
    </w:p>
    <w:p w14:paraId="5FF5A04C" w14:textId="078682F3" w:rsidR="00E22766" w:rsidRPr="009475CC" w:rsidRDefault="00E22766" w:rsidP="00430E69">
      <w:pPr>
        <w:jc w:val="both"/>
        <w:rPr>
          <w:rFonts w:cs="Times New Roman"/>
          <w:szCs w:val="24"/>
          <w:lang w:val="sq-AL"/>
        </w:rPr>
      </w:pPr>
      <w:bookmarkStart w:id="12" w:name="_Hlk121681907"/>
      <w:r w:rsidRPr="009475CC">
        <w:rPr>
          <w:rFonts w:cs="Times New Roman"/>
          <w:szCs w:val="24"/>
          <w:lang w:val="sq-AL"/>
        </w:rPr>
        <w:t>Drejtoria e Politikave të Sigurisë Ushqimore (DPSU</w:t>
      </w:r>
      <w:bookmarkEnd w:id="12"/>
      <w:r w:rsidRPr="009475CC">
        <w:rPr>
          <w:rFonts w:cs="Times New Roman"/>
          <w:szCs w:val="24"/>
          <w:lang w:val="sq-AL"/>
        </w:rPr>
        <w:t>) është struktura përgjegjëse për çështjet e sigurisë ushqimore e cila përbëhet nga tre sektorë: Sektori i produkteve dhe nën-produkteve me origjinë shtazore, sektori i produkteve me origjinë jo shtazore dhe bimore dhe sektori i produkteve të peshkimit. DPSU është pjesë e Drejtorisë së Përgjithshme të Zhvillimit në Fushën e Sigurisë Ushqimore, Veterinarisë, Mbrojtjes së Bimëve dhe Peshkimit.</w:t>
      </w:r>
    </w:p>
    <w:p w14:paraId="74FC6D5E" w14:textId="2002C3F5" w:rsidR="00E22766" w:rsidRPr="009475CC" w:rsidRDefault="00E22766" w:rsidP="00430E69">
      <w:pPr>
        <w:jc w:val="both"/>
        <w:rPr>
          <w:rFonts w:cs="Times New Roman"/>
          <w:szCs w:val="24"/>
          <w:lang w:val="sq-AL"/>
        </w:rPr>
      </w:pPr>
      <w:r w:rsidRPr="009475CC">
        <w:rPr>
          <w:rFonts w:cs="Times New Roman"/>
          <w:szCs w:val="24"/>
          <w:lang w:val="sq-AL"/>
        </w:rPr>
        <w:t xml:space="preserve">DPSU është përgjegjëse për hartimin e politikave, legjislacionit për sigurinë ushqimore duke përafruar legjislacionin e BE-së dhe strategjitë në fushën e saj të përgjegjësisë. Në kuadër të </w:t>
      </w:r>
      <w:bookmarkStart w:id="13" w:name="_Hlk121681947"/>
      <w:r w:rsidRPr="009475CC">
        <w:rPr>
          <w:rFonts w:cs="Times New Roman"/>
          <w:szCs w:val="24"/>
          <w:lang w:val="sq-AL"/>
        </w:rPr>
        <w:t>PKIE,</w:t>
      </w:r>
      <w:bookmarkEnd w:id="13"/>
      <w:r w:rsidRPr="009475CC">
        <w:rPr>
          <w:rFonts w:cs="Times New Roman"/>
          <w:szCs w:val="24"/>
          <w:lang w:val="sq-AL"/>
        </w:rPr>
        <w:t xml:space="preserve"> planifikohen hartimi i legjislacionit afatshkurtër</w:t>
      </w:r>
      <w:r w:rsidR="0093142A">
        <w:rPr>
          <w:rFonts w:cs="Times New Roman"/>
          <w:szCs w:val="24"/>
          <w:lang w:val="sq-AL"/>
        </w:rPr>
        <w:t>,</w:t>
      </w:r>
      <w:r w:rsidRPr="009475CC">
        <w:rPr>
          <w:rFonts w:cs="Times New Roman"/>
          <w:szCs w:val="24"/>
          <w:lang w:val="sq-AL"/>
        </w:rPr>
        <w:t xml:space="preserve"> afatmesëm dhe afatgjatë në përputhje me </w:t>
      </w:r>
      <w:r w:rsidR="0093142A">
        <w:rPr>
          <w:rFonts w:cs="Times New Roman"/>
          <w:szCs w:val="24"/>
          <w:lang w:val="sq-AL"/>
        </w:rPr>
        <w:t>K</w:t>
      </w:r>
      <w:r w:rsidRPr="009475CC">
        <w:rPr>
          <w:rFonts w:cs="Times New Roman"/>
          <w:szCs w:val="24"/>
          <w:lang w:val="sq-AL"/>
        </w:rPr>
        <w:t xml:space="preserve">apitullin 12 </w:t>
      </w:r>
      <w:r w:rsidR="0093142A">
        <w:rPr>
          <w:rFonts w:cs="Times New Roman"/>
          <w:szCs w:val="24"/>
          <w:lang w:val="sq-AL"/>
        </w:rPr>
        <w:t>A</w:t>
      </w:r>
      <w:r w:rsidRPr="009475CC">
        <w:rPr>
          <w:rFonts w:cs="Times New Roman"/>
          <w:szCs w:val="24"/>
          <w:lang w:val="sq-AL"/>
        </w:rPr>
        <w:t>cquis.</w:t>
      </w:r>
      <w:r w:rsidR="0093142A">
        <w:rPr>
          <w:rFonts w:cs="Times New Roman"/>
          <w:szCs w:val="24"/>
          <w:lang w:val="sq-AL"/>
        </w:rPr>
        <w:t xml:space="preserve"> </w:t>
      </w:r>
      <w:r w:rsidRPr="009475CC">
        <w:rPr>
          <w:rFonts w:cs="Times New Roman"/>
          <w:szCs w:val="24"/>
          <w:lang w:val="sq-AL"/>
        </w:rPr>
        <w:t xml:space="preserve">DPSU është autoriteti përgjegjës për përgatitjen dhe pritjen e auditeve nga struktura e </w:t>
      </w:r>
      <w:bookmarkStart w:id="14" w:name="_Hlk121681988"/>
      <w:r w:rsidRPr="009475CC">
        <w:rPr>
          <w:rFonts w:cs="Times New Roman"/>
          <w:szCs w:val="24"/>
          <w:lang w:val="sq-AL"/>
        </w:rPr>
        <w:t>DG-SANTE</w:t>
      </w:r>
      <w:bookmarkEnd w:id="14"/>
      <w:r w:rsidRPr="009475CC">
        <w:rPr>
          <w:rFonts w:cs="Times New Roman"/>
          <w:szCs w:val="24"/>
          <w:lang w:val="sq-AL"/>
        </w:rPr>
        <w:t xml:space="preserve"> të cilët auditojnë sistemin e sigurisë ushqimore të vendit tonë duke filluar nga legjislacioni, kontrolli zyrtar, rrjeti laboratorik dhe Operator</w:t>
      </w:r>
      <w:r w:rsidR="0093142A">
        <w:rPr>
          <w:rFonts w:cs="Times New Roman"/>
          <w:szCs w:val="24"/>
          <w:lang w:val="sq-AL"/>
        </w:rPr>
        <w:t>ë</w:t>
      </w:r>
      <w:r w:rsidRPr="009475CC">
        <w:rPr>
          <w:rFonts w:cs="Times New Roman"/>
          <w:szCs w:val="24"/>
          <w:lang w:val="sq-AL"/>
        </w:rPr>
        <w:t>t e Biznesit Ushqimor të cilët kërkojnë për të eksportuar në vendet e BE-së. Qëllimi i auditeve është për të vlerësuar garancitë që japin autoritetet kompetente shqiptare, të cilat duhet të janë ekuivalente me ato të BE</w:t>
      </w:r>
      <w:r w:rsidR="0093142A">
        <w:rPr>
          <w:rFonts w:cs="Times New Roman"/>
          <w:szCs w:val="24"/>
          <w:lang w:val="sq-AL"/>
        </w:rPr>
        <w:t>-së</w:t>
      </w:r>
      <w:r w:rsidRPr="009475CC">
        <w:rPr>
          <w:rFonts w:cs="Times New Roman"/>
          <w:szCs w:val="24"/>
          <w:lang w:val="sq-AL"/>
        </w:rPr>
        <w:t xml:space="preserve"> me qëllim garantimi</w:t>
      </w:r>
      <w:r w:rsidR="0093142A">
        <w:rPr>
          <w:rFonts w:cs="Times New Roman"/>
          <w:szCs w:val="24"/>
          <w:lang w:val="sq-AL"/>
        </w:rPr>
        <w:t>n</w:t>
      </w:r>
      <w:r w:rsidRPr="009475CC">
        <w:rPr>
          <w:rFonts w:cs="Times New Roman"/>
          <w:szCs w:val="24"/>
          <w:lang w:val="sq-AL"/>
        </w:rPr>
        <w:t xml:space="preserve"> </w:t>
      </w:r>
      <w:r w:rsidR="0093142A">
        <w:rPr>
          <w:rFonts w:cs="Times New Roman"/>
          <w:szCs w:val="24"/>
          <w:lang w:val="sq-AL"/>
        </w:rPr>
        <w:t>e</w:t>
      </w:r>
      <w:r w:rsidRPr="009475CC">
        <w:rPr>
          <w:rFonts w:cs="Times New Roman"/>
          <w:szCs w:val="24"/>
          <w:lang w:val="sq-AL"/>
        </w:rPr>
        <w:t xml:space="preserve"> jetës </w:t>
      </w:r>
      <w:r w:rsidR="0093142A">
        <w:rPr>
          <w:rFonts w:cs="Times New Roman"/>
          <w:szCs w:val="24"/>
          <w:lang w:val="sq-AL"/>
        </w:rPr>
        <w:t>s</w:t>
      </w:r>
      <w:r w:rsidRPr="009475CC">
        <w:rPr>
          <w:rFonts w:cs="Times New Roman"/>
          <w:szCs w:val="24"/>
          <w:lang w:val="sq-AL"/>
        </w:rPr>
        <w:t>ë konsumatorit evropian nga produktet ushqimore shqiptare që eksportohen në BE.</w:t>
      </w:r>
    </w:p>
    <w:p w14:paraId="03F994C6" w14:textId="45888037" w:rsidR="00E22766" w:rsidRPr="009475CC" w:rsidRDefault="00E22766" w:rsidP="00430E69">
      <w:pPr>
        <w:jc w:val="both"/>
        <w:rPr>
          <w:rFonts w:cs="Times New Roman"/>
          <w:szCs w:val="24"/>
          <w:lang w:val="sq-AL"/>
        </w:rPr>
      </w:pPr>
      <w:r w:rsidRPr="009475CC">
        <w:rPr>
          <w:rFonts w:cs="Times New Roman"/>
          <w:szCs w:val="24"/>
          <w:lang w:val="sq-AL"/>
        </w:rPr>
        <w:t>Është amenduar 2 herë</w:t>
      </w:r>
      <w:r w:rsidR="00027F29">
        <w:rPr>
          <w:rFonts w:cs="Times New Roman"/>
          <w:szCs w:val="24"/>
          <w:lang w:val="sq-AL"/>
        </w:rPr>
        <w:t>,</w:t>
      </w:r>
      <w:r w:rsidRPr="009475CC">
        <w:rPr>
          <w:rFonts w:cs="Times New Roman"/>
          <w:szCs w:val="24"/>
          <w:lang w:val="sq-AL"/>
        </w:rPr>
        <w:t xml:space="preserve"> Ligji Nr. 10465, datë 29.9.2011 “Për Shërbimin Veterinar në Republikën e Shqipërisë”, në kuadër të reformës veterinare dhe të memorandumit Open Ballkan, me qëllim lehtësimi</w:t>
      </w:r>
      <w:r w:rsidR="00027F29">
        <w:rPr>
          <w:rFonts w:cs="Times New Roman"/>
          <w:szCs w:val="24"/>
          <w:lang w:val="sq-AL"/>
        </w:rPr>
        <w:t>n e</w:t>
      </w:r>
      <w:r w:rsidRPr="009475CC">
        <w:rPr>
          <w:rFonts w:cs="Times New Roman"/>
          <w:szCs w:val="24"/>
          <w:lang w:val="sq-AL"/>
        </w:rPr>
        <w:t xml:space="preserve"> tregtisë </w:t>
      </w:r>
      <w:r w:rsidR="0093142A">
        <w:rPr>
          <w:rFonts w:cs="Times New Roman"/>
          <w:szCs w:val="24"/>
          <w:lang w:val="sq-AL"/>
        </w:rPr>
        <w:t>s</w:t>
      </w:r>
      <w:r w:rsidRPr="009475CC">
        <w:rPr>
          <w:rFonts w:cs="Times New Roman"/>
          <w:szCs w:val="24"/>
          <w:lang w:val="sq-AL"/>
        </w:rPr>
        <w:t xml:space="preserve">ë kafshëve të gjalla midis vendeve të Ballkanit Perëndimor që janë pjesë e Open Ballkan. </w:t>
      </w:r>
    </w:p>
    <w:p w14:paraId="0EC61620" w14:textId="3ED8C69E" w:rsidR="00E22766" w:rsidRPr="009475CC" w:rsidRDefault="00E22766" w:rsidP="00430E69">
      <w:pPr>
        <w:jc w:val="both"/>
        <w:rPr>
          <w:rFonts w:cs="Times New Roman"/>
          <w:szCs w:val="24"/>
          <w:lang w:val="sq-AL"/>
        </w:rPr>
      </w:pPr>
      <w:r w:rsidRPr="009475CC">
        <w:rPr>
          <w:rFonts w:cs="Times New Roman"/>
          <w:szCs w:val="24"/>
          <w:lang w:val="sq-AL"/>
        </w:rPr>
        <w:lastRenderedPageBreak/>
        <w:t>Është amenduar 2 herë Ligji nr. 9863, datë 28.1.2008 “Për ushqimin”, për harmonizim më të plotë me Rregulloren 178/2002 të KE</w:t>
      </w:r>
      <w:r w:rsidR="0093142A">
        <w:rPr>
          <w:rFonts w:cs="Times New Roman"/>
          <w:szCs w:val="24"/>
          <w:lang w:val="sq-AL"/>
        </w:rPr>
        <w:t>-së</w:t>
      </w:r>
      <w:r w:rsidRPr="009475CC">
        <w:rPr>
          <w:rFonts w:cs="Times New Roman"/>
          <w:szCs w:val="24"/>
          <w:lang w:val="sq-AL"/>
        </w:rPr>
        <w:t xml:space="preserve"> dhe në kuadër të Open Ballkan, për të lehtësuar tregtinë e produkteve ushqimore dhe ushqimit për kafshë midis Shqipërisë, Maqedonisë </w:t>
      </w:r>
      <w:r w:rsidR="00027F29">
        <w:rPr>
          <w:rFonts w:cs="Times New Roman"/>
          <w:szCs w:val="24"/>
          <w:lang w:val="sq-AL"/>
        </w:rPr>
        <w:t>s</w:t>
      </w:r>
      <w:r w:rsidRPr="009475CC">
        <w:rPr>
          <w:rFonts w:cs="Times New Roman"/>
          <w:szCs w:val="24"/>
          <w:lang w:val="sq-AL"/>
        </w:rPr>
        <w:t xml:space="preserve">ë Veriut dhe Serbisë. </w:t>
      </w:r>
    </w:p>
    <w:p w14:paraId="604B6F89" w14:textId="3AF89436" w:rsidR="00E22766" w:rsidRPr="009475CC" w:rsidRDefault="00E22766" w:rsidP="00430E69">
      <w:pPr>
        <w:jc w:val="both"/>
        <w:rPr>
          <w:rFonts w:cs="Times New Roman"/>
          <w:szCs w:val="24"/>
          <w:lang w:val="sq-AL"/>
        </w:rPr>
      </w:pPr>
      <w:r w:rsidRPr="009475CC">
        <w:rPr>
          <w:rFonts w:cs="Times New Roman"/>
          <w:szCs w:val="24"/>
          <w:lang w:val="sq-AL"/>
        </w:rPr>
        <w:t xml:space="preserve">Gjithashtu gjatë periudhës 2017 - 2021 </w:t>
      </w:r>
      <w:r w:rsidR="0093142A">
        <w:rPr>
          <w:rFonts w:cs="Times New Roman"/>
          <w:szCs w:val="24"/>
          <w:lang w:val="sq-AL"/>
        </w:rPr>
        <w:t>janë</w:t>
      </w:r>
      <w:r w:rsidRPr="009475CC">
        <w:rPr>
          <w:rFonts w:cs="Times New Roman"/>
          <w:szCs w:val="24"/>
          <w:lang w:val="sq-AL"/>
        </w:rPr>
        <w:t xml:space="preserve"> miratuar 15 akte nënligjore si VKM, urdhra dhe udhëzime në përputhje me kapitullin 12 të </w:t>
      </w:r>
      <w:r w:rsidR="00027F29">
        <w:rPr>
          <w:rFonts w:cs="Times New Roman"/>
          <w:szCs w:val="24"/>
          <w:lang w:val="sq-AL"/>
        </w:rPr>
        <w:t>A</w:t>
      </w:r>
      <w:r w:rsidRPr="009475CC">
        <w:rPr>
          <w:rFonts w:cs="Times New Roman"/>
          <w:szCs w:val="24"/>
          <w:lang w:val="sq-AL"/>
        </w:rPr>
        <w:t>cquis. Puna për hartimin e tyre përfshin përkthimin, përshtatjen dhe përgatitjen e tabelave të përputhshmërisë. Pas miratimit të tyre, struktura përgjegjëse për zbatimin e tyre është Autoriteti Kombëtar i Ushqimit, si struktura përgjegjëse për kontrollet zyrtare në vendin tonë. DPSU si autoriteti përgjegjës për hartimin e politikave përgatit programet e monitorimit për:</w:t>
      </w:r>
    </w:p>
    <w:p w14:paraId="0D131A15" w14:textId="7309EC48" w:rsidR="00E22766" w:rsidRPr="00027F29" w:rsidRDefault="00E22766" w:rsidP="00623352">
      <w:pPr>
        <w:pStyle w:val="ListParagraph"/>
        <w:numPr>
          <w:ilvl w:val="0"/>
          <w:numId w:val="15"/>
        </w:numPr>
        <w:jc w:val="both"/>
        <w:rPr>
          <w:rFonts w:cs="Times New Roman"/>
          <w:szCs w:val="24"/>
          <w:lang w:val="sq-AL"/>
        </w:rPr>
      </w:pPr>
      <w:r w:rsidRPr="00027F29">
        <w:rPr>
          <w:rFonts w:cs="Times New Roman"/>
          <w:szCs w:val="24"/>
          <w:lang w:val="sq-AL"/>
        </w:rPr>
        <w:t xml:space="preserve">Planin </w:t>
      </w:r>
      <w:r w:rsidR="00027F29">
        <w:rPr>
          <w:rFonts w:cs="Times New Roman"/>
          <w:szCs w:val="24"/>
          <w:lang w:val="sq-AL"/>
        </w:rPr>
        <w:t>k</w:t>
      </w:r>
      <w:r w:rsidRPr="00027F29">
        <w:rPr>
          <w:rFonts w:cs="Times New Roman"/>
          <w:szCs w:val="24"/>
          <w:lang w:val="sq-AL"/>
        </w:rPr>
        <w:t>ombëtar të monitorimit të mbetjeve në kafshët e gjalla dhe produktet me origjin</w:t>
      </w:r>
      <w:r w:rsidR="008B3DCF" w:rsidRPr="00027F29">
        <w:rPr>
          <w:rFonts w:cs="Times New Roman"/>
          <w:szCs w:val="24"/>
          <w:lang w:val="sq-AL"/>
        </w:rPr>
        <w:t>ë</w:t>
      </w:r>
      <w:r w:rsidRPr="00027F29">
        <w:rPr>
          <w:rFonts w:cs="Times New Roman"/>
          <w:szCs w:val="24"/>
          <w:lang w:val="sq-AL"/>
        </w:rPr>
        <w:t xml:space="preserve"> shtazore; </w:t>
      </w:r>
    </w:p>
    <w:p w14:paraId="30DC4869" w14:textId="3E6FEBA9" w:rsidR="00E22766" w:rsidRPr="00027F29" w:rsidRDefault="00E22766" w:rsidP="00623352">
      <w:pPr>
        <w:pStyle w:val="ListParagraph"/>
        <w:numPr>
          <w:ilvl w:val="0"/>
          <w:numId w:val="15"/>
        </w:numPr>
        <w:jc w:val="both"/>
        <w:rPr>
          <w:rFonts w:cs="Times New Roman"/>
          <w:szCs w:val="24"/>
          <w:lang w:val="sq-AL"/>
        </w:rPr>
      </w:pPr>
      <w:r w:rsidRPr="00027F29">
        <w:rPr>
          <w:rFonts w:cs="Times New Roman"/>
          <w:szCs w:val="24"/>
          <w:lang w:val="sq-AL"/>
        </w:rPr>
        <w:t>Plan</w:t>
      </w:r>
      <w:r w:rsidR="00027F29">
        <w:rPr>
          <w:rFonts w:cs="Times New Roman"/>
          <w:szCs w:val="24"/>
          <w:lang w:val="sq-AL"/>
        </w:rPr>
        <w:t>in</w:t>
      </w:r>
      <w:r w:rsidRPr="00027F29">
        <w:rPr>
          <w:rFonts w:cs="Times New Roman"/>
          <w:szCs w:val="24"/>
          <w:lang w:val="sq-AL"/>
        </w:rPr>
        <w:t xml:space="preserve"> për monitorimin e mbetjeve të pesticideve në produktet me origjinë bimore; </w:t>
      </w:r>
    </w:p>
    <w:p w14:paraId="0DD2A124" w14:textId="66B0912D" w:rsidR="00E22766" w:rsidRPr="00027F29" w:rsidRDefault="00E22766" w:rsidP="00623352">
      <w:pPr>
        <w:pStyle w:val="ListParagraph"/>
        <w:numPr>
          <w:ilvl w:val="0"/>
          <w:numId w:val="15"/>
        </w:numPr>
        <w:jc w:val="both"/>
        <w:rPr>
          <w:rFonts w:cs="Times New Roman"/>
          <w:szCs w:val="24"/>
          <w:lang w:val="sq-AL"/>
        </w:rPr>
      </w:pPr>
      <w:r w:rsidRPr="00027F29">
        <w:rPr>
          <w:rFonts w:cs="Times New Roman"/>
          <w:szCs w:val="24"/>
          <w:lang w:val="sq-AL"/>
        </w:rPr>
        <w:t>Plani</w:t>
      </w:r>
      <w:r w:rsidR="00027F29">
        <w:rPr>
          <w:rFonts w:cs="Times New Roman"/>
          <w:szCs w:val="24"/>
          <w:lang w:val="sq-AL"/>
        </w:rPr>
        <w:t>n</w:t>
      </w:r>
      <w:r w:rsidRPr="00027F29">
        <w:rPr>
          <w:rFonts w:cs="Times New Roman"/>
          <w:szCs w:val="24"/>
          <w:lang w:val="sq-AL"/>
        </w:rPr>
        <w:t xml:space="preserve"> kombëtar të kontrolleve zyrtare me bazë risku dhe të marrjes së mostrave për ushqimin, ushqimin për kafshë, mbrojtjen e bimëve dhe inputeve bujqësore, si dhe planin e marrjes së mostrave në PIK;</w:t>
      </w:r>
    </w:p>
    <w:p w14:paraId="647C9002" w14:textId="044F8629" w:rsidR="00E22766" w:rsidRPr="00027F29" w:rsidRDefault="00E22766" w:rsidP="00623352">
      <w:pPr>
        <w:pStyle w:val="ListParagraph"/>
        <w:numPr>
          <w:ilvl w:val="0"/>
          <w:numId w:val="15"/>
        </w:numPr>
        <w:jc w:val="both"/>
        <w:rPr>
          <w:rFonts w:cs="Times New Roman"/>
          <w:szCs w:val="24"/>
          <w:lang w:val="sq-AL"/>
        </w:rPr>
      </w:pPr>
      <w:r w:rsidRPr="00027F29">
        <w:rPr>
          <w:rFonts w:cs="Times New Roman"/>
          <w:szCs w:val="24"/>
          <w:lang w:val="sq-AL"/>
        </w:rPr>
        <w:t>Planin e monitorimit të qumështit lëndë e parë në nivel ferme deri në vitin 2019.</w:t>
      </w:r>
    </w:p>
    <w:p w14:paraId="0C501ED2" w14:textId="299C3200" w:rsidR="00122EFD" w:rsidRPr="009475CC" w:rsidRDefault="00E22766" w:rsidP="00430E69">
      <w:pPr>
        <w:jc w:val="both"/>
        <w:rPr>
          <w:rFonts w:cs="Times New Roman"/>
          <w:szCs w:val="24"/>
          <w:lang w:val="sq-AL"/>
        </w:rPr>
      </w:pPr>
      <w:r w:rsidRPr="009475CC">
        <w:rPr>
          <w:rFonts w:cs="Times New Roman"/>
          <w:szCs w:val="24"/>
          <w:lang w:val="sq-AL"/>
        </w:rPr>
        <w:t>Gjatë kësaj periudhe janë pritur 3 audite të DG-SANTES për peshkun, zorrët dhe mbetjet për të cilat strukturat e sigurisë ushqimore shqiptare e kaluan me sukses.</w:t>
      </w:r>
      <w:r w:rsidRPr="009475CC" w:rsidDel="00C670A7">
        <w:rPr>
          <w:rFonts w:cs="Times New Roman"/>
          <w:szCs w:val="24"/>
          <w:lang w:val="sq-AL"/>
        </w:rPr>
        <w:t xml:space="preserve"> </w:t>
      </w:r>
    </w:p>
    <w:p w14:paraId="2EC9458D" w14:textId="5DDFBF40" w:rsidR="005A4008" w:rsidRPr="009475CC" w:rsidRDefault="00023A2D" w:rsidP="00623352">
      <w:pPr>
        <w:pStyle w:val="Heading3"/>
      </w:pPr>
      <w:bookmarkStart w:id="15" w:name="_Toc130994975"/>
      <w:bookmarkStart w:id="16" w:name="_Toc132277321"/>
      <w:r w:rsidRPr="00A24AEA">
        <w:t>Siguria e produkteve joushqimore</w:t>
      </w:r>
      <w:bookmarkEnd w:id="15"/>
      <w:bookmarkEnd w:id="16"/>
    </w:p>
    <w:p w14:paraId="4159DCDD" w14:textId="5ECF505B" w:rsidR="00023A2D" w:rsidRPr="009475CC" w:rsidRDefault="00023A2D" w:rsidP="00430E69">
      <w:pPr>
        <w:jc w:val="both"/>
        <w:rPr>
          <w:rFonts w:cs="Times New Roman"/>
          <w:szCs w:val="24"/>
          <w:lang w:val="sq-AL"/>
        </w:rPr>
      </w:pPr>
      <w:r w:rsidRPr="009475CC">
        <w:rPr>
          <w:rFonts w:cs="Times New Roman"/>
          <w:szCs w:val="24"/>
          <w:lang w:val="sq-AL"/>
        </w:rPr>
        <w:t>Vendosja në treg dhe garantimi i qarkullimit të lirë të produkteve të sigurta, me të njëjtat kërkesa teknike me ato evropiane, është bazë për çdo politikë të mbrojtjes së konsumatorëve dhe një nga liritë themelore të përcaktuara në Traktatin e Funksionimit të B</w:t>
      </w:r>
      <w:r w:rsidR="00A24AEA">
        <w:rPr>
          <w:rFonts w:cs="Times New Roman"/>
          <w:szCs w:val="24"/>
          <w:lang w:val="sq-AL"/>
        </w:rPr>
        <w:t>.</w:t>
      </w:r>
      <w:r w:rsidRPr="009475CC">
        <w:rPr>
          <w:rFonts w:cs="Times New Roman"/>
          <w:szCs w:val="24"/>
          <w:lang w:val="sq-AL"/>
        </w:rPr>
        <w:t>E</w:t>
      </w:r>
      <w:r w:rsidR="00A24AEA">
        <w:rPr>
          <w:rFonts w:cs="Times New Roman"/>
          <w:szCs w:val="24"/>
          <w:lang w:val="sq-AL"/>
        </w:rPr>
        <w:t>.</w:t>
      </w:r>
      <w:r w:rsidR="005A4008">
        <w:rPr>
          <w:rFonts w:cs="Times New Roman"/>
          <w:szCs w:val="24"/>
          <w:lang w:val="sq-AL"/>
        </w:rPr>
        <w:t>-së</w:t>
      </w:r>
      <w:r w:rsidRPr="009475CC">
        <w:rPr>
          <w:rFonts w:cs="Times New Roman"/>
          <w:szCs w:val="24"/>
          <w:lang w:val="sq-AL"/>
        </w:rPr>
        <w:t xml:space="preserve">. </w:t>
      </w:r>
    </w:p>
    <w:p w14:paraId="2F7ADB22" w14:textId="4D2DAEB4" w:rsidR="00023A2D" w:rsidRPr="009475CC" w:rsidRDefault="00023A2D" w:rsidP="00430E69">
      <w:pPr>
        <w:jc w:val="both"/>
        <w:rPr>
          <w:rFonts w:cs="Times New Roman"/>
          <w:szCs w:val="24"/>
          <w:lang w:val="sq-AL"/>
        </w:rPr>
      </w:pPr>
      <w:r w:rsidRPr="009475CC">
        <w:rPr>
          <w:rFonts w:cs="Times New Roman"/>
          <w:szCs w:val="24"/>
          <w:lang w:val="sq-AL"/>
        </w:rPr>
        <w:t>Zhvillimi i tregut të brendshëm dhe Infrastrukturës së Cilësisë me institucionet përkatëse që mbulojnë fushat e standardizimit, metrologjisë, akreditimit dhe mbikëqyrjes së tregut, përbëjnë bazën e reformave në tregun e brendshëm, së bashku me përmirësimet e nevojshme të kuadrit ligjor dhe institucional, të cilat krijojnë premisat për vendime të rëndësishme lidhur me cilësinë e jetës së qytetarëve shqiptarë (mbrojtjen e jetës dhe shëndetit, mjedisit, sigurisë teknike në përgjithësi, mbrojtjen e konsumatorit)</w:t>
      </w:r>
      <w:r w:rsidR="00554681">
        <w:rPr>
          <w:rFonts w:cs="Times New Roman"/>
          <w:szCs w:val="24"/>
          <w:lang w:val="sq-AL"/>
        </w:rPr>
        <w:t xml:space="preserve"> </w:t>
      </w:r>
      <w:r w:rsidRPr="009475CC">
        <w:rPr>
          <w:rFonts w:cs="Times New Roman"/>
          <w:szCs w:val="24"/>
          <w:lang w:val="sq-AL"/>
        </w:rPr>
        <w:t>dhe sektorin privat</w:t>
      </w:r>
      <w:r w:rsidR="00554681">
        <w:rPr>
          <w:rFonts w:cs="Times New Roman"/>
          <w:szCs w:val="24"/>
          <w:lang w:val="sq-AL"/>
        </w:rPr>
        <w:t xml:space="preserve"> </w:t>
      </w:r>
      <w:r w:rsidRPr="009475CC">
        <w:rPr>
          <w:rFonts w:cs="Times New Roman"/>
          <w:szCs w:val="24"/>
          <w:lang w:val="sq-AL"/>
        </w:rPr>
        <w:t xml:space="preserve">(cilësinë e produkteve dhe shërbimeve të prodhuara dhe të tregtuara në Shqipëri).  </w:t>
      </w:r>
    </w:p>
    <w:p w14:paraId="406717E5" w14:textId="0C0639C0" w:rsidR="00023A2D" w:rsidRPr="009475CC" w:rsidRDefault="00023A2D" w:rsidP="00430E69">
      <w:pPr>
        <w:jc w:val="both"/>
        <w:rPr>
          <w:rFonts w:cs="Times New Roman"/>
          <w:szCs w:val="24"/>
          <w:lang w:val="sq-AL"/>
        </w:rPr>
      </w:pPr>
      <w:r w:rsidRPr="009475CC">
        <w:rPr>
          <w:rFonts w:cs="Times New Roman"/>
          <w:szCs w:val="24"/>
          <w:lang w:val="sq-AL"/>
        </w:rPr>
        <w:t xml:space="preserve">Hapat e ndërmarra në lidhje me fushën e sigurisë së produkteve </w:t>
      </w:r>
      <w:r w:rsidRPr="00554681">
        <w:rPr>
          <w:rFonts w:cs="Times New Roman"/>
          <w:szCs w:val="24"/>
          <w:lang w:val="sq-AL"/>
        </w:rPr>
        <w:t>kanë mundësuar adoptimin e një kuadri ligjor rregullator, që për konsumatorët përkthehet në legjislacion dhe institucione që mundësojnë nivel të njëjtë mbrojtjeje të sigurisë së tyre. Kuadri ligjor</w:t>
      </w:r>
      <w:r w:rsidRPr="009475CC">
        <w:rPr>
          <w:rFonts w:cs="Times New Roman"/>
          <w:szCs w:val="24"/>
          <w:lang w:val="sq-AL"/>
        </w:rPr>
        <w:t xml:space="preserve"> për tregtimin dhe mbikëqyrjen e tregut të produkteve jo ushqimore dhe sigurisë së përgjithshme, së bashku me aktet nënligjore në zbatim, që në masë të gjerë harmonizojnë acquis e BE-së në fushat përkatëse, në kuadër të angazhimit për përparimin në drejtim të procesit të integrimit të mëtejshëm të vendit, kanë forcuar bazën legjislative dhe rregullatore, me synim garantimin e vendosjes në treg të produkteve në përputhje me gjithë kërkesat teknike dhe të sigurta për konsumatorët, duke mundësuar kështu mbrojtjen dhe fuqizimin e tyre.</w:t>
      </w:r>
      <w:r w:rsidR="00554681">
        <w:rPr>
          <w:rFonts w:cs="Times New Roman"/>
          <w:szCs w:val="24"/>
          <w:lang w:val="sq-AL"/>
        </w:rPr>
        <w:t xml:space="preserve"> </w:t>
      </w:r>
      <w:r w:rsidRPr="009475CC">
        <w:rPr>
          <w:rFonts w:cs="Times New Roman"/>
          <w:szCs w:val="24"/>
          <w:lang w:val="sq-AL"/>
        </w:rPr>
        <w:t>Shqipëria është mesatarisht e përgatitur në fushën e sigurisë së produkt</w:t>
      </w:r>
      <w:r w:rsidR="005A4008">
        <w:rPr>
          <w:rFonts w:cs="Times New Roman"/>
          <w:szCs w:val="24"/>
          <w:lang w:val="sq-AL"/>
        </w:rPr>
        <w:t>eve</w:t>
      </w:r>
      <w:r w:rsidRPr="009475CC">
        <w:rPr>
          <w:rFonts w:cs="Times New Roman"/>
          <w:szCs w:val="24"/>
          <w:lang w:val="sq-AL"/>
        </w:rPr>
        <w:t xml:space="preserve">. Rreth 55% e akteve në këtë kapitull janë harmonizuar pjesërisht (30 akte), ndërkohë që 45% </w:t>
      </w:r>
      <w:r w:rsidR="00554681">
        <w:rPr>
          <w:rFonts w:cs="Times New Roman"/>
          <w:szCs w:val="24"/>
          <w:lang w:val="sq-AL"/>
        </w:rPr>
        <w:t xml:space="preserve">të akteve </w:t>
      </w:r>
      <w:r w:rsidRPr="009475CC">
        <w:rPr>
          <w:rFonts w:cs="Times New Roman"/>
          <w:szCs w:val="24"/>
          <w:lang w:val="sq-AL"/>
        </w:rPr>
        <w:t>janë të paharmonizuara. Raporti i Komisionit Evropian për vitin 2021 përcakton se</w:t>
      </w:r>
      <w:r w:rsidR="005A4008">
        <w:rPr>
          <w:rFonts w:cs="Times New Roman"/>
          <w:szCs w:val="24"/>
          <w:lang w:val="sq-AL"/>
        </w:rPr>
        <w:t>:</w:t>
      </w:r>
      <w:r w:rsidRPr="009475CC">
        <w:rPr>
          <w:rFonts w:cs="Times New Roman"/>
          <w:szCs w:val="24"/>
          <w:lang w:val="sq-AL"/>
        </w:rPr>
        <w:t xml:space="preserve"> “Shqipëria ka arritur një nivel përgatitje/</w:t>
      </w:r>
      <w:r w:rsidR="005A4008">
        <w:rPr>
          <w:rFonts w:cs="Times New Roman"/>
          <w:szCs w:val="24"/>
          <w:lang w:val="sq-AL"/>
        </w:rPr>
        <w:t xml:space="preserve"> </w:t>
      </w:r>
      <w:r w:rsidRPr="009475CC">
        <w:rPr>
          <w:rFonts w:cs="Times New Roman"/>
          <w:szCs w:val="24"/>
          <w:lang w:val="sq-AL"/>
        </w:rPr>
        <w:t xml:space="preserve">është mesatarisht e përgatitur në fushën e lëvizjes së lirë të mallrave. Vlerësohet se </w:t>
      </w:r>
      <w:r w:rsidRPr="009475CC">
        <w:rPr>
          <w:rFonts w:cs="Times New Roman"/>
          <w:szCs w:val="24"/>
          <w:lang w:val="sq-AL"/>
        </w:rPr>
        <w:lastRenderedPageBreak/>
        <w:t xml:space="preserve">ka pasur progres të kufizuar në lidhje me përafrimin sektorial me acquis të produkteve për nënkapitullin “Përqasja e re dhe globale”. Ndërsa ka pasur përparim në lidhje me parimet e përgjithshme dhe strukturat që lidhen me infrastrukturën e cilësisë, rekomandimet e vitit të kaluar mbeten të vlefshme, pasi nevojiten përpjekje për të siguruar më shumë përafrim legjislativ dhe për të forcuar zbatimin.” Ky raport rekomandon që Shqipëria duhet veçanërisht: </w:t>
      </w:r>
    </w:p>
    <w:p w14:paraId="4E0C788B" w14:textId="77777777" w:rsidR="00023A2D" w:rsidRPr="009475CC" w:rsidRDefault="00023A2D" w:rsidP="00430E69">
      <w:pPr>
        <w:jc w:val="both"/>
        <w:rPr>
          <w:rFonts w:cs="Times New Roman"/>
          <w:szCs w:val="24"/>
          <w:lang w:val="sq-AL"/>
        </w:rPr>
      </w:pPr>
      <w:r w:rsidRPr="009475CC">
        <w:rPr>
          <w:rFonts w:cs="Times New Roman"/>
          <w:szCs w:val="24"/>
          <w:lang w:val="sq-AL"/>
        </w:rPr>
        <w:t xml:space="preserve">→ të përmirësojë kuadrin ligjor në përafrimin e legjislacionit të tij me acquis të BE -së duke fuqizuar rolin e konsumatorit në treg dhe  </w:t>
      </w:r>
    </w:p>
    <w:p w14:paraId="4F7949DB" w14:textId="1F26AC23" w:rsidR="00023A2D" w:rsidRPr="009475CC" w:rsidRDefault="00023A2D" w:rsidP="00430E69">
      <w:pPr>
        <w:jc w:val="both"/>
        <w:rPr>
          <w:rFonts w:cs="Times New Roman"/>
          <w:szCs w:val="24"/>
          <w:lang w:val="sq-AL"/>
        </w:rPr>
      </w:pPr>
      <w:r w:rsidRPr="009475CC">
        <w:rPr>
          <w:rFonts w:cs="Times New Roman"/>
          <w:szCs w:val="24"/>
          <w:lang w:val="sq-AL"/>
        </w:rPr>
        <w:t>→ të forcojë më tej kapacitetet  e institucioneve zbatuese  për të garantuar një mbrojt</w:t>
      </w:r>
      <w:r w:rsidR="005A4008">
        <w:rPr>
          <w:rFonts w:cs="Times New Roman"/>
          <w:szCs w:val="24"/>
          <w:lang w:val="sq-AL"/>
        </w:rPr>
        <w:t>j</w:t>
      </w:r>
      <w:r w:rsidRPr="009475CC">
        <w:rPr>
          <w:rFonts w:cs="Times New Roman"/>
          <w:szCs w:val="24"/>
          <w:lang w:val="sq-AL"/>
        </w:rPr>
        <w:t>e sa më të lartë të konsumatorëve në treg</w:t>
      </w:r>
      <w:r w:rsidR="005A4008">
        <w:rPr>
          <w:rFonts w:cs="Times New Roman"/>
          <w:szCs w:val="24"/>
          <w:lang w:val="sq-AL"/>
        </w:rPr>
        <w:t>.</w:t>
      </w:r>
    </w:p>
    <w:p w14:paraId="7B133CD5" w14:textId="77777777" w:rsidR="00023A2D" w:rsidRPr="009475CC" w:rsidRDefault="00023A2D" w:rsidP="00430E69">
      <w:pPr>
        <w:jc w:val="both"/>
        <w:rPr>
          <w:rFonts w:cs="Times New Roman"/>
          <w:szCs w:val="24"/>
          <w:lang w:val="sq-AL"/>
        </w:rPr>
      </w:pPr>
      <w:r w:rsidRPr="009475CC">
        <w:rPr>
          <w:rFonts w:cs="Times New Roman"/>
          <w:szCs w:val="24"/>
          <w:lang w:val="sq-AL"/>
        </w:rPr>
        <w:t>Një aspekt i rëndësishëm mbetet edhe sigurimi i bashkëpunimit me operatorët ekonomikë në treg, për t’u garantuar konsumatorëve produkte dhe shërbime të sigurta.</w:t>
      </w:r>
    </w:p>
    <w:p w14:paraId="2C11B543" w14:textId="77777777" w:rsidR="00023A2D" w:rsidRPr="009475CC" w:rsidRDefault="00023A2D" w:rsidP="00430E69">
      <w:pPr>
        <w:jc w:val="both"/>
        <w:rPr>
          <w:rFonts w:cs="Times New Roman"/>
          <w:szCs w:val="24"/>
          <w:lang w:val="sq-AL"/>
        </w:rPr>
      </w:pPr>
      <w:r w:rsidRPr="009475CC">
        <w:rPr>
          <w:rFonts w:cs="Times New Roman"/>
          <w:szCs w:val="24"/>
          <w:lang w:val="sq-AL"/>
        </w:rPr>
        <w:t>Me qëllim fuqizimin e rolit të konsumatorëve në treg dhe garantimin për vendosjen në treg të produkteve të sigurta, në përputhje me përcaktimet dhe kërkesat e legjislacionit të BE-së, Ministria e Financave dhe Ekonomisë, si institucioni përgjegjës në këto fusha, gjatë periudhës 2017-2021, në fushën e sigurisë së produkteve ka miratuar 5 akte nënligjore, që kanë synuar përcaktimin e kërkesave themelore të sigurisë, për të garantuar një nivel të mjaftueshëm të mbrojtjes së jetës, shëndetit të njerëzve, sigurisë së përdoruesve, si edhe lëvizjen e lirë në treg të produkteve, në përputhje me kërkesat evropiane, për produkte të tilla si: pajisjet elektrike të tensionit të ulët, instrumentet e peshimit jo automatik, përputhshmëria elektromagnetike, pajisjet e aerosolit dhe pajisjet mbrojtëse personale.</w:t>
      </w:r>
    </w:p>
    <w:p w14:paraId="3E6384CF" w14:textId="51FB0486" w:rsidR="00023A2D" w:rsidRPr="009475CC" w:rsidRDefault="00023A2D" w:rsidP="00430E69">
      <w:pPr>
        <w:jc w:val="both"/>
        <w:rPr>
          <w:rFonts w:cs="Times New Roman"/>
          <w:szCs w:val="24"/>
          <w:lang w:val="sq-AL"/>
        </w:rPr>
      </w:pPr>
      <w:r w:rsidRPr="009475CC">
        <w:rPr>
          <w:rFonts w:cs="Times New Roman"/>
          <w:szCs w:val="24"/>
          <w:lang w:val="sq-AL"/>
        </w:rPr>
        <w:t>Përveç kuadrit ligjor ekzistues dhe progresit të bërë deri tani në kontekstin e harmonizimit të legjislacionit vendas me atë e</w:t>
      </w:r>
      <w:r w:rsidR="00554681">
        <w:rPr>
          <w:rFonts w:cs="Times New Roman"/>
          <w:szCs w:val="24"/>
          <w:lang w:val="sq-AL"/>
        </w:rPr>
        <w:t>vr</w:t>
      </w:r>
      <w:r w:rsidRPr="009475CC">
        <w:rPr>
          <w:rFonts w:cs="Times New Roman"/>
          <w:szCs w:val="24"/>
          <w:lang w:val="sq-AL"/>
        </w:rPr>
        <w:t>opian, Shqipëria gjithashtu aktualisht disponon një draft të avancuar të një dokumenti me natyrë strategjike për fushën e lëvizjes së lirë të mallrave (Roadmap) i cili parashikon planifikimin e harmonizimit të mëtejshëm ligjor dhe institucional për të gjithë fushën e harmonizuar, për një periudhë 7 vjeçare. Ky dokument pritet të finalizohet, deri në fund të vitit 2022 dhe ka si qëllim planifikimin e harmonizimit të legjislacionit dhe ngritjen/</w:t>
      </w:r>
      <w:r w:rsidR="005A4008">
        <w:rPr>
          <w:rFonts w:cs="Times New Roman"/>
          <w:szCs w:val="24"/>
          <w:lang w:val="sq-AL"/>
        </w:rPr>
        <w:t xml:space="preserve"> </w:t>
      </w:r>
      <w:r w:rsidRPr="009475CC">
        <w:rPr>
          <w:rFonts w:cs="Times New Roman"/>
          <w:szCs w:val="24"/>
          <w:lang w:val="sq-AL"/>
        </w:rPr>
        <w:t>forcimin e kuadrit institucional përgjegjës për zbatimin, për të gjithë fushën e harmonizuar.</w:t>
      </w:r>
    </w:p>
    <w:p w14:paraId="0AEADF41" w14:textId="119B2BC4" w:rsidR="00023A2D" w:rsidRPr="009475CC" w:rsidRDefault="00023A2D" w:rsidP="00430E69">
      <w:pPr>
        <w:jc w:val="both"/>
        <w:rPr>
          <w:rFonts w:cs="Times New Roman"/>
          <w:szCs w:val="24"/>
          <w:lang w:val="sq-AL"/>
        </w:rPr>
      </w:pPr>
      <w:r w:rsidRPr="009475CC">
        <w:rPr>
          <w:rFonts w:cs="Times New Roman"/>
          <w:szCs w:val="24"/>
          <w:lang w:val="sq-AL"/>
        </w:rPr>
        <w:t xml:space="preserve">Një tjetër arritje në aspektin e </w:t>
      </w:r>
      <w:r w:rsidR="007B7707" w:rsidRPr="009475CC">
        <w:rPr>
          <w:rFonts w:cs="Times New Roman"/>
          <w:szCs w:val="24"/>
          <w:lang w:val="sq-AL"/>
        </w:rPr>
        <w:t>dokument</w:t>
      </w:r>
      <w:r w:rsidR="007B7707">
        <w:rPr>
          <w:rFonts w:cs="Times New Roman"/>
          <w:szCs w:val="24"/>
          <w:lang w:val="sq-AL"/>
        </w:rPr>
        <w:t>e</w:t>
      </w:r>
      <w:r w:rsidR="007B7707" w:rsidRPr="009475CC">
        <w:rPr>
          <w:rFonts w:cs="Times New Roman"/>
          <w:szCs w:val="24"/>
          <w:lang w:val="sq-AL"/>
        </w:rPr>
        <w:t xml:space="preserve">ve </w:t>
      </w:r>
      <w:r w:rsidRPr="009475CC">
        <w:rPr>
          <w:rFonts w:cs="Times New Roman"/>
          <w:szCs w:val="24"/>
          <w:lang w:val="sq-AL"/>
        </w:rPr>
        <w:t xml:space="preserve">me natyrë strategjike është  hartimi i Planit të Veprimit për Përputhshmërinë me nenet 34 – 36 të </w:t>
      </w:r>
      <w:bookmarkStart w:id="17" w:name="_Hlk121682716"/>
      <w:r w:rsidRPr="009475CC">
        <w:rPr>
          <w:rFonts w:cs="Times New Roman"/>
          <w:szCs w:val="24"/>
          <w:lang w:val="sq-AL"/>
        </w:rPr>
        <w:t>Traktatit të Funksionimit të Bashkimit Europian (TFBE).</w:t>
      </w:r>
      <w:bookmarkEnd w:id="17"/>
      <w:r w:rsidRPr="009475CC">
        <w:rPr>
          <w:rFonts w:cs="Times New Roman"/>
          <w:szCs w:val="24"/>
          <w:lang w:val="sq-AL"/>
        </w:rPr>
        <w:t xml:space="preserve"> Ky Plan Veprimi synon shqyrtimin e gjithë kuadrit ligjor shqiptar që rregullon tregtimin e produkteve, identifikimin, vlerësimin dhe shfuqizimin (apo mbajtjen e argumentuar) të masave me efekt të njëjtë me kufizimet sasiore për import/eksportin e tyre, të cilat janë të ndaluara sipas neneve 34-36 të TFBE (shkurt barrierat jo-tarifore të pajustifikuara në tregti me vendet e BE-së). </w:t>
      </w:r>
      <w:r w:rsidR="007B7707">
        <w:rPr>
          <w:rFonts w:cs="Times New Roman"/>
          <w:szCs w:val="24"/>
          <w:lang w:val="sq-AL"/>
        </w:rPr>
        <w:t xml:space="preserve">Faza e parë e këtij Plani veprimi, me 18 sektorë/grup produkte të analizuara është finalizuar në dhjetor 2022, ndërkohë që faza e dytë ku do të përfshihen potencialisht të gjithë sektorët/produktet e tjera, do të fillojë në vitin 2023. </w:t>
      </w:r>
    </w:p>
    <w:p w14:paraId="6F838339" w14:textId="6961C892" w:rsidR="00023A2D" w:rsidRPr="009475CC" w:rsidRDefault="00023A2D" w:rsidP="00430E69">
      <w:pPr>
        <w:contextualSpacing/>
        <w:jc w:val="both"/>
        <w:rPr>
          <w:rFonts w:cs="Times New Roman"/>
          <w:szCs w:val="24"/>
          <w:lang w:val="sq-AL"/>
        </w:rPr>
      </w:pPr>
      <w:r w:rsidRPr="009475CC">
        <w:rPr>
          <w:rFonts w:cs="Times New Roman"/>
          <w:szCs w:val="24"/>
          <w:lang w:val="sq-AL"/>
        </w:rPr>
        <w:t xml:space="preserve">Për shkak të kompleksitetit të procesit të identifikimit të barrierave dhe analizës së tyre, si edhe shtrirjen horizontale të këtij procesi, </w:t>
      </w:r>
      <w:r w:rsidR="007B7707">
        <w:rPr>
          <w:rFonts w:cs="Times New Roman"/>
          <w:szCs w:val="24"/>
          <w:lang w:val="sq-AL"/>
        </w:rPr>
        <w:t xml:space="preserve">sic u përmend më sipër, </w:t>
      </w:r>
      <w:r w:rsidRPr="009475CC">
        <w:rPr>
          <w:rFonts w:cs="Times New Roman"/>
          <w:szCs w:val="24"/>
          <w:lang w:val="sq-AL"/>
        </w:rPr>
        <w:t>analiza ka nisur fillimisht me 18 sektorë/</w:t>
      </w:r>
      <w:r w:rsidR="00D52DC6">
        <w:rPr>
          <w:rFonts w:cs="Times New Roman"/>
          <w:szCs w:val="24"/>
          <w:lang w:val="sq-AL"/>
        </w:rPr>
        <w:t xml:space="preserve"> </w:t>
      </w:r>
      <w:r w:rsidRPr="009475CC">
        <w:rPr>
          <w:rFonts w:cs="Times New Roman"/>
          <w:szCs w:val="24"/>
          <w:lang w:val="sq-AL"/>
        </w:rPr>
        <w:t>produkte të përzgjedhur. Pas përfundimit të pro</w:t>
      </w:r>
      <w:r w:rsidR="00D52DC6">
        <w:rPr>
          <w:rFonts w:cs="Times New Roman"/>
          <w:szCs w:val="24"/>
          <w:lang w:val="sq-AL"/>
        </w:rPr>
        <w:t>ç</w:t>
      </w:r>
      <w:r w:rsidRPr="009475CC">
        <w:rPr>
          <w:rFonts w:cs="Times New Roman"/>
          <w:szCs w:val="24"/>
          <w:lang w:val="sq-AL"/>
        </w:rPr>
        <w:t>esit të identifikimit dhe analizës së masave/</w:t>
      </w:r>
      <w:r w:rsidR="00D52DC6">
        <w:rPr>
          <w:rFonts w:cs="Times New Roman"/>
          <w:szCs w:val="24"/>
          <w:lang w:val="sq-AL"/>
        </w:rPr>
        <w:t xml:space="preserve"> </w:t>
      </w:r>
      <w:r w:rsidRPr="009475CC">
        <w:rPr>
          <w:rFonts w:cs="Times New Roman"/>
          <w:szCs w:val="24"/>
          <w:lang w:val="sq-AL"/>
        </w:rPr>
        <w:t>barrierave, si dhe konsultimeve me institucionet përgjegjëse, rezulton si më poshtë:</w:t>
      </w:r>
    </w:p>
    <w:p w14:paraId="234E0DE8" w14:textId="525C8FD0" w:rsidR="00023A2D" w:rsidRPr="009475CC" w:rsidRDefault="00023A2D" w:rsidP="00430E69">
      <w:pPr>
        <w:contextualSpacing/>
        <w:jc w:val="both"/>
        <w:rPr>
          <w:rFonts w:cs="Times New Roman"/>
          <w:szCs w:val="24"/>
          <w:lang w:val="sq-AL"/>
        </w:rPr>
      </w:pPr>
      <w:r w:rsidRPr="009475CC">
        <w:rPr>
          <w:rFonts w:cs="Times New Roman"/>
          <w:szCs w:val="24"/>
          <w:lang w:val="sq-AL"/>
        </w:rPr>
        <w:t>-</w:t>
      </w:r>
      <w:r w:rsidR="007B7707">
        <w:rPr>
          <w:rFonts w:cs="Times New Roman"/>
          <w:szCs w:val="24"/>
          <w:lang w:val="sq-AL"/>
        </w:rPr>
        <w:t xml:space="preserve"> </w:t>
      </w:r>
      <w:r w:rsidRPr="009475CC">
        <w:rPr>
          <w:rFonts w:cs="Times New Roman"/>
          <w:szCs w:val="24"/>
          <w:lang w:val="sq-AL"/>
        </w:rPr>
        <w:t>Janë analizuar 60 akte ligjore dhe nënligjore që rregullojnë tregtimin e produkteve</w:t>
      </w:r>
      <w:r w:rsidR="00D52DC6">
        <w:rPr>
          <w:rFonts w:cs="Times New Roman"/>
          <w:szCs w:val="24"/>
          <w:lang w:val="sq-AL"/>
        </w:rPr>
        <w:t>;</w:t>
      </w:r>
    </w:p>
    <w:p w14:paraId="04783BDA" w14:textId="5CEA5038" w:rsidR="00023A2D" w:rsidRPr="009475CC" w:rsidRDefault="00023A2D" w:rsidP="00430E69">
      <w:pPr>
        <w:contextualSpacing/>
        <w:jc w:val="both"/>
        <w:rPr>
          <w:rFonts w:cs="Times New Roman"/>
          <w:szCs w:val="24"/>
          <w:lang w:val="sq-AL"/>
        </w:rPr>
      </w:pPr>
      <w:r w:rsidRPr="009475CC">
        <w:rPr>
          <w:rFonts w:cs="Times New Roman"/>
          <w:szCs w:val="24"/>
          <w:lang w:val="sq-AL"/>
        </w:rPr>
        <w:lastRenderedPageBreak/>
        <w:t>-</w:t>
      </w:r>
      <w:r w:rsidR="007B7707">
        <w:rPr>
          <w:rFonts w:cs="Times New Roman"/>
          <w:szCs w:val="24"/>
          <w:lang w:val="sq-AL"/>
        </w:rPr>
        <w:t xml:space="preserve"> </w:t>
      </w:r>
      <w:r w:rsidRPr="009475CC">
        <w:rPr>
          <w:rFonts w:cs="Times New Roman"/>
          <w:szCs w:val="24"/>
          <w:lang w:val="sq-AL"/>
        </w:rPr>
        <w:t>Janë konsultuar 40 akte ligjore të BE-së relevante të cilat janë harmonizuar me këto akte apo rregullojnë produktet në fjalë;</w:t>
      </w:r>
    </w:p>
    <w:p w14:paraId="139CC103" w14:textId="0823B972" w:rsidR="00023A2D" w:rsidRDefault="00023A2D" w:rsidP="00023A2D">
      <w:pPr>
        <w:contextualSpacing/>
        <w:jc w:val="both"/>
        <w:rPr>
          <w:rFonts w:cs="Times New Roman"/>
          <w:szCs w:val="24"/>
          <w:lang w:val="sq-AL"/>
        </w:rPr>
      </w:pPr>
      <w:r w:rsidRPr="009475CC">
        <w:rPr>
          <w:rFonts w:cs="Times New Roman"/>
          <w:szCs w:val="24"/>
          <w:lang w:val="sq-AL"/>
        </w:rPr>
        <w:t>-</w:t>
      </w:r>
      <w:r w:rsidR="007B7707">
        <w:rPr>
          <w:rFonts w:cs="Times New Roman"/>
          <w:szCs w:val="24"/>
          <w:lang w:val="sq-AL"/>
        </w:rPr>
        <w:t xml:space="preserve"> </w:t>
      </w:r>
      <w:r w:rsidRPr="009475CC">
        <w:rPr>
          <w:rFonts w:cs="Times New Roman"/>
          <w:szCs w:val="24"/>
          <w:lang w:val="sq-AL"/>
        </w:rPr>
        <w:t xml:space="preserve">Janë identifikuar 28 barriera. </w:t>
      </w:r>
    </w:p>
    <w:p w14:paraId="43DD9D6C" w14:textId="77777777" w:rsidR="007B7707" w:rsidRPr="009475CC" w:rsidRDefault="007B7707" w:rsidP="00023A2D">
      <w:pPr>
        <w:contextualSpacing/>
        <w:jc w:val="both"/>
        <w:rPr>
          <w:rFonts w:cs="Times New Roman"/>
          <w:szCs w:val="24"/>
          <w:lang w:val="sq-AL"/>
        </w:rPr>
      </w:pPr>
    </w:p>
    <w:p w14:paraId="0976B252" w14:textId="602E3171" w:rsidR="007F174D" w:rsidRPr="009475CC" w:rsidRDefault="007F174D" w:rsidP="00023A2D">
      <w:pPr>
        <w:contextualSpacing/>
        <w:jc w:val="both"/>
        <w:rPr>
          <w:rFonts w:cs="Times New Roman"/>
          <w:szCs w:val="24"/>
          <w:lang w:val="sq-AL"/>
        </w:rPr>
      </w:pPr>
      <w:r w:rsidRPr="009475CC">
        <w:rPr>
          <w:rFonts w:cs="Times New Roman"/>
          <w:szCs w:val="24"/>
          <w:lang w:val="sq-AL"/>
        </w:rPr>
        <w:t>Grafiku 1. Barrierat sipas akteve                    Grafiku 2. Barrierat sipas sektorëve</w:t>
      </w:r>
    </w:p>
    <w:p w14:paraId="29A39A61" w14:textId="39F2C78A" w:rsidR="007F174D" w:rsidRPr="009475CC" w:rsidRDefault="007F174D" w:rsidP="00023A2D">
      <w:pPr>
        <w:contextualSpacing/>
        <w:jc w:val="both"/>
        <w:rPr>
          <w:rFonts w:cs="Times New Roman"/>
          <w:szCs w:val="24"/>
          <w:lang w:val="sq-AL"/>
        </w:rPr>
      </w:pPr>
      <w:r w:rsidRPr="009475CC">
        <w:rPr>
          <w:rFonts w:cs="Times New Roman"/>
          <w:noProof/>
          <w:szCs w:val="24"/>
          <w:lang w:val="en-US"/>
        </w:rPr>
        <w:drawing>
          <wp:inline distT="0" distB="0" distL="0" distR="0" wp14:anchorId="5C06CAAF" wp14:editId="0F5577B3">
            <wp:extent cx="2070100" cy="1238250"/>
            <wp:effectExtent l="0" t="0" r="6350" b="0"/>
            <wp:docPr id="7" name="Chart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3B5EC0-3185-4FEE-9D60-F9BE7C69B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52DC6">
        <w:rPr>
          <w:rFonts w:cs="Times New Roman"/>
          <w:szCs w:val="24"/>
          <w:lang w:val="sq-AL"/>
        </w:rPr>
        <w:t xml:space="preserve">                         </w:t>
      </w:r>
      <w:r w:rsidRPr="009475CC">
        <w:rPr>
          <w:rFonts w:cs="Times New Roman"/>
          <w:noProof/>
          <w:szCs w:val="24"/>
          <w:lang w:val="en-US"/>
        </w:rPr>
        <w:drawing>
          <wp:inline distT="0" distB="0" distL="0" distR="0" wp14:anchorId="0E2D9348" wp14:editId="5FF7B5B9">
            <wp:extent cx="1689100" cy="1171575"/>
            <wp:effectExtent l="0" t="0" r="6350" b="9525"/>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604FA3-75F2-4D09-96DB-EE9A189E7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D46274" w14:textId="77777777" w:rsidR="00430E69" w:rsidRDefault="00430E69" w:rsidP="00023A2D">
      <w:pPr>
        <w:contextualSpacing/>
        <w:jc w:val="both"/>
        <w:rPr>
          <w:rFonts w:cs="Times New Roman"/>
          <w:szCs w:val="24"/>
          <w:lang w:val="sq-AL"/>
        </w:rPr>
      </w:pPr>
    </w:p>
    <w:p w14:paraId="7FA54702" w14:textId="5E5F888E" w:rsidR="00023A2D" w:rsidRDefault="00023A2D" w:rsidP="00023A2D">
      <w:pPr>
        <w:contextualSpacing/>
        <w:jc w:val="both"/>
        <w:rPr>
          <w:rFonts w:cs="Times New Roman"/>
          <w:szCs w:val="24"/>
          <w:lang w:val="sq-AL"/>
        </w:rPr>
      </w:pPr>
      <w:r w:rsidRPr="009475CC">
        <w:rPr>
          <w:rFonts w:cs="Times New Roman"/>
          <w:szCs w:val="24"/>
          <w:lang w:val="sq-AL"/>
        </w:rPr>
        <w:t xml:space="preserve">Ky dokument pritet të përditësohet më tej në vitet në vijim, duke shtrirë analizën në një shkallë më të gjerë të produkteve/sektorëve. </w:t>
      </w:r>
    </w:p>
    <w:p w14:paraId="12068622" w14:textId="77777777" w:rsidR="007B7707" w:rsidRPr="009475CC" w:rsidRDefault="007B7707" w:rsidP="00023A2D">
      <w:pPr>
        <w:contextualSpacing/>
        <w:jc w:val="both"/>
        <w:rPr>
          <w:rFonts w:cs="Times New Roman"/>
          <w:szCs w:val="24"/>
          <w:lang w:val="sq-AL"/>
        </w:rPr>
      </w:pPr>
    </w:p>
    <w:p w14:paraId="204EADB2" w14:textId="77777777" w:rsidR="00023A2D" w:rsidRPr="009475CC" w:rsidRDefault="00023A2D" w:rsidP="00430E69">
      <w:pPr>
        <w:jc w:val="both"/>
        <w:rPr>
          <w:rFonts w:cs="Times New Roman"/>
          <w:szCs w:val="24"/>
          <w:lang w:val="sq-AL"/>
        </w:rPr>
      </w:pPr>
      <w:r w:rsidRPr="009475CC">
        <w:rPr>
          <w:rFonts w:cs="Times New Roman"/>
          <w:szCs w:val="24"/>
          <w:lang w:val="sq-AL"/>
        </w:rPr>
        <w:t xml:space="preserve">Krijimi i Inspektoratit Shtetëror të Mbikëqyrjes së Tregut, mbështetur në legjislacionin e sigurisë së produkteve, ka ndikuar gjithashtu, në forcimin më tej të zbatimit të standardeve dhe legjislacionit për sigurinë e produkteve në treg dhe mbrojtjen e konsumatorëve, duke siguruar monitorim dhe kontroll të tregut, si dhe zhvillimin e mjeteve parandaluese të rrezikut nëpërmjet informimit, këshillimit dhe bashkëpunimit.    </w:t>
      </w:r>
    </w:p>
    <w:p w14:paraId="57F6990D" w14:textId="2C569DDA" w:rsidR="00023A2D" w:rsidRPr="009475CC" w:rsidRDefault="00023A2D" w:rsidP="00430E69">
      <w:pPr>
        <w:jc w:val="both"/>
        <w:rPr>
          <w:rFonts w:cs="Times New Roman"/>
          <w:szCs w:val="24"/>
          <w:lang w:val="sq-AL"/>
        </w:rPr>
      </w:pPr>
      <w:r w:rsidRPr="009475CC">
        <w:rPr>
          <w:rFonts w:cs="Times New Roman"/>
          <w:szCs w:val="24"/>
          <w:lang w:val="sq-AL"/>
        </w:rPr>
        <w:t>Pavarësisht arritjeve të viteve të fundit, sfidat për të ardhmen lidhen me vijimin e përmirësimit të legjislacionit, sidomos për ato sektorë/produkte për të cilat ende nuk ka një bazë legjislative/rregullator</w:t>
      </w:r>
      <w:r w:rsidR="00554681">
        <w:rPr>
          <w:rFonts w:cs="Times New Roman"/>
          <w:szCs w:val="24"/>
          <w:lang w:val="sq-AL"/>
        </w:rPr>
        <w:t>e</w:t>
      </w:r>
      <w:r w:rsidRPr="009475CC">
        <w:rPr>
          <w:rFonts w:cs="Times New Roman"/>
          <w:szCs w:val="24"/>
          <w:lang w:val="sq-AL"/>
        </w:rPr>
        <w:t xml:space="preserve"> të harmonizuar, me qëllim sigurimin e ofrimit të produkteve të sigurta dhe në përputhje me gjithë kërkesat, veçanërisht në kuadër të procesit të integrimit dhe përshtatjes me ndryshimet e legjislacionit europian në këtë fushë; si dhe edukimin dhe ndërgjegjësimin të mëtejshëm të operatorëve ekonomikë në treg dhe konsumatorëve, </w:t>
      </w:r>
      <w:bookmarkStart w:id="18" w:name="_Hlk117244451"/>
      <w:r w:rsidRPr="009475CC">
        <w:rPr>
          <w:rFonts w:cs="Times New Roman"/>
          <w:szCs w:val="24"/>
          <w:lang w:val="sq-AL"/>
        </w:rPr>
        <w:t>për detyrimet/</w:t>
      </w:r>
      <w:r w:rsidR="00554681">
        <w:rPr>
          <w:rFonts w:cs="Times New Roman"/>
          <w:szCs w:val="24"/>
          <w:lang w:val="sq-AL"/>
        </w:rPr>
        <w:t xml:space="preserve"> </w:t>
      </w:r>
      <w:r w:rsidRPr="009475CC">
        <w:rPr>
          <w:rFonts w:cs="Times New Roman"/>
          <w:szCs w:val="24"/>
          <w:lang w:val="sq-AL"/>
        </w:rPr>
        <w:t>të drejtat përkatëse dhe parashikimet e legjislacionit që i mundësojnë mbrojtjen e këtyre të drejtave në transaksionet e blerjes së mallrave dhe shërbimeve, përmes zhvillimit të fushatave/</w:t>
      </w:r>
      <w:r w:rsidR="00554681">
        <w:rPr>
          <w:rFonts w:cs="Times New Roman"/>
          <w:szCs w:val="24"/>
          <w:lang w:val="sq-AL"/>
        </w:rPr>
        <w:t xml:space="preserve"> </w:t>
      </w:r>
      <w:r w:rsidRPr="009475CC">
        <w:rPr>
          <w:rFonts w:cs="Times New Roman"/>
          <w:szCs w:val="24"/>
          <w:lang w:val="sq-AL"/>
        </w:rPr>
        <w:t xml:space="preserve">aktiviteteve të ndërgjegjësimit, informimit, edukimit. </w:t>
      </w:r>
      <w:bookmarkEnd w:id="18"/>
      <w:r w:rsidRPr="009475CC">
        <w:rPr>
          <w:rFonts w:cs="Times New Roman"/>
          <w:szCs w:val="24"/>
          <w:lang w:val="sq-AL"/>
        </w:rPr>
        <w:t>Impakti i përmirësimit të legjislacionit në fushën e sigurisë së produkteve joushqimore lidhet me ofrimin e një niveli më të lartë mbrojtjeje të interesave publike, si</w:t>
      </w:r>
      <w:r w:rsidR="0041702E">
        <w:rPr>
          <w:rFonts w:cs="Times New Roman"/>
          <w:szCs w:val="24"/>
          <w:lang w:val="sq-AL"/>
        </w:rPr>
        <w:t xml:space="preserve">: </w:t>
      </w:r>
      <w:r w:rsidRPr="009475CC">
        <w:rPr>
          <w:rFonts w:cs="Times New Roman"/>
          <w:szCs w:val="24"/>
          <w:lang w:val="sq-AL"/>
        </w:rPr>
        <w:t xml:space="preserve">shëndeti dhe siguria në përgjithësi, mbrojtjen e konsumatorëve, mbrojtjen e mjedisit, sigurinë publike dhe çdo interesi tjetër publik. Zbatimi i këtyre kërkesave është thelbësor për mbrojtjen e duhur të këtyre interesave dhe për të krijuar kushte në të cilat konkurrenca e ndershme mund të lulëzojë.   </w:t>
      </w:r>
    </w:p>
    <w:p w14:paraId="2A5A7C3D" w14:textId="77777777" w:rsidR="00023A2D" w:rsidRPr="009475CC" w:rsidRDefault="00023A2D" w:rsidP="00430E69">
      <w:pPr>
        <w:jc w:val="both"/>
        <w:rPr>
          <w:rFonts w:cs="Times New Roman"/>
          <w:szCs w:val="24"/>
          <w:lang w:val="sq-AL"/>
        </w:rPr>
      </w:pPr>
      <w:r w:rsidRPr="009475CC">
        <w:rPr>
          <w:rFonts w:cs="Times New Roman"/>
          <w:szCs w:val="24"/>
          <w:lang w:val="sq-AL"/>
        </w:rPr>
        <w:t>Transpozimi i legjislacionit evropian të veçantë për produktet nën Kapitullin 1 të acquis “Lëvizja e lirë e mallrave”, me qëllim heqjen e barrierave teknike të panevojshme në tregti, promovimin e një ambienti të lirë konkurrues dhe krijimin e të njëjtit nivel mbrojtje të konsumatorëve shqiptarë me ato evropiane, është dhe mbetet prioritet i gjithë ministrive sipas fushave përkatëse të përgjegjësisë.</w:t>
      </w:r>
    </w:p>
    <w:p w14:paraId="6C5CF4F1" w14:textId="77777777" w:rsidR="00023A2D" w:rsidRPr="009475CC" w:rsidRDefault="00023A2D" w:rsidP="00430E69">
      <w:pPr>
        <w:jc w:val="both"/>
        <w:rPr>
          <w:rFonts w:cs="Times New Roman"/>
          <w:szCs w:val="24"/>
          <w:lang w:val="sq-AL"/>
        </w:rPr>
      </w:pPr>
      <w:r w:rsidRPr="009475CC">
        <w:rPr>
          <w:rFonts w:cs="Times New Roman"/>
          <w:szCs w:val="24"/>
          <w:lang w:val="sq-AL"/>
        </w:rPr>
        <w:t xml:space="preserve">Me qëllim arritjen e një shkalle më të lartë të transpozimit, mbështetur në rekomandimet e dhëna në Raport Progresin për Shqipërinë, nevojitet vijimi i punës për përafrimin e acquis në fusha të tilla si: pajisjet e gazit, pajisjet dhe sistemet mbrojtëse që përdoren në ambiente (atmosferë) potencialisht shpërthyese, mjetet motorike, praktikat e mira laboratorike, prekusorët e drogave, instalimet teleferike tё projektuara për transport personash, produktet e ndërtimit, pajisjet e thjeshta nën presion etj.   </w:t>
      </w:r>
    </w:p>
    <w:p w14:paraId="1CB95510" w14:textId="4DB4B65B" w:rsidR="0041702E" w:rsidRPr="00430E69" w:rsidRDefault="00023A2D" w:rsidP="00430E69">
      <w:pPr>
        <w:jc w:val="both"/>
        <w:rPr>
          <w:rFonts w:cs="Times New Roman"/>
          <w:szCs w:val="24"/>
          <w:lang w:val="sq-AL"/>
        </w:rPr>
      </w:pPr>
      <w:r w:rsidRPr="009475CC">
        <w:rPr>
          <w:rFonts w:cs="Times New Roman"/>
          <w:szCs w:val="24"/>
          <w:lang w:val="sq-AL"/>
        </w:rPr>
        <w:lastRenderedPageBreak/>
        <w:t xml:space="preserve">Sfida për funksionimin e institucioneve teknike efektive në garantimin e produkteve dhe shërbimeve ndaj operatorëve ekonomikë, nëpërmjet infrastrukturës së cilësisë dhe mbikëqyrjes së tregut, lidhet edhe me përmirësimin, rritjen e kapaciteteve institucionale të tyre, përfshirjen në organizma europiane në nivel institucional dhe sektorial, përmirësimi i procedurave dhe mbarëvajtja e punës për të garantuar funksionimin e një tregu të brendshëm në nivelet më të larta të sigurisë së produktit/shërbimit dhe mbrojten e interesave ekonomikë të konsumatorëve.    </w:t>
      </w:r>
    </w:p>
    <w:p w14:paraId="4607C8B3" w14:textId="3FB9044E" w:rsidR="009E2F46" w:rsidRPr="000A0299" w:rsidRDefault="009912DA" w:rsidP="000A0299">
      <w:pPr>
        <w:rPr>
          <w:rFonts w:cs="Times New Roman"/>
          <w:b/>
          <w:bCs/>
          <w:i/>
          <w:iCs/>
          <w:color w:val="2F5496" w:themeColor="accent5" w:themeShade="BF"/>
          <w:szCs w:val="24"/>
          <w:lang w:val="sq-AL"/>
        </w:rPr>
      </w:pPr>
      <w:r w:rsidRPr="000A0299">
        <w:rPr>
          <w:rFonts w:cs="Times New Roman"/>
          <w:b/>
          <w:bCs/>
          <w:i/>
          <w:iCs/>
          <w:color w:val="2F5496" w:themeColor="accent5" w:themeShade="BF"/>
          <w:szCs w:val="24"/>
          <w:lang w:val="sq-AL"/>
        </w:rPr>
        <w:t>M</w:t>
      </w:r>
      <w:r w:rsidR="002404C8" w:rsidRPr="000A0299">
        <w:rPr>
          <w:rFonts w:cs="Times New Roman"/>
          <w:b/>
          <w:bCs/>
          <w:i/>
          <w:iCs/>
          <w:color w:val="2F5496" w:themeColor="accent5" w:themeShade="BF"/>
          <w:szCs w:val="24"/>
          <w:lang w:val="sq-AL"/>
        </w:rPr>
        <w:t xml:space="preserve">inistria e </w:t>
      </w:r>
      <w:r w:rsidRPr="000A0299">
        <w:rPr>
          <w:rFonts w:cs="Times New Roman"/>
          <w:b/>
          <w:bCs/>
          <w:i/>
          <w:iCs/>
          <w:color w:val="2F5496" w:themeColor="accent5" w:themeShade="BF"/>
          <w:szCs w:val="24"/>
          <w:lang w:val="sq-AL"/>
        </w:rPr>
        <w:t>T</w:t>
      </w:r>
      <w:r w:rsidR="002404C8" w:rsidRPr="000A0299">
        <w:rPr>
          <w:rFonts w:cs="Times New Roman"/>
          <w:b/>
          <w:bCs/>
          <w:i/>
          <w:iCs/>
          <w:color w:val="2F5496" w:themeColor="accent5" w:themeShade="BF"/>
          <w:szCs w:val="24"/>
          <w:lang w:val="sq-AL"/>
        </w:rPr>
        <w:t>uriz</w:t>
      </w:r>
      <w:r w:rsidR="000A0299" w:rsidRPr="000A0299">
        <w:rPr>
          <w:rFonts w:cs="Times New Roman"/>
          <w:b/>
          <w:bCs/>
          <w:i/>
          <w:iCs/>
          <w:color w:val="2F5496" w:themeColor="accent5" w:themeShade="BF"/>
          <w:szCs w:val="24"/>
          <w:lang w:val="sq-AL"/>
        </w:rPr>
        <w:t>m</w:t>
      </w:r>
      <w:r w:rsidR="002404C8" w:rsidRPr="000A0299">
        <w:rPr>
          <w:rFonts w:cs="Times New Roman"/>
          <w:b/>
          <w:bCs/>
          <w:i/>
          <w:iCs/>
          <w:color w:val="2F5496" w:themeColor="accent5" w:themeShade="BF"/>
          <w:szCs w:val="24"/>
          <w:lang w:val="sq-AL"/>
        </w:rPr>
        <w:t>it dhe</w:t>
      </w:r>
      <w:r w:rsidR="009E2F46" w:rsidRPr="000A0299">
        <w:rPr>
          <w:rFonts w:cs="Times New Roman"/>
          <w:b/>
          <w:bCs/>
          <w:i/>
          <w:iCs/>
          <w:color w:val="2F5496" w:themeColor="accent5" w:themeShade="BF"/>
          <w:szCs w:val="24"/>
          <w:lang w:val="sq-AL"/>
        </w:rPr>
        <w:t xml:space="preserve"> </w:t>
      </w:r>
      <w:r w:rsidRPr="000A0299">
        <w:rPr>
          <w:rFonts w:cs="Times New Roman"/>
          <w:b/>
          <w:bCs/>
          <w:i/>
          <w:iCs/>
          <w:color w:val="2F5496" w:themeColor="accent5" w:themeShade="BF"/>
          <w:szCs w:val="24"/>
          <w:lang w:val="sq-AL"/>
        </w:rPr>
        <w:t>M</w:t>
      </w:r>
      <w:r w:rsidR="002404C8" w:rsidRPr="000A0299">
        <w:rPr>
          <w:rFonts w:cs="Times New Roman"/>
          <w:b/>
          <w:bCs/>
          <w:i/>
          <w:iCs/>
          <w:color w:val="2F5496" w:themeColor="accent5" w:themeShade="BF"/>
          <w:szCs w:val="24"/>
          <w:lang w:val="sq-AL"/>
        </w:rPr>
        <w:t>jedisit</w:t>
      </w:r>
    </w:p>
    <w:p w14:paraId="26457C86" w14:textId="4BBED0D1" w:rsidR="00980B69" w:rsidRPr="009475CC" w:rsidRDefault="00980B69" w:rsidP="00430E69">
      <w:pPr>
        <w:jc w:val="both"/>
        <w:rPr>
          <w:rFonts w:cs="Times New Roman"/>
          <w:szCs w:val="24"/>
          <w:lang w:val="sq-AL"/>
        </w:rPr>
      </w:pPr>
      <w:r w:rsidRPr="009475CC">
        <w:rPr>
          <w:rFonts w:cs="Times New Roman"/>
          <w:szCs w:val="24"/>
          <w:lang w:val="sq-AL"/>
        </w:rPr>
        <w:t xml:space="preserve">Ministria e Turizmit dhe Mjedisit funksionon bazuar në VKM nr. 112, datë 2.3.2022 “Për përcaktimin e fushës së përgjegjësisë shtetërore të Ministrisë së Turizmit dhe Mjedisit”. Ky insitucion e ushtron veprimtarinë e tij ndër të tjera dhe në përputhje me legjislacionin sektorial për fushën e mjedisit dhe kimikatet. MTM është autoriteti kompetent në zbatim të Ligjit </w:t>
      </w:r>
      <w:r w:rsidR="00D52DC6">
        <w:rPr>
          <w:rFonts w:cs="Times New Roman"/>
          <w:szCs w:val="24"/>
          <w:lang w:val="sq-AL"/>
        </w:rPr>
        <w:t xml:space="preserve">nr. </w:t>
      </w:r>
      <w:r w:rsidRPr="009475CC">
        <w:rPr>
          <w:rFonts w:cs="Times New Roman"/>
          <w:szCs w:val="24"/>
          <w:lang w:val="sq-AL"/>
        </w:rPr>
        <w:t>27/2016, datë 17.03.2016 “Për menaxhimin e kimikateve</w:t>
      </w:r>
      <w:r w:rsidR="00D52DC6">
        <w:rPr>
          <w:rFonts w:cs="Times New Roman"/>
          <w:szCs w:val="24"/>
          <w:lang w:val="sq-AL"/>
        </w:rPr>
        <w:t>”</w:t>
      </w:r>
      <w:r w:rsidRPr="009475CC">
        <w:rPr>
          <w:rFonts w:cs="Times New Roman"/>
          <w:szCs w:val="24"/>
          <w:lang w:val="sq-AL"/>
        </w:rPr>
        <w:t>.</w:t>
      </w:r>
    </w:p>
    <w:p w14:paraId="52C6EC48" w14:textId="34ECB8E1" w:rsidR="00980B69" w:rsidRPr="009475CC" w:rsidRDefault="00980B69" w:rsidP="00EE4CB6">
      <w:pPr>
        <w:jc w:val="both"/>
        <w:rPr>
          <w:rFonts w:cs="Times New Roman"/>
          <w:szCs w:val="24"/>
          <w:lang w:val="sq-AL"/>
        </w:rPr>
      </w:pPr>
      <w:r w:rsidRPr="009475CC">
        <w:rPr>
          <w:rFonts w:cs="Times New Roman"/>
          <w:szCs w:val="24"/>
          <w:lang w:val="sq-AL"/>
        </w:rPr>
        <w:t xml:space="preserve">Prej vitit 2018, në vendin tonë zbatohet Ligji </w:t>
      </w:r>
      <w:r w:rsidR="00D52DC6">
        <w:rPr>
          <w:rFonts w:cs="Times New Roman"/>
          <w:szCs w:val="24"/>
          <w:lang w:val="sq-AL"/>
        </w:rPr>
        <w:t xml:space="preserve">nr. </w:t>
      </w:r>
      <w:r w:rsidRPr="009475CC">
        <w:rPr>
          <w:rFonts w:cs="Times New Roman"/>
          <w:szCs w:val="24"/>
          <w:lang w:val="sq-AL"/>
        </w:rPr>
        <w:t>27/2016, datë 17.03.2016 “Për menaxhimin e kimikateve”, i cili ka transpozuar pjes</w:t>
      </w:r>
      <w:r w:rsidR="0041702E">
        <w:rPr>
          <w:rFonts w:cs="Times New Roman"/>
          <w:szCs w:val="24"/>
          <w:lang w:val="sq-AL"/>
        </w:rPr>
        <w:t>ë</w:t>
      </w:r>
      <w:r w:rsidRPr="009475CC">
        <w:rPr>
          <w:rFonts w:cs="Times New Roman"/>
          <w:szCs w:val="24"/>
          <w:lang w:val="sq-AL"/>
        </w:rPr>
        <w:t xml:space="preserve">risht dy rregulloret e BE-së, Rregulloren (KE) </w:t>
      </w:r>
      <w:r w:rsidR="0080773B">
        <w:rPr>
          <w:rFonts w:cs="Times New Roman"/>
          <w:szCs w:val="24"/>
          <w:lang w:val="sq-AL"/>
        </w:rPr>
        <w:t>n</w:t>
      </w:r>
      <w:r w:rsidRPr="009475CC">
        <w:rPr>
          <w:rFonts w:cs="Times New Roman"/>
          <w:szCs w:val="24"/>
          <w:lang w:val="sq-AL"/>
        </w:rPr>
        <w:t xml:space="preserve">r. 1907/2006 (REACH) dhe Rregulloren (KE) </w:t>
      </w:r>
      <w:r w:rsidR="0080773B">
        <w:rPr>
          <w:rFonts w:cs="Times New Roman"/>
          <w:szCs w:val="24"/>
          <w:lang w:val="sq-AL"/>
        </w:rPr>
        <w:t>n</w:t>
      </w:r>
      <w:r w:rsidRPr="009475CC">
        <w:rPr>
          <w:rFonts w:cs="Times New Roman"/>
          <w:szCs w:val="24"/>
          <w:lang w:val="sq-AL"/>
        </w:rPr>
        <w:t>r. 1272/2008 (CLP). Këto dy rregullore kanë nje kontribut thelbësor mbi klasifikimin, etiketimin dhe paketimin e produkteve që përmbajnë kimikateve. Me miratimin e këtij akti do të mundësohet që konsumatorët të jenë të  informuar mbi produktet që ble</w:t>
      </w:r>
      <w:r w:rsidR="0080773B">
        <w:rPr>
          <w:rFonts w:cs="Times New Roman"/>
          <w:szCs w:val="24"/>
          <w:lang w:val="sq-AL"/>
        </w:rPr>
        <w:t>j</w:t>
      </w:r>
      <w:r w:rsidRPr="009475CC">
        <w:rPr>
          <w:rFonts w:cs="Times New Roman"/>
          <w:szCs w:val="24"/>
          <w:lang w:val="sq-AL"/>
        </w:rPr>
        <w:t>në.</w:t>
      </w:r>
    </w:p>
    <w:p w14:paraId="34636A90" w14:textId="7F4D5F7B" w:rsidR="00980B69" w:rsidRPr="009475CC" w:rsidRDefault="00980B69" w:rsidP="00EE4CB6">
      <w:pPr>
        <w:jc w:val="both"/>
        <w:rPr>
          <w:rFonts w:cs="Times New Roman"/>
          <w:szCs w:val="24"/>
          <w:lang w:val="sq-AL"/>
        </w:rPr>
      </w:pPr>
      <w:r w:rsidRPr="009475CC">
        <w:rPr>
          <w:rFonts w:cs="Times New Roman"/>
          <w:szCs w:val="24"/>
          <w:lang w:val="sq-AL"/>
        </w:rPr>
        <w:t>REACH është rregullore evropiane e cila bën rregullim të procedurave të vler</w:t>
      </w:r>
      <w:r w:rsidR="0080773B">
        <w:rPr>
          <w:rFonts w:cs="Times New Roman"/>
          <w:szCs w:val="24"/>
          <w:lang w:val="sq-AL"/>
        </w:rPr>
        <w:t>ë</w:t>
      </w:r>
      <w:r w:rsidRPr="009475CC">
        <w:rPr>
          <w:rFonts w:cs="Times New Roman"/>
          <w:szCs w:val="24"/>
          <w:lang w:val="sq-AL"/>
        </w:rPr>
        <w:t>simit dhe monitorimit</w:t>
      </w:r>
      <w:r w:rsidR="0080773B">
        <w:rPr>
          <w:rFonts w:cs="Times New Roman"/>
          <w:szCs w:val="24"/>
          <w:lang w:val="sq-AL"/>
        </w:rPr>
        <w:t xml:space="preserve"> </w:t>
      </w:r>
      <w:r w:rsidRPr="009475CC">
        <w:rPr>
          <w:rFonts w:cs="Times New Roman"/>
          <w:szCs w:val="24"/>
          <w:lang w:val="sq-AL"/>
        </w:rPr>
        <w:t>të dokumentacionit për kimikatet në treg, është përafruar pjesërisht në legjislacionin shqiptar, nëpërmjet Ligjit nr. 27/2016 “Për menaxhimin e kimikateve” dhe 3 VKM-ve specifike që kanë transpozuar deri tani 12 nga 17 Anekse që ka REACH.</w:t>
      </w:r>
    </w:p>
    <w:p w14:paraId="64FBD912" w14:textId="7D56AF4C" w:rsidR="00980B69" w:rsidRPr="009475CC" w:rsidRDefault="00980B69" w:rsidP="00EE4CB6">
      <w:pPr>
        <w:jc w:val="both"/>
        <w:rPr>
          <w:rFonts w:cs="Times New Roman"/>
          <w:szCs w:val="24"/>
          <w:lang w:val="sq-AL"/>
        </w:rPr>
      </w:pPr>
      <w:r w:rsidRPr="009475CC">
        <w:rPr>
          <w:rFonts w:cs="Times New Roman"/>
          <w:szCs w:val="24"/>
          <w:lang w:val="sq-AL"/>
        </w:rPr>
        <w:t>Aktet ligjore të miratuara kontribuojnë në përdorimin e sigurt të kimikateve, nëpërmjet kufizimit ose ndalimit të përdorimit, heqjen nga p</w:t>
      </w:r>
      <w:r w:rsidR="0041702E">
        <w:rPr>
          <w:rFonts w:cs="Times New Roman"/>
          <w:szCs w:val="24"/>
          <w:lang w:val="sq-AL"/>
        </w:rPr>
        <w:t>ë</w:t>
      </w:r>
      <w:r w:rsidRPr="009475CC">
        <w:rPr>
          <w:rFonts w:cs="Times New Roman"/>
          <w:szCs w:val="24"/>
          <w:lang w:val="sq-AL"/>
        </w:rPr>
        <w:t>rdorimi të substancave të rrezikshme dhe zëvendësimin e tyre me alternativa me të sigurta. Ky legjislacion kontribuon në vendosjen ne treg të artikujve dhe produkteve m</w:t>
      </w:r>
      <w:r w:rsidR="0080773B">
        <w:rPr>
          <w:rFonts w:cs="Times New Roman"/>
          <w:szCs w:val="24"/>
          <w:lang w:val="sq-AL"/>
        </w:rPr>
        <w:t>ë</w:t>
      </w:r>
      <w:r w:rsidRPr="009475CC">
        <w:rPr>
          <w:rFonts w:cs="Times New Roman"/>
          <w:szCs w:val="24"/>
          <w:lang w:val="sq-AL"/>
        </w:rPr>
        <w:t xml:space="preserve"> të sigurta për konsumatorin. REACH, nd</w:t>
      </w:r>
      <w:r w:rsidR="0080773B">
        <w:rPr>
          <w:rFonts w:cs="Times New Roman"/>
          <w:szCs w:val="24"/>
          <w:lang w:val="sq-AL"/>
        </w:rPr>
        <w:t>ë</w:t>
      </w:r>
      <w:r w:rsidRPr="009475CC">
        <w:rPr>
          <w:rFonts w:cs="Times New Roman"/>
          <w:szCs w:val="24"/>
          <w:lang w:val="sq-AL"/>
        </w:rPr>
        <w:t>r t</w:t>
      </w:r>
      <w:r w:rsidR="0080773B">
        <w:rPr>
          <w:rFonts w:cs="Times New Roman"/>
          <w:szCs w:val="24"/>
          <w:lang w:val="sq-AL"/>
        </w:rPr>
        <w:t>ë</w:t>
      </w:r>
      <w:r w:rsidRPr="009475CC">
        <w:rPr>
          <w:rFonts w:cs="Times New Roman"/>
          <w:szCs w:val="24"/>
          <w:lang w:val="sq-AL"/>
        </w:rPr>
        <w:t xml:space="preserve"> tjera rregullon substancat të cilat në formën e tyre të pastër ose të përzier, kanë si synim edhe përdorimin profesional ose përdorimin nga konsumatorët. </w:t>
      </w:r>
    </w:p>
    <w:p w14:paraId="2CC381AC" w14:textId="3CA62CEE" w:rsidR="00980B69" w:rsidRPr="009475CC" w:rsidRDefault="00980B69" w:rsidP="00EE4CB6">
      <w:pPr>
        <w:jc w:val="both"/>
        <w:rPr>
          <w:rFonts w:cs="Times New Roman"/>
          <w:szCs w:val="24"/>
          <w:lang w:val="sq-AL"/>
        </w:rPr>
      </w:pPr>
      <w:bookmarkStart w:id="19" w:name="_Hlk121683646"/>
      <w:r w:rsidRPr="009475CC">
        <w:rPr>
          <w:rFonts w:cs="Times New Roman"/>
          <w:szCs w:val="24"/>
          <w:lang w:val="sq-AL"/>
        </w:rPr>
        <w:t xml:space="preserve">Sistemi i </w:t>
      </w:r>
      <w:r w:rsidRPr="00D74A2E">
        <w:rPr>
          <w:rFonts w:cs="Times New Roman"/>
          <w:szCs w:val="24"/>
          <w:lang w:val="sq-AL"/>
        </w:rPr>
        <w:t xml:space="preserve">Harmonizuar Global i Klasifikimit dhe Etiketimit të Kimikateve (GHS), </w:t>
      </w:r>
      <w:bookmarkEnd w:id="19"/>
      <w:r w:rsidRPr="00D74A2E">
        <w:rPr>
          <w:rFonts w:cs="Times New Roman"/>
          <w:szCs w:val="24"/>
          <w:lang w:val="sq-AL"/>
        </w:rPr>
        <w:t>ndihmon transmetimin e informacionit që është në dispozicion mbi rreziqet e kimikateve, nga prodhuesit te përdoruesit final. Në Shqipëri, ky sistem zbatohet nëpermjet</w:t>
      </w:r>
      <w:r w:rsidRPr="009475CC">
        <w:rPr>
          <w:rFonts w:cs="Times New Roman"/>
          <w:szCs w:val="24"/>
          <w:lang w:val="sq-AL"/>
        </w:rPr>
        <w:t xml:space="preserve"> VKM nr. 488, datë 29.6.2016 “Për klasifikimin, etiketimin dhe ambalazhimin e kimikateve”, e cila transpozon Rregulloren e BE-së</w:t>
      </w:r>
      <w:r w:rsidR="0080773B">
        <w:rPr>
          <w:rFonts w:cs="Times New Roman"/>
          <w:szCs w:val="24"/>
          <w:lang w:val="sq-AL"/>
        </w:rPr>
        <w:t xml:space="preserve"> nr.</w:t>
      </w:r>
      <w:r w:rsidRPr="009475CC">
        <w:rPr>
          <w:rFonts w:cs="Times New Roman"/>
          <w:szCs w:val="24"/>
          <w:lang w:val="sq-AL"/>
        </w:rPr>
        <w:t xml:space="preserve"> 1272/2008. </w:t>
      </w:r>
    </w:p>
    <w:p w14:paraId="6352802B" w14:textId="7F30FE53" w:rsidR="00980B69" w:rsidRPr="009475CC" w:rsidRDefault="00980B69" w:rsidP="00EE4CB6">
      <w:pPr>
        <w:jc w:val="both"/>
        <w:rPr>
          <w:rFonts w:cs="Times New Roman"/>
          <w:szCs w:val="24"/>
          <w:lang w:val="sq-AL"/>
        </w:rPr>
      </w:pPr>
      <w:r w:rsidRPr="009475CC">
        <w:rPr>
          <w:rFonts w:cs="Times New Roman"/>
          <w:szCs w:val="24"/>
          <w:lang w:val="sq-AL"/>
        </w:rPr>
        <w:t>Falë CLP-së, rreziqet e kimikateve u komunikohen qartë punëtorëve dhe konsumatorëve përmes etiketave, piktogrameve, deklaratave standar</w:t>
      </w:r>
      <w:r w:rsidR="0080773B">
        <w:rPr>
          <w:rFonts w:cs="Times New Roman"/>
          <w:szCs w:val="24"/>
          <w:lang w:val="sq-AL"/>
        </w:rPr>
        <w:t>d</w:t>
      </w:r>
      <w:r w:rsidRPr="009475CC">
        <w:rPr>
          <w:rFonts w:cs="Times New Roman"/>
          <w:szCs w:val="24"/>
          <w:lang w:val="sq-AL"/>
        </w:rPr>
        <w:t>e të rrezikut, paralajmërimit etj</w:t>
      </w:r>
      <w:r w:rsidR="00D74A2E">
        <w:rPr>
          <w:rFonts w:cs="Times New Roman"/>
          <w:szCs w:val="24"/>
          <w:lang w:val="sq-AL"/>
        </w:rPr>
        <w:t>.</w:t>
      </w:r>
      <w:r w:rsidRPr="009475CC">
        <w:rPr>
          <w:rFonts w:cs="Times New Roman"/>
          <w:szCs w:val="24"/>
          <w:lang w:val="sq-AL"/>
        </w:rPr>
        <w:t xml:space="preserve">, që përdoren për çdo klasë dhe kategori rreziku, me qëllim paralajmërimin e tyre dhe marjen e masave përkatëse. </w:t>
      </w:r>
    </w:p>
    <w:p w14:paraId="6F0BE5E8" w14:textId="7E0FFC80" w:rsidR="00980B69" w:rsidRPr="009475CC" w:rsidRDefault="00980B69" w:rsidP="00430E69">
      <w:pPr>
        <w:ind w:left="360"/>
        <w:jc w:val="both"/>
        <w:rPr>
          <w:rFonts w:cs="Times New Roman"/>
          <w:szCs w:val="24"/>
          <w:lang w:val="sq-AL"/>
        </w:rPr>
      </w:pPr>
      <w:r w:rsidRPr="009475CC">
        <w:rPr>
          <w:rFonts w:cs="Times New Roman"/>
          <w:szCs w:val="24"/>
          <w:lang w:val="sq-AL"/>
        </w:rPr>
        <w:t>Ministria e Turizmit dhe Mjedisit, gjatë periudhës 2016-2021 është angazhuar për të arritur  në plotësimin e legjislacionit sekondar për kimikatet. Konkretisht, me qëllim mbrojtjen e mjedisit dhe shëndetit të njeriut nga kimikatet e rrezikshme janë miratuar 9 akte nënligjore dhe 1 ligj</w:t>
      </w:r>
      <w:r w:rsidR="0080773B">
        <w:rPr>
          <w:rFonts w:cs="Times New Roman"/>
          <w:szCs w:val="24"/>
          <w:lang w:val="sq-AL"/>
        </w:rPr>
        <w:t>,</w:t>
      </w:r>
      <w:r w:rsidRPr="009475CC">
        <w:rPr>
          <w:rFonts w:cs="Times New Roman"/>
          <w:szCs w:val="24"/>
          <w:lang w:val="sq-AL"/>
        </w:rPr>
        <w:t xml:space="preserve"> të cil</w:t>
      </w:r>
      <w:r w:rsidR="0080773B">
        <w:rPr>
          <w:rFonts w:cs="Times New Roman"/>
          <w:szCs w:val="24"/>
          <w:lang w:val="sq-AL"/>
        </w:rPr>
        <w:t>ë</w:t>
      </w:r>
      <w:r w:rsidRPr="009475CC">
        <w:rPr>
          <w:rFonts w:cs="Times New Roman"/>
          <w:szCs w:val="24"/>
          <w:lang w:val="sq-AL"/>
        </w:rPr>
        <w:t>t përmbushin gjithë zinxhirin e zbatimit të legjislacionit për kimikatet  në Republik</w:t>
      </w:r>
      <w:r w:rsidR="0080773B">
        <w:rPr>
          <w:rFonts w:cs="Times New Roman"/>
          <w:szCs w:val="24"/>
          <w:lang w:val="sq-AL"/>
        </w:rPr>
        <w:t>ë</w:t>
      </w:r>
      <w:r w:rsidRPr="009475CC">
        <w:rPr>
          <w:rFonts w:cs="Times New Roman"/>
          <w:szCs w:val="24"/>
          <w:lang w:val="sq-AL"/>
        </w:rPr>
        <w:t>n e S</w:t>
      </w:r>
      <w:r w:rsidR="0080773B">
        <w:rPr>
          <w:rFonts w:cs="Times New Roman"/>
          <w:szCs w:val="24"/>
          <w:lang w:val="sq-AL"/>
        </w:rPr>
        <w:t>h</w:t>
      </w:r>
      <w:r w:rsidRPr="009475CC">
        <w:rPr>
          <w:rFonts w:cs="Times New Roman"/>
          <w:szCs w:val="24"/>
          <w:lang w:val="sq-AL"/>
        </w:rPr>
        <w:t>qipërisë.</w:t>
      </w:r>
    </w:p>
    <w:p w14:paraId="367FF1E3" w14:textId="626E09ED" w:rsidR="00980B69" w:rsidRPr="009475CC" w:rsidRDefault="00980B69" w:rsidP="00430E69">
      <w:pPr>
        <w:ind w:left="360"/>
        <w:jc w:val="both"/>
        <w:rPr>
          <w:rFonts w:cs="Times New Roman"/>
          <w:szCs w:val="24"/>
          <w:lang w:val="sq-AL"/>
        </w:rPr>
      </w:pPr>
      <w:r w:rsidRPr="009475CC">
        <w:rPr>
          <w:rFonts w:cs="Times New Roman"/>
          <w:szCs w:val="24"/>
          <w:lang w:val="sq-AL"/>
        </w:rPr>
        <w:lastRenderedPageBreak/>
        <w:t>Mbi forcimin e kapaciteve administrative si dhe  për të garantuar monitorimin dhe parandalimin e përdorimit të kimikateve duke garantuar mbrojt</w:t>
      </w:r>
      <w:r w:rsidR="0080773B">
        <w:rPr>
          <w:rFonts w:cs="Times New Roman"/>
          <w:szCs w:val="24"/>
          <w:lang w:val="sq-AL"/>
        </w:rPr>
        <w:t>j</w:t>
      </w:r>
      <w:r w:rsidRPr="009475CC">
        <w:rPr>
          <w:rFonts w:cs="Times New Roman"/>
          <w:szCs w:val="24"/>
          <w:lang w:val="sq-AL"/>
        </w:rPr>
        <w:t>en e shëndetit të njerëzve dhe mjedisin, në faqen zyrtare të Agjencisë Kombëtare të Mjedisit, si institucion varësie i MTM për zbatimin e ligjit të kimikateve, prej vitit 2021 gje</w:t>
      </w:r>
      <w:r w:rsidR="0080773B">
        <w:rPr>
          <w:rFonts w:cs="Times New Roman"/>
          <w:szCs w:val="24"/>
          <w:lang w:val="sq-AL"/>
        </w:rPr>
        <w:t>ndet</w:t>
      </w:r>
      <w:r w:rsidRPr="009475CC">
        <w:rPr>
          <w:rFonts w:cs="Times New Roman"/>
          <w:szCs w:val="24"/>
          <w:lang w:val="sq-AL"/>
        </w:rPr>
        <w:t xml:space="preserve"> informacion mbi përdorimin e biocideve, pesticideve etj.</w:t>
      </w:r>
    </w:p>
    <w:p w14:paraId="656F6E00" w14:textId="599C119D" w:rsidR="00980B69" w:rsidRPr="009475CC" w:rsidRDefault="00980B69" w:rsidP="00430E69">
      <w:pPr>
        <w:ind w:left="360"/>
        <w:jc w:val="both"/>
        <w:rPr>
          <w:rFonts w:cs="Times New Roman"/>
          <w:szCs w:val="24"/>
          <w:lang w:val="sq-AL"/>
        </w:rPr>
      </w:pPr>
      <w:r w:rsidRPr="009475CC">
        <w:rPr>
          <w:rFonts w:cs="Times New Roman"/>
          <w:szCs w:val="24"/>
          <w:lang w:val="sq-AL"/>
        </w:rPr>
        <w:t xml:space="preserve">Gjendet gjithashtu një adresë </w:t>
      </w:r>
      <w:r w:rsidR="0080773B">
        <w:rPr>
          <w:rFonts w:cs="Times New Roman"/>
          <w:szCs w:val="24"/>
          <w:lang w:val="sq-AL"/>
        </w:rPr>
        <w:t>e</w:t>
      </w:r>
      <w:r w:rsidRPr="009475CC">
        <w:rPr>
          <w:rFonts w:cs="Times New Roman"/>
          <w:szCs w:val="24"/>
          <w:lang w:val="sq-AL"/>
        </w:rPr>
        <w:t xml:space="preserve">maili për çdo kërkesë të publikut në lidhje me kimikatet, një adresë </w:t>
      </w:r>
      <w:r w:rsidR="0080773B">
        <w:rPr>
          <w:rFonts w:cs="Times New Roman"/>
          <w:szCs w:val="24"/>
          <w:lang w:val="sq-AL"/>
        </w:rPr>
        <w:t>e</w:t>
      </w:r>
      <w:r w:rsidRPr="009475CC">
        <w:rPr>
          <w:rFonts w:cs="Times New Roman"/>
          <w:szCs w:val="24"/>
          <w:lang w:val="sq-AL"/>
        </w:rPr>
        <w:t xml:space="preserve">maili për të dërguar çdo rast korruptiv në kuadër të fushatës antikorrupsion, një adresë </w:t>
      </w:r>
      <w:r w:rsidR="0080773B">
        <w:rPr>
          <w:rFonts w:cs="Times New Roman"/>
          <w:szCs w:val="24"/>
          <w:lang w:val="sq-AL"/>
        </w:rPr>
        <w:t>e</w:t>
      </w:r>
      <w:r w:rsidRPr="009475CC">
        <w:rPr>
          <w:rFonts w:cs="Times New Roman"/>
          <w:szCs w:val="24"/>
          <w:lang w:val="sq-AL"/>
        </w:rPr>
        <w:t>maili të menaxhuar nga koordinatori i AKM-së, mbi të drejtën e informimit të publikut.</w:t>
      </w:r>
    </w:p>
    <w:p w14:paraId="6D348B7F" w14:textId="63C2A3D2" w:rsidR="00980B69" w:rsidRPr="009475CC" w:rsidRDefault="00980B69" w:rsidP="00430E69">
      <w:pPr>
        <w:ind w:left="360"/>
        <w:jc w:val="both"/>
        <w:rPr>
          <w:rFonts w:cs="Times New Roman"/>
          <w:szCs w:val="24"/>
          <w:lang w:val="sq-AL"/>
        </w:rPr>
      </w:pPr>
      <w:r w:rsidRPr="009475CC">
        <w:rPr>
          <w:rFonts w:cs="Times New Roman"/>
          <w:szCs w:val="24"/>
          <w:lang w:val="sq-AL"/>
        </w:rPr>
        <w:t>Me miratimin e Ligjit nr. 7/2020, datë 03.02.2020 “Për ratifikimin e Konventës së Minamatës “Për mërkurin”, prej datës 26 Maj 2020, Shqipëria listohet përkrah shteteve që kanë ratifikuar Konventën e Minamatës “Për mërkurin”, duke kontribuar në mbrojtjen e shëndetit të njeriut dhe mjedisit nga efektet negative të mërkurit dhe pajiset e produktet q</w:t>
      </w:r>
      <w:r w:rsidR="0080773B">
        <w:rPr>
          <w:rFonts w:cs="Times New Roman"/>
          <w:szCs w:val="24"/>
          <w:lang w:val="sq-AL"/>
        </w:rPr>
        <w:t>ë</w:t>
      </w:r>
      <w:r w:rsidRPr="009475CC">
        <w:rPr>
          <w:rFonts w:cs="Times New Roman"/>
          <w:szCs w:val="24"/>
          <w:lang w:val="sq-AL"/>
        </w:rPr>
        <w:t xml:space="preserve"> p</w:t>
      </w:r>
      <w:r w:rsidR="0080773B">
        <w:rPr>
          <w:rFonts w:cs="Times New Roman"/>
          <w:szCs w:val="24"/>
          <w:lang w:val="sq-AL"/>
        </w:rPr>
        <w:t>ë</w:t>
      </w:r>
      <w:r w:rsidRPr="009475CC">
        <w:rPr>
          <w:rFonts w:cs="Times New Roman"/>
          <w:szCs w:val="24"/>
          <w:lang w:val="sq-AL"/>
        </w:rPr>
        <w:t>rmb</w:t>
      </w:r>
      <w:r w:rsidR="0080773B">
        <w:rPr>
          <w:rFonts w:cs="Times New Roman"/>
          <w:szCs w:val="24"/>
          <w:lang w:val="sq-AL"/>
        </w:rPr>
        <w:t>a</w:t>
      </w:r>
      <w:r w:rsidRPr="009475CC">
        <w:rPr>
          <w:rFonts w:cs="Times New Roman"/>
          <w:szCs w:val="24"/>
          <w:lang w:val="sq-AL"/>
        </w:rPr>
        <w:t>jn</w:t>
      </w:r>
      <w:r w:rsidR="0080773B">
        <w:rPr>
          <w:rFonts w:cs="Times New Roman"/>
          <w:szCs w:val="24"/>
          <w:lang w:val="sq-AL"/>
        </w:rPr>
        <w:t>ë</w:t>
      </w:r>
      <w:r w:rsidRPr="009475CC">
        <w:rPr>
          <w:rFonts w:cs="Times New Roman"/>
          <w:szCs w:val="24"/>
          <w:lang w:val="sq-AL"/>
        </w:rPr>
        <w:t xml:space="preserve"> m</w:t>
      </w:r>
      <w:r w:rsidR="0080773B">
        <w:rPr>
          <w:rFonts w:cs="Times New Roman"/>
          <w:szCs w:val="24"/>
          <w:lang w:val="sq-AL"/>
        </w:rPr>
        <w:t>ë</w:t>
      </w:r>
      <w:r w:rsidRPr="009475CC">
        <w:rPr>
          <w:rFonts w:cs="Times New Roman"/>
          <w:szCs w:val="24"/>
          <w:lang w:val="sq-AL"/>
        </w:rPr>
        <w:t>rkur</w:t>
      </w:r>
      <w:r w:rsidR="0080773B">
        <w:rPr>
          <w:rFonts w:cs="Times New Roman"/>
          <w:szCs w:val="24"/>
          <w:lang w:val="sq-AL"/>
        </w:rPr>
        <w:t>.</w:t>
      </w:r>
    </w:p>
    <w:p w14:paraId="13D87489" w14:textId="14EB6501" w:rsidR="00980B69" w:rsidRPr="009475CC" w:rsidRDefault="00980B69" w:rsidP="00430E69">
      <w:pPr>
        <w:ind w:left="360"/>
        <w:jc w:val="both"/>
        <w:rPr>
          <w:rFonts w:cs="Times New Roman"/>
          <w:szCs w:val="24"/>
          <w:lang w:val="sq-AL"/>
        </w:rPr>
      </w:pPr>
      <w:r w:rsidRPr="009475CC">
        <w:rPr>
          <w:rFonts w:cs="Times New Roman"/>
          <w:szCs w:val="24"/>
          <w:lang w:val="sq-AL"/>
        </w:rPr>
        <w:t>N</w:t>
      </w:r>
      <w:r w:rsidR="0080773B">
        <w:rPr>
          <w:rFonts w:cs="Times New Roman"/>
          <w:szCs w:val="24"/>
          <w:lang w:val="sq-AL"/>
        </w:rPr>
        <w:t>ë</w:t>
      </w:r>
      <w:r w:rsidRPr="009475CC">
        <w:rPr>
          <w:rFonts w:cs="Times New Roman"/>
          <w:szCs w:val="24"/>
          <w:lang w:val="sq-AL"/>
        </w:rPr>
        <w:t xml:space="preserve"> vitin 2021 është  miratua</w:t>
      </w:r>
      <w:r w:rsidR="0080773B">
        <w:rPr>
          <w:rFonts w:cs="Times New Roman"/>
          <w:szCs w:val="24"/>
          <w:lang w:val="sq-AL"/>
        </w:rPr>
        <w:t>r</w:t>
      </w:r>
      <w:r w:rsidRPr="009475CC">
        <w:rPr>
          <w:rFonts w:cs="Times New Roman"/>
          <w:szCs w:val="24"/>
          <w:lang w:val="sq-AL"/>
        </w:rPr>
        <w:t xml:space="preserve"> Vendimi </w:t>
      </w:r>
      <w:r w:rsidR="0080773B">
        <w:rPr>
          <w:rFonts w:cs="Times New Roman"/>
          <w:szCs w:val="24"/>
          <w:lang w:val="sq-AL"/>
        </w:rPr>
        <w:t>i</w:t>
      </w:r>
      <w:r w:rsidRPr="009475CC">
        <w:rPr>
          <w:rFonts w:cs="Times New Roman"/>
          <w:szCs w:val="24"/>
          <w:lang w:val="sq-AL"/>
        </w:rPr>
        <w:t xml:space="preserve"> K</w:t>
      </w:r>
      <w:r w:rsidR="0080773B">
        <w:rPr>
          <w:rFonts w:cs="Times New Roman"/>
          <w:szCs w:val="24"/>
          <w:lang w:val="sq-AL"/>
        </w:rPr>
        <w:t>ë</w:t>
      </w:r>
      <w:r w:rsidRPr="009475CC">
        <w:rPr>
          <w:rFonts w:cs="Times New Roman"/>
          <w:szCs w:val="24"/>
          <w:lang w:val="sq-AL"/>
        </w:rPr>
        <w:t>shillit t</w:t>
      </w:r>
      <w:r w:rsidR="0080773B">
        <w:rPr>
          <w:rFonts w:cs="Times New Roman"/>
          <w:szCs w:val="24"/>
          <w:lang w:val="sq-AL"/>
        </w:rPr>
        <w:t>ë</w:t>
      </w:r>
      <w:r w:rsidRPr="009475CC">
        <w:rPr>
          <w:rFonts w:cs="Times New Roman"/>
          <w:szCs w:val="24"/>
          <w:lang w:val="sq-AL"/>
        </w:rPr>
        <w:t xml:space="preserve"> Ministrave nr. 830, dat</w:t>
      </w:r>
      <w:r w:rsidR="0080773B">
        <w:rPr>
          <w:rFonts w:cs="Times New Roman"/>
          <w:szCs w:val="24"/>
          <w:lang w:val="sq-AL"/>
        </w:rPr>
        <w:t>ë</w:t>
      </w:r>
      <w:r w:rsidRPr="009475CC">
        <w:rPr>
          <w:rFonts w:cs="Times New Roman"/>
          <w:szCs w:val="24"/>
          <w:lang w:val="sq-AL"/>
        </w:rPr>
        <w:t xml:space="preserve"> 24.12.2021 "Për masat lidhur me sigurimin e informacionit mbi konsumin e lëndës djegëse dhe shkarkimet e CO2 gjatë marketingut të automjeteve të reja”, i cili synon vënien në dispozicion të konsumatorëve informacionin mbi konsumin e lëndës djegëse dhe shkarkimet e CO2 në automjetet e reja të pasagjerëve që ofrohen për shitje ose për dhënie m</w:t>
      </w:r>
      <w:r w:rsidR="00D74A2E">
        <w:rPr>
          <w:rFonts w:cs="Times New Roman"/>
          <w:szCs w:val="24"/>
          <w:lang w:val="sq-AL"/>
        </w:rPr>
        <w:t>e</w:t>
      </w:r>
      <w:r w:rsidRPr="009475CC">
        <w:rPr>
          <w:rFonts w:cs="Times New Roman"/>
          <w:szCs w:val="24"/>
          <w:lang w:val="sq-AL"/>
        </w:rPr>
        <w:t xml:space="preserve"> qira në Shqipëri, me qëllim: </w:t>
      </w:r>
    </w:p>
    <w:p w14:paraId="71FB66BC" w14:textId="53F7D433" w:rsidR="00980B69" w:rsidRPr="009475CC" w:rsidRDefault="00980B69" w:rsidP="00430E69">
      <w:pPr>
        <w:ind w:left="360"/>
        <w:jc w:val="both"/>
        <w:rPr>
          <w:rFonts w:cs="Times New Roman"/>
          <w:szCs w:val="24"/>
          <w:lang w:val="sq-AL"/>
        </w:rPr>
      </w:pPr>
      <w:r w:rsidRPr="009475CC">
        <w:rPr>
          <w:rFonts w:cs="Times New Roman"/>
          <w:szCs w:val="24"/>
          <w:lang w:val="sq-AL"/>
        </w:rPr>
        <w:t>a) që t’i mundësoj</w:t>
      </w:r>
      <w:r w:rsidR="00F622BB">
        <w:rPr>
          <w:rFonts w:cs="Times New Roman"/>
          <w:szCs w:val="24"/>
          <w:lang w:val="sq-AL"/>
        </w:rPr>
        <w:t>ë</w:t>
      </w:r>
      <w:r w:rsidRPr="009475CC">
        <w:rPr>
          <w:rFonts w:cs="Times New Roman"/>
          <w:szCs w:val="24"/>
          <w:lang w:val="sq-AL"/>
        </w:rPr>
        <w:t xml:space="preserve"> konsumatorëve të bëjnë një zgjedhje të bazuar në informacion, si dhe </w:t>
      </w:r>
    </w:p>
    <w:p w14:paraId="54A138A0" w14:textId="77777777" w:rsidR="00980B69" w:rsidRPr="009475CC" w:rsidRDefault="00980B69" w:rsidP="00430E69">
      <w:pPr>
        <w:ind w:left="360"/>
        <w:jc w:val="both"/>
        <w:rPr>
          <w:rFonts w:cs="Times New Roman"/>
          <w:szCs w:val="24"/>
          <w:lang w:val="sq-AL"/>
        </w:rPr>
      </w:pPr>
      <w:r w:rsidRPr="009475CC">
        <w:rPr>
          <w:rFonts w:cs="Times New Roman"/>
          <w:szCs w:val="24"/>
          <w:lang w:val="sq-AL"/>
        </w:rPr>
        <w:t>b) promovimin e blerjes ose dhënies me qira të automjeteve, që përdorin më pak lëndë djegëse dhe në këtë mënyrë shkarkojnë më pak CO2 në mjedis.</w:t>
      </w:r>
    </w:p>
    <w:p w14:paraId="314163DA" w14:textId="357A98C1" w:rsidR="00980B69" w:rsidRPr="009475CC" w:rsidRDefault="00980B69" w:rsidP="00430E69">
      <w:pPr>
        <w:ind w:left="360"/>
        <w:jc w:val="both"/>
        <w:rPr>
          <w:rFonts w:cs="Times New Roman"/>
          <w:szCs w:val="24"/>
          <w:lang w:val="sq-AL"/>
        </w:rPr>
      </w:pPr>
      <w:r w:rsidRPr="009475CC">
        <w:rPr>
          <w:rFonts w:cs="Times New Roman"/>
          <w:szCs w:val="24"/>
          <w:lang w:val="sq-AL"/>
        </w:rPr>
        <w:t>Menaxhimi i kimikateve përballet me sfida t</w:t>
      </w:r>
      <w:r w:rsidR="00F9634C">
        <w:rPr>
          <w:rFonts w:cs="Times New Roman"/>
          <w:szCs w:val="24"/>
          <w:lang w:val="sq-AL"/>
        </w:rPr>
        <w:t>ë</w:t>
      </w:r>
      <w:r w:rsidRPr="009475CC">
        <w:rPr>
          <w:rFonts w:cs="Times New Roman"/>
          <w:szCs w:val="24"/>
          <w:lang w:val="sq-AL"/>
        </w:rPr>
        <w:t xml:space="preserve"> cilat do t</w:t>
      </w:r>
      <w:r w:rsidR="00F9634C">
        <w:rPr>
          <w:rFonts w:cs="Times New Roman"/>
          <w:szCs w:val="24"/>
          <w:lang w:val="sq-AL"/>
        </w:rPr>
        <w:t>ë</w:t>
      </w:r>
      <w:r w:rsidRPr="009475CC">
        <w:rPr>
          <w:rFonts w:cs="Times New Roman"/>
          <w:szCs w:val="24"/>
          <w:lang w:val="sq-AL"/>
        </w:rPr>
        <w:t xml:space="preserve"> jen</w:t>
      </w:r>
      <w:r w:rsidR="00F9634C">
        <w:rPr>
          <w:rFonts w:cs="Times New Roman"/>
          <w:szCs w:val="24"/>
          <w:lang w:val="sq-AL"/>
        </w:rPr>
        <w:t>ë</w:t>
      </w:r>
      <w:r w:rsidRPr="009475CC">
        <w:rPr>
          <w:rFonts w:cs="Times New Roman"/>
          <w:szCs w:val="24"/>
          <w:lang w:val="sq-AL"/>
        </w:rPr>
        <w:t xml:space="preserve"> angazhim i MTM dhe institucioneve t</w:t>
      </w:r>
      <w:r w:rsidR="00F9634C">
        <w:rPr>
          <w:rFonts w:cs="Times New Roman"/>
          <w:szCs w:val="24"/>
          <w:lang w:val="sq-AL"/>
        </w:rPr>
        <w:t>ë</w:t>
      </w:r>
      <w:r w:rsidRPr="009475CC">
        <w:rPr>
          <w:rFonts w:cs="Times New Roman"/>
          <w:szCs w:val="24"/>
          <w:lang w:val="sq-AL"/>
        </w:rPr>
        <w:t xml:space="preserve"> linj</w:t>
      </w:r>
      <w:r w:rsidR="00F9634C">
        <w:rPr>
          <w:rFonts w:cs="Times New Roman"/>
          <w:szCs w:val="24"/>
          <w:lang w:val="sq-AL"/>
        </w:rPr>
        <w:t>ë</w:t>
      </w:r>
      <w:r w:rsidRPr="009475CC">
        <w:rPr>
          <w:rFonts w:cs="Times New Roman"/>
          <w:szCs w:val="24"/>
          <w:lang w:val="sq-AL"/>
        </w:rPr>
        <w:t>s, p</w:t>
      </w:r>
      <w:r w:rsidR="00F9634C">
        <w:rPr>
          <w:rFonts w:cs="Times New Roman"/>
          <w:szCs w:val="24"/>
          <w:lang w:val="sq-AL"/>
        </w:rPr>
        <w:t>ë</w:t>
      </w:r>
      <w:r w:rsidRPr="009475CC">
        <w:rPr>
          <w:rFonts w:cs="Times New Roman"/>
          <w:szCs w:val="24"/>
          <w:lang w:val="sq-AL"/>
        </w:rPr>
        <w:t>r t</w:t>
      </w:r>
      <w:r w:rsidR="00F9634C">
        <w:rPr>
          <w:rFonts w:cs="Times New Roman"/>
          <w:szCs w:val="24"/>
          <w:lang w:val="sq-AL"/>
        </w:rPr>
        <w:t>ë</w:t>
      </w:r>
      <w:r w:rsidRPr="009475CC">
        <w:rPr>
          <w:rFonts w:cs="Times New Roman"/>
          <w:szCs w:val="24"/>
          <w:lang w:val="sq-AL"/>
        </w:rPr>
        <w:t xml:space="preserve"> p</w:t>
      </w:r>
      <w:r w:rsidR="00F9634C">
        <w:rPr>
          <w:rFonts w:cs="Times New Roman"/>
          <w:szCs w:val="24"/>
          <w:lang w:val="sq-AL"/>
        </w:rPr>
        <w:t>ë</w:t>
      </w:r>
      <w:r w:rsidRPr="009475CC">
        <w:rPr>
          <w:rFonts w:cs="Times New Roman"/>
          <w:szCs w:val="24"/>
          <w:lang w:val="sq-AL"/>
        </w:rPr>
        <w:t>rmir</w:t>
      </w:r>
      <w:r w:rsidR="00F9634C">
        <w:rPr>
          <w:rFonts w:cs="Times New Roman"/>
          <w:szCs w:val="24"/>
          <w:lang w:val="sq-AL"/>
        </w:rPr>
        <w:t>ë</w:t>
      </w:r>
      <w:r w:rsidRPr="009475CC">
        <w:rPr>
          <w:rFonts w:cs="Times New Roman"/>
          <w:szCs w:val="24"/>
          <w:lang w:val="sq-AL"/>
        </w:rPr>
        <w:t>su</w:t>
      </w:r>
      <w:r w:rsidR="00F9634C">
        <w:rPr>
          <w:rFonts w:cs="Times New Roman"/>
          <w:szCs w:val="24"/>
          <w:lang w:val="sq-AL"/>
        </w:rPr>
        <w:t>a</w:t>
      </w:r>
      <w:r w:rsidRPr="009475CC">
        <w:rPr>
          <w:rFonts w:cs="Times New Roman"/>
          <w:szCs w:val="24"/>
          <w:lang w:val="sq-AL"/>
        </w:rPr>
        <w:t>r m</w:t>
      </w:r>
      <w:r w:rsidR="00F9634C">
        <w:rPr>
          <w:rFonts w:cs="Times New Roman"/>
          <w:szCs w:val="24"/>
          <w:lang w:val="sq-AL"/>
        </w:rPr>
        <w:t>ë</w:t>
      </w:r>
      <w:r w:rsidRPr="009475CC">
        <w:rPr>
          <w:rFonts w:cs="Times New Roman"/>
          <w:szCs w:val="24"/>
          <w:lang w:val="sq-AL"/>
        </w:rPr>
        <w:t xml:space="preserve"> tej kuadrin ligjor dhe rritur nivelin e zbatimit t</w:t>
      </w:r>
      <w:r w:rsidR="00F9634C">
        <w:rPr>
          <w:rFonts w:cs="Times New Roman"/>
          <w:szCs w:val="24"/>
          <w:lang w:val="sq-AL"/>
        </w:rPr>
        <w:t>ë</w:t>
      </w:r>
      <w:r w:rsidRPr="009475CC">
        <w:rPr>
          <w:rFonts w:cs="Times New Roman"/>
          <w:szCs w:val="24"/>
          <w:lang w:val="sq-AL"/>
        </w:rPr>
        <w:t xml:space="preserve"> legjislacionit komb</w:t>
      </w:r>
      <w:r w:rsidR="00F9634C">
        <w:rPr>
          <w:rFonts w:cs="Times New Roman"/>
          <w:szCs w:val="24"/>
          <w:lang w:val="sq-AL"/>
        </w:rPr>
        <w:t>ë</w:t>
      </w:r>
      <w:r w:rsidRPr="009475CC">
        <w:rPr>
          <w:rFonts w:cs="Times New Roman"/>
          <w:szCs w:val="24"/>
          <w:lang w:val="sq-AL"/>
        </w:rPr>
        <w:t>tar duke i garantuar konsumator</w:t>
      </w:r>
      <w:r w:rsidR="00F9634C">
        <w:rPr>
          <w:rFonts w:cs="Times New Roman"/>
          <w:szCs w:val="24"/>
          <w:lang w:val="sq-AL"/>
        </w:rPr>
        <w:t>ë</w:t>
      </w:r>
      <w:r w:rsidRPr="009475CC">
        <w:rPr>
          <w:rFonts w:cs="Times New Roman"/>
          <w:szCs w:val="24"/>
          <w:lang w:val="sq-AL"/>
        </w:rPr>
        <w:t>ve nj</w:t>
      </w:r>
      <w:r w:rsidR="00F9634C">
        <w:rPr>
          <w:rFonts w:cs="Times New Roman"/>
          <w:szCs w:val="24"/>
          <w:lang w:val="sq-AL"/>
        </w:rPr>
        <w:t>ë</w:t>
      </w:r>
      <w:r w:rsidRPr="009475CC">
        <w:rPr>
          <w:rFonts w:cs="Times New Roman"/>
          <w:szCs w:val="24"/>
          <w:lang w:val="sq-AL"/>
        </w:rPr>
        <w:t xml:space="preserve"> treg t</w:t>
      </w:r>
      <w:r w:rsidR="00F9634C">
        <w:rPr>
          <w:rFonts w:cs="Times New Roman"/>
          <w:szCs w:val="24"/>
          <w:lang w:val="sq-AL"/>
        </w:rPr>
        <w:t>ë</w:t>
      </w:r>
      <w:r w:rsidRPr="009475CC">
        <w:rPr>
          <w:rFonts w:cs="Times New Roman"/>
          <w:szCs w:val="24"/>
          <w:lang w:val="sq-AL"/>
        </w:rPr>
        <w:t xml:space="preserve"> sigurt dhe t</w:t>
      </w:r>
      <w:r w:rsidR="00F9634C">
        <w:rPr>
          <w:rFonts w:cs="Times New Roman"/>
          <w:szCs w:val="24"/>
          <w:lang w:val="sq-AL"/>
        </w:rPr>
        <w:t>ë</w:t>
      </w:r>
      <w:r w:rsidRPr="009475CC">
        <w:rPr>
          <w:rFonts w:cs="Times New Roman"/>
          <w:szCs w:val="24"/>
          <w:lang w:val="sq-AL"/>
        </w:rPr>
        <w:t xml:space="preserve"> qëndruesh</w:t>
      </w:r>
      <w:r w:rsidR="00F9634C">
        <w:rPr>
          <w:rFonts w:cs="Times New Roman"/>
          <w:szCs w:val="24"/>
          <w:lang w:val="sq-AL"/>
        </w:rPr>
        <w:t>ë</w:t>
      </w:r>
      <w:r w:rsidRPr="009475CC">
        <w:rPr>
          <w:rFonts w:cs="Times New Roman"/>
          <w:szCs w:val="24"/>
          <w:lang w:val="sq-AL"/>
        </w:rPr>
        <w:t>m:</w:t>
      </w:r>
    </w:p>
    <w:p w14:paraId="34A05ED0" w14:textId="3F500E7B" w:rsidR="00980B69" w:rsidRPr="009475CC" w:rsidRDefault="00980B69" w:rsidP="00623352">
      <w:pPr>
        <w:pStyle w:val="ListParagraph"/>
        <w:numPr>
          <w:ilvl w:val="0"/>
          <w:numId w:val="13"/>
        </w:numPr>
        <w:jc w:val="both"/>
        <w:rPr>
          <w:rFonts w:cs="Times New Roman"/>
          <w:szCs w:val="24"/>
          <w:lang w:val="sq-AL"/>
        </w:rPr>
      </w:pPr>
      <w:r w:rsidRPr="009475CC">
        <w:rPr>
          <w:rFonts w:cs="Times New Roman"/>
          <w:szCs w:val="24"/>
          <w:lang w:val="sq-AL"/>
        </w:rPr>
        <w:t>Hartimi i  një plani kombëtar për menaxhimin e sigurt t</w:t>
      </w:r>
      <w:r w:rsidR="00F9634C">
        <w:rPr>
          <w:rFonts w:cs="Times New Roman"/>
          <w:szCs w:val="24"/>
          <w:lang w:val="sq-AL"/>
        </w:rPr>
        <w:t>ë</w:t>
      </w:r>
      <w:r w:rsidRPr="009475CC">
        <w:rPr>
          <w:rFonts w:cs="Times New Roman"/>
          <w:szCs w:val="24"/>
          <w:lang w:val="sq-AL"/>
        </w:rPr>
        <w:t xml:space="preserve"> kimikateve; </w:t>
      </w:r>
    </w:p>
    <w:p w14:paraId="07622962" w14:textId="21BD7146" w:rsidR="00980B69" w:rsidRPr="009475CC" w:rsidRDefault="00980B69" w:rsidP="00430E69">
      <w:pPr>
        <w:ind w:left="360"/>
        <w:jc w:val="both"/>
        <w:rPr>
          <w:rFonts w:cs="Times New Roman"/>
          <w:szCs w:val="24"/>
          <w:lang w:val="sq-AL"/>
        </w:rPr>
      </w:pPr>
      <w:r w:rsidRPr="009475CC">
        <w:rPr>
          <w:rFonts w:cs="Times New Roman"/>
          <w:szCs w:val="24"/>
          <w:lang w:val="sq-AL"/>
        </w:rPr>
        <w:t>(ii)   Aktualisht mungon nj</w:t>
      </w:r>
      <w:r w:rsidR="00F9634C">
        <w:rPr>
          <w:rFonts w:cs="Times New Roman"/>
          <w:szCs w:val="24"/>
          <w:lang w:val="sq-AL"/>
        </w:rPr>
        <w:t>ë</w:t>
      </w:r>
      <w:r w:rsidRPr="009475CC">
        <w:rPr>
          <w:rFonts w:cs="Times New Roman"/>
          <w:szCs w:val="24"/>
          <w:lang w:val="sq-AL"/>
        </w:rPr>
        <w:t xml:space="preserve"> database komb</w:t>
      </w:r>
      <w:r w:rsidR="00F9634C">
        <w:rPr>
          <w:rFonts w:cs="Times New Roman"/>
          <w:szCs w:val="24"/>
          <w:lang w:val="sq-AL"/>
        </w:rPr>
        <w:t>ë</w:t>
      </w:r>
      <w:r w:rsidRPr="009475CC">
        <w:rPr>
          <w:rFonts w:cs="Times New Roman"/>
          <w:szCs w:val="24"/>
          <w:lang w:val="sq-AL"/>
        </w:rPr>
        <w:t>tare q</w:t>
      </w:r>
      <w:r w:rsidR="00F9634C">
        <w:rPr>
          <w:rFonts w:cs="Times New Roman"/>
          <w:szCs w:val="24"/>
          <w:lang w:val="sq-AL"/>
        </w:rPr>
        <w:t>ë</w:t>
      </w:r>
      <w:r w:rsidRPr="009475CC">
        <w:rPr>
          <w:rFonts w:cs="Times New Roman"/>
          <w:szCs w:val="24"/>
          <w:lang w:val="sq-AL"/>
        </w:rPr>
        <w:t xml:space="preserve"> t</w:t>
      </w:r>
      <w:r w:rsidR="00F9634C">
        <w:rPr>
          <w:rFonts w:cs="Times New Roman"/>
          <w:szCs w:val="24"/>
          <w:lang w:val="sq-AL"/>
        </w:rPr>
        <w:t>ë</w:t>
      </w:r>
      <w:r w:rsidRPr="009475CC">
        <w:rPr>
          <w:rFonts w:cs="Times New Roman"/>
          <w:szCs w:val="24"/>
          <w:lang w:val="sq-AL"/>
        </w:rPr>
        <w:t xml:space="preserve"> jap</w:t>
      </w:r>
      <w:r w:rsidR="00F9634C">
        <w:rPr>
          <w:rFonts w:cs="Times New Roman"/>
          <w:szCs w:val="24"/>
          <w:lang w:val="sq-AL"/>
        </w:rPr>
        <w:t>ë</w:t>
      </w:r>
      <w:r w:rsidRPr="009475CC">
        <w:rPr>
          <w:rFonts w:cs="Times New Roman"/>
          <w:szCs w:val="24"/>
          <w:lang w:val="sq-AL"/>
        </w:rPr>
        <w:t xml:space="preserve"> nj</w:t>
      </w:r>
      <w:r w:rsidR="00F9634C">
        <w:rPr>
          <w:rFonts w:cs="Times New Roman"/>
          <w:szCs w:val="24"/>
          <w:lang w:val="sq-AL"/>
        </w:rPr>
        <w:t>ë</w:t>
      </w:r>
      <w:r w:rsidRPr="009475CC">
        <w:rPr>
          <w:rFonts w:cs="Times New Roman"/>
          <w:szCs w:val="24"/>
          <w:lang w:val="sq-AL"/>
        </w:rPr>
        <w:t xml:space="preserve"> pasqyr</w:t>
      </w:r>
      <w:r w:rsidR="00F9634C">
        <w:rPr>
          <w:rFonts w:cs="Times New Roman"/>
          <w:szCs w:val="24"/>
          <w:lang w:val="sq-AL"/>
        </w:rPr>
        <w:t>ë</w:t>
      </w:r>
      <w:r w:rsidRPr="009475CC">
        <w:rPr>
          <w:rFonts w:cs="Times New Roman"/>
          <w:szCs w:val="24"/>
          <w:lang w:val="sq-AL"/>
        </w:rPr>
        <w:t xml:space="preserve"> t</w:t>
      </w:r>
      <w:r w:rsidR="00F9634C">
        <w:rPr>
          <w:rFonts w:cs="Times New Roman"/>
          <w:szCs w:val="24"/>
          <w:lang w:val="sq-AL"/>
        </w:rPr>
        <w:t>ë</w:t>
      </w:r>
      <w:r w:rsidRPr="009475CC">
        <w:rPr>
          <w:rFonts w:cs="Times New Roman"/>
          <w:szCs w:val="24"/>
          <w:lang w:val="sq-AL"/>
        </w:rPr>
        <w:t xml:space="preserve"> qart</w:t>
      </w:r>
      <w:r w:rsidR="00F9634C">
        <w:rPr>
          <w:rFonts w:cs="Times New Roman"/>
          <w:szCs w:val="24"/>
          <w:lang w:val="sq-AL"/>
        </w:rPr>
        <w:t>ë</w:t>
      </w:r>
      <w:r w:rsidRPr="009475CC">
        <w:rPr>
          <w:rFonts w:cs="Times New Roman"/>
          <w:szCs w:val="24"/>
          <w:lang w:val="sq-AL"/>
        </w:rPr>
        <w:t xml:space="preserve"> t</w:t>
      </w:r>
      <w:r w:rsidR="00F9634C">
        <w:rPr>
          <w:rFonts w:cs="Times New Roman"/>
          <w:szCs w:val="24"/>
          <w:lang w:val="sq-AL"/>
        </w:rPr>
        <w:t>ë</w:t>
      </w:r>
      <w:r w:rsidRPr="009475CC">
        <w:rPr>
          <w:rFonts w:cs="Times New Roman"/>
          <w:szCs w:val="24"/>
          <w:lang w:val="sq-AL"/>
        </w:rPr>
        <w:t xml:space="preserve"> kimikateve, produkteve kimike q</w:t>
      </w:r>
      <w:r w:rsidR="00F9634C">
        <w:rPr>
          <w:rFonts w:cs="Times New Roman"/>
          <w:szCs w:val="24"/>
          <w:lang w:val="sq-AL"/>
        </w:rPr>
        <w:t>ë</w:t>
      </w:r>
      <w:r w:rsidRPr="009475CC">
        <w:rPr>
          <w:rFonts w:cs="Times New Roman"/>
          <w:szCs w:val="24"/>
          <w:lang w:val="sq-AL"/>
        </w:rPr>
        <w:t xml:space="preserve"> jan</w:t>
      </w:r>
      <w:r w:rsidR="00F9634C">
        <w:rPr>
          <w:rFonts w:cs="Times New Roman"/>
          <w:szCs w:val="24"/>
          <w:lang w:val="sq-AL"/>
        </w:rPr>
        <w:t>ë</w:t>
      </w:r>
      <w:r w:rsidRPr="009475CC">
        <w:rPr>
          <w:rFonts w:cs="Times New Roman"/>
          <w:szCs w:val="24"/>
          <w:lang w:val="sq-AL"/>
        </w:rPr>
        <w:t xml:space="preserve"> importuar dhe vendosur n</w:t>
      </w:r>
      <w:r w:rsidR="00F9634C">
        <w:rPr>
          <w:rFonts w:cs="Times New Roman"/>
          <w:szCs w:val="24"/>
          <w:lang w:val="sq-AL"/>
        </w:rPr>
        <w:t>ë</w:t>
      </w:r>
      <w:r w:rsidRPr="009475CC">
        <w:rPr>
          <w:rFonts w:cs="Times New Roman"/>
          <w:szCs w:val="24"/>
          <w:lang w:val="sq-AL"/>
        </w:rPr>
        <w:t xml:space="preserve"> treg vitet e fundit n</w:t>
      </w:r>
      <w:r w:rsidR="00F9634C">
        <w:rPr>
          <w:rFonts w:cs="Times New Roman"/>
          <w:szCs w:val="24"/>
          <w:lang w:val="sq-AL"/>
        </w:rPr>
        <w:t>ë</w:t>
      </w:r>
      <w:r w:rsidRPr="009475CC">
        <w:rPr>
          <w:rFonts w:cs="Times New Roman"/>
          <w:szCs w:val="24"/>
          <w:lang w:val="sq-AL"/>
        </w:rPr>
        <w:t xml:space="preserve"> vendin ton</w:t>
      </w:r>
      <w:r w:rsidR="00F9634C">
        <w:rPr>
          <w:rFonts w:cs="Times New Roman"/>
          <w:szCs w:val="24"/>
          <w:lang w:val="sq-AL"/>
        </w:rPr>
        <w:t>ë</w:t>
      </w:r>
      <w:r w:rsidRPr="009475CC">
        <w:rPr>
          <w:rFonts w:cs="Times New Roman"/>
          <w:szCs w:val="24"/>
          <w:lang w:val="sq-AL"/>
        </w:rPr>
        <w:t xml:space="preserve">. </w:t>
      </w:r>
    </w:p>
    <w:p w14:paraId="5BDA4395" w14:textId="70D3BBCB" w:rsidR="00980B69" w:rsidRPr="009475CC" w:rsidRDefault="00980B69" w:rsidP="00430E69">
      <w:pPr>
        <w:ind w:left="360"/>
        <w:jc w:val="both"/>
        <w:rPr>
          <w:rFonts w:cs="Times New Roman"/>
          <w:szCs w:val="24"/>
          <w:lang w:val="sq-AL"/>
        </w:rPr>
      </w:pPr>
      <w:r w:rsidRPr="009475CC">
        <w:rPr>
          <w:rFonts w:cs="Times New Roman"/>
          <w:szCs w:val="24"/>
          <w:lang w:val="sq-AL"/>
        </w:rPr>
        <w:t>(iii) Nevojitet nd</w:t>
      </w:r>
      <w:r w:rsidR="00F9634C">
        <w:rPr>
          <w:rFonts w:cs="Times New Roman"/>
          <w:szCs w:val="24"/>
          <w:lang w:val="sq-AL"/>
        </w:rPr>
        <w:t>ë</w:t>
      </w:r>
      <w:r w:rsidRPr="009475CC">
        <w:rPr>
          <w:rFonts w:cs="Times New Roman"/>
          <w:szCs w:val="24"/>
          <w:lang w:val="sq-AL"/>
        </w:rPr>
        <w:t>rgjegj</w:t>
      </w:r>
      <w:r w:rsidR="00F9634C">
        <w:rPr>
          <w:rFonts w:cs="Times New Roman"/>
          <w:szCs w:val="24"/>
          <w:lang w:val="sq-AL"/>
        </w:rPr>
        <w:t>ë</w:t>
      </w:r>
      <w:r w:rsidRPr="009475CC">
        <w:rPr>
          <w:rFonts w:cs="Times New Roman"/>
          <w:szCs w:val="24"/>
          <w:lang w:val="sq-AL"/>
        </w:rPr>
        <w:t>simi i grupeve t</w:t>
      </w:r>
      <w:r w:rsidR="00F9634C">
        <w:rPr>
          <w:rFonts w:cs="Times New Roman"/>
          <w:szCs w:val="24"/>
          <w:lang w:val="sq-AL"/>
        </w:rPr>
        <w:t>ë</w:t>
      </w:r>
      <w:r w:rsidRPr="009475CC">
        <w:rPr>
          <w:rFonts w:cs="Times New Roman"/>
          <w:szCs w:val="24"/>
          <w:lang w:val="sq-AL"/>
        </w:rPr>
        <w:t xml:space="preserve"> interesit mbi kimikatet e rrezikshme dhe p</w:t>
      </w:r>
      <w:r w:rsidR="00F9634C">
        <w:rPr>
          <w:rFonts w:cs="Times New Roman"/>
          <w:szCs w:val="24"/>
          <w:lang w:val="sq-AL"/>
        </w:rPr>
        <w:t>ë</w:t>
      </w:r>
      <w:r w:rsidRPr="009475CC">
        <w:rPr>
          <w:rFonts w:cs="Times New Roman"/>
          <w:szCs w:val="24"/>
          <w:lang w:val="sq-AL"/>
        </w:rPr>
        <w:t>rdorimin e produkteve t</w:t>
      </w:r>
      <w:r w:rsidR="00F9634C">
        <w:rPr>
          <w:rFonts w:cs="Times New Roman"/>
          <w:szCs w:val="24"/>
          <w:lang w:val="sq-AL"/>
        </w:rPr>
        <w:t>ë</w:t>
      </w:r>
      <w:r w:rsidRPr="009475CC">
        <w:rPr>
          <w:rFonts w:cs="Times New Roman"/>
          <w:szCs w:val="24"/>
          <w:lang w:val="sq-AL"/>
        </w:rPr>
        <w:t xml:space="preserve"> sigurta; </w:t>
      </w:r>
    </w:p>
    <w:p w14:paraId="5F5F80B2" w14:textId="05D86046" w:rsidR="00980B69" w:rsidRPr="009475CC" w:rsidRDefault="00980B69" w:rsidP="00430E69">
      <w:pPr>
        <w:ind w:left="360"/>
        <w:jc w:val="both"/>
        <w:rPr>
          <w:rFonts w:cs="Times New Roman"/>
          <w:szCs w:val="24"/>
          <w:lang w:val="sq-AL"/>
        </w:rPr>
      </w:pPr>
      <w:r w:rsidRPr="009475CC">
        <w:rPr>
          <w:rFonts w:cs="Times New Roman"/>
          <w:szCs w:val="24"/>
          <w:lang w:val="sq-AL"/>
        </w:rPr>
        <w:t>(iv) Përdoruesit, grupet e interesit, konsumatorët nuk janë të familjarizuar me udhëzimet dhe masat e sigurisë p</w:t>
      </w:r>
      <w:r w:rsidR="00F9634C">
        <w:rPr>
          <w:rFonts w:cs="Times New Roman"/>
          <w:szCs w:val="24"/>
          <w:lang w:val="sq-AL"/>
        </w:rPr>
        <w:t>ë</w:t>
      </w:r>
      <w:r w:rsidRPr="009475CC">
        <w:rPr>
          <w:rFonts w:cs="Times New Roman"/>
          <w:szCs w:val="24"/>
          <w:lang w:val="sq-AL"/>
        </w:rPr>
        <w:t>r mbrojtjen ndaj kimikateve.</w:t>
      </w:r>
    </w:p>
    <w:p w14:paraId="2B72FD02" w14:textId="7204B0BA" w:rsidR="00F9634C" w:rsidRPr="00430E69" w:rsidRDefault="00980B69" w:rsidP="00430E69">
      <w:pPr>
        <w:ind w:left="360"/>
        <w:jc w:val="both"/>
        <w:rPr>
          <w:rFonts w:cs="Times New Roman"/>
          <w:szCs w:val="24"/>
          <w:lang w:val="sq-AL"/>
        </w:rPr>
      </w:pPr>
      <w:r w:rsidRPr="009475CC">
        <w:rPr>
          <w:rFonts w:cs="Times New Roman"/>
          <w:szCs w:val="24"/>
          <w:lang w:val="sq-AL"/>
        </w:rPr>
        <w:t>(iv) Kapacitetet teknike q</w:t>
      </w:r>
      <w:r w:rsidR="00F9634C">
        <w:rPr>
          <w:rFonts w:cs="Times New Roman"/>
          <w:szCs w:val="24"/>
          <w:lang w:val="sq-AL"/>
        </w:rPr>
        <w:t>ë</w:t>
      </w:r>
      <w:r w:rsidRPr="009475CC">
        <w:rPr>
          <w:rFonts w:cs="Times New Roman"/>
          <w:szCs w:val="24"/>
          <w:lang w:val="sq-AL"/>
        </w:rPr>
        <w:t xml:space="preserve"> angazhohen ne k</w:t>
      </w:r>
      <w:r w:rsidR="00F9634C">
        <w:rPr>
          <w:rFonts w:cs="Times New Roman"/>
          <w:szCs w:val="24"/>
          <w:lang w:val="sq-AL"/>
        </w:rPr>
        <w:t>ë</w:t>
      </w:r>
      <w:r w:rsidRPr="009475CC">
        <w:rPr>
          <w:rFonts w:cs="Times New Roman"/>
          <w:szCs w:val="24"/>
          <w:lang w:val="sq-AL"/>
        </w:rPr>
        <w:t>t</w:t>
      </w:r>
      <w:r w:rsidR="00F9634C">
        <w:rPr>
          <w:rFonts w:cs="Times New Roman"/>
          <w:szCs w:val="24"/>
          <w:lang w:val="sq-AL"/>
        </w:rPr>
        <w:t>ë</w:t>
      </w:r>
      <w:r w:rsidRPr="009475CC">
        <w:rPr>
          <w:rFonts w:cs="Times New Roman"/>
          <w:szCs w:val="24"/>
          <w:lang w:val="sq-AL"/>
        </w:rPr>
        <w:t xml:space="preserve"> fush</w:t>
      </w:r>
      <w:r w:rsidR="00F9634C">
        <w:rPr>
          <w:rFonts w:cs="Times New Roman"/>
          <w:szCs w:val="24"/>
          <w:lang w:val="sq-AL"/>
        </w:rPr>
        <w:t>ë</w:t>
      </w:r>
      <w:r w:rsidRPr="009475CC">
        <w:rPr>
          <w:rFonts w:cs="Times New Roman"/>
          <w:szCs w:val="24"/>
          <w:lang w:val="sq-AL"/>
        </w:rPr>
        <w:t xml:space="preserve"> duhet t</w:t>
      </w:r>
      <w:r w:rsidR="00F9634C">
        <w:rPr>
          <w:rFonts w:cs="Times New Roman"/>
          <w:szCs w:val="24"/>
          <w:lang w:val="sq-AL"/>
        </w:rPr>
        <w:t>ë</w:t>
      </w:r>
      <w:r w:rsidRPr="009475CC">
        <w:rPr>
          <w:rFonts w:cs="Times New Roman"/>
          <w:szCs w:val="24"/>
          <w:lang w:val="sq-AL"/>
        </w:rPr>
        <w:t xml:space="preserve"> forcohen m</w:t>
      </w:r>
      <w:r w:rsidR="00F9634C">
        <w:rPr>
          <w:rFonts w:cs="Times New Roman"/>
          <w:szCs w:val="24"/>
          <w:lang w:val="sq-AL"/>
        </w:rPr>
        <w:t>ë</w:t>
      </w:r>
      <w:r w:rsidRPr="009475CC">
        <w:rPr>
          <w:rFonts w:cs="Times New Roman"/>
          <w:szCs w:val="24"/>
          <w:lang w:val="sq-AL"/>
        </w:rPr>
        <w:t xml:space="preserve"> tej. </w:t>
      </w:r>
    </w:p>
    <w:p w14:paraId="10E17A70" w14:textId="53DCC7F1" w:rsidR="00684BBF" w:rsidRPr="000A0299" w:rsidRDefault="00684BBF" w:rsidP="000A0299">
      <w:pPr>
        <w:rPr>
          <w:rFonts w:cs="Times New Roman"/>
          <w:b/>
          <w:bCs/>
          <w:i/>
          <w:iCs/>
          <w:color w:val="2F5496" w:themeColor="accent5" w:themeShade="BF"/>
          <w:szCs w:val="24"/>
          <w:lang w:val="sq-AL"/>
        </w:rPr>
      </w:pPr>
      <w:r w:rsidRPr="000A0299">
        <w:rPr>
          <w:rFonts w:cs="Times New Roman"/>
          <w:b/>
          <w:bCs/>
          <w:i/>
          <w:iCs/>
          <w:color w:val="2F5496" w:themeColor="accent5" w:themeShade="BF"/>
          <w:szCs w:val="24"/>
          <w:lang w:val="sq-AL"/>
        </w:rPr>
        <w:t>Ministria e Sh</w:t>
      </w:r>
      <w:r w:rsidR="00F9634C" w:rsidRPr="000A0299">
        <w:rPr>
          <w:rFonts w:cs="Times New Roman"/>
          <w:b/>
          <w:bCs/>
          <w:i/>
          <w:iCs/>
          <w:color w:val="2F5496" w:themeColor="accent5" w:themeShade="BF"/>
          <w:szCs w:val="24"/>
          <w:lang w:val="sq-AL"/>
        </w:rPr>
        <w:t>ë</w:t>
      </w:r>
      <w:r w:rsidRPr="000A0299">
        <w:rPr>
          <w:rFonts w:cs="Times New Roman"/>
          <w:b/>
          <w:bCs/>
          <w:i/>
          <w:iCs/>
          <w:color w:val="2F5496" w:themeColor="accent5" w:themeShade="BF"/>
          <w:szCs w:val="24"/>
          <w:lang w:val="sq-AL"/>
        </w:rPr>
        <w:t>ndet</w:t>
      </w:r>
      <w:r w:rsidR="00F9634C" w:rsidRPr="000A0299">
        <w:rPr>
          <w:rFonts w:cs="Times New Roman"/>
          <w:b/>
          <w:bCs/>
          <w:i/>
          <w:iCs/>
          <w:color w:val="2F5496" w:themeColor="accent5" w:themeShade="BF"/>
          <w:szCs w:val="24"/>
          <w:lang w:val="sq-AL"/>
        </w:rPr>
        <w:t>ë</w:t>
      </w:r>
      <w:r w:rsidRPr="000A0299">
        <w:rPr>
          <w:rFonts w:cs="Times New Roman"/>
          <w:b/>
          <w:bCs/>
          <w:i/>
          <w:iCs/>
          <w:color w:val="2F5496" w:themeColor="accent5" w:themeShade="BF"/>
          <w:szCs w:val="24"/>
          <w:lang w:val="sq-AL"/>
        </w:rPr>
        <w:t>sis</w:t>
      </w:r>
      <w:r w:rsidR="00F9634C" w:rsidRPr="000A0299">
        <w:rPr>
          <w:rFonts w:cs="Times New Roman"/>
          <w:b/>
          <w:bCs/>
          <w:i/>
          <w:iCs/>
          <w:color w:val="2F5496" w:themeColor="accent5" w:themeShade="BF"/>
          <w:szCs w:val="24"/>
          <w:lang w:val="sq-AL"/>
        </w:rPr>
        <w:t>ë</w:t>
      </w:r>
      <w:r w:rsidR="00E558D3" w:rsidRPr="000A0299">
        <w:rPr>
          <w:rFonts w:cs="Times New Roman"/>
          <w:b/>
          <w:bCs/>
          <w:i/>
          <w:iCs/>
          <w:color w:val="2F5496" w:themeColor="accent5" w:themeShade="BF"/>
          <w:szCs w:val="24"/>
          <w:lang w:val="sq-AL"/>
        </w:rPr>
        <w:t xml:space="preserve"> dhe Mbrojtjes Sociale</w:t>
      </w:r>
    </w:p>
    <w:p w14:paraId="55C91917" w14:textId="77777777" w:rsidR="000D085E" w:rsidRPr="009475CC" w:rsidRDefault="000D085E" w:rsidP="00430E69">
      <w:pPr>
        <w:jc w:val="both"/>
        <w:rPr>
          <w:rFonts w:cs="Times New Roman"/>
          <w:szCs w:val="24"/>
          <w:lang w:val="sq-AL"/>
        </w:rPr>
      </w:pPr>
      <w:r w:rsidRPr="009475CC">
        <w:rPr>
          <w:rFonts w:cs="Times New Roman"/>
          <w:szCs w:val="24"/>
          <w:lang w:val="sq-AL"/>
        </w:rPr>
        <w:t xml:space="preserve">Ministria e Shëndetësisë dhe Mbrojtjes Sociale ka për mision hartimin dhe zbatimin e politikave e të strategjive të zhvillimit në sektorin e kujdesit shëndetësor, është përgjegjëse për rregullimin e shërbimeve të kujdesit shëndetësor dhe për bashkërendimin e punës ndërmjet të </w:t>
      </w:r>
      <w:r w:rsidRPr="009475CC">
        <w:rPr>
          <w:rFonts w:cs="Times New Roman"/>
          <w:szCs w:val="24"/>
          <w:lang w:val="sq-AL"/>
        </w:rPr>
        <w:lastRenderedPageBreak/>
        <w:t xml:space="preserve">gjithë aktorëve, brenda dhe jashtë sistemit të kujdesit shëndetësor, të cilët kontribuojnë dhe synojnë të garantojnë të drejtën kushtetuese, të përcaktuar në nenin 55 të Kushtetutës së Republikës së Shqipërisë. </w:t>
      </w:r>
    </w:p>
    <w:p w14:paraId="1ED47AD3" w14:textId="77777777" w:rsidR="000D085E" w:rsidRPr="009475CC" w:rsidRDefault="000D085E" w:rsidP="00430E69">
      <w:pPr>
        <w:jc w:val="both"/>
        <w:rPr>
          <w:rFonts w:cs="Times New Roman"/>
          <w:szCs w:val="24"/>
          <w:lang w:val="sq-AL"/>
        </w:rPr>
      </w:pPr>
      <w:r w:rsidRPr="009475CC">
        <w:rPr>
          <w:rFonts w:cs="Times New Roman"/>
          <w:szCs w:val="24"/>
          <w:lang w:val="sq-AL"/>
        </w:rPr>
        <w:t xml:space="preserve">Ministria e Shëndetësisë dhe Mbrojtjes Sociale harton dhe zbaton politikat për pajisjet mjekësore referuar kuadrit rregullator Europian dhe praktikave më të mira botërore. </w:t>
      </w:r>
    </w:p>
    <w:p w14:paraId="5878B79C" w14:textId="078EB2B1" w:rsidR="000D085E" w:rsidRPr="009475CC" w:rsidRDefault="000D085E" w:rsidP="00430E69">
      <w:pPr>
        <w:jc w:val="both"/>
        <w:rPr>
          <w:rFonts w:cs="Times New Roman"/>
          <w:szCs w:val="24"/>
          <w:lang w:val="sq-AL"/>
        </w:rPr>
      </w:pPr>
      <w:r w:rsidRPr="009475CC">
        <w:rPr>
          <w:rFonts w:cs="Times New Roman"/>
          <w:szCs w:val="24"/>
          <w:lang w:val="sq-AL"/>
        </w:rPr>
        <w:t>Agjencia Kombëtare e Barnave dhe Pajisjeve Mjekësore është institucion në varësi të Ministrisë së Shëndetësisë, përgjegjës për regjistrimin dhe inspektimin e pajisjeve mjekësore.</w:t>
      </w:r>
    </w:p>
    <w:p w14:paraId="2A28B609" w14:textId="5FD5CC2A" w:rsidR="000D085E" w:rsidRPr="009475CC" w:rsidRDefault="000D085E" w:rsidP="00430E69">
      <w:pPr>
        <w:jc w:val="both"/>
        <w:rPr>
          <w:rFonts w:cs="Times New Roman"/>
          <w:szCs w:val="24"/>
          <w:lang w:val="sq-AL"/>
        </w:rPr>
      </w:pPr>
      <w:r w:rsidRPr="009475CC">
        <w:rPr>
          <w:rFonts w:cs="Times New Roman"/>
          <w:szCs w:val="24"/>
          <w:lang w:val="sq-AL"/>
        </w:rPr>
        <w:t xml:space="preserve">Gjatë vitit 2019, 2020, 2021 dhe deri 10 Tetor 2022 nga inspektorët farmaceutikë janë inspektuar dhe kontrolluar subjektet që ushtrojnë aktivitet në fushën e pajisjeve mjekësore në të gjithë territorin e Republikës së Shqipërisë, në zbatim të ligjeve të sipërpërmendur, nga ku rezultojnë të dhënat si më poshtë: </w:t>
      </w:r>
    </w:p>
    <w:p w14:paraId="76DC535A" w14:textId="05B949E2" w:rsidR="000D085E" w:rsidRPr="00E66371" w:rsidRDefault="000D085E" w:rsidP="00623352">
      <w:pPr>
        <w:pStyle w:val="ListParagraph"/>
        <w:numPr>
          <w:ilvl w:val="0"/>
          <w:numId w:val="15"/>
        </w:numPr>
        <w:jc w:val="both"/>
        <w:rPr>
          <w:rFonts w:cs="Times New Roman"/>
          <w:szCs w:val="24"/>
          <w:lang w:val="sq-AL"/>
        </w:rPr>
      </w:pPr>
      <w:r w:rsidRPr="00E66371">
        <w:rPr>
          <w:rFonts w:cs="Times New Roman"/>
          <w:szCs w:val="24"/>
          <w:lang w:val="sq-AL"/>
        </w:rPr>
        <w:t>Masa administrative të marra në rast konstatimi të shkeljes së legjislacionit në fuqi.</w:t>
      </w:r>
    </w:p>
    <w:p w14:paraId="7D76ACF6" w14:textId="09635D9D" w:rsidR="000D085E" w:rsidRPr="009475CC" w:rsidRDefault="000D085E" w:rsidP="00430E69">
      <w:pPr>
        <w:jc w:val="both"/>
        <w:rPr>
          <w:rFonts w:cs="Times New Roman"/>
          <w:szCs w:val="24"/>
          <w:lang w:val="sq-AL"/>
        </w:rPr>
      </w:pPr>
      <w:r w:rsidRPr="009475CC">
        <w:rPr>
          <w:rFonts w:cs="Times New Roman"/>
          <w:szCs w:val="24"/>
          <w:lang w:val="sq-AL"/>
        </w:rPr>
        <w:t xml:space="preserve">Në kontrollet e ushtruara në subjektet e pajisje mjekësore, janë konstatuar shkelje që përbëjnë kundërvajtje administrative në zbatim të Ligjjit </w:t>
      </w:r>
      <w:r w:rsidR="00E2223C">
        <w:rPr>
          <w:rFonts w:cs="Times New Roman"/>
          <w:szCs w:val="24"/>
          <w:lang w:val="sq-AL"/>
        </w:rPr>
        <w:t>n</w:t>
      </w:r>
      <w:r w:rsidRPr="009475CC">
        <w:rPr>
          <w:rFonts w:cs="Times New Roman"/>
          <w:szCs w:val="24"/>
          <w:lang w:val="sq-AL"/>
        </w:rPr>
        <w:t xml:space="preserve">r. 21/2020 </w:t>
      </w:r>
      <w:r w:rsidR="00E2223C">
        <w:rPr>
          <w:rFonts w:cs="Times New Roman"/>
          <w:szCs w:val="24"/>
          <w:lang w:val="sq-AL"/>
        </w:rPr>
        <w:t>“</w:t>
      </w:r>
      <w:r w:rsidRPr="009475CC">
        <w:rPr>
          <w:rFonts w:cs="Times New Roman"/>
          <w:szCs w:val="24"/>
          <w:lang w:val="sq-AL"/>
        </w:rPr>
        <w:t xml:space="preserve">Për </w:t>
      </w:r>
      <w:r w:rsidR="00E2223C">
        <w:rPr>
          <w:rFonts w:cs="Times New Roman"/>
          <w:szCs w:val="24"/>
          <w:lang w:val="sq-AL"/>
        </w:rPr>
        <w:t>d</w:t>
      </w:r>
      <w:r w:rsidRPr="009475CC">
        <w:rPr>
          <w:rFonts w:cs="Times New Roman"/>
          <w:szCs w:val="24"/>
          <w:lang w:val="sq-AL"/>
        </w:rPr>
        <w:t xml:space="preserve">isa shtesa dhe ndryshime në Ligjin </w:t>
      </w:r>
      <w:r w:rsidR="00E2223C">
        <w:rPr>
          <w:rFonts w:cs="Times New Roman"/>
          <w:szCs w:val="24"/>
          <w:lang w:val="sq-AL"/>
        </w:rPr>
        <w:t>n</w:t>
      </w:r>
      <w:r w:rsidRPr="009475CC">
        <w:rPr>
          <w:rFonts w:cs="Times New Roman"/>
          <w:szCs w:val="24"/>
          <w:lang w:val="sq-AL"/>
        </w:rPr>
        <w:t>r. 89/2014”</w:t>
      </w:r>
      <w:r w:rsidR="00E2223C">
        <w:rPr>
          <w:rFonts w:cs="Times New Roman"/>
          <w:szCs w:val="24"/>
          <w:lang w:val="sq-AL"/>
        </w:rPr>
        <w:t>.</w:t>
      </w:r>
    </w:p>
    <w:p w14:paraId="518DC8C3" w14:textId="77777777" w:rsidR="00E66371" w:rsidRDefault="000D085E" w:rsidP="00623352">
      <w:pPr>
        <w:pStyle w:val="ListParagraph"/>
        <w:numPr>
          <w:ilvl w:val="0"/>
          <w:numId w:val="15"/>
        </w:numPr>
        <w:jc w:val="both"/>
        <w:rPr>
          <w:rFonts w:cs="Times New Roman"/>
          <w:szCs w:val="24"/>
          <w:lang w:val="sq-AL"/>
        </w:rPr>
      </w:pPr>
      <w:r w:rsidRPr="00E66371">
        <w:rPr>
          <w:rFonts w:cs="Times New Roman"/>
          <w:szCs w:val="24"/>
          <w:lang w:val="sq-AL"/>
        </w:rPr>
        <w:t>Jan</w:t>
      </w:r>
      <w:r w:rsidR="00E2223C" w:rsidRPr="00E66371">
        <w:rPr>
          <w:rFonts w:cs="Times New Roman"/>
          <w:szCs w:val="24"/>
          <w:lang w:val="sq-AL"/>
        </w:rPr>
        <w:t>ë</w:t>
      </w:r>
      <w:r w:rsidRPr="00E66371">
        <w:rPr>
          <w:rFonts w:cs="Times New Roman"/>
          <w:szCs w:val="24"/>
          <w:lang w:val="sq-AL"/>
        </w:rPr>
        <w:t xml:space="preserve"> kryer inspektime në depo të pajisjeve mjekësore p</w:t>
      </w:r>
      <w:r w:rsidR="00E2223C" w:rsidRPr="00E66371">
        <w:rPr>
          <w:rFonts w:cs="Times New Roman"/>
          <w:szCs w:val="24"/>
          <w:lang w:val="sq-AL"/>
        </w:rPr>
        <w:t>ë</w:t>
      </w:r>
      <w:r w:rsidRPr="00E66371">
        <w:rPr>
          <w:rFonts w:cs="Times New Roman"/>
          <w:szCs w:val="24"/>
          <w:lang w:val="sq-AL"/>
        </w:rPr>
        <w:t xml:space="preserve">r vitet 2019, 2020, 2021 dhe </w:t>
      </w:r>
    </w:p>
    <w:p w14:paraId="4CD65094" w14:textId="55A261C6" w:rsidR="000D085E" w:rsidRPr="00E66371" w:rsidRDefault="000D085E" w:rsidP="00430E69">
      <w:pPr>
        <w:jc w:val="both"/>
        <w:rPr>
          <w:rFonts w:cs="Times New Roman"/>
          <w:szCs w:val="24"/>
          <w:lang w:val="sq-AL"/>
        </w:rPr>
      </w:pPr>
      <w:r w:rsidRPr="00E66371">
        <w:rPr>
          <w:rFonts w:cs="Times New Roman"/>
          <w:szCs w:val="24"/>
          <w:lang w:val="sq-AL"/>
        </w:rPr>
        <w:t xml:space="preserve">deri 10 Tetor 2022, respektivisht 82, 51, 91 dhe 93 inspektime për të cilat janë marrë gjithsej 50 masa administrative dënim me gjobë për subjektet e pajisjeve mjekësore. </w:t>
      </w:r>
    </w:p>
    <w:p w14:paraId="3B960547" w14:textId="77777777" w:rsidR="00E66371" w:rsidRDefault="000D085E" w:rsidP="00623352">
      <w:pPr>
        <w:pStyle w:val="ListParagraph"/>
        <w:numPr>
          <w:ilvl w:val="0"/>
          <w:numId w:val="15"/>
        </w:numPr>
        <w:jc w:val="both"/>
        <w:rPr>
          <w:rFonts w:cs="Times New Roman"/>
          <w:szCs w:val="24"/>
          <w:lang w:val="sq-AL"/>
        </w:rPr>
      </w:pPr>
      <w:r w:rsidRPr="00E66371">
        <w:rPr>
          <w:rFonts w:cs="Times New Roman"/>
          <w:szCs w:val="24"/>
          <w:lang w:val="sq-AL"/>
        </w:rPr>
        <w:t xml:space="preserve">Forcim kapacitetesh administrative shtimi </w:t>
      </w:r>
      <w:r w:rsidR="00E2223C" w:rsidRPr="00E66371">
        <w:rPr>
          <w:rFonts w:cs="Times New Roman"/>
          <w:szCs w:val="24"/>
          <w:lang w:val="sq-AL"/>
        </w:rPr>
        <w:t>i</w:t>
      </w:r>
      <w:r w:rsidRPr="00E66371">
        <w:rPr>
          <w:rFonts w:cs="Times New Roman"/>
          <w:szCs w:val="24"/>
          <w:lang w:val="sq-AL"/>
        </w:rPr>
        <w:t xml:space="preserve"> kompetencave tek ISHSH duke forcuar n</w:t>
      </w:r>
      <w:r w:rsidR="00E2223C" w:rsidRPr="00E66371">
        <w:rPr>
          <w:rFonts w:cs="Times New Roman"/>
          <w:szCs w:val="24"/>
          <w:lang w:val="sq-AL"/>
        </w:rPr>
        <w:t xml:space="preserve">ë </w:t>
      </w:r>
    </w:p>
    <w:p w14:paraId="5A2DDD02" w14:textId="042932FF" w:rsidR="000D085E" w:rsidRPr="00E66371" w:rsidRDefault="000D085E" w:rsidP="00430E69">
      <w:pPr>
        <w:jc w:val="both"/>
        <w:rPr>
          <w:rFonts w:cs="Times New Roman"/>
          <w:szCs w:val="24"/>
          <w:lang w:val="sq-AL"/>
        </w:rPr>
      </w:pPr>
      <w:r w:rsidRPr="00E66371">
        <w:rPr>
          <w:rFonts w:cs="Times New Roman"/>
          <w:szCs w:val="24"/>
          <w:lang w:val="sq-AL"/>
        </w:rPr>
        <w:t>k</w:t>
      </w:r>
      <w:r w:rsidR="00E2223C" w:rsidRPr="00E66371">
        <w:rPr>
          <w:rFonts w:cs="Times New Roman"/>
          <w:szCs w:val="24"/>
          <w:lang w:val="sq-AL"/>
        </w:rPr>
        <w:t>ë</w:t>
      </w:r>
      <w:r w:rsidRPr="00E66371">
        <w:rPr>
          <w:rFonts w:cs="Times New Roman"/>
          <w:szCs w:val="24"/>
          <w:lang w:val="sq-AL"/>
        </w:rPr>
        <w:t>t</w:t>
      </w:r>
      <w:r w:rsidR="00E2223C" w:rsidRPr="00E66371">
        <w:rPr>
          <w:rFonts w:cs="Times New Roman"/>
          <w:szCs w:val="24"/>
          <w:lang w:val="sq-AL"/>
        </w:rPr>
        <w:t>ë</w:t>
      </w:r>
      <w:r w:rsidRPr="00E66371">
        <w:rPr>
          <w:rFonts w:cs="Times New Roman"/>
          <w:szCs w:val="24"/>
          <w:lang w:val="sq-AL"/>
        </w:rPr>
        <w:t xml:space="preserve"> m</w:t>
      </w:r>
      <w:r w:rsidR="00E2223C" w:rsidRPr="00E66371">
        <w:rPr>
          <w:rFonts w:cs="Times New Roman"/>
          <w:szCs w:val="24"/>
          <w:lang w:val="sq-AL"/>
        </w:rPr>
        <w:t>ë</w:t>
      </w:r>
      <w:r w:rsidRPr="00E66371">
        <w:rPr>
          <w:rFonts w:cs="Times New Roman"/>
          <w:szCs w:val="24"/>
          <w:lang w:val="sq-AL"/>
        </w:rPr>
        <w:t>nyr</w:t>
      </w:r>
      <w:r w:rsidR="00E2223C" w:rsidRPr="00E66371">
        <w:rPr>
          <w:rFonts w:cs="Times New Roman"/>
          <w:szCs w:val="24"/>
          <w:lang w:val="sq-AL"/>
        </w:rPr>
        <w:t>ë</w:t>
      </w:r>
      <w:r w:rsidRPr="00E66371">
        <w:rPr>
          <w:rFonts w:cs="Times New Roman"/>
          <w:szCs w:val="24"/>
          <w:lang w:val="sq-AL"/>
        </w:rPr>
        <w:t xml:space="preserve"> rolin e konsumat</w:t>
      </w:r>
      <w:r w:rsidR="00E2223C" w:rsidRPr="00E66371">
        <w:rPr>
          <w:rFonts w:cs="Times New Roman"/>
          <w:szCs w:val="24"/>
          <w:lang w:val="sq-AL"/>
        </w:rPr>
        <w:t>o</w:t>
      </w:r>
      <w:r w:rsidRPr="00E66371">
        <w:rPr>
          <w:rFonts w:cs="Times New Roman"/>
          <w:szCs w:val="24"/>
          <w:lang w:val="sq-AL"/>
        </w:rPr>
        <w:t>rit n</w:t>
      </w:r>
      <w:r w:rsidR="00E2223C" w:rsidRPr="00E66371">
        <w:rPr>
          <w:rFonts w:cs="Times New Roman"/>
          <w:szCs w:val="24"/>
          <w:lang w:val="sq-AL"/>
        </w:rPr>
        <w:t>ë</w:t>
      </w:r>
      <w:r w:rsidRPr="00E66371">
        <w:rPr>
          <w:rFonts w:cs="Times New Roman"/>
          <w:szCs w:val="24"/>
          <w:lang w:val="sq-AL"/>
        </w:rPr>
        <w:t xml:space="preserve"> treg p</w:t>
      </w:r>
      <w:r w:rsidR="00E2223C" w:rsidRPr="00E66371">
        <w:rPr>
          <w:rFonts w:cs="Times New Roman"/>
          <w:szCs w:val="24"/>
          <w:lang w:val="sq-AL"/>
        </w:rPr>
        <w:t>ë</w:t>
      </w:r>
      <w:r w:rsidRPr="00E66371">
        <w:rPr>
          <w:rFonts w:cs="Times New Roman"/>
          <w:szCs w:val="24"/>
          <w:lang w:val="sq-AL"/>
        </w:rPr>
        <w:t xml:space="preserve">r sa </w:t>
      </w:r>
      <w:r w:rsidR="00E2223C" w:rsidRPr="00E66371">
        <w:rPr>
          <w:rFonts w:cs="Times New Roman"/>
          <w:szCs w:val="24"/>
          <w:lang w:val="sq-AL"/>
        </w:rPr>
        <w:t>i</w:t>
      </w:r>
      <w:r w:rsidRPr="00E66371">
        <w:rPr>
          <w:rFonts w:cs="Times New Roman"/>
          <w:szCs w:val="24"/>
          <w:lang w:val="sq-AL"/>
        </w:rPr>
        <w:t xml:space="preserve"> takon produkteve t</w:t>
      </w:r>
      <w:r w:rsidR="00E2223C" w:rsidRPr="00E66371">
        <w:rPr>
          <w:rFonts w:cs="Times New Roman"/>
          <w:szCs w:val="24"/>
          <w:lang w:val="sq-AL"/>
        </w:rPr>
        <w:t>ë</w:t>
      </w:r>
      <w:r w:rsidRPr="00E66371">
        <w:rPr>
          <w:rFonts w:cs="Times New Roman"/>
          <w:szCs w:val="24"/>
          <w:lang w:val="sq-AL"/>
        </w:rPr>
        <w:t xml:space="preserve"> kozmetik</w:t>
      </w:r>
      <w:r w:rsidR="00E2223C" w:rsidRPr="00E66371">
        <w:rPr>
          <w:rFonts w:cs="Times New Roman"/>
          <w:szCs w:val="24"/>
          <w:lang w:val="sq-AL"/>
        </w:rPr>
        <w:t>ë</w:t>
      </w:r>
      <w:r w:rsidRPr="00E66371">
        <w:rPr>
          <w:rFonts w:cs="Times New Roman"/>
          <w:szCs w:val="24"/>
          <w:lang w:val="sq-AL"/>
        </w:rPr>
        <w:t>s</w:t>
      </w:r>
      <w:r w:rsidR="00E2223C" w:rsidRPr="00E66371">
        <w:rPr>
          <w:rFonts w:cs="Times New Roman"/>
          <w:szCs w:val="24"/>
          <w:lang w:val="sq-AL"/>
        </w:rPr>
        <w:t>.</w:t>
      </w:r>
      <w:r w:rsidRPr="00E66371">
        <w:rPr>
          <w:rFonts w:cs="Times New Roman"/>
          <w:szCs w:val="24"/>
          <w:lang w:val="sq-AL"/>
        </w:rPr>
        <w:t xml:space="preserve">  </w:t>
      </w:r>
    </w:p>
    <w:p w14:paraId="4D0E97E0" w14:textId="0F5F6E30" w:rsidR="000D085E" w:rsidRPr="009475CC" w:rsidRDefault="000D085E" w:rsidP="00430E69">
      <w:pPr>
        <w:jc w:val="both"/>
        <w:rPr>
          <w:rFonts w:cs="Times New Roman"/>
          <w:szCs w:val="24"/>
          <w:lang w:val="sq-AL"/>
        </w:rPr>
      </w:pPr>
      <w:r w:rsidRPr="009475CC">
        <w:rPr>
          <w:rFonts w:cs="Times New Roman"/>
          <w:szCs w:val="24"/>
          <w:lang w:val="sq-AL"/>
        </w:rPr>
        <w:t xml:space="preserve">Zbatimi i ligjit për pajisjet mjekësore ka garantuar përdorimin e pajisjeve të certifikuara nga organe të njohura certifikues duke garantuar sigurinë e </w:t>
      </w:r>
      <w:r w:rsidR="00463253" w:rsidRPr="009475CC">
        <w:rPr>
          <w:rFonts w:cs="Times New Roman"/>
          <w:szCs w:val="24"/>
          <w:lang w:val="sq-AL"/>
        </w:rPr>
        <w:t>pacientëve</w:t>
      </w:r>
      <w:r w:rsidR="00E66371">
        <w:rPr>
          <w:rFonts w:cs="Times New Roman"/>
          <w:szCs w:val="24"/>
          <w:lang w:val="sq-AL"/>
        </w:rPr>
        <w:t>,</w:t>
      </w:r>
      <w:r w:rsidR="00463253" w:rsidRPr="009475CC">
        <w:rPr>
          <w:rFonts w:cs="Times New Roman"/>
          <w:szCs w:val="24"/>
          <w:lang w:val="sq-AL"/>
        </w:rPr>
        <w:t xml:space="preserve"> përdoruesve dhe produktet e kozmetik</w:t>
      </w:r>
      <w:r w:rsidR="00E2223C">
        <w:rPr>
          <w:rFonts w:cs="Times New Roman"/>
          <w:szCs w:val="24"/>
          <w:lang w:val="sq-AL"/>
        </w:rPr>
        <w:t>ës.</w:t>
      </w:r>
    </w:p>
    <w:p w14:paraId="43E545EA" w14:textId="77777777" w:rsidR="000D085E" w:rsidRPr="009475CC" w:rsidRDefault="000D085E" w:rsidP="00430E69">
      <w:pPr>
        <w:jc w:val="both"/>
        <w:rPr>
          <w:rFonts w:cs="Times New Roman"/>
          <w:szCs w:val="24"/>
          <w:lang w:val="sq-AL"/>
        </w:rPr>
      </w:pPr>
      <w:r w:rsidRPr="009475CC">
        <w:rPr>
          <w:rFonts w:cs="Times New Roman"/>
          <w:szCs w:val="24"/>
          <w:lang w:val="sq-AL"/>
        </w:rPr>
        <w:t xml:space="preserve">Që prej vitit 2020, regjistrimi i pajisjeve mjekësore realizohet sipas klasave dhe kategorive që në momentin kur hyjnë në doganë duke garantuar vetëm qarkullimin e pajisjeve që plotësojnë standartet dhe garantojnë mbrojtjen e përdoruesve. </w:t>
      </w:r>
    </w:p>
    <w:p w14:paraId="4DB7FE2B" w14:textId="77777777" w:rsidR="000D085E" w:rsidRPr="009475CC" w:rsidRDefault="000D085E" w:rsidP="00430E69">
      <w:pPr>
        <w:jc w:val="both"/>
        <w:rPr>
          <w:rFonts w:cs="Times New Roman"/>
          <w:szCs w:val="24"/>
          <w:lang w:val="sq-AL"/>
        </w:rPr>
      </w:pPr>
      <w:r w:rsidRPr="009475CC">
        <w:rPr>
          <w:rFonts w:cs="Times New Roman"/>
          <w:szCs w:val="24"/>
          <w:lang w:val="sq-AL"/>
        </w:rPr>
        <w:t xml:space="preserve">Me qëllim garantimin e prodhimit të pajisjeve mjekësore në përputhje me standartet europiane si dhe garantimin e sigurisë së ruajtjes, transportit dhe shpërndarjes së pajisjeve mjekësore, Ministria e Shëndetësisë dhe Mbrojtjes Sociale fillon së shpejti licensimin e prodhuesve dhe tregtuesve të pajisjeve mjekësore. </w:t>
      </w:r>
    </w:p>
    <w:p w14:paraId="269EA17F" w14:textId="0C9D7BE7" w:rsidR="000D085E" w:rsidRPr="009475CC" w:rsidRDefault="000D085E" w:rsidP="00430E69">
      <w:pPr>
        <w:jc w:val="both"/>
        <w:rPr>
          <w:rFonts w:cs="Times New Roman"/>
          <w:szCs w:val="24"/>
          <w:lang w:val="sq-AL"/>
        </w:rPr>
      </w:pPr>
      <w:r w:rsidRPr="009475CC">
        <w:rPr>
          <w:rFonts w:cs="Times New Roman"/>
          <w:szCs w:val="24"/>
          <w:lang w:val="sq-AL"/>
        </w:rPr>
        <w:t>Për herë të parë</w:t>
      </w:r>
      <w:r w:rsidR="00E2223C">
        <w:rPr>
          <w:rFonts w:cs="Times New Roman"/>
          <w:szCs w:val="24"/>
          <w:lang w:val="sq-AL"/>
        </w:rPr>
        <w:t xml:space="preserve">, </w:t>
      </w:r>
      <w:r w:rsidRPr="009475CC">
        <w:rPr>
          <w:rFonts w:cs="Times New Roman"/>
          <w:szCs w:val="24"/>
          <w:lang w:val="sq-AL"/>
        </w:rPr>
        <w:t>Ministria e Shëndetësisë dhe Mbrojtjes Sociale ka hartuar udhëzuesin për hetimet klinike që kryhen me pajisjet mjekësore ku ka përcaktuar rregullat për aplikimin, miratimin, kryerjen dhe raportimin e hetimeve klinike të pajisjeve mjekësore në Republikën e Shqipërisë.</w:t>
      </w:r>
    </w:p>
    <w:p w14:paraId="2EA651DD" w14:textId="77777777" w:rsidR="000D085E" w:rsidRPr="009475CC" w:rsidRDefault="000D085E" w:rsidP="00430E69">
      <w:pPr>
        <w:jc w:val="both"/>
        <w:rPr>
          <w:rFonts w:cs="Times New Roman"/>
          <w:szCs w:val="24"/>
          <w:lang w:val="sq-AL"/>
        </w:rPr>
      </w:pPr>
      <w:r w:rsidRPr="009475CC">
        <w:rPr>
          <w:rFonts w:cs="Times New Roman"/>
          <w:szCs w:val="24"/>
          <w:lang w:val="sq-AL"/>
        </w:rPr>
        <w:t>Hetimet klinike të pajisjeve mjekësore do të vlerësojnë sigurinë ose/dhe performancën e një pajisjeje mjekësore në drejtim të përdorimit të saj në parandalimin, diagnostikimin ose trajtimin e sëmundjeve.</w:t>
      </w:r>
    </w:p>
    <w:p w14:paraId="3D9F6520" w14:textId="706E03E1" w:rsidR="000D085E" w:rsidRPr="009475CC" w:rsidRDefault="000D085E" w:rsidP="00430E69">
      <w:pPr>
        <w:jc w:val="both"/>
        <w:rPr>
          <w:rFonts w:cs="Times New Roman"/>
          <w:szCs w:val="24"/>
          <w:lang w:val="sq-AL"/>
        </w:rPr>
      </w:pPr>
      <w:r w:rsidRPr="009475CC">
        <w:rPr>
          <w:rFonts w:cs="Times New Roman"/>
          <w:szCs w:val="24"/>
          <w:lang w:val="sq-AL"/>
        </w:rPr>
        <w:t>Hetimet klinike do të kryhen vetëm pasi Komiteti i Etikës Mjekësore për Pajisjet Mjekësore ka dhënë më parë miratimin e tij për zhvillimin e kë</w:t>
      </w:r>
      <w:r w:rsidR="00E2223C">
        <w:rPr>
          <w:rFonts w:cs="Times New Roman"/>
          <w:szCs w:val="24"/>
          <w:lang w:val="sq-AL"/>
        </w:rPr>
        <w:t>ti</w:t>
      </w:r>
      <w:r w:rsidRPr="009475CC">
        <w:rPr>
          <w:rFonts w:cs="Times New Roman"/>
          <w:szCs w:val="24"/>
          <w:lang w:val="sq-AL"/>
        </w:rPr>
        <w:t xml:space="preserve">j hetimi. Miratimi jepet pas një vlerësimi të </w:t>
      </w:r>
      <w:r w:rsidRPr="009475CC">
        <w:rPr>
          <w:rFonts w:cs="Times New Roman"/>
          <w:szCs w:val="24"/>
          <w:lang w:val="sq-AL"/>
        </w:rPr>
        <w:lastRenderedPageBreak/>
        <w:t>thellë ku më kryesore është kryerja e hetimit pa cënuar sigurinë e subjekteve. Shqyrtim i veçantë kryhet për kategori të veçanta</w:t>
      </w:r>
      <w:r w:rsidR="00E2223C">
        <w:rPr>
          <w:rFonts w:cs="Times New Roman"/>
          <w:szCs w:val="24"/>
          <w:lang w:val="sq-AL"/>
        </w:rPr>
        <w:t>, si:</w:t>
      </w:r>
      <w:r w:rsidRPr="009475CC">
        <w:rPr>
          <w:rFonts w:cs="Times New Roman"/>
          <w:szCs w:val="24"/>
          <w:lang w:val="sq-AL"/>
        </w:rPr>
        <w:t xml:space="preserve"> fëmijët, gratë shtatzëna etj. Kryeja e çdo hetimi klinik parashikon certifikimin e njohjes dhe marrjen e pëlqimit të informuar nga të gjithë subjektet.</w:t>
      </w:r>
    </w:p>
    <w:p w14:paraId="26F74E4C" w14:textId="77777777" w:rsidR="000D085E" w:rsidRPr="009475CC" w:rsidRDefault="000D085E" w:rsidP="00430E69">
      <w:pPr>
        <w:jc w:val="both"/>
        <w:rPr>
          <w:rFonts w:cs="Times New Roman"/>
          <w:szCs w:val="24"/>
          <w:lang w:val="sq-AL"/>
        </w:rPr>
      </w:pPr>
      <w:r w:rsidRPr="009475CC">
        <w:rPr>
          <w:rFonts w:cs="Times New Roman"/>
          <w:szCs w:val="24"/>
          <w:lang w:val="sq-AL"/>
        </w:rPr>
        <w:t>Me qëllim rritjen e sigurisë së konsumatorit që konsumon pajisje mjekësore që tregtohen me anë të internetit, Ministria e Shëndetësisë dhe Mbrojtjes Sociale përcaktoi me anë të një urdhri kriteret për tregtimin e pajisjeve mjekësore nëpërmjet internetit. Për shkak të rrezikshmërisë së përdorimit të kategorive të caktuara të pajisjeve mjekësore, vetëm pajisjet mjekësore të klasifikuara me rrezikshmëri të ulët mund të tregtohen nëpërmjet internetit.</w:t>
      </w:r>
    </w:p>
    <w:p w14:paraId="53F013A1" w14:textId="7E7F5FC6" w:rsidR="000D085E" w:rsidRPr="009475CC" w:rsidRDefault="000D085E" w:rsidP="00430E69">
      <w:pPr>
        <w:jc w:val="both"/>
        <w:rPr>
          <w:rFonts w:cs="Times New Roman"/>
          <w:szCs w:val="24"/>
          <w:lang w:val="sq-AL"/>
        </w:rPr>
      </w:pPr>
      <w:r w:rsidRPr="009475CC">
        <w:rPr>
          <w:rFonts w:cs="Times New Roman"/>
          <w:szCs w:val="24"/>
          <w:lang w:val="sq-AL"/>
        </w:rPr>
        <w:t>Me qëllim mbrojtjen e konsumatorit, Ministria e Shëndetësisë dhe Mbrojtjes Sociale hartoi rregulloren mbi publicitetin e pajisjeve mjekësore. Ky akt rregullator ndalon publicitetin e çdo pajisjeje mjekësore që nuk plotëson kushtet e përcaktuara sipas legjislacionit në fuqi për pajisjet mjekësore. Me qëllim mbrojtjen e konsumator</w:t>
      </w:r>
      <w:r w:rsidR="00E2223C">
        <w:rPr>
          <w:rFonts w:cs="Times New Roman"/>
          <w:szCs w:val="24"/>
          <w:lang w:val="sq-AL"/>
        </w:rPr>
        <w:t>ëve,</w:t>
      </w:r>
      <w:r w:rsidRPr="009475CC">
        <w:rPr>
          <w:rFonts w:cs="Times New Roman"/>
          <w:szCs w:val="24"/>
          <w:lang w:val="sq-AL"/>
        </w:rPr>
        <w:t xml:space="preserve"> publiciteti i pajisjeve mjekësore nuk duhet të bëhet në mënyrë inkurajuese për konsum si mallrat e përgjithshme të konsumit, por duhet të bazohet në informacione profesionale dhe duhet të sigurojë informacion të mjaftueshëm duke përfshirë gjithë elementët e nevojshëm si</w:t>
      </w:r>
      <w:r w:rsidR="00E2223C">
        <w:rPr>
          <w:rFonts w:cs="Times New Roman"/>
          <w:szCs w:val="24"/>
          <w:lang w:val="sq-AL"/>
        </w:rPr>
        <w:t>:</w:t>
      </w:r>
      <w:r w:rsidRPr="009475CC">
        <w:rPr>
          <w:rFonts w:cs="Times New Roman"/>
          <w:szCs w:val="24"/>
          <w:lang w:val="sq-AL"/>
        </w:rPr>
        <w:t xml:space="preserve"> përfitimet, rreziqet e trajtimit, çmimet, rimbursimi. Në publicitetin e pajisjeve mjekësore ndalohet çdo informacion që përshkruan funksione dhe veçanti të pajisjes, të cilat pajisja realisht nuk i ka, krijon një përshtypje false lidhur me trajtimin, diagnozën, funksionet ose veçoritë, të cilat pajisja nuk i ka, sugjeron përdorime të pajisjes, të ndryshme nga ato që ajo ka, për të cilat është marrë vlerësimi i konformitetit dhe që i shërbejnë qëllimit të pajisjes, ofron dhurata apo konkurse apo çmime që lidhen me promovimin e pajisjeve mjekësore drejtuar pacientëve dhe konsumatorëve, krijon përshtypjen se përdorimi i pajisjes mjekësore është pa rrezik, u drejtohet ekskluzivisht ose kryesisht fëmijëve apo të jetë i tillë që mund të çojë në vetë-diagnozë të gabuar, ose përdorim, në terma të ekzagjeruar, alarmues ose mashtrues, imazhe, ilustrime</w:t>
      </w:r>
      <w:r w:rsidR="00E2223C">
        <w:rPr>
          <w:rFonts w:cs="Times New Roman"/>
          <w:szCs w:val="24"/>
          <w:lang w:val="sq-AL"/>
        </w:rPr>
        <w:t xml:space="preserve"> et</w:t>
      </w:r>
      <w:r w:rsidRPr="009475CC">
        <w:rPr>
          <w:rFonts w:cs="Times New Roman"/>
          <w:szCs w:val="24"/>
          <w:lang w:val="sq-AL"/>
        </w:rPr>
        <w:t>j. të ndryshimeve në trupin e njeriut.</w:t>
      </w:r>
    </w:p>
    <w:p w14:paraId="3C2DE85F" w14:textId="77777777" w:rsidR="000D085E" w:rsidRPr="009475CC" w:rsidRDefault="000D085E" w:rsidP="00430E69">
      <w:pPr>
        <w:jc w:val="both"/>
        <w:rPr>
          <w:rFonts w:cs="Times New Roman"/>
          <w:szCs w:val="24"/>
          <w:lang w:val="sq-AL"/>
        </w:rPr>
      </w:pPr>
      <w:r w:rsidRPr="009475CC">
        <w:rPr>
          <w:rFonts w:cs="Times New Roman"/>
          <w:szCs w:val="24"/>
          <w:lang w:val="sq-AL"/>
        </w:rPr>
        <w:t>Sfidat lidhen me garantimin e plotë të sigurisë se pacientëve dhe përdoruesve nëpërmjet plotësimit të mëtejshëm  të kuadrit rregullator për pajisjet mjekësore dhe zbatimit të legjislacionit në fuqi.</w:t>
      </w:r>
    </w:p>
    <w:p w14:paraId="32FFB5FD" w14:textId="3D8747A8" w:rsidR="00E2223C" w:rsidRPr="00430E69" w:rsidRDefault="000D085E" w:rsidP="00430E69">
      <w:pPr>
        <w:jc w:val="both"/>
        <w:rPr>
          <w:rFonts w:cs="Times New Roman"/>
          <w:szCs w:val="24"/>
          <w:lang w:val="sq-AL"/>
        </w:rPr>
      </w:pPr>
      <w:r w:rsidRPr="009475CC">
        <w:rPr>
          <w:rFonts w:cs="Times New Roman"/>
          <w:szCs w:val="24"/>
          <w:lang w:val="sq-AL"/>
        </w:rPr>
        <w:t>Sfidë mbetet përdorimi i sigurtë i pajisjeve mjekësore dhe kontrolli në vazhdimësi i konformitetit të pajisjeve mjekësore</w:t>
      </w:r>
      <w:r w:rsidR="006D3740" w:rsidRPr="009475CC">
        <w:rPr>
          <w:rFonts w:cs="Times New Roman"/>
          <w:szCs w:val="24"/>
          <w:lang w:val="sq-AL"/>
        </w:rPr>
        <w:t xml:space="preserve"> dhe produketeve kozmetike</w:t>
      </w:r>
      <w:r w:rsidR="00E2223C">
        <w:rPr>
          <w:rFonts w:cs="Times New Roman"/>
          <w:szCs w:val="24"/>
          <w:lang w:val="sq-AL"/>
        </w:rPr>
        <w:t>, si</w:t>
      </w:r>
      <w:r w:rsidRPr="009475CC">
        <w:rPr>
          <w:rFonts w:cs="Times New Roman"/>
          <w:szCs w:val="24"/>
          <w:lang w:val="sq-AL"/>
        </w:rPr>
        <w:t xml:space="preserve"> dhe garantimi që vetëm pajisjet e certifikuar</w:t>
      </w:r>
      <w:r w:rsidR="00E2223C">
        <w:rPr>
          <w:rFonts w:cs="Times New Roman"/>
          <w:szCs w:val="24"/>
          <w:lang w:val="sq-AL"/>
        </w:rPr>
        <w:t>a</w:t>
      </w:r>
      <w:r w:rsidRPr="009475CC">
        <w:rPr>
          <w:rFonts w:cs="Times New Roman"/>
          <w:szCs w:val="24"/>
          <w:lang w:val="sq-AL"/>
        </w:rPr>
        <w:t xml:space="preserve"> vendosen në treg dhe përdoren nga pacientët dhe përdoruesit.</w:t>
      </w:r>
    </w:p>
    <w:p w14:paraId="38772790" w14:textId="7F3910F4" w:rsidR="00A45016" w:rsidRPr="00430E69" w:rsidRDefault="00126667" w:rsidP="00623352">
      <w:pPr>
        <w:pStyle w:val="Heading3"/>
      </w:pPr>
      <w:bookmarkStart w:id="20" w:name="_Toc130994976"/>
      <w:bookmarkStart w:id="21" w:name="_Toc132277322"/>
      <w:r w:rsidRPr="00430E69">
        <w:t>Infrastruktura e Cilësisë</w:t>
      </w:r>
      <w:bookmarkEnd w:id="20"/>
      <w:bookmarkEnd w:id="21"/>
    </w:p>
    <w:p w14:paraId="4C601C0F" w14:textId="01FEB0AB" w:rsidR="00A45016" w:rsidRPr="009475CC" w:rsidRDefault="00A45016" w:rsidP="00430E69">
      <w:pPr>
        <w:jc w:val="both"/>
        <w:rPr>
          <w:rFonts w:cs="Times New Roman"/>
          <w:szCs w:val="24"/>
          <w:lang w:val="sq-AL"/>
        </w:rPr>
      </w:pPr>
      <w:r w:rsidRPr="009475CC">
        <w:rPr>
          <w:rFonts w:cs="Times New Roman"/>
          <w:szCs w:val="24"/>
          <w:lang w:val="sq-AL"/>
        </w:rPr>
        <w:t>Ekzistenca e infrastrukturës së cilësisë funksionale është një parakusht për integrimin e ngushtë të ekonomive në zhvillim në zinxhirët globalë të vlerave. Mirëfunksionimi i infrastrukturës cilësisë nuk do të hapë vetëm derën për prodhuesit në vendet në zhvillim ndaj tregjeve fitimprurëse në vendet e zhvill</w:t>
      </w:r>
      <w:r w:rsidR="0092425E">
        <w:rPr>
          <w:rFonts w:cs="Times New Roman"/>
          <w:szCs w:val="24"/>
          <w:lang w:val="sq-AL"/>
        </w:rPr>
        <w:t>uara</w:t>
      </w:r>
      <w:r w:rsidRPr="009475CC">
        <w:rPr>
          <w:rFonts w:cs="Times New Roman"/>
          <w:szCs w:val="24"/>
          <w:lang w:val="sq-AL"/>
        </w:rPr>
        <w:t>, por gjithashtu do të ndihmojë prodhuesit e vendeve në zhvillim të ngrenë standardin e proceseve të tyre të prodhimit. Ky përmirësim në aftësinë e tyre prodhuese është jetësor për përmirësimin e vazhdueshëm të mjeteve të jetesës në vendet në zhvillim.</w:t>
      </w:r>
      <w:r w:rsidR="0092425E">
        <w:rPr>
          <w:rFonts w:cs="Times New Roman"/>
          <w:szCs w:val="24"/>
          <w:lang w:val="sq-AL"/>
        </w:rPr>
        <w:t xml:space="preserve"> </w:t>
      </w:r>
      <w:r w:rsidRPr="009475CC">
        <w:rPr>
          <w:rFonts w:cs="Times New Roman"/>
          <w:szCs w:val="24"/>
          <w:lang w:val="sq-AL"/>
        </w:rPr>
        <w:t xml:space="preserve">Garantimi i  konkurrencës në tregjet kombëtare dhe ndërkombëtare siguron që ndërmarrjet mund të mbajnë tregjet e tyre kombëtare, nga ana tjetër, qasja në tregje të reja lejon ndërmarrjet të zgjerohen. Zgjerimi ndihmon në krijimin e vendeve të reja të punës dhe të ardhura më të larta ekonomike. Kjo kontribuon dhe shtyn drejt zhvillimit më të lartë teknologjik, ekonomik dhe social në mënyrë që vendet të fillojnë ose të vazhdojnë rrugën për </w:t>
      </w:r>
      <w:r w:rsidRPr="009475CC">
        <w:rPr>
          <w:rFonts w:cs="Times New Roman"/>
          <w:szCs w:val="24"/>
          <w:lang w:val="sq-AL"/>
        </w:rPr>
        <w:lastRenderedPageBreak/>
        <w:t>të arritur konkurrencë më të madhe dhe një cilësi më të mirë të jetës bazuar në një infrastrukturë kombëtare të cilësisë</w:t>
      </w:r>
      <w:r w:rsidR="0092425E">
        <w:rPr>
          <w:rFonts w:cs="Times New Roman"/>
          <w:szCs w:val="24"/>
          <w:lang w:val="sq-AL"/>
        </w:rPr>
        <w:t>.</w:t>
      </w:r>
    </w:p>
    <w:p w14:paraId="64FBE2B4" w14:textId="769A3F32" w:rsidR="00A45016" w:rsidRPr="009475CC" w:rsidRDefault="00A45016" w:rsidP="00430E69">
      <w:pPr>
        <w:jc w:val="both"/>
        <w:rPr>
          <w:rFonts w:cs="Times New Roman"/>
          <w:szCs w:val="24"/>
          <w:lang w:val="sq-AL"/>
        </w:rPr>
      </w:pPr>
      <w:r w:rsidRPr="009475CC">
        <w:rPr>
          <w:rFonts w:cs="Times New Roman"/>
          <w:szCs w:val="24"/>
          <w:lang w:val="sq-AL"/>
        </w:rPr>
        <w:t>Përmirësimi i aksesit në treg lehtëson diversifikimin e produktit dhe rrit mundësitë për investime, rrit produktivitetin nga reduktimi i kostove të tregtisë duke shmangur dyfishimin në testimin dhe inspektimin, thjeshtimin e operacioneve dhe eliminimin e rregullave kufizuese. Përfitimi nga ekonomitë e shkallës sigurohet përmes metodave të përmirësuara dhe të standardizuara të punës dhe ndërveprimit midis prodhuesve përgjatë zinxhirit të vlerës. Rritja e përhapjes së inovacionit</w:t>
      </w:r>
      <w:r w:rsidR="00E66371">
        <w:rPr>
          <w:rFonts w:cs="Times New Roman"/>
          <w:szCs w:val="24"/>
          <w:lang w:val="sq-AL"/>
        </w:rPr>
        <w:t>,</w:t>
      </w:r>
      <w:r w:rsidRPr="009475CC">
        <w:rPr>
          <w:rFonts w:cs="Times New Roman"/>
          <w:szCs w:val="24"/>
          <w:lang w:val="sq-AL"/>
        </w:rPr>
        <w:t xml:space="preserve"> teknologjisë si dhe përpjekjet për të nxitur infrastrukturën e cilësisë  në vendet partnere kanë bërë tashmë një rrugë të gjatë drejt zgjerimit të konkurrencës, duke i bërë në këtë mënyrë proceset e prodhimit më miqësore ndaj mjedisit, duke përmirësuar mbrojtjen e konsumatorit dhe duke nxitur bashkëpunimin rajonal. Një infrastrukturë cilësie funksionale dhe e aksesueshme nga operatorët ekonomik</w:t>
      </w:r>
      <w:r w:rsidR="00E66371">
        <w:rPr>
          <w:rFonts w:cs="Times New Roman"/>
          <w:szCs w:val="24"/>
          <w:lang w:val="sq-AL"/>
        </w:rPr>
        <w:t>ë</w:t>
      </w:r>
      <w:r w:rsidRPr="009475CC">
        <w:rPr>
          <w:rFonts w:cs="Times New Roman"/>
          <w:szCs w:val="24"/>
          <w:lang w:val="sq-AL"/>
        </w:rPr>
        <w:t xml:space="preserve"> do t</w:t>
      </w:r>
      <w:r w:rsidR="0092425E">
        <w:rPr>
          <w:rFonts w:cs="Times New Roman"/>
          <w:szCs w:val="24"/>
          <w:lang w:val="sq-AL"/>
        </w:rPr>
        <w:t>ë</w:t>
      </w:r>
      <w:r w:rsidRPr="009475CC">
        <w:rPr>
          <w:rFonts w:cs="Times New Roman"/>
          <w:szCs w:val="24"/>
          <w:lang w:val="sq-AL"/>
        </w:rPr>
        <w:t xml:space="preserve"> </w:t>
      </w:r>
      <w:r w:rsidR="00E66371">
        <w:rPr>
          <w:rFonts w:cs="Times New Roman"/>
          <w:szCs w:val="24"/>
          <w:lang w:val="sq-AL"/>
        </w:rPr>
        <w:t>ndikoj</w:t>
      </w:r>
      <w:r w:rsidRPr="009475CC">
        <w:rPr>
          <w:rFonts w:cs="Times New Roman"/>
          <w:szCs w:val="24"/>
          <w:lang w:val="sq-AL"/>
        </w:rPr>
        <w:t>ë</w:t>
      </w:r>
      <w:r w:rsidR="0092425E">
        <w:rPr>
          <w:rFonts w:cs="Times New Roman"/>
          <w:szCs w:val="24"/>
          <w:lang w:val="sq-AL"/>
        </w:rPr>
        <w:t xml:space="preserve"> </w:t>
      </w:r>
      <w:r w:rsidRPr="009475CC">
        <w:rPr>
          <w:rFonts w:cs="Times New Roman"/>
          <w:szCs w:val="24"/>
          <w:lang w:val="sq-AL"/>
        </w:rPr>
        <w:t>që</w:t>
      </w:r>
      <w:r w:rsidR="0092425E">
        <w:rPr>
          <w:rFonts w:cs="Times New Roman"/>
          <w:szCs w:val="24"/>
          <w:lang w:val="sq-AL"/>
        </w:rPr>
        <w:t xml:space="preserve"> </w:t>
      </w:r>
      <w:r w:rsidR="00E66371">
        <w:rPr>
          <w:rFonts w:cs="Times New Roman"/>
          <w:szCs w:val="24"/>
          <w:lang w:val="sq-AL"/>
        </w:rPr>
        <w:t>p</w:t>
      </w:r>
      <w:r w:rsidRPr="009475CC">
        <w:rPr>
          <w:rFonts w:cs="Times New Roman"/>
          <w:szCs w:val="24"/>
          <w:lang w:val="sq-AL"/>
        </w:rPr>
        <w:t>rodhuesit shqiptarë të kenë akses në një treg më të madh për produktet dhe shërbimet e tyre, me kosto më të ulëta dhe me më pak pengesa administrative, ndërsa në të njëjtën kohë do të reduktojnë ndjeshëm kohën për të tregtuar.</w:t>
      </w:r>
    </w:p>
    <w:p w14:paraId="424F4D1C" w14:textId="65C0AAB7" w:rsidR="00A45016" w:rsidRPr="009475CC" w:rsidRDefault="00A45016" w:rsidP="00430E69">
      <w:pPr>
        <w:jc w:val="both"/>
        <w:rPr>
          <w:rFonts w:cs="Times New Roman"/>
          <w:szCs w:val="24"/>
          <w:lang w:val="sq-AL"/>
        </w:rPr>
      </w:pPr>
      <w:r w:rsidRPr="009475CC">
        <w:rPr>
          <w:rFonts w:cs="Times New Roman"/>
          <w:szCs w:val="24"/>
          <w:lang w:val="sq-AL"/>
        </w:rPr>
        <w:t>Importuesit dhe shpërndarësit shqiptarë do të pësojnë një ulje të ndjeshme të kostove të importit dhe do të mund të rrisin përfitimin dhe qëndrueshmërinë ekonomike të biznesit të tyre.</w:t>
      </w:r>
      <w:r w:rsidR="0092425E">
        <w:rPr>
          <w:rFonts w:cs="Times New Roman"/>
          <w:szCs w:val="24"/>
          <w:lang w:val="sq-AL"/>
        </w:rPr>
        <w:t xml:space="preserve"> </w:t>
      </w:r>
      <w:r w:rsidRPr="009475CC">
        <w:rPr>
          <w:rFonts w:cs="Times New Roman"/>
          <w:szCs w:val="24"/>
          <w:lang w:val="sq-AL"/>
        </w:rPr>
        <w:t>Integrimi në BE do të sigurojë një fushë loje të barabartë dhe do të promovojë konkurrencë të ndershme për të gjithë operatorët ekonomikë të përfshirë në tregtinë e mallrave (prodhim, import, eksport), pasi ata do të duhet të zbatojnë një sërë rregullash të përbashkëta për produktet dhe standardet e sigurisë.</w:t>
      </w:r>
    </w:p>
    <w:p w14:paraId="34F90260" w14:textId="25A6C0D2" w:rsidR="0092425E" w:rsidRPr="009475CC" w:rsidRDefault="00A45016" w:rsidP="0082407B">
      <w:pPr>
        <w:jc w:val="both"/>
        <w:rPr>
          <w:rFonts w:cs="Times New Roman"/>
          <w:szCs w:val="24"/>
          <w:lang w:val="sq-AL"/>
        </w:rPr>
      </w:pPr>
      <w:r w:rsidRPr="009475CC">
        <w:rPr>
          <w:rFonts w:cs="Times New Roman"/>
          <w:szCs w:val="24"/>
          <w:lang w:val="sq-AL"/>
        </w:rPr>
        <w:t>Prodhuesi shqiptar do të përfitojë nga rritja e kapaciteteve prodhuese si rezultat i aksesit në mjete më të mira prodhimi.</w:t>
      </w:r>
      <w:r w:rsidR="0092425E">
        <w:rPr>
          <w:rFonts w:cs="Times New Roman"/>
          <w:szCs w:val="24"/>
          <w:lang w:val="sq-AL"/>
        </w:rPr>
        <w:t xml:space="preserve"> </w:t>
      </w:r>
      <w:r w:rsidRPr="009475CC">
        <w:rPr>
          <w:rFonts w:cs="Times New Roman"/>
          <w:szCs w:val="24"/>
          <w:lang w:val="sq-AL"/>
        </w:rPr>
        <w:t>Konsumatorët shqiptarë do të përfitojnë nga çmimet më të ulëta dhe nga rritja e disponueshmërisë së produkteve cilësore dhe të sigurta.</w:t>
      </w:r>
    </w:p>
    <w:p w14:paraId="03CFE870" w14:textId="5ED2BDCB" w:rsidR="00126667" w:rsidRPr="000E3DEC" w:rsidRDefault="00126667" w:rsidP="00623352">
      <w:pPr>
        <w:pStyle w:val="Heading5"/>
      </w:pPr>
      <w:bookmarkStart w:id="22" w:name="_Toc132277323"/>
      <w:r w:rsidRPr="000E3DEC">
        <w:t>Standardizimi</w:t>
      </w:r>
      <w:bookmarkEnd w:id="22"/>
    </w:p>
    <w:p w14:paraId="319554D1" w14:textId="7F78D861" w:rsidR="0043305B" w:rsidRPr="00BF45D7" w:rsidRDefault="0043305B" w:rsidP="0082407B">
      <w:pPr>
        <w:jc w:val="both"/>
        <w:rPr>
          <w:rFonts w:cs="Times New Roman"/>
          <w:szCs w:val="24"/>
          <w:lang w:val="sq-AL"/>
        </w:rPr>
      </w:pPr>
      <w:r w:rsidRPr="009475CC">
        <w:rPr>
          <w:rFonts w:cs="Times New Roman"/>
          <w:szCs w:val="24"/>
          <w:lang w:val="sq-AL"/>
        </w:rPr>
        <w:t>Objektivi i Qeverisë Shqiptare</w:t>
      </w:r>
      <w:r w:rsidR="00E66371">
        <w:rPr>
          <w:rFonts w:cs="Times New Roman"/>
          <w:szCs w:val="24"/>
          <w:lang w:val="sq-AL"/>
        </w:rPr>
        <w:t xml:space="preserve"> në</w:t>
      </w:r>
      <w:r w:rsidRPr="009475CC">
        <w:rPr>
          <w:rFonts w:cs="Times New Roman"/>
          <w:szCs w:val="24"/>
          <w:lang w:val="sq-AL"/>
        </w:rPr>
        <w:t xml:space="preserve"> fushën e standardizimit është ngritja dhe funksionimi i një sistemi kombëtar standardizimi në përputhje me parimet e </w:t>
      </w:r>
      <w:bookmarkStart w:id="23" w:name="_Hlk121686430"/>
      <w:r w:rsidRPr="00BF45D7">
        <w:rPr>
          <w:rFonts w:cs="Times New Roman"/>
          <w:szCs w:val="24"/>
          <w:lang w:val="sq-AL"/>
        </w:rPr>
        <w:t>Organizatës Botërore të Tregtisë (OBT</w:t>
      </w:r>
      <w:bookmarkEnd w:id="23"/>
      <w:r w:rsidRPr="00BF45D7">
        <w:rPr>
          <w:rFonts w:cs="Times New Roman"/>
          <w:szCs w:val="24"/>
          <w:lang w:val="sq-AL"/>
        </w:rPr>
        <w:t>) – Marrëveshja mbi Barrierat Teknike në Tregti, legjislacionin/rregulloret Evropiane për këtë fushë dhe mënyrën e operimit të organizmave evropiane e ndërkombëtare të standardizimit si</w:t>
      </w:r>
      <w:r w:rsidR="00E66371" w:rsidRPr="00BF45D7">
        <w:rPr>
          <w:rFonts w:cs="Times New Roman"/>
          <w:szCs w:val="24"/>
          <w:lang w:val="sq-AL"/>
        </w:rPr>
        <w:t>:</w:t>
      </w:r>
      <w:r w:rsidRPr="00BF45D7">
        <w:rPr>
          <w:rFonts w:cs="Times New Roman"/>
          <w:szCs w:val="24"/>
          <w:lang w:val="sq-AL"/>
        </w:rPr>
        <w:t xml:space="preserve"> ETSI, CEN&amp;CENELEC dhe ISO&amp;IEC. </w:t>
      </w:r>
    </w:p>
    <w:p w14:paraId="48E39970" w14:textId="57E17008" w:rsidR="0043305B" w:rsidRPr="009475CC" w:rsidRDefault="0043305B" w:rsidP="0082407B">
      <w:pPr>
        <w:jc w:val="both"/>
        <w:rPr>
          <w:rFonts w:cs="Times New Roman"/>
          <w:szCs w:val="24"/>
          <w:lang w:val="sq-AL"/>
        </w:rPr>
      </w:pPr>
      <w:r w:rsidRPr="00BF45D7">
        <w:rPr>
          <w:rFonts w:cs="Times New Roman"/>
          <w:szCs w:val="24"/>
          <w:lang w:val="sq-AL"/>
        </w:rPr>
        <w:t>Organizimi dhe funksionimi i këtij sistemi duhet të pasqyrojë interesat e konsumator</w:t>
      </w:r>
      <w:r w:rsidR="0092425E" w:rsidRPr="00BF45D7">
        <w:rPr>
          <w:rFonts w:cs="Times New Roman"/>
          <w:szCs w:val="24"/>
          <w:lang w:val="sq-AL"/>
        </w:rPr>
        <w:t>ëve</w:t>
      </w:r>
      <w:r w:rsidRPr="009475CC">
        <w:rPr>
          <w:rFonts w:cs="Times New Roman"/>
          <w:szCs w:val="24"/>
          <w:lang w:val="sq-AL"/>
        </w:rPr>
        <w:t xml:space="preserve"> dhe të gjith</w:t>
      </w:r>
      <w:r w:rsidR="0092425E">
        <w:rPr>
          <w:rFonts w:cs="Times New Roman"/>
          <w:szCs w:val="24"/>
          <w:lang w:val="sq-AL"/>
        </w:rPr>
        <w:t>ë</w:t>
      </w:r>
      <w:r w:rsidRPr="009475CC">
        <w:rPr>
          <w:rFonts w:cs="Times New Roman"/>
          <w:szCs w:val="24"/>
          <w:lang w:val="sq-AL"/>
        </w:rPr>
        <w:t xml:space="preserve"> palëve të tjera të interesuara në procesin e standardizimit në të gjitha nivelet, duke ofruar standardet bashkohore dhe zgjidhjet teknologjike, për të patur produkte e shërbime të sigurta dhe me cilësi të lartë. </w:t>
      </w:r>
    </w:p>
    <w:p w14:paraId="5E822A6A" w14:textId="5736BC23" w:rsidR="0043305B" w:rsidRPr="009475CC" w:rsidRDefault="0043305B" w:rsidP="0082407B">
      <w:pPr>
        <w:jc w:val="both"/>
        <w:rPr>
          <w:rFonts w:cs="Times New Roman"/>
          <w:szCs w:val="24"/>
          <w:lang w:val="sq-AL"/>
        </w:rPr>
      </w:pPr>
      <w:r w:rsidRPr="009475CC">
        <w:rPr>
          <w:rFonts w:cs="Times New Roman"/>
          <w:szCs w:val="24"/>
          <w:lang w:val="sq-AL"/>
        </w:rPr>
        <w:t>Aktualisht jemi anëtar me të drejta të plota në Institutin Evropian të Standardeve të Telekomunikacionit (ETSI), anëtar pa të drejtë vote në organizmat evropiane të standardizimit CEN / CENELEC dhe në proces vlerësimi nga CEN&amp;CENELEC për plotësimin e kritereve të anëtarësimit në këto organizma. Gjithashtu, anëtar pa të drejtë vote në organizmat ndërkombëtare të standardizimit ISO dhe IEC. Bazuar në legjislacionin në fuqi, sistemi i standardizimit përfaqëson interesat e vendit dhe kontribuon në hartimin e standardeve evropiane dhe ndërkombëtare.</w:t>
      </w:r>
    </w:p>
    <w:p w14:paraId="42A1FE59" w14:textId="7E93CD60" w:rsidR="0043305B" w:rsidRPr="009475CC" w:rsidRDefault="0043305B" w:rsidP="0082407B">
      <w:pPr>
        <w:jc w:val="both"/>
        <w:rPr>
          <w:rFonts w:cs="Times New Roman"/>
          <w:szCs w:val="24"/>
          <w:lang w:val="sq-AL"/>
        </w:rPr>
      </w:pPr>
      <w:r w:rsidRPr="009475CC">
        <w:rPr>
          <w:rFonts w:cs="Times New Roman"/>
          <w:szCs w:val="24"/>
          <w:lang w:val="sq-AL"/>
        </w:rPr>
        <w:t xml:space="preserve">Nga përdorimi i Standardeve Shqiptare të publikuara kanë përfituar konsumatorët, të cilët janë furnizuar me produkte e shërbime të sigurta për shendetin dhe me cilësi të lartë. Kështu, mund </w:t>
      </w:r>
      <w:r w:rsidRPr="009475CC">
        <w:rPr>
          <w:rFonts w:cs="Times New Roman"/>
          <w:szCs w:val="24"/>
          <w:lang w:val="sq-AL"/>
        </w:rPr>
        <w:lastRenderedPageBreak/>
        <w:t>të përmendim standardet e metodave të provave për cilësinë e ujit, mikrobiologjia e ushqimeve për njerëzit dhe të kafshëve, cilësinë dhe vlerat proteinike të qumështit dhe miellit për përdorim për njerëzit etj.</w:t>
      </w:r>
    </w:p>
    <w:p w14:paraId="4133F5C1" w14:textId="06BD03B4" w:rsidR="0043305B" w:rsidRPr="009475CC" w:rsidRDefault="0043305B" w:rsidP="0082407B">
      <w:pPr>
        <w:jc w:val="both"/>
        <w:rPr>
          <w:rFonts w:cs="Times New Roman"/>
          <w:bCs/>
          <w:szCs w:val="24"/>
          <w:lang w:val="sq-AL"/>
        </w:rPr>
      </w:pPr>
      <w:r w:rsidRPr="009475CC">
        <w:rPr>
          <w:rFonts w:cs="Times New Roman"/>
          <w:szCs w:val="24"/>
          <w:lang w:val="sq-AL"/>
        </w:rPr>
        <w:t xml:space="preserve">Nga parashikimet e strategjisë për periudhën 2017-2021 </w:t>
      </w:r>
      <w:r w:rsidRPr="009475CC">
        <w:rPr>
          <w:rFonts w:cs="Times New Roman"/>
          <w:bCs/>
          <w:szCs w:val="24"/>
          <w:lang w:val="sq-AL"/>
        </w:rPr>
        <w:t>u realizuan:</w:t>
      </w:r>
    </w:p>
    <w:p w14:paraId="0167BB58" w14:textId="479D06A9" w:rsidR="0043305B" w:rsidRPr="009475CC" w:rsidRDefault="0092425E" w:rsidP="00623352">
      <w:pPr>
        <w:pStyle w:val="ListParagraph"/>
        <w:numPr>
          <w:ilvl w:val="0"/>
          <w:numId w:val="4"/>
        </w:numPr>
        <w:spacing w:after="0" w:line="276" w:lineRule="auto"/>
        <w:jc w:val="both"/>
        <w:rPr>
          <w:rFonts w:cs="Times New Roman"/>
          <w:szCs w:val="24"/>
          <w:lang w:val="sq-AL"/>
        </w:rPr>
      </w:pPr>
      <w:r>
        <w:rPr>
          <w:rFonts w:cs="Times New Roman"/>
          <w:szCs w:val="24"/>
          <w:lang w:val="sq-AL"/>
        </w:rPr>
        <w:t>Ad</w:t>
      </w:r>
      <w:r w:rsidR="0043305B" w:rsidRPr="009475CC">
        <w:rPr>
          <w:rFonts w:cs="Times New Roman"/>
          <w:szCs w:val="24"/>
          <w:lang w:val="sq-AL"/>
        </w:rPr>
        <w:t xml:space="preserve">optimi i 8.465 standardeve </w:t>
      </w:r>
      <w:r w:rsidR="00BF45D7">
        <w:rPr>
          <w:rFonts w:cs="Times New Roman"/>
          <w:szCs w:val="24"/>
          <w:lang w:val="sq-AL"/>
        </w:rPr>
        <w:t>e</w:t>
      </w:r>
      <w:r w:rsidR="0043305B" w:rsidRPr="009475CC">
        <w:rPr>
          <w:rFonts w:cs="Times New Roman"/>
          <w:szCs w:val="24"/>
          <w:lang w:val="sq-AL"/>
        </w:rPr>
        <w:t xml:space="preserve">vropiane e ndërkombëtare si </w:t>
      </w:r>
      <w:bookmarkStart w:id="24" w:name="_Hlk121686594"/>
      <w:r w:rsidR="0043305B" w:rsidRPr="009475CC">
        <w:rPr>
          <w:rFonts w:cs="Times New Roman"/>
          <w:szCs w:val="24"/>
          <w:lang w:val="sq-AL"/>
        </w:rPr>
        <w:t>Standarde Shqiptare (SSH</w:t>
      </w:r>
      <w:bookmarkEnd w:id="24"/>
      <w:r w:rsidR="0043305B" w:rsidRPr="009475CC">
        <w:rPr>
          <w:rFonts w:cs="Times New Roman"/>
          <w:szCs w:val="24"/>
          <w:lang w:val="sq-AL"/>
        </w:rPr>
        <w:t>).</w:t>
      </w:r>
    </w:p>
    <w:p w14:paraId="038AC45D" w14:textId="77777777" w:rsidR="0043305B" w:rsidRPr="009475CC" w:rsidRDefault="0043305B" w:rsidP="00623352">
      <w:pPr>
        <w:pStyle w:val="ListParagraph"/>
        <w:numPr>
          <w:ilvl w:val="0"/>
          <w:numId w:val="4"/>
        </w:numPr>
        <w:spacing w:after="0" w:line="276" w:lineRule="auto"/>
        <w:jc w:val="both"/>
        <w:rPr>
          <w:rFonts w:cs="Times New Roman"/>
          <w:szCs w:val="24"/>
          <w:lang w:val="sq-AL"/>
        </w:rPr>
      </w:pPr>
      <w:r w:rsidRPr="009475CC">
        <w:rPr>
          <w:rFonts w:cs="Times New Roman"/>
          <w:szCs w:val="24"/>
          <w:lang w:val="sq-AL"/>
        </w:rPr>
        <w:t>U adoptuan si SSH me përkthim të plotë 38 standarde (të fushës së ndërtimit – eurokodet);</w:t>
      </w:r>
    </w:p>
    <w:p w14:paraId="7D9BC966" w14:textId="34827086" w:rsidR="0043305B" w:rsidRPr="009475CC" w:rsidRDefault="0043305B" w:rsidP="00623352">
      <w:pPr>
        <w:pStyle w:val="ListParagraph"/>
        <w:numPr>
          <w:ilvl w:val="0"/>
          <w:numId w:val="4"/>
        </w:numPr>
        <w:spacing w:after="0" w:line="276" w:lineRule="auto"/>
        <w:jc w:val="both"/>
        <w:rPr>
          <w:rFonts w:cs="Times New Roman"/>
          <w:szCs w:val="24"/>
          <w:lang w:val="sq-AL"/>
        </w:rPr>
      </w:pPr>
      <w:r w:rsidRPr="009475CC">
        <w:rPr>
          <w:rFonts w:cs="Times New Roman"/>
          <w:szCs w:val="24"/>
          <w:lang w:val="sq-AL"/>
        </w:rPr>
        <w:t>U përgatitën dhe u publikuan mbi 300 artikuj/njoftime e shkrime sensibilizuese sa i përket zhvillimeve në fushën e standardeve, si dhe mbi 400 ekstrakte të fushave të standardeve me interes për biznesin dhe konsumatorin;</w:t>
      </w:r>
    </w:p>
    <w:p w14:paraId="5C8A3A6F" w14:textId="77777777" w:rsidR="0043305B" w:rsidRPr="009475CC" w:rsidRDefault="0043305B" w:rsidP="00623352">
      <w:pPr>
        <w:pStyle w:val="ListParagraph"/>
        <w:numPr>
          <w:ilvl w:val="0"/>
          <w:numId w:val="4"/>
        </w:numPr>
        <w:spacing w:after="0" w:line="276" w:lineRule="auto"/>
        <w:jc w:val="both"/>
        <w:rPr>
          <w:rFonts w:cs="Times New Roman"/>
          <w:szCs w:val="24"/>
          <w:lang w:val="sq-AL"/>
        </w:rPr>
      </w:pPr>
      <w:r w:rsidRPr="009475CC">
        <w:rPr>
          <w:rFonts w:cs="Times New Roman"/>
          <w:szCs w:val="24"/>
          <w:lang w:val="sq-AL"/>
        </w:rPr>
        <w:t xml:space="preserve">U publikuan 20 Buletine Informative dhe 5 Katalogë të Standardeve Shqiptare; </w:t>
      </w:r>
    </w:p>
    <w:p w14:paraId="161385E6" w14:textId="77777777" w:rsidR="0043305B" w:rsidRPr="009475CC" w:rsidRDefault="0043305B" w:rsidP="00623352">
      <w:pPr>
        <w:pStyle w:val="ListParagraph"/>
        <w:numPr>
          <w:ilvl w:val="0"/>
          <w:numId w:val="4"/>
        </w:numPr>
        <w:spacing w:after="200" w:line="276" w:lineRule="auto"/>
        <w:jc w:val="both"/>
        <w:rPr>
          <w:rFonts w:cs="Times New Roman"/>
          <w:szCs w:val="24"/>
          <w:lang w:val="sq-AL"/>
        </w:rPr>
      </w:pPr>
      <w:r w:rsidRPr="009475CC">
        <w:rPr>
          <w:rFonts w:cs="Times New Roman"/>
          <w:szCs w:val="24"/>
          <w:lang w:val="sq-AL"/>
        </w:rPr>
        <w:t xml:space="preserve">U transpozua rregullorja e BE 1025/2012 “Për Standardizimin Evropian”, me VKM nr.382/2018 “Për veprimtarinë e Standardizimit”, si dhe u rishikuan 5 rregullore të brendshme të DPS që kanë të bëjnë me rregullat për veprimtarinë e standardizimit, hartimin dhe adoptimin e standardeve, organizimin e </w:t>
      </w:r>
      <w:bookmarkStart w:id="25" w:name="_Hlk121686651"/>
      <w:r w:rsidRPr="009475CC">
        <w:rPr>
          <w:rFonts w:cs="Times New Roman"/>
          <w:szCs w:val="24"/>
          <w:lang w:val="sq-AL"/>
        </w:rPr>
        <w:t xml:space="preserve">Komiteteve Teknike (KT) </w:t>
      </w:r>
      <w:bookmarkEnd w:id="25"/>
      <w:r w:rsidRPr="009475CC">
        <w:rPr>
          <w:rFonts w:cs="Times New Roman"/>
          <w:szCs w:val="24"/>
          <w:lang w:val="sq-AL"/>
        </w:rPr>
        <w:t>të DPS dhe pjesëmarrjen e KT të DPS në punën evropiane të standardizimit;</w:t>
      </w:r>
    </w:p>
    <w:p w14:paraId="06047345" w14:textId="77777777" w:rsidR="0043305B" w:rsidRPr="009475CC" w:rsidRDefault="0043305B" w:rsidP="00623352">
      <w:pPr>
        <w:pStyle w:val="ListParagraph"/>
        <w:numPr>
          <w:ilvl w:val="0"/>
          <w:numId w:val="4"/>
        </w:numPr>
        <w:spacing w:after="200" w:line="276" w:lineRule="auto"/>
        <w:jc w:val="both"/>
        <w:rPr>
          <w:rFonts w:cs="Times New Roman"/>
          <w:szCs w:val="24"/>
          <w:lang w:val="sq-AL"/>
        </w:rPr>
      </w:pPr>
      <w:r w:rsidRPr="009475CC">
        <w:rPr>
          <w:rFonts w:cs="Times New Roman"/>
          <w:szCs w:val="24"/>
          <w:lang w:val="sq-AL"/>
        </w:rPr>
        <w:t>Përfundoi përgatitja e gjithë dokumentacionit për aplikimin për anëtarësim me të drejta të plota në CEN&amp;CENELEC. Në Qershor 2021 u dorëzua në Qendrën e Menaxhimit të CEN&amp;CENELEC (CCMC) kërkesa zyrtare për t’u bërë anëtare me të drejta të plota në CEN&amp;CENELEC;</w:t>
      </w:r>
    </w:p>
    <w:p w14:paraId="73C6BFB5" w14:textId="12CF5218" w:rsidR="0043305B" w:rsidRDefault="0043305B" w:rsidP="00623352">
      <w:pPr>
        <w:pStyle w:val="ListParagraph"/>
        <w:numPr>
          <w:ilvl w:val="0"/>
          <w:numId w:val="4"/>
        </w:numPr>
        <w:spacing w:after="200" w:line="276" w:lineRule="auto"/>
        <w:jc w:val="both"/>
        <w:rPr>
          <w:rFonts w:cs="Times New Roman"/>
          <w:szCs w:val="24"/>
          <w:lang w:val="sq-AL"/>
        </w:rPr>
      </w:pPr>
      <w:r w:rsidRPr="009475CC">
        <w:rPr>
          <w:rFonts w:cs="Times New Roman"/>
          <w:szCs w:val="24"/>
          <w:lang w:val="sq-AL"/>
        </w:rPr>
        <w:t>U realizua shitja e rreth 7.000 standardeve kombëtare.</w:t>
      </w:r>
    </w:p>
    <w:p w14:paraId="2AB571F3" w14:textId="77777777" w:rsidR="0043305B" w:rsidRPr="009475CC" w:rsidRDefault="0043305B" w:rsidP="0043305B">
      <w:pPr>
        <w:rPr>
          <w:rFonts w:cs="Times New Roman"/>
          <w:szCs w:val="24"/>
        </w:rPr>
      </w:pPr>
      <w:r w:rsidRPr="009475CC">
        <w:rPr>
          <w:rFonts w:cs="Times New Roman"/>
          <w:noProof/>
          <w:szCs w:val="24"/>
          <w:lang w:val="en-US"/>
        </w:rPr>
        <w:drawing>
          <wp:inline distT="0" distB="0" distL="0" distR="0" wp14:anchorId="794C145B" wp14:editId="4D49C596">
            <wp:extent cx="4546600" cy="254000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B6F5DD" w14:textId="0BC12194" w:rsidR="0043305B" w:rsidRPr="009475CC" w:rsidRDefault="0043305B" w:rsidP="007F174D">
      <w:pPr>
        <w:jc w:val="both"/>
        <w:rPr>
          <w:rFonts w:cs="Times New Roman"/>
          <w:szCs w:val="24"/>
          <w:lang w:val="sq-AL"/>
        </w:rPr>
      </w:pPr>
      <w:r w:rsidRPr="009475CC">
        <w:rPr>
          <w:rFonts w:cs="Times New Roman"/>
          <w:szCs w:val="24"/>
          <w:lang w:val="sq-AL"/>
        </w:rPr>
        <w:t xml:space="preserve">Mbetet sfidë për periudhën e kësaj strategjie anëtarësimi në Njësinë Ndërkombëtare të Standardeve të Telekomunikacionit (ITU-T) dhe fillimi i adoptimit të tyre si Standarde Shqiptare (SSH), në mënyrë që operatorët ekonomikë dhe konsumatori vendas të përfitojnë nga  qasja në procesin e hartimit, miratimit dhe publikimit të standardeve të kësaj fushe. Gjithashtu, </w:t>
      </w:r>
      <w:r w:rsidRPr="009475CC">
        <w:rPr>
          <w:rFonts w:cs="Times New Roman"/>
          <w:bCs/>
          <w:szCs w:val="24"/>
          <w:lang w:val="sq-AL"/>
        </w:rPr>
        <w:t xml:space="preserve">sfidë </w:t>
      </w:r>
      <w:r w:rsidRPr="009475CC">
        <w:rPr>
          <w:rFonts w:cs="Times New Roman"/>
          <w:szCs w:val="24"/>
          <w:lang w:val="sq-AL"/>
        </w:rPr>
        <w:t xml:space="preserve">mbetet edhe plotësimi i kritereve për anëtarësim me të drejta të plota në dy organizmat evropiane të standardizimit CEN dhe CENELEC; rritja e numrit të stafit të Drejtorisë së Standardizimit për të përballuar volumin e madh të punës dhe funksioneve që duhet të kryhen në përputhje me procedurat e punës sic kërkohen nga Guida 22 e </w:t>
      </w:r>
      <w:r w:rsidRPr="009475CC">
        <w:rPr>
          <w:rFonts w:cs="Times New Roman"/>
          <w:szCs w:val="24"/>
          <w:lang w:val="sq-AL"/>
        </w:rPr>
        <w:lastRenderedPageBreak/>
        <w:t xml:space="preserve">CEN&amp;CENELEC “Struktura organizative dhe proceset për vlerësimin e kritereve për anëtarësim me të drejta të plota në CEN&amp;CENELEC”; trajnimi i gjithë stafit (ekzistues dhe atij të ri); vazhdimi i punës për adoptimin e standardeve evropiane të publikuara nga CEN&amp;CENELEC/ETSI e ndërkombëtare të publikuara nga ISO/IEC si SSH dhe rritja e numrit të përdorimit të tyre në praktikë. Gjithashtu, rritja e pjesëmarrjes aktive të ekspertëve në Komitetet Teknike në nivel kombëtar dhe europian e ndërkombëtar është një tjetër sfidë e kësaj strategjie për fushën e standardizimit. </w:t>
      </w:r>
    </w:p>
    <w:p w14:paraId="5A14C82C" w14:textId="7DA5D76D" w:rsidR="00126667" w:rsidRPr="009475CC" w:rsidRDefault="00126667" w:rsidP="00623352">
      <w:pPr>
        <w:pStyle w:val="Heading5"/>
      </w:pPr>
      <w:bookmarkStart w:id="26" w:name="_Toc132277324"/>
      <w:r w:rsidRPr="00DB4067">
        <w:t>Akreditimi</w:t>
      </w:r>
      <w:bookmarkEnd w:id="26"/>
    </w:p>
    <w:p w14:paraId="3DF55DBB" w14:textId="4BF20C10" w:rsidR="00096BE2" w:rsidRPr="00E2223C" w:rsidRDefault="00096BE2" w:rsidP="0082407B">
      <w:pPr>
        <w:jc w:val="both"/>
        <w:rPr>
          <w:rFonts w:cs="Times New Roman"/>
          <w:szCs w:val="24"/>
          <w:lang w:val="sq-AL"/>
        </w:rPr>
      </w:pPr>
      <w:r w:rsidRPr="00FB36DA">
        <w:rPr>
          <w:rFonts w:cs="Times New Roman"/>
          <w:szCs w:val="24"/>
          <w:lang w:val="sq-AL"/>
        </w:rPr>
        <w:t xml:space="preserve">Organizmi kombëtar i akreditimit është autoriteti publik  i akreditimit që vepron si shërbimi kombëtar i </w:t>
      </w:r>
      <w:r w:rsidRPr="0022797D">
        <w:rPr>
          <w:rFonts w:cs="Times New Roman"/>
          <w:szCs w:val="24"/>
          <w:lang w:val="sq-AL"/>
        </w:rPr>
        <w:t>akreditimit në Republikën e Shqipërisë dhe është në varësi të Ministrisë së Financave dhe Ekonomisë</w:t>
      </w:r>
      <w:r w:rsidRPr="0093142A">
        <w:rPr>
          <w:rFonts w:cs="Times New Roman"/>
          <w:szCs w:val="24"/>
          <w:lang w:val="sq-AL"/>
        </w:rPr>
        <w:t xml:space="preserve">. Bazuar në </w:t>
      </w:r>
      <w:r w:rsidR="00DB4067">
        <w:rPr>
          <w:rFonts w:cs="Times New Roman"/>
          <w:szCs w:val="24"/>
          <w:lang w:val="sq-AL"/>
        </w:rPr>
        <w:t>l</w:t>
      </w:r>
      <w:r w:rsidRPr="0093142A">
        <w:rPr>
          <w:rFonts w:cs="Times New Roman"/>
          <w:szCs w:val="24"/>
          <w:lang w:val="sq-AL"/>
        </w:rPr>
        <w:t xml:space="preserve">igjin nr. 116/2014 “Për akreditimin e organeve të vlerësimit të konformitetit në Republikën e Shqipërisë”,  </w:t>
      </w:r>
      <w:r w:rsidR="00DB4067">
        <w:rPr>
          <w:rFonts w:cs="Times New Roman"/>
          <w:szCs w:val="24"/>
          <w:lang w:val="sq-AL"/>
        </w:rPr>
        <w:t>k</w:t>
      </w:r>
      <w:r w:rsidRPr="0093142A">
        <w:rPr>
          <w:rFonts w:cs="Times New Roman"/>
          <w:szCs w:val="24"/>
          <w:lang w:val="sq-AL"/>
        </w:rPr>
        <w:t xml:space="preserve">y organizëm </w:t>
      </w:r>
      <w:r w:rsidRPr="008B3DCF">
        <w:rPr>
          <w:rFonts w:cs="Times New Roman"/>
          <w:szCs w:val="24"/>
          <w:lang w:val="sq-AL"/>
        </w:rPr>
        <w:t xml:space="preserve"> ka të drejtë të ofrojë </w:t>
      </w:r>
      <w:r w:rsidRPr="00D52DC6">
        <w:rPr>
          <w:rFonts w:cs="Times New Roman"/>
          <w:szCs w:val="24"/>
          <w:lang w:val="sq-AL"/>
        </w:rPr>
        <w:t xml:space="preserve"> shërbimin e akreditimit tek</w:t>
      </w:r>
      <w:r w:rsidRPr="00E2223C">
        <w:rPr>
          <w:rFonts w:cs="Times New Roman"/>
          <w:szCs w:val="24"/>
          <w:lang w:val="sq-AL"/>
        </w:rPr>
        <w:t>:</w:t>
      </w:r>
    </w:p>
    <w:p w14:paraId="0919A495" w14:textId="7594A075" w:rsidR="00096BE2" w:rsidRPr="00753E9C" w:rsidRDefault="00096BE2" w:rsidP="00623352">
      <w:pPr>
        <w:pStyle w:val="ListParagraph"/>
        <w:numPr>
          <w:ilvl w:val="0"/>
          <w:numId w:val="3"/>
        </w:numPr>
        <w:spacing w:line="276" w:lineRule="auto"/>
        <w:jc w:val="both"/>
        <w:rPr>
          <w:rFonts w:cs="Times New Roman"/>
          <w:szCs w:val="24"/>
          <w:lang w:val="sq-AL"/>
        </w:rPr>
      </w:pPr>
      <w:r w:rsidRPr="00753E9C">
        <w:rPr>
          <w:rFonts w:cs="Times New Roman"/>
          <w:szCs w:val="24"/>
          <w:lang w:val="sq-AL"/>
        </w:rPr>
        <w:t>Laboratorët testues</w:t>
      </w:r>
      <w:r w:rsidR="00AF7BD8">
        <w:rPr>
          <w:rFonts w:cs="Times New Roman"/>
          <w:szCs w:val="24"/>
          <w:lang w:val="sq-AL"/>
        </w:rPr>
        <w:t>,</w:t>
      </w:r>
    </w:p>
    <w:p w14:paraId="37CB8CD8" w14:textId="61DC8E08"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Laboratorët kalibrues</w:t>
      </w:r>
      <w:r w:rsidR="00AF7BD8">
        <w:rPr>
          <w:rFonts w:cs="Times New Roman"/>
          <w:szCs w:val="24"/>
          <w:lang w:val="sq-AL"/>
        </w:rPr>
        <w:t>,</w:t>
      </w:r>
    </w:p>
    <w:p w14:paraId="16E71476" w14:textId="049FD0D8"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Laboratorët mjekësorë</w:t>
      </w:r>
      <w:r w:rsidR="00AF7BD8">
        <w:rPr>
          <w:rFonts w:cs="Times New Roman"/>
          <w:szCs w:val="24"/>
          <w:lang w:val="sq-AL"/>
        </w:rPr>
        <w:t>,</w:t>
      </w:r>
    </w:p>
    <w:p w14:paraId="3A08AC1D" w14:textId="021BAE50"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Organet certifikuese të sistemeve të menaxhimit</w:t>
      </w:r>
      <w:r w:rsidR="00AF7BD8">
        <w:rPr>
          <w:rFonts w:cs="Times New Roman"/>
          <w:szCs w:val="24"/>
          <w:lang w:val="sq-AL"/>
        </w:rPr>
        <w:t>,</w:t>
      </w:r>
    </w:p>
    <w:p w14:paraId="79BFA5AE" w14:textId="7AFADD3E"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Organet certifikuese të personave</w:t>
      </w:r>
      <w:r w:rsidR="00AF7BD8">
        <w:rPr>
          <w:rFonts w:cs="Times New Roman"/>
          <w:szCs w:val="24"/>
          <w:lang w:val="sq-AL"/>
        </w:rPr>
        <w:t>,</w:t>
      </w:r>
    </w:p>
    <w:p w14:paraId="4843F98C" w14:textId="05069DD9"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Organet certifikuese të produkteve</w:t>
      </w:r>
      <w:r w:rsidR="00AF7BD8">
        <w:rPr>
          <w:rFonts w:cs="Times New Roman"/>
          <w:szCs w:val="24"/>
          <w:lang w:val="sq-AL"/>
        </w:rPr>
        <w:t>,</w:t>
      </w:r>
    </w:p>
    <w:p w14:paraId="72C95B14" w14:textId="69E23DDC"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Organet inspektuese</w:t>
      </w:r>
      <w:r w:rsidR="00AF7BD8">
        <w:rPr>
          <w:rFonts w:cs="Times New Roman"/>
          <w:szCs w:val="24"/>
          <w:lang w:val="sq-AL"/>
        </w:rPr>
        <w:t>,</w:t>
      </w:r>
    </w:p>
    <w:p w14:paraId="31B80BB2" w14:textId="78D8E5A2"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Organizatorët e testeve të zotësisë</w:t>
      </w:r>
      <w:r w:rsidR="00AF7BD8">
        <w:rPr>
          <w:rFonts w:cs="Times New Roman"/>
          <w:szCs w:val="24"/>
          <w:lang w:val="sq-AL"/>
        </w:rPr>
        <w:t>,</w:t>
      </w:r>
    </w:p>
    <w:p w14:paraId="7CA58832" w14:textId="5E7AC317" w:rsidR="00096BE2" w:rsidRPr="00753E9C" w:rsidRDefault="00096BE2" w:rsidP="00623352">
      <w:pPr>
        <w:pStyle w:val="ListParagraph"/>
        <w:numPr>
          <w:ilvl w:val="0"/>
          <w:numId w:val="3"/>
        </w:numPr>
        <w:spacing w:line="276" w:lineRule="auto"/>
        <w:jc w:val="both"/>
        <w:rPr>
          <w:rFonts w:cs="Times New Roman"/>
          <w:szCs w:val="24"/>
          <w:lang w:val="sq-AL"/>
        </w:rPr>
      </w:pPr>
      <w:r w:rsidRPr="00E45C0D">
        <w:rPr>
          <w:rFonts w:cs="Times New Roman"/>
          <w:szCs w:val="24"/>
          <w:lang w:val="sq-AL"/>
        </w:rPr>
        <w:t>Prodhuesit e materialeve referuese të certifikuara</w:t>
      </w:r>
      <w:r w:rsidR="00AF7BD8">
        <w:rPr>
          <w:rFonts w:cs="Times New Roman"/>
          <w:szCs w:val="24"/>
          <w:lang w:val="sq-AL"/>
        </w:rPr>
        <w:t>.</w:t>
      </w:r>
    </w:p>
    <w:p w14:paraId="7566F2E0" w14:textId="7E08605F" w:rsidR="00096BE2" w:rsidRPr="009475CC" w:rsidRDefault="00096BE2" w:rsidP="0082407B">
      <w:pPr>
        <w:jc w:val="both"/>
        <w:rPr>
          <w:rFonts w:cs="Times New Roman"/>
          <w:szCs w:val="24"/>
          <w:lang w:val="sq-AL"/>
        </w:rPr>
      </w:pPr>
      <w:r w:rsidRPr="00E45C0D">
        <w:rPr>
          <w:rFonts w:cs="Times New Roman"/>
          <w:szCs w:val="24"/>
          <w:lang w:val="sq-AL"/>
        </w:rPr>
        <w:t xml:space="preserve">Akreditimi i </w:t>
      </w:r>
      <w:bookmarkStart w:id="27" w:name="_Hlk121686818"/>
      <w:r w:rsidRPr="00E45C0D">
        <w:rPr>
          <w:rFonts w:cs="Times New Roman"/>
          <w:szCs w:val="24"/>
          <w:lang w:val="sq-AL"/>
        </w:rPr>
        <w:t>o</w:t>
      </w:r>
      <w:r w:rsidRPr="004E1146">
        <w:rPr>
          <w:rFonts w:cs="Times New Roman"/>
          <w:szCs w:val="24"/>
          <w:lang w:val="sq-AL"/>
        </w:rPr>
        <w:t>rgane</w:t>
      </w:r>
      <w:r w:rsidRPr="005D4962">
        <w:rPr>
          <w:rFonts w:cs="Times New Roman"/>
          <w:szCs w:val="24"/>
          <w:lang w:val="sq-AL"/>
        </w:rPr>
        <w:t>ve të</w:t>
      </w:r>
      <w:r w:rsidRPr="009475CC">
        <w:rPr>
          <w:rFonts w:cs="Times New Roman"/>
          <w:szCs w:val="24"/>
          <w:lang w:val="sq-AL"/>
        </w:rPr>
        <w:t xml:space="preserve"> vlerësimit të </w:t>
      </w:r>
      <w:r w:rsidRPr="00DB4067">
        <w:rPr>
          <w:rFonts w:cs="Times New Roman"/>
          <w:szCs w:val="24"/>
          <w:lang w:val="sq-AL"/>
        </w:rPr>
        <w:t>konformitetit (OVK</w:t>
      </w:r>
      <w:bookmarkEnd w:id="27"/>
      <w:r w:rsidRPr="00DB4067">
        <w:rPr>
          <w:rFonts w:cs="Times New Roman"/>
          <w:szCs w:val="24"/>
          <w:lang w:val="sq-AL"/>
        </w:rPr>
        <w:t>) kryhet në përputhje me legjislacionin në fuqi, standardet ndërkombëtare për akreditim</w:t>
      </w:r>
      <w:r w:rsidR="00DB4067">
        <w:rPr>
          <w:rFonts w:cs="Times New Roman"/>
          <w:szCs w:val="24"/>
          <w:lang w:val="sq-AL"/>
        </w:rPr>
        <w:t>in</w:t>
      </w:r>
      <w:r w:rsidRPr="00DB4067">
        <w:rPr>
          <w:rFonts w:cs="Times New Roman"/>
          <w:szCs w:val="24"/>
          <w:lang w:val="sq-AL"/>
        </w:rPr>
        <w:t xml:space="preserve"> dhe dokumentat e organizmave</w:t>
      </w:r>
      <w:r w:rsidRPr="009475CC">
        <w:rPr>
          <w:rFonts w:cs="Times New Roman"/>
          <w:szCs w:val="24"/>
          <w:lang w:val="sq-AL"/>
        </w:rPr>
        <w:t xml:space="preserve"> ndërkombëtar dhe evropian për akreditimin. </w:t>
      </w:r>
    </w:p>
    <w:p w14:paraId="34C78CC9" w14:textId="77777777" w:rsidR="00EE4CB6" w:rsidRDefault="00096BE2" w:rsidP="0082407B">
      <w:pPr>
        <w:jc w:val="both"/>
        <w:rPr>
          <w:rFonts w:eastAsia="Arial Unicode MS" w:cs="Times New Roman"/>
          <w:bCs/>
          <w:iCs/>
          <w:kern w:val="1"/>
          <w:szCs w:val="24"/>
          <w:lang w:val="it-IT" w:eastAsia="en-GB"/>
        </w:rPr>
      </w:pPr>
      <w:r w:rsidRPr="009475CC">
        <w:rPr>
          <w:rFonts w:cs="Times New Roman"/>
          <w:szCs w:val="24"/>
        </w:rPr>
        <w:t>Gjatë viteve 2017-2021 janë hedhur shumë hapa para n</w:t>
      </w:r>
      <w:r w:rsidRPr="009475CC">
        <w:rPr>
          <w:rFonts w:cs="Times New Roman"/>
          <w:color w:val="1D2129"/>
          <w:szCs w:val="24"/>
          <w:shd w:val="clear" w:color="auto" w:fill="FFFFFF"/>
        </w:rPr>
        <w:t>ë</w:t>
      </w:r>
      <w:r w:rsidRPr="009475CC">
        <w:rPr>
          <w:rFonts w:cs="Times New Roman"/>
          <w:szCs w:val="24"/>
        </w:rPr>
        <w:t xml:space="preserve"> rrug</w:t>
      </w:r>
      <w:r w:rsidRPr="009475CC">
        <w:rPr>
          <w:rFonts w:cs="Times New Roman"/>
          <w:color w:val="1D2129"/>
          <w:szCs w:val="24"/>
          <w:shd w:val="clear" w:color="auto" w:fill="FFFFFF"/>
        </w:rPr>
        <w:t>ë</w:t>
      </w:r>
      <w:r w:rsidRPr="009475CC">
        <w:rPr>
          <w:rFonts w:cs="Times New Roman"/>
          <w:szCs w:val="24"/>
        </w:rPr>
        <w:t>n e zgjerimit t</w:t>
      </w:r>
      <w:r w:rsidRPr="009475CC">
        <w:rPr>
          <w:rFonts w:cs="Times New Roman"/>
          <w:color w:val="1D2129"/>
          <w:szCs w:val="24"/>
          <w:shd w:val="clear" w:color="auto" w:fill="FFFFFF"/>
        </w:rPr>
        <w:t>ë</w:t>
      </w:r>
      <w:r w:rsidRPr="009475CC">
        <w:rPr>
          <w:rFonts w:cs="Times New Roman"/>
          <w:szCs w:val="24"/>
        </w:rPr>
        <w:t xml:space="preserve"> marrëveshjeve t</w:t>
      </w:r>
      <w:r w:rsidRPr="009475CC">
        <w:rPr>
          <w:rFonts w:cs="Times New Roman"/>
          <w:color w:val="1D2129"/>
          <w:szCs w:val="24"/>
          <w:shd w:val="clear" w:color="auto" w:fill="FFFFFF"/>
        </w:rPr>
        <w:t>ë</w:t>
      </w:r>
      <w:r w:rsidRPr="009475CC">
        <w:rPr>
          <w:rFonts w:cs="Times New Roman"/>
          <w:szCs w:val="24"/>
        </w:rPr>
        <w:t xml:space="preserve"> njohjes reciproke. </w:t>
      </w:r>
      <w:r w:rsidRPr="009475CC">
        <w:rPr>
          <w:rFonts w:cs="Times New Roman"/>
          <w:bCs/>
          <w:iCs/>
          <w:szCs w:val="24"/>
        </w:rPr>
        <w:t>K</w:t>
      </w:r>
      <w:r w:rsidRPr="009475CC">
        <w:rPr>
          <w:rFonts w:eastAsia="Times New Roman" w:cs="Times New Roman"/>
          <w:bCs/>
          <w:iCs/>
          <w:szCs w:val="24"/>
        </w:rPr>
        <w:t>onkretisht</w:t>
      </w:r>
      <w:r w:rsidRPr="009475CC">
        <w:rPr>
          <w:rFonts w:cs="Times New Roman"/>
          <w:bCs/>
          <w:iCs/>
          <w:szCs w:val="24"/>
        </w:rPr>
        <w:t xml:space="preserve"> në vitin 2018 organizmi kombëtar i akreditimit u b</w:t>
      </w:r>
      <w:r w:rsidRPr="009475CC">
        <w:rPr>
          <w:rFonts w:cs="Times New Roman"/>
          <w:bCs/>
          <w:iCs/>
          <w:color w:val="1D2129"/>
          <w:szCs w:val="24"/>
          <w:shd w:val="clear" w:color="auto" w:fill="FFFFFF"/>
        </w:rPr>
        <w:t>ë</w:t>
      </w:r>
      <w:r w:rsidRPr="009475CC">
        <w:rPr>
          <w:rFonts w:cs="Times New Roman"/>
          <w:bCs/>
          <w:iCs/>
          <w:szCs w:val="24"/>
        </w:rPr>
        <w:t xml:space="preserve"> n</w:t>
      </w:r>
      <w:r w:rsidRPr="009475CC">
        <w:rPr>
          <w:rFonts w:cs="Times New Roman"/>
          <w:bCs/>
          <w:iCs/>
          <w:color w:val="1D2129"/>
          <w:szCs w:val="24"/>
          <w:shd w:val="clear" w:color="auto" w:fill="FFFFFF"/>
        </w:rPr>
        <w:t>ë</w:t>
      </w:r>
      <w:r w:rsidRPr="009475CC">
        <w:rPr>
          <w:rFonts w:cs="Times New Roman"/>
          <w:bCs/>
          <w:iCs/>
          <w:szCs w:val="24"/>
        </w:rPr>
        <w:t xml:space="preserve">nshkruese e EA-MLA </w:t>
      </w:r>
      <w:r w:rsidRPr="009475CC">
        <w:rPr>
          <w:rFonts w:eastAsia="Arial Unicode MS" w:cs="Times New Roman"/>
          <w:bCs/>
          <w:iCs/>
          <w:kern w:val="1"/>
          <w:szCs w:val="24"/>
          <w:lang w:val="it-IT" w:eastAsia="en-GB"/>
        </w:rPr>
        <w:t>(</w:t>
      </w:r>
      <w:r w:rsidRPr="009475CC">
        <w:rPr>
          <w:rFonts w:cs="Times New Roman"/>
          <w:bCs/>
          <w:iCs/>
          <w:szCs w:val="24"/>
          <w:lang w:val="it-IT"/>
        </w:rPr>
        <w:t>marrëveshjeve të njohjes reciproke)</w:t>
      </w:r>
      <w:r w:rsidRPr="009475CC">
        <w:rPr>
          <w:rFonts w:cs="Times New Roman"/>
          <w:bCs/>
          <w:iCs/>
          <w:szCs w:val="24"/>
        </w:rPr>
        <w:t xml:space="preserve"> n</w:t>
      </w:r>
      <w:r w:rsidRPr="009475CC">
        <w:rPr>
          <w:rFonts w:cs="Times New Roman"/>
          <w:bCs/>
          <w:iCs/>
          <w:color w:val="1D2129"/>
          <w:szCs w:val="24"/>
          <w:shd w:val="clear" w:color="auto" w:fill="FFFFFF"/>
        </w:rPr>
        <w:t>ë</w:t>
      </w:r>
      <w:r w:rsidRPr="009475CC">
        <w:rPr>
          <w:rFonts w:cs="Times New Roman"/>
          <w:bCs/>
          <w:iCs/>
          <w:szCs w:val="24"/>
        </w:rPr>
        <w:t xml:space="preserve"> fush</w:t>
      </w:r>
      <w:r w:rsidRPr="009475CC">
        <w:rPr>
          <w:rFonts w:cs="Times New Roman"/>
          <w:bCs/>
          <w:iCs/>
          <w:color w:val="1D2129"/>
          <w:szCs w:val="24"/>
          <w:shd w:val="clear" w:color="auto" w:fill="FFFFFF"/>
        </w:rPr>
        <w:t>ë</w:t>
      </w:r>
      <w:r w:rsidRPr="009475CC">
        <w:rPr>
          <w:rFonts w:cs="Times New Roman"/>
          <w:bCs/>
          <w:iCs/>
          <w:szCs w:val="24"/>
        </w:rPr>
        <w:t>n e Inspektimit dhe Certifikimit t</w:t>
      </w:r>
      <w:r w:rsidRPr="009475CC">
        <w:rPr>
          <w:rFonts w:cs="Times New Roman"/>
          <w:bCs/>
          <w:iCs/>
          <w:color w:val="1D2129"/>
          <w:szCs w:val="24"/>
          <w:shd w:val="clear" w:color="auto" w:fill="FFFFFF"/>
        </w:rPr>
        <w:t>ë</w:t>
      </w:r>
      <w:r w:rsidRPr="009475CC">
        <w:rPr>
          <w:rFonts w:cs="Times New Roman"/>
          <w:bCs/>
          <w:iCs/>
          <w:szCs w:val="24"/>
        </w:rPr>
        <w:t xml:space="preserve"> Sistemeve t</w:t>
      </w:r>
      <w:r w:rsidRPr="009475CC">
        <w:rPr>
          <w:rFonts w:cs="Times New Roman"/>
          <w:bCs/>
          <w:iCs/>
          <w:color w:val="1D2129"/>
          <w:szCs w:val="24"/>
          <w:shd w:val="clear" w:color="auto" w:fill="FFFFFF"/>
        </w:rPr>
        <w:t>ë</w:t>
      </w:r>
      <w:r w:rsidRPr="009475CC">
        <w:rPr>
          <w:rFonts w:cs="Times New Roman"/>
          <w:bCs/>
          <w:iCs/>
          <w:szCs w:val="24"/>
        </w:rPr>
        <w:t xml:space="preserve"> Menaxhimit si dhe duke mbetur nj</w:t>
      </w:r>
      <w:r w:rsidRPr="009475CC">
        <w:rPr>
          <w:rFonts w:cs="Times New Roman"/>
          <w:bCs/>
          <w:iCs/>
          <w:color w:val="1D2129"/>
          <w:szCs w:val="24"/>
          <w:shd w:val="clear" w:color="auto" w:fill="FFFFFF"/>
        </w:rPr>
        <w:t>ë</w:t>
      </w:r>
      <w:r w:rsidRPr="009475CC">
        <w:rPr>
          <w:rFonts w:cs="Times New Roman"/>
          <w:bCs/>
          <w:iCs/>
          <w:szCs w:val="24"/>
        </w:rPr>
        <w:t xml:space="preserve"> n</w:t>
      </w:r>
      <w:r w:rsidRPr="009475CC">
        <w:rPr>
          <w:rFonts w:cs="Times New Roman"/>
          <w:bCs/>
          <w:iCs/>
          <w:color w:val="1D2129"/>
          <w:szCs w:val="24"/>
          <w:shd w:val="clear" w:color="auto" w:fill="FFFFFF"/>
        </w:rPr>
        <w:t>ë</w:t>
      </w:r>
      <w:r w:rsidRPr="009475CC">
        <w:rPr>
          <w:rFonts w:cs="Times New Roman"/>
          <w:bCs/>
          <w:iCs/>
          <w:szCs w:val="24"/>
        </w:rPr>
        <w:t xml:space="preserve">nshkrues i </w:t>
      </w:r>
      <w:bookmarkStart w:id="28" w:name="_Hlk121686883"/>
      <w:r w:rsidRPr="009475CC">
        <w:rPr>
          <w:rFonts w:cs="Times New Roman"/>
          <w:bCs/>
          <w:iCs/>
          <w:szCs w:val="24"/>
        </w:rPr>
        <w:t>EA-MLA</w:t>
      </w:r>
      <w:bookmarkEnd w:id="28"/>
      <w:r w:rsidRPr="009475CC">
        <w:rPr>
          <w:rFonts w:cs="Times New Roman"/>
          <w:bCs/>
          <w:iCs/>
          <w:szCs w:val="24"/>
        </w:rPr>
        <w:t>-s</w:t>
      </w:r>
      <w:r w:rsidRPr="00753E9C">
        <w:rPr>
          <w:rFonts w:cs="Times New Roman"/>
          <w:bCs/>
          <w:iCs/>
          <w:szCs w:val="24"/>
        </w:rPr>
        <w:t xml:space="preserve"> n</w:t>
      </w:r>
      <w:r w:rsidRPr="00E45C0D">
        <w:rPr>
          <w:rFonts w:cs="Times New Roman"/>
          <w:bCs/>
          <w:iCs/>
          <w:color w:val="1D2129"/>
          <w:szCs w:val="24"/>
          <w:shd w:val="clear" w:color="auto" w:fill="FFFFFF"/>
        </w:rPr>
        <w:t>ë</w:t>
      </w:r>
      <w:r w:rsidRPr="004E1146">
        <w:rPr>
          <w:rFonts w:cs="Times New Roman"/>
          <w:bCs/>
          <w:iCs/>
          <w:szCs w:val="24"/>
        </w:rPr>
        <w:t xml:space="preserve"> fush</w:t>
      </w:r>
      <w:r w:rsidRPr="005D4962">
        <w:rPr>
          <w:rFonts w:cs="Times New Roman"/>
          <w:bCs/>
          <w:iCs/>
          <w:color w:val="1D2129"/>
          <w:szCs w:val="24"/>
          <w:shd w:val="clear" w:color="auto" w:fill="FFFFFF"/>
        </w:rPr>
        <w:t>ë</w:t>
      </w:r>
      <w:r w:rsidRPr="009475CC">
        <w:rPr>
          <w:rFonts w:cs="Times New Roman"/>
          <w:bCs/>
          <w:iCs/>
          <w:szCs w:val="24"/>
        </w:rPr>
        <w:t>n e Testimit</w:t>
      </w:r>
      <w:r w:rsidR="00DB4067">
        <w:rPr>
          <w:rFonts w:cs="Times New Roman"/>
          <w:bCs/>
          <w:iCs/>
          <w:szCs w:val="24"/>
        </w:rPr>
        <w:t>.</w:t>
      </w:r>
      <w:r w:rsidRPr="009475CC">
        <w:rPr>
          <w:rFonts w:cs="Times New Roman"/>
          <w:szCs w:val="24"/>
        </w:rPr>
        <w:t xml:space="preserve"> Gjithashtu</w:t>
      </w:r>
      <w:r w:rsidR="00DB4067">
        <w:rPr>
          <w:rFonts w:cs="Times New Roman"/>
          <w:szCs w:val="24"/>
        </w:rPr>
        <w:t>,</w:t>
      </w:r>
      <w:r w:rsidRPr="009475CC">
        <w:rPr>
          <w:rFonts w:cs="Times New Roman"/>
          <w:szCs w:val="24"/>
        </w:rPr>
        <w:t xml:space="preserve"> më datë 31 Tetor 2018 organizmi kombëtar i akreditimit ka </w:t>
      </w:r>
      <w:r w:rsidRPr="009475CC">
        <w:rPr>
          <w:rFonts w:cs="Times New Roman"/>
          <w:color w:val="1D2129"/>
          <w:szCs w:val="24"/>
          <w:shd w:val="clear" w:color="auto" w:fill="FFFFFF"/>
        </w:rPr>
        <w:t xml:space="preserve">firmosur Marrëveshjen Multiraterale me </w:t>
      </w:r>
      <w:bookmarkStart w:id="29" w:name="_Hlk121686902"/>
      <w:r w:rsidRPr="009475CC">
        <w:rPr>
          <w:rFonts w:cs="Times New Roman"/>
          <w:color w:val="1D2129"/>
          <w:szCs w:val="24"/>
          <w:shd w:val="clear" w:color="auto" w:fill="FFFFFF"/>
        </w:rPr>
        <w:t>IAF (International Accreditation Forum) dhe ILAC (International Laboratory Accreditation Cooperation</w:t>
      </w:r>
      <w:bookmarkEnd w:id="29"/>
      <w:r w:rsidRPr="009475CC">
        <w:rPr>
          <w:rFonts w:cs="Times New Roman"/>
          <w:color w:val="1D2129"/>
          <w:szCs w:val="24"/>
          <w:shd w:val="clear" w:color="auto" w:fill="FFFFFF"/>
        </w:rPr>
        <w:t>) sipas të cilës organizmi kombëtar i akreditimit pranohet anëtare e këtyre organizmave për Certifikimin e Siste</w:t>
      </w:r>
      <w:r w:rsidRPr="009475CC">
        <w:rPr>
          <w:rStyle w:val="textexposedshow"/>
          <w:rFonts w:cs="Times New Roman"/>
          <w:color w:val="1D2129"/>
          <w:szCs w:val="24"/>
          <w:shd w:val="clear" w:color="auto" w:fill="FFFFFF"/>
        </w:rPr>
        <w:t xml:space="preserve">meve të Menaxhimit. </w:t>
      </w:r>
      <w:r w:rsidRPr="009475CC">
        <w:rPr>
          <w:rStyle w:val="textexposedshow"/>
          <w:rFonts w:cs="Times New Roman"/>
          <w:b/>
          <w:i/>
          <w:szCs w:val="24"/>
        </w:rPr>
        <w:t xml:space="preserve"> </w:t>
      </w:r>
      <w:r w:rsidR="00963538">
        <w:rPr>
          <w:rFonts w:cs="Times New Roman"/>
          <w:bCs/>
          <w:iCs/>
          <w:szCs w:val="24"/>
          <w:lang w:val="it-IT"/>
        </w:rPr>
        <w:t>O</w:t>
      </w:r>
      <w:r w:rsidRPr="00753E9C">
        <w:rPr>
          <w:rFonts w:cs="Times New Roman"/>
          <w:bCs/>
          <w:iCs/>
          <w:szCs w:val="24"/>
          <w:lang w:val="it-IT"/>
        </w:rPr>
        <w:t>rganizmi kombëtar i akreditimit</w:t>
      </w:r>
      <w:r w:rsidRPr="00E45C0D">
        <w:rPr>
          <w:rFonts w:eastAsia="Arial Unicode MS" w:cs="Times New Roman"/>
          <w:bCs/>
          <w:iCs/>
          <w:kern w:val="1"/>
          <w:szCs w:val="24"/>
          <w:lang w:val="it-IT" w:eastAsia="en-GB"/>
        </w:rPr>
        <w:t xml:space="preserve"> ka firmosur EA MLA në fushën e certifikimit të personave  më datë 21 Prill 2020 dhe ka kaluar në mënyrë të suksesshme</w:t>
      </w:r>
      <w:r w:rsidRPr="004E1146">
        <w:rPr>
          <w:rFonts w:eastAsia="Arial Unicode MS" w:cs="Times New Roman"/>
          <w:bCs/>
          <w:iCs/>
          <w:kern w:val="1"/>
          <w:szCs w:val="24"/>
          <w:lang w:val="it-IT" w:eastAsia="en-GB"/>
        </w:rPr>
        <w:t xml:space="preserve"> tranzicionin e standardit ISO/IEC 17011:2017. </w:t>
      </w:r>
    </w:p>
    <w:p w14:paraId="1074FB2D" w14:textId="77777777" w:rsidR="00EE4CB6" w:rsidRDefault="00096BE2" w:rsidP="0082407B">
      <w:pPr>
        <w:jc w:val="both"/>
        <w:rPr>
          <w:rFonts w:cs="Times New Roman"/>
          <w:szCs w:val="24"/>
        </w:rPr>
      </w:pPr>
      <w:r w:rsidRPr="005D4962">
        <w:rPr>
          <w:rFonts w:cs="Times New Roman"/>
          <w:bCs/>
          <w:iCs/>
          <w:szCs w:val="24"/>
        </w:rPr>
        <w:t xml:space="preserve">Së fundi ky organizëm </w:t>
      </w:r>
      <w:r w:rsidRPr="009475CC">
        <w:rPr>
          <w:rFonts w:cs="Times New Roman"/>
          <w:bCs/>
          <w:iCs/>
          <w:szCs w:val="24"/>
        </w:rPr>
        <w:t xml:space="preserve">kaloi me sukses vlerësimin e kryer nga </w:t>
      </w:r>
      <w:bookmarkStart w:id="30" w:name="_Hlk121686963"/>
      <w:r w:rsidRPr="009475CC">
        <w:rPr>
          <w:rFonts w:cs="Times New Roman"/>
          <w:bCs/>
          <w:iCs/>
          <w:szCs w:val="24"/>
        </w:rPr>
        <w:t>EA (</w:t>
      </w:r>
      <w:r w:rsidRPr="009475CC">
        <w:rPr>
          <w:rFonts w:eastAsia="Times New Roman" w:cs="Times New Roman"/>
          <w:bCs/>
          <w:iCs/>
          <w:szCs w:val="24"/>
        </w:rPr>
        <w:t>Organizata Evropiane e Akreditimit</w:t>
      </w:r>
      <w:bookmarkEnd w:id="30"/>
      <w:r w:rsidRPr="009475CC">
        <w:rPr>
          <w:rFonts w:eastAsia="Times New Roman" w:cs="Times New Roman"/>
          <w:bCs/>
          <w:iCs/>
          <w:szCs w:val="24"/>
        </w:rPr>
        <w:t xml:space="preserve">) </w:t>
      </w:r>
      <w:r w:rsidRPr="009475CC">
        <w:rPr>
          <w:rFonts w:cs="Times New Roman"/>
          <w:bCs/>
          <w:iCs/>
          <w:szCs w:val="24"/>
        </w:rPr>
        <w:t>më datat 1-5 Shkurt 2021 dhe 12-16 Prill 2021, fakt i cili solli që EA të konfirmonte më 26 Tetor 2021 se organizmi kombëtar i akreditimit mbetet një nënshkruese e EA</w:t>
      </w:r>
      <w:r w:rsidR="00C00CEE">
        <w:rPr>
          <w:rFonts w:cs="Times New Roman"/>
          <w:bCs/>
          <w:iCs/>
          <w:szCs w:val="24"/>
        </w:rPr>
        <w:t xml:space="preserve"> - </w:t>
      </w:r>
      <w:r w:rsidRPr="009475CC">
        <w:rPr>
          <w:rFonts w:cs="Times New Roman"/>
          <w:bCs/>
          <w:iCs/>
          <w:szCs w:val="24"/>
        </w:rPr>
        <w:t xml:space="preserve">MLA në fushat e Testimit (EN ISO/IEC 17025), Inspektimit (EN ISO/IEC 17020), Certifikimit të Sistemeve të Menaxhimit (EN ISO/IEC 17021-1), Certifikimit </w:t>
      </w:r>
      <w:r w:rsidR="00C00CEE">
        <w:rPr>
          <w:rFonts w:cs="Times New Roman"/>
          <w:bCs/>
          <w:iCs/>
          <w:szCs w:val="24"/>
        </w:rPr>
        <w:t>të</w:t>
      </w:r>
      <w:r w:rsidRPr="009475CC">
        <w:rPr>
          <w:rFonts w:cs="Times New Roman"/>
          <w:bCs/>
          <w:iCs/>
          <w:szCs w:val="24"/>
        </w:rPr>
        <w:t xml:space="preserve"> Personave (EN ISO/IEC 17024).</w:t>
      </w:r>
      <w:r w:rsidRPr="009475CC">
        <w:rPr>
          <w:rFonts w:cs="Times New Roman"/>
          <w:szCs w:val="24"/>
        </w:rPr>
        <w:t xml:space="preserve"> Rivlerësimi tjetër i plotë do të bëhet në shkurt 2025.</w:t>
      </w:r>
      <w:r w:rsidRPr="009475CC">
        <w:rPr>
          <w:rFonts w:cs="Times New Roman"/>
          <w:color w:val="1D2129"/>
          <w:szCs w:val="24"/>
          <w:shd w:val="clear" w:color="auto" w:fill="FFFFFF"/>
        </w:rPr>
        <w:t xml:space="preserve"> Nënshkrimi i këtyre marrëveshjeve përbën jo vetëm një arritje shumë të madhe për vetë organizmin kombëtar të </w:t>
      </w:r>
      <w:r w:rsidRPr="009475CC">
        <w:rPr>
          <w:rFonts w:cs="Times New Roman"/>
          <w:color w:val="1D2129"/>
          <w:szCs w:val="24"/>
          <w:shd w:val="clear" w:color="auto" w:fill="FFFFFF"/>
        </w:rPr>
        <w:lastRenderedPageBreak/>
        <w:t>akreditimit</w:t>
      </w:r>
      <w:r w:rsidRPr="009475CC">
        <w:rPr>
          <w:rFonts w:cs="Times New Roman"/>
          <w:szCs w:val="24"/>
        </w:rPr>
        <w:t xml:space="preserve">, por ka impakt shumë të rëndësishëm tek konsumatorët dhe në eksport. Marrja e shërbimeve të vlerësimit të konformitetit të akredituara nga organizëm akreditues </w:t>
      </w:r>
      <w:r w:rsidR="00C00CEE">
        <w:rPr>
          <w:rFonts w:cs="Times New Roman"/>
          <w:szCs w:val="24"/>
        </w:rPr>
        <w:t>i</w:t>
      </w:r>
      <w:r w:rsidRPr="009475CC">
        <w:rPr>
          <w:rFonts w:cs="Times New Roman"/>
          <w:szCs w:val="24"/>
        </w:rPr>
        <w:t xml:space="preserve"> njohur ndërkombëtarisht </w:t>
      </w:r>
      <w:r w:rsidR="00963538">
        <w:rPr>
          <w:rFonts w:cs="Times New Roman"/>
          <w:szCs w:val="24"/>
        </w:rPr>
        <w:t>ç</w:t>
      </w:r>
      <w:r w:rsidRPr="009475CC">
        <w:rPr>
          <w:rFonts w:cs="Times New Roman"/>
          <w:szCs w:val="24"/>
        </w:rPr>
        <w:t xml:space="preserve">on në rritjen e besueshmërisë së konsumatorëve për shërbimet dhe produktet që ato konsumojnë si dhe </w:t>
      </w:r>
      <w:r w:rsidR="00963538">
        <w:rPr>
          <w:rFonts w:cs="Times New Roman"/>
          <w:szCs w:val="24"/>
        </w:rPr>
        <w:t>vendosjen</w:t>
      </w:r>
      <w:r w:rsidRPr="009475CC">
        <w:rPr>
          <w:rFonts w:cs="Times New Roman"/>
          <w:szCs w:val="24"/>
        </w:rPr>
        <w:t xml:space="preserve"> në treg të produkteve dhe shërbimeve të testuara dhe certifikuara duke mbrojtur interes</w:t>
      </w:r>
      <w:r w:rsidR="00963538">
        <w:rPr>
          <w:rFonts w:cs="Times New Roman"/>
          <w:szCs w:val="24"/>
        </w:rPr>
        <w:t>at</w:t>
      </w:r>
      <w:r w:rsidRPr="009475CC">
        <w:rPr>
          <w:rFonts w:cs="Times New Roman"/>
          <w:szCs w:val="24"/>
        </w:rPr>
        <w:t xml:space="preserve"> ekonomike të konsumatorëve. </w:t>
      </w:r>
    </w:p>
    <w:p w14:paraId="09808060" w14:textId="2D0B84C4" w:rsidR="00096BE2" w:rsidRPr="009475CC" w:rsidRDefault="00096BE2" w:rsidP="0082407B">
      <w:pPr>
        <w:jc w:val="both"/>
        <w:rPr>
          <w:rFonts w:cs="Times New Roman"/>
          <w:szCs w:val="24"/>
          <w:lang w:val="sq-AL"/>
        </w:rPr>
      </w:pPr>
      <w:r w:rsidRPr="009475CC">
        <w:rPr>
          <w:rFonts w:cs="Times New Roman"/>
          <w:szCs w:val="24"/>
        </w:rPr>
        <w:t>Në lidhje me eksportet</w:t>
      </w:r>
      <w:r w:rsidR="00EE4CB6">
        <w:rPr>
          <w:rFonts w:cs="Times New Roman"/>
          <w:szCs w:val="24"/>
        </w:rPr>
        <w:t>,</w:t>
      </w:r>
      <w:r w:rsidRPr="009475CC">
        <w:rPr>
          <w:rFonts w:cs="Times New Roman"/>
          <w:szCs w:val="24"/>
        </w:rPr>
        <w:t xml:space="preserve"> nënshkrimi </w:t>
      </w:r>
      <w:r w:rsidR="00963538">
        <w:rPr>
          <w:rFonts w:cs="Times New Roman"/>
          <w:szCs w:val="24"/>
        </w:rPr>
        <w:t>i</w:t>
      </w:r>
      <w:r w:rsidRPr="009475CC">
        <w:rPr>
          <w:rFonts w:cs="Times New Roman"/>
          <w:szCs w:val="24"/>
        </w:rPr>
        <w:t xml:space="preserve"> këtyre marrëveshjeve mundëson që një organ i vlerësimit të konformitetit nuk do të akreditohet më shumë se një herë për të njëjtën fushë akreditimi, duke mundësuar lëvizjen e lirë të produkteve dhe shërbimeve në tregjet e huaja pa iu nënshtruar ri-testimit ose ri-certifikimit në vendin hyrës, duke e bërë kështu akreditimin të shërbejë </w:t>
      </w:r>
      <w:r w:rsidRPr="009475CC">
        <w:rPr>
          <w:rFonts w:cs="Times New Roman"/>
          <w:color w:val="1D2129"/>
          <w:szCs w:val="24"/>
          <w:shd w:val="clear" w:color="auto" w:fill="FFFFFF"/>
        </w:rPr>
        <w:t>si një pasaportë e vlefshme në të gjitha tregjet ndërkombëtare.</w:t>
      </w:r>
      <w:r w:rsidRPr="009475CC">
        <w:rPr>
          <w:rFonts w:cs="Times New Roman"/>
          <w:color w:val="000000"/>
          <w:szCs w:val="24"/>
          <w:lang w:val="sq-AL"/>
        </w:rPr>
        <w:t xml:space="preserve"> Me fitimin e këtij statusi nga ana DPA-së </w:t>
      </w:r>
      <w:r w:rsidRPr="009475CC">
        <w:rPr>
          <w:rStyle w:val="textexposedshow"/>
          <w:rFonts w:cs="Times New Roman"/>
          <w:color w:val="1D2129"/>
          <w:szCs w:val="24"/>
          <w:shd w:val="clear" w:color="auto" w:fill="FFFFFF"/>
        </w:rPr>
        <w:t>solli si pasoj</w:t>
      </w:r>
      <w:r w:rsidR="00963538">
        <w:rPr>
          <w:rStyle w:val="textexposedshow"/>
          <w:rFonts w:cs="Times New Roman"/>
          <w:color w:val="1D2129"/>
          <w:szCs w:val="24"/>
          <w:shd w:val="clear" w:color="auto" w:fill="FFFFFF"/>
        </w:rPr>
        <w:t>ë</w:t>
      </w:r>
      <w:r w:rsidRPr="009475CC">
        <w:rPr>
          <w:rStyle w:val="textexposedshow"/>
          <w:rFonts w:cs="Times New Roman"/>
          <w:color w:val="1D2129"/>
          <w:szCs w:val="24"/>
          <w:shd w:val="clear" w:color="auto" w:fill="FFFFFF"/>
        </w:rPr>
        <w:t xml:space="preserve"> që </w:t>
      </w:r>
      <w:r w:rsidRPr="009475CC">
        <w:rPr>
          <w:rFonts w:cs="Times New Roman"/>
          <w:szCs w:val="24"/>
          <w:lang w:val="sq-AL"/>
        </w:rPr>
        <w:t>gjatë viteve 2017-2021 të konstatohet një rritje e konsiderueshme e numrit të aplikimeve për akreditim dhe si rrjedhim edhe një rritje e numrit të organeve të vlerësimit të konformitetit të akredituara në këto fusha</w:t>
      </w:r>
      <w:r w:rsidR="00EE4CB6">
        <w:rPr>
          <w:rFonts w:cs="Times New Roman"/>
          <w:szCs w:val="24"/>
          <w:lang w:val="sq-AL"/>
        </w:rPr>
        <w:t>,</w:t>
      </w:r>
      <w:r w:rsidRPr="009475CC">
        <w:rPr>
          <w:rFonts w:cs="Times New Roman"/>
          <w:szCs w:val="24"/>
          <w:lang w:val="sq-AL"/>
        </w:rPr>
        <w:t xml:space="preserve"> duke sjellë si domosdoshmëri rishikimin e strukturës dhe kategorisë së pagës së punonjësve të organizmit kombëtar të akreditimit.</w:t>
      </w:r>
      <w:r w:rsidRPr="009475CC">
        <w:rPr>
          <w:rFonts w:cs="Times New Roman"/>
          <w:b/>
          <w:szCs w:val="24"/>
        </w:rPr>
        <w:t xml:space="preserve"> </w:t>
      </w:r>
      <w:r w:rsidRPr="009475CC">
        <w:rPr>
          <w:rFonts w:cs="Times New Roman"/>
          <w:szCs w:val="24"/>
        </w:rPr>
        <w:t xml:space="preserve">Me Urdhërin </w:t>
      </w:r>
      <w:r w:rsidR="00963538">
        <w:rPr>
          <w:rFonts w:cs="Times New Roman"/>
          <w:szCs w:val="24"/>
        </w:rPr>
        <w:t>n</w:t>
      </w:r>
      <w:r w:rsidRPr="009475CC">
        <w:rPr>
          <w:rFonts w:cs="Times New Roman"/>
          <w:szCs w:val="24"/>
        </w:rPr>
        <w:t>r</w:t>
      </w:r>
      <w:r w:rsidR="00963538">
        <w:rPr>
          <w:rFonts w:cs="Times New Roman"/>
          <w:szCs w:val="24"/>
        </w:rPr>
        <w:t>.</w:t>
      </w:r>
      <w:r w:rsidRPr="00753E9C">
        <w:rPr>
          <w:rFonts w:cs="Times New Roman"/>
          <w:szCs w:val="24"/>
        </w:rPr>
        <w:t xml:space="preserve"> 2</w:t>
      </w:r>
      <w:r w:rsidR="00963538">
        <w:rPr>
          <w:rFonts w:cs="Times New Roman"/>
          <w:szCs w:val="24"/>
        </w:rPr>
        <w:t>,</w:t>
      </w:r>
      <w:r w:rsidRPr="00753E9C">
        <w:rPr>
          <w:rFonts w:cs="Times New Roman"/>
          <w:szCs w:val="24"/>
        </w:rPr>
        <w:t xml:space="preserve"> datë 12.01.2021 “Për miratimin e Strukturës dhe të Org</w:t>
      </w:r>
      <w:r w:rsidRPr="00E45C0D">
        <w:rPr>
          <w:rFonts w:cs="Times New Roman"/>
          <w:szCs w:val="24"/>
        </w:rPr>
        <w:t>anikës së Drejtorisë së P</w:t>
      </w:r>
      <w:r w:rsidR="006348C7">
        <w:rPr>
          <w:rFonts w:cs="Times New Roman"/>
          <w:szCs w:val="24"/>
        </w:rPr>
        <w:t>ë</w:t>
      </w:r>
      <w:r w:rsidRPr="00E45C0D">
        <w:rPr>
          <w:rFonts w:cs="Times New Roman"/>
          <w:szCs w:val="24"/>
        </w:rPr>
        <w:t>rgjithshme të Akreditimit” u miratua struktura dhe organika e re ku numri i punonjësve u rrit nga 1</w:t>
      </w:r>
      <w:r w:rsidRPr="004E1146">
        <w:rPr>
          <w:rFonts w:cs="Times New Roman"/>
          <w:szCs w:val="24"/>
        </w:rPr>
        <w:t>4</w:t>
      </w:r>
      <w:r w:rsidRPr="005D4962">
        <w:rPr>
          <w:rFonts w:cs="Times New Roman"/>
          <w:szCs w:val="24"/>
        </w:rPr>
        <w:t xml:space="preserve"> n</w:t>
      </w:r>
      <w:r w:rsidR="00963538">
        <w:rPr>
          <w:rFonts w:cs="Times New Roman"/>
          <w:szCs w:val="24"/>
        </w:rPr>
        <w:t>ë</w:t>
      </w:r>
      <w:r w:rsidRPr="009475CC">
        <w:rPr>
          <w:rFonts w:cs="Times New Roman"/>
          <w:szCs w:val="24"/>
        </w:rPr>
        <w:t xml:space="preserve"> 20. </w:t>
      </w:r>
    </w:p>
    <w:p w14:paraId="21C9A63D" w14:textId="77777777" w:rsidR="00096BE2" w:rsidRPr="00FB36DA" w:rsidRDefault="00096BE2" w:rsidP="0082407B">
      <w:pPr>
        <w:jc w:val="both"/>
        <w:rPr>
          <w:rFonts w:cs="Times New Roman"/>
          <w:szCs w:val="24"/>
          <w:lang w:val="sq-AL"/>
        </w:rPr>
      </w:pPr>
      <w:r w:rsidRPr="00FB36DA">
        <w:rPr>
          <w:rFonts w:cs="Times New Roman"/>
          <w:noProof/>
          <w:szCs w:val="24"/>
          <w:lang w:val="en-US"/>
        </w:rPr>
        <w:drawing>
          <wp:inline distT="0" distB="0" distL="0" distR="0" wp14:anchorId="049CF7C9" wp14:editId="598A0068">
            <wp:extent cx="5762625" cy="2463800"/>
            <wp:effectExtent l="0" t="0" r="952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FB30F3" w14:textId="252F3633" w:rsidR="00096BE2" w:rsidRPr="0022797D" w:rsidRDefault="00096BE2" w:rsidP="0082407B">
      <w:pPr>
        <w:jc w:val="both"/>
        <w:rPr>
          <w:rFonts w:cs="Times New Roman"/>
          <w:szCs w:val="24"/>
          <w:shd w:val="clear" w:color="auto" w:fill="FFFFFF"/>
        </w:rPr>
      </w:pPr>
      <w:r w:rsidRPr="00FB36DA">
        <w:rPr>
          <w:rFonts w:cs="Times New Roman"/>
          <w:szCs w:val="24"/>
          <w:shd w:val="clear" w:color="auto" w:fill="FFFFFF"/>
        </w:rPr>
        <w:t>G</w:t>
      </w:r>
      <w:r w:rsidRPr="00FB36DA">
        <w:rPr>
          <w:rFonts w:cs="Times New Roman"/>
          <w:szCs w:val="24"/>
        </w:rPr>
        <w:t xml:space="preserve">jatë viteve 2017-2021 u arrit: </w:t>
      </w:r>
    </w:p>
    <w:p w14:paraId="7291BC5B" w14:textId="4F192210" w:rsidR="00096BE2" w:rsidRPr="00753E9C" w:rsidRDefault="00096BE2" w:rsidP="0082407B">
      <w:pPr>
        <w:jc w:val="both"/>
        <w:rPr>
          <w:rFonts w:cs="Times New Roman"/>
          <w:szCs w:val="24"/>
          <w:lang w:val="sq-AL"/>
        </w:rPr>
      </w:pPr>
      <w:r w:rsidRPr="0022797D">
        <w:rPr>
          <w:rFonts w:cs="Times New Roman"/>
          <w:szCs w:val="24"/>
          <w:shd w:val="clear" w:color="auto" w:fill="FFFFFF"/>
        </w:rPr>
        <w:t>-</w:t>
      </w:r>
      <w:r w:rsidR="00EE4CB6">
        <w:rPr>
          <w:rFonts w:cs="Times New Roman"/>
          <w:szCs w:val="24"/>
          <w:shd w:val="clear" w:color="auto" w:fill="FFFFFF"/>
        </w:rPr>
        <w:t xml:space="preserve"> </w:t>
      </w:r>
      <w:r w:rsidRPr="0022797D">
        <w:rPr>
          <w:rFonts w:cs="Times New Roman"/>
          <w:szCs w:val="24"/>
          <w:shd w:val="clear" w:color="auto" w:fill="FFFFFF"/>
        </w:rPr>
        <w:t xml:space="preserve">Miratimi i </w:t>
      </w:r>
      <w:r w:rsidRPr="0022797D">
        <w:rPr>
          <w:rFonts w:cs="Times New Roman"/>
          <w:szCs w:val="24"/>
          <w:lang w:val="it-IT"/>
        </w:rPr>
        <w:t xml:space="preserve">Vendimit Nr. 914, datë 29.12.2014 </w:t>
      </w:r>
      <w:r w:rsidRPr="0022797D">
        <w:rPr>
          <w:rFonts w:cs="Times New Roman"/>
          <w:i/>
          <w:szCs w:val="24"/>
          <w:lang w:val="it-IT"/>
        </w:rPr>
        <w:t xml:space="preserve">“Për Miratimin e Rregullave të Prokurimit Publik, i Ndryshuar me Vendimin Nr. 402, Datë 13.05.2015, me Vendimin Nr. 823, Datë 23.11.2016 me Vendimin </w:t>
      </w:r>
      <w:r w:rsidRPr="0093142A">
        <w:rPr>
          <w:rFonts w:cs="Times New Roman"/>
          <w:i/>
          <w:szCs w:val="24"/>
        </w:rPr>
        <w:t>Nr. 797, Datë 29.12.2017</w:t>
      </w:r>
      <w:r w:rsidRPr="0093142A">
        <w:rPr>
          <w:rFonts w:cs="Times New Roman"/>
          <w:i/>
          <w:szCs w:val="24"/>
          <w:lang w:val="it-IT"/>
        </w:rPr>
        <w:t xml:space="preserve"> dhe me Vendimin Nr. 80 Datë 14.2.2018”</w:t>
      </w:r>
      <w:r w:rsidR="00963538">
        <w:rPr>
          <w:rFonts w:cs="Times New Roman"/>
          <w:i/>
          <w:szCs w:val="24"/>
          <w:lang w:val="it-IT"/>
        </w:rPr>
        <w:t xml:space="preserve">, </w:t>
      </w:r>
      <w:r w:rsidR="00963538" w:rsidRPr="009475CC">
        <w:rPr>
          <w:rFonts w:cs="Times New Roman"/>
          <w:iCs/>
          <w:szCs w:val="24"/>
          <w:lang w:val="it-IT"/>
        </w:rPr>
        <w:t>i cili</w:t>
      </w:r>
      <w:r w:rsidR="00963538">
        <w:rPr>
          <w:rFonts w:cs="Times New Roman"/>
          <w:i/>
          <w:szCs w:val="24"/>
          <w:lang w:val="it-IT"/>
        </w:rPr>
        <w:t xml:space="preserve"> </w:t>
      </w:r>
      <w:r w:rsidRPr="008B3DCF">
        <w:rPr>
          <w:rFonts w:cs="Times New Roman"/>
          <w:szCs w:val="24"/>
          <w:lang w:val="it-IT"/>
        </w:rPr>
        <w:t xml:space="preserve">parashikon </w:t>
      </w:r>
      <w:r w:rsidRPr="008B3DCF">
        <w:rPr>
          <w:rFonts w:cs="Times New Roman"/>
          <w:szCs w:val="24"/>
          <w:lang w:val="da-DK"/>
        </w:rPr>
        <w:t xml:space="preserve">se autoritet kontraktore për të siguruar cilësinë e produkteve dhe shërbimeve në përputhje me kërkesat e standardeve mund t’u kërkojnë ofertuesve të paraqesin certifikata të lëshuara nga </w:t>
      </w:r>
      <w:r w:rsidRPr="00E2223C">
        <w:rPr>
          <w:rFonts w:cs="Times New Roman"/>
          <w:szCs w:val="24"/>
        </w:rPr>
        <w:t>një organ i vlerësimit të konformitetit, i akredituar nga organizmi kombëtar i akreditimit ose org</w:t>
      </w:r>
      <w:r w:rsidRPr="00753E9C">
        <w:rPr>
          <w:rFonts w:cs="Times New Roman"/>
          <w:szCs w:val="24"/>
        </w:rPr>
        <w:t>anizma ndërkombëtarë akreditues, të njohur nga Republika e Shqipërisë.</w:t>
      </w:r>
      <w:r w:rsidRPr="00E45C0D">
        <w:rPr>
          <w:rFonts w:cs="Times New Roman"/>
          <w:szCs w:val="24"/>
        </w:rPr>
        <w:t xml:space="preserve"> Shoqëritë përfituese nga fondet publike duke qënë të certifikuara nga organizma certifikues të akredituar, kryenin shërbime të besueshme dhe me cilësi për konsu</w:t>
      </w:r>
      <w:r w:rsidRPr="009475CC">
        <w:rPr>
          <w:rFonts w:cs="Times New Roman"/>
          <w:szCs w:val="24"/>
        </w:rPr>
        <w:t>m</w:t>
      </w:r>
      <w:r w:rsidR="00963538">
        <w:rPr>
          <w:rFonts w:cs="Times New Roman"/>
          <w:szCs w:val="24"/>
        </w:rPr>
        <w:t>a</w:t>
      </w:r>
      <w:r w:rsidRPr="00753E9C">
        <w:rPr>
          <w:rFonts w:cs="Times New Roman"/>
          <w:szCs w:val="24"/>
        </w:rPr>
        <w:t>torët shqiptar</w:t>
      </w:r>
      <w:r w:rsidR="00963538">
        <w:rPr>
          <w:rFonts w:cs="Times New Roman"/>
          <w:szCs w:val="24"/>
        </w:rPr>
        <w:t>ë</w:t>
      </w:r>
      <w:r w:rsidRPr="00753E9C">
        <w:rPr>
          <w:rFonts w:cs="Times New Roman"/>
          <w:szCs w:val="24"/>
        </w:rPr>
        <w:t xml:space="preserve">. </w:t>
      </w:r>
    </w:p>
    <w:p w14:paraId="5BF3E658" w14:textId="7BEB4295" w:rsidR="00096BE2" w:rsidRPr="009475CC" w:rsidRDefault="00096BE2" w:rsidP="0082407B">
      <w:pPr>
        <w:jc w:val="both"/>
        <w:rPr>
          <w:rFonts w:cs="Times New Roman"/>
          <w:szCs w:val="24"/>
          <w:lang w:val="sq-AL"/>
        </w:rPr>
      </w:pPr>
      <w:r w:rsidRPr="00E45C0D">
        <w:rPr>
          <w:rFonts w:cs="Times New Roman"/>
          <w:szCs w:val="24"/>
        </w:rPr>
        <w:t>-</w:t>
      </w:r>
      <w:r w:rsidR="00EE4CB6">
        <w:rPr>
          <w:rFonts w:cs="Times New Roman"/>
          <w:szCs w:val="24"/>
        </w:rPr>
        <w:t xml:space="preserve"> </w:t>
      </w:r>
      <w:r w:rsidRPr="00E45C0D">
        <w:rPr>
          <w:rFonts w:cs="Times New Roman"/>
          <w:szCs w:val="24"/>
        </w:rPr>
        <w:t>Di</w:t>
      </w:r>
      <w:r w:rsidR="00963538">
        <w:rPr>
          <w:rFonts w:cs="Times New Roman"/>
          <w:szCs w:val="24"/>
        </w:rPr>
        <w:t>gj</w:t>
      </w:r>
      <w:r w:rsidRPr="009475CC">
        <w:rPr>
          <w:rFonts w:cs="Times New Roman"/>
          <w:szCs w:val="24"/>
        </w:rPr>
        <w:t>italizimin e t</w:t>
      </w:r>
      <w:r w:rsidRPr="009475CC">
        <w:rPr>
          <w:rFonts w:cs="Times New Roman"/>
          <w:szCs w:val="24"/>
          <w:lang w:val="da-DK"/>
        </w:rPr>
        <w:t>ë</w:t>
      </w:r>
      <w:r w:rsidRPr="009475CC">
        <w:rPr>
          <w:rFonts w:cs="Times New Roman"/>
          <w:szCs w:val="24"/>
        </w:rPr>
        <w:t xml:space="preserve"> gjith</w:t>
      </w:r>
      <w:r w:rsidRPr="009475CC">
        <w:rPr>
          <w:rFonts w:cs="Times New Roman"/>
          <w:szCs w:val="24"/>
          <w:lang w:val="da-DK"/>
        </w:rPr>
        <w:t>ë</w:t>
      </w:r>
      <w:r w:rsidRPr="009475CC">
        <w:rPr>
          <w:rFonts w:cs="Times New Roman"/>
          <w:szCs w:val="24"/>
        </w:rPr>
        <w:t xml:space="preserve"> procedur</w:t>
      </w:r>
      <w:r w:rsidR="006348C7">
        <w:rPr>
          <w:rFonts w:cs="Times New Roman"/>
          <w:szCs w:val="24"/>
        </w:rPr>
        <w:t>ë</w:t>
      </w:r>
      <w:r w:rsidRPr="009475CC">
        <w:rPr>
          <w:rFonts w:cs="Times New Roman"/>
          <w:szCs w:val="24"/>
        </w:rPr>
        <w:t xml:space="preserve">s së akreditimit në vitin 2018. </w:t>
      </w:r>
      <w:r w:rsidRPr="009475CC">
        <w:rPr>
          <w:rFonts w:eastAsia="Times New Roman" w:cs="Times New Roman"/>
          <w:color w:val="000000"/>
          <w:kern w:val="1"/>
          <w:szCs w:val="24"/>
          <w:shd w:val="clear" w:color="auto" w:fill="FFFFFF"/>
        </w:rPr>
        <w:t>Aktualisht ky sistem elektronik është i lidhur me platformën e-albania.</w:t>
      </w:r>
    </w:p>
    <w:p w14:paraId="36D89E67" w14:textId="61D012D3" w:rsidR="00096BE2" w:rsidRPr="009475CC" w:rsidRDefault="00096BE2" w:rsidP="0082407B">
      <w:pPr>
        <w:jc w:val="both"/>
        <w:rPr>
          <w:rFonts w:cs="Times New Roman"/>
          <w:szCs w:val="24"/>
          <w:lang w:val="sq-AL"/>
        </w:rPr>
      </w:pPr>
      <w:r w:rsidRPr="009475CC">
        <w:rPr>
          <w:rFonts w:cs="Times New Roman"/>
          <w:bCs/>
          <w:iCs/>
          <w:szCs w:val="24"/>
          <w:lang w:val="it-IT"/>
        </w:rPr>
        <w:t>-</w:t>
      </w:r>
      <w:r w:rsidR="00EE4CB6">
        <w:rPr>
          <w:rFonts w:cs="Times New Roman"/>
          <w:bCs/>
          <w:iCs/>
          <w:szCs w:val="24"/>
          <w:lang w:val="it-IT"/>
        </w:rPr>
        <w:t xml:space="preserve"> </w:t>
      </w:r>
      <w:r w:rsidRPr="009475CC">
        <w:rPr>
          <w:rFonts w:cs="Times New Roman"/>
          <w:bCs/>
          <w:iCs/>
          <w:szCs w:val="24"/>
          <w:lang w:val="it-IT"/>
        </w:rPr>
        <w:t>Dyfishimin e numrit të vlerësuesve të rekrutuar që përdoren në vizitat vlerësuese.</w:t>
      </w:r>
      <w:r w:rsidRPr="009475CC">
        <w:rPr>
          <w:rFonts w:cs="Times New Roman"/>
          <w:szCs w:val="24"/>
          <w:lang w:val="sq-AL"/>
        </w:rPr>
        <w:t xml:space="preserve"> </w:t>
      </w:r>
    </w:p>
    <w:p w14:paraId="522862A6" w14:textId="649A3267" w:rsidR="00963538" w:rsidRPr="0082407B" w:rsidRDefault="00096BE2" w:rsidP="0082407B">
      <w:pPr>
        <w:jc w:val="both"/>
        <w:rPr>
          <w:rFonts w:cs="Times New Roman"/>
          <w:b/>
          <w:szCs w:val="24"/>
          <w:lang w:val="sq-AL"/>
        </w:rPr>
      </w:pPr>
      <w:r w:rsidRPr="009475CC">
        <w:rPr>
          <w:rFonts w:cs="Times New Roman"/>
          <w:szCs w:val="24"/>
          <w:lang w:val="sq-AL"/>
        </w:rPr>
        <w:lastRenderedPageBreak/>
        <w:t>Sfidë për organizmin kombëtar të akreditimit</w:t>
      </w:r>
      <w:r w:rsidR="00963538">
        <w:rPr>
          <w:rFonts w:cs="Times New Roman"/>
          <w:szCs w:val="24"/>
          <w:lang w:val="sq-AL"/>
        </w:rPr>
        <w:t xml:space="preserve"> </w:t>
      </w:r>
      <w:r w:rsidRPr="00753E9C">
        <w:rPr>
          <w:rFonts w:cs="Times New Roman"/>
          <w:szCs w:val="24"/>
          <w:lang w:val="sq-AL"/>
        </w:rPr>
        <w:t xml:space="preserve">për periudhën 2023-2030 </w:t>
      </w:r>
      <w:r w:rsidRPr="00E45C0D">
        <w:rPr>
          <w:rFonts w:cs="Times New Roman"/>
          <w:szCs w:val="24"/>
          <w:lang w:val="sq-AL"/>
        </w:rPr>
        <w:t xml:space="preserve">është </w:t>
      </w:r>
      <w:r w:rsidRPr="004E1146">
        <w:rPr>
          <w:rFonts w:cs="Times New Roman"/>
          <w:szCs w:val="24"/>
          <w:lang w:val="sq-AL"/>
        </w:rPr>
        <w:t xml:space="preserve">njohja evropiane e raporteve të ekzaminimeve mjekësore, certifikatave të kalibrimit dhe certifikatave të certifikimit të lëshuara nga </w:t>
      </w:r>
      <w:r w:rsidRPr="005D4962">
        <w:rPr>
          <w:rFonts w:cs="Times New Roman"/>
          <w:szCs w:val="24"/>
          <w:lang w:val="sq-AL"/>
        </w:rPr>
        <w:t>laboratorë</w:t>
      </w:r>
      <w:r w:rsidRPr="009475CC">
        <w:rPr>
          <w:rFonts w:cs="Times New Roman"/>
          <w:szCs w:val="24"/>
          <w:lang w:val="sq-AL"/>
        </w:rPr>
        <w:t>t mjekësorë, laboratorët kalibrues dhe organet certifikuese të produkteve të akredituara prej</w:t>
      </w:r>
      <w:r w:rsidR="00963538">
        <w:rPr>
          <w:rFonts w:cs="Times New Roman"/>
          <w:szCs w:val="24"/>
          <w:lang w:val="sq-AL"/>
        </w:rPr>
        <w:t xml:space="preserve"> </w:t>
      </w:r>
      <w:r w:rsidRPr="00753E9C">
        <w:rPr>
          <w:rFonts w:cs="Times New Roman"/>
          <w:szCs w:val="24"/>
          <w:lang w:val="sq-AL"/>
        </w:rPr>
        <w:t>tij. Gjithashtu sfid</w:t>
      </w:r>
      <w:r w:rsidRPr="00E45C0D">
        <w:rPr>
          <w:rFonts w:cs="Times New Roman"/>
          <w:szCs w:val="24"/>
          <w:lang w:val="sq-AL"/>
        </w:rPr>
        <w:t>ë</w:t>
      </w:r>
      <w:r w:rsidRPr="009475CC">
        <w:rPr>
          <w:rFonts w:cs="Times New Roman"/>
          <w:szCs w:val="24"/>
          <w:lang w:val="sq-AL"/>
        </w:rPr>
        <w:t xml:space="preserve"> ngelet </w:t>
      </w:r>
      <w:r w:rsidRPr="009475CC">
        <w:rPr>
          <w:rFonts w:cs="Times New Roman"/>
          <w:szCs w:val="24"/>
        </w:rPr>
        <w:t>rritja e numrit të aplikimeve për akreditim</w:t>
      </w:r>
      <w:r w:rsidRPr="009475CC">
        <w:rPr>
          <w:rFonts w:cs="Times New Roman"/>
          <w:szCs w:val="24"/>
          <w:lang w:val="sq-AL"/>
        </w:rPr>
        <w:t xml:space="preserve"> dhe promovimi sistematik dhe i programuar i rolit të akreditimit në mbrojtjen e konsumatorëve dhe në tregtinë e lirë.</w:t>
      </w:r>
    </w:p>
    <w:p w14:paraId="60700EFA" w14:textId="3CED3E7C" w:rsidR="00C56EA9" w:rsidRPr="009475CC" w:rsidRDefault="00126667" w:rsidP="00623352">
      <w:pPr>
        <w:pStyle w:val="Heading5"/>
      </w:pPr>
      <w:bookmarkStart w:id="31" w:name="_Toc132277325"/>
      <w:r w:rsidRPr="009475CC">
        <w:t>Metrologjia</w:t>
      </w:r>
      <w:bookmarkEnd w:id="31"/>
    </w:p>
    <w:p w14:paraId="3F22875E" w14:textId="3AD87858" w:rsidR="00C56EA9" w:rsidRPr="009475CC" w:rsidRDefault="00C56EA9" w:rsidP="0082407B">
      <w:pPr>
        <w:jc w:val="both"/>
        <w:rPr>
          <w:rFonts w:cs="Times New Roman"/>
          <w:szCs w:val="24"/>
          <w:lang w:val="sq-AL"/>
        </w:rPr>
      </w:pPr>
      <w:r w:rsidRPr="009475CC">
        <w:rPr>
          <w:rFonts w:cs="Times New Roman"/>
          <w:szCs w:val="24"/>
          <w:lang w:val="sq-AL"/>
        </w:rPr>
        <w:t>Metrologjia është një element i pandashëm i infrastrukturës bazë të çdo ekonomie moderne dhe funksionimi i saj është ndër parakushtet bazë për efikasitetin dhe sigurinë e funksionimit të shoqërisë</w:t>
      </w:r>
      <w:r w:rsidR="0060303A">
        <w:rPr>
          <w:rFonts w:cs="Times New Roman"/>
          <w:szCs w:val="24"/>
          <w:lang w:val="sq-AL"/>
        </w:rPr>
        <w:t xml:space="preserve">, </w:t>
      </w:r>
      <w:r w:rsidRPr="009475CC">
        <w:rPr>
          <w:rFonts w:cs="Times New Roman"/>
          <w:szCs w:val="24"/>
          <w:lang w:val="sq-AL"/>
        </w:rPr>
        <w:t>arritjen e cilësisë dhe konkurrueshmëris</w:t>
      </w:r>
      <w:r w:rsidR="0060303A">
        <w:rPr>
          <w:rFonts w:cs="Times New Roman"/>
          <w:szCs w:val="24"/>
          <w:lang w:val="sq-AL"/>
        </w:rPr>
        <w:t>ë</w:t>
      </w:r>
      <w:r w:rsidRPr="009475CC">
        <w:rPr>
          <w:rFonts w:cs="Times New Roman"/>
          <w:szCs w:val="24"/>
          <w:lang w:val="sq-AL"/>
        </w:rPr>
        <w:t xml:space="preserve"> së produkteve dhe shërbimeve. Harmonizimi në metrologji kontribuon ndjeshëm në eliminimin e barrierave teknike në tregti, mbrojtje më të madhe të konsumatorëve dhe interesave të tjera publike. </w:t>
      </w:r>
    </w:p>
    <w:p w14:paraId="2AAFFA8A" w14:textId="5F10791A" w:rsidR="00C56EA9" w:rsidRPr="009475CC" w:rsidRDefault="00C56EA9" w:rsidP="0082407B">
      <w:pPr>
        <w:jc w:val="both"/>
        <w:rPr>
          <w:rFonts w:cs="Times New Roman"/>
          <w:szCs w:val="24"/>
          <w:lang w:val="cs-CZ"/>
        </w:rPr>
      </w:pPr>
      <w:r w:rsidRPr="009475CC">
        <w:rPr>
          <w:rFonts w:cs="Times New Roman"/>
          <w:color w:val="000000"/>
          <w:szCs w:val="24"/>
          <w:shd w:val="clear" w:color="auto" w:fill="FCFCFC"/>
        </w:rPr>
        <w:t>Një ndër misionet e Metrologjis</w:t>
      </w:r>
      <w:r w:rsidR="00DB71F9">
        <w:rPr>
          <w:rFonts w:cs="Times New Roman"/>
          <w:color w:val="000000"/>
          <w:szCs w:val="24"/>
          <w:shd w:val="clear" w:color="auto" w:fill="FCFCFC"/>
        </w:rPr>
        <w:t>ë</w:t>
      </w:r>
      <w:r w:rsidRPr="009475CC">
        <w:rPr>
          <w:rFonts w:cs="Times New Roman"/>
          <w:color w:val="000000"/>
          <w:szCs w:val="24"/>
          <w:shd w:val="clear" w:color="auto" w:fill="FCFCFC"/>
        </w:rPr>
        <w:t xml:space="preserve"> është mbrojtja e konsumatorëve, nëpërmjet organizimit të kontrollit të instrumenteve matës në fushat e transaksioneve zyrtare dhe tregtare, mbrojtjes së shëndetit, mjedisit dhe sigurinë teknike, si dhe kontrollit sasior t</w:t>
      </w:r>
      <w:r w:rsidR="00DB71F9">
        <w:rPr>
          <w:rFonts w:cs="Times New Roman"/>
          <w:color w:val="000000"/>
          <w:szCs w:val="24"/>
          <w:shd w:val="clear" w:color="auto" w:fill="FCFCFC"/>
        </w:rPr>
        <w:t>ë</w:t>
      </w:r>
      <w:r w:rsidRPr="009475CC">
        <w:rPr>
          <w:rFonts w:cs="Times New Roman"/>
          <w:color w:val="000000"/>
          <w:szCs w:val="24"/>
          <w:shd w:val="clear" w:color="auto" w:fill="FCFCFC"/>
        </w:rPr>
        <w:t xml:space="preserve"> parapaketimeve. </w:t>
      </w:r>
      <w:r w:rsidRPr="009475CC">
        <w:rPr>
          <w:rFonts w:cs="Times New Roman"/>
          <w:szCs w:val="24"/>
          <w:lang w:val="cs-CZ"/>
        </w:rPr>
        <w:t xml:space="preserve">Një sistem efikas dhe mirëfunksionues i metrologjisë ligjore ndikon në mënyrë të drejtpërdrejtë në përmirësimin e cilësisë së jetës së qytetarëve, në efektivitetin e aktivitetit të gjithë sektorit publik dhe në rritjen efektive ekonomike në sektorin privat. </w:t>
      </w:r>
    </w:p>
    <w:p w14:paraId="3C2B4E5C" w14:textId="77777777" w:rsidR="00C56EA9" w:rsidRPr="009475CC" w:rsidRDefault="00C56EA9" w:rsidP="0082407B">
      <w:pPr>
        <w:jc w:val="both"/>
        <w:textAlignment w:val="baseline"/>
        <w:rPr>
          <w:rFonts w:cs="Times New Roman"/>
          <w:szCs w:val="24"/>
          <w:lang w:val="sq-AL"/>
        </w:rPr>
      </w:pPr>
      <w:r w:rsidRPr="009475CC">
        <w:rPr>
          <w:rFonts w:cs="Times New Roman"/>
          <w:szCs w:val="24"/>
          <w:lang w:val="sq-AL"/>
        </w:rPr>
        <w:t>Fushat bazë të veprimtarisë të infrastrukturës metrologjike janë metrologjia shkencore, metrologjia industriale dhe metrologjia ligjore. Njohuritë për metrologjinë dhe ofrimin e shërbimeve në metrologji, të cilat ofrohen nga sistemi kombëtar i metrologjisë, kanë një ndikim të rëndësishëm në mbarëvajtjen e përditshme të ekonomisë dhe jetës publike.</w:t>
      </w:r>
    </w:p>
    <w:p w14:paraId="6469EB2C" w14:textId="6F50EA15" w:rsidR="00C56EA9" w:rsidRPr="009475CC" w:rsidRDefault="00C56EA9" w:rsidP="0082407B">
      <w:pPr>
        <w:jc w:val="both"/>
        <w:rPr>
          <w:rFonts w:cs="Times New Roman"/>
          <w:szCs w:val="24"/>
          <w:lang w:val="sq-AL"/>
        </w:rPr>
      </w:pPr>
      <w:r w:rsidRPr="009475CC">
        <w:rPr>
          <w:rFonts w:cs="Times New Roman"/>
          <w:szCs w:val="24"/>
          <w:lang w:val="sq-AL"/>
        </w:rPr>
        <w:t>P</w:t>
      </w:r>
      <w:r w:rsidR="00DB71F9">
        <w:rPr>
          <w:rFonts w:cs="Times New Roman"/>
          <w:szCs w:val="24"/>
          <w:lang w:val="sq-AL"/>
        </w:rPr>
        <w:t>ë</w:t>
      </w:r>
      <w:r w:rsidRPr="009475CC">
        <w:rPr>
          <w:rFonts w:cs="Times New Roman"/>
          <w:szCs w:val="24"/>
          <w:lang w:val="sq-AL"/>
        </w:rPr>
        <w:t>rsa i takon metrologjis</w:t>
      </w:r>
      <w:r w:rsidR="00DB71F9">
        <w:rPr>
          <w:rFonts w:cs="Times New Roman"/>
          <w:szCs w:val="24"/>
          <w:lang w:val="sq-AL"/>
        </w:rPr>
        <w:t>ë</w:t>
      </w:r>
      <w:r w:rsidRPr="009475CC">
        <w:rPr>
          <w:rFonts w:cs="Times New Roman"/>
          <w:szCs w:val="24"/>
          <w:lang w:val="sq-AL"/>
        </w:rPr>
        <w:t xml:space="preserve"> shkencore Republika e Shqip</w:t>
      </w:r>
      <w:r w:rsidR="00DB71F9">
        <w:rPr>
          <w:rFonts w:cs="Times New Roman"/>
          <w:szCs w:val="24"/>
          <w:lang w:val="sq-AL"/>
        </w:rPr>
        <w:t>ë</w:t>
      </w:r>
      <w:r w:rsidRPr="009475CC">
        <w:rPr>
          <w:rFonts w:cs="Times New Roman"/>
          <w:szCs w:val="24"/>
          <w:lang w:val="sq-AL"/>
        </w:rPr>
        <w:t xml:space="preserve">risë është anëtare e asociuar e </w:t>
      </w:r>
      <w:bookmarkStart w:id="32" w:name="_Hlk121687330"/>
      <w:r w:rsidRPr="009475CC">
        <w:rPr>
          <w:rFonts w:cs="Times New Roman"/>
          <w:szCs w:val="24"/>
          <w:lang w:val="sq-AL"/>
        </w:rPr>
        <w:t>Konferencës së Përgjithshme të Peshave dhe Masave (GCPM</w:t>
      </w:r>
      <w:bookmarkEnd w:id="32"/>
      <w:r w:rsidRPr="009475CC">
        <w:rPr>
          <w:rFonts w:cs="Times New Roman"/>
          <w:szCs w:val="24"/>
          <w:lang w:val="sq-AL"/>
        </w:rPr>
        <w:t>) që prej vitit 2007 dhe në nivel teknik përfaqesohet nga DPM, e cila ka nënshkruar Marrëveshjen për Njohjen e Ndërsjellë të etaloneve kombëtare të matjes dhe të certifikatave të kalibrimit dhe matjeve që lëshohen nga institutet kombëtare të metrologjisë” të Komitetit Ndërkombëtar të Peshave dhe Masave (</w:t>
      </w:r>
      <w:bookmarkStart w:id="33" w:name="_Hlk121687354"/>
      <w:r w:rsidRPr="009475CC">
        <w:rPr>
          <w:rFonts w:cs="Times New Roman"/>
          <w:szCs w:val="24"/>
          <w:lang w:val="sq-AL"/>
        </w:rPr>
        <w:t>CIPM MRA</w:t>
      </w:r>
      <w:bookmarkEnd w:id="33"/>
      <w:r w:rsidRPr="009475CC">
        <w:rPr>
          <w:rFonts w:cs="Times New Roman"/>
          <w:szCs w:val="24"/>
          <w:lang w:val="sq-AL"/>
        </w:rPr>
        <w:t xml:space="preserve">) po në vitin 2007. Në nivel evropian, Drejtoria e Përgjithshme e Metrologjisë është anëtare e </w:t>
      </w:r>
      <w:bookmarkStart w:id="34" w:name="_Hlk121687379"/>
      <w:r w:rsidRPr="009475CC">
        <w:rPr>
          <w:rFonts w:cs="Times New Roman"/>
          <w:szCs w:val="24"/>
          <w:lang w:val="sq-AL"/>
        </w:rPr>
        <w:t>Organizatës Rajonale t</w:t>
      </w:r>
      <w:r w:rsidR="000D3C0B">
        <w:rPr>
          <w:rFonts w:cs="Times New Roman"/>
          <w:szCs w:val="24"/>
          <w:lang w:val="sq-AL"/>
        </w:rPr>
        <w:t>ë</w:t>
      </w:r>
      <w:r w:rsidRPr="009475CC">
        <w:rPr>
          <w:rFonts w:cs="Times New Roman"/>
          <w:szCs w:val="24"/>
          <w:lang w:val="sq-AL"/>
        </w:rPr>
        <w:t xml:space="preserve"> Instituteve t</w:t>
      </w:r>
      <w:r w:rsidR="000D3C0B">
        <w:rPr>
          <w:rFonts w:cs="Times New Roman"/>
          <w:szCs w:val="24"/>
          <w:lang w:val="sq-AL"/>
        </w:rPr>
        <w:t>ë</w:t>
      </w:r>
      <w:r w:rsidRPr="009475CC">
        <w:rPr>
          <w:rFonts w:cs="Times New Roman"/>
          <w:szCs w:val="24"/>
          <w:lang w:val="sq-AL"/>
        </w:rPr>
        <w:t xml:space="preserve"> Metrologjisë në Evropë (EURAMET</w:t>
      </w:r>
      <w:bookmarkEnd w:id="34"/>
      <w:r w:rsidRPr="009475CC">
        <w:rPr>
          <w:rFonts w:cs="Times New Roman"/>
          <w:szCs w:val="24"/>
          <w:lang w:val="sq-AL"/>
        </w:rPr>
        <w:t>) që prej 26 Maj 2010.</w:t>
      </w:r>
    </w:p>
    <w:p w14:paraId="4E6FE953" w14:textId="051B4A4A" w:rsidR="00C56EA9" w:rsidRPr="009475CC" w:rsidRDefault="00C56EA9" w:rsidP="0082407B">
      <w:pPr>
        <w:jc w:val="both"/>
        <w:rPr>
          <w:rFonts w:cs="Times New Roman"/>
          <w:szCs w:val="24"/>
          <w:lang w:val="sq-AL"/>
        </w:rPr>
      </w:pPr>
      <w:r w:rsidRPr="009475CC">
        <w:rPr>
          <w:rFonts w:cs="Times New Roman"/>
          <w:szCs w:val="24"/>
          <w:lang w:val="sq-AL"/>
        </w:rPr>
        <w:t>Plot</w:t>
      </w:r>
      <w:r w:rsidR="000D3C0B">
        <w:rPr>
          <w:rFonts w:cs="Times New Roman"/>
          <w:szCs w:val="24"/>
          <w:lang w:val="sq-AL"/>
        </w:rPr>
        <w:t>ë</w:t>
      </w:r>
      <w:r w:rsidRPr="009475CC">
        <w:rPr>
          <w:rFonts w:cs="Times New Roman"/>
          <w:szCs w:val="24"/>
          <w:lang w:val="sq-AL"/>
        </w:rPr>
        <w:t>simi i kritereve teknike të p</w:t>
      </w:r>
      <w:r w:rsidR="000D3C0B">
        <w:rPr>
          <w:rFonts w:cs="Times New Roman"/>
          <w:szCs w:val="24"/>
          <w:lang w:val="sq-AL"/>
        </w:rPr>
        <w:t>ë</w:t>
      </w:r>
      <w:r w:rsidRPr="009475CC">
        <w:rPr>
          <w:rFonts w:cs="Times New Roman"/>
          <w:szCs w:val="24"/>
          <w:lang w:val="sq-AL"/>
        </w:rPr>
        <w:t>rcaktuara nga këto dy organizma dhe marr</w:t>
      </w:r>
      <w:r w:rsidR="000D3C0B">
        <w:rPr>
          <w:rFonts w:cs="Times New Roman"/>
          <w:szCs w:val="24"/>
          <w:lang w:val="sq-AL"/>
        </w:rPr>
        <w:t>ë</w:t>
      </w:r>
      <w:r w:rsidRPr="009475CC">
        <w:rPr>
          <w:rFonts w:cs="Times New Roman"/>
          <w:szCs w:val="24"/>
          <w:lang w:val="sq-AL"/>
        </w:rPr>
        <w:t>veshje ka mundësuar që disa prej shërbimeve metrologjike q</w:t>
      </w:r>
      <w:r w:rsidR="000D3C0B">
        <w:rPr>
          <w:rFonts w:cs="Times New Roman"/>
          <w:szCs w:val="24"/>
          <w:lang w:val="sq-AL"/>
        </w:rPr>
        <w:t>ë</w:t>
      </w:r>
      <w:r w:rsidRPr="009475CC">
        <w:rPr>
          <w:rFonts w:cs="Times New Roman"/>
          <w:szCs w:val="24"/>
          <w:lang w:val="sq-AL"/>
        </w:rPr>
        <w:t xml:space="preserve"> ofrohen të njihen në nivel ndërkombëtar. Aktualisht</w:t>
      </w:r>
      <w:r w:rsidR="000D3C0B">
        <w:rPr>
          <w:rFonts w:cs="Times New Roman"/>
          <w:szCs w:val="24"/>
          <w:lang w:val="sq-AL"/>
        </w:rPr>
        <w:t>,</w:t>
      </w:r>
      <w:r w:rsidRPr="009475CC">
        <w:rPr>
          <w:rFonts w:cs="Times New Roman"/>
          <w:szCs w:val="24"/>
          <w:lang w:val="sq-AL"/>
        </w:rPr>
        <w:t xml:space="preserve"> Sh</w:t>
      </w:r>
      <w:r w:rsidR="000D3C0B">
        <w:rPr>
          <w:rFonts w:cs="Times New Roman"/>
          <w:szCs w:val="24"/>
          <w:lang w:val="sq-AL"/>
        </w:rPr>
        <w:t>q</w:t>
      </w:r>
      <w:r w:rsidRPr="009475CC">
        <w:rPr>
          <w:rFonts w:cs="Times New Roman"/>
          <w:szCs w:val="24"/>
          <w:lang w:val="sq-AL"/>
        </w:rPr>
        <w:t>ip</w:t>
      </w:r>
      <w:r w:rsidR="000D3C0B">
        <w:rPr>
          <w:rFonts w:cs="Times New Roman"/>
          <w:szCs w:val="24"/>
          <w:lang w:val="sq-AL"/>
        </w:rPr>
        <w:t>ë</w:t>
      </w:r>
      <w:r w:rsidRPr="009475CC">
        <w:rPr>
          <w:rFonts w:cs="Times New Roman"/>
          <w:szCs w:val="24"/>
          <w:lang w:val="sq-AL"/>
        </w:rPr>
        <w:t>ria g</w:t>
      </w:r>
      <w:r w:rsidR="000D3C0B">
        <w:rPr>
          <w:rFonts w:cs="Times New Roman"/>
          <w:szCs w:val="24"/>
          <w:lang w:val="sq-AL"/>
        </w:rPr>
        <w:t>ë</w:t>
      </w:r>
      <w:r w:rsidRPr="009475CC">
        <w:rPr>
          <w:rFonts w:cs="Times New Roman"/>
          <w:szCs w:val="24"/>
          <w:lang w:val="sq-AL"/>
        </w:rPr>
        <w:t>zon statusin an</w:t>
      </w:r>
      <w:r w:rsidR="000D3C0B">
        <w:rPr>
          <w:rFonts w:cs="Times New Roman"/>
          <w:szCs w:val="24"/>
          <w:lang w:val="sq-AL"/>
        </w:rPr>
        <w:t>ë</w:t>
      </w:r>
      <w:r w:rsidRPr="009475CC">
        <w:rPr>
          <w:rFonts w:cs="Times New Roman"/>
          <w:szCs w:val="24"/>
          <w:lang w:val="sq-AL"/>
        </w:rPr>
        <w:t xml:space="preserve">tar i asociuar </w:t>
      </w:r>
      <w:bookmarkStart w:id="35" w:name="_Hlk121687443"/>
      <w:r w:rsidRPr="009475CC">
        <w:rPr>
          <w:rFonts w:cs="Times New Roman"/>
          <w:szCs w:val="24"/>
          <w:lang w:val="sq-AL"/>
        </w:rPr>
        <w:t>n</w:t>
      </w:r>
      <w:r w:rsidR="000D3C0B">
        <w:rPr>
          <w:rFonts w:cs="Times New Roman"/>
          <w:szCs w:val="24"/>
          <w:lang w:val="sq-AL"/>
        </w:rPr>
        <w:t>ë</w:t>
      </w:r>
      <w:r w:rsidRPr="009475CC">
        <w:rPr>
          <w:rFonts w:cs="Times New Roman"/>
          <w:szCs w:val="24"/>
          <w:lang w:val="sq-AL"/>
        </w:rPr>
        <w:t xml:space="preserve"> Organizatën Evropiane të Metrologjisë Ligjore </w:t>
      </w:r>
      <w:r w:rsidR="006D61C0">
        <w:rPr>
          <w:rFonts w:cs="Times New Roman"/>
          <w:szCs w:val="24"/>
          <w:lang w:val="sq-AL"/>
        </w:rPr>
        <w:t>Ë</w:t>
      </w:r>
      <w:r w:rsidRPr="009475CC">
        <w:rPr>
          <w:rFonts w:cs="Times New Roman"/>
          <w:szCs w:val="24"/>
          <w:lang w:val="sq-AL"/>
        </w:rPr>
        <w:t>ELMEC</w:t>
      </w:r>
      <w:bookmarkEnd w:id="35"/>
      <w:r w:rsidRPr="009475CC">
        <w:rPr>
          <w:rFonts w:cs="Times New Roman"/>
          <w:szCs w:val="24"/>
          <w:lang w:val="sq-AL"/>
        </w:rPr>
        <w:t>, ku anëtar</w:t>
      </w:r>
      <w:r w:rsidR="000D3C0B">
        <w:rPr>
          <w:rFonts w:cs="Times New Roman"/>
          <w:szCs w:val="24"/>
          <w:lang w:val="sq-AL"/>
        </w:rPr>
        <w:t>ë</w:t>
      </w:r>
      <w:r w:rsidRPr="009475CC">
        <w:rPr>
          <w:rFonts w:cs="Times New Roman"/>
          <w:szCs w:val="24"/>
          <w:lang w:val="sq-AL"/>
        </w:rPr>
        <w:t>simi i plotë kushtëzohet nga statusi politik i vendit kundrejt BE</w:t>
      </w:r>
      <w:r w:rsidR="0060303A">
        <w:rPr>
          <w:rFonts w:cs="Times New Roman"/>
          <w:szCs w:val="24"/>
          <w:lang w:val="sq-AL"/>
        </w:rPr>
        <w:t>-së</w:t>
      </w:r>
      <w:r w:rsidRPr="009475CC">
        <w:rPr>
          <w:rFonts w:cs="Times New Roman"/>
          <w:szCs w:val="24"/>
          <w:lang w:val="sq-AL"/>
        </w:rPr>
        <w:t xml:space="preserve">. </w:t>
      </w:r>
    </w:p>
    <w:p w14:paraId="3656F609" w14:textId="34C269AC" w:rsidR="00C56EA9" w:rsidRPr="009475CC" w:rsidRDefault="00C56EA9" w:rsidP="0082407B">
      <w:pPr>
        <w:jc w:val="both"/>
        <w:rPr>
          <w:rFonts w:cs="Times New Roman"/>
          <w:szCs w:val="24"/>
          <w:lang w:val="sq-AL"/>
        </w:rPr>
      </w:pPr>
      <w:r w:rsidRPr="009475CC">
        <w:rPr>
          <w:rFonts w:cs="Times New Roman"/>
          <w:szCs w:val="24"/>
          <w:lang w:val="sq-AL"/>
        </w:rPr>
        <w:t xml:space="preserve">Laboratorët e etaloneve kombëtare të matjeve brenda institucionit funksionojnë sipas Sistemit të Menaxhimit të Cilësisë i cili është në përputhje me kërkesat e standardit ISO/IEC 17025: 2017 dhe të </w:t>
      </w:r>
      <w:r w:rsidR="0060303A">
        <w:rPr>
          <w:rFonts w:cs="Times New Roman"/>
          <w:szCs w:val="24"/>
          <w:lang w:val="sq-AL"/>
        </w:rPr>
        <w:t>“</w:t>
      </w:r>
      <w:r w:rsidRPr="009475CC">
        <w:rPr>
          <w:rFonts w:cs="Times New Roman"/>
          <w:szCs w:val="24"/>
          <w:lang w:val="sq-AL"/>
        </w:rPr>
        <w:t xml:space="preserve">Marrëveshjes së Njohjes Reciproke të Standardeve Kombëtare të Matjeve dhe të Certifikatave të kalibrimit, të lëshuara nga Institutet Kombëtare të Metrologjisë”, lëshuar nga Komiteti Ndërkombëtar për Peshat dhe Masat (CIPM-MRA). Drejtoria e Përgjithshme e Metrologjisë  ka regjistruar në vitin 2021 aftësitë matëse dhe kalibruese (CMC) në bazën e të dhënave të </w:t>
      </w:r>
      <w:bookmarkStart w:id="36" w:name="_Hlk121687477"/>
      <w:r w:rsidRPr="009475CC">
        <w:rPr>
          <w:rFonts w:cs="Times New Roman"/>
          <w:szCs w:val="24"/>
          <w:lang w:val="sq-AL"/>
        </w:rPr>
        <w:t>Byrosë Ndërkombëtare të Peshave dhe Masave (BIPM KCDB</w:t>
      </w:r>
      <w:bookmarkEnd w:id="36"/>
      <w:r w:rsidRPr="009475CC">
        <w:rPr>
          <w:rFonts w:cs="Times New Roman"/>
          <w:szCs w:val="24"/>
          <w:lang w:val="sq-AL"/>
        </w:rPr>
        <w:t>) në fushën e masës, vëllimit dhe presionit, sipas kërkesave të CIPM MRA.</w:t>
      </w:r>
    </w:p>
    <w:p w14:paraId="41298BCA" w14:textId="7E1E4DC9" w:rsidR="00C56EA9" w:rsidRPr="009475CC" w:rsidRDefault="00C56EA9" w:rsidP="0082407B">
      <w:pPr>
        <w:jc w:val="both"/>
        <w:rPr>
          <w:rFonts w:cs="Times New Roman"/>
          <w:szCs w:val="24"/>
          <w:lang w:val="sq-AL"/>
        </w:rPr>
      </w:pPr>
      <w:r w:rsidRPr="009475CC">
        <w:rPr>
          <w:rFonts w:cs="Times New Roman"/>
          <w:szCs w:val="24"/>
          <w:lang w:val="sq-AL"/>
        </w:rPr>
        <w:lastRenderedPageBreak/>
        <w:t>Në nivel nd</w:t>
      </w:r>
      <w:r w:rsidR="003B40AA">
        <w:rPr>
          <w:rFonts w:cs="Times New Roman"/>
          <w:szCs w:val="24"/>
          <w:lang w:val="sq-AL"/>
        </w:rPr>
        <w:t>ë</w:t>
      </w:r>
      <w:r w:rsidRPr="009475CC">
        <w:rPr>
          <w:rFonts w:cs="Times New Roman"/>
          <w:szCs w:val="24"/>
          <w:lang w:val="sq-AL"/>
        </w:rPr>
        <w:t>rkomb</w:t>
      </w:r>
      <w:r w:rsidR="003B40AA">
        <w:rPr>
          <w:rFonts w:cs="Times New Roman"/>
          <w:szCs w:val="24"/>
          <w:lang w:val="sq-AL"/>
        </w:rPr>
        <w:t>ë</w:t>
      </w:r>
      <w:r w:rsidRPr="009475CC">
        <w:rPr>
          <w:rFonts w:cs="Times New Roman"/>
          <w:szCs w:val="24"/>
          <w:lang w:val="sq-AL"/>
        </w:rPr>
        <w:t>tar, Republika e Shqip</w:t>
      </w:r>
      <w:r w:rsidR="003B40AA">
        <w:rPr>
          <w:rFonts w:cs="Times New Roman"/>
          <w:szCs w:val="24"/>
          <w:lang w:val="sq-AL"/>
        </w:rPr>
        <w:t>ë</w:t>
      </w:r>
      <w:r w:rsidRPr="009475CC">
        <w:rPr>
          <w:rFonts w:cs="Times New Roman"/>
          <w:szCs w:val="24"/>
          <w:lang w:val="sq-AL"/>
        </w:rPr>
        <w:t>ris</w:t>
      </w:r>
      <w:r w:rsidR="003B40AA">
        <w:rPr>
          <w:rFonts w:cs="Times New Roman"/>
          <w:szCs w:val="24"/>
          <w:lang w:val="sq-AL"/>
        </w:rPr>
        <w:t>ë</w:t>
      </w:r>
      <w:r w:rsidRPr="009475CC">
        <w:rPr>
          <w:rFonts w:cs="Times New Roman"/>
          <w:szCs w:val="24"/>
          <w:lang w:val="sq-AL"/>
        </w:rPr>
        <w:t xml:space="preserve"> aderon në Konventën e Organizatës Botërore të Metrologjise Ligjore (OIML</w:t>
      </w:r>
      <w:r w:rsidR="003B40AA">
        <w:rPr>
          <w:rFonts w:cs="Times New Roman"/>
          <w:szCs w:val="24"/>
          <w:lang w:val="sq-AL"/>
        </w:rPr>
        <w:t>)</w:t>
      </w:r>
      <w:r w:rsidRPr="009475CC">
        <w:rPr>
          <w:rFonts w:cs="Times New Roman"/>
          <w:szCs w:val="24"/>
          <w:lang w:val="sq-AL"/>
        </w:rPr>
        <w:t xml:space="preserve"> me të drejta të plota që prej vitit 2001, mbështetur në Ligjin nr. 8818, datë 27.9.2001 “Për aderimin e Republikës së Shqipërisë në “Konventën për krijimin e organizatës ndërkombëtare të metrologjisë ligjore” dhe në nivel teknik përfaqësohet nga DPM.</w:t>
      </w:r>
    </w:p>
    <w:p w14:paraId="71E49A06" w14:textId="6B9B1B97" w:rsidR="00C56EA9" w:rsidRPr="009475CC" w:rsidRDefault="00C56EA9" w:rsidP="0082407B">
      <w:pPr>
        <w:jc w:val="both"/>
        <w:rPr>
          <w:rFonts w:cs="Times New Roman"/>
          <w:szCs w:val="24"/>
          <w:lang w:val="sq-AL"/>
        </w:rPr>
      </w:pPr>
      <w:r w:rsidRPr="00EE4CB6">
        <w:rPr>
          <w:rFonts w:cs="Times New Roman"/>
          <w:color w:val="000000"/>
          <w:szCs w:val="24"/>
          <w:shd w:val="clear" w:color="auto" w:fill="FFFFFF" w:themeFill="background1"/>
        </w:rPr>
        <w:t>Laboratorët e kalibrimit kanë realizuar shërbime kalibrimi të instrumenteve matës të fushës së masës, volumeve, gjatësisë, temperaturës, lagështisë, elektrikut, forcës, presionit, kimisë ndërsa nëpërmjet sektorëve të shërbimit ka realizuar shërbime verifikimi të instrumenteve taksimetër, peshore automobilistike, peshore, gramarë, masa volumore etj</w:t>
      </w:r>
      <w:r w:rsidRPr="00EE4CB6">
        <w:rPr>
          <w:rFonts w:cs="Times New Roman"/>
          <w:color w:val="000000"/>
          <w:szCs w:val="24"/>
          <w:shd w:val="clear" w:color="auto" w:fill="FCFCFC"/>
        </w:rPr>
        <w:t>.</w:t>
      </w:r>
      <w:r w:rsidRPr="009475CC">
        <w:rPr>
          <w:rFonts w:cs="Times New Roman"/>
          <w:color w:val="000000"/>
          <w:szCs w:val="24"/>
          <w:shd w:val="clear" w:color="auto" w:fill="FCFCFC"/>
        </w:rPr>
        <w:t xml:space="preserve"> </w:t>
      </w:r>
    </w:p>
    <w:p w14:paraId="1544B2E7" w14:textId="77777777" w:rsidR="00C56EA9" w:rsidRPr="009475CC" w:rsidRDefault="00C56EA9" w:rsidP="00C56EA9">
      <w:pPr>
        <w:jc w:val="both"/>
        <w:rPr>
          <w:rFonts w:cs="Times New Roman"/>
          <w:b/>
          <w:color w:val="FF0000"/>
          <w:szCs w:val="24"/>
          <w:lang w:val="sq-AL"/>
        </w:rPr>
      </w:pPr>
      <w:r w:rsidRPr="009475CC">
        <w:rPr>
          <w:rFonts w:cs="Times New Roman"/>
          <w:noProof/>
          <w:szCs w:val="24"/>
          <w:lang w:val="en-US"/>
        </w:rPr>
        <w:drawing>
          <wp:inline distT="0" distB="0" distL="0" distR="0" wp14:anchorId="3C62F298" wp14:editId="004AFB06">
            <wp:extent cx="5562600" cy="2063750"/>
            <wp:effectExtent l="0" t="0" r="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900F1B" w14:textId="0E34FEF0" w:rsidR="00C56EA9" w:rsidRDefault="00C56EA9" w:rsidP="00C56EA9">
      <w:pPr>
        <w:jc w:val="both"/>
        <w:rPr>
          <w:rFonts w:cs="Times New Roman"/>
          <w:i/>
          <w:szCs w:val="24"/>
          <w:lang w:val="sq-AL"/>
        </w:rPr>
      </w:pPr>
      <w:r w:rsidRPr="009475CC">
        <w:rPr>
          <w:rFonts w:cs="Times New Roman"/>
          <w:b/>
          <w:bCs/>
          <w:i/>
          <w:szCs w:val="24"/>
          <w:lang w:val="sq-AL"/>
        </w:rPr>
        <w:t xml:space="preserve">Figura nr. 1 </w:t>
      </w:r>
      <w:r w:rsidRPr="009475CC">
        <w:rPr>
          <w:rFonts w:cs="Times New Roman"/>
          <w:i/>
          <w:szCs w:val="24"/>
          <w:lang w:val="sq-AL"/>
        </w:rPr>
        <w:t>Kalibrimet e relizuara gjat</w:t>
      </w:r>
      <w:r w:rsidR="003B40AA">
        <w:rPr>
          <w:rFonts w:cs="Times New Roman"/>
          <w:i/>
          <w:szCs w:val="24"/>
          <w:lang w:val="sq-AL"/>
        </w:rPr>
        <w:t>ë</w:t>
      </w:r>
      <w:r w:rsidRPr="009475CC">
        <w:rPr>
          <w:rFonts w:cs="Times New Roman"/>
          <w:i/>
          <w:szCs w:val="24"/>
          <w:lang w:val="sq-AL"/>
        </w:rPr>
        <w:t xml:space="preserve"> periudhës 2017-2021.</w:t>
      </w:r>
    </w:p>
    <w:p w14:paraId="2224EB32" w14:textId="77777777" w:rsidR="00EE4CB6" w:rsidRPr="009475CC" w:rsidRDefault="00EE4CB6" w:rsidP="00C56EA9">
      <w:pPr>
        <w:jc w:val="both"/>
        <w:rPr>
          <w:rFonts w:cs="Times New Roman"/>
          <w:i/>
          <w:szCs w:val="24"/>
          <w:lang w:val="sq-AL"/>
        </w:rPr>
      </w:pPr>
    </w:p>
    <w:p w14:paraId="662C496B" w14:textId="77777777" w:rsidR="00C56EA9" w:rsidRPr="009475CC" w:rsidRDefault="00C56EA9" w:rsidP="00C56EA9">
      <w:pPr>
        <w:jc w:val="both"/>
        <w:rPr>
          <w:rFonts w:cs="Times New Roman"/>
          <w:szCs w:val="24"/>
          <w:lang w:val="sq-AL"/>
        </w:rPr>
      </w:pPr>
      <w:r w:rsidRPr="009475CC">
        <w:rPr>
          <w:rFonts w:cs="Times New Roman"/>
          <w:noProof/>
          <w:szCs w:val="24"/>
          <w:lang w:val="en-US"/>
        </w:rPr>
        <w:drawing>
          <wp:inline distT="0" distB="0" distL="0" distR="0" wp14:anchorId="43AE223A" wp14:editId="5F241BAA">
            <wp:extent cx="5496560" cy="2692400"/>
            <wp:effectExtent l="0" t="0" r="889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0971E6" w14:textId="1E2BD66C" w:rsidR="00C56EA9" w:rsidRPr="009475CC" w:rsidRDefault="00C56EA9" w:rsidP="00C56EA9">
      <w:pPr>
        <w:jc w:val="both"/>
        <w:rPr>
          <w:rFonts w:cs="Times New Roman"/>
          <w:i/>
          <w:szCs w:val="24"/>
          <w:lang w:val="sq-AL"/>
        </w:rPr>
      </w:pPr>
      <w:r w:rsidRPr="009475CC">
        <w:rPr>
          <w:rFonts w:cs="Times New Roman"/>
          <w:b/>
          <w:bCs/>
          <w:i/>
          <w:szCs w:val="24"/>
          <w:lang w:val="sq-AL"/>
        </w:rPr>
        <w:t>Figure nr. 2</w:t>
      </w:r>
      <w:r w:rsidRPr="009475CC">
        <w:rPr>
          <w:rFonts w:cs="Times New Roman"/>
          <w:i/>
          <w:szCs w:val="24"/>
          <w:lang w:val="sq-AL"/>
        </w:rPr>
        <w:t xml:space="preserve"> Instrumente mat</w:t>
      </w:r>
      <w:r w:rsidR="003B40AA">
        <w:rPr>
          <w:rFonts w:cs="Times New Roman"/>
          <w:i/>
          <w:szCs w:val="24"/>
          <w:lang w:val="sq-AL"/>
        </w:rPr>
        <w:t>ë</w:t>
      </w:r>
      <w:r w:rsidRPr="009475CC">
        <w:rPr>
          <w:rFonts w:cs="Times New Roman"/>
          <w:i/>
          <w:szCs w:val="24"/>
          <w:lang w:val="sq-AL"/>
        </w:rPr>
        <w:t>se t</w:t>
      </w:r>
      <w:r w:rsidR="003B40AA">
        <w:rPr>
          <w:rFonts w:cs="Times New Roman"/>
          <w:i/>
          <w:szCs w:val="24"/>
          <w:lang w:val="sq-AL"/>
        </w:rPr>
        <w:t>ë</w:t>
      </w:r>
      <w:r w:rsidRPr="009475CC">
        <w:rPr>
          <w:rFonts w:cs="Times New Roman"/>
          <w:i/>
          <w:szCs w:val="24"/>
          <w:lang w:val="sq-AL"/>
        </w:rPr>
        <w:t xml:space="preserve"> verifikuara gja</w:t>
      </w:r>
      <w:r w:rsidR="003B40AA">
        <w:rPr>
          <w:rFonts w:cs="Times New Roman"/>
          <w:i/>
          <w:szCs w:val="24"/>
          <w:lang w:val="sq-AL"/>
        </w:rPr>
        <w:t>të</w:t>
      </w:r>
      <w:r w:rsidRPr="009475CC">
        <w:rPr>
          <w:rFonts w:cs="Times New Roman"/>
          <w:i/>
          <w:szCs w:val="24"/>
          <w:lang w:val="sq-AL"/>
        </w:rPr>
        <w:t xml:space="preserve"> periudh</w:t>
      </w:r>
      <w:r w:rsidR="003B40AA">
        <w:rPr>
          <w:rFonts w:cs="Times New Roman"/>
          <w:i/>
          <w:szCs w:val="24"/>
          <w:lang w:val="sq-AL"/>
        </w:rPr>
        <w:t>ë</w:t>
      </w:r>
      <w:r w:rsidRPr="009475CC">
        <w:rPr>
          <w:rFonts w:cs="Times New Roman"/>
          <w:i/>
          <w:szCs w:val="24"/>
          <w:lang w:val="sq-AL"/>
        </w:rPr>
        <w:t>s 2018-2021</w:t>
      </w:r>
      <w:r w:rsidR="003B40AA">
        <w:rPr>
          <w:rFonts w:cs="Times New Roman"/>
          <w:i/>
          <w:szCs w:val="24"/>
          <w:lang w:val="sq-AL"/>
        </w:rPr>
        <w:t>.</w:t>
      </w:r>
    </w:p>
    <w:p w14:paraId="7EFA99E6" w14:textId="79E82641" w:rsidR="00C56EA9" w:rsidRPr="009475CC" w:rsidRDefault="00C56EA9" w:rsidP="0082407B">
      <w:pPr>
        <w:jc w:val="both"/>
        <w:rPr>
          <w:rFonts w:cs="Times New Roman"/>
          <w:szCs w:val="24"/>
          <w:lang w:val="sq-AL"/>
        </w:rPr>
      </w:pPr>
      <w:r w:rsidRPr="009475CC">
        <w:rPr>
          <w:rFonts w:cs="Times New Roman"/>
          <w:szCs w:val="24"/>
          <w:lang w:val="sq-AL"/>
        </w:rPr>
        <w:t>Për të përmbushur të gjitha detyrimet, sfidat afatshkurtër n</w:t>
      </w:r>
      <w:r w:rsidR="003B40AA">
        <w:rPr>
          <w:rFonts w:cs="Times New Roman"/>
          <w:szCs w:val="24"/>
          <w:lang w:val="sq-AL"/>
        </w:rPr>
        <w:t>ë</w:t>
      </w:r>
      <w:r w:rsidRPr="009475CC">
        <w:rPr>
          <w:rFonts w:cs="Times New Roman"/>
          <w:szCs w:val="24"/>
          <w:lang w:val="sq-AL"/>
        </w:rPr>
        <w:t xml:space="preserve"> fush</w:t>
      </w:r>
      <w:r w:rsidR="003B40AA">
        <w:rPr>
          <w:rFonts w:cs="Times New Roman"/>
          <w:szCs w:val="24"/>
          <w:lang w:val="sq-AL"/>
        </w:rPr>
        <w:t>ë</w:t>
      </w:r>
      <w:r w:rsidRPr="009475CC">
        <w:rPr>
          <w:rFonts w:cs="Times New Roman"/>
          <w:szCs w:val="24"/>
          <w:lang w:val="sq-AL"/>
        </w:rPr>
        <w:t>n e  Metrologjisë janë:</w:t>
      </w:r>
    </w:p>
    <w:p w14:paraId="6EEF0DBB" w14:textId="1F95DC8A" w:rsidR="00C56EA9" w:rsidRPr="009475CC" w:rsidRDefault="00C56EA9" w:rsidP="0082407B">
      <w:pPr>
        <w:jc w:val="both"/>
        <w:rPr>
          <w:rStyle w:val="Hyperlink"/>
          <w:rFonts w:cs="Times New Roman"/>
          <w:color w:val="auto"/>
          <w:szCs w:val="24"/>
          <w:u w:val="none"/>
          <w:lang w:val="nb-NO"/>
        </w:rPr>
      </w:pPr>
      <w:r w:rsidRPr="009475CC">
        <w:rPr>
          <w:rFonts w:cs="Times New Roman"/>
          <w:szCs w:val="24"/>
          <w:lang w:val="sq-AL"/>
        </w:rPr>
        <w:t xml:space="preserve">1. </w:t>
      </w:r>
      <w:r w:rsidRPr="009475CC">
        <w:rPr>
          <w:rStyle w:val="Hyperlink"/>
          <w:rFonts w:cs="Times New Roman"/>
          <w:color w:val="auto"/>
          <w:szCs w:val="24"/>
          <w:u w:val="none"/>
          <w:lang w:val="nb-NO"/>
        </w:rPr>
        <w:t>Ruajtja dhe zhvillimi i infrastrukturës bazë metrologjike në zonat prioritare për ekonominë dhe inovacionin në industri për të ruajtur aftësinë për të siguruar gjurmueshmërinë metrologjike të matjeve, i cili do konsistoj</w:t>
      </w:r>
      <w:r w:rsidR="003B40AA">
        <w:rPr>
          <w:rStyle w:val="Hyperlink"/>
          <w:rFonts w:cs="Times New Roman"/>
          <w:color w:val="auto"/>
          <w:szCs w:val="24"/>
          <w:u w:val="none"/>
          <w:lang w:val="nb-NO"/>
        </w:rPr>
        <w:t>ë</w:t>
      </w:r>
      <w:r w:rsidRPr="009475CC">
        <w:rPr>
          <w:rStyle w:val="Hyperlink"/>
          <w:rFonts w:cs="Times New Roman"/>
          <w:color w:val="auto"/>
          <w:szCs w:val="24"/>
          <w:u w:val="none"/>
          <w:lang w:val="nb-NO"/>
        </w:rPr>
        <w:t xml:space="preserve"> n</w:t>
      </w:r>
      <w:r w:rsidR="003B40AA">
        <w:rPr>
          <w:rStyle w:val="Hyperlink"/>
          <w:rFonts w:cs="Times New Roman"/>
          <w:color w:val="auto"/>
          <w:szCs w:val="24"/>
          <w:u w:val="none"/>
          <w:lang w:val="nb-NO"/>
        </w:rPr>
        <w:t>ë</w:t>
      </w:r>
      <w:r w:rsidRPr="009475CC">
        <w:rPr>
          <w:rStyle w:val="Hyperlink"/>
          <w:rFonts w:cs="Times New Roman"/>
          <w:color w:val="auto"/>
          <w:szCs w:val="24"/>
          <w:u w:val="none"/>
          <w:lang w:val="nb-NO"/>
        </w:rPr>
        <w:t xml:space="preserve"> hartimin e nj</w:t>
      </w:r>
      <w:r w:rsidR="003B40AA">
        <w:rPr>
          <w:rStyle w:val="Hyperlink"/>
          <w:rFonts w:cs="Times New Roman"/>
          <w:color w:val="auto"/>
          <w:szCs w:val="24"/>
          <w:u w:val="none"/>
          <w:lang w:val="nb-NO"/>
        </w:rPr>
        <w:t>ë</w:t>
      </w:r>
      <w:r w:rsidRPr="009475CC">
        <w:rPr>
          <w:rStyle w:val="Hyperlink"/>
          <w:rFonts w:cs="Times New Roman"/>
          <w:color w:val="auto"/>
          <w:szCs w:val="24"/>
          <w:u w:val="none"/>
          <w:lang w:val="nb-NO"/>
        </w:rPr>
        <w:t xml:space="preserve"> </w:t>
      </w:r>
      <w:r w:rsidRPr="009475CC">
        <w:rPr>
          <w:rFonts w:cs="Times New Roman"/>
          <w:szCs w:val="24"/>
          <w:shd w:val="clear" w:color="auto" w:fill="FFFFFF"/>
        </w:rPr>
        <w:t>plani zhvillimi nga ministria p</w:t>
      </w:r>
      <w:r w:rsidR="003B40AA">
        <w:rPr>
          <w:rFonts w:cs="Times New Roman"/>
          <w:szCs w:val="24"/>
          <w:shd w:val="clear" w:color="auto" w:fill="FFFFFF"/>
        </w:rPr>
        <w:t>ë</w:t>
      </w:r>
      <w:r w:rsidRPr="009475CC">
        <w:rPr>
          <w:rFonts w:cs="Times New Roman"/>
          <w:szCs w:val="24"/>
          <w:shd w:val="clear" w:color="auto" w:fill="FFFFFF"/>
        </w:rPr>
        <w:t>rgjegj</w:t>
      </w:r>
      <w:r w:rsidR="003B40AA">
        <w:rPr>
          <w:rFonts w:cs="Times New Roman"/>
          <w:szCs w:val="24"/>
          <w:shd w:val="clear" w:color="auto" w:fill="FFFFFF"/>
        </w:rPr>
        <w:t>ë</w:t>
      </w:r>
      <w:r w:rsidRPr="009475CC">
        <w:rPr>
          <w:rFonts w:cs="Times New Roman"/>
          <w:szCs w:val="24"/>
          <w:shd w:val="clear" w:color="auto" w:fill="FFFFFF"/>
        </w:rPr>
        <w:t xml:space="preserve">se, ku </w:t>
      </w:r>
      <w:r w:rsidRPr="009475CC">
        <w:rPr>
          <w:rFonts w:cs="Times New Roman"/>
          <w:szCs w:val="24"/>
          <w:shd w:val="clear" w:color="auto" w:fill="FFFFFF"/>
        </w:rPr>
        <w:lastRenderedPageBreak/>
        <w:t>do t</w:t>
      </w:r>
      <w:r w:rsidR="003B40AA">
        <w:rPr>
          <w:rFonts w:cs="Times New Roman"/>
          <w:szCs w:val="24"/>
          <w:shd w:val="clear" w:color="auto" w:fill="FFFFFF"/>
        </w:rPr>
        <w:t>ë</w:t>
      </w:r>
      <w:r w:rsidRPr="009475CC">
        <w:rPr>
          <w:rFonts w:cs="Times New Roman"/>
          <w:szCs w:val="24"/>
          <w:shd w:val="clear" w:color="auto" w:fill="FFFFFF"/>
        </w:rPr>
        <w:t xml:space="preserve"> p</w:t>
      </w:r>
      <w:r w:rsidR="003B40AA">
        <w:rPr>
          <w:rFonts w:cs="Times New Roman"/>
          <w:szCs w:val="24"/>
          <w:shd w:val="clear" w:color="auto" w:fill="FFFFFF"/>
        </w:rPr>
        <w:t>ë</w:t>
      </w:r>
      <w:r w:rsidRPr="009475CC">
        <w:rPr>
          <w:rFonts w:cs="Times New Roman"/>
          <w:szCs w:val="24"/>
          <w:shd w:val="clear" w:color="auto" w:fill="FFFFFF"/>
        </w:rPr>
        <w:t>rcaktohen fushat/</w:t>
      </w:r>
      <w:r w:rsidR="003B40AA">
        <w:rPr>
          <w:rFonts w:cs="Times New Roman"/>
          <w:szCs w:val="24"/>
          <w:shd w:val="clear" w:color="auto" w:fill="FFFFFF"/>
        </w:rPr>
        <w:t xml:space="preserve"> </w:t>
      </w:r>
      <w:r w:rsidRPr="009475CC">
        <w:rPr>
          <w:rFonts w:cs="Times New Roman"/>
          <w:szCs w:val="24"/>
          <w:shd w:val="clear" w:color="auto" w:fill="FFFFFF"/>
        </w:rPr>
        <w:t>n</w:t>
      </w:r>
      <w:r w:rsidR="003B40AA">
        <w:rPr>
          <w:rFonts w:cs="Times New Roman"/>
          <w:szCs w:val="24"/>
          <w:shd w:val="clear" w:color="auto" w:fill="FFFFFF"/>
        </w:rPr>
        <w:t>ë</w:t>
      </w:r>
      <w:r w:rsidRPr="009475CC">
        <w:rPr>
          <w:rFonts w:cs="Times New Roman"/>
          <w:szCs w:val="24"/>
          <w:shd w:val="clear" w:color="auto" w:fill="FFFFFF"/>
        </w:rPr>
        <w:t>nfushat t</w:t>
      </w:r>
      <w:r w:rsidR="003B40AA">
        <w:rPr>
          <w:rFonts w:cs="Times New Roman"/>
          <w:szCs w:val="24"/>
          <w:shd w:val="clear" w:color="auto" w:fill="FFFFFF"/>
        </w:rPr>
        <w:t>ë</w:t>
      </w:r>
      <w:r w:rsidRPr="009475CC">
        <w:rPr>
          <w:rFonts w:cs="Times New Roman"/>
          <w:szCs w:val="24"/>
          <w:shd w:val="clear" w:color="auto" w:fill="FFFFFF"/>
        </w:rPr>
        <w:t xml:space="preserve"> cilave do t</w:t>
      </w:r>
      <w:r w:rsidR="003B40AA">
        <w:rPr>
          <w:rFonts w:cs="Times New Roman"/>
          <w:szCs w:val="24"/>
          <w:shd w:val="clear" w:color="auto" w:fill="FFFFFF"/>
        </w:rPr>
        <w:t>’</w:t>
      </w:r>
      <w:r w:rsidRPr="009475CC">
        <w:rPr>
          <w:rFonts w:cs="Times New Roman"/>
          <w:szCs w:val="24"/>
          <w:shd w:val="clear" w:color="auto" w:fill="FFFFFF"/>
        </w:rPr>
        <w:t>u jepet prioritet zhvillimi, n</w:t>
      </w:r>
      <w:r w:rsidR="003B40AA">
        <w:rPr>
          <w:rFonts w:cs="Times New Roman"/>
          <w:szCs w:val="24"/>
          <w:shd w:val="clear" w:color="auto" w:fill="FFFFFF"/>
        </w:rPr>
        <w:t>ë</w:t>
      </w:r>
      <w:r w:rsidRPr="009475CC">
        <w:rPr>
          <w:rFonts w:cs="Times New Roman"/>
          <w:szCs w:val="24"/>
          <w:shd w:val="clear" w:color="auto" w:fill="FFFFFF"/>
        </w:rPr>
        <w:t xml:space="preserve"> p</w:t>
      </w:r>
      <w:r w:rsidR="003B40AA">
        <w:rPr>
          <w:rFonts w:cs="Times New Roman"/>
          <w:szCs w:val="24"/>
          <w:shd w:val="clear" w:color="auto" w:fill="FFFFFF"/>
        </w:rPr>
        <w:t>ë</w:t>
      </w:r>
      <w:r w:rsidRPr="009475CC">
        <w:rPr>
          <w:rFonts w:cs="Times New Roman"/>
          <w:szCs w:val="24"/>
          <w:shd w:val="clear" w:color="auto" w:fill="FFFFFF"/>
        </w:rPr>
        <w:t>rputhje me k</w:t>
      </w:r>
      <w:r w:rsidR="003B40AA">
        <w:rPr>
          <w:rFonts w:cs="Times New Roman"/>
          <w:szCs w:val="24"/>
          <w:shd w:val="clear" w:color="auto" w:fill="FFFFFF"/>
        </w:rPr>
        <w:t>ë</w:t>
      </w:r>
      <w:r w:rsidRPr="009475CC">
        <w:rPr>
          <w:rFonts w:cs="Times New Roman"/>
          <w:szCs w:val="24"/>
          <w:shd w:val="clear" w:color="auto" w:fill="FFFFFF"/>
        </w:rPr>
        <w:t>rkesat e standardeve nd</w:t>
      </w:r>
      <w:r w:rsidR="003B40AA">
        <w:rPr>
          <w:rFonts w:cs="Times New Roman"/>
          <w:szCs w:val="24"/>
          <w:shd w:val="clear" w:color="auto" w:fill="FFFFFF"/>
        </w:rPr>
        <w:t>ë</w:t>
      </w:r>
      <w:r w:rsidRPr="009475CC">
        <w:rPr>
          <w:rFonts w:cs="Times New Roman"/>
          <w:szCs w:val="24"/>
          <w:shd w:val="clear" w:color="auto" w:fill="FFFFFF"/>
        </w:rPr>
        <w:t>rkombetare q</w:t>
      </w:r>
      <w:r w:rsidR="003B40AA">
        <w:rPr>
          <w:rFonts w:cs="Times New Roman"/>
          <w:szCs w:val="24"/>
          <w:shd w:val="clear" w:color="auto" w:fill="FFFFFF"/>
        </w:rPr>
        <w:t>ë</w:t>
      </w:r>
      <w:r w:rsidRPr="009475CC">
        <w:rPr>
          <w:rFonts w:cs="Times New Roman"/>
          <w:szCs w:val="24"/>
          <w:shd w:val="clear" w:color="auto" w:fill="FFFFFF"/>
        </w:rPr>
        <w:t xml:space="preserve"> aplikohen. </w:t>
      </w:r>
    </w:p>
    <w:p w14:paraId="63EE9E77" w14:textId="77777777" w:rsidR="00C56EA9" w:rsidRPr="009475CC" w:rsidRDefault="00C56EA9" w:rsidP="0082407B">
      <w:pPr>
        <w:jc w:val="both"/>
        <w:rPr>
          <w:rFonts w:cs="Times New Roman"/>
          <w:szCs w:val="24"/>
          <w:lang w:val="fr-FR"/>
        </w:rPr>
      </w:pPr>
      <w:r w:rsidRPr="009475CC">
        <w:rPr>
          <w:rFonts w:cs="Times New Roman"/>
          <w:szCs w:val="24"/>
          <w:lang w:val="fr-FR"/>
        </w:rPr>
        <w:t>2. Harmonizimi i bazës ligjore me Acquis Communataire (Përqasja e re dhe globale).</w:t>
      </w:r>
    </w:p>
    <w:p w14:paraId="0998FDE6" w14:textId="59D16358" w:rsidR="00C56EA9" w:rsidRPr="009475CC" w:rsidRDefault="00C56EA9" w:rsidP="0082407B">
      <w:pPr>
        <w:jc w:val="both"/>
        <w:rPr>
          <w:rFonts w:cs="Times New Roman"/>
          <w:szCs w:val="24"/>
          <w:lang w:val="sq-AL"/>
        </w:rPr>
      </w:pPr>
      <w:r w:rsidRPr="009475CC">
        <w:rPr>
          <w:rFonts w:cs="Times New Roman"/>
          <w:szCs w:val="24"/>
          <w:lang w:val="sq-AL"/>
        </w:rPr>
        <w:t>N</w:t>
      </w:r>
      <w:r w:rsidR="003B40AA">
        <w:rPr>
          <w:rFonts w:cs="Times New Roman"/>
          <w:szCs w:val="24"/>
          <w:lang w:val="sq-AL"/>
        </w:rPr>
        <w:t>ë</w:t>
      </w:r>
      <w:r w:rsidRPr="009475CC">
        <w:rPr>
          <w:rFonts w:cs="Times New Roman"/>
          <w:szCs w:val="24"/>
          <w:lang w:val="sq-AL"/>
        </w:rPr>
        <w:t xml:space="preserve"> nivel afatgjatë sfida kryesore konsist</w:t>
      </w:r>
      <w:r w:rsidR="003B40AA">
        <w:rPr>
          <w:rFonts w:cs="Times New Roman"/>
          <w:szCs w:val="24"/>
          <w:lang w:val="sq-AL"/>
        </w:rPr>
        <w:t>o</w:t>
      </w:r>
      <w:r w:rsidRPr="009475CC">
        <w:rPr>
          <w:rFonts w:cs="Times New Roman"/>
          <w:szCs w:val="24"/>
          <w:lang w:val="sq-AL"/>
        </w:rPr>
        <w:t>n n</w:t>
      </w:r>
      <w:r w:rsidR="003B40AA">
        <w:rPr>
          <w:rFonts w:cs="Times New Roman"/>
          <w:szCs w:val="24"/>
          <w:lang w:val="sq-AL"/>
        </w:rPr>
        <w:t>ë</w:t>
      </w:r>
      <w:r w:rsidRPr="009475CC">
        <w:rPr>
          <w:rFonts w:cs="Times New Roman"/>
          <w:szCs w:val="24"/>
          <w:lang w:val="sq-AL"/>
        </w:rPr>
        <w:t>:</w:t>
      </w:r>
    </w:p>
    <w:p w14:paraId="1FA027B8" w14:textId="511B80E4" w:rsidR="003B40AA" w:rsidRPr="00050D9D" w:rsidRDefault="00C56EA9" w:rsidP="00050D9D">
      <w:pPr>
        <w:jc w:val="both"/>
        <w:rPr>
          <w:rFonts w:cs="Times New Roman"/>
          <w:szCs w:val="24"/>
          <w:lang w:val="nb-NO"/>
        </w:rPr>
      </w:pPr>
      <w:r w:rsidRPr="009475CC">
        <w:rPr>
          <w:rStyle w:val="Hyperlink"/>
          <w:rFonts w:cs="Times New Roman"/>
          <w:color w:val="auto"/>
          <w:szCs w:val="24"/>
          <w:u w:val="none"/>
          <w:lang w:val="nb-NO"/>
        </w:rPr>
        <w:t>Anëtarësimi me të drejta të plota t</w:t>
      </w:r>
      <w:r w:rsidR="003B40AA">
        <w:rPr>
          <w:rStyle w:val="Hyperlink"/>
          <w:rFonts w:cs="Times New Roman"/>
          <w:color w:val="auto"/>
          <w:szCs w:val="24"/>
          <w:u w:val="none"/>
          <w:lang w:val="nb-NO"/>
        </w:rPr>
        <w:t>ë</w:t>
      </w:r>
      <w:r w:rsidRPr="009475CC">
        <w:rPr>
          <w:rStyle w:val="Hyperlink"/>
          <w:rFonts w:cs="Times New Roman"/>
          <w:color w:val="auto"/>
          <w:szCs w:val="24"/>
          <w:u w:val="none"/>
          <w:lang w:val="nb-NO"/>
        </w:rPr>
        <w:t xml:space="preserve"> Republikës së Shqipërisë në Konventën e Metrit si dhe plotësimi i kërkësave të Marrëveshjes së Njohjes Reciproke (CIPM MRA) për të garantuar gjurmueshmërinë dhe njohjen zyrtare të matjeve të proceseve të prodhimit në nivelin më të lartë të cilësisë si mjet mekanizëm  për të hequr barrierat teknike në tregti për prodhuesit dhe eksportuesit vendas.</w:t>
      </w:r>
    </w:p>
    <w:p w14:paraId="5938E34D" w14:textId="5E34416F" w:rsidR="003B40AA" w:rsidRDefault="00977F53" w:rsidP="00623352">
      <w:pPr>
        <w:pStyle w:val="Heading3"/>
      </w:pPr>
      <w:bookmarkStart w:id="37" w:name="_Toc130994977"/>
      <w:bookmarkStart w:id="38" w:name="_Toc132277326"/>
      <w:r w:rsidRPr="00706A2E">
        <w:t>M</w:t>
      </w:r>
      <w:r w:rsidR="003C33BF" w:rsidRPr="00706A2E">
        <w:t>b</w:t>
      </w:r>
      <w:r w:rsidRPr="00706A2E">
        <w:t>ik</w:t>
      </w:r>
      <w:r w:rsidR="003C33BF" w:rsidRPr="00706A2E">
        <w:t>ë</w:t>
      </w:r>
      <w:r w:rsidRPr="00706A2E">
        <w:t>qyrj</w:t>
      </w:r>
      <w:r w:rsidR="003B40AA" w:rsidRPr="00706A2E">
        <w:t>a</w:t>
      </w:r>
      <w:r w:rsidRPr="00706A2E">
        <w:t xml:space="preserve"> </w:t>
      </w:r>
      <w:r w:rsidR="003B40AA" w:rsidRPr="00706A2E">
        <w:t xml:space="preserve">e </w:t>
      </w:r>
      <w:r w:rsidRPr="00706A2E">
        <w:t>tregu</w:t>
      </w:r>
      <w:r w:rsidR="003B40AA" w:rsidRPr="00706A2E">
        <w:t>t</w:t>
      </w:r>
      <w:bookmarkEnd w:id="37"/>
      <w:bookmarkEnd w:id="38"/>
    </w:p>
    <w:p w14:paraId="60E93B47" w14:textId="16ED979B" w:rsidR="008D79F2" w:rsidRPr="00EE4CB6" w:rsidRDefault="008D79F2" w:rsidP="00623352">
      <w:pPr>
        <w:pStyle w:val="Heading5"/>
      </w:pPr>
      <w:bookmarkStart w:id="39" w:name="_Toc132277327"/>
      <w:r w:rsidRPr="00EE4CB6">
        <w:t>A</w:t>
      </w:r>
      <w:r w:rsidR="00603DA7" w:rsidRPr="00EE4CB6">
        <w:t>utoriteti Komb</w:t>
      </w:r>
      <w:r w:rsidR="00750C08" w:rsidRPr="00EE4CB6">
        <w:t>ë</w:t>
      </w:r>
      <w:r w:rsidR="00603DA7" w:rsidRPr="00EE4CB6">
        <w:t>tar i Ushqimit</w:t>
      </w:r>
      <w:bookmarkEnd w:id="39"/>
    </w:p>
    <w:p w14:paraId="6346807B" w14:textId="00CBCADC" w:rsidR="00934CE8" w:rsidRPr="009475CC" w:rsidRDefault="00934CE8" w:rsidP="00050D9D">
      <w:pPr>
        <w:jc w:val="both"/>
        <w:rPr>
          <w:rFonts w:cs="Times New Roman"/>
          <w:szCs w:val="24"/>
          <w:lang w:val="sq-AL"/>
        </w:rPr>
      </w:pPr>
      <w:r w:rsidRPr="009475CC">
        <w:rPr>
          <w:rFonts w:cs="Times New Roman"/>
          <w:szCs w:val="24"/>
          <w:lang w:val="sq-AL"/>
        </w:rPr>
        <w:t>Autoriteti Kombëtar i Ushqimit (AKU) është institucioni përgjegjës për kontrollin dhe zbatimin e kërkesave të legjislacionit mbi sigurinë ushqimore dhe mbrojtjen e konsumatorit në të gjitha fazat e zinxhirit ushqimor, prodhimit, importimit trajtimit, përpunimit, magazinimit dhe tregtimit t</w:t>
      </w:r>
      <w:r w:rsidR="00706A2E">
        <w:rPr>
          <w:rFonts w:cs="Times New Roman"/>
          <w:szCs w:val="24"/>
          <w:lang w:val="sq-AL"/>
        </w:rPr>
        <w:t>ë</w:t>
      </w:r>
      <w:r w:rsidRPr="009475CC">
        <w:rPr>
          <w:rFonts w:cs="Times New Roman"/>
          <w:szCs w:val="24"/>
          <w:lang w:val="sq-AL"/>
        </w:rPr>
        <w:t xml:space="preserve"> produkteve ushqimore. AKU përbëhet nga  Selia Qendrore dhe 12 DRAKU, pjesë administrative e DRAKU janë edhe 13 </w:t>
      </w:r>
      <w:bookmarkStart w:id="40" w:name="_Hlk121687902"/>
      <w:r w:rsidRPr="009475CC">
        <w:rPr>
          <w:rFonts w:cs="Times New Roman"/>
          <w:szCs w:val="24"/>
          <w:lang w:val="sq-AL"/>
        </w:rPr>
        <w:t>Pikat e Inspektimit Kufitar</w:t>
      </w:r>
      <w:bookmarkEnd w:id="40"/>
      <w:r w:rsidRPr="009475CC">
        <w:rPr>
          <w:rFonts w:cs="Times New Roman"/>
          <w:szCs w:val="24"/>
          <w:lang w:val="sq-AL"/>
        </w:rPr>
        <w:t>, të cilat janë përgjegjëse për kontrollin e importit të produkteve me origjinë shtazore dhe jo shtazore</w:t>
      </w:r>
      <w:r w:rsidR="00706A2E">
        <w:rPr>
          <w:rFonts w:cs="Times New Roman"/>
          <w:szCs w:val="24"/>
          <w:lang w:val="sq-AL"/>
        </w:rPr>
        <w:t xml:space="preserve">. </w:t>
      </w:r>
      <w:r w:rsidRPr="009475CC">
        <w:rPr>
          <w:rFonts w:cs="Times New Roman"/>
          <w:szCs w:val="24"/>
          <w:lang w:val="sq-AL"/>
        </w:rPr>
        <w:t>AKU menaxhon 7 laboratorë rajonalë, të cilët kryejnë aktivitet gjithëvjetor n</w:t>
      </w:r>
      <w:r w:rsidR="00706A2E">
        <w:rPr>
          <w:rFonts w:cs="Times New Roman"/>
          <w:szCs w:val="24"/>
          <w:lang w:val="sq-AL"/>
        </w:rPr>
        <w:t>ë</w:t>
      </w:r>
      <w:r w:rsidRPr="009475CC">
        <w:rPr>
          <w:rFonts w:cs="Times New Roman"/>
          <w:szCs w:val="24"/>
          <w:lang w:val="sq-AL"/>
        </w:rPr>
        <w:t xml:space="preserve"> analizimin e produkteve ushqimore. </w:t>
      </w:r>
    </w:p>
    <w:p w14:paraId="22BBE79F" w14:textId="25320109" w:rsidR="00934CE8" w:rsidRPr="009475CC" w:rsidRDefault="00934CE8" w:rsidP="00050D9D">
      <w:pPr>
        <w:jc w:val="both"/>
        <w:rPr>
          <w:rFonts w:cs="Times New Roman"/>
          <w:szCs w:val="24"/>
          <w:lang w:val="sq-AL"/>
        </w:rPr>
      </w:pPr>
      <w:r w:rsidRPr="009475CC">
        <w:rPr>
          <w:rFonts w:cs="Times New Roman"/>
          <w:szCs w:val="24"/>
          <w:lang w:val="sq-AL"/>
        </w:rPr>
        <w:t xml:space="preserve">Për të garantuar mbrojtjen e shëndetit të konsumatorëve duhet siguruar funksionimi efektiv i çdo hallke të zinxhirit ushqimor. Ky princip është i vlefshëm, pavarësisht nga fakti nëse ushqimet prodhohen në Shqipëri apo importohen nga vende të tjera. </w:t>
      </w:r>
    </w:p>
    <w:p w14:paraId="1DB1868C" w14:textId="0A5E8912" w:rsidR="00934CE8" w:rsidRPr="009475CC" w:rsidRDefault="00934CE8" w:rsidP="00050D9D">
      <w:pPr>
        <w:jc w:val="both"/>
        <w:rPr>
          <w:rFonts w:cs="Times New Roman"/>
          <w:szCs w:val="24"/>
          <w:lang w:val="sq-AL"/>
        </w:rPr>
      </w:pPr>
      <w:r w:rsidRPr="009475CC">
        <w:rPr>
          <w:rFonts w:cs="Times New Roman"/>
          <w:szCs w:val="24"/>
          <w:lang w:val="sq-AL"/>
        </w:rPr>
        <w:t>Një politikë efikase e sigurisë ushqimore duhet të njohë natyrën komplekse të prodhimit të këtyre ushqimeve, si dhe vlerësimin e monitorimit të r</w:t>
      </w:r>
      <w:r w:rsidR="00706A2E">
        <w:rPr>
          <w:rFonts w:cs="Times New Roman"/>
          <w:szCs w:val="24"/>
          <w:lang w:val="sq-AL"/>
        </w:rPr>
        <w:t>r</w:t>
      </w:r>
      <w:r w:rsidRPr="009475CC">
        <w:rPr>
          <w:rFonts w:cs="Times New Roman"/>
          <w:szCs w:val="24"/>
          <w:lang w:val="sq-AL"/>
        </w:rPr>
        <w:t>isqeve mbi shëndetin e njerëzve.</w:t>
      </w:r>
    </w:p>
    <w:p w14:paraId="713E571F" w14:textId="6AF3D701" w:rsidR="00934CE8" w:rsidRPr="009475CC" w:rsidRDefault="00934CE8" w:rsidP="00050D9D">
      <w:pPr>
        <w:jc w:val="both"/>
        <w:rPr>
          <w:rFonts w:cs="Times New Roman"/>
          <w:szCs w:val="24"/>
          <w:lang w:val="sq-AL"/>
        </w:rPr>
      </w:pPr>
      <w:r w:rsidRPr="009475CC">
        <w:rPr>
          <w:rFonts w:cs="Times New Roman"/>
          <w:szCs w:val="24"/>
          <w:lang w:val="sq-AL"/>
        </w:rPr>
        <w:t xml:space="preserve">Drejtoria e Përgjithshme e AKU-së kryen gjenerimin e certifikatave të </w:t>
      </w:r>
      <w:r w:rsidR="00706A2E">
        <w:rPr>
          <w:rFonts w:cs="Times New Roman"/>
          <w:szCs w:val="24"/>
          <w:lang w:val="sq-AL"/>
        </w:rPr>
        <w:t>e</w:t>
      </w:r>
      <w:r w:rsidRPr="009475CC">
        <w:rPr>
          <w:rFonts w:cs="Times New Roman"/>
          <w:szCs w:val="24"/>
          <w:lang w:val="sq-AL"/>
        </w:rPr>
        <w:t xml:space="preserve">ksportit për produktet me origjinë shtazore (produktet e peshkut, produkteve të peshkimit, </w:t>
      </w:r>
      <w:r w:rsidRPr="00706A2E">
        <w:rPr>
          <w:rFonts w:cs="Times New Roman"/>
          <w:szCs w:val="24"/>
          <w:lang w:val="sq-AL"/>
        </w:rPr>
        <w:t xml:space="preserve">si dhe vezë të klasit “B”).  Eksportet  e  kryera  drejt  vendeve  të  BE-së  realizohen nëpërmjet  </w:t>
      </w:r>
      <w:bookmarkStart w:id="41" w:name="_Hlk121687942"/>
      <w:r w:rsidRPr="00706A2E">
        <w:rPr>
          <w:rFonts w:cs="Times New Roman"/>
          <w:szCs w:val="24"/>
          <w:lang w:val="sq-AL"/>
        </w:rPr>
        <w:t xml:space="preserve">sistemit  TRACES  </w:t>
      </w:r>
      <w:bookmarkEnd w:id="41"/>
      <w:r w:rsidRPr="00706A2E">
        <w:rPr>
          <w:rFonts w:cs="Times New Roman"/>
          <w:szCs w:val="24"/>
          <w:lang w:val="sq-AL"/>
        </w:rPr>
        <w:t>ku Shqipëria është pjesë e këtij sistemi dhe e përdor me sukses atë, në të gjitha hallkat e përfshira. Ky sistem jo vetëm lehtëson gjurmueshmërinë e produkteve të cilat shkojnë drejt BE-së, por në të njëjtën kohë ka rritur besueshmërinë e produkteve shqiptare dhe ka  përmirësuar</w:t>
      </w:r>
      <w:r w:rsidRPr="009475CC">
        <w:rPr>
          <w:rFonts w:cs="Times New Roman"/>
          <w:szCs w:val="24"/>
          <w:lang w:val="sq-AL"/>
        </w:rPr>
        <w:t xml:space="preserve"> ndjeshëm funksionimin e zinxhirit të kontrollit. Gjë që e tregon edhe rritja e eksporteve shqiptare gjatë vitit 2021 krahasuar me vitin paraardhës dhe konkretisht: 2549 eksporte në vitin 2021  kundrejt 2066 eksporte në vitin 2020. AKU ka ndërmarre  nisma e plane konkrete veprimi të miratuara e monitoruara nga MBZHR, të cilat çuan në konsolidimin e AKU</w:t>
      </w:r>
      <w:r w:rsidR="00706A2E">
        <w:rPr>
          <w:rFonts w:cs="Times New Roman"/>
          <w:szCs w:val="24"/>
          <w:lang w:val="sq-AL"/>
        </w:rPr>
        <w:t>-së</w:t>
      </w:r>
      <w:r w:rsidRPr="009475CC">
        <w:rPr>
          <w:rFonts w:cs="Times New Roman"/>
          <w:szCs w:val="24"/>
          <w:lang w:val="sq-AL"/>
        </w:rPr>
        <w:t xml:space="preserve"> dhe forcimin e pozitës së saj si aktor kyç në luftën për garantimin e </w:t>
      </w:r>
      <w:r w:rsidR="00706A2E">
        <w:rPr>
          <w:rFonts w:cs="Times New Roman"/>
          <w:szCs w:val="24"/>
          <w:lang w:val="sq-AL"/>
        </w:rPr>
        <w:t>s</w:t>
      </w:r>
      <w:r w:rsidRPr="009475CC">
        <w:rPr>
          <w:rFonts w:cs="Times New Roman"/>
          <w:szCs w:val="24"/>
          <w:lang w:val="sq-AL"/>
        </w:rPr>
        <w:t>igurisë, në rastet kur gjatë kontrolleve janë konstatuar shkelje</w:t>
      </w:r>
      <w:r w:rsidR="00706A2E">
        <w:rPr>
          <w:rFonts w:cs="Times New Roman"/>
          <w:szCs w:val="24"/>
          <w:lang w:val="sq-AL"/>
        </w:rPr>
        <w:t xml:space="preserve"> </w:t>
      </w:r>
      <w:r w:rsidRPr="009475CC">
        <w:rPr>
          <w:rFonts w:cs="Times New Roman"/>
          <w:szCs w:val="24"/>
          <w:lang w:val="sq-AL"/>
        </w:rPr>
        <w:t>t</w:t>
      </w:r>
      <w:r w:rsidR="00706A2E">
        <w:rPr>
          <w:rFonts w:cs="Times New Roman"/>
          <w:szCs w:val="24"/>
          <w:lang w:val="sq-AL"/>
        </w:rPr>
        <w:t>ë</w:t>
      </w:r>
      <w:r w:rsidRPr="009475CC">
        <w:rPr>
          <w:rFonts w:cs="Times New Roman"/>
          <w:szCs w:val="24"/>
          <w:lang w:val="sq-AL"/>
        </w:rPr>
        <w:t xml:space="preserve"> cilat i kane tejkaluar masat administrative që parashikohen n</w:t>
      </w:r>
      <w:r w:rsidR="00706A2E">
        <w:rPr>
          <w:rFonts w:cs="Times New Roman"/>
          <w:szCs w:val="24"/>
          <w:lang w:val="sq-AL"/>
        </w:rPr>
        <w:t>ë</w:t>
      </w:r>
      <w:r w:rsidRPr="009475CC">
        <w:rPr>
          <w:rFonts w:cs="Times New Roman"/>
          <w:szCs w:val="24"/>
          <w:lang w:val="sq-AL"/>
        </w:rPr>
        <w:t xml:space="preserve"> legjislacionin me te cilin operon, AKU ju është drejtuar institucioneve  t</w:t>
      </w:r>
      <w:r w:rsidR="00706A2E">
        <w:rPr>
          <w:rFonts w:cs="Times New Roman"/>
          <w:szCs w:val="24"/>
          <w:lang w:val="sq-AL"/>
        </w:rPr>
        <w:t>ë</w:t>
      </w:r>
      <w:r w:rsidRPr="009475CC">
        <w:rPr>
          <w:rFonts w:cs="Times New Roman"/>
          <w:szCs w:val="24"/>
          <w:lang w:val="sq-AL"/>
        </w:rPr>
        <w:t xml:space="preserve"> tjera ligj zbatuese si: hetimi tatimor, hetimi doganor, krimi ekonomik, policia e shtetit etj.   Për garantimin e sigurisë ushqimore n</w:t>
      </w:r>
      <w:r w:rsidR="00706A2E">
        <w:rPr>
          <w:rFonts w:cs="Times New Roman"/>
          <w:szCs w:val="24"/>
          <w:lang w:val="sq-AL"/>
        </w:rPr>
        <w:t>ë</w:t>
      </w:r>
      <w:r w:rsidRPr="009475CC">
        <w:rPr>
          <w:rFonts w:cs="Times New Roman"/>
          <w:szCs w:val="24"/>
          <w:lang w:val="sq-AL"/>
        </w:rPr>
        <w:t xml:space="preserve"> vend dhe mbrojtjen e konsumatorit AKU ka detyrime specifike për kontrolle/inspektime ndaj subjekteve që operojnë në fushën e ushqimit, kryerjen e vlerësimit të riskut në fushën e sigurisë ushqimore, menaxhimit dhe komunikimit të tij. Deri në fillim të vitit 2017 funksionoi sistemi  aku.net si një platformë ku administroheshin të dhënat e </w:t>
      </w:r>
      <w:r w:rsidRPr="009475CC">
        <w:rPr>
          <w:rFonts w:cs="Times New Roman"/>
          <w:szCs w:val="24"/>
          <w:lang w:val="sq-AL"/>
        </w:rPr>
        <w:lastRenderedPageBreak/>
        <w:t xml:space="preserve">inspektimeve, notifikimi i etiketave, statusi aktual </w:t>
      </w:r>
      <w:r w:rsidR="00706A2E">
        <w:rPr>
          <w:rFonts w:cs="Times New Roman"/>
          <w:szCs w:val="24"/>
          <w:lang w:val="sq-AL"/>
        </w:rPr>
        <w:t>i</w:t>
      </w:r>
      <w:r w:rsidRPr="009475CC">
        <w:rPr>
          <w:rFonts w:cs="Times New Roman"/>
          <w:szCs w:val="24"/>
          <w:lang w:val="sq-AL"/>
        </w:rPr>
        <w:t xml:space="preserve"> çdo gjobe t</w:t>
      </w:r>
      <w:r w:rsidR="00706A2E">
        <w:rPr>
          <w:rFonts w:cs="Times New Roman"/>
          <w:szCs w:val="24"/>
          <w:lang w:val="sq-AL"/>
        </w:rPr>
        <w:t>ë</w:t>
      </w:r>
      <w:r w:rsidRPr="009475CC">
        <w:rPr>
          <w:rFonts w:cs="Times New Roman"/>
          <w:szCs w:val="24"/>
          <w:lang w:val="sq-AL"/>
        </w:rPr>
        <w:t xml:space="preserve"> vendosur</w:t>
      </w:r>
      <w:r w:rsidR="00706A2E">
        <w:rPr>
          <w:rFonts w:cs="Times New Roman"/>
          <w:szCs w:val="24"/>
          <w:lang w:val="sq-AL"/>
        </w:rPr>
        <w:t>,</w:t>
      </w:r>
      <w:r w:rsidRPr="009475CC">
        <w:rPr>
          <w:rFonts w:cs="Times New Roman"/>
          <w:szCs w:val="24"/>
          <w:lang w:val="sq-AL"/>
        </w:rPr>
        <w:t xml:space="preserve"> numri</w:t>
      </w:r>
      <w:r w:rsidR="00706A2E">
        <w:rPr>
          <w:rFonts w:cs="Times New Roman"/>
          <w:szCs w:val="24"/>
          <w:lang w:val="sq-AL"/>
        </w:rPr>
        <w:t xml:space="preserve"> i</w:t>
      </w:r>
      <w:r w:rsidRPr="009475CC">
        <w:rPr>
          <w:rFonts w:cs="Times New Roman"/>
          <w:szCs w:val="24"/>
          <w:lang w:val="sq-AL"/>
        </w:rPr>
        <w:t xml:space="preserve"> certifikatave veterinare t</w:t>
      </w:r>
      <w:r w:rsidR="00706A2E">
        <w:rPr>
          <w:rFonts w:cs="Times New Roman"/>
          <w:szCs w:val="24"/>
          <w:lang w:val="sq-AL"/>
        </w:rPr>
        <w:t>ë</w:t>
      </w:r>
      <w:r w:rsidRPr="009475CC">
        <w:rPr>
          <w:rFonts w:cs="Times New Roman"/>
          <w:szCs w:val="24"/>
          <w:lang w:val="sq-AL"/>
        </w:rPr>
        <w:t xml:space="preserve"> gjeneruara nga ky sistem etj. Në vitin 2017 nga Inspektorati Qendror u krijua dhe u vendos në funksion platforma e-inspektimi, platformë e cila me q</w:t>
      </w:r>
      <w:r w:rsidR="00706A2E">
        <w:rPr>
          <w:rFonts w:cs="Times New Roman"/>
          <w:szCs w:val="24"/>
          <w:lang w:val="sq-AL"/>
        </w:rPr>
        <w:t>ë</w:t>
      </w:r>
      <w:r w:rsidRPr="009475CC">
        <w:rPr>
          <w:rFonts w:cs="Times New Roman"/>
          <w:szCs w:val="24"/>
          <w:lang w:val="sq-AL"/>
        </w:rPr>
        <w:t>llim rritjen e transparencës rregullon procedurën online të inspektimeve, por nëpërmjet këtij sistemi  nuk gjenerohen  të dhëna statistikore të kategorive të inspektimeve, rezultateve të inspektimeve, përgjigjeve te  analizave laboratorike</w:t>
      </w:r>
      <w:r w:rsidR="00706A2E">
        <w:rPr>
          <w:rFonts w:cs="Times New Roman"/>
          <w:szCs w:val="24"/>
          <w:lang w:val="sq-AL"/>
        </w:rPr>
        <w:t>,</w:t>
      </w:r>
      <w:r w:rsidRPr="009475CC">
        <w:rPr>
          <w:rFonts w:cs="Times New Roman"/>
          <w:szCs w:val="24"/>
          <w:lang w:val="sq-AL"/>
        </w:rPr>
        <w:t xml:space="preserve"> etiketimit t</w:t>
      </w:r>
      <w:r w:rsidR="00706A2E">
        <w:rPr>
          <w:rFonts w:cs="Times New Roman"/>
          <w:szCs w:val="24"/>
          <w:lang w:val="sq-AL"/>
        </w:rPr>
        <w:t>ë</w:t>
      </w:r>
      <w:r w:rsidRPr="009475CC">
        <w:rPr>
          <w:rFonts w:cs="Times New Roman"/>
          <w:szCs w:val="24"/>
          <w:lang w:val="sq-AL"/>
        </w:rPr>
        <w:t xml:space="preserve"> produkteve ushqimore etj. të dhëna që do shërbenin për një analizë e vlerësim t</w:t>
      </w:r>
      <w:r w:rsidR="00706A2E">
        <w:rPr>
          <w:rFonts w:cs="Times New Roman"/>
          <w:szCs w:val="24"/>
          <w:lang w:val="sq-AL"/>
        </w:rPr>
        <w:t>ë</w:t>
      </w:r>
      <w:r w:rsidRPr="009475CC">
        <w:rPr>
          <w:rFonts w:cs="Times New Roman"/>
          <w:szCs w:val="24"/>
          <w:lang w:val="sq-AL"/>
        </w:rPr>
        <w:t xml:space="preserve"> mirëfilltë t</w:t>
      </w:r>
      <w:r w:rsidR="00706A2E">
        <w:rPr>
          <w:rFonts w:cs="Times New Roman"/>
          <w:szCs w:val="24"/>
          <w:lang w:val="sq-AL"/>
        </w:rPr>
        <w:t>ë</w:t>
      </w:r>
      <w:r w:rsidRPr="009475CC">
        <w:rPr>
          <w:rFonts w:cs="Times New Roman"/>
          <w:szCs w:val="24"/>
          <w:lang w:val="sq-AL"/>
        </w:rPr>
        <w:t xml:space="preserve"> riskut</w:t>
      </w:r>
      <w:r w:rsidR="00706A2E">
        <w:rPr>
          <w:rFonts w:cs="Times New Roman"/>
          <w:szCs w:val="24"/>
          <w:lang w:val="sq-AL"/>
        </w:rPr>
        <w:t>.</w:t>
      </w:r>
      <w:r w:rsidRPr="009475CC">
        <w:rPr>
          <w:rFonts w:cs="Times New Roman"/>
          <w:szCs w:val="24"/>
          <w:lang w:val="sq-AL"/>
        </w:rPr>
        <w:t xml:space="preserve"> Për më tepër, rekordet historike të inspektimeve të AKU të ruajtura në bazën e të dhënave të IQ nuk janë të disponushme për stafin e AKU për të bërë analiza të ndryshme statistikore të domosdoshme për vlerësimin e riskut apo vlerësimin e performancës së inspektorëve të vet. Rivitalizimi i sistemit AKU</w:t>
      </w:r>
      <w:r w:rsidR="00706A2E">
        <w:rPr>
          <w:rFonts w:cs="Times New Roman"/>
          <w:szCs w:val="24"/>
          <w:lang w:val="sq-AL"/>
        </w:rPr>
        <w:t>.</w:t>
      </w:r>
      <w:r w:rsidRPr="009475CC">
        <w:rPr>
          <w:rFonts w:cs="Times New Roman"/>
          <w:szCs w:val="24"/>
          <w:lang w:val="sq-AL"/>
        </w:rPr>
        <w:t>net  do t</w:t>
      </w:r>
      <w:r w:rsidR="00056658">
        <w:rPr>
          <w:rFonts w:cs="Times New Roman"/>
          <w:szCs w:val="24"/>
          <w:lang w:val="sq-AL"/>
        </w:rPr>
        <w:t>ë</w:t>
      </w:r>
      <w:r w:rsidRPr="009475CC">
        <w:rPr>
          <w:rFonts w:cs="Times New Roman"/>
          <w:szCs w:val="24"/>
          <w:lang w:val="sq-AL"/>
        </w:rPr>
        <w:t xml:space="preserve"> mundësonte edhe kryerjen e inspektimeve on-line nga inspektor</w:t>
      </w:r>
      <w:r w:rsidR="00056658">
        <w:rPr>
          <w:rFonts w:cs="Times New Roman"/>
          <w:szCs w:val="24"/>
          <w:lang w:val="sq-AL"/>
        </w:rPr>
        <w:t>ë</w:t>
      </w:r>
      <w:r w:rsidRPr="009475CC">
        <w:rPr>
          <w:rFonts w:cs="Times New Roman"/>
          <w:szCs w:val="24"/>
          <w:lang w:val="sq-AL"/>
        </w:rPr>
        <w:t>t e Pikave t</w:t>
      </w:r>
      <w:r w:rsidR="00056658">
        <w:rPr>
          <w:rFonts w:cs="Times New Roman"/>
          <w:szCs w:val="24"/>
          <w:lang w:val="sq-AL"/>
        </w:rPr>
        <w:t>ë</w:t>
      </w:r>
      <w:r w:rsidRPr="009475CC">
        <w:rPr>
          <w:rFonts w:cs="Times New Roman"/>
          <w:szCs w:val="24"/>
          <w:lang w:val="sq-AL"/>
        </w:rPr>
        <w:t xml:space="preserve"> Inspektimit Kufitar.</w:t>
      </w:r>
      <w:r w:rsidR="00056658">
        <w:rPr>
          <w:rFonts w:cs="Times New Roman"/>
          <w:szCs w:val="24"/>
          <w:lang w:val="sq-AL"/>
        </w:rPr>
        <w:t xml:space="preserve"> </w:t>
      </w:r>
      <w:r w:rsidRPr="009475CC">
        <w:rPr>
          <w:rFonts w:cs="Times New Roman"/>
          <w:szCs w:val="24"/>
          <w:lang w:val="sq-AL"/>
        </w:rPr>
        <w:t>Me q</w:t>
      </w:r>
      <w:r w:rsidR="00056658">
        <w:rPr>
          <w:rFonts w:cs="Times New Roman"/>
          <w:szCs w:val="24"/>
          <w:lang w:val="sq-AL"/>
        </w:rPr>
        <w:t>ë</w:t>
      </w:r>
      <w:r w:rsidRPr="009475CC">
        <w:rPr>
          <w:rFonts w:cs="Times New Roman"/>
          <w:szCs w:val="24"/>
          <w:lang w:val="sq-AL"/>
        </w:rPr>
        <w:t>llim mbikëqyrjen e tregut për garantimin e sigurisë ushqimore n</w:t>
      </w:r>
      <w:r w:rsidR="00706A2E">
        <w:rPr>
          <w:rFonts w:cs="Times New Roman"/>
          <w:szCs w:val="24"/>
          <w:lang w:val="sq-AL"/>
        </w:rPr>
        <w:t>ë</w:t>
      </w:r>
      <w:r w:rsidRPr="009475CC">
        <w:rPr>
          <w:rFonts w:cs="Times New Roman"/>
          <w:szCs w:val="24"/>
          <w:lang w:val="sq-AL"/>
        </w:rPr>
        <w:t xml:space="preserve"> vend gjat</w:t>
      </w:r>
      <w:r w:rsidR="00706A2E">
        <w:rPr>
          <w:rFonts w:cs="Times New Roman"/>
          <w:szCs w:val="24"/>
          <w:lang w:val="sq-AL"/>
        </w:rPr>
        <w:t>ë</w:t>
      </w:r>
      <w:r w:rsidRPr="009475CC">
        <w:rPr>
          <w:rFonts w:cs="Times New Roman"/>
          <w:szCs w:val="24"/>
          <w:lang w:val="sq-AL"/>
        </w:rPr>
        <w:t xml:space="preserve"> periudhës raportuese AKU ka kryer një numër t</w:t>
      </w:r>
      <w:r w:rsidR="00056658">
        <w:rPr>
          <w:rFonts w:cs="Times New Roman"/>
          <w:szCs w:val="24"/>
          <w:lang w:val="sq-AL"/>
        </w:rPr>
        <w:t>ë</w:t>
      </w:r>
      <w:r w:rsidRPr="009475CC">
        <w:rPr>
          <w:rFonts w:cs="Times New Roman"/>
          <w:szCs w:val="24"/>
          <w:lang w:val="sq-AL"/>
        </w:rPr>
        <w:t xml:space="preserve"> konsiderueshëm inspektimesh vit pas viti. Për Operator</w:t>
      </w:r>
      <w:r w:rsidR="00056658">
        <w:rPr>
          <w:rFonts w:cs="Times New Roman"/>
          <w:szCs w:val="24"/>
          <w:lang w:val="sq-AL"/>
        </w:rPr>
        <w:t>ë</w:t>
      </w:r>
      <w:r w:rsidRPr="009475CC">
        <w:rPr>
          <w:rFonts w:cs="Times New Roman"/>
          <w:szCs w:val="24"/>
          <w:lang w:val="sq-AL"/>
        </w:rPr>
        <w:t xml:space="preserve">t e Biznesit </w:t>
      </w:r>
      <w:r w:rsidR="00056658">
        <w:rPr>
          <w:rFonts w:cs="Times New Roman"/>
          <w:szCs w:val="24"/>
          <w:lang w:val="sq-AL"/>
        </w:rPr>
        <w:t>U</w:t>
      </w:r>
      <w:r w:rsidRPr="009475CC">
        <w:rPr>
          <w:rFonts w:cs="Times New Roman"/>
          <w:szCs w:val="24"/>
          <w:lang w:val="sq-AL"/>
        </w:rPr>
        <w:t>shqimor q</w:t>
      </w:r>
      <w:r w:rsidR="00056658">
        <w:rPr>
          <w:rFonts w:cs="Times New Roman"/>
          <w:szCs w:val="24"/>
          <w:lang w:val="sq-AL"/>
        </w:rPr>
        <w:t>ë</w:t>
      </w:r>
      <w:r w:rsidRPr="009475CC">
        <w:rPr>
          <w:rFonts w:cs="Times New Roman"/>
          <w:szCs w:val="24"/>
          <w:lang w:val="sq-AL"/>
        </w:rPr>
        <w:t xml:space="preserve"> gjat</w:t>
      </w:r>
      <w:r w:rsidR="00056658">
        <w:rPr>
          <w:rFonts w:cs="Times New Roman"/>
          <w:szCs w:val="24"/>
          <w:lang w:val="sq-AL"/>
        </w:rPr>
        <w:t>ë</w:t>
      </w:r>
      <w:r w:rsidRPr="009475CC">
        <w:rPr>
          <w:rFonts w:cs="Times New Roman"/>
          <w:szCs w:val="24"/>
          <w:lang w:val="sq-AL"/>
        </w:rPr>
        <w:t xml:space="preserve"> kontrolleve zyrtare u konstatuan shkelje t</w:t>
      </w:r>
      <w:r w:rsidR="00706A2E">
        <w:rPr>
          <w:rFonts w:cs="Times New Roman"/>
          <w:szCs w:val="24"/>
          <w:lang w:val="sq-AL"/>
        </w:rPr>
        <w:t>ë</w:t>
      </w:r>
      <w:r w:rsidRPr="009475CC">
        <w:rPr>
          <w:rFonts w:cs="Times New Roman"/>
          <w:szCs w:val="24"/>
          <w:lang w:val="sq-AL"/>
        </w:rPr>
        <w:t xml:space="preserve"> kërkesave ligjore u morën masat administrative përkatëse. T</w:t>
      </w:r>
      <w:r w:rsidR="00056658">
        <w:rPr>
          <w:rFonts w:cs="Times New Roman"/>
          <w:szCs w:val="24"/>
          <w:lang w:val="sq-AL"/>
        </w:rPr>
        <w:t>ë</w:t>
      </w:r>
      <w:r w:rsidRPr="009475CC">
        <w:rPr>
          <w:rFonts w:cs="Times New Roman"/>
          <w:szCs w:val="24"/>
          <w:lang w:val="sq-AL"/>
        </w:rPr>
        <w:t xml:space="preserve"> dhëna t</w:t>
      </w:r>
      <w:r w:rsidR="00056658">
        <w:rPr>
          <w:rFonts w:cs="Times New Roman"/>
          <w:szCs w:val="24"/>
          <w:lang w:val="sq-AL"/>
        </w:rPr>
        <w:t>ë</w:t>
      </w:r>
      <w:r w:rsidRPr="009475CC">
        <w:rPr>
          <w:rFonts w:cs="Times New Roman"/>
          <w:szCs w:val="24"/>
          <w:lang w:val="sq-AL"/>
        </w:rPr>
        <w:t xml:space="preserve"> detajuara mbi numrin e inspektimeve dhe masat administrative jepen n</w:t>
      </w:r>
      <w:r w:rsidR="00056658">
        <w:rPr>
          <w:rFonts w:cs="Times New Roman"/>
          <w:szCs w:val="24"/>
          <w:lang w:val="sq-AL"/>
        </w:rPr>
        <w:t>ë</w:t>
      </w:r>
      <w:r w:rsidRPr="009475CC">
        <w:rPr>
          <w:rFonts w:cs="Times New Roman"/>
          <w:szCs w:val="24"/>
          <w:lang w:val="sq-AL"/>
        </w:rPr>
        <w:t xml:space="preserve"> tabelën e mëposhtme.</w:t>
      </w:r>
    </w:p>
    <w:p w14:paraId="3FAED32C" w14:textId="5D1DCD06" w:rsidR="00934CE8" w:rsidRDefault="00934CE8" w:rsidP="00050D9D">
      <w:pPr>
        <w:ind w:left="360"/>
        <w:jc w:val="both"/>
        <w:rPr>
          <w:rFonts w:cs="Times New Roman"/>
          <w:szCs w:val="24"/>
          <w:lang w:val="sq-AL"/>
        </w:rPr>
      </w:pPr>
      <w:r w:rsidRPr="00FB36DA">
        <w:rPr>
          <w:rFonts w:cs="Times New Roman"/>
          <w:noProof/>
          <w:szCs w:val="24"/>
          <w:lang w:val="en-US"/>
        </w:rPr>
        <w:drawing>
          <wp:inline distT="0" distB="0" distL="0" distR="0" wp14:anchorId="04191D9B" wp14:editId="68F7FEAB">
            <wp:extent cx="5731510" cy="2071110"/>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071110"/>
                    </a:xfrm>
                    <a:prstGeom prst="rect">
                      <a:avLst/>
                    </a:prstGeom>
                    <a:noFill/>
                    <a:ln>
                      <a:noFill/>
                    </a:ln>
                  </pic:spPr>
                </pic:pic>
              </a:graphicData>
            </a:graphic>
          </wp:inline>
        </w:drawing>
      </w:r>
    </w:p>
    <w:p w14:paraId="09B2C1D6" w14:textId="695A63C3" w:rsidR="00056658" w:rsidRPr="00F32E3B" w:rsidRDefault="00056658" w:rsidP="00050D9D">
      <w:pPr>
        <w:ind w:left="360"/>
        <w:jc w:val="center"/>
        <w:rPr>
          <w:rFonts w:cs="Times New Roman"/>
          <w:szCs w:val="24"/>
          <w:lang w:val="sq-AL"/>
        </w:rPr>
      </w:pPr>
      <w:r w:rsidRPr="009475CC">
        <w:rPr>
          <w:rFonts w:cs="Times New Roman"/>
          <w:lang w:val="sq-AL"/>
        </w:rPr>
        <w:t xml:space="preserve">Tabela: </w:t>
      </w:r>
      <w:r w:rsidR="00EE4CB6">
        <w:rPr>
          <w:rFonts w:cs="Times New Roman"/>
          <w:lang w:val="sq-AL"/>
        </w:rPr>
        <w:t>N</w:t>
      </w:r>
      <w:r w:rsidRPr="009475CC">
        <w:rPr>
          <w:rFonts w:cs="Times New Roman"/>
          <w:lang w:val="sq-AL"/>
        </w:rPr>
        <w:t>umri</w:t>
      </w:r>
      <w:r w:rsidR="00EE4CB6">
        <w:rPr>
          <w:rFonts w:cs="Times New Roman"/>
          <w:lang w:val="sq-AL"/>
        </w:rPr>
        <w:t xml:space="preserve"> i</w:t>
      </w:r>
      <w:r w:rsidRPr="009475CC">
        <w:rPr>
          <w:rFonts w:cs="Times New Roman"/>
          <w:lang w:val="sq-AL"/>
        </w:rPr>
        <w:t xml:space="preserve"> inspektimeve t</w:t>
      </w:r>
      <w:r>
        <w:rPr>
          <w:rFonts w:cs="Times New Roman"/>
          <w:lang w:val="sq-AL"/>
        </w:rPr>
        <w:t>ë</w:t>
      </w:r>
      <w:r w:rsidRPr="009475CC">
        <w:rPr>
          <w:rFonts w:cs="Times New Roman"/>
          <w:lang w:val="sq-AL"/>
        </w:rPr>
        <w:t xml:space="preserve"> kryera si dhe masat administrative t</w:t>
      </w:r>
      <w:r>
        <w:rPr>
          <w:rFonts w:cs="Times New Roman"/>
          <w:lang w:val="sq-AL"/>
        </w:rPr>
        <w:t>ë</w:t>
      </w:r>
      <w:r w:rsidRPr="009475CC">
        <w:rPr>
          <w:rFonts w:cs="Times New Roman"/>
          <w:lang w:val="sq-AL"/>
        </w:rPr>
        <w:t xml:space="preserve"> marra për periudhën 2017-2021</w:t>
      </w:r>
      <w:r w:rsidRPr="00F32E3B">
        <w:rPr>
          <w:rFonts w:cs="Times New Roman"/>
          <w:szCs w:val="24"/>
          <w:lang w:val="sq-AL"/>
        </w:rPr>
        <w:t>.</w:t>
      </w:r>
    </w:p>
    <w:p w14:paraId="37935813" w14:textId="278C313C" w:rsidR="00934CE8" w:rsidRPr="009475CC" w:rsidRDefault="00934CE8" w:rsidP="00050D9D">
      <w:pPr>
        <w:jc w:val="both"/>
        <w:rPr>
          <w:rFonts w:cs="Times New Roman"/>
          <w:szCs w:val="24"/>
          <w:lang w:val="sq-AL"/>
        </w:rPr>
      </w:pPr>
      <w:r w:rsidRPr="009475CC">
        <w:rPr>
          <w:rFonts w:cs="Times New Roman"/>
          <w:szCs w:val="24"/>
          <w:lang w:val="sq-AL"/>
        </w:rPr>
        <w:t>Pjes</w:t>
      </w:r>
      <w:r w:rsidR="00056658">
        <w:rPr>
          <w:rFonts w:cs="Times New Roman"/>
          <w:szCs w:val="24"/>
          <w:lang w:val="sq-AL"/>
        </w:rPr>
        <w:t>ë</w:t>
      </w:r>
      <w:r w:rsidRPr="009475CC">
        <w:rPr>
          <w:rFonts w:cs="Times New Roman"/>
          <w:szCs w:val="24"/>
          <w:lang w:val="sq-AL"/>
        </w:rPr>
        <w:t xml:space="preserve"> shum</w:t>
      </w:r>
      <w:r w:rsidR="00056658">
        <w:rPr>
          <w:rFonts w:cs="Times New Roman"/>
          <w:szCs w:val="24"/>
          <w:lang w:val="sq-AL"/>
        </w:rPr>
        <w:t>ë</w:t>
      </w:r>
      <w:r w:rsidRPr="009475CC">
        <w:rPr>
          <w:rFonts w:cs="Times New Roman"/>
          <w:szCs w:val="24"/>
          <w:lang w:val="sq-AL"/>
        </w:rPr>
        <w:t xml:space="preserve"> e rëndësishme e procesit t</w:t>
      </w:r>
      <w:r w:rsidR="00056658">
        <w:rPr>
          <w:rFonts w:cs="Times New Roman"/>
          <w:szCs w:val="24"/>
          <w:lang w:val="sq-AL"/>
        </w:rPr>
        <w:t>ë</w:t>
      </w:r>
      <w:r w:rsidRPr="009475CC">
        <w:rPr>
          <w:rFonts w:cs="Times New Roman"/>
          <w:szCs w:val="24"/>
          <w:lang w:val="sq-AL"/>
        </w:rPr>
        <w:t xml:space="preserve"> kontrollit </w:t>
      </w:r>
      <w:r w:rsidR="00056658">
        <w:rPr>
          <w:rFonts w:cs="Times New Roman"/>
          <w:szCs w:val="24"/>
          <w:lang w:val="sq-AL"/>
        </w:rPr>
        <w:t>O</w:t>
      </w:r>
      <w:r w:rsidRPr="009475CC">
        <w:rPr>
          <w:rFonts w:cs="Times New Roman"/>
          <w:szCs w:val="24"/>
          <w:lang w:val="sq-AL"/>
        </w:rPr>
        <w:t>perator</w:t>
      </w:r>
      <w:r w:rsidR="00056658">
        <w:rPr>
          <w:rFonts w:cs="Times New Roman"/>
          <w:szCs w:val="24"/>
          <w:lang w:val="sq-AL"/>
        </w:rPr>
        <w:t>ë</w:t>
      </w:r>
      <w:r w:rsidRPr="009475CC">
        <w:rPr>
          <w:rFonts w:cs="Times New Roman"/>
          <w:szCs w:val="24"/>
          <w:lang w:val="sq-AL"/>
        </w:rPr>
        <w:t>ve t</w:t>
      </w:r>
      <w:r w:rsidR="00056658">
        <w:rPr>
          <w:rFonts w:cs="Times New Roman"/>
          <w:szCs w:val="24"/>
          <w:lang w:val="sq-AL"/>
        </w:rPr>
        <w:t>ë</w:t>
      </w:r>
      <w:r w:rsidRPr="009475CC">
        <w:rPr>
          <w:rFonts w:cs="Times New Roman"/>
          <w:szCs w:val="24"/>
          <w:lang w:val="sq-AL"/>
        </w:rPr>
        <w:t xml:space="preserve"> </w:t>
      </w:r>
      <w:r w:rsidR="00056658">
        <w:rPr>
          <w:rFonts w:cs="Times New Roman"/>
          <w:szCs w:val="24"/>
          <w:lang w:val="sq-AL"/>
        </w:rPr>
        <w:t>B</w:t>
      </w:r>
      <w:r w:rsidRPr="009475CC">
        <w:rPr>
          <w:rFonts w:cs="Times New Roman"/>
          <w:szCs w:val="24"/>
          <w:lang w:val="sq-AL"/>
        </w:rPr>
        <w:t xml:space="preserve">iznesit </w:t>
      </w:r>
      <w:r w:rsidR="00056658">
        <w:rPr>
          <w:rFonts w:cs="Times New Roman"/>
          <w:szCs w:val="24"/>
          <w:lang w:val="sq-AL"/>
        </w:rPr>
        <w:t>U</w:t>
      </w:r>
      <w:r w:rsidRPr="009475CC">
        <w:rPr>
          <w:rFonts w:cs="Times New Roman"/>
          <w:szCs w:val="24"/>
          <w:lang w:val="sq-AL"/>
        </w:rPr>
        <w:t>shqimor</w:t>
      </w:r>
      <w:r w:rsidR="00056658">
        <w:rPr>
          <w:rFonts w:cs="Times New Roman"/>
          <w:szCs w:val="24"/>
          <w:lang w:val="sq-AL"/>
        </w:rPr>
        <w:t xml:space="preserve"> </w:t>
      </w:r>
      <w:r w:rsidRPr="009475CC">
        <w:rPr>
          <w:rFonts w:cs="Times New Roman"/>
          <w:szCs w:val="24"/>
          <w:lang w:val="sq-AL"/>
        </w:rPr>
        <w:t>(OBU) është edhe procesi i  analizimit të produkteve ushqimore i cili realizohet n</w:t>
      </w:r>
      <w:r w:rsidR="00056658">
        <w:rPr>
          <w:rFonts w:cs="Times New Roman"/>
          <w:szCs w:val="24"/>
          <w:lang w:val="sq-AL"/>
        </w:rPr>
        <w:t>ë</w:t>
      </w:r>
      <w:r w:rsidRPr="009475CC">
        <w:rPr>
          <w:rFonts w:cs="Times New Roman"/>
          <w:szCs w:val="24"/>
          <w:lang w:val="sq-AL"/>
        </w:rPr>
        <w:t xml:space="preserve"> zbatim t</w:t>
      </w:r>
      <w:r w:rsidR="00056658">
        <w:rPr>
          <w:rFonts w:cs="Times New Roman"/>
          <w:szCs w:val="24"/>
          <w:lang w:val="sq-AL"/>
        </w:rPr>
        <w:t>ë</w:t>
      </w:r>
      <w:r w:rsidRPr="009475CC">
        <w:rPr>
          <w:rFonts w:cs="Times New Roman"/>
          <w:szCs w:val="24"/>
          <w:lang w:val="sq-AL"/>
        </w:rPr>
        <w:t xml:space="preserve"> planit vjetor t</w:t>
      </w:r>
      <w:r w:rsidR="00056658">
        <w:rPr>
          <w:rFonts w:cs="Times New Roman"/>
          <w:szCs w:val="24"/>
          <w:lang w:val="sq-AL"/>
        </w:rPr>
        <w:t>ë</w:t>
      </w:r>
      <w:r w:rsidRPr="009475CC">
        <w:rPr>
          <w:rFonts w:cs="Times New Roman"/>
          <w:szCs w:val="24"/>
          <w:lang w:val="sq-AL"/>
        </w:rPr>
        <w:t xml:space="preserve"> marrjes s</w:t>
      </w:r>
      <w:r w:rsidR="00056658">
        <w:rPr>
          <w:rFonts w:cs="Times New Roman"/>
          <w:szCs w:val="24"/>
          <w:lang w:val="sq-AL"/>
        </w:rPr>
        <w:t>ë</w:t>
      </w:r>
      <w:r w:rsidRPr="009475CC">
        <w:rPr>
          <w:rFonts w:cs="Times New Roman"/>
          <w:szCs w:val="24"/>
          <w:lang w:val="sq-AL"/>
        </w:rPr>
        <w:t xml:space="preserve"> mostrave apo n</w:t>
      </w:r>
      <w:r w:rsidR="00056658">
        <w:rPr>
          <w:rFonts w:cs="Times New Roman"/>
          <w:szCs w:val="24"/>
          <w:lang w:val="sq-AL"/>
        </w:rPr>
        <w:t>ë</w:t>
      </w:r>
      <w:r w:rsidRPr="009475CC">
        <w:rPr>
          <w:rFonts w:cs="Times New Roman"/>
          <w:szCs w:val="24"/>
          <w:lang w:val="sq-AL"/>
        </w:rPr>
        <w:t xml:space="preserve"> rastet e një alerti nga një institucion tjetër,</w:t>
      </w:r>
      <w:r w:rsidR="00056658">
        <w:rPr>
          <w:rFonts w:cs="Times New Roman"/>
          <w:szCs w:val="24"/>
          <w:lang w:val="sq-AL"/>
        </w:rPr>
        <w:t xml:space="preserve"> </w:t>
      </w:r>
      <w:r w:rsidRPr="009475CC">
        <w:rPr>
          <w:rFonts w:cs="Times New Roman"/>
          <w:szCs w:val="24"/>
          <w:lang w:val="sq-AL"/>
        </w:rPr>
        <w:t>denoncime  t</w:t>
      </w:r>
      <w:r w:rsidR="00056658">
        <w:rPr>
          <w:rFonts w:cs="Times New Roman"/>
          <w:szCs w:val="24"/>
          <w:lang w:val="sq-AL"/>
        </w:rPr>
        <w:t>ë</w:t>
      </w:r>
      <w:r w:rsidRPr="009475CC">
        <w:rPr>
          <w:rFonts w:cs="Times New Roman"/>
          <w:szCs w:val="24"/>
          <w:lang w:val="sq-AL"/>
        </w:rPr>
        <w:t xml:space="preserve"> ndryshme nga konsumatorët, apo një dyshimi t</w:t>
      </w:r>
      <w:r w:rsidR="00056658">
        <w:rPr>
          <w:rFonts w:cs="Times New Roman"/>
          <w:szCs w:val="24"/>
          <w:lang w:val="sq-AL"/>
        </w:rPr>
        <w:t>ë</w:t>
      </w:r>
      <w:r w:rsidRPr="009475CC">
        <w:rPr>
          <w:rFonts w:cs="Times New Roman"/>
          <w:szCs w:val="24"/>
          <w:lang w:val="sq-AL"/>
        </w:rPr>
        <w:t xml:space="preserve"> arsyeshëm  </w:t>
      </w:r>
      <w:r w:rsidR="00056658">
        <w:rPr>
          <w:rFonts w:cs="Times New Roman"/>
          <w:szCs w:val="24"/>
          <w:lang w:val="sq-AL"/>
        </w:rPr>
        <w:t>në</w:t>
      </w:r>
      <w:r w:rsidRPr="009475CC">
        <w:rPr>
          <w:rFonts w:cs="Times New Roman"/>
          <w:szCs w:val="24"/>
          <w:lang w:val="sq-AL"/>
        </w:rPr>
        <w:t xml:space="preserve"> lidhje me sigurinë e produktit. Një nga shqetësimet kryesore q</w:t>
      </w:r>
      <w:r w:rsidR="00056658">
        <w:rPr>
          <w:rFonts w:cs="Times New Roman"/>
          <w:szCs w:val="24"/>
          <w:lang w:val="sq-AL"/>
        </w:rPr>
        <w:t>ë</w:t>
      </w:r>
      <w:r w:rsidRPr="009475CC">
        <w:rPr>
          <w:rFonts w:cs="Times New Roman"/>
          <w:szCs w:val="24"/>
          <w:lang w:val="sq-AL"/>
        </w:rPr>
        <w:t xml:space="preserve"> kan</w:t>
      </w:r>
      <w:r w:rsidR="00056658">
        <w:rPr>
          <w:rFonts w:cs="Times New Roman"/>
          <w:szCs w:val="24"/>
          <w:lang w:val="sq-AL"/>
        </w:rPr>
        <w:t>ë</w:t>
      </w:r>
      <w:r w:rsidRPr="009475CC">
        <w:rPr>
          <w:rFonts w:cs="Times New Roman"/>
          <w:szCs w:val="24"/>
          <w:lang w:val="sq-AL"/>
        </w:rPr>
        <w:t xml:space="preserve"> paraqitur  </w:t>
      </w:r>
      <w:bookmarkStart w:id="42" w:name="_Hlk121688163"/>
      <w:r w:rsidRPr="009475CC">
        <w:rPr>
          <w:rFonts w:cs="Times New Roman"/>
          <w:szCs w:val="24"/>
          <w:lang w:val="sq-AL"/>
        </w:rPr>
        <w:t>Drejtorit</w:t>
      </w:r>
      <w:r w:rsidR="002616A7">
        <w:rPr>
          <w:rFonts w:cs="Times New Roman"/>
          <w:szCs w:val="24"/>
          <w:lang w:val="sq-AL"/>
        </w:rPr>
        <w:t>ë</w:t>
      </w:r>
      <w:r w:rsidRPr="009475CC">
        <w:rPr>
          <w:rFonts w:cs="Times New Roman"/>
          <w:szCs w:val="24"/>
          <w:lang w:val="sq-AL"/>
        </w:rPr>
        <w:t xml:space="preserve"> Rajonale t</w:t>
      </w:r>
      <w:r w:rsidR="002616A7">
        <w:rPr>
          <w:rFonts w:cs="Times New Roman"/>
          <w:szCs w:val="24"/>
          <w:lang w:val="sq-AL"/>
        </w:rPr>
        <w:t>ë</w:t>
      </w:r>
      <w:r w:rsidRPr="009475CC">
        <w:rPr>
          <w:rFonts w:cs="Times New Roman"/>
          <w:szCs w:val="24"/>
          <w:lang w:val="sq-AL"/>
        </w:rPr>
        <w:t xml:space="preserve"> AKU</w:t>
      </w:r>
      <w:bookmarkEnd w:id="42"/>
      <w:r w:rsidR="002616A7">
        <w:rPr>
          <w:rFonts w:cs="Times New Roman"/>
          <w:szCs w:val="24"/>
          <w:lang w:val="sq-AL"/>
        </w:rPr>
        <w:t xml:space="preserve">-së </w:t>
      </w:r>
      <w:r w:rsidRPr="009475CC">
        <w:rPr>
          <w:rFonts w:cs="Times New Roman"/>
          <w:szCs w:val="24"/>
          <w:lang w:val="sq-AL"/>
        </w:rPr>
        <w:t>(DRAKU), p</w:t>
      </w:r>
      <w:r w:rsidR="002616A7">
        <w:rPr>
          <w:rFonts w:cs="Times New Roman"/>
          <w:szCs w:val="24"/>
          <w:lang w:val="sq-AL"/>
        </w:rPr>
        <w:t>ë</w:t>
      </w:r>
      <w:r w:rsidRPr="009475CC">
        <w:rPr>
          <w:rFonts w:cs="Times New Roman"/>
          <w:szCs w:val="24"/>
          <w:lang w:val="sq-AL"/>
        </w:rPr>
        <w:t xml:space="preserve">r realizimin </w:t>
      </w:r>
      <w:r w:rsidR="002616A7">
        <w:rPr>
          <w:rFonts w:cs="Times New Roman"/>
          <w:szCs w:val="24"/>
          <w:lang w:val="sq-AL"/>
        </w:rPr>
        <w:t>k</w:t>
      </w:r>
      <w:r w:rsidRPr="009475CC">
        <w:rPr>
          <w:rFonts w:cs="Times New Roman"/>
          <w:szCs w:val="24"/>
          <w:lang w:val="sq-AL"/>
        </w:rPr>
        <w:t>onform k</w:t>
      </w:r>
      <w:r w:rsidR="002616A7">
        <w:rPr>
          <w:rFonts w:cs="Times New Roman"/>
          <w:szCs w:val="24"/>
          <w:lang w:val="sq-AL"/>
        </w:rPr>
        <w:t>ë</w:t>
      </w:r>
      <w:r w:rsidRPr="009475CC">
        <w:rPr>
          <w:rFonts w:cs="Times New Roman"/>
          <w:szCs w:val="24"/>
          <w:lang w:val="sq-AL"/>
        </w:rPr>
        <w:t>rkesave ligjore t</w:t>
      </w:r>
      <w:r w:rsidR="002616A7">
        <w:rPr>
          <w:rFonts w:cs="Times New Roman"/>
          <w:szCs w:val="24"/>
          <w:lang w:val="sq-AL"/>
        </w:rPr>
        <w:t>ë</w:t>
      </w:r>
      <w:r w:rsidRPr="009475CC">
        <w:rPr>
          <w:rFonts w:cs="Times New Roman"/>
          <w:szCs w:val="24"/>
          <w:lang w:val="sq-AL"/>
        </w:rPr>
        <w:t xml:space="preserve"> k</w:t>
      </w:r>
      <w:r w:rsidR="002616A7">
        <w:rPr>
          <w:rFonts w:cs="Times New Roman"/>
          <w:szCs w:val="24"/>
          <w:lang w:val="sq-AL"/>
        </w:rPr>
        <w:t>ë</w:t>
      </w:r>
      <w:r w:rsidRPr="009475CC">
        <w:rPr>
          <w:rFonts w:cs="Times New Roman"/>
          <w:szCs w:val="24"/>
          <w:lang w:val="sq-AL"/>
        </w:rPr>
        <w:t>tij procesi ka qen</w:t>
      </w:r>
      <w:r w:rsidR="002616A7">
        <w:rPr>
          <w:rFonts w:cs="Times New Roman"/>
          <w:szCs w:val="24"/>
          <w:lang w:val="sq-AL"/>
        </w:rPr>
        <w:t>ë</w:t>
      </w:r>
      <w:r w:rsidRPr="009475CC">
        <w:rPr>
          <w:rFonts w:cs="Times New Roman"/>
          <w:szCs w:val="24"/>
          <w:lang w:val="sq-AL"/>
        </w:rPr>
        <w:t xml:space="preserve"> edhe mungesa e mjeteve  për marrjen e mostrës si dhe pajisjeve për dërgimin e tyre ne laborator, kryesisht për mostra q</w:t>
      </w:r>
      <w:r w:rsidR="002616A7">
        <w:rPr>
          <w:rFonts w:cs="Times New Roman"/>
          <w:szCs w:val="24"/>
          <w:lang w:val="sq-AL"/>
        </w:rPr>
        <w:t>ë</w:t>
      </w:r>
      <w:r w:rsidRPr="009475CC">
        <w:rPr>
          <w:rFonts w:cs="Times New Roman"/>
          <w:szCs w:val="24"/>
          <w:lang w:val="sq-AL"/>
        </w:rPr>
        <w:t xml:space="preserve"> kërkojnë t</w:t>
      </w:r>
      <w:r w:rsidR="002616A7">
        <w:rPr>
          <w:rFonts w:cs="Times New Roman"/>
          <w:szCs w:val="24"/>
          <w:lang w:val="sq-AL"/>
        </w:rPr>
        <w:t xml:space="preserve">ë </w:t>
      </w:r>
      <w:r w:rsidRPr="009475CC">
        <w:rPr>
          <w:rFonts w:cs="Times New Roman"/>
          <w:szCs w:val="24"/>
          <w:lang w:val="sq-AL"/>
        </w:rPr>
        <w:t xml:space="preserve">transportohen </w:t>
      </w:r>
      <w:r w:rsidR="002616A7">
        <w:rPr>
          <w:rFonts w:cs="Times New Roman"/>
          <w:szCs w:val="24"/>
          <w:lang w:val="sq-AL"/>
        </w:rPr>
        <w:t>në</w:t>
      </w:r>
      <w:r w:rsidRPr="009475CC">
        <w:rPr>
          <w:rFonts w:cs="Times New Roman"/>
          <w:szCs w:val="24"/>
          <w:lang w:val="sq-AL"/>
        </w:rPr>
        <w:t>n një regjim termik t</w:t>
      </w:r>
      <w:r w:rsidR="002616A7">
        <w:rPr>
          <w:rFonts w:cs="Times New Roman"/>
          <w:szCs w:val="24"/>
          <w:lang w:val="sq-AL"/>
        </w:rPr>
        <w:t>ë</w:t>
      </w:r>
      <w:r w:rsidRPr="009475CC">
        <w:rPr>
          <w:rFonts w:cs="Times New Roman"/>
          <w:szCs w:val="24"/>
          <w:lang w:val="sq-AL"/>
        </w:rPr>
        <w:t xml:space="preserve"> caktuar. P</w:t>
      </w:r>
      <w:r w:rsidR="002616A7">
        <w:rPr>
          <w:rFonts w:cs="Times New Roman"/>
          <w:szCs w:val="24"/>
          <w:lang w:val="sq-AL"/>
        </w:rPr>
        <w:t>ë</w:t>
      </w:r>
      <w:r w:rsidRPr="009475CC">
        <w:rPr>
          <w:rFonts w:cs="Times New Roman"/>
          <w:szCs w:val="24"/>
          <w:lang w:val="sq-AL"/>
        </w:rPr>
        <w:t>r k</w:t>
      </w:r>
      <w:r w:rsidR="002616A7">
        <w:rPr>
          <w:rFonts w:cs="Times New Roman"/>
          <w:szCs w:val="24"/>
          <w:lang w:val="sq-AL"/>
        </w:rPr>
        <w:t>ë</w:t>
      </w:r>
      <w:r w:rsidRPr="009475CC">
        <w:rPr>
          <w:rFonts w:cs="Times New Roman"/>
          <w:szCs w:val="24"/>
          <w:lang w:val="sq-AL"/>
        </w:rPr>
        <w:t>t</w:t>
      </w:r>
      <w:r w:rsidR="002616A7">
        <w:rPr>
          <w:rFonts w:cs="Times New Roman"/>
          <w:szCs w:val="24"/>
          <w:lang w:val="sq-AL"/>
        </w:rPr>
        <w:t>ë</w:t>
      </w:r>
      <w:r w:rsidRPr="009475CC">
        <w:rPr>
          <w:rFonts w:cs="Times New Roman"/>
          <w:szCs w:val="24"/>
          <w:lang w:val="sq-AL"/>
        </w:rPr>
        <w:t xml:space="preserve"> arsye </w:t>
      </w:r>
      <w:r w:rsidR="002616A7">
        <w:rPr>
          <w:rFonts w:cs="Times New Roman"/>
          <w:szCs w:val="24"/>
          <w:lang w:val="sq-AL"/>
        </w:rPr>
        <w:t>ë</w:t>
      </w:r>
      <w:r w:rsidRPr="009475CC">
        <w:rPr>
          <w:rFonts w:cs="Times New Roman"/>
          <w:szCs w:val="24"/>
          <w:lang w:val="sq-AL"/>
        </w:rPr>
        <w:t>sht</w:t>
      </w:r>
      <w:r w:rsidR="002616A7">
        <w:rPr>
          <w:rFonts w:cs="Times New Roman"/>
          <w:szCs w:val="24"/>
          <w:lang w:val="sq-AL"/>
        </w:rPr>
        <w:t>ë</w:t>
      </w:r>
      <w:r w:rsidRPr="009475CC">
        <w:rPr>
          <w:rFonts w:cs="Times New Roman"/>
          <w:szCs w:val="24"/>
          <w:lang w:val="sq-AL"/>
        </w:rPr>
        <w:t xml:space="preserve"> domosdoshm</w:t>
      </w:r>
      <w:r w:rsidR="002616A7">
        <w:rPr>
          <w:rFonts w:cs="Times New Roman"/>
          <w:szCs w:val="24"/>
          <w:lang w:val="sq-AL"/>
        </w:rPr>
        <w:t>ë</w:t>
      </w:r>
      <w:r w:rsidRPr="009475CC">
        <w:rPr>
          <w:rFonts w:cs="Times New Roman"/>
          <w:szCs w:val="24"/>
          <w:lang w:val="sq-AL"/>
        </w:rPr>
        <w:t>ri përmirësimi i infrastrukturës për marrjen e mostrës, garantimin dhe dërgimin  e tyre  n</w:t>
      </w:r>
      <w:r w:rsidR="002616A7">
        <w:rPr>
          <w:rFonts w:cs="Times New Roman"/>
          <w:szCs w:val="24"/>
          <w:lang w:val="sq-AL"/>
        </w:rPr>
        <w:t>ë</w:t>
      </w:r>
      <w:r w:rsidRPr="009475CC">
        <w:rPr>
          <w:rFonts w:cs="Times New Roman"/>
          <w:szCs w:val="24"/>
          <w:lang w:val="sq-AL"/>
        </w:rPr>
        <w:t xml:space="preserve"> laboratorët respektiv.</w:t>
      </w:r>
    </w:p>
    <w:p w14:paraId="2AA6A92B" w14:textId="57E2649A" w:rsidR="00934CE8" w:rsidRPr="009475CC" w:rsidRDefault="00934CE8" w:rsidP="00050D9D">
      <w:pPr>
        <w:jc w:val="both"/>
        <w:rPr>
          <w:rFonts w:cs="Times New Roman"/>
          <w:szCs w:val="24"/>
          <w:lang w:val="sq-AL"/>
        </w:rPr>
      </w:pPr>
      <w:r w:rsidRPr="009475CC">
        <w:rPr>
          <w:rFonts w:cs="Times New Roman"/>
          <w:szCs w:val="24"/>
          <w:lang w:val="sq-AL"/>
        </w:rPr>
        <w:t>Trajnimi i inspektorëve është një element shumë i rëndësishëm për rritjen e kapaciteteve tekniko-profesionale, gjë që  ndikon në mënyrë të drejtpërdrejtë në rritjen e performancës së p</w:t>
      </w:r>
      <w:r w:rsidR="00B40EA6">
        <w:rPr>
          <w:rFonts w:cs="Times New Roman"/>
          <w:szCs w:val="24"/>
          <w:lang w:val="sq-AL"/>
        </w:rPr>
        <w:t>u</w:t>
      </w:r>
      <w:r w:rsidRPr="009475CC">
        <w:rPr>
          <w:rFonts w:cs="Times New Roman"/>
          <w:szCs w:val="24"/>
          <w:lang w:val="sq-AL"/>
        </w:rPr>
        <w:t>nës së tyre gjatë kontrolleve zyrtare dhe cilësinë e inspektimeve. N</w:t>
      </w:r>
      <w:r w:rsidR="00B40EA6">
        <w:rPr>
          <w:rFonts w:cs="Times New Roman"/>
          <w:szCs w:val="24"/>
          <w:lang w:val="sq-AL"/>
        </w:rPr>
        <w:t>ë</w:t>
      </w:r>
      <w:r w:rsidRPr="009475CC">
        <w:rPr>
          <w:rFonts w:cs="Times New Roman"/>
          <w:szCs w:val="24"/>
          <w:lang w:val="sq-AL"/>
        </w:rPr>
        <w:t xml:space="preserve">  këtë kuadër </w:t>
      </w:r>
      <w:r w:rsidR="00B40EA6">
        <w:rPr>
          <w:rFonts w:cs="Times New Roman"/>
          <w:szCs w:val="24"/>
          <w:lang w:val="sq-AL"/>
        </w:rPr>
        <w:t>, AKU</w:t>
      </w:r>
      <w:r w:rsidRPr="009475CC">
        <w:rPr>
          <w:rFonts w:cs="Times New Roman"/>
          <w:szCs w:val="24"/>
          <w:lang w:val="sq-AL"/>
        </w:rPr>
        <w:t xml:space="preserve"> përveç trajnimeve te organizuara nga organizma ndërkombëtar si</w:t>
      </w:r>
      <w:r w:rsidR="002616A7" w:rsidRPr="00B40EA6">
        <w:rPr>
          <w:rFonts w:cs="Times New Roman"/>
          <w:szCs w:val="24"/>
          <w:lang w:val="sq-AL"/>
        </w:rPr>
        <w:t>:</w:t>
      </w:r>
      <w:r w:rsidRPr="00B40EA6">
        <w:rPr>
          <w:rFonts w:cs="Times New Roman"/>
          <w:szCs w:val="24"/>
          <w:lang w:val="sq-AL"/>
        </w:rPr>
        <w:t xml:space="preserve"> </w:t>
      </w:r>
      <w:bookmarkStart w:id="43" w:name="_Hlk132709375"/>
      <w:r w:rsidRPr="00B40EA6">
        <w:rPr>
          <w:rFonts w:cs="Times New Roman"/>
          <w:szCs w:val="24"/>
          <w:lang w:val="sq-AL"/>
        </w:rPr>
        <w:t>BTSF, EFSA,</w:t>
      </w:r>
      <w:r w:rsidR="002616A7" w:rsidRPr="00B40EA6">
        <w:rPr>
          <w:rFonts w:cs="Times New Roman"/>
          <w:szCs w:val="24"/>
          <w:lang w:val="sq-AL"/>
        </w:rPr>
        <w:t xml:space="preserve"> </w:t>
      </w:r>
      <w:r w:rsidRPr="007071BB">
        <w:rPr>
          <w:rFonts w:cs="Times New Roman"/>
          <w:szCs w:val="24"/>
          <w:lang w:val="sq-AL"/>
        </w:rPr>
        <w:t>TAIEX</w:t>
      </w:r>
      <w:r w:rsidRPr="00B40EA6">
        <w:rPr>
          <w:rFonts w:cs="Times New Roman"/>
          <w:szCs w:val="24"/>
          <w:lang w:val="sq-AL"/>
        </w:rPr>
        <w:t xml:space="preserve"> </w:t>
      </w:r>
      <w:bookmarkEnd w:id="43"/>
      <w:r w:rsidRPr="00B40EA6">
        <w:rPr>
          <w:rFonts w:cs="Times New Roman"/>
          <w:szCs w:val="24"/>
          <w:lang w:val="sq-AL"/>
        </w:rPr>
        <w:t>et</w:t>
      </w:r>
      <w:r w:rsidR="001127C2" w:rsidRPr="00B40EA6">
        <w:rPr>
          <w:rFonts w:cs="Times New Roman"/>
          <w:szCs w:val="24"/>
          <w:lang w:val="sq-AL"/>
        </w:rPr>
        <w:t xml:space="preserve">j. </w:t>
      </w:r>
      <w:r w:rsidRPr="00B40EA6">
        <w:rPr>
          <w:rFonts w:cs="Times New Roman"/>
          <w:szCs w:val="24"/>
          <w:lang w:val="sq-AL"/>
        </w:rPr>
        <w:t>ka organizuar trajnime dhe nga sektorët përkatës n</w:t>
      </w:r>
      <w:r w:rsidR="001127C2" w:rsidRPr="00B40EA6">
        <w:rPr>
          <w:rFonts w:cs="Times New Roman"/>
          <w:szCs w:val="24"/>
          <w:lang w:val="sq-AL"/>
        </w:rPr>
        <w:t>ë</w:t>
      </w:r>
      <w:r w:rsidRPr="00B40EA6">
        <w:rPr>
          <w:rFonts w:cs="Times New Roman"/>
          <w:szCs w:val="24"/>
          <w:lang w:val="sq-AL"/>
        </w:rPr>
        <w:t xml:space="preserve"> DP janë organizuar disa module trajnimi n</w:t>
      </w:r>
      <w:r w:rsidR="001127C2" w:rsidRPr="00B40EA6">
        <w:rPr>
          <w:rFonts w:cs="Times New Roman"/>
          <w:szCs w:val="24"/>
          <w:lang w:val="sq-AL"/>
        </w:rPr>
        <w:t>ë</w:t>
      </w:r>
      <w:r w:rsidRPr="00B40EA6">
        <w:rPr>
          <w:rFonts w:cs="Times New Roman"/>
          <w:szCs w:val="24"/>
          <w:lang w:val="sq-AL"/>
        </w:rPr>
        <w:t xml:space="preserve"> kuadër t</w:t>
      </w:r>
      <w:r w:rsidR="001127C2" w:rsidRPr="00B40EA6">
        <w:rPr>
          <w:rFonts w:cs="Times New Roman"/>
          <w:szCs w:val="24"/>
          <w:lang w:val="sq-AL"/>
        </w:rPr>
        <w:t>ë</w:t>
      </w:r>
      <w:r w:rsidRPr="00B40EA6">
        <w:rPr>
          <w:rFonts w:cs="Times New Roman"/>
          <w:szCs w:val="24"/>
          <w:lang w:val="sq-AL"/>
        </w:rPr>
        <w:t xml:space="preserve"> rritjes s</w:t>
      </w:r>
      <w:r w:rsidR="001127C2" w:rsidRPr="00B40EA6">
        <w:rPr>
          <w:rFonts w:cs="Times New Roman"/>
          <w:szCs w:val="24"/>
          <w:lang w:val="sq-AL"/>
        </w:rPr>
        <w:t>ë</w:t>
      </w:r>
      <w:r w:rsidRPr="00B40EA6">
        <w:rPr>
          <w:rFonts w:cs="Times New Roman"/>
          <w:szCs w:val="24"/>
          <w:lang w:val="sq-AL"/>
        </w:rPr>
        <w:t xml:space="preserve"> cilësisë s</w:t>
      </w:r>
      <w:r w:rsidR="001127C2" w:rsidRPr="00B40EA6">
        <w:rPr>
          <w:rFonts w:cs="Times New Roman"/>
          <w:szCs w:val="24"/>
          <w:lang w:val="sq-AL"/>
        </w:rPr>
        <w:t>ë</w:t>
      </w:r>
      <w:r w:rsidRPr="00B40EA6">
        <w:rPr>
          <w:rFonts w:cs="Times New Roman"/>
          <w:szCs w:val="24"/>
          <w:lang w:val="sq-AL"/>
        </w:rPr>
        <w:t xml:space="preserve"> inspektimeve. Sfid</w:t>
      </w:r>
      <w:r w:rsidR="001127C2" w:rsidRPr="00B40EA6">
        <w:rPr>
          <w:rFonts w:cs="Times New Roman"/>
          <w:szCs w:val="24"/>
          <w:lang w:val="sq-AL"/>
        </w:rPr>
        <w:t>ë</w:t>
      </w:r>
      <w:r w:rsidRPr="00B40EA6">
        <w:rPr>
          <w:rFonts w:cs="Times New Roman"/>
          <w:szCs w:val="24"/>
          <w:lang w:val="sq-AL"/>
        </w:rPr>
        <w:t xml:space="preserve"> mbetet identifikimi i nevojave</w:t>
      </w:r>
      <w:r w:rsidRPr="009475CC">
        <w:rPr>
          <w:rFonts w:cs="Times New Roman"/>
          <w:szCs w:val="24"/>
          <w:lang w:val="sq-AL"/>
        </w:rPr>
        <w:t xml:space="preserve"> për </w:t>
      </w:r>
      <w:r w:rsidRPr="009475CC">
        <w:rPr>
          <w:rFonts w:cs="Times New Roman"/>
          <w:szCs w:val="24"/>
          <w:lang w:val="sq-AL"/>
        </w:rPr>
        <w:lastRenderedPageBreak/>
        <w:t>trajnimin e inspektor</w:t>
      </w:r>
      <w:r w:rsidR="001127C2">
        <w:rPr>
          <w:rFonts w:cs="Times New Roman"/>
          <w:szCs w:val="24"/>
          <w:lang w:val="sq-AL"/>
        </w:rPr>
        <w:t>ë</w:t>
      </w:r>
      <w:r w:rsidRPr="009475CC">
        <w:rPr>
          <w:rFonts w:cs="Times New Roman"/>
          <w:szCs w:val="24"/>
          <w:lang w:val="sq-AL"/>
        </w:rPr>
        <w:t>ve duke pasur parasysh çdo fazë të kontrolleve zyrtare, duke përfshirë: dokumentacionin e  procedurave  të kontrollit zyrtar, kontrollin e dokumenteve që disponon çdo OBU për garantimin e sigurisë ushqimore (regjistrin e gjurmu</w:t>
      </w:r>
      <w:r w:rsidR="001127C2">
        <w:rPr>
          <w:rFonts w:cs="Times New Roman"/>
          <w:szCs w:val="24"/>
          <w:lang w:val="sq-AL"/>
        </w:rPr>
        <w:t>e</w:t>
      </w:r>
      <w:r w:rsidRPr="009475CC">
        <w:rPr>
          <w:rFonts w:cs="Times New Roman"/>
          <w:szCs w:val="24"/>
          <w:lang w:val="sq-AL"/>
        </w:rPr>
        <w:t xml:space="preserve">shmërisë, dokumentacionin e </w:t>
      </w:r>
      <w:bookmarkStart w:id="44" w:name="_Hlk121688422"/>
      <w:r w:rsidRPr="009475CC">
        <w:rPr>
          <w:rFonts w:cs="Times New Roman"/>
          <w:szCs w:val="24"/>
          <w:lang w:val="sq-AL"/>
        </w:rPr>
        <w:t>planit HACCP</w:t>
      </w:r>
      <w:bookmarkEnd w:id="44"/>
      <w:r w:rsidRPr="009475CC">
        <w:rPr>
          <w:rFonts w:cs="Times New Roman"/>
          <w:szCs w:val="24"/>
          <w:lang w:val="sq-AL"/>
        </w:rPr>
        <w:t>), marrjen e mostrave, mënyrën e raportimit si dhe hedhjen e të dhënave në portalin e- inspektimi.</w:t>
      </w:r>
    </w:p>
    <w:p w14:paraId="56B4AF69" w14:textId="74939C01" w:rsidR="00934CE8" w:rsidRPr="009475CC" w:rsidRDefault="00934CE8" w:rsidP="00050D9D">
      <w:pPr>
        <w:jc w:val="both"/>
        <w:rPr>
          <w:rFonts w:cs="Times New Roman"/>
          <w:szCs w:val="24"/>
          <w:lang w:val="sq-AL"/>
        </w:rPr>
      </w:pPr>
      <w:r w:rsidRPr="009475CC">
        <w:rPr>
          <w:rFonts w:cs="Times New Roman"/>
          <w:szCs w:val="24"/>
          <w:lang w:val="sq-AL"/>
        </w:rPr>
        <w:t>Aktiviteti laboratorik është pjesë e kontrollit zyrtar dhe si rrjedhojë veprimtaria e tyre kryhet bazuar në planin vjetor  t</w:t>
      </w:r>
      <w:r w:rsidR="00B40EA6">
        <w:rPr>
          <w:rFonts w:cs="Times New Roman"/>
          <w:szCs w:val="24"/>
          <w:lang w:val="sq-AL"/>
        </w:rPr>
        <w:t>ë</w:t>
      </w:r>
      <w:r w:rsidRPr="009475CC">
        <w:rPr>
          <w:rFonts w:cs="Times New Roman"/>
          <w:szCs w:val="24"/>
          <w:lang w:val="sq-AL"/>
        </w:rPr>
        <w:t xml:space="preserve"> kontrolleve me baz</w:t>
      </w:r>
      <w:r w:rsidR="003621BE">
        <w:rPr>
          <w:rFonts w:cs="Times New Roman"/>
          <w:szCs w:val="24"/>
          <w:lang w:val="sq-AL"/>
        </w:rPr>
        <w:t>ë</w:t>
      </w:r>
      <w:r w:rsidRPr="009475CC">
        <w:rPr>
          <w:rFonts w:cs="Times New Roman"/>
          <w:szCs w:val="24"/>
          <w:lang w:val="sq-AL"/>
        </w:rPr>
        <w:t xml:space="preserve"> r</w:t>
      </w:r>
      <w:r w:rsidR="003621BE">
        <w:rPr>
          <w:rFonts w:cs="Times New Roman"/>
          <w:szCs w:val="24"/>
          <w:lang w:val="sq-AL"/>
        </w:rPr>
        <w:t>r</w:t>
      </w:r>
      <w:r w:rsidRPr="009475CC">
        <w:rPr>
          <w:rFonts w:cs="Times New Roman"/>
          <w:szCs w:val="24"/>
          <w:lang w:val="sq-AL"/>
        </w:rPr>
        <w:t>isku</w:t>
      </w:r>
      <w:r w:rsidR="003621BE">
        <w:rPr>
          <w:rFonts w:cs="Times New Roman"/>
          <w:szCs w:val="24"/>
          <w:lang w:val="sq-AL"/>
        </w:rPr>
        <w:t>.</w:t>
      </w:r>
      <w:r w:rsidRPr="009475CC">
        <w:rPr>
          <w:rFonts w:cs="Times New Roman"/>
          <w:szCs w:val="24"/>
          <w:lang w:val="sq-AL"/>
        </w:rPr>
        <w:t xml:space="preserve"> Gjat</w:t>
      </w:r>
      <w:r w:rsidR="003621BE">
        <w:rPr>
          <w:rFonts w:cs="Times New Roman"/>
          <w:szCs w:val="24"/>
          <w:lang w:val="sq-AL"/>
        </w:rPr>
        <w:t>ë</w:t>
      </w:r>
      <w:r w:rsidRPr="009475CC">
        <w:rPr>
          <w:rFonts w:cs="Times New Roman"/>
          <w:szCs w:val="24"/>
          <w:lang w:val="sq-AL"/>
        </w:rPr>
        <w:t xml:space="preserve"> vitit 2021 nga laborator</w:t>
      </w:r>
      <w:r w:rsidR="003621BE">
        <w:rPr>
          <w:rFonts w:cs="Times New Roman"/>
          <w:szCs w:val="24"/>
          <w:lang w:val="sq-AL"/>
        </w:rPr>
        <w:t>ë</w:t>
      </w:r>
      <w:r w:rsidRPr="009475CC">
        <w:rPr>
          <w:rFonts w:cs="Times New Roman"/>
          <w:szCs w:val="24"/>
          <w:lang w:val="sq-AL"/>
        </w:rPr>
        <w:t>t e AKU jan</w:t>
      </w:r>
      <w:r w:rsidR="003621BE">
        <w:rPr>
          <w:rFonts w:cs="Times New Roman"/>
          <w:szCs w:val="24"/>
          <w:lang w:val="sq-AL"/>
        </w:rPr>
        <w:t>ë</w:t>
      </w:r>
      <w:r w:rsidRPr="009475CC">
        <w:rPr>
          <w:rFonts w:cs="Times New Roman"/>
          <w:szCs w:val="24"/>
          <w:lang w:val="sq-AL"/>
        </w:rPr>
        <w:t xml:space="preserve"> realizuar gjithsej 13.465 analiza</w:t>
      </w:r>
      <w:r w:rsidR="003621BE">
        <w:rPr>
          <w:rFonts w:cs="Times New Roman"/>
          <w:szCs w:val="24"/>
          <w:lang w:val="sq-AL"/>
        </w:rPr>
        <w:t>.</w:t>
      </w:r>
    </w:p>
    <w:p w14:paraId="39E53E73" w14:textId="48CE176C" w:rsidR="00934CE8" w:rsidRPr="009475CC" w:rsidRDefault="00934CE8" w:rsidP="00050D9D">
      <w:pPr>
        <w:jc w:val="both"/>
        <w:rPr>
          <w:rFonts w:cs="Times New Roman"/>
          <w:szCs w:val="24"/>
          <w:lang w:val="sq-AL"/>
        </w:rPr>
      </w:pPr>
      <w:r w:rsidRPr="009475CC">
        <w:rPr>
          <w:rFonts w:cs="Times New Roman"/>
          <w:szCs w:val="24"/>
          <w:lang w:val="sq-AL"/>
        </w:rPr>
        <w:t>Përmirësimi i infrastrukturës për marrjen e mostrës, garantimin dhe dërgimin  e tyre  n</w:t>
      </w:r>
      <w:r w:rsidR="00286192">
        <w:rPr>
          <w:rFonts w:cs="Times New Roman"/>
          <w:szCs w:val="24"/>
          <w:lang w:val="sq-AL"/>
        </w:rPr>
        <w:t>ë</w:t>
      </w:r>
      <w:r w:rsidRPr="009475CC">
        <w:rPr>
          <w:rFonts w:cs="Times New Roman"/>
          <w:szCs w:val="24"/>
          <w:lang w:val="sq-AL"/>
        </w:rPr>
        <w:t xml:space="preserve"> laboratorë</w:t>
      </w:r>
      <w:r w:rsidR="00B40EA6">
        <w:rPr>
          <w:rFonts w:cs="Times New Roman"/>
          <w:szCs w:val="24"/>
          <w:lang w:val="sq-AL"/>
        </w:rPr>
        <w:t xml:space="preserve"> mbetet një nga sfidat e këtij institucioni</w:t>
      </w:r>
      <w:r w:rsidRPr="009475CC">
        <w:rPr>
          <w:rFonts w:cs="Times New Roman"/>
          <w:szCs w:val="24"/>
          <w:lang w:val="sq-AL"/>
        </w:rPr>
        <w:t>. Në analizën vjetore t</w:t>
      </w:r>
      <w:r w:rsidR="00B40EA6">
        <w:rPr>
          <w:rFonts w:cs="Times New Roman"/>
          <w:szCs w:val="24"/>
          <w:lang w:val="sq-AL"/>
        </w:rPr>
        <w:t>ë</w:t>
      </w:r>
      <w:r w:rsidRPr="009475CC">
        <w:rPr>
          <w:rFonts w:cs="Times New Roman"/>
          <w:szCs w:val="24"/>
          <w:lang w:val="sq-AL"/>
        </w:rPr>
        <w:t xml:space="preserve"> AKU</w:t>
      </w:r>
      <w:r w:rsidR="00B40EA6">
        <w:rPr>
          <w:rFonts w:cs="Times New Roman"/>
          <w:szCs w:val="24"/>
          <w:lang w:val="sq-AL"/>
        </w:rPr>
        <w:t>-së,</w:t>
      </w:r>
      <w:r w:rsidRPr="009475CC">
        <w:rPr>
          <w:rFonts w:cs="Times New Roman"/>
          <w:szCs w:val="24"/>
          <w:lang w:val="sq-AL"/>
        </w:rPr>
        <w:t xml:space="preserve"> pre</w:t>
      </w:r>
      <w:r w:rsidR="00B40EA6">
        <w:rPr>
          <w:rFonts w:cs="Times New Roman"/>
          <w:szCs w:val="24"/>
          <w:lang w:val="sq-AL"/>
        </w:rPr>
        <w:t>j</w:t>
      </w:r>
      <w:r w:rsidRPr="009475CC">
        <w:rPr>
          <w:rFonts w:cs="Times New Roman"/>
          <w:szCs w:val="24"/>
          <w:lang w:val="sq-AL"/>
        </w:rPr>
        <w:t xml:space="preserve"> viti</w:t>
      </w:r>
      <w:r w:rsidR="00B40EA6">
        <w:rPr>
          <w:rFonts w:cs="Times New Roman"/>
          <w:szCs w:val="24"/>
          <w:lang w:val="sq-AL"/>
        </w:rPr>
        <w:t>t</w:t>
      </w:r>
      <w:r w:rsidRPr="009475CC">
        <w:rPr>
          <w:rFonts w:cs="Times New Roman"/>
          <w:szCs w:val="24"/>
          <w:lang w:val="sq-AL"/>
        </w:rPr>
        <w:t xml:space="preserve"> 2021 një nga shqetësimet kryesore q</w:t>
      </w:r>
      <w:r w:rsidR="003621BE">
        <w:rPr>
          <w:rFonts w:cs="Times New Roman"/>
          <w:szCs w:val="24"/>
          <w:lang w:val="sq-AL"/>
        </w:rPr>
        <w:t>ë</w:t>
      </w:r>
      <w:r w:rsidRPr="009475CC">
        <w:rPr>
          <w:rFonts w:cs="Times New Roman"/>
          <w:szCs w:val="24"/>
          <w:lang w:val="sq-AL"/>
        </w:rPr>
        <w:t xml:space="preserve"> kan</w:t>
      </w:r>
      <w:r w:rsidR="00286192">
        <w:rPr>
          <w:rFonts w:cs="Times New Roman"/>
          <w:szCs w:val="24"/>
          <w:lang w:val="sq-AL"/>
        </w:rPr>
        <w:t>ë</w:t>
      </w:r>
      <w:r w:rsidRPr="009475CC">
        <w:rPr>
          <w:rFonts w:cs="Times New Roman"/>
          <w:szCs w:val="24"/>
          <w:lang w:val="sq-AL"/>
        </w:rPr>
        <w:t xml:space="preserve"> paraqitur DRAKU</w:t>
      </w:r>
      <w:r w:rsidR="00B40EA6">
        <w:rPr>
          <w:rFonts w:cs="Times New Roman"/>
          <w:szCs w:val="24"/>
          <w:lang w:val="sq-AL"/>
        </w:rPr>
        <w:t>-të</w:t>
      </w:r>
      <w:r w:rsidRPr="009475CC">
        <w:rPr>
          <w:rFonts w:cs="Times New Roman"/>
          <w:szCs w:val="24"/>
          <w:lang w:val="sq-AL"/>
        </w:rPr>
        <w:t>, ka qen</w:t>
      </w:r>
      <w:r w:rsidR="00286192">
        <w:rPr>
          <w:rFonts w:cs="Times New Roman"/>
          <w:szCs w:val="24"/>
          <w:lang w:val="sq-AL"/>
        </w:rPr>
        <w:t>ë</w:t>
      </w:r>
      <w:r w:rsidRPr="009475CC">
        <w:rPr>
          <w:rFonts w:cs="Times New Roman"/>
          <w:szCs w:val="24"/>
          <w:lang w:val="sq-AL"/>
        </w:rPr>
        <w:t xml:space="preserve"> edhe mungesa e mjeteve për marrjen e mostrës si dhe pajisjeve për dërgimin e tyre n</w:t>
      </w:r>
      <w:r w:rsidR="00286192">
        <w:rPr>
          <w:rFonts w:cs="Times New Roman"/>
          <w:szCs w:val="24"/>
          <w:lang w:val="sq-AL"/>
        </w:rPr>
        <w:t>ë</w:t>
      </w:r>
      <w:r w:rsidRPr="009475CC">
        <w:rPr>
          <w:rFonts w:cs="Times New Roman"/>
          <w:szCs w:val="24"/>
          <w:lang w:val="sq-AL"/>
        </w:rPr>
        <w:t xml:space="preserve"> laborator, kryesisht për mostra q</w:t>
      </w:r>
      <w:r w:rsidR="00286192">
        <w:rPr>
          <w:rFonts w:cs="Times New Roman"/>
          <w:szCs w:val="24"/>
          <w:lang w:val="sq-AL"/>
        </w:rPr>
        <w:t>ë</w:t>
      </w:r>
      <w:r w:rsidRPr="009475CC">
        <w:rPr>
          <w:rFonts w:cs="Times New Roman"/>
          <w:szCs w:val="24"/>
          <w:lang w:val="sq-AL"/>
        </w:rPr>
        <w:t xml:space="preserve"> kërkojnë t</w:t>
      </w:r>
      <w:r w:rsidR="00286192">
        <w:rPr>
          <w:rFonts w:cs="Times New Roman"/>
          <w:szCs w:val="24"/>
          <w:lang w:val="sq-AL"/>
        </w:rPr>
        <w:t>ë</w:t>
      </w:r>
      <w:r w:rsidRPr="009475CC">
        <w:rPr>
          <w:rFonts w:cs="Times New Roman"/>
          <w:szCs w:val="24"/>
          <w:lang w:val="sq-AL"/>
        </w:rPr>
        <w:t xml:space="preserve"> transportohen n</w:t>
      </w:r>
      <w:r w:rsidR="00286192">
        <w:rPr>
          <w:rFonts w:cs="Times New Roman"/>
          <w:szCs w:val="24"/>
          <w:lang w:val="sq-AL"/>
        </w:rPr>
        <w:t>ë</w:t>
      </w:r>
      <w:r w:rsidRPr="009475CC">
        <w:rPr>
          <w:rFonts w:cs="Times New Roman"/>
          <w:szCs w:val="24"/>
          <w:lang w:val="sq-AL"/>
        </w:rPr>
        <w:t>n një regjim termik t</w:t>
      </w:r>
      <w:r w:rsidR="00286192">
        <w:rPr>
          <w:rFonts w:cs="Times New Roman"/>
          <w:szCs w:val="24"/>
          <w:lang w:val="sq-AL"/>
        </w:rPr>
        <w:t>ë</w:t>
      </w:r>
      <w:r w:rsidRPr="009475CC">
        <w:rPr>
          <w:rFonts w:cs="Times New Roman"/>
          <w:szCs w:val="24"/>
          <w:lang w:val="sq-AL"/>
        </w:rPr>
        <w:t xml:space="preserve"> caktuar. </w:t>
      </w:r>
      <w:r w:rsidR="00286192">
        <w:rPr>
          <w:rFonts w:cs="Times New Roman"/>
          <w:szCs w:val="24"/>
          <w:lang w:val="sq-AL"/>
        </w:rPr>
        <w:t>S</w:t>
      </w:r>
      <w:r w:rsidRPr="009475CC">
        <w:rPr>
          <w:rFonts w:cs="Times New Roman"/>
          <w:szCs w:val="24"/>
          <w:lang w:val="sq-AL"/>
        </w:rPr>
        <w:t>fid</w:t>
      </w:r>
      <w:r w:rsidR="00286192">
        <w:rPr>
          <w:rFonts w:cs="Times New Roman"/>
          <w:szCs w:val="24"/>
          <w:lang w:val="sq-AL"/>
        </w:rPr>
        <w:t>ë</w:t>
      </w:r>
      <w:r w:rsidRPr="009475CC">
        <w:rPr>
          <w:rFonts w:cs="Times New Roman"/>
          <w:szCs w:val="24"/>
          <w:lang w:val="sq-AL"/>
        </w:rPr>
        <w:t xml:space="preserve">  mbetet  pajisja e inspektoreve me mjete p</w:t>
      </w:r>
      <w:r w:rsidR="00286192">
        <w:rPr>
          <w:rFonts w:cs="Times New Roman"/>
          <w:szCs w:val="24"/>
          <w:lang w:val="sq-AL"/>
        </w:rPr>
        <w:t>ë</w:t>
      </w:r>
      <w:r w:rsidRPr="009475CC">
        <w:rPr>
          <w:rFonts w:cs="Times New Roman"/>
          <w:szCs w:val="24"/>
          <w:lang w:val="sq-AL"/>
        </w:rPr>
        <w:t>r marrjen e mostrave</w:t>
      </w:r>
      <w:r w:rsidR="00286192">
        <w:rPr>
          <w:rFonts w:cs="Times New Roman"/>
          <w:szCs w:val="24"/>
          <w:lang w:val="sq-AL"/>
        </w:rPr>
        <w:t>.</w:t>
      </w:r>
    </w:p>
    <w:p w14:paraId="6E940CEC" w14:textId="1C099CC0" w:rsidR="008D79F2" w:rsidRPr="00EE4CB6" w:rsidRDefault="008D79F2" w:rsidP="00623352">
      <w:pPr>
        <w:pStyle w:val="Heading5"/>
      </w:pPr>
      <w:bookmarkStart w:id="45" w:name="_Toc132277328"/>
      <w:r w:rsidRPr="00EE4CB6">
        <w:t>I</w:t>
      </w:r>
      <w:r w:rsidR="002D5243" w:rsidRPr="00EE4CB6">
        <w:t>nspektorat</w:t>
      </w:r>
      <w:r w:rsidR="00286192" w:rsidRPr="00EE4CB6">
        <w:t>i</w:t>
      </w:r>
      <w:r w:rsidR="002D5243" w:rsidRPr="00EE4CB6">
        <w:t xml:space="preserve"> Shtet</w:t>
      </w:r>
      <w:r w:rsidR="00286192" w:rsidRPr="00EE4CB6">
        <w:t>ë</w:t>
      </w:r>
      <w:r w:rsidR="002D5243" w:rsidRPr="00EE4CB6">
        <w:t xml:space="preserve">ror </w:t>
      </w:r>
      <w:r w:rsidRPr="00EE4CB6">
        <w:t>S</w:t>
      </w:r>
      <w:r w:rsidR="002D5243" w:rsidRPr="00EE4CB6">
        <w:t>h</w:t>
      </w:r>
      <w:r w:rsidR="00286192" w:rsidRPr="00EE4CB6">
        <w:t>ë</w:t>
      </w:r>
      <w:r w:rsidR="002D5243" w:rsidRPr="00EE4CB6">
        <w:t>ndet</w:t>
      </w:r>
      <w:r w:rsidR="00286192" w:rsidRPr="00EE4CB6">
        <w:t>ë</w:t>
      </w:r>
      <w:r w:rsidR="002D5243" w:rsidRPr="00EE4CB6">
        <w:t>sor</w:t>
      </w:r>
      <w:bookmarkEnd w:id="45"/>
    </w:p>
    <w:p w14:paraId="2E03445A" w14:textId="09C70D5E" w:rsidR="002D5243" w:rsidRPr="009475CC" w:rsidRDefault="002D5243" w:rsidP="00050D9D">
      <w:pPr>
        <w:jc w:val="both"/>
        <w:rPr>
          <w:rFonts w:cs="Times New Roman"/>
          <w:szCs w:val="24"/>
          <w:lang w:val="sq-AL"/>
        </w:rPr>
      </w:pPr>
      <w:r w:rsidRPr="009475CC">
        <w:rPr>
          <w:rFonts w:cs="Times New Roman"/>
          <w:szCs w:val="24"/>
          <w:lang w:val="sq-AL"/>
        </w:rPr>
        <w:t>Inspektorati, që mbulon fushën e shëndetësisë, Inspektorati Shtetëror Shëndetësor, është struktura përgjegjëse për mbikëqyrjen dhe kontrollin e zbatueshmërisë së Ligjit</w:t>
      </w:r>
      <w:r w:rsidR="00286192">
        <w:rPr>
          <w:rFonts w:cs="Times New Roman"/>
          <w:szCs w:val="24"/>
          <w:lang w:val="sq-AL"/>
        </w:rPr>
        <w:t xml:space="preserve"> nr.</w:t>
      </w:r>
      <w:r w:rsidRPr="009475CC">
        <w:rPr>
          <w:rFonts w:cs="Times New Roman"/>
          <w:szCs w:val="24"/>
          <w:lang w:val="sq-AL"/>
        </w:rPr>
        <w:t xml:space="preserve"> 26/2017 “Për produktet </w:t>
      </w:r>
      <w:r w:rsidR="00B40EA6">
        <w:rPr>
          <w:rFonts w:cs="Times New Roman"/>
          <w:szCs w:val="24"/>
          <w:lang w:val="sq-AL"/>
        </w:rPr>
        <w:t>k</w:t>
      </w:r>
      <w:r w:rsidRPr="009475CC">
        <w:rPr>
          <w:rFonts w:cs="Times New Roman"/>
          <w:szCs w:val="24"/>
          <w:lang w:val="sq-AL"/>
        </w:rPr>
        <w:t xml:space="preserve">ozmetike” dhe akteve nën-ligjore për produktet kozmetike që importohen, prodhohen apo tregtohen në vendin tonë. ISHSH kërkon nga subjektet përgjegjëse marrjen e masave, përfshirë veprimet korrigjuese për ta sjellë produktin kozmetik në përputhje me </w:t>
      </w:r>
      <w:r w:rsidR="00286192">
        <w:rPr>
          <w:rFonts w:cs="Times New Roman"/>
          <w:szCs w:val="24"/>
          <w:lang w:val="sq-AL"/>
        </w:rPr>
        <w:t>k</w:t>
      </w:r>
      <w:r w:rsidRPr="009475CC">
        <w:rPr>
          <w:rFonts w:cs="Times New Roman"/>
          <w:szCs w:val="24"/>
          <w:lang w:val="sq-AL"/>
        </w:rPr>
        <w:t>ërkesat ligjore, për ta tërhequr atë nga tregu e kthyer mbrapsht, brenda periudhave kohore të përcaktuara në përputhje me natyrën e riskut në rastet e mospërputhshmërisë.</w:t>
      </w:r>
      <w:r w:rsidR="00286192">
        <w:rPr>
          <w:rFonts w:cs="Times New Roman"/>
          <w:szCs w:val="24"/>
          <w:lang w:val="sq-AL"/>
        </w:rPr>
        <w:t xml:space="preserve"> </w:t>
      </w:r>
      <w:r w:rsidRPr="009475CC">
        <w:rPr>
          <w:rFonts w:cs="Times New Roman"/>
          <w:szCs w:val="24"/>
          <w:lang w:val="sq-AL"/>
        </w:rPr>
        <w:t>Nga hyrja në fuqi e Ligjit</w:t>
      </w:r>
      <w:r w:rsidR="00286192">
        <w:rPr>
          <w:rFonts w:cs="Times New Roman"/>
          <w:szCs w:val="24"/>
          <w:lang w:val="sq-AL"/>
        </w:rPr>
        <w:t xml:space="preserve"> nr.</w:t>
      </w:r>
      <w:r w:rsidRPr="009475CC">
        <w:rPr>
          <w:rFonts w:cs="Times New Roman"/>
          <w:szCs w:val="24"/>
          <w:lang w:val="sq-AL"/>
        </w:rPr>
        <w:t xml:space="preserve"> 26/2017 “Për produktet </w:t>
      </w:r>
      <w:r w:rsidR="00286192">
        <w:rPr>
          <w:rFonts w:cs="Times New Roman"/>
          <w:szCs w:val="24"/>
          <w:lang w:val="sq-AL"/>
        </w:rPr>
        <w:t>k</w:t>
      </w:r>
      <w:r w:rsidRPr="009475CC">
        <w:rPr>
          <w:rFonts w:cs="Times New Roman"/>
          <w:szCs w:val="24"/>
          <w:lang w:val="sq-AL"/>
        </w:rPr>
        <w:t xml:space="preserve">ozmetike”, Inspektorati, që mbulon fushën e shëndetësisë, Inspektorati Shtetëror Shëndetësor, ISHSH, ka kryer një numër të madh inspektimesh dhe monitorimesh në terren me qëllim njohjen e subjekteve me kërkesat e ligjit dhe detyrimet që </w:t>
      </w:r>
      <w:r w:rsidR="00B40EA6">
        <w:rPr>
          <w:rFonts w:cs="Times New Roman"/>
          <w:szCs w:val="24"/>
          <w:lang w:val="sq-AL"/>
        </w:rPr>
        <w:t>rëndojnë mbi to</w:t>
      </w:r>
      <w:r w:rsidRPr="009475CC">
        <w:rPr>
          <w:rFonts w:cs="Times New Roman"/>
          <w:szCs w:val="24"/>
          <w:lang w:val="sq-AL"/>
        </w:rPr>
        <w:t>. Gjatë inspektimeve u konstatua një mungesë totale informimi nga ana e subjekteve për ekzistencën e një ligji për kozmetikën. Inspektimet në terren nga ana e Inspektoratit Shtetëror Shëndetësor, ISHSH, u paraprinë nga tra</w:t>
      </w:r>
      <w:r w:rsidR="00B40EA6">
        <w:rPr>
          <w:rFonts w:cs="Times New Roman"/>
          <w:szCs w:val="24"/>
          <w:lang w:val="sq-AL"/>
        </w:rPr>
        <w:t>j</w:t>
      </w:r>
      <w:r w:rsidRPr="009475CC">
        <w:rPr>
          <w:rFonts w:cs="Times New Roman"/>
          <w:szCs w:val="24"/>
          <w:lang w:val="sq-AL"/>
        </w:rPr>
        <w:t xml:space="preserve">nime të personelit inspektues në të gjithë vendin. Gjatë  periudhës 2019 - 2021, megjithëse në periudhën e pandemisë së shkaktuar nga Covid -19 dhe inspektimet ishin të përqëndruara kryesisht mbi zbatimin e masave parandaluese ndaj infeksionit të shkaktuar nga Covid, është arritur që pjesa më e madhe e subjekteve që operojnë në fushën e kozmetikës të njihen me </w:t>
      </w:r>
      <w:r w:rsidR="00286192">
        <w:rPr>
          <w:rFonts w:cs="Times New Roman"/>
          <w:szCs w:val="24"/>
          <w:lang w:val="sq-AL"/>
        </w:rPr>
        <w:t>L</w:t>
      </w:r>
      <w:r w:rsidRPr="009475CC">
        <w:rPr>
          <w:rFonts w:cs="Times New Roman"/>
          <w:szCs w:val="24"/>
          <w:lang w:val="sq-AL"/>
        </w:rPr>
        <w:t>igjin</w:t>
      </w:r>
      <w:r w:rsidR="00286192">
        <w:rPr>
          <w:rFonts w:cs="Times New Roman"/>
          <w:szCs w:val="24"/>
          <w:lang w:val="sq-AL"/>
        </w:rPr>
        <w:t xml:space="preserve"> nr.</w:t>
      </w:r>
      <w:r w:rsidRPr="009475CC">
        <w:rPr>
          <w:rFonts w:cs="Times New Roman"/>
          <w:szCs w:val="24"/>
          <w:lang w:val="sq-AL"/>
        </w:rPr>
        <w:t xml:space="preserve"> 26/2017 dhe të fillojnë të zbatojnë kërkesat ligjore të cilat  rrjedhin nga ky ligj. N</w:t>
      </w:r>
      <w:r w:rsidR="00286192">
        <w:rPr>
          <w:rFonts w:cs="Times New Roman"/>
          <w:szCs w:val="24"/>
          <w:lang w:val="sq-AL"/>
        </w:rPr>
        <w:t>g</w:t>
      </w:r>
      <w:r w:rsidRPr="009475CC">
        <w:rPr>
          <w:rFonts w:cs="Times New Roman"/>
          <w:szCs w:val="24"/>
          <w:lang w:val="sq-AL"/>
        </w:rPr>
        <w:t xml:space="preserve">a muaji qershor 2018 deri në muajin maj 2019 ishin të njoftuara pranë Ministrisë së Shëndetësisë dhe Mbrojtjes Sociale (sipas nenit 12) rreth 1500 kode produktesh. Rezultatet e inspektimeve të ISHSH kanë sjellë rritjen e numrit të njoftimeve pranë Ministrisë së Shëndetësisë dhe Mbrojtjes Sociale. Deri në dhjetor 2021 janë njoftuar (sipas nenit 12) të </w:t>
      </w:r>
      <w:r w:rsidR="00286192">
        <w:rPr>
          <w:rFonts w:cs="Times New Roman"/>
          <w:szCs w:val="24"/>
          <w:lang w:val="sq-AL"/>
        </w:rPr>
        <w:t>L</w:t>
      </w:r>
      <w:r w:rsidRPr="009475CC">
        <w:rPr>
          <w:rFonts w:cs="Times New Roman"/>
          <w:szCs w:val="24"/>
          <w:lang w:val="sq-AL"/>
        </w:rPr>
        <w:t>igjit</w:t>
      </w:r>
      <w:r w:rsidR="00286192">
        <w:rPr>
          <w:rFonts w:cs="Times New Roman"/>
          <w:szCs w:val="24"/>
          <w:lang w:val="sq-AL"/>
        </w:rPr>
        <w:t xml:space="preserve"> nr.</w:t>
      </w:r>
      <w:r w:rsidRPr="009475CC">
        <w:rPr>
          <w:rFonts w:cs="Times New Roman"/>
          <w:szCs w:val="24"/>
          <w:lang w:val="sq-AL"/>
        </w:rPr>
        <w:t xml:space="preserve"> 26/2017 rreth 42</w:t>
      </w:r>
      <w:r w:rsidR="00C66938" w:rsidRPr="009475CC">
        <w:rPr>
          <w:rFonts w:cs="Times New Roman"/>
          <w:szCs w:val="24"/>
          <w:lang w:val="sq-AL"/>
        </w:rPr>
        <w:t xml:space="preserve"> 500 kode produktesh kozmetike.</w:t>
      </w:r>
    </w:p>
    <w:p w14:paraId="4E61EA64" w14:textId="1C262F73" w:rsidR="002D5243" w:rsidRPr="00B40EA6" w:rsidRDefault="00C66938" w:rsidP="00050D9D">
      <w:pPr>
        <w:ind w:left="360"/>
        <w:jc w:val="both"/>
        <w:rPr>
          <w:rFonts w:cs="Times New Roman"/>
          <w:b/>
          <w:bCs/>
          <w:i/>
          <w:iCs/>
          <w:szCs w:val="24"/>
          <w:lang w:val="sq-AL"/>
        </w:rPr>
      </w:pPr>
      <w:r w:rsidRPr="009475CC">
        <w:rPr>
          <w:rFonts w:cs="Times New Roman"/>
          <w:szCs w:val="24"/>
          <w:lang w:val="sq-AL"/>
        </w:rPr>
        <w:t xml:space="preserve"> </w:t>
      </w:r>
      <w:r w:rsidR="00B40EA6" w:rsidRPr="00B40EA6">
        <w:rPr>
          <w:rFonts w:cs="Times New Roman"/>
          <w:b/>
          <w:bCs/>
          <w:i/>
          <w:iCs/>
          <w:szCs w:val="24"/>
          <w:lang w:val="sq-AL"/>
        </w:rPr>
        <w:t>T</w:t>
      </w:r>
      <w:r w:rsidR="002D5243" w:rsidRPr="00B40EA6">
        <w:rPr>
          <w:rFonts w:cs="Times New Roman"/>
          <w:b/>
          <w:bCs/>
          <w:i/>
          <w:iCs/>
          <w:szCs w:val="24"/>
          <w:lang w:val="sq-AL"/>
        </w:rPr>
        <w:t>abel</w:t>
      </w:r>
      <w:r w:rsidR="00B40EA6" w:rsidRPr="00B40EA6">
        <w:rPr>
          <w:rFonts w:cs="Times New Roman"/>
          <w:b/>
          <w:bCs/>
          <w:i/>
          <w:iCs/>
          <w:szCs w:val="24"/>
          <w:lang w:val="sq-AL"/>
        </w:rPr>
        <w:t xml:space="preserve">a </w:t>
      </w:r>
      <w:r w:rsidR="002D5243" w:rsidRPr="00B40EA6">
        <w:rPr>
          <w:rFonts w:cs="Times New Roman"/>
          <w:b/>
          <w:bCs/>
          <w:i/>
          <w:iCs/>
          <w:szCs w:val="24"/>
          <w:lang w:val="sq-AL"/>
        </w:rPr>
        <w:t>n</w:t>
      </w:r>
      <w:r w:rsidR="00B40EA6" w:rsidRPr="00B40EA6">
        <w:rPr>
          <w:rFonts w:cs="Times New Roman"/>
          <w:b/>
          <w:bCs/>
          <w:i/>
          <w:iCs/>
          <w:szCs w:val="24"/>
          <w:lang w:val="sq-AL"/>
        </w:rPr>
        <w:t>r.1</w:t>
      </w:r>
      <w:r w:rsidR="002D5243" w:rsidRPr="00B40EA6">
        <w:rPr>
          <w:rFonts w:cs="Times New Roman"/>
          <w:b/>
          <w:bCs/>
          <w:i/>
          <w:iCs/>
          <w:szCs w:val="24"/>
          <w:lang w:val="sq-AL"/>
        </w:rPr>
        <w:t xml:space="preserve"> </w:t>
      </w:r>
      <w:r w:rsidR="00B40EA6" w:rsidRPr="00B40EA6">
        <w:rPr>
          <w:rFonts w:cs="Times New Roman"/>
          <w:b/>
          <w:bCs/>
          <w:i/>
          <w:iCs/>
          <w:szCs w:val="24"/>
          <w:lang w:val="sq-AL"/>
        </w:rPr>
        <w:t>Numri i</w:t>
      </w:r>
      <w:r w:rsidR="002D5243" w:rsidRPr="00B40EA6">
        <w:rPr>
          <w:rFonts w:cs="Times New Roman"/>
          <w:b/>
          <w:bCs/>
          <w:i/>
          <w:iCs/>
          <w:szCs w:val="24"/>
          <w:lang w:val="sq-AL"/>
        </w:rPr>
        <w:t xml:space="preserve"> inspektimeve </w:t>
      </w:r>
    </w:p>
    <w:tbl>
      <w:tblPr>
        <w:tblW w:w="9468" w:type="dxa"/>
        <w:tblInd w:w="30" w:type="dxa"/>
        <w:tblLook w:val="04A0" w:firstRow="1" w:lastRow="0" w:firstColumn="1" w:lastColumn="0" w:noHBand="0" w:noVBand="1"/>
      </w:tblPr>
      <w:tblGrid>
        <w:gridCol w:w="948"/>
        <w:gridCol w:w="1442"/>
        <w:gridCol w:w="1975"/>
        <w:gridCol w:w="1473"/>
        <w:gridCol w:w="984"/>
        <w:gridCol w:w="1467"/>
        <w:gridCol w:w="1762"/>
      </w:tblGrid>
      <w:tr w:rsidR="00274CDF" w:rsidRPr="009475CC" w14:paraId="78725BFF" w14:textId="77777777" w:rsidTr="009475CC">
        <w:trPr>
          <w:trHeight w:val="330"/>
        </w:trPr>
        <w:tc>
          <w:tcPr>
            <w:tcW w:w="948" w:type="dxa"/>
            <w:tcBorders>
              <w:top w:val="nil"/>
              <w:left w:val="nil"/>
              <w:bottom w:val="nil"/>
              <w:right w:val="nil"/>
            </w:tcBorders>
            <w:shd w:val="clear" w:color="auto" w:fill="auto"/>
            <w:noWrap/>
            <w:vAlign w:val="center"/>
            <w:hideMark/>
          </w:tcPr>
          <w:p w14:paraId="3789E524" w14:textId="3088C810" w:rsidR="00B40EA6" w:rsidRPr="009475CC" w:rsidRDefault="00B40EA6" w:rsidP="00050D9D">
            <w:pPr>
              <w:spacing w:line="240" w:lineRule="auto"/>
              <w:jc w:val="both"/>
              <w:rPr>
                <w:rFonts w:eastAsia="Times New Roman" w:cs="Times New Roman"/>
                <w:b/>
                <w:bCs/>
                <w:color w:val="000000"/>
                <w:szCs w:val="24"/>
                <w:lang w:eastAsia="en-GB"/>
              </w:rPr>
            </w:pPr>
          </w:p>
        </w:tc>
        <w:tc>
          <w:tcPr>
            <w:tcW w:w="1442" w:type="dxa"/>
            <w:tcBorders>
              <w:top w:val="nil"/>
              <w:left w:val="nil"/>
              <w:bottom w:val="nil"/>
              <w:right w:val="nil"/>
            </w:tcBorders>
            <w:shd w:val="clear" w:color="auto" w:fill="auto"/>
            <w:noWrap/>
            <w:vAlign w:val="center"/>
            <w:hideMark/>
          </w:tcPr>
          <w:p w14:paraId="40286AF9" w14:textId="77777777" w:rsidR="00B52A45" w:rsidRPr="009475CC" w:rsidRDefault="00B52A45" w:rsidP="00050D9D">
            <w:pPr>
              <w:spacing w:line="240" w:lineRule="auto"/>
              <w:jc w:val="both"/>
              <w:rPr>
                <w:rFonts w:eastAsia="Times New Roman" w:cs="Times New Roman"/>
                <w:szCs w:val="24"/>
                <w:lang w:eastAsia="en-GB"/>
              </w:rPr>
            </w:pPr>
          </w:p>
        </w:tc>
        <w:tc>
          <w:tcPr>
            <w:tcW w:w="1975" w:type="dxa"/>
            <w:tcBorders>
              <w:top w:val="nil"/>
              <w:left w:val="nil"/>
              <w:bottom w:val="nil"/>
              <w:right w:val="nil"/>
            </w:tcBorders>
            <w:shd w:val="clear" w:color="auto" w:fill="auto"/>
            <w:noWrap/>
            <w:vAlign w:val="center"/>
            <w:hideMark/>
          </w:tcPr>
          <w:p w14:paraId="699CA494" w14:textId="77777777" w:rsidR="00B52A45" w:rsidRPr="009475CC" w:rsidRDefault="00B52A45" w:rsidP="00050D9D">
            <w:pPr>
              <w:spacing w:line="240" w:lineRule="auto"/>
              <w:jc w:val="both"/>
              <w:rPr>
                <w:rFonts w:eastAsia="Times New Roman" w:cs="Times New Roman"/>
                <w:szCs w:val="24"/>
                <w:lang w:eastAsia="en-GB"/>
              </w:rPr>
            </w:pPr>
          </w:p>
        </w:tc>
        <w:tc>
          <w:tcPr>
            <w:tcW w:w="1473" w:type="dxa"/>
            <w:tcBorders>
              <w:top w:val="nil"/>
              <w:left w:val="nil"/>
              <w:bottom w:val="nil"/>
              <w:right w:val="nil"/>
            </w:tcBorders>
            <w:shd w:val="clear" w:color="auto" w:fill="auto"/>
            <w:noWrap/>
            <w:vAlign w:val="center"/>
            <w:hideMark/>
          </w:tcPr>
          <w:p w14:paraId="39629E9A" w14:textId="77777777" w:rsidR="00B52A45" w:rsidRPr="009475CC" w:rsidRDefault="00B52A45" w:rsidP="00050D9D">
            <w:pPr>
              <w:spacing w:line="240" w:lineRule="auto"/>
              <w:jc w:val="both"/>
              <w:rPr>
                <w:rFonts w:eastAsia="Times New Roman" w:cs="Times New Roman"/>
                <w:szCs w:val="24"/>
                <w:lang w:eastAsia="en-GB"/>
              </w:rPr>
            </w:pPr>
          </w:p>
        </w:tc>
        <w:tc>
          <w:tcPr>
            <w:tcW w:w="984" w:type="dxa"/>
            <w:tcBorders>
              <w:top w:val="nil"/>
              <w:left w:val="nil"/>
              <w:bottom w:val="nil"/>
              <w:right w:val="nil"/>
            </w:tcBorders>
            <w:shd w:val="clear" w:color="auto" w:fill="auto"/>
            <w:noWrap/>
            <w:vAlign w:val="center"/>
            <w:hideMark/>
          </w:tcPr>
          <w:p w14:paraId="176B55CF" w14:textId="77777777" w:rsidR="00B52A45" w:rsidRPr="009475CC" w:rsidRDefault="00B52A45" w:rsidP="00050D9D">
            <w:pPr>
              <w:spacing w:line="240" w:lineRule="auto"/>
              <w:jc w:val="both"/>
              <w:rPr>
                <w:rFonts w:eastAsia="Times New Roman" w:cs="Times New Roman"/>
                <w:szCs w:val="24"/>
                <w:lang w:eastAsia="en-GB"/>
              </w:rPr>
            </w:pPr>
          </w:p>
        </w:tc>
        <w:tc>
          <w:tcPr>
            <w:tcW w:w="1467" w:type="dxa"/>
            <w:tcBorders>
              <w:top w:val="nil"/>
              <w:left w:val="nil"/>
              <w:bottom w:val="nil"/>
              <w:right w:val="nil"/>
            </w:tcBorders>
            <w:shd w:val="clear" w:color="auto" w:fill="auto"/>
            <w:noWrap/>
            <w:vAlign w:val="center"/>
            <w:hideMark/>
          </w:tcPr>
          <w:p w14:paraId="0BC7B434" w14:textId="77777777" w:rsidR="00B52A45" w:rsidRPr="009475CC" w:rsidRDefault="00B52A45" w:rsidP="00050D9D">
            <w:pPr>
              <w:spacing w:line="240" w:lineRule="auto"/>
              <w:jc w:val="both"/>
              <w:rPr>
                <w:rFonts w:eastAsia="Times New Roman" w:cs="Times New Roman"/>
                <w:szCs w:val="24"/>
                <w:lang w:eastAsia="en-GB"/>
              </w:rPr>
            </w:pPr>
          </w:p>
        </w:tc>
        <w:tc>
          <w:tcPr>
            <w:tcW w:w="1179" w:type="dxa"/>
            <w:tcBorders>
              <w:top w:val="nil"/>
              <w:left w:val="nil"/>
              <w:bottom w:val="nil"/>
              <w:right w:val="nil"/>
            </w:tcBorders>
            <w:shd w:val="clear" w:color="auto" w:fill="auto"/>
            <w:noWrap/>
            <w:vAlign w:val="center"/>
            <w:hideMark/>
          </w:tcPr>
          <w:p w14:paraId="0758E5BE" w14:textId="77777777" w:rsidR="00B52A45" w:rsidRPr="009475CC" w:rsidRDefault="00B52A45" w:rsidP="00050D9D">
            <w:pPr>
              <w:spacing w:line="240" w:lineRule="auto"/>
              <w:jc w:val="both"/>
              <w:rPr>
                <w:rFonts w:eastAsia="Times New Roman" w:cs="Times New Roman"/>
                <w:szCs w:val="24"/>
                <w:lang w:eastAsia="en-GB"/>
              </w:rPr>
            </w:pPr>
          </w:p>
        </w:tc>
      </w:tr>
      <w:tr w:rsidR="00B52A45" w:rsidRPr="009475CC" w14:paraId="4A84CD04" w14:textId="77777777" w:rsidTr="009475CC">
        <w:trPr>
          <w:trHeight w:val="315"/>
        </w:trPr>
        <w:tc>
          <w:tcPr>
            <w:tcW w:w="948" w:type="dxa"/>
            <w:tcBorders>
              <w:top w:val="single" w:sz="8" w:space="0" w:color="auto"/>
              <w:left w:val="single" w:sz="8" w:space="0" w:color="auto"/>
              <w:bottom w:val="single" w:sz="4" w:space="0" w:color="auto"/>
              <w:right w:val="nil"/>
            </w:tcBorders>
            <w:shd w:val="clear" w:color="000000" w:fill="FCD5B4"/>
            <w:noWrap/>
            <w:vAlign w:val="center"/>
            <w:hideMark/>
          </w:tcPr>
          <w:p w14:paraId="56404BC2"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Viti</w:t>
            </w:r>
          </w:p>
        </w:tc>
        <w:tc>
          <w:tcPr>
            <w:tcW w:w="1442" w:type="dxa"/>
            <w:tcBorders>
              <w:top w:val="single" w:sz="8" w:space="0" w:color="auto"/>
              <w:left w:val="single" w:sz="8" w:space="0" w:color="auto"/>
              <w:bottom w:val="single" w:sz="4" w:space="0" w:color="auto"/>
              <w:right w:val="single" w:sz="4" w:space="0" w:color="auto"/>
            </w:tcBorders>
            <w:shd w:val="clear" w:color="000000" w:fill="FCD5B4"/>
            <w:noWrap/>
            <w:vAlign w:val="center"/>
            <w:hideMark/>
          </w:tcPr>
          <w:p w14:paraId="7BA730B5"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 xml:space="preserve">Inspektime </w:t>
            </w:r>
          </w:p>
        </w:tc>
        <w:tc>
          <w:tcPr>
            <w:tcW w:w="1975" w:type="dxa"/>
            <w:tcBorders>
              <w:top w:val="single" w:sz="8" w:space="0" w:color="auto"/>
              <w:left w:val="nil"/>
              <w:bottom w:val="single" w:sz="4" w:space="0" w:color="auto"/>
              <w:right w:val="single" w:sz="4" w:space="0" w:color="auto"/>
            </w:tcBorders>
            <w:shd w:val="clear" w:color="000000" w:fill="FCD5B4"/>
            <w:noWrap/>
            <w:vAlign w:val="center"/>
            <w:hideMark/>
          </w:tcPr>
          <w:p w14:paraId="58048AC9"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Ri-inspektime</w:t>
            </w:r>
          </w:p>
        </w:tc>
        <w:tc>
          <w:tcPr>
            <w:tcW w:w="1473" w:type="dxa"/>
            <w:tcBorders>
              <w:top w:val="single" w:sz="8" w:space="0" w:color="auto"/>
              <w:left w:val="nil"/>
              <w:bottom w:val="single" w:sz="4" w:space="0" w:color="auto"/>
              <w:right w:val="single" w:sz="8" w:space="0" w:color="auto"/>
            </w:tcBorders>
            <w:shd w:val="clear" w:color="000000" w:fill="FCD5B4"/>
            <w:noWrap/>
            <w:vAlign w:val="center"/>
            <w:hideMark/>
          </w:tcPr>
          <w:p w14:paraId="414D24C0"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Total</w:t>
            </w:r>
          </w:p>
        </w:tc>
        <w:tc>
          <w:tcPr>
            <w:tcW w:w="984" w:type="dxa"/>
            <w:tcBorders>
              <w:top w:val="single" w:sz="8" w:space="0" w:color="auto"/>
              <w:left w:val="nil"/>
              <w:bottom w:val="single" w:sz="4" w:space="0" w:color="auto"/>
              <w:right w:val="single" w:sz="4" w:space="0" w:color="auto"/>
            </w:tcBorders>
            <w:shd w:val="clear" w:color="000000" w:fill="FCD5B4"/>
            <w:noWrap/>
            <w:vAlign w:val="center"/>
            <w:hideMark/>
          </w:tcPr>
          <w:p w14:paraId="4787AA86"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Gjoba</w:t>
            </w:r>
          </w:p>
        </w:tc>
        <w:tc>
          <w:tcPr>
            <w:tcW w:w="1467" w:type="dxa"/>
            <w:tcBorders>
              <w:top w:val="single" w:sz="8" w:space="0" w:color="auto"/>
              <w:left w:val="nil"/>
              <w:bottom w:val="single" w:sz="4" w:space="0" w:color="auto"/>
              <w:right w:val="single" w:sz="4" w:space="0" w:color="auto"/>
            </w:tcBorders>
            <w:shd w:val="clear" w:color="000000" w:fill="FCD5B4"/>
            <w:noWrap/>
            <w:vAlign w:val="center"/>
            <w:hideMark/>
          </w:tcPr>
          <w:p w14:paraId="3AA5A92D"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Vendime</w:t>
            </w:r>
          </w:p>
        </w:tc>
        <w:tc>
          <w:tcPr>
            <w:tcW w:w="1179" w:type="dxa"/>
            <w:tcBorders>
              <w:top w:val="single" w:sz="8" w:space="0" w:color="auto"/>
              <w:left w:val="nil"/>
              <w:bottom w:val="single" w:sz="4" w:space="0" w:color="auto"/>
              <w:right w:val="single" w:sz="8" w:space="0" w:color="auto"/>
            </w:tcBorders>
            <w:shd w:val="clear" w:color="000000" w:fill="FCD5B4"/>
            <w:noWrap/>
            <w:vAlign w:val="center"/>
            <w:hideMark/>
          </w:tcPr>
          <w:p w14:paraId="0057FCAB"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Paralajmerime</w:t>
            </w:r>
          </w:p>
        </w:tc>
      </w:tr>
      <w:tr w:rsidR="00274CDF" w:rsidRPr="009475CC" w14:paraId="6106FB71" w14:textId="77777777" w:rsidTr="009475CC">
        <w:trPr>
          <w:trHeight w:val="315"/>
        </w:trPr>
        <w:tc>
          <w:tcPr>
            <w:tcW w:w="948" w:type="dxa"/>
            <w:tcBorders>
              <w:top w:val="nil"/>
              <w:left w:val="single" w:sz="8" w:space="0" w:color="auto"/>
              <w:bottom w:val="single" w:sz="4" w:space="0" w:color="auto"/>
              <w:right w:val="nil"/>
            </w:tcBorders>
            <w:shd w:val="clear" w:color="auto" w:fill="auto"/>
            <w:noWrap/>
            <w:vAlign w:val="center"/>
            <w:hideMark/>
          </w:tcPr>
          <w:p w14:paraId="63B9E254"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2019</w:t>
            </w:r>
          </w:p>
        </w:tc>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6D2C8A81"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59</w:t>
            </w:r>
          </w:p>
        </w:tc>
        <w:tc>
          <w:tcPr>
            <w:tcW w:w="1975" w:type="dxa"/>
            <w:tcBorders>
              <w:top w:val="nil"/>
              <w:left w:val="nil"/>
              <w:bottom w:val="single" w:sz="4" w:space="0" w:color="auto"/>
              <w:right w:val="single" w:sz="4" w:space="0" w:color="auto"/>
            </w:tcBorders>
            <w:shd w:val="clear" w:color="auto" w:fill="auto"/>
            <w:noWrap/>
            <w:vAlign w:val="center"/>
            <w:hideMark/>
          </w:tcPr>
          <w:p w14:paraId="60CA5678"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12</w:t>
            </w:r>
          </w:p>
        </w:tc>
        <w:tc>
          <w:tcPr>
            <w:tcW w:w="1473" w:type="dxa"/>
            <w:tcBorders>
              <w:top w:val="nil"/>
              <w:left w:val="nil"/>
              <w:bottom w:val="single" w:sz="4" w:space="0" w:color="auto"/>
              <w:right w:val="single" w:sz="8" w:space="0" w:color="auto"/>
            </w:tcBorders>
            <w:shd w:val="clear" w:color="auto" w:fill="auto"/>
            <w:noWrap/>
            <w:vAlign w:val="center"/>
            <w:hideMark/>
          </w:tcPr>
          <w:p w14:paraId="4D64311B"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71</w:t>
            </w:r>
          </w:p>
        </w:tc>
        <w:tc>
          <w:tcPr>
            <w:tcW w:w="984" w:type="dxa"/>
            <w:tcBorders>
              <w:top w:val="nil"/>
              <w:left w:val="nil"/>
              <w:bottom w:val="single" w:sz="4" w:space="0" w:color="auto"/>
              <w:right w:val="single" w:sz="4" w:space="0" w:color="auto"/>
            </w:tcBorders>
            <w:shd w:val="clear" w:color="auto" w:fill="auto"/>
            <w:noWrap/>
            <w:vAlign w:val="center"/>
            <w:hideMark/>
          </w:tcPr>
          <w:p w14:paraId="17BCA7C9"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w:t>
            </w:r>
          </w:p>
        </w:tc>
        <w:tc>
          <w:tcPr>
            <w:tcW w:w="1467" w:type="dxa"/>
            <w:tcBorders>
              <w:top w:val="nil"/>
              <w:left w:val="nil"/>
              <w:bottom w:val="single" w:sz="4" w:space="0" w:color="auto"/>
              <w:right w:val="single" w:sz="4" w:space="0" w:color="auto"/>
            </w:tcBorders>
            <w:shd w:val="clear" w:color="auto" w:fill="auto"/>
            <w:noWrap/>
            <w:vAlign w:val="center"/>
            <w:hideMark/>
          </w:tcPr>
          <w:p w14:paraId="3B7D8EBB"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0</w:t>
            </w:r>
          </w:p>
        </w:tc>
        <w:tc>
          <w:tcPr>
            <w:tcW w:w="1179" w:type="dxa"/>
            <w:tcBorders>
              <w:top w:val="nil"/>
              <w:left w:val="nil"/>
              <w:bottom w:val="single" w:sz="4" w:space="0" w:color="auto"/>
              <w:right w:val="single" w:sz="8" w:space="0" w:color="auto"/>
            </w:tcBorders>
            <w:shd w:val="clear" w:color="auto" w:fill="auto"/>
            <w:noWrap/>
            <w:vAlign w:val="center"/>
            <w:hideMark/>
          </w:tcPr>
          <w:p w14:paraId="5AD96510"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13</w:t>
            </w:r>
          </w:p>
        </w:tc>
      </w:tr>
      <w:tr w:rsidR="00274CDF" w:rsidRPr="009475CC" w14:paraId="4254FBFE" w14:textId="77777777" w:rsidTr="009475CC">
        <w:trPr>
          <w:trHeight w:val="315"/>
        </w:trPr>
        <w:tc>
          <w:tcPr>
            <w:tcW w:w="948" w:type="dxa"/>
            <w:tcBorders>
              <w:top w:val="nil"/>
              <w:left w:val="single" w:sz="8" w:space="0" w:color="auto"/>
              <w:bottom w:val="single" w:sz="4" w:space="0" w:color="auto"/>
              <w:right w:val="nil"/>
            </w:tcBorders>
            <w:shd w:val="clear" w:color="auto" w:fill="auto"/>
            <w:noWrap/>
            <w:vAlign w:val="center"/>
            <w:hideMark/>
          </w:tcPr>
          <w:p w14:paraId="63E8F5B7"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2020</w:t>
            </w:r>
          </w:p>
        </w:tc>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7B275B3F"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9</w:t>
            </w:r>
          </w:p>
        </w:tc>
        <w:tc>
          <w:tcPr>
            <w:tcW w:w="1975" w:type="dxa"/>
            <w:tcBorders>
              <w:top w:val="nil"/>
              <w:left w:val="nil"/>
              <w:bottom w:val="single" w:sz="4" w:space="0" w:color="auto"/>
              <w:right w:val="single" w:sz="4" w:space="0" w:color="auto"/>
            </w:tcBorders>
            <w:shd w:val="clear" w:color="auto" w:fill="auto"/>
            <w:noWrap/>
            <w:vAlign w:val="center"/>
            <w:hideMark/>
          </w:tcPr>
          <w:p w14:paraId="2FE48410"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0</w:t>
            </w:r>
          </w:p>
        </w:tc>
        <w:tc>
          <w:tcPr>
            <w:tcW w:w="1473" w:type="dxa"/>
            <w:tcBorders>
              <w:top w:val="nil"/>
              <w:left w:val="nil"/>
              <w:bottom w:val="single" w:sz="4" w:space="0" w:color="auto"/>
              <w:right w:val="single" w:sz="8" w:space="0" w:color="auto"/>
            </w:tcBorders>
            <w:shd w:val="clear" w:color="auto" w:fill="auto"/>
            <w:noWrap/>
            <w:vAlign w:val="center"/>
            <w:hideMark/>
          </w:tcPr>
          <w:p w14:paraId="6CAB1D2C"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9</w:t>
            </w:r>
          </w:p>
        </w:tc>
        <w:tc>
          <w:tcPr>
            <w:tcW w:w="984" w:type="dxa"/>
            <w:tcBorders>
              <w:top w:val="nil"/>
              <w:left w:val="nil"/>
              <w:bottom w:val="single" w:sz="4" w:space="0" w:color="auto"/>
              <w:right w:val="single" w:sz="4" w:space="0" w:color="auto"/>
            </w:tcBorders>
            <w:shd w:val="clear" w:color="auto" w:fill="auto"/>
            <w:noWrap/>
            <w:vAlign w:val="center"/>
            <w:hideMark/>
          </w:tcPr>
          <w:p w14:paraId="7B8B0622"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w:t>
            </w:r>
          </w:p>
        </w:tc>
        <w:tc>
          <w:tcPr>
            <w:tcW w:w="1467" w:type="dxa"/>
            <w:tcBorders>
              <w:top w:val="nil"/>
              <w:left w:val="nil"/>
              <w:bottom w:val="single" w:sz="4" w:space="0" w:color="auto"/>
              <w:right w:val="single" w:sz="4" w:space="0" w:color="auto"/>
            </w:tcBorders>
            <w:shd w:val="clear" w:color="auto" w:fill="auto"/>
            <w:noWrap/>
            <w:vAlign w:val="center"/>
            <w:hideMark/>
          </w:tcPr>
          <w:p w14:paraId="1F774EF3"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0</w:t>
            </w:r>
          </w:p>
        </w:tc>
        <w:tc>
          <w:tcPr>
            <w:tcW w:w="1179" w:type="dxa"/>
            <w:tcBorders>
              <w:top w:val="nil"/>
              <w:left w:val="nil"/>
              <w:bottom w:val="single" w:sz="4" w:space="0" w:color="auto"/>
              <w:right w:val="single" w:sz="8" w:space="0" w:color="auto"/>
            </w:tcBorders>
            <w:shd w:val="clear" w:color="auto" w:fill="auto"/>
            <w:noWrap/>
            <w:vAlign w:val="center"/>
            <w:hideMark/>
          </w:tcPr>
          <w:p w14:paraId="3F1C78D9"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5</w:t>
            </w:r>
          </w:p>
        </w:tc>
      </w:tr>
      <w:tr w:rsidR="00274CDF" w:rsidRPr="009475CC" w14:paraId="2D2AC23E" w14:textId="77777777" w:rsidTr="009475CC">
        <w:trPr>
          <w:trHeight w:val="315"/>
        </w:trPr>
        <w:tc>
          <w:tcPr>
            <w:tcW w:w="948" w:type="dxa"/>
            <w:tcBorders>
              <w:top w:val="nil"/>
              <w:left w:val="single" w:sz="8" w:space="0" w:color="auto"/>
              <w:bottom w:val="single" w:sz="4" w:space="0" w:color="auto"/>
              <w:right w:val="nil"/>
            </w:tcBorders>
            <w:shd w:val="clear" w:color="auto" w:fill="auto"/>
            <w:noWrap/>
            <w:vAlign w:val="center"/>
            <w:hideMark/>
          </w:tcPr>
          <w:p w14:paraId="51540CF9"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lastRenderedPageBreak/>
              <w:t>2021</w:t>
            </w:r>
          </w:p>
        </w:tc>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20829429"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913</w:t>
            </w:r>
          </w:p>
        </w:tc>
        <w:tc>
          <w:tcPr>
            <w:tcW w:w="1975" w:type="dxa"/>
            <w:tcBorders>
              <w:top w:val="nil"/>
              <w:left w:val="nil"/>
              <w:bottom w:val="single" w:sz="4" w:space="0" w:color="auto"/>
              <w:right w:val="single" w:sz="4" w:space="0" w:color="auto"/>
            </w:tcBorders>
            <w:shd w:val="clear" w:color="auto" w:fill="auto"/>
            <w:noWrap/>
            <w:vAlign w:val="center"/>
            <w:hideMark/>
          </w:tcPr>
          <w:p w14:paraId="4C7AAB5B"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97</w:t>
            </w:r>
          </w:p>
        </w:tc>
        <w:tc>
          <w:tcPr>
            <w:tcW w:w="1473" w:type="dxa"/>
            <w:tcBorders>
              <w:top w:val="nil"/>
              <w:left w:val="nil"/>
              <w:bottom w:val="single" w:sz="4" w:space="0" w:color="auto"/>
              <w:right w:val="single" w:sz="8" w:space="0" w:color="auto"/>
            </w:tcBorders>
            <w:shd w:val="clear" w:color="auto" w:fill="auto"/>
            <w:noWrap/>
            <w:vAlign w:val="center"/>
            <w:hideMark/>
          </w:tcPr>
          <w:p w14:paraId="190CA052"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1010</w:t>
            </w:r>
          </w:p>
        </w:tc>
        <w:tc>
          <w:tcPr>
            <w:tcW w:w="984" w:type="dxa"/>
            <w:tcBorders>
              <w:top w:val="nil"/>
              <w:left w:val="nil"/>
              <w:bottom w:val="single" w:sz="4" w:space="0" w:color="auto"/>
              <w:right w:val="single" w:sz="4" w:space="0" w:color="auto"/>
            </w:tcBorders>
            <w:shd w:val="clear" w:color="auto" w:fill="auto"/>
            <w:noWrap/>
            <w:vAlign w:val="center"/>
            <w:hideMark/>
          </w:tcPr>
          <w:p w14:paraId="146F3099"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0</w:t>
            </w:r>
          </w:p>
        </w:tc>
        <w:tc>
          <w:tcPr>
            <w:tcW w:w="1467" w:type="dxa"/>
            <w:tcBorders>
              <w:top w:val="nil"/>
              <w:left w:val="nil"/>
              <w:bottom w:val="single" w:sz="4" w:space="0" w:color="auto"/>
              <w:right w:val="single" w:sz="4" w:space="0" w:color="auto"/>
            </w:tcBorders>
            <w:shd w:val="clear" w:color="auto" w:fill="auto"/>
            <w:noWrap/>
            <w:vAlign w:val="center"/>
            <w:hideMark/>
          </w:tcPr>
          <w:p w14:paraId="08A82A03"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0</w:t>
            </w:r>
          </w:p>
        </w:tc>
        <w:tc>
          <w:tcPr>
            <w:tcW w:w="1179" w:type="dxa"/>
            <w:tcBorders>
              <w:top w:val="nil"/>
              <w:left w:val="nil"/>
              <w:bottom w:val="single" w:sz="4" w:space="0" w:color="auto"/>
              <w:right w:val="single" w:sz="8" w:space="0" w:color="auto"/>
            </w:tcBorders>
            <w:shd w:val="clear" w:color="auto" w:fill="auto"/>
            <w:noWrap/>
            <w:vAlign w:val="center"/>
            <w:hideMark/>
          </w:tcPr>
          <w:p w14:paraId="3660730E"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102</w:t>
            </w:r>
          </w:p>
        </w:tc>
      </w:tr>
      <w:tr w:rsidR="00274CDF" w:rsidRPr="009475CC" w14:paraId="1EA1F0B6" w14:textId="77777777" w:rsidTr="009475CC">
        <w:trPr>
          <w:trHeight w:val="330"/>
        </w:trPr>
        <w:tc>
          <w:tcPr>
            <w:tcW w:w="948" w:type="dxa"/>
            <w:tcBorders>
              <w:top w:val="nil"/>
              <w:left w:val="single" w:sz="8" w:space="0" w:color="auto"/>
              <w:bottom w:val="nil"/>
              <w:right w:val="nil"/>
            </w:tcBorders>
            <w:shd w:val="clear" w:color="auto" w:fill="auto"/>
            <w:noWrap/>
            <w:vAlign w:val="center"/>
            <w:hideMark/>
          </w:tcPr>
          <w:p w14:paraId="5C6A9C6A"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2022</w:t>
            </w:r>
          </w:p>
        </w:tc>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00FF6AD3"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301</w:t>
            </w:r>
          </w:p>
        </w:tc>
        <w:tc>
          <w:tcPr>
            <w:tcW w:w="1975" w:type="dxa"/>
            <w:tcBorders>
              <w:top w:val="nil"/>
              <w:left w:val="nil"/>
              <w:bottom w:val="single" w:sz="4" w:space="0" w:color="auto"/>
              <w:right w:val="single" w:sz="4" w:space="0" w:color="auto"/>
            </w:tcBorders>
            <w:shd w:val="clear" w:color="auto" w:fill="auto"/>
            <w:noWrap/>
            <w:vAlign w:val="center"/>
            <w:hideMark/>
          </w:tcPr>
          <w:p w14:paraId="61B1CBBC"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2</w:t>
            </w:r>
          </w:p>
        </w:tc>
        <w:tc>
          <w:tcPr>
            <w:tcW w:w="1473" w:type="dxa"/>
            <w:tcBorders>
              <w:top w:val="nil"/>
              <w:left w:val="nil"/>
              <w:bottom w:val="single" w:sz="4" w:space="0" w:color="auto"/>
              <w:right w:val="single" w:sz="8" w:space="0" w:color="auto"/>
            </w:tcBorders>
            <w:shd w:val="clear" w:color="auto" w:fill="auto"/>
            <w:noWrap/>
            <w:vAlign w:val="center"/>
            <w:hideMark/>
          </w:tcPr>
          <w:p w14:paraId="7CE1D624"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303</w:t>
            </w:r>
          </w:p>
        </w:tc>
        <w:tc>
          <w:tcPr>
            <w:tcW w:w="984" w:type="dxa"/>
            <w:tcBorders>
              <w:top w:val="nil"/>
              <w:left w:val="nil"/>
              <w:bottom w:val="single" w:sz="4" w:space="0" w:color="auto"/>
              <w:right w:val="single" w:sz="4" w:space="0" w:color="auto"/>
            </w:tcBorders>
            <w:shd w:val="clear" w:color="auto" w:fill="auto"/>
            <w:noWrap/>
            <w:vAlign w:val="center"/>
            <w:hideMark/>
          </w:tcPr>
          <w:p w14:paraId="7EE12F7E"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8</w:t>
            </w:r>
          </w:p>
        </w:tc>
        <w:tc>
          <w:tcPr>
            <w:tcW w:w="1467" w:type="dxa"/>
            <w:tcBorders>
              <w:top w:val="nil"/>
              <w:left w:val="nil"/>
              <w:bottom w:val="single" w:sz="4" w:space="0" w:color="auto"/>
              <w:right w:val="single" w:sz="4" w:space="0" w:color="auto"/>
            </w:tcBorders>
            <w:shd w:val="clear" w:color="auto" w:fill="auto"/>
            <w:noWrap/>
            <w:vAlign w:val="center"/>
            <w:hideMark/>
          </w:tcPr>
          <w:p w14:paraId="1FE7DDE6"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w:t>
            </w:r>
          </w:p>
        </w:tc>
        <w:tc>
          <w:tcPr>
            <w:tcW w:w="1179" w:type="dxa"/>
            <w:tcBorders>
              <w:top w:val="nil"/>
              <w:left w:val="nil"/>
              <w:bottom w:val="single" w:sz="4" w:space="0" w:color="auto"/>
              <w:right w:val="single" w:sz="8" w:space="0" w:color="auto"/>
            </w:tcBorders>
            <w:shd w:val="clear" w:color="auto" w:fill="auto"/>
            <w:noWrap/>
            <w:vAlign w:val="center"/>
            <w:hideMark/>
          </w:tcPr>
          <w:p w14:paraId="1D389467" w14:textId="77777777" w:rsidR="00B52A45" w:rsidRPr="009475CC" w:rsidRDefault="00B52A45" w:rsidP="00050D9D">
            <w:pPr>
              <w:spacing w:line="240" w:lineRule="auto"/>
              <w:jc w:val="both"/>
              <w:rPr>
                <w:rFonts w:eastAsia="Times New Roman" w:cs="Times New Roman"/>
                <w:color w:val="000000"/>
                <w:szCs w:val="24"/>
                <w:lang w:eastAsia="en-GB"/>
              </w:rPr>
            </w:pPr>
            <w:r w:rsidRPr="009475CC">
              <w:rPr>
                <w:rFonts w:eastAsia="Times New Roman" w:cs="Times New Roman"/>
                <w:color w:val="000000"/>
                <w:szCs w:val="24"/>
                <w:lang w:eastAsia="en-GB"/>
              </w:rPr>
              <w:t>1</w:t>
            </w:r>
          </w:p>
        </w:tc>
      </w:tr>
      <w:tr w:rsidR="00B52A45" w:rsidRPr="009475CC" w14:paraId="331B33DA" w14:textId="77777777" w:rsidTr="009475CC">
        <w:trPr>
          <w:trHeight w:val="330"/>
        </w:trPr>
        <w:tc>
          <w:tcPr>
            <w:tcW w:w="948" w:type="dxa"/>
            <w:vMerge w:val="restart"/>
            <w:tcBorders>
              <w:top w:val="single" w:sz="8" w:space="0" w:color="auto"/>
              <w:left w:val="single" w:sz="8" w:space="0" w:color="auto"/>
              <w:bottom w:val="single" w:sz="8" w:space="0" w:color="000000"/>
              <w:right w:val="single" w:sz="8" w:space="0" w:color="auto"/>
            </w:tcBorders>
            <w:shd w:val="clear" w:color="000000" w:fill="FCD5B4"/>
            <w:noWrap/>
            <w:vAlign w:val="center"/>
            <w:hideMark/>
          </w:tcPr>
          <w:p w14:paraId="459C3FEC"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Totali</w:t>
            </w:r>
          </w:p>
        </w:tc>
        <w:tc>
          <w:tcPr>
            <w:tcW w:w="1442" w:type="dxa"/>
            <w:tcBorders>
              <w:top w:val="nil"/>
              <w:left w:val="nil"/>
              <w:bottom w:val="single" w:sz="8" w:space="0" w:color="auto"/>
              <w:right w:val="single" w:sz="4" w:space="0" w:color="auto"/>
            </w:tcBorders>
            <w:shd w:val="clear" w:color="000000" w:fill="FCD5B4"/>
            <w:noWrap/>
            <w:vAlign w:val="center"/>
            <w:hideMark/>
          </w:tcPr>
          <w:p w14:paraId="164D175B"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1282</w:t>
            </w:r>
          </w:p>
        </w:tc>
        <w:tc>
          <w:tcPr>
            <w:tcW w:w="1975" w:type="dxa"/>
            <w:tcBorders>
              <w:top w:val="nil"/>
              <w:left w:val="nil"/>
              <w:bottom w:val="single" w:sz="8" w:space="0" w:color="auto"/>
              <w:right w:val="single" w:sz="4" w:space="0" w:color="auto"/>
            </w:tcBorders>
            <w:shd w:val="clear" w:color="000000" w:fill="FCD5B4"/>
            <w:noWrap/>
            <w:vAlign w:val="center"/>
            <w:hideMark/>
          </w:tcPr>
          <w:p w14:paraId="2685B0A3"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111</w:t>
            </w:r>
          </w:p>
        </w:tc>
        <w:tc>
          <w:tcPr>
            <w:tcW w:w="1473" w:type="dxa"/>
            <w:tcBorders>
              <w:top w:val="nil"/>
              <w:left w:val="nil"/>
              <w:bottom w:val="single" w:sz="8" w:space="0" w:color="auto"/>
              <w:right w:val="single" w:sz="8" w:space="0" w:color="auto"/>
            </w:tcBorders>
            <w:shd w:val="clear" w:color="000000" w:fill="FCD5B4"/>
            <w:noWrap/>
            <w:vAlign w:val="center"/>
            <w:hideMark/>
          </w:tcPr>
          <w:p w14:paraId="71D627FE"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1393</w:t>
            </w:r>
          </w:p>
        </w:tc>
        <w:tc>
          <w:tcPr>
            <w:tcW w:w="984" w:type="dxa"/>
            <w:tcBorders>
              <w:top w:val="nil"/>
              <w:left w:val="nil"/>
              <w:bottom w:val="single" w:sz="8" w:space="0" w:color="auto"/>
              <w:right w:val="single" w:sz="4" w:space="0" w:color="auto"/>
            </w:tcBorders>
            <w:shd w:val="clear" w:color="000000" w:fill="FCD5B4"/>
            <w:noWrap/>
            <w:vAlign w:val="center"/>
            <w:hideMark/>
          </w:tcPr>
          <w:p w14:paraId="3FC91FC1"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10</w:t>
            </w:r>
          </w:p>
        </w:tc>
        <w:tc>
          <w:tcPr>
            <w:tcW w:w="1467" w:type="dxa"/>
            <w:tcBorders>
              <w:top w:val="nil"/>
              <w:left w:val="nil"/>
              <w:bottom w:val="single" w:sz="8" w:space="0" w:color="auto"/>
              <w:right w:val="single" w:sz="4" w:space="0" w:color="auto"/>
            </w:tcBorders>
            <w:shd w:val="clear" w:color="000000" w:fill="FCD5B4"/>
            <w:noWrap/>
            <w:vAlign w:val="center"/>
            <w:hideMark/>
          </w:tcPr>
          <w:p w14:paraId="21D3F8EB"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w:t>
            </w:r>
          </w:p>
        </w:tc>
        <w:tc>
          <w:tcPr>
            <w:tcW w:w="1179" w:type="dxa"/>
            <w:tcBorders>
              <w:top w:val="nil"/>
              <w:left w:val="nil"/>
              <w:bottom w:val="single" w:sz="8" w:space="0" w:color="auto"/>
              <w:right w:val="single" w:sz="8" w:space="0" w:color="auto"/>
            </w:tcBorders>
            <w:shd w:val="clear" w:color="000000" w:fill="FCD5B4"/>
            <w:noWrap/>
            <w:vAlign w:val="center"/>
            <w:hideMark/>
          </w:tcPr>
          <w:p w14:paraId="5C0125FD"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121</w:t>
            </w:r>
          </w:p>
        </w:tc>
      </w:tr>
      <w:tr w:rsidR="00B52A45" w:rsidRPr="009475CC" w14:paraId="74398704" w14:textId="77777777" w:rsidTr="009475CC">
        <w:trPr>
          <w:trHeight w:val="450"/>
        </w:trPr>
        <w:tc>
          <w:tcPr>
            <w:tcW w:w="948" w:type="dxa"/>
            <w:vMerge/>
            <w:tcBorders>
              <w:top w:val="single" w:sz="8" w:space="0" w:color="auto"/>
              <w:left w:val="single" w:sz="8" w:space="0" w:color="auto"/>
              <w:bottom w:val="single" w:sz="8" w:space="0" w:color="000000"/>
              <w:right w:val="single" w:sz="8" w:space="0" w:color="auto"/>
            </w:tcBorders>
            <w:vAlign w:val="center"/>
            <w:hideMark/>
          </w:tcPr>
          <w:p w14:paraId="35A0FCFA" w14:textId="77777777" w:rsidR="00B52A45" w:rsidRPr="009475CC" w:rsidRDefault="00B52A45" w:rsidP="00050D9D">
            <w:pPr>
              <w:spacing w:line="240" w:lineRule="auto"/>
              <w:jc w:val="both"/>
              <w:rPr>
                <w:rFonts w:eastAsia="Times New Roman" w:cs="Times New Roman"/>
                <w:b/>
                <w:bCs/>
                <w:color w:val="000000"/>
                <w:szCs w:val="24"/>
                <w:lang w:eastAsia="en-GB"/>
              </w:rPr>
            </w:pPr>
          </w:p>
        </w:tc>
        <w:tc>
          <w:tcPr>
            <w:tcW w:w="48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C15C0EF"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Inspektime 1.393</w:t>
            </w:r>
          </w:p>
        </w:tc>
        <w:tc>
          <w:tcPr>
            <w:tcW w:w="363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99780EA" w14:textId="77777777" w:rsidR="00B52A45" w:rsidRPr="009475CC" w:rsidRDefault="00B52A45" w:rsidP="00050D9D">
            <w:pPr>
              <w:spacing w:line="240" w:lineRule="auto"/>
              <w:jc w:val="both"/>
              <w:rPr>
                <w:rFonts w:eastAsia="Times New Roman" w:cs="Times New Roman"/>
                <w:b/>
                <w:bCs/>
                <w:color w:val="000000"/>
                <w:szCs w:val="24"/>
                <w:lang w:eastAsia="en-GB"/>
              </w:rPr>
            </w:pPr>
            <w:r w:rsidRPr="009475CC">
              <w:rPr>
                <w:rFonts w:eastAsia="Times New Roman" w:cs="Times New Roman"/>
                <w:b/>
                <w:bCs/>
                <w:color w:val="000000"/>
                <w:szCs w:val="24"/>
                <w:lang w:eastAsia="en-GB"/>
              </w:rPr>
              <w:t>Masa Adm 132</w:t>
            </w:r>
          </w:p>
        </w:tc>
      </w:tr>
    </w:tbl>
    <w:p w14:paraId="42D64102" w14:textId="77777777" w:rsidR="00B40EA6" w:rsidRDefault="00B40EA6" w:rsidP="00050D9D">
      <w:pPr>
        <w:jc w:val="both"/>
        <w:rPr>
          <w:rFonts w:cs="Times New Roman"/>
          <w:szCs w:val="24"/>
          <w:lang w:val="sq-AL"/>
        </w:rPr>
      </w:pPr>
    </w:p>
    <w:p w14:paraId="79D5C13D" w14:textId="77777777" w:rsidR="00B40EA6" w:rsidRDefault="002D5243" w:rsidP="00050D9D">
      <w:pPr>
        <w:jc w:val="both"/>
        <w:rPr>
          <w:rFonts w:cs="Times New Roman"/>
          <w:szCs w:val="24"/>
          <w:lang w:val="sq-AL"/>
        </w:rPr>
      </w:pPr>
      <w:r w:rsidRPr="009475CC">
        <w:rPr>
          <w:rFonts w:cs="Times New Roman"/>
          <w:szCs w:val="24"/>
          <w:lang w:val="sq-AL"/>
        </w:rPr>
        <w:t xml:space="preserve">Sfidë në punën e ISHSH </w:t>
      </w:r>
      <w:r w:rsidR="00B40EA6">
        <w:rPr>
          <w:rFonts w:cs="Times New Roman"/>
          <w:szCs w:val="24"/>
          <w:lang w:val="sq-AL"/>
        </w:rPr>
        <w:t>është:</w:t>
      </w:r>
    </w:p>
    <w:p w14:paraId="50AAE64B" w14:textId="50522658" w:rsidR="00286192" w:rsidRPr="00B40EA6" w:rsidRDefault="002D5243" w:rsidP="00623352">
      <w:pPr>
        <w:pStyle w:val="ListParagraph"/>
        <w:numPr>
          <w:ilvl w:val="0"/>
          <w:numId w:val="3"/>
        </w:numPr>
        <w:jc w:val="both"/>
        <w:rPr>
          <w:rFonts w:cs="Times New Roman"/>
          <w:szCs w:val="24"/>
          <w:lang w:val="sq-AL"/>
        </w:rPr>
      </w:pPr>
      <w:r w:rsidRPr="00B40EA6">
        <w:rPr>
          <w:rFonts w:cs="Times New Roman"/>
          <w:szCs w:val="24"/>
          <w:lang w:val="sq-AL"/>
        </w:rPr>
        <w:t>Rritja e sigurisë së produkteve që ofrohen në fushën e kozmetikës</w:t>
      </w:r>
      <w:r w:rsidR="00286192" w:rsidRPr="00B40EA6">
        <w:rPr>
          <w:rFonts w:cs="Times New Roman"/>
          <w:szCs w:val="24"/>
          <w:lang w:val="sq-AL"/>
        </w:rPr>
        <w:t>;</w:t>
      </w:r>
    </w:p>
    <w:p w14:paraId="3750057C" w14:textId="77777777" w:rsidR="00B40EA6" w:rsidRDefault="002D5243" w:rsidP="00623352">
      <w:pPr>
        <w:pStyle w:val="ListParagraph"/>
        <w:numPr>
          <w:ilvl w:val="0"/>
          <w:numId w:val="3"/>
        </w:numPr>
        <w:jc w:val="both"/>
        <w:rPr>
          <w:rFonts w:cs="Times New Roman"/>
          <w:szCs w:val="24"/>
          <w:lang w:val="sq-AL"/>
        </w:rPr>
      </w:pPr>
      <w:r w:rsidRPr="00B40EA6">
        <w:rPr>
          <w:rFonts w:cs="Times New Roman"/>
          <w:szCs w:val="24"/>
          <w:lang w:val="sq-AL"/>
        </w:rPr>
        <w:t>Ofrimi i transparencës dhe përdorimi i metoda</w:t>
      </w:r>
      <w:r w:rsidR="00B40EA6">
        <w:rPr>
          <w:rFonts w:cs="Times New Roman"/>
          <w:szCs w:val="24"/>
          <w:lang w:val="sq-AL"/>
        </w:rPr>
        <w:t>ve</w:t>
      </w:r>
      <w:r w:rsidRPr="00B40EA6">
        <w:rPr>
          <w:rFonts w:cs="Times New Roman"/>
          <w:szCs w:val="24"/>
          <w:lang w:val="sq-AL"/>
        </w:rPr>
        <w:t xml:space="preserve"> sa më bashkëkohore për kryerjen e </w:t>
      </w:r>
    </w:p>
    <w:p w14:paraId="2128DAD3" w14:textId="7D1C0746" w:rsidR="00286192" w:rsidRPr="00B40EA6" w:rsidRDefault="002D5243" w:rsidP="00050D9D">
      <w:pPr>
        <w:jc w:val="both"/>
        <w:rPr>
          <w:rFonts w:cs="Times New Roman"/>
          <w:szCs w:val="24"/>
          <w:lang w:val="sq-AL"/>
        </w:rPr>
      </w:pPr>
      <w:r w:rsidRPr="00B40EA6">
        <w:rPr>
          <w:rFonts w:cs="Times New Roman"/>
          <w:szCs w:val="24"/>
          <w:lang w:val="sq-AL"/>
        </w:rPr>
        <w:t>inspektimeve nëpërmjet mbështetjes së ofruar nga një staf i përgatitur inspektorësh</w:t>
      </w:r>
      <w:r w:rsidR="00286192" w:rsidRPr="00B40EA6">
        <w:rPr>
          <w:rFonts w:cs="Times New Roman"/>
          <w:szCs w:val="24"/>
          <w:lang w:val="sq-AL"/>
        </w:rPr>
        <w:t>;</w:t>
      </w:r>
    </w:p>
    <w:p w14:paraId="1716257C" w14:textId="77777777" w:rsidR="00B40EA6" w:rsidRDefault="002D5243" w:rsidP="00623352">
      <w:pPr>
        <w:pStyle w:val="ListParagraph"/>
        <w:numPr>
          <w:ilvl w:val="0"/>
          <w:numId w:val="3"/>
        </w:numPr>
        <w:jc w:val="both"/>
        <w:rPr>
          <w:rFonts w:cs="Times New Roman"/>
          <w:szCs w:val="24"/>
          <w:lang w:val="sq-AL"/>
        </w:rPr>
      </w:pPr>
      <w:r w:rsidRPr="00B40EA6">
        <w:rPr>
          <w:rFonts w:cs="Times New Roman"/>
          <w:szCs w:val="24"/>
          <w:lang w:val="sq-AL"/>
        </w:rPr>
        <w:t>Krijimi i një sistem të brendshëm alarmi të shpejtë për të arritur në një gjurmueshmëri</w:t>
      </w:r>
    </w:p>
    <w:p w14:paraId="47B389B8" w14:textId="3CA6340D" w:rsidR="002D5243" w:rsidRPr="00B40EA6" w:rsidRDefault="002D5243" w:rsidP="00050D9D">
      <w:pPr>
        <w:jc w:val="both"/>
        <w:rPr>
          <w:rFonts w:cs="Times New Roman"/>
          <w:szCs w:val="24"/>
          <w:lang w:val="sq-AL"/>
        </w:rPr>
      </w:pPr>
      <w:r w:rsidRPr="00B40EA6">
        <w:rPr>
          <w:rFonts w:cs="Times New Roman"/>
          <w:szCs w:val="24"/>
          <w:lang w:val="sq-AL"/>
        </w:rPr>
        <w:t>të plotë të të gjitha produkteve dhe mallrave br</w:t>
      </w:r>
      <w:r w:rsidR="00B40EA6">
        <w:rPr>
          <w:rFonts w:cs="Times New Roman"/>
          <w:szCs w:val="24"/>
          <w:lang w:val="sq-AL"/>
        </w:rPr>
        <w:t>e</w:t>
      </w:r>
      <w:r w:rsidRPr="00B40EA6">
        <w:rPr>
          <w:rFonts w:cs="Times New Roman"/>
          <w:szCs w:val="24"/>
          <w:lang w:val="sq-AL"/>
        </w:rPr>
        <w:t>nda fushës që ai mbulon</w:t>
      </w:r>
      <w:r w:rsidR="00286192" w:rsidRPr="00B40EA6">
        <w:rPr>
          <w:rFonts w:cs="Times New Roman"/>
          <w:szCs w:val="24"/>
          <w:lang w:val="sq-AL"/>
        </w:rPr>
        <w:t>;</w:t>
      </w:r>
    </w:p>
    <w:p w14:paraId="5FF0F918" w14:textId="77777777" w:rsidR="00B40EA6" w:rsidRDefault="002D5243" w:rsidP="00623352">
      <w:pPr>
        <w:pStyle w:val="ListParagraph"/>
        <w:numPr>
          <w:ilvl w:val="0"/>
          <w:numId w:val="3"/>
        </w:numPr>
        <w:jc w:val="both"/>
        <w:rPr>
          <w:rFonts w:cs="Times New Roman"/>
          <w:szCs w:val="24"/>
          <w:lang w:val="sq-AL"/>
        </w:rPr>
      </w:pPr>
      <w:r w:rsidRPr="00B40EA6">
        <w:rPr>
          <w:rFonts w:cs="Times New Roman"/>
          <w:szCs w:val="24"/>
          <w:lang w:val="sq-AL"/>
        </w:rPr>
        <w:t>Ndërgjegjësimi i subjekteve për masat që duhen marrë për përmirësimin e aktivitetit të</w:t>
      </w:r>
    </w:p>
    <w:p w14:paraId="4DB7235F" w14:textId="4BC5022B" w:rsidR="002D5243" w:rsidRPr="00B40EA6" w:rsidRDefault="002D5243" w:rsidP="00050D9D">
      <w:pPr>
        <w:jc w:val="both"/>
        <w:rPr>
          <w:rFonts w:cs="Times New Roman"/>
          <w:szCs w:val="24"/>
          <w:lang w:val="sq-AL"/>
        </w:rPr>
      </w:pPr>
      <w:r w:rsidRPr="00B40EA6">
        <w:rPr>
          <w:rFonts w:cs="Times New Roman"/>
          <w:szCs w:val="24"/>
          <w:lang w:val="sq-AL"/>
        </w:rPr>
        <w:t>tyre në kuadër të legjislacionit në fuqi në lidhje me sigurinë e produkteve kozmetike, duke synuar plotësimin e kushteve që kërkohen të arrihen për Integrimin Europian</w:t>
      </w:r>
      <w:r w:rsidR="00286192" w:rsidRPr="00B40EA6">
        <w:rPr>
          <w:rFonts w:cs="Times New Roman"/>
          <w:szCs w:val="24"/>
          <w:lang w:val="sq-AL"/>
        </w:rPr>
        <w:t>;</w:t>
      </w:r>
    </w:p>
    <w:p w14:paraId="6703AD55" w14:textId="77777777" w:rsidR="00B40EA6" w:rsidRDefault="002D5243" w:rsidP="00623352">
      <w:pPr>
        <w:pStyle w:val="ListParagraph"/>
        <w:numPr>
          <w:ilvl w:val="0"/>
          <w:numId w:val="3"/>
        </w:numPr>
        <w:jc w:val="both"/>
        <w:rPr>
          <w:rFonts w:cs="Times New Roman"/>
          <w:szCs w:val="24"/>
          <w:lang w:val="sq-AL"/>
        </w:rPr>
      </w:pPr>
      <w:r w:rsidRPr="00B40EA6">
        <w:rPr>
          <w:rFonts w:cs="Times New Roman"/>
          <w:szCs w:val="24"/>
          <w:lang w:val="sq-AL"/>
        </w:rPr>
        <w:t xml:space="preserve">Të mbrojë konsumatorët shqiptarë në mënyrë efektive nga risqet dhe kërcënimet në </w:t>
      </w:r>
    </w:p>
    <w:p w14:paraId="05D4D0F4" w14:textId="235AA1F3" w:rsidR="002D5243" w:rsidRPr="00B40EA6" w:rsidRDefault="002D5243" w:rsidP="00050D9D">
      <w:pPr>
        <w:jc w:val="both"/>
        <w:rPr>
          <w:rFonts w:cs="Times New Roman"/>
          <w:szCs w:val="24"/>
          <w:lang w:val="sq-AL"/>
        </w:rPr>
      </w:pPr>
      <w:r w:rsidRPr="00B40EA6">
        <w:rPr>
          <w:rFonts w:cs="Times New Roman"/>
          <w:szCs w:val="24"/>
          <w:lang w:val="sq-AL"/>
        </w:rPr>
        <w:t>fushën e kozmetikës.</w:t>
      </w:r>
    </w:p>
    <w:p w14:paraId="3CF3AE67" w14:textId="27E4FCB1" w:rsidR="00286192" w:rsidRPr="00050D9D" w:rsidRDefault="003C33BF" w:rsidP="00623352">
      <w:pPr>
        <w:pStyle w:val="Heading5"/>
      </w:pPr>
      <w:bookmarkStart w:id="46" w:name="_Toc132277329"/>
      <w:bookmarkStart w:id="47" w:name="_Hlk121688924"/>
      <w:r w:rsidRPr="009475CC">
        <w:t>I</w:t>
      </w:r>
      <w:r w:rsidR="00767F30" w:rsidRPr="009475CC">
        <w:t>nspektorati Shtet</w:t>
      </w:r>
      <w:r w:rsidR="00286192">
        <w:t>ë</w:t>
      </w:r>
      <w:r w:rsidR="00767F30" w:rsidRPr="009475CC">
        <w:t xml:space="preserve">ror i </w:t>
      </w:r>
      <w:r w:rsidR="00286192">
        <w:t>M</w:t>
      </w:r>
      <w:r w:rsidR="00767F30" w:rsidRPr="009475CC">
        <w:t>bik</w:t>
      </w:r>
      <w:r w:rsidR="00286192">
        <w:t>ë</w:t>
      </w:r>
      <w:r w:rsidR="00767F30" w:rsidRPr="009475CC">
        <w:t>qyrjes s</w:t>
      </w:r>
      <w:r w:rsidR="00286192">
        <w:t>ë</w:t>
      </w:r>
      <w:r w:rsidR="00767F30" w:rsidRPr="009475CC">
        <w:t xml:space="preserve"> </w:t>
      </w:r>
      <w:r w:rsidR="00286192">
        <w:t>T</w:t>
      </w:r>
      <w:r w:rsidR="00767F30" w:rsidRPr="009475CC">
        <w:t>regut</w:t>
      </w:r>
      <w:bookmarkEnd w:id="46"/>
    </w:p>
    <w:bookmarkEnd w:id="47"/>
    <w:p w14:paraId="3B0EAA58" w14:textId="77777777" w:rsidR="00981F27" w:rsidRDefault="004A43AD" w:rsidP="00C105AB">
      <w:pPr>
        <w:jc w:val="both"/>
        <w:rPr>
          <w:rFonts w:cs="Times New Roman"/>
          <w:szCs w:val="24"/>
          <w:lang w:val="sq-AL"/>
        </w:rPr>
      </w:pPr>
      <w:r w:rsidRPr="009475CC">
        <w:rPr>
          <w:rFonts w:cs="Times New Roman"/>
          <w:szCs w:val="24"/>
          <w:lang w:val="sq-AL"/>
        </w:rPr>
        <w:t xml:space="preserve">Struktura </w:t>
      </w:r>
      <w:r w:rsidR="00B40EA6">
        <w:rPr>
          <w:rFonts w:cs="Times New Roman"/>
          <w:szCs w:val="24"/>
          <w:lang w:val="sq-AL"/>
        </w:rPr>
        <w:t>p</w:t>
      </w:r>
      <w:r w:rsidRPr="009475CC">
        <w:rPr>
          <w:rFonts w:cs="Times New Roman"/>
          <w:szCs w:val="24"/>
          <w:lang w:val="sq-AL"/>
        </w:rPr>
        <w:t xml:space="preserve">ërgjegjëse për </w:t>
      </w:r>
      <w:r w:rsidR="00B40EA6">
        <w:rPr>
          <w:rFonts w:cs="Times New Roman"/>
          <w:szCs w:val="24"/>
          <w:lang w:val="sq-AL"/>
        </w:rPr>
        <w:t>m</w:t>
      </w:r>
      <w:r w:rsidRPr="009475CC">
        <w:rPr>
          <w:rFonts w:cs="Times New Roman"/>
          <w:szCs w:val="24"/>
          <w:lang w:val="sq-AL"/>
        </w:rPr>
        <w:t xml:space="preserve">bikëqyrjen e </w:t>
      </w:r>
      <w:r w:rsidR="00B40EA6">
        <w:rPr>
          <w:rFonts w:cs="Times New Roman"/>
          <w:szCs w:val="24"/>
          <w:lang w:val="sq-AL"/>
        </w:rPr>
        <w:t>t</w:t>
      </w:r>
      <w:r w:rsidRPr="009475CC">
        <w:rPr>
          <w:rFonts w:cs="Times New Roman"/>
          <w:szCs w:val="24"/>
          <w:lang w:val="sq-AL"/>
        </w:rPr>
        <w:t xml:space="preserve">regut është institucioni përgjegjës për kontrollin dhe garantimin e sigurisë </w:t>
      </w:r>
      <w:r w:rsidR="00B40EA6">
        <w:rPr>
          <w:rFonts w:cs="Times New Roman"/>
          <w:szCs w:val="24"/>
          <w:lang w:val="sq-AL"/>
        </w:rPr>
        <w:t>s</w:t>
      </w:r>
      <w:r w:rsidRPr="009475CC">
        <w:rPr>
          <w:rFonts w:cs="Times New Roman"/>
          <w:szCs w:val="24"/>
          <w:lang w:val="sq-AL"/>
        </w:rPr>
        <w:t xml:space="preserve">ë produkteve të vendosura në treg dhe të destinuara për konsumatorët  në përputhje me legjislacionin për sigurinë e përgjithshme të produkteve joushqimore, legjislacionin për tregtimin e mbikëqyrjen e tregut të produkteve joushqimore. </w:t>
      </w:r>
    </w:p>
    <w:p w14:paraId="56B51020" w14:textId="77777777" w:rsidR="00981F27" w:rsidRDefault="004A43AD" w:rsidP="00C105AB">
      <w:pPr>
        <w:jc w:val="both"/>
        <w:rPr>
          <w:rFonts w:cs="Times New Roman"/>
          <w:szCs w:val="24"/>
          <w:lang w:val="sq-AL"/>
        </w:rPr>
      </w:pPr>
      <w:r w:rsidRPr="009475CC">
        <w:rPr>
          <w:rFonts w:cs="Times New Roman"/>
          <w:szCs w:val="24"/>
          <w:lang w:val="sq-AL"/>
        </w:rPr>
        <w:t>Prej krijimit të kësaj strukture në vitin 2016 e në vijim, është punuar për fuqizimin e saj në drejtim të ngritjes së kapaciteteve njerëzore, rritjes së aftësive tekniko-profesionale të stafit, përmirësimin e logjistikës, kuadrit ligjor si dhe ofrimit të përvojave më të mira të vendeve të rajonit dhe vendeve të BE</w:t>
      </w:r>
      <w:r w:rsidR="004D214D">
        <w:rPr>
          <w:rFonts w:cs="Times New Roman"/>
          <w:szCs w:val="24"/>
          <w:lang w:val="sq-AL"/>
        </w:rPr>
        <w:t>-së</w:t>
      </w:r>
      <w:r w:rsidRPr="009475CC">
        <w:rPr>
          <w:rFonts w:cs="Times New Roman"/>
          <w:szCs w:val="24"/>
          <w:lang w:val="sq-AL"/>
        </w:rPr>
        <w:t xml:space="preserve">. </w:t>
      </w:r>
    </w:p>
    <w:p w14:paraId="3ED1557B" w14:textId="77777777" w:rsidR="00981F27" w:rsidRDefault="004A43AD" w:rsidP="00C105AB">
      <w:pPr>
        <w:jc w:val="both"/>
        <w:rPr>
          <w:rFonts w:cs="Times New Roman"/>
          <w:szCs w:val="24"/>
          <w:lang w:val="sq-AL"/>
        </w:rPr>
      </w:pPr>
      <w:r w:rsidRPr="009475CC">
        <w:rPr>
          <w:rFonts w:cs="Times New Roman"/>
          <w:szCs w:val="24"/>
          <w:lang w:val="sq-AL"/>
        </w:rPr>
        <w:t>Kjo strukturë ka një fushë të gjerë veprimtarie dhe nga viti në vit është synuar shtrirja e kontrolleve për të gjitha kategoritë e produkteve/instalimeve me qëllim garantimin e konformitetit të tyre në përputhje me kriteret ligjore duke synuar rritjen e sigurinë dhe mbrojtjen e konsumatori</w:t>
      </w:r>
      <w:r w:rsidR="004D214D">
        <w:rPr>
          <w:rFonts w:cs="Times New Roman"/>
          <w:szCs w:val="24"/>
          <w:lang w:val="sq-AL"/>
        </w:rPr>
        <w:t>t</w:t>
      </w:r>
      <w:r w:rsidRPr="009475CC">
        <w:rPr>
          <w:rFonts w:cs="Times New Roman"/>
          <w:szCs w:val="24"/>
          <w:lang w:val="sq-AL"/>
        </w:rPr>
        <w:t xml:space="preserve">. </w:t>
      </w:r>
    </w:p>
    <w:p w14:paraId="5A199065" w14:textId="7B386D98" w:rsidR="004A43AD" w:rsidRPr="009475CC" w:rsidRDefault="004A43AD" w:rsidP="00C105AB">
      <w:pPr>
        <w:jc w:val="both"/>
        <w:rPr>
          <w:rFonts w:cs="Times New Roman"/>
          <w:szCs w:val="24"/>
          <w:lang w:val="sq-AL"/>
        </w:rPr>
      </w:pPr>
      <w:r w:rsidRPr="009475CC">
        <w:rPr>
          <w:rFonts w:cs="Times New Roman"/>
          <w:szCs w:val="24"/>
          <w:lang w:val="sq-AL"/>
        </w:rPr>
        <w:t>Fushat e inspektimit sipas kompetencës aktuale institucionale përfshijnë: inspektimet për produktet mekanike, produktet elektrike, inspektimin metrologjik, inspektimet për sigurinë e përgjithshme (artikuj të kujdesit për fëmijë, lodrat në parqe etj.), inspektimet për produktet e disponueshme për konsumatorin fundor për përputhshmërinë me legjislacionin në fuqi “Për menaxhimin e e kimikateve”, etj). Në fokus ka qenë kontrolli për sigurinë e atyre produkteve që kanë më shumë impakt tek konsumatori apo të cilat mbartin më tepër risk,  si</w:t>
      </w:r>
      <w:r w:rsidR="004D214D">
        <w:rPr>
          <w:rFonts w:cs="Times New Roman"/>
          <w:szCs w:val="24"/>
          <w:lang w:val="sq-AL"/>
        </w:rPr>
        <w:t>:</w:t>
      </w:r>
      <w:r w:rsidRPr="009475CC">
        <w:rPr>
          <w:rFonts w:cs="Times New Roman"/>
          <w:szCs w:val="24"/>
          <w:lang w:val="sq-AL"/>
        </w:rPr>
        <w:t xml:space="preserve"> ashensorë, lodra, instrumenta</w:t>
      </w:r>
      <w:r w:rsidR="004D214D">
        <w:rPr>
          <w:rFonts w:cs="Times New Roman"/>
          <w:szCs w:val="24"/>
          <w:lang w:val="sq-AL"/>
        </w:rPr>
        <w:t>t</w:t>
      </w:r>
      <w:r w:rsidRPr="009475CC">
        <w:rPr>
          <w:rFonts w:cs="Times New Roman"/>
          <w:szCs w:val="24"/>
          <w:lang w:val="sq-AL"/>
        </w:rPr>
        <w:t xml:space="preserve"> matëse ligjërisht të kontrollura, parapaketime etj. Gama e produkteve që kanë qenë në fokusin e punës së </w:t>
      </w:r>
      <w:r w:rsidR="004D214D">
        <w:rPr>
          <w:rFonts w:cs="Times New Roman"/>
          <w:szCs w:val="24"/>
          <w:lang w:val="sq-AL"/>
        </w:rPr>
        <w:t>s</w:t>
      </w:r>
      <w:r w:rsidRPr="009475CC">
        <w:rPr>
          <w:rFonts w:cs="Times New Roman"/>
          <w:szCs w:val="24"/>
          <w:lang w:val="sq-AL"/>
        </w:rPr>
        <w:t xml:space="preserve">trukturës së mbikëqyrjes është zgjeruar nga viti në vit. Në </w:t>
      </w:r>
      <w:r w:rsidRPr="009475CC">
        <w:rPr>
          <w:rFonts w:cs="Times New Roman"/>
          <w:szCs w:val="24"/>
          <w:lang w:val="sq-AL"/>
        </w:rPr>
        <w:lastRenderedPageBreak/>
        <w:t>vitin 2017 kemi inspektime vetëm për parapaketimet dhe lodrat dhe në vitet më pas është rritur numri i grup produkteve të inspektuara nga ky institucion (Tab.1) që lidhet me funksionimin e të gjithë sektorëvë të ISHMT-së, rekrutimin e stafit, trajnimin e tij si dhe miratimi i rregulloreve të reja në kuadrin e transpozimit të direktivave të BE</w:t>
      </w:r>
      <w:r w:rsidR="004D214D">
        <w:rPr>
          <w:rFonts w:cs="Times New Roman"/>
          <w:szCs w:val="24"/>
          <w:lang w:val="sq-AL"/>
        </w:rPr>
        <w:t>-së</w:t>
      </w:r>
      <w:r w:rsidRPr="009475CC">
        <w:rPr>
          <w:rFonts w:cs="Times New Roman"/>
          <w:szCs w:val="24"/>
          <w:lang w:val="sq-AL"/>
        </w:rPr>
        <w:t xml:space="preserve"> në legjislacionin shqiptar.</w:t>
      </w:r>
    </w:p>
    <w:p w14:paraId="403FF55A" w14:textId="424E9D0C" w:rsidR="004A43AD" w:rsidRPr="009475CC" w:rsidRDefault="004A43AD" w:rsidP="009475CC">
      <w:pPr>
        <w:spacing w:after="0"/>
        <w:ind w:left="360"/>
        <w:jc w:val="both"/>
        <w:rPr>
          <w:rFonts w:cs="Times New Roman"/>
          <w:szCs w:val="24"/>
          <w:lang w:val="sq-AL"/>
        </w:rPr>
      </w:pPr>
    </w:p>
    <w:tbl>
      <w:tblPr>
        <w:tblW w:w="9776" w:type="dxa"/>
        <w:tblLook w:val="04A0" w:firstRow="1" w:lastRow="0" w:firstColumn="1" w:lastColumn="0" w:noHBand="0" w:noVBand="1"/>
      </w:tblPr>
      <w:tblGrid>
        <w:gridCol w:w="636"/>
        <w:gridCol w:w="5313"/>
        <w:gridCol w:w="709"/>
        <w:gridCol w:w="708"/>
        <w:gridCol w:w="851"/>
        <w:gridCol w:w="850"/>
        <w:gridCol w:w="709"/>
      </w:tblGrid>
      <w:tr w:rsidR="00286192" w:rsidRPr="009475CC" w14:paraId="199CF668"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9DAFFA"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 </w:t>
            </w:r>
          </w:p>
        </w:tc>
        <w:tc>
          <w:tcPr>
            <w:tcW w:w="5313" w:type="dxa"/>
            <w:tcBorders>
              <w:top w:val="single" w:sz="4" w:space="0" w:color="auto"/>
              <w:left w:val="nil"/>
              <w:bottom w:val="nil"/>
              <w:right w:val="single" w:sz="4" w:space="0" w:color="auto"/>
            </w:tcBorders>
            <w:shd w:val="clear" w:color="auto" w:fill="D9D9D9" w:themeFill="background1" w:themeFillShade="D9"/>
            <w:noWrap/>
            <w:vAlign w:val="center"/>
            <w:hideMark/>
          </w:tcPr>
          <w:p w14:paraId="5074D56C"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Fushë veprimtaria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2C74A4"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2017</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837A57"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2018</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F92F60"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2019</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9B5291"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2020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BB2C3E"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2021</w:t>
            </w:r>
          </w:p>
        </w:tc>
      </w:tr>
      <w:tr w:rsidR="004A43AD" w:rsidRPr="009475CC" w14:paraId="5548E821"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5A5A9E1"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 1</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14:paraId="2F72FC20"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Inspektimi Metrologjik</w:t>
            </w:r>
          </w:p>
        </w:tc>
        <w:tc>
          <w:tcPr>
            <w:tcW w:w="709" w:type="dxa"/>
            <w:tcBorders>
              <w:top w:val="nil"/>
              <w:left w:val="nil"/>
              <w:bottom w:val="single" w:sz="4" w:space="0" w:color="auto"/>
              <w:right w:val="single" w:sz="4" w:space="0" w:color="auto"/>
            </w:tcBorders>
            <w:shd w:val="clear" w:color="auto" w:fill="auto"/>
            <w:noWrap/>
            <w:vAlign w:val="center"/>
            <w:hideMark/>
          </w:tcPr>
          <w:p w14:paraId="693F13DD"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80</w:t>
            </w:r>
          </w:p>
        </w:tc>
        <w:tc>
          <w:tcPr>
            <w:tcW w:w="708" w:type="dxa"/>
            <w:tcBorders>
              <w:top w:val="nil"/>
              <w:left w:val="nil"/>
              <w:bottom w:val="single" w:sz="4" w:space="0" w:color="auto"/>
              <w:right w:val="single" w:sz="4" w:space="0" w:color="auto"/>
            </w:tcBorders>
            <w:shd w:val="clear" w:color="auto" w:fill="auto"/>
            <w:noWrap/>
            <w:vAlign w:val="center"/>
            <w:hideMark/>
          </w:tcPr>
          <w:p w14:paraId="33EA06FD"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663</w:t>
            </w:r>
          </w:p>
        </w:tc>
        <w:tc>
          <w:tcPr>
            <w:tcW w:w="851" w:type="dxa"/>
            <w:tcBorders>
              <w:top w:val="nil"/>
              <w:left w:val="nil"/>
              <w:bottom w:val="single" w:sz="4" w:space="0" w:color="auto"/>
              <w:right w:val="single" w:sz="4" w:space="0" w:color="auto"/>
            </w:tcBorders>
            <w:shd w:val="clear" w:color="auto" w:fill="auto"/>
            <w:noWrap/>
            <w:vAlign w:val="center"/>
            <w:hideMark/>
          </w:tcPr>
          <w:p w14:paraId="341ADB7F"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533</w:t>
            </w:r>
          </w:p>
        </w:tc>
        <w:tc>
          <w:tcPr>
            <w:tcW w:w="850" w:type="dxa"/>
            <w:tcBorders>
              <w:top w:val="nil"/>
              <w:left w:val="nil"/>
              <w:bottom w:val="single" w:sz="4" w:space="0" w:color="auto"/>
              <w:right w:val="single" w:sz="4" w:space="0" w:color="auto"/>
            </w:tcBorders>
            <w:shd w:val="clear" w:color="auto" w:fill="auto"/>
            <w:noWrap/>
            <w:vAlign w:val="center"/>
            <w:hideMark/>
          </w:tcPr>
          <w:p w14:paraId="05636AD6"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542</w:t>
            </w:r>
          </w:p>
        </w:tc>
        <w:tc>
          <w:tcPr>
            <w:tcW w:w="709" w:type="dxa"/>
            <w:tcBorders>
              <w:top w:val="nil"/>
              <w:left w:val="nil"/>
              <w:bottom w:val="single" w:sz="4" w:space="0" w:color="auto"/>
              <w:right w:val="single" w:sz="4" w:space="0" w:color="auto"/>
            </w:tcBorders>
            <w:shd w:val="clear" w:color="auto" w:fill="auto"/>
            <w:noWrap/>
            <w:vAlign w:val="center"/>
            <w:hideMark/>
          </w:tcPr>
          <w:p w14:paraId="52064319"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515</w:t>
            </w:r>
          </w:p>
        </w:tc>
      </w:tr>
      <w:tr w:rsidR="004A43AD" w:rsidRPr="009475CC" w14:paraId="243D06EA"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8FE0FDB"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1.1</w:t>
            </w:r>
          </w:p>
        </w:tc>
        <w:tc>
          <w:tcPr>
            <w:tcW w:w="5313" w:type="dxa"/>
            <w:tcBorders>
              <w:top w:val="nil"/>
              <w:left w:val="nil"/>
              <w:bottom w:val="single" w:sz="4" w:space="0" w:color="auto"/>
              <w:right w:val="single" w:sz="4" w:space="0" w:color="auto"/>
            </w:tcBorders>
            <w:shd w:val="clear" w:color="auto" w:fill="auto"/>
            <w:noWrap/>
            <w:vAlign w:val="center"/>
            <w:hideMark/>
          </w:tcPr>
          <w:p w14:paraId="75B3248A"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Parapaketim</w:t>
            </w:r>
          </w:p>
        </w:tc>
        <w:tc>
          <w:tcPr>
            <w:tcW w:w="709" w:type="dxa"/>
            <w:tcBorders>
              <w:top w:val="nil"/>
              <w:left w:val="nil"/>
              <w:bottom w:val="single" w:sz="4" w:space="0" w:color="auto"/>
              <w:right w:val="single" w:sz="4" w:space="0" w:color="auto"/>
            </w:tcBorders>
            <w:shd w:val="clear" w:color="auto" w:fill="auto"/>
            <w:noWrap/>
            <w:vAlign w:val="center"/>
            <w:hideMark/>
          </w:tcPr>
          <w:p w14:paraId="748DB61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80</w:t>
            </w:r>
          </w:p>
        </w:tc>
        <w:tc>
          <w:tcPr>
            <w:tcW w:w="708" w:type="dxa"/>
            <w:tcBorders>
              <w:top w:val="nil"/>
              <w:left w:val="nil"/>
              <w:bottom w:val="single" w:sz="4" w:space="0" w:color="auto"/>
              <w:right w:val="single" w:sz="4" w:space="0" w:color="auto"/>
            </w:tcBorders>
            <w:shd w:val="clear" w:color="auto" w:fill="auto"/>
            <w:vAlign w:val="center"/>
            <w:hideMark/>
          </w:tcPr>
          <w:p w14:paraId="7B90A3F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663</w:t>
            </w:r>
          </w:p>
        </w:tc>
        <w:tc>
          <w:tcPr>
            <w:tcW w:w="851" w:type="dxa"/>
            <w:tcBorders>
              <w:top w:val="nil"/>
              <w:left w:val="nil"/>
              <w:bottom w:val="single" w:sz="4" w:space="0" w:color="auto"/>
              <w:right w:val="single" w:sz="4" w:space="0" w:color="auto"/>
            </w:tcBorders>
            <w:shd w:val="clear" w:color="auto" w:fill="auto"/>
            <w:noWrap/>
            <w:vAlign w:val="center"/>
            <w:hideMark/>
          </w:tcPr>
          <w:p w14:paraId="76F0344B"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282</w:t>
            </w:r>
          </w:p>
        </w:tc>
        <w:tc>
          <w:tcPr>
            <w:tcW w:w="850" w:type="dxa"/>
            <w:tcBorders>
              <w:top w:val="nil"/>
              <w:left w:val="nil"/>
              <w:bottom w:val="single" w:sz="4" w:space="0" w:color="auto"/>
              <w:right w:val="single" w:sz="4" w:space="0" w:color="auto"/>
            </w:tcBorders>
            <w:shd w:val="clear" w:color="auto" w:fill="auto"/>
            <w:noWrap/>
            <w:vAlign w:val="center"/>
            <w:hideMark/>
          </w:tcPr>
          <w:p w14:paraId="7813062C"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360</w:t>
            </w:r>
          </w:p>
        </w:tc>
        <w:tc>
          <w:tcPr>
            <w:tcW w:w="709" w:type="dxa"/>
            <w:tcBorders>
              <w:top w:val="nil"/>
              <w:left w:val="nil"/>
              <w:bottom w:val="single" w:sz="4" w:space="0" w:color="auto"/>
              <w:right w:val="single" w:sz="4" w:space="0" w:color="auto"/>
            </w:tcBorders>
            <w:shd w:val="clear" w:color="auto" w:fill="auto"/>
            <w:noWrap/>
            <w:vAlign w:val="center"/>
            <w:hideMark/>
          </w:tcPr>
          <w:p w14:paraId="0CE0B99A"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310</w:t>
            </w:r>
          </w:p>
        </w:tc>
      </w:tr>
      <w:tr w:rsidR="004A43AD" w:rsidRPr="009475CC" w14:paraId="55BA500B" w14:textId="77777777" w:rsidTr="009475CC">
        <w:trPr>
          <w:trHeight w:val="294"/>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43EFACD"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1.2</w:t>
            </w:r>
          </w:p>
        </w:tc>
        <w:tc>
          <w:tcPr>
            <w:tcW w:w="5313" w:type="dxa"/>
            <w:tcBorders>
              <w:top w:val="nil"/>
              <w:left w:val="nil"/>
              <w:bottom w:val="single" w:sz="4" w:space="0" w:color="auto"/>
              <w:right w:val="single" w:sz="4" w:space="0" w:color="auto"/>
            </w:tcBorders>
            <w:shd w:val="clear" w:color="auto" w:fill="auto"/>
            <w:vAlign w:val="center"/>
            <w:hideMark/>
          </w:tcPr>
          <w:p w14:paraId="0F28625E"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Inspektime për Instrumentat matëse ligjërisht të kontrolluara që vendosen në treg</w:t>
            </w:r>
          </w:p>
        </w:tc>
        <w:tc>
          <w:tcPr>
            <w:tcW w:w="709" w:type="dxa"/>
            <w:tcBorders>
              <w:top w:val="nil"/>
              <w:left w:val="nil"/>
              <w:bottom w:val="single" w:sz="4" w:space="0" w:color="auto"/>
              <w:right w:val="single" w:sz="4" w:space="0" w:color="auto"/>
            </w:tcBorders>
            <w:shd w:val="clear" w:color="auto" w:fill="auto"/>
            <w:noWrap/>
            <w:vAlign w:val="center"/>
            <w:hideMark/>
          </w:tcPr>
          <w:p w14:paraId="1B526619"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43239E87"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48858BE4"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50</w:t>
            </w:r>
          </w:p>
        </w:tc>
        <w:tc>
          <w:tcPr>
            <w:tcW w:w="850" w:type="dxa"/>
            <w:tcBorders>
              <w:top w:val="nil"/>
              <w:left w:val="nil"/>
              <w:bottom w:val="single" w:sz="4" w:space="0" w:color="auto"/>
              <w:right w:val="single" w:sz="4" w:space="0" w:color="auto"/>
            </w:tcBorders>
            <w:shd w:val="clear" w:color="auto" w:fill="auto"/>
            <w:noWrap/>
            <w:vAlign w:val="center"/>
            <w:hideMark/>
          </w:tcPr>
          <w:p w14:paraId="4654846B"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175</w:t>
            </w:r>
          </w:p>
        </w:tc>
        <w:tc>
          <w:tcPr>
            <w:tcW w:w="709" w:type="dxa"/>
            <w:tcBorders>
              <w:top w:val="nil"/>
              <w:left w:val="nil"/>
              <w:bottom w:val="single" w:sz="4" w:space="0" w:color="auto"/>
              <w:right w:val="single" w:sz="4" w:space="0" w:color="auto"/>
            </w:tcBorders>
            <w:shd w:val="clear" w:color="auto" w:fill="auto"/>
            <w:noWrap/>
            <w:vAlign w:val="center"/>
            <w:hideMark/>
          </w:tcPr>
          <w:p w14:paraId="3368C780"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205</w:t>
            </w:r>
          </w:p>
        </w:tc>
      </w:tr>
      <w:tr w:rsidR="004A43AD" w:rsidRPr="009475CC" w14:paraId="60D21708" w14:textId="77777777" w:rsidTr="009475CC">
        <w:trPr>
          <w:trHeight w:val="294"/>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79D87F7"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1.3</w:t>
            </w:r>
          </w:p>
        </w:tc>
        <w:tc>
          <w:tcPr>
            <w:tcW w:w="5313" w:type="dxa"/>
            <w:tcBorders>
              <w:top w:val="nil"/>
              <w:left w:val="nil"/>
              <w:bottom w:val="single" w:sz="4" w:space="0" w:color="auto"/>
              <w:right w:val="single" w:sz="4" w:space="0" w:color="auto"/>
            </w:tcBorders>
            <w:shd w:val="clear" w:color="auto" w:fill="auto"/>
            <w:vAlign w:val="center"/>
            <w:hideMark/>
          </w:tcPr>
          <w:p w14:paraId="217603FF"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Inspektime për instrumentet matëse ligjërisht të kontrolluara, në përdorim</w:t>
            </w:r>
          </w:p>
        </w:tc>
        <w:tc>
          <w:tcPr>
            <w:tcW w:w="709" w:type="dxa"/>
            <w:tcBorders>
              <w:top w:val="nil"/>
              <w:left w:val="nil"/>
              <w:bottom w:val="single" w:sz="4" w:space="0" w:color="auto"/>
              <w:right w:val="single" w:sz="4" w:space="0" w:color="auto"/>
            </w:tcBorders>
            <w:shd w:val="clear" w:color="auto" w:fill="auto"/>
            <w:noWrap/>
            <w:vAlign w:val="center"/>
            <w:hideMark/>
          </w:tcPr>
          <w:p w14:paraId="47840B61"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2FB5557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5A9D80AA"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201</w:t>
            </w:r>
          </w:p>
        </w:tc>
        <w:tc>
          <w:tcPr>
            <w:tcW w:w="850" w:type="dxa"/>
            <w:tcBorders>
              <w:top w:val="nil"/>
              <w:left w:val="nil"/>
              <w:bottom w:val="single" w:sz="4" w:space="0" w:color="auto"/>
              <w:right w:val="single" w:sz="4" w:space="0" w:color="auto"/>
            </w:tcBorders>
            <w:shd w:val="clear" w:color="auto" w:fill="auto"/>
            <w:noWrap/>
            <w:vAlign w:val="center"/>
            <w:hideMark/>
          </w:tcPr>
          <w:p w14:paraId="675DD4F2"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7</w:t>
            </w:r>
          </w:p>
        </w:tc>
        <w:tc>
          <w:tcPr>
            <w:tcW w:w="709" w:type="dxa"/>
            <w:tcBorders>
              <w:top w:val="nil"/>
              <w:left w:val="nil"/>
              <w:bottom w:val="single" w:sz="4" w:space="0" w:color="auto"/>
              <w:right w:val="single" w:sz="4" w:space="0" w:color="auto"/>
            </w:tcBorders>
            <w:shd w:val="clear" w:color="auto" w:fill="auto"/>
            <w:noWrap/>
            <w:vAlign w:val="center"/>
            <w:hideMark/>
          </w:tcPr>
          <w:p w14:paraId="15BF23E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r>
      <w:tr w:rsidR="004A43AD" w:rsidRPr="009475CC" w14:paraId="61464CE7"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6CA893C"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2</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14:paraId="52FFC240"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Inspektimi i produkteve elektrike</w:t>
            </w:r>
          </w:p>
        </w:tc>
        <w:tc>
          <w:tcPr>
            <w:tcW w:w="709" w:type="dxa"/>
            <w:tcBorders>
              <w:top w:val="nil"/>
              <w:left w:val="nil"/>
              <w:bottom w:val="single" w:sz="4" w:space="0" w:color="auto"/>
              <w:right w:val="single" w:sz="4" w:space="0" w:color="auto"/>
            </w:tcBorders>
            <w:shd w:val="clear" w:color="auto" w:fill="auto"/>
            <w:noWrap/>
            <w:vAlign w:val="center"/>
            <w:hideMark/>
          </w:tcPr>
          <w:p w14:paraId="38CBEA0A"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0</w:t>
            </w:r>
          </w:p>
        </w:tc>
        <w:tc>
          <w:tcPr>
            <w:tcW w:w="708" w:type="dxa"/>
            <w:tcBorders>
              <w:top w:val="nil"/>
              <w:left w:val="nil"/>
              <w:bottom w:val="single" w:sz="4" w:space="0" w:color="auto"/>
              <w:right w:val="single" w:sz="4" w:space="0" w:color="auto"/>
            </w:tcBorders>
            <w:shd w:val="clear" w:color="auto" w:fill="auto"/>
            <w:noWrap/>
            <w:vAlign w:val="center"/>
            <w:hideMark/>
          </w:tcPr>
          <w:p w14:paraId="01DE64D8"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123</w:t>
            </w:r>
          </w:p>
        </w:tc>
        <w:tc>
          <w:tcPr>
            <w:tcW w:w="851" w:type="dxa"/>
            <w:tcBorders>
              <w:top w:val="nil"/>
              <w:left w:val="nil"/>
              <w:bottom w:val="single" w:sz="4" w:space="0" w:color="auto"/>
              <w:right w:val="single" w:sz="4" w:space="0" w:color="auto"/>
            </w:tcBorders>
            <w:shd w:val="clear" w:color="auto" w:fill="auto"/>
            <w:noWrap/>
            <w:vAlign w:val="center"/>
            <w:hideMark/>
          </w:tcPr>
          <w:p w14:paraId="4BCF5276"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160</w:t>
            </w:r>
          </w:p>
        </w:tc>
        <w:tc>
          <w:tcPr>
            <w:tcW w:w="850" w:type="dxa"/>
            <w:tcBorders>
              <w:top w:val="nil"/>
              <w:left w:val="nil"/>
              <w:bottom w:val="single" w:sz="4" w:space="0" w:color="auto"/>
              <w:right w:val="single" w:sz="4" w:space="0" w:color="auto"/>
            </w:tcBorders>
            <w:shd w:val="clear" w:color="auto" w:fill="auto"/>
            <w:noWrap/>
            <w:vAlign w:val="center"/>
            <w:hideMark/>
          </w:tcPr>
          <w:p w14:paraId="6B9B6836"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78</w:t>
            </w:r>
          </w:p>
        </w:tc>
        <w:tc>
          <w:tcPr>
            <w:tcW w:w="709" w:type="dxa"/>
            <w:tcBorders>
              <w:top w:val="nil"/>
              <w:left w:val="nil"/>
              <w:bottom w:val="single" w:sz="4" w:space="0" w:color="auto"/>
              <w:right w:val="single" w:sz="4" w:space="0" w:color="auto"/>
            </w:tcBorders>
            <w:shd w:val="clear" w:color="auto" w:fill="auto"/>
            <w:noWrap/>
            <w:vAlign w:val="center"/>
            <w:hideMark/>
          </w:tcPr>
          <w:p w14:paraId="43F9CD50"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172</w:t>
            </w:r>
          </w:p>
        </w:tc>
      </w:tr>
      <w:tr w:rsidR="004A43AD" w:rsidRPr="009475CC" w14:paraId="607904C9"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10127C3"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2.1</w:t>
            </w:r>
          </w:p>
        </w:tc>
        <w:tc>
          <w:tcPr>
            <w:tcW w:w="5313" w:type="dxa"/>
            <w:tcBorders>
              <w:top w:val="single" w:sz="4" w:space="0" w:color="auto"/>
              <w:left w:val="nil"/>
              <w:bottom w:val="single" w:sz="4" w:space="0" w:color="auto"/>
              <w:right w:val="single" w:sz="4" w:space="0" w:color="auto"/>
            </w:tcBorders>
            <w:shd w:val="clear" w:color="auto" w:fill="auto"/>
            <w:noWrap/>
            <w:vAlign w:val="center"/>
          </w:tcPr>
          <w:p w14:paraId="045F489F"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Inspektime për efiçencën e energjisë</w:t>
            </w:r>
          </w:p>
        </w:tc>
        <w:tc>
          <w:tcPr>
            <w:tcW w:w="709" w:type="dxa"/>
            <w:tcBorders>
              <w:top w:val="nil"/>
              <w:left w:val="nil"/>
              <w:bottom w:val="single" w:sz="4" w:space="0" w:color="auto"/>
              <w:right w:val="single" w:sz="4" w:space="0" w:color="auto"/>
            </w:tcBorders>
            <w:shd w:val="clear" w:color="auto" w:fill="auto"/>
            <w:noWrap/>
            <w:vAlign w:val="center"/>
          </w:tcPr>
          <w:p w14:paraId="5671BB00"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8" w:type="dxa"/>
            <w:tcBorders>
              <w:top w:val="nil"/>
              <w:left w:val="nil"/>
              <w:bottom w:val="single" w:sz="4" w:space="0" w:color="auto"/>
              <w:right w:val="single" w:sz="4" w:space="0" w:color="auto"/>
            </w:tcBorders>
            <w:shd w:val="clear" w:color="auto" w:fill="auto"/>
            <w:noWrap/>
            <w:vAlign w:val="center"/>
          </w:tcPr>
          <w:p w14:paraId="641FD487"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1" w:type="dxa"/>
            <w:tcBorders>
              <w:top w:val="nil"/>
              <w:left w:val="nil"/>
              <w:bottom w:val="single" w:sz="4" w:space="0" w:color="auto"/>
              <w:right w:val="single" w:sz="4" w:space="0" w:color="auto"/>
            </w:tcBorders>
            <w:shd w:val="clear" w:color="auto" w:fill="auto"/>
            <w:noWrap/>
            <w:vAlign w:val="center"/>
          </w:tcPr>
          <w:p w14:paraId="34291D9B"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0" w:type="dxa"/>
            <w:tcBorders>
              <w:top w:val="nil"/>
              <w:left w:val="nil"/>
              <w:bottom w:val="single" w:sz="4" w:space="0" w:color="auto"/>
              <w:right w:val="single" w:sz="4" w:space="0" w:color="auto"/>
            </w:tcBorders>
            <w:shd w:val="clear" w:color="auto" w:fill="auto"/>
            <w:noWrap/>
            <w:vAlign w:val="center"/>
          </w:tcPr>
          <w:p w14:paraId="28617FA1"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9" w:type="dxa"/>
            <w:tcBorders>
              <w:top w:val="nil"/>
              <w:left w:val="nil"/>
              <w:bottom w:val="single" w:sz="4" w:space="0" w:color="auto"/>
              <w:right w:val="single" w:sz="4" w:space="0" w:color="auto"/>
            </w:tcBorders>
            <w:shd w:val="clear" w:color="auto" w:fill="auto"/>
            <w:noWrap/>
            <w:vAlign w:val="center"/>
          </w:tcPr>
          <w:p w14:paraId="3F69FF6E"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r>
      <w:tr w:rsidR="004A43AD" w:rsidRPr="009475CC" w14:paraId="29F66F0B" w14:textId="77777777" w:rsidTr="009475CC">
        <w:trPr>
          <w:trHeight w:val="494"/>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DB98D74"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 3</w:t>
            </w:r>
          </w:p>
        </w:tc>
        <w:tc>
          <w:tcPr>
            <w:tcW w:w="5313" w:type="dxa"/>
            <w:tcBorders>
              <w:top w:val="nil"/>
              <w:left w:val="nil"/>
              <w:bottom w:val="single" w:sz="4" w:space="0" w:color="auto"/>
              <w:right w:val="single" w:sz="4" w:space="0" w:color="auto"/>
            </w:tcBorders>
            <w:shd w:val="clear" w:color="auto" w:fill="auto"/>
            <w:vAlign w:val="center"/>
            <w:hideMark/>
          </w:tcPr>
          <w:p w14:paraId="72746D56"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Inspektimi i produkteve/pajisjeve mekanike (ashensorë, PMP, makineri)</w:t>
            </w:r>
          </w:p>
        </w:tc>
        <w:tc>
          <w:tcPr>
            <w:tcW w:w="709" w:type="dxa"/>
            <w:tcBorders>
              <w:top w:val="nil"/>
              <w:left w:val="nil"/>
              <w:bottom w:val="single" w:sz="4" w:space="0" w:color="auto"/>
              <w:right w:val="single" w:sz="4" w:space="0" w:color="auto"/>
            </w:tcBorders>
            <w:shd w:val="clear" w:color="auto" w:fill="auto"/>
            <w:noWrap/>
            <w:vAlign w:val="center"/>
            <w:hideMark/>
          </w:tcPr>
          <w:p w14:paraId="7793600B"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0</w:t>
            </w:r>
          </w:p>
        </w:tc>
        <w:tc>
          <w:tcPr>
            <w:tcW w:w="708" w:type="dxa"/>
            <w:tcBorders>
              <w:top w:val="nil"/>
              <w:left w:val="nil"/>
              <w:bottom w:val="single" w:sz="4" w:space="0" w:color="auto"/>
              <w:right w:val="single" w:sz="4" w:space="0" w:color="auto"/>
            </w:tcBorders>
            <w:shd w:val="clear" w:color="auto" w:fill="auto"/>
            <w:noWrap/>
            <w:vAlign w:val="center"/>
            <w:hideMark/>
          </w:tcPr>
          <w:p w14:paraId="6BD88419"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0</w:t>
            </w:r>
          </w:p>
        </w:tc>
        <w:tc>
          <w:tcPr>
            <w:tcW w:w="851" w:type="dxa"/>
            <w:tcBorders>
              <w:top w:val="nil"/>
              <w:left w:val="nil"/>
              <w:bottom w:val="single" w:sz="4" w:space="0" w:color="auto"/>
              <w:right w:val="single" w:sz="4" w:space="0" w:color="auto"/>
            </w:tcBorders>
            <w:shd w:val="clear" w:color="auto" w:fill="auto"/>
            <w:noWrap/>
            <w:vAlign w:val="center"/>
            <w:hideMark/>
          </w:tcPr>
          <w:p w14:paraId="6C50A7E5"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225</w:t>
            </w:r>
          </w:p>
        </w:tc>
        <w:tc>
          <w:tcPr>
            <w:tcW w:w="850" w:type="dxa"/>
            <w:tcBorders>
              <w:top w:val="nil"/>
              <w:left w:val="nil"/>
              <w:bottom w:val="single" w:sz="4" w:space="0" w:color="auto"/>
              <w:right w:val="single" w:sz="4" w:space="0" w:color="auto"/>
            </w:tcBorders>
            <w:shd w:val="clear" w:color="auto" w:fill="auto"/>
            <w:noWrap/>
            <w:vAlign w:val="center"/>
            <w:hideMark/>
          </w:tcPr>
          <w:p w14:paraId="6D45DCEC"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463</w:t>
            </w:r>
          </w:p>
        </w:tc>
        <w:tc>
          <w:tcPr>
            <w:tcW w:w="709" w:type="dxa"/>
            <w:tcBorders>
              <w:top w:val="nil"/>
              <w:left w:val="nil"/>
              <w:bottom w:val="single" w:sz="4" w:space="0" w:color="auto"/>
              <w:right w:val="single" w:sz="4" w:space="0" w:color="auto"/>
            </w:tcBorders>
            <w:shd w:val="clear" w:color="auto" w:fill="auto"/>
            <w:noWrap/>
            <w:vAlign w:val="center"/>
            <w:hideMark/>
          </w:tcPr>
          <w:p w14:paraId="2C3936C2"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366</w:t>
            </w:r>
          </w:p>
        </w:tc>
      </w:tr>
      <w:tr w:rsidR="004A43AD" w:rsidRPr="009475CC" w14:paraId="60449DF0"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E0EC62B"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3.1</w:t>
            </w:r>
          </w:p>
        </w:tc>
        <w:tc>
          <w:tcPr>
            <w:tcW w:w="5313" w:type="dxa"/>
            <w:tcBorders>
              <w:top w:val="nil"/>
              <w:left w:val="nil"/>
              <w:bottom w:val="single" w:sz="4" w:space="0" w:color="auto"/>
              <w:right w:val="single" w:sz="4" w:space="0" w:color="auto"/>
            </w:tcBorders>
            <w:shd w:val="clear" w:color="auto" w:fill="auto"/>
            <w:vAlign w:val="center"/>
            <w:hideMark/>
          </w:tcPr>
          <w:p w14:paraId="47D56345"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Ashensorë</w:t>
            </w:r>
          </w:p>
        </w:tc>
        <w:tc>
          <w:tcPr>
            <w:tcW w:w="709" w:type="dxa"/>
            <w:tcBorders>
              <w:top w:val="nil"/>
              <w:left w:val="nil"/>
              <w:bottom w:val="single" w:sz="4" w:space="0" w:color="auto"/>
              <w:right w:val="single" w:sz="4" w:space="0" w:color="auto"/>
            </w:tcBorders>
            <w:shd w:val="clear" w:color="auto" w:fill="auto"/>
            <w:noWrap/>
            <w:vAlign w:val="center"/>
            <w:hideMark/>
          </w:tcPr>
          <w:p w14:paraId="604E2D73"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32327762"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551AC5F0"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209</w:t>
            </w:r>
          </w:p>
        </w:tc>
        <w:tc>
          <w:tcPr>
            <w:tcW w:w="850" w:type="dxa"/>
            <w:tcBorders>
              <w:top w:val="nil"/>
              <w:left w:val="nil"/>
              <w:bottom w:val="single" w:sz="4" w:space="0" w:color="auto"/>
              <w:right w:val="single" w:sz="4" w:space="0" w:color="auto"/>
            </w:tcBorders>
            <w:shd w:val="clear" w:color="auto" w:fill="auto"/>
            <w:noWrap/>
            <w:vAlign w:val="center"/>
            <w:hideMark/>
          </w:tcPr>
          <w:p w14:paraId="7F287222"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425</w:t>
            </w:r>
          </w:p>
        </w:tc>
        <w:tc>
          <w:tcPr>
            <w:tcW w:w="709" w:type="dxa"/>
            <w:tcBorders>
              <w:top w:val="nil"/>
              <w:left w:val="nil"/>
              <w:bottom w:val="single" w:sz="4" w:space="0" w:color="auto"/>
              <w:right w:val="single" w:sz="4" w:space="0" w:color="auto"/>
            </w:tcBorders>
            <w:shd w:val="clear" w:color="auto" w:fill="auto"/>
            <w:noWrap/>
            <w:vAlign w:val="center"/>
            <w:hideMark/>
          </w:tcPr>
          <w:p w14:paraId="4DAF7C69"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336</w:t>
            </w:r>
          </w:p>
        </w:tc>
      </w:tr>
      <w:tr w:rsidR="004A43AD" w:rsidRPr="009475CC" w14:paraId="16311B08"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36BD934"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3.2</w:t>
            </w:r>
          </w:p>
        </w:tc>
        <w:tc>
          <w:tcPr>
            <w:tcW w:w="5313" w:type="dxa"/>
            <w:tcBorders>
              <w:top w:val="nil"/>
              <w:left w:val="nil"/>
              <w:bottom w:val="single" w:sz="4" w:space="0" w:color="auto"/>
              <w:right w:val="single" w:sz="4" w:space="0" w:color="auto"/>
            </w:tcBorders>
            <w:shd w:val="clear" w:color="auto" w:fill="auto"/>
            <w:vAlign w:val="center"/>
            <w:hideMark/>
          </w:tcPr>
          <w:p w14:paraId="1B7871A4"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Makineri</w:t>
            </w:r>
          </w:p>
        </w:tc>
        <w:tc>
          <w:tcPr>
            <w:tcW w:w="709" w:type="dxa"/>
            <w:tcBorders>
              <w:top w:val="nil"/>
              <w:left w:val="nil"/>
              <w:bottom w:val="single" w:sz="4" w:space="0" w:color="auto"/>
              <w:right w:val="single" w:sz="4" w:space="0" w:color="auto"/>
            </w:tcBorders>
            <w:shd w:val="clear" w:color="auto" w:fill="auto"/>
            <w:noWrap/>
            <w:vAlign w:val="center"/>
            <w:hideMark/>
          </w:tcPr>
          <w:p w14:paraId="76AC5A92"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4D1B8382"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3390DE6E"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5</w:t>
            </w:r>
          </w:p>
        </w:tc>
        <w:tc>
          <w:tcPr>
            <w:tcW w:w="850" w:type="dxa"/>
            <w:tcBorders>
              <w:top w:val="nil"/>
              <w:left w:val="nil"/>
              <w:bottom w:val="single" w:sz="4" w:space="0" w:color="auto"/>
              <w:right w:val="single" w:sz="4" w:space="0" w:color="auto"/>
            </w:tcBorders>
            <w:shd w:val="clear" w:color="auto" w:fill="auto"/>
            <w:noWrap/>
            <w:vAlign w:val="center"/>
            <w:hideMark/>
          </w:tcPr>
          <w:p w14:paraId="57B1F162"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38</w:t>
            </w:r>
          </w:p>
        </w:tc>
        <w:tc>
          <w:tcPr>
            <w:tcW w:w="709" w:type="dxa"/>
            <w:tcBorders>
              <w:top w:val="nil"/>
              <w:left w:val="nil"/>
              <w:bottom w:val="single" w:sz="4" w:space="0" w:color="auto"/>
              <w:right w:val="single" w:sz="4" w:space="0" w:color="auto"/>
            </w:tcBorders>
            <w:shd w:val="clear" w:color="auto" w:fill="auto"/>
            <w:noWrap/>
            <w:vAlign w:val="center"/>
            <w:hideMark/>
          </w:tcPr>
          <w:p w14:paraId="60862B1E"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2</w:t>
            </w:r>
          </w:p>
        </w:tc>
      </w:tr>
      <w:tr w:rsidR="004A43AD" w:rsidRPr="009475CC" w14:paraId="0A7DD512"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4E6C26B"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3.3</w:t>
            </w:r>
          </w:p>
        </w:tc>
        <w:tc>
          <w:tcPr>
            <w:tcW w:w="5313" w:type="dxa"/>
            <w:tcBorders>
              <w:top w:val="nil"/>
              <w:left w:val="nil"/>
              <w:bottom w:val="single" w:sz="4" w:space="0" w:color="auto"/>
              <w:right w:val="single" w:sz="4" w:space="0" w:color="auto"/>
            </w:tcBorders>
            <w:shd w:val="clear" w:color="auto" w:fill="auto"/>
            <w:vAlign w:val="center"/>
            <w:hideMark/>
          </w:tcPr>
          <w:p w14:paraId="53BD6BC5"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PMP</w:t>
            </w:r>
          </w:p>
        </w:tc>
        <w:tc>
          <w:tcPr>
            <w:tcW w:w="709" w:type="dxa"/>
            <w:tcBorders>
              <w:top w:val="nil"/>
              <w:left w:val="nil"/>
              <w:bottom w:val="single" w:sz="4" w:space="0" w:color="auto"/>
              <w:right w:val="single" w:sz="4" w:space="0" w:color="auto"/>
            </w:tcBorders>
            <w:shd w:val="clear" w:color="auto" w:fill="auto"/>
            <w:noWrap/>
            <w:vAlign w:val="center"/>
            <w:hideMark/>
          </w:tcPr>
          <w:p w14:paraId="24DC49CC"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3207D9CC"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723B33E8"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11</w:t>
            </w:r>
          </w:p>
        </w:tc>
        <w:tc>
          <w:tcPr>
            <w:tcW w:w="850" w:type="dxa"/>
            <w:tcBorders>
              <w:top w:val="nil"/>
              <w:left w:val="nil"/>
              <w:bottom w:val="single" w:sz="4" w:space="0" w:color="auto"/>
              <w:right w:val="single" w:sz="4" w:space="0" w:color="auto"/>
            </w:tcBorders>
            <w:shd w:val="clear" w:color="auto" w:fill="auto"/>
            <w:noWrap/>
            <w:vAlign w:val="center"/>
            <w:hideMark/>
          </w:tcPr>
          <w:p w14:paraId="64435273"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 </w:t>
            </w:r>
          </w:p>
        </w:tc>
        <w:tc>
          <w:tcPr>
            <w:tcW w:w="709" w:type="dxa"/>
            <w:tcBorders>
              <w:top w:val="nil"/>
              <w:left w:val="nil"/>
              <w:bottom w:val="single" w:sz="4" w:space="0" w:color="auto"/>
              <w:right w:val="single" w:sz="4" w:space="0" w:color="auto"/>
            </w:tcBorders>
            <w:shd w:val="clear" w:color="auto" w:fill="auto"/>
            <w:noWrap/>
            <w:vAlign w:val="center"/>
            <w:hideMark/>
          </w:tcPr>
          <w:p w14:paraId="05BEF9B2"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28</w:t>
            </w:r>
          </w:p>
        </w:tc>
      </w:tr>
      <w:tr w:rsidR="004A43AD" w:rsidRPr="009475CC" w14:paraId="102B4A45"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863B7E2"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 xml:space="preserve">  3.4</w:t>
            </w:r>
          </w:p>
        </w:tc>
        <w:tc>
          <w:tcPr>
            <w:tcW w:w="5313" w:type="dxa"/>
            <w:tcBorders>
              <w:top w:val="nil"/>
              <w:left w:val="nil"/>
              <w:bottom w:val="single" w:sz="4" w:space="0" w:color="auto"/>
              <w:right w:val="single" w:sz="4" w:space="0" w:color="auto"/>
            </w:tcBorders>
            <w:shd w:val="clear" w:color="auto" w:fill="auto"/>
            <w:vAlign w:val="center"/>
            <w:hideMark/>
          </w:tcPr>
          <w:p w14:paraId="44921040"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 Artikuj Piroteknik</w:t>
            </w:r>
          </w:p>
        </w:tc>
        <w:tc>
          <w:tcPr>
            <w:tcW w:w="709" w:type="dxa"/>
            <w:tcBorders>
              <w:top w:val="nil"/>
              <w:left w:val="nil"/>
              <w:bottom w:val="single" w:sz="4" w:space="0" w:color="auto"/>
              <w:right w:val="single" w:sz="4" w:space="0" w:color="auto"/>
            </w:tcBorders>
            <w:shd w:val="clear" w:color="auto" w:fill="auto"/>
            <w:noWrap/>
            <w:vAlign w:val="center"/>
            <w:hideMark/>
          </w:tcPr>
          <w:p w14:paraId="3286351A"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8" w:type="dxa"/>
            <w:tcBorders>
              <w:top w:val="nil"/>
              <w:left w:val="nil"/>
              <w:bottom w:val="single" w:sz="4" w:space="0" w:color="auto"/>
              <w:right w:val="single" w:sz="4" w:space="0" w:color="auto"/>
            </w:tcBorders>
            <w:shd w:val="clear" w:color="auto" w:fill="auto"/>
            <w:vAlign w:val="center"/>
            <w:hideMark/>
          </w:tcPr>
          <w:p w14:paraId="61AFF5B8"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1" w:type="dxa"/>
            <w:tcBorders>
              <w:top w:val="nil"/>
              <w:left w:val="nil"/>
              <w:bottom w:val="single" w:sz="4" w:space="0" w:color="auto"/>
              <w:right w:val="single" w:sz="4" w:space="0" w:color="auto"/>
            </w:tcBorders>
            <w:shd w:val="clear" w:color="auto" w:fill="auto"/>
            <w:noWrap/>
            <w:vAlign w:val="center"/>
            <w:hideMark/>
          </w:tcPr>
          <w:p w14:paraId="3672746D"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0" w:type="dxa"/>
            <w:tcBorders>
              <w:top w:val="nil"/>
              <w:left w:val="nil"/>
              <w:bottom w:val="single" w:sz="4" w:space="0" w:color="auto"/>
              <w:right w:val="single" w:sz="4" w:space="0" w:color="auto"/>
            </w:tcBorders>
            <w:shd w:val="clear" w:color="auto" w:fill="auto"/>
            <w:noWrap/>
            <w:vAlign w:val="center"/>
            <w:hideMark/>
          </w:tcPr>
          <w:p w14:paraId="5FE9589B"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9" w:type="dxa"/>
            <w:tcBorders>
              <w:top w:val="nil"/>
              <w:left w:val="nil"/>
              <w:bottom w:val="single" w:sz="4" w:space="0" w:color="auto"/>
              <w:right w:val="single" w:sz="4" w:space="0" w:color="auto"/>
            </w:tcBorders>
            <w:shd w:val="clear" w:color="auto" w:fill="auto"/>
            <w:noWrap/>
            <w:vAlign w:val="center"/>
            <w:hideMark/>
          </w:tcPr>
          <w:p w14:paraId="15F91870"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r>
      <w:tr w:rsidR="004A43AD" w:rsidRPr="009475CC" w14:paraId="58E0D132"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7CCFAC7"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 xml:space="preserve">  3.5</w:t>
            </w:r>
          </w:p>
        </w:tc>
        <w:tc>
          <w:tcPr>
            <w:tcW w:w="5313" w:type="dxa"/>
            <w:tcBorders>
              <w:top w:val="nil"/>
              <w:left w:val="nil"/>
              <w:bottom w:val="single" w:sz="4" w:space="0" w:color="auto"/>
              <w:right w:val="single" w:sz="4" w:space="0" w:color="auto"/>
            </w:tcBorders>
            <w:shd w:val="clear" w:color="auto" w:fill="auto"/>
            <w:vAlign w:val="center"/>
          </w:tcPr>
          <w:p w14:paraId="3DBD8999" w14:textId="77777777" w:rsidR="004A43AD" w:rsidRPr="004D214D" w:rsidRDefault="004A43AD" w:rsidP="009475CC">
            <w:pPr>
              <w:spacing w:after="0" w:line="276" w:lineRule="auto"/>
              <w:jc w:val="both"/>
              <w:rPr>
                <w:rFonts w:eastAsia="Times New Roman" w:cs="Times New Roman"/>
                <w:i/>
                <w:iCs/>
                <w:szCs w:val="24"/>
                <w:lang w:val="sq-AL"/>
              </w:rPr>
            </w:pPr>
            <w:r w:rsidRPr="004D214D">
              <w:rPr>
                <w:rFonts w:eastAsia="Times New Roman" w:cs="Times New Roman"/>
                <w:i/>
                <w:iCs/>
                <w:szCs w:val="24"/>
                <w:lang w:val="sq-AL"/>
              </w:rPr>
              <w:t>Avionët pa pilot</w:t>
            </w:r>
          </w:p>
        </w:tc>
        <w:tc>
          <w:tcPr>
            <w:tcW w:w="709" w:type="dxa"/>
            <w:tcBorders>
              <w:top w:val="nil"/>
              <w:left w:val="nil"/>
              <w:bottom w:val="single" w:sz="4" w:space="0" w:color="auto"/>
              <w:right w:val="single" w:sz="4" w:space="0" w:color="auto"/>
            </w:tcBorders>
            <w:shd w:val="clear" w:color="auto" w:fill="auto"/>
            <w:noWrap/>
            <w:vAlign w:val="center"/>
          </w:tcPr>
          <w:p w14:paraId="2B547C3D"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8" w:type="dxa"/>
            <w:tcBorders>
              <w:top w:val="nil"/>
              <w:left w:val="nil"/>
              <w:bottom w:val="single" w:sz="4" w:space="0" w:color="auto"/>
              <w:right w:val="single" w:sz="4" w:space="0" w:color="auto"/>
            </w:tcBorders>
            <w:shd w:val="clear" w:color="auto" w:fill="auto"/>
            <w:vAlign w:val="center"/>
          </w:tcPr>
          <w:p w14:paraId="632EF8D7"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1" w:type="dxa"/>
            <w:tcBorders>
              <w:top w:val="nil"/>
              <w:left w:val="nil"/>
              <w:bottom w:val="single" w:sz="4" w:space="0" w:color="auto"/>
              <w:right w:val="single" w:sz="4" w:space="0" w:color="auto"/>
            </w:tcBorders>
            <w:shd w:val="clear" w:color="auto" w:fill="auto"/>
            <w:noWrap/>
            <w:vAlign w:val="center"/>
          </w:tcPr>
          <w:p w14:paraId="1C0D314A"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850" w:type="dxa"/>
            <w:tcBorders>
              <w:top w:val="nil"/>
              <w:left w:val="nil"/>
              <w:bottom w:val="single" w:sz="4" w:space="0" w:color="auto"/>
              <w:right w:val="single" w:sz="4" w:space="0" w:color="auto"/>
            </w:tcBorders>
            <w:shd w:val="clear" w:color="auto" w:fill="auto"/>
            <w:noWrap/>
            <w:vAlign w:val="center"/>
          </w:tcPr>
          <w:p w14:paraId="4128ADEA"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c>
          <w:tcPr>
            <w:tcW w:w="709" w:type="dxa"/>
            <w:tcBorders>
              <w:top w:val="nil"/>
              <w:left w:val="nil"/>
              <w:bottom w:val="single" w:sz="4" w:space="0" w:color="auto"/>
              <w:right w:val="single" w:sz="4" w:space="0" w:color="auto"/>
            </w:tcBorders>
            <w:shd w:val="clear" w:color="auto" w:fill="auto"/>
            <w:noWrap/>
            <w:vAlign w:val="center"/>
          </w:tcPr>
          <w:p w14:paraId="50A4AF2A" w14:textId="77777777" w:rsidR="004A43AD" w:rsidRPr="004D214D" w:rsidRDefault="004A43AD" w:rsidP="009475CC">
            <w:pPr>
              <w:spacing w:after="0" w:line="276" w:lineRule="auto"/>
              <w:jc w:val="both"/>
              <w:rPr>
                <w:rFonts w:eastAsia="Times New Roman" w:cs="Times New Roman"/>
                <w:szCs w:val="24"/>
                <w:lang w:val="sq-AL"/>
              </w:rPr>
            </w:pPr>
            <w:r w:rsidRPr="004D214D">
              <w:rPr>
                <w:rFonts w:eastAsia="Times New Roman" w:cs="Times New Roman"/>
                <w:szCs w:val="24"/>
                <w:lang w:val="sq-AL"/>
              </w:rPr>
              <w:t>/</w:t>
            </w:r>
          </w:p>
        </w:tc>
      </w:tr>
      <w:tr w:rsidR="004A43AD" w:rsidRPr="009475CC" w14:paraId="57F55A6B" w14:textId="77777777" w:rsidTr="009475CC">
        <w:trPr>
          <w:trHeight w:val="52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5D6E"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 4</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2BFB1EE0"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Inspektimi i produkteve qelq/këpucë/sig produkteve (lodra, tekstil, veshje këmbe)</w:t>
            </w:r>
          </w:p>
        </w:tc>
        <w:tc>
          <w:tcPr>
            <w:tcW w:w="709" w:type="dxa"/>
            <w:tcBorders>
              <w:top w:val="nil"/>
              <w:left w:val="nil"/>
              <w:bottom w:val="single" w:sz="4" w:space="0" w:color="auto"/>
              <w:right w:val="single" w:sz="4" w:space="0" w:color="auto"/>
            </w:tcBorders>
            <w:shd w:val="clear" w:color="auto" w:fill="auto"/>
            <w:noWrap/>
            <w:vAlign w:val="center"/>
            <w:hideMark/>
          </w:tcPr>
          <w:p w14:paraId="5BDC5004"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13</w:t>
            </w:r>
          </w:p>
        </w:tc>
        <w:tc>
          <w:tcPr>
            <w:tcW w:w="708" w:type="dxa"/>
            <w:tcBorders>
              <w:top w:val="nil"/>
              <w:left w:val="nil"/>
              <w:bottom w:val="single" w:sz="4" w:space="0" w:color="auto"/>
              <w:right w:val="single" w:sz="4" w:space="0" w:color="auto"/>
            </w:tcBorders>
            <w:shd w:val="clear" w:color="auto" w:fill="auto"/>
            <w:noWrap/>
            <w:vAlign w:val="center"/>
            <w:hideMark/>
          </w:tcPr>
          <w:p w14:paraId="2DF67EB9"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233</w:t>
            </w:r>
          </w:p>
        </w:tc>
        <w:tc>
          <w:tcPr>
            <w:tcW w:w="851" w:type="dxa"/>
            <w:tcBorders>
              <w:top w:val="nil"/>
              <w:left w:val="nil"/>
              <w:bottom w:val="single" w:sz="4" w:space="0" w:color="auto"/>
              <w:right w:val="single" w:sz="4" w:space="0" w:color="auto"/>
            </w:tcBorders>
            <w:shd w:val="clear" w:color="auto" w:fill="auto"/>
            <w:noWrap/>
            <w:vAlign w:val="center"/>
            <w:hideMark/>
          </w:tcPr>
          <w:p w14:paraId="64684DCE"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115</w:t>
            </w:r>
          </w:p>
        </w:tc>
        <w:tc>
          <w:tcPr>
            <w:tcW w:w="850" w:type="dxa"/>
            <w:tcBorders>
              <w:top w:val="nil"/>
              <w:left w:val="nil"/>
              <w:bottom w:val="single" w:sz="4" w:space="0" w:color="auto"/>
              <w:right w:val="single" w:sz="4" w:space="0" w:color="auto"/>
            </w:tcBorders>
            <w:shd w:val="clear" w:color="auto" w:fill="auto"/>
            <w:noWrap/>
            <w:vAlign w:val="center"/>
            <w:hideMark/>
          </w:tcPr>
          <w:p w14:paraId="107DC66F"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144</w:t>
            </w:r>
          </w:p>
        </w:tc>
        <w:tc>
          <w:tcPr>
            <w:tcW w:w="709" w:type="dxa"/>
            <w:tcBorders>
              <w:top w:val="nil"/>
              <w:left w:val="nil"/>
              <w:bottom w:val="single" w:sz="4" w:space="0" w:color="auto"/>
              <w:right w:val="single" w:sz="4" w:space="0" w:color="auto"/>
            </w:tcBorders>
            <w:shd w:val="clear" w:color="auto" w:fill="auto"/>
            <w:noWrap/>
            <w:vAlign w:val="center"/>
            <w:hideMark/>
          </w:tcPr>
          <w:p w14:paraId="443247B2" w14:textId="77777777" w:rsidR="004A43AD" w:rsidRPr="004D214D" w:rsidRDefault="004A43AD" w:rsidP="009475CC">
            <w:pPr>
              <w:spacing w:after="0" w:line="276" w:lineRule="auto"/>
              <w:jc w:val="both"/>
              <w:rPr>
                <w:rFonts w:eastAsia="Times New Roman" w:cs="Times New Roman"/>
                <w:b/>
                <w:bCs/>
                <w:szCs w:val="24"/>
                <w:lang w:val="sq-AL"/>
              </w:rPr>
            </w:pPr>
            <w:r w:rsidRPr="004D214D">
              <w:rPr>
                <w:rFonts w:eastAsia="Times New Roman" w:cs="Times New Roman"/>
                <w:b/>
                <w:bCs/>
                <w:szCs w:val="24"/>
                <w:lang w:val="sq-AL"/>
              </w:rPr>
              <w:t>196</w:t>
            </w:r>
          </w:p>
        </w:tc>
      </w:tr>
      <w:tr w:rsidR="004A43AD" w:rsidRPr="009475CC" w14:paraId="0AB850FB"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AA424"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4.1</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19980127"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Lodra</w:t>
            </w:r>
          </w:p>
        </w:tc>
        <w:tc>
          <w:tcPr>
            <w:tcW w:w="709" w:type="dxa"/>
            <w:tcBorders>
              <w:top w:val="nil"/>
              <w:left w:val="nil"/>
              <w:bottom w:val="single" w:sz="4" w:space="0" w:color="auto"/>
              <w:right w:val="single" w:sz="4" w:space="0" w:color="auto"/>
            </w:tcBorders>
            <w:shd w:val="clear" w:color="auto" w:fill="auto"/>
            <w:noWrap/>
            <w:vAlign w:val="center"/>
            <w:hideMark/>
          </w:tcPr>
          <w:p w14:paraId="7770E33F"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13</w:t>
            </w:r>
          </w:p>
        </w:tc>
        <w:tc>
          <w:tcPr>
            <w:tcW w:w="708" w:type="dxa"/>
            <w:tcBorders>
              <w:top w:val="nil"/>
              <w:left w:val="nil"/>
              <w:bottom w:val="single" w:sz="4" w:space="0" w:color="auto"/>
              <w:right w:val="single" w:sz="4" w:space="0" w:color="auto"/>
            </w:tcBorders>
            <w:shd w:val="clear" w:color="auto" w:fill="auto"/>
            <w:vAlign w:val="center"/>
            <w:hideMark/>
          </w:tcPr>
          <w:p w14:paraId="40CADCED"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44</w:t>
            </w:r>
          </w:p>
        </w:tc>
        <w:tc>
          <w:tcPr>
            <w:tcW w:w="851" w:type="dxa"/>
            <w:tcBorders>
              <w:top w:val="nil"/>
              <w:left w:val="nil"/>
              <w:bottom w:val="single" w:sz="4" w:space="0" w:color="auto"/>
              <w:right w:val="single" w:sz="4" w:space="0" w:color="auto"/>
            </w:tcBorders>
            <w:shd w:val="clear" w:color="auto" w:fill="auto"/>
            <w:noWrap/>
            <w:vAlign w:val="center"/>
            <w:hideMark/>
          </w:tcPr>
          <w:p w14:paraId="418A3F72"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79</w:t>
            </w:r>
          </w:p>
        </w:tc>
        <w:tc>
          <w:tcPr>
            <w:tcW w:w="850" w:type="dxa"/>
            <w:tcBorders>
              <w:top w:val="nil"/>
              <w:left w:val="nil"/>
              <w:bottom w:val="single" w:sz="4" w:space="0" w:color="auto"/>
              <w:right w:val="single" w:sz="4" w:space="0" w:color="auto"/>
            </w:tcBorders>
            <w:shd w:val="clear" w:color="auto" w:fill="auto"/>
            <w:noWrap/>
            <w:vAlign w:val="center"/>
            <w:hideMark/>
          </w:tcPr>
          <w:p w14:paraId="6FB0DFF6"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48</w:t>
            </w:r>
          </w:p>
        </w:tc>
        <w:tc>
          <w:tcPr>
            <w:tcW w:w="709" w:type="dxa"/>
            <w:tcBorders>
              <w:top w:val="nil"/>
              <w:left w:val="nil"/>
              <w:bottom w:val="single" w:sz="4" w:space="0" w:color="auto"/>
              <w:right w:val="single" w:sz="4" w:space="0" w:color="auto"/>
            </w:tcBorders>
            <w:shd w:val="clear" w:color="auto" w:fill="auto"/>
            <w:noWrap/>
            <w:vAlign w:val="center"/>
            <w:hideMark/>
          </w:tcPr>
          <w:p w14:paraId="6F8CE19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82</w:t>
            </w:r>
          </w:p>
        </w:tc>
      </w:tr>
      <w:tr w:rsidR="004A43AD" w:rsidRPr="009475CC" w14:paraId="3A766D58"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753EC"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4.2</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202B5B0E"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Detergjentë</w:t>
            </w:r>
          </w:p>
        </w:tc>
        <w:tc>
          <w:tcPr>
            <w:tcW w:w="709" w:type="dxa"/>
            <w:tcBorders>
              <w:top w:val="nil"/>
              <w:left w:val="nil"/>
              <w:bottom w:val="single" w:sz="4" w:space="0" w:color="auto"/>
              <w:right w:val="single" w:sz="4" w:space="0" w:color="auto"/>
            </w:tcBorders>
            <w:shd w:val="clear" w:color="auto" w:fill="auto"/>
            <w:noWrap/>
            <w:vAlign w:val="center"/>
            <w:hideMark/>
          </w:tcPr>
          <w:p w14:paraId="3A50E527"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4C73E46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87</w:t>
            </w:r>
          </w:p>
        </w:tc>
        <w:tc>
          <w:tcPr>
            <w:tcW w:w="851" w:type="dxa"/>
            <w:tcBorders>
              <w:top w:val="nil"/>
              <w:left w:val="nil"/>
              <w:bottom w:val="single" w:sz="4" w:space="0" w:color="auto"/>
              <w:right w:val="single" w:sz="4" w:space="0" w:color="auto"/>
            </w:tcBorders>
            <w:shd w:val="clear" w:color="auto" w:fill="auto"/>
            <w:noWrap/>
            <w:vAlign w:val="center"/>
            <w:hideMark/>
          </w:tcPr>
          <w:p w14:paraId="150F32F2"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w:t>
            </w:r>
          </w:p>
        </w:tc>
        <w:tc>
          <w:tcPr>
            <w:tcW w:w="850" w:type="dxa"/>
            <w:tcBorders>
              <w:top w:val="nil"/>
              <w:left w:val="nil"/>
              <w:bottom w:val="single" w:sz="4" w:space="0" w:color="auto"/>
              <w:right w:val="single" w:sz="4" w:space="0" w:color="auto"/>
            </w:tcBorders>
            <w:shd w:val="clear" w:color="auto" w:fill="auto"/>
            <w:noWrap/>
            <w:vAlign w:val="center"/>
            <w:hideMark/>
          </w:tcPr>
          <w:p w14:paraId="03221F5F"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36</w:t>
            </w:r>
          </w:p>
        </w:tc>
        <w:tc>
          <w:tcPr>
            <w:tcW w:w="709" w:type="dxa"/>
            <w:tcBorders>
              <w:top w:val="nil"/>
              <w:left w:val="nil"/>
              <w:bottom w:val="single" w:sz="4" w:space="0" w:color="auto"/>
              <w:right w:val="single" w:sz="4" w:space="0" w:color="auto"/>
            </w:tcBorders>
            <w:shd w:val="clear" w:color="auto" w:fill="auto"/>
            <w:noWrap/>
            <w:vAlign w:val="center"/>
            <w:hideMark/>
          </w:tcPr>
          <w:p w14:paraId="4F1A2E7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r>
      <w:tr w:rsidR="004A43AD" w:rsidRPr="009475CC" w14:paraId="0B1DFF5C"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DA414"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4.3</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799C8EAB"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Veshje këmbe</w:t>
            </w:r>
          </w:p>
        </w:tc>
        <w:tc>
          <w:tcPr>
            <w:tcW w:w="709" w:type="dxa"/>
            <w:tcBorders>
              <w:top w:val="nil"/>
              <w:left w:val="nil"/>
              <w:bottom w:val="single" w:sz="4" w:space="0" w:color="auto"/>
              <w:right w:val="single" w:sz="4" w:space="0" w:color="auto"/>
            </w:tcBorders>
            <w:shd w:val="clear" w:color="auto" w:fill="auto"/>
            <w:noWrap/>
            <w:vAlign w:val="center"/>
            <w:hideMark/>
          </w:tcPr>
          <w:p w14:paraId="061A3C9F"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37945509"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37</w:t>
            </w:r>
          </w:p>
        </w:tc>
        <w:tc>
          <w:tcPr>
            <w:tcW w:w="851" w:type="dxa"/>
            <w:tcBorders>
              <w:top w:val="nil"/>
              <w:left w:val="nil"/>
              <w:bottom w:val="single" w:sz="4" w:space="0" w:color="auto"/>
              <w:right w:val="single" w:sz="4" w:space="0" w:color="auto"/>
            </w:tcBorders>
            <w:shd w:val="clear" w:color="auto" w:fill="auto"/>
            <w:noWrap/>
            <w:vAlign w:val="center"/>
            <w:hideMark/>
          </w:tcPr>
          <w:p w14:paraId="508F19BA"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850" w:type="dxa"/>
            <w:tcBorders>
              <w:top w:val="nil"/>
              <w:left w:val="nil"/>
              <w:bottom w:val="single" w:sz="4" w:space="0" w:color="auto"/>
              <w:right w:val="single" w:sz="4" w:space="0" w:color="auto"/>
            </w:tcBorders>
            <w:shd w:val="clear" w:color="auto" w:fill="auto"/>
            <w:noWrap/>
            <w:vAlign w:val="center"/>
            <w:hideMark/>
          </w:tcPr>
          <w:p w14:paraId="1CDADE26"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33</w:t>
            </w:r>
          </w:p>
        </w:tc>
        <w:tc>
          <w:tcPr>
            <w:tcW w:w="709" w:type="dxa"/>
            <w:tcBorders>
              <w:top w:val="nil"/>
              <w:left w:val="nil"/>
              <w:bottom w:val="single" w:sz="4" w:space="0" w:color="auto"/>
              <w:right w:val="single" w:sz="4" w:space="0" w:color="auto"/>
            </w:tcBorders>
            <w:shd w:val="clear" w:color="auto" w:fill="auto"/>
            <w:noWrap/>
            <w:vAlign w:val="center"/>
            <w:hideMark/>
          </w:tcPr>
          <w:p w14:paraId="138908A9"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r>
      <w:tr w:rsidR="004A43AD" w:rsidRPr="009475CC" w14:paraId="640A2940"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163C"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4.4</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0193BCEA"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Produkte tekstil</w:t>
            </w:r>
          </w:p>
        </w:tc>
        <w:tc>
          <w:tcPr>
            <w:tcW w:w="709" w:type="dxa"/>
            <w:tcBorders>
              <w:top w:val="nil"/>
              <w:left w:val="nil"/>
              <w:bottom w:val="single" w:sz="4" w:space="0" w:color="auto"/>
              <w:right w:val="single" w:sz="4" w:space="0" w:color="auto"/>
            </w:tcBorders>
            <w:shd w:val="clear" w:color="auto" w:fill="auto"/>
            <w:noWrap/>
            <w:vAlign w:val="center"/>
            <w:hideMark/>
          </w:tcPr>
          <w:p w14:paraId="1BC30A91"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247920F0"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65</w:t>
            </w:r>
          </w:p>
        </w:tc>
        <w:tc>
          <w:tcPr>
            <w:tcW w:w="851" w:type="dxa"/>
            <w:tcBorders>
              <w:top w:val="nil"/>
              <w:left w:val="nil"/>
              <w:bottom w:val="single" w:sz="4" w:space="0" w:color="auto"/>
              <w:right w:val="single" w:sz="4" w:space="0" w:color="auto"/>
            </w:tcBorders>
            <w:shd w:val="clear" w:color="auto" w:fill="auto"/>
            <w:noWrap/>
            <w:vAlign w:val="center"/>
            <w:hideMark/>
          </w:tcPr>
          <w:p w14:paraId="55F1685F"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18</w:t>
            </w:r>
          </w:p>
        </w:tc>
        <w:tc>
          <w:tcPr>
            <w:tcW w:w="850" w:type="dxa"/>
            <w:tcBorders>
              <w:top w:val="nil"/>
              <w:left w:val="nil"/>
              <w:bottom w:val="single" w:sz="4" w:space="0" w:color="auto"/>
              <w:right w:val="single" w:sz="4" w:space="0" w:color="auto"/>
            </w:tcBorders>
            <w:shd w:val="clear" w:color="auto" w:fill="auto"/>
            <w:noWrap/>
            <w:vAlign w:val="center"/>
            <w:hideMark/>
          </w:tcPr>
          <w:p w14:paraId="293DEA27"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709" w:type="dxa"/>
            <w:tcBorders>
              <w:top w:val="nil"/>
              <w:left w:val="nil"/>
              <w:bottom w:val="single" w:sz="4" w:space="0" w:color="auto"/>
              <w:right w:val="single" w:sz="4" w:space="0" w:color="auto"/>
            </w:tcBorders>
            <w:shd w:val="clear" w:color="auto" w:fill="auto"/>
            <w:noWrap/>
            <w:vAlign w:val="center"/>
            <w:hideMark/>
          </w:tcPr>
          <w:p w14:paraId="474CB009"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r>
      <w:tr w:rsidR="004A43AD" w:rsidRPr="009475CC" w14:paraId="1B8F2EBC"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D703C"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4.5</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6E27B4E4"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Siguria e përgjithshme</w:t>
            </w:r>
          </w:p>
        </w:tc>
        <w:tc>
          <w:tcPr>
            <w:tcW w:w="709" w:type="dxa"/>
            <w:tcBorders>
              <w:top w:val="nil"/>
              <w:left w:val="nil"/>
              <w:bottom w:val="single" w:sz="4" w:space="0" w:color="auto"/>
              <w:right w:val="single" w:sz="4" w:space="0" w:color="auto"/>
            </w:tcBorders>
            <w:shd w:val="clear" w:color="auto" w:fill="auto"/>
            <w:noWrap/>
            <w:vAlign w:val="center"/>
            <w:hideMark/>
          </w:tcPr>
          <w:p w14:paraId="04537BDA"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708" w:type="dxa"/>
            <w:tcBorders>
              <w:top w:val="nil"/>
              <w:left w:val="nil"/>
              <w:bottom w:val="single" w:sz="4" w:space="0" w:color="auto"/>
              <w:right w:val="single" w:sz="4" w:space="0" w:color="auto"/>
            </w:tcBorders>
            <w:shd w:val="clear" w:color="auto" w:fill="auto"/>
            <w:vAlign w:val="center"/>
            <w:hideMark/>
          </w:tcPr>
          <w:p w14:paraId="11C318C3"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 </w:t>
            </w:r>
          </w:p>
        </w:tc>
        <w:tc>
          <w:tcPr>
            <w:tcW w:w="851" w:type="dxa"/>
            <w:tcBorders>
              <w:top w:val="nil"/>
              <w:left w:val="nil"/>
              <w:bottom w:val="single" w:sz="4" w:space="0" w:color="auto"/>
              <w:right w:val="single" w:sz="4" w:space="0" w:color="auto"/>
            </w:tcBorders>
            <w:shd w:val="clear" w:color="auto" w:fill="auto"/>
            <w:noWrap/>
            <w:vAlign w:val="center"/>
            <w:hideMark/>
          </w:tcPr>
          <w:p w14:paraId="0499BE05"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15</w:t>
            </w:r>
          </w:p>
        </w:tc>
        <w:tc>
          <w:tcPr>
            <w:tcW w:w="850" w:type="dxa"/>
            <w:tcBorders>
              <w:top w:val="nil"/>
              <w:left w:val="nil"/>
              <w:bottom w:val="single" w:sz="4" w:space="0" w:color="auto"/>
              <w:right w:val="single" w:sz="4" w:space="0" w:color="auto"/>
            </w:tcBorders>
            <w:shd w:val="clear" w:color="auto" w:fill="auto"/>
            <w:noWrap/>
            <w:vAlign w:val="center"/>
            <w:hideMark/>
          </w:tcPr>
          <w:p w14:paraId="191B7CBE"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27</w:t>
            </w:r>
          </w:p>
        </w:tc>
        <w:tc>
          <w:tcPr>
            <w:tcW w:w="709" w:type="dxa"/>
            <w:tcBorders>
              <w:top w:val="nil"/>
              <w:left w:val="nil"/>
              <w:bottom w:val="single" w:sz="4" w:space="0" w:color="auto"/>
              <w:right w:val="single" w:sz="4" w:space="0" w:color="auto"/>
            </w:tcBorders>
            <w:shd w:val="clear" w:color="auto" w:fill="auto"/>
            <w:noWrap/>
            <w:vAlign w:val="center"/>
            <w:hideMark/>
          </w:tcPr>
          <w:p w14:paraId="4E8D3DF8"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14</w:t>
            </w:r>
          </w:p>
        </w:tc>
      </w:tr>
      <w:tr w:rsidR="004A43AD" w:rsidRPr="009475CC" w14:paraId="69CC39E1"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09B64"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4.6</w:t>
            </w:r>
          </w:p>
        </w:tc>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355634E7" w14:textId="77777777" w:rsidR="004A43AD" w:rsidRPr="009475CC" w:rsidRDefault="004A43AD" w:rsidP="009475CC">
            <w:pPr>
              <w:spacing w:after="0" w:line="276" w:lineRule="auto"/>
              <w:jc w:val="both"/>
              <w:rPr>
                <w:rFonts w:eastAsia="Times New Roman" w:cs="Times New Roman"/>
                <w:i/>
                <w:iCs/>
                <w:szCs w:val="24"/>
                <w:lang w:val="sq-AL"/>
              </w:rPr>
            </w:pPr>
            <w:r w:rsidRPr="009475CC">
              <w:rPr>
                <w:rFonts w:eastAsia="Times New Roman" w:cs="Times New Roman"/>
                <w:i/>
                <w:iCs/>
                <w:szCs w:val="24"/>
                <w:lang w:val="sq-AL"/>
              </w:rPr>
              <w:t>Inspektime për produktet të destinuara për konsumatorin  në përputhje me legjislacionin për kimikatet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85922"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C057AC"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5806"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2</w:t>
            </w:r>
            <w:r w:rsidRPr="009475CC">
              <w:rPr>
                <w:rFonts w:eastAsia="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D9F4C"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D42B" w14:textId="77777777" w:rsidR="004A43AD" w:rsidRPr="009475CC" w:rsidRDefault="004A43AD" w:rsidP="009475CC">
            <w:pPr>
              <w:spacing w:after="0" w:line="276" w:lineRule="auto"/>
              <w:jc w:val="both"/>
              <w:rPr>
                <w:rFonts w:eastAsia="Times New Roman" w:cs="Times New Roman"/>
                <w:szCs w:val="24"/>
                <w:lang w:val="sq-AL"/>
              </w:rPr>
            </w:pPr>
            <w:r w:rsidRPr="009475CC">
              <w:rPr>
                <w:rFonts w:eastAsia="Times New Roman" w:cs="Times New Roman"/>
                <w:szCs w:val="24"/>
                <w:lang w:val="sq-AL"/>
              </w:rPr>
              <w:t>0</w:t>
            </w:r>
          </w:p>
        </w:tc>
      </w:tr>
      <w:tr w:rsidR="004A43AD" w:rsidRPr="009475CC" w14:paraId="38A49BA5" w14:textId="77777777" w:rsidTr="009475CC">
        <w:trPr>
          <w:trHeight w:val="17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558C9"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 xml:space="preserve">  5</w:t>
            </w:r>
          </w:p>
        </w:tc>
        <w:tc>
          <w:tcPr>
            <w:tcW w:w="5313" w:type="dxa"/>
            <w:tcBorders>
              <w:top w:val="single" w:sz="4" w:space="0" w:color="auto"/>
              <w:left w:val="nil"/>
              <w:bottom w:val="single" w:sz="4" w:space="0" w:color="auto"/>
              <w:right w:val="single" w:sz="4" w:space="0" w:color="auto"/>
            </w:tcBorders>
            <w:shd w:val="clear" w:color="auto" w:fill="auto"/>
            <w:vAlign w:val="center"/>
            <w:hideMark/>
          </w:tcPr>
          <w:p w14:paraId="45BBEE03"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Mbrojtja e konsumatorit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6BE82"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8E75DC3"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04E831"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118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4C7E6F"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26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9B51F9"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72</w:t>
            </w:r>
          </w:p>
        </w:tc>
      </w:tr>
      <w:tr w:rsidR="00286192" w:rsidRPr="009475CC" w14:paraId="3FAE1BA5" w14:textId="77777777" w:rsidTr="009475CC">
        <w:trPr>
          <w:trHeight w:val="172"/>
        </w:trPr>
        <w:tc>
          <w:tcPr>
            <w:tcW w:w="6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F3C8C8"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 </w:t>
            </w:r>
          </w:p>
        </w:tc>
        <w:tc>
          <w:tcPr>
            <w:tcW w:w="53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A7135"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TOTALI</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0A85BBD9"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93</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14:paraId="47843325"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1019</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35AAFEF0"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1151</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C03179F"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1253</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1DAE382F" w14:textId="77777777" w:rsidR="004A43AD" w:rsidRPr="009475CC" w:rsidRDefault="004A43AD" w:rsidP="009475CC">
            <w:pPr>
              <w:spacing w:after="0" w:line="276" w:lineRule="auto"/>
              <w:jc w:val="both"/>
              <w:rPr>
                <w:rFonts w:eastAsia="Times New Roman" w:cs="Times New Roman"/>
                <w:b/>
                <w:bCs/>
                <w:szCs w:val="24"/>
                <w:lang w:val="sq-AL"/>
              </w:rPr>
            </w:pPr>
            <w:r w:rsidRPr="009475CC">
              <w:rPr>
                <w:rFonts w:eastAsia="Times New Roman" w:cs="Times New Roman"/>
                <w:b/>
                <w:bCs/>
                <w:szCs w:val="24"/>
                <w:lang w:val="sq-AL"/>
              </w:rPr>
              <w:t>1221</w:t>
            </w:r>
          </w:p>
        </w:tc>
      </w:tr>
    </w:tbl>
    <w:p w14:paraId="64D77981" w14:textId="77777777" w:rsidR="00981F27" w:rsidRDefault="00981F27" w:rsidP="009475CC">
      <w:pPr>
        <w:jc w:val="center"/>
        <w:rPr>
          <w:rFonts w:cs="Times New Roman"/>
          <w:lang w:val="sq-AL"/>
        </w:rPr>
      </w:pPr>
    </w:p>
    <w:p w14:paraId="6167158D" w14:textId="7FC933DC" w:rsidR="004A43AD" w:rsidRPr="009475CC" w:rsidRDefault="00286192" w:rsidP="009475CC">
      <w:pPr>
        <w:jc w:val="center"/>
        <w:rPr>
          <w:rFonts w:cs="Times New Roman"/>
          <w:lang w:val="sq-AL"/>
        </w:rPr>
      </w:pPr>
      <w:r w:rsidRPr="009475CC">
        <w:rPr>
          <w:rFonts w:cs="Times New Roman"/>
          <w:lang w:val="sq-AL"/>
        </w:rPr>
        <w:t>Tab.1: Inspektimet sipas sektorëve dhe grup-produkteve në vite</w:t>
      </w:r>
    </w:p>
    <w:p w14:paraId="4151B2BB" w14:textId="395D29FF" w:rsidR="00DC3902" w:rsidRDefault="00DC3902" w:rsidP="009475CC">
      <w:pPr>
        <w:jc w:val="both"/>
        <w:rPr>
          <w:rFonts w:cs="Times New Roman"/>
          <w:szCs w:val="24"/>
          <w:lang w:val="sq-AL"/>
        </w:rPr>
      </w:pPr>
      <w:r w:rsidRPr="009475CC">
        <w:rPr>
          <w:rFonts w:cs="Times New Roman"/>
          <w:szCs w:val="24"/>
          <w:lang w:val="sq-AL"/>
        </w:rPr>
        <w:t xml:space="preserve">Kontrollet kanë qenë kryesisht kontrolle dokumentare e fizike treguese. Kontrollet laboratorike </w:t>
      </w:r>
      <w:r w:rsidR="00601086">
        <w:rPr>
          <w:rFonts w:cs="Times New Roman"/>
          <w:szCs w:val="24"/>
          <w:lang w:val="sq-AL"/>
        </w:rPr>
        <w:t>k</w:t>
      </w:r>
      <w:r w:rsidRPr="009475CC">
        <w:rPr>
          <w:rFonts w:cs="Times New Roman"/>
          <w:szCs w:val="24"/>
          <w:lang w:val="sq-AL"/>
        </w:rPr>
        <w:t>anë qenë të pakta  në raport me inspektimet e kryera , të cilat kanë qenë kryesisht për lodrat. Në vitin 2019 në 20 operatorë ekonomikë, importues në nivelin e zinxhirit të furnizimit, u morën 42 mostra lodra ku rezultoi se 80% e tyre ishin të rrezikshme.</w:t>
      </w:r>
    </w:p>
    <w:p w14:paraId="4620F733" w14:textId="77777777" w:rsidR="00981F27" w:rsidRPr="009475CC" w:rsidRDefault="00981F27" w:rsidP="009475CC">
      <w:pPr>
        <w:jc w:val="both"/>
        <w:rPr>
          <w:rFonts w:cs="Times New Roman"/>
          <w:szCs w:val="24"/>
          <w:lang w:val="sq-AL"/>
        </w:rPr>
      </w:pPr>
    </w:p>
    <w:tbl>
      <w:tblPr>
        <w:tblStyle w:val="PlainTable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5812"/>
      </w:tblGrid>
      <w:tr w:rsidR="00DC3902" w:rsidRPr="009475CC" w14:paraId="6E3E10FE" w14:textId="77777777" w:rsidTr="009475CC">
        <w:trPr>
          <w:cnfStyle w:val="100000000000" w:firstRow="1" w:lastRow="0" w:firstColumn="0" w:lastColumn="0" w:oddVBand="0" w:evenVBand="0" w:oddHBand="0" w:evenHBand="0" w:firstRowFirstColumn="0" w:firstRowLastColumn="0" w:lastRowFirstColumn="0" w:lastRowLastColumn="0"/>
          <w:trHeight w:val="946"/>
        </w:trPr>
        <w:tc>
          <w:tcPr>
            <w:cnfStyle w:val="001000000100" w:firstRow="0" w:lastRow="0" w:firstColumn="1" w:lastColumn="0" w:oddVBand="0" w:evenVBand="0" w:oddHBand="0" w:evenHBand="0" w:firstRowFirstColumn="1" w:firstRowLastColumn="0" w:lastRowFirstColumn="0" w:lastRowLastColumn="0"/>
            <w:tcW w:w="1413" w:type="dxa"/>
            <w:tcBorders>
              <w:bottom w:val="none" w:sz="0" w:space="0" w:color="auto"/>
              <w:right w:val="none" w:sz="0" w:space="0" w:color="auto"/>
            </w:tcBorders>
          </w:tcPr>
          <w:p w14:paraId="68770B07" w14:textId="77777777" w:rsidR="00DC3902" w:rsidRPr="009475CC" w:rsidRDefault="00DC3902" w:rsidP="009475CC">
            <w:pPr>
              <w:spacing w:after="160" w:line="259" w:lineRule="auto"/>
              <w:ind w:left="360"/>
              <w:jc w:val="both"/>
              <w:rPr>
                <w:rFonts w:cs="Times New Roman"/>
                <w:szCs w:val="24"/>
                <w:lang w:val="sq-AL"/>
              </w:rPr>
            </w:pPr>
          </w:p>
        </w:tc>
        <w:tc>
          <w:tcPr>
            <w:tcW w:w="2126" w:type="dxa"/>
            <w:tcBorders>
              <w:bottom w:val="none" w:sz="0" w:space="0" w:color="auto"/>
            </w:tcBorders>
          </w:tcPr>
          <w:p w14:paraId="39EF08E6" w14:textId="77777777" w:rsidR="00DC3902" w:rsidRPr="009475CC" w:rsidRDefault="00DC3902" w:rsidP="009475CC">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r w:rsidRPr="009475CC">
              <w:rPr>
                <w:rFonts w:cs="Times New Roman"/>
                <w:szCs w:val="24"/>
                <w:lang w:val="sq-AL"/>
              </w:rPr>
              <w:t>Testim sipas Standardit të harmonizuar</w:t>
            </w:r>
          </w:p>
        </w:tc>
        <w:tc>
          <w:tcPr>
            <w:tcW w:w="5812" w:type="dxa"/>
            <w:tcBorders>
              <w:bottom w:val="none" w:sz="0" w:space="0" w:color="auto"/>
            </w:tcBorders>
          </w:tcPr>
          <w:p w14:paraId="223534FA" w14:textId="77777777" w:rsidR="00DC3902" w:rsidRPr="009475CC" w:rsidRDefault="00DC3902" w:rsidP="009475CC">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r w:rsidRPr="009475CC">
              <w:rPr>
                <w:rFonts w:cs="Times New Roman"/>
                <w:szCs w:val="24"/>
                <w:lang w:val="sq-AL"/>
              </w:rPr>
              <w:t>Risku i shfaqur</w:t>
            </w:r>
          </w:p>
        </w:tc>
      </w:tr>
      <w:tr w:rsidR="00DC3902" w:rsidRPr="009475CC" w14:paraId="7369ABCF" w14:textId="77777777" w:rsidTr="009475CC">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5E1EC6A0" w14:textId="77777777" w:rsidR="00DC3902" w:rsidRPr="009475CC" w:rsidRDefault="00DC3902" w:rsidP="009475CC">
            <w:pPr>
              <w:spacing w:after="160" w:line="259" w:lineRule="auto"/>
              <w:jc w:val="both"/>
              <w:rPr>
                <w:rFonts w:cs="Times New Roman"/>
                <w:szCs w:val="24"/>
                <w:lang w:val="sq-AL"/>
              </w:rPr>
            </w:pPr>
            <w:r w:rsidRPr="009475CC">
              <w:rPr>
                <w:rFonts w:cs="Times New Roman"/>
                <w:b/>
                <w:szCs w:val="24"/>
                <w:u w:val="single"/>
                <w:lang w:val="sq-AL"/>
              </w:rPr>
              <w:t>12 Lodra</w:t>
            </w:r>
          </w:p>
        </w:tc>
        <w:tc>
          <w:tcPr>
            <w:tcW w:w="2126" w:type="dxa"/>
          </w:tcPr>
          <w:p w14:paraId="5DB6C6C2" w14:textId="77777777" w:rsidR="00DC3902" w:rsidRPr="009475CC" w:rsidRDefault="00DC3902" w:rsidP="009475CC">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cs="Times New Roman"/>
                <w:szCs w:val="24"/>
                <w:lang w:val="sq-AL"/>
              </w:rPr>
            </w:pPr>
            <w:r w:rsidRPr="009475CC">
              <w:rPr>
                <w:rFonts w:cs="Times New Roman"/>
                <w:szCs w:val="24"/>
                <w:lang w:val="sq-AL"/>
              </w:rPr>
              <w:t>EN 71-1:2011</w:t>
            </w:r>
          </w:p>
        </w:tc>
        <w:tc>
          <w:tcPr>
            <w:tcW w:w="5812" w:type="dxa"/>
          </w:tcPr>
          <w:p w14:paraId="47F3EA20" w14:textId="77777777" w:rsidR="00DC3902" w:rsidRPr="009475CC" w:rsidRDefault="00DC3902" w:rsidP="009475C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i/>
                <w:iCs/>
                <w:szCs w:val="24"/>
                <w:lang w:val="sq-AL"/>
              </w:rPr>
            </w:pPr>
            <w:r w:rsidRPr="009475CC">
              <w:rPr>
                <w:rFonts w:cs="Times New Roman"/>
                <w:i/>
                <w:iCs/>
                <w:szCs w:val="24"/>
                <w:lang w:val="sq-AL"/>
              </w:rPr>
              <w:t>Risk të mbytjes/gëlltitjes/prerjeve etj</w:t>
            </w:r>
          </w:p>
        </w:tc>
      </w:tr>
      <w:tr w:rsidR="00DC3902" w:rsidRPr="009475CC" w14:paraId="2EC7B341" w14:textId="77777777" w:rsidTr="009475CC">
        <w:trPr>
          <w:trHeight w:val="102"/>
        </w:trPr>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37F10A67" w14:textId="77777777" w:rsidR="00DC3902" w:rsidRPr="009475CC" w:rsidRDefault="00DC3902" w:rsidP="009475CC">
            <w:pPr>
              <w:spacing w:after="160" w:line="259" w:lineRule="auto"/>
              <w:jc w:val="both"/>
              <w:rPr>
                <w:rFonts w:cs="Times New Roman"/>
                <w:szCs w:val="24"/>
                <w:lang w:val="sq-AL"/>
              </w:rPr>
            </w:pPr>
            <w:r w:rsidRPr="009475CC">
              <w:rPr>
                <w:rFonts w:cs="Times New Roman"/>
                <w:b/>
                <w:szCs w:val="24"/>
                <w:u w:val="single"/>
                <w:lang w:val="sq-AL"/>
              </w:rPr>
              <w:t>16 Lodra</w:t>
            </w:r>
          </w:p>
        </w:tc>
        <w:tc>
          <w:tcPr>
            <w:tcW w:w="2126" w:type="dxa"/>
          </w:tcPr>
          <w:p w14:paraId="3528E1F8" w14:textId="77777777" w:rsidR="00DC3902" w:rsidRPr="009475CC" w:rsidRDefault="00DC3902" w:rsidP="009475CC">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cs="Times New Roman"/>
                <w:szCs w:val="24"/>
                <w:lang w:val="sq-AL"/>
              </w:rPr>
            </w:pPr>
            <w:r w:rsidRPr="009475CC">
              <w:rPr>
                <w:rFonts w:cs="Times New Roman"/>
                <w:szCs w:val="24"/>
                <w:lang w:val="sq-AL"/>
              </w:rPr>
              <w:t>ISO 8124-6:2018</w:t>
            </w:r>
          </w:p>
        </w:tc>
        <w:tc>
          <w:tcPr>
            <w:tcW w:w="5812" w:type="dxa"/>
          </w:tcPr>
          <w:p w14:paraId="7C71A4AE" w14:textId="77777777" w:rsidR="00DC3902" w:rsidRPr="009475CC" w:rsidRDefault="00DC3902" w:rsidP="009475C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i/>
                <w:iCs/>
                <w:szCs w:val="24"/>
                <w:lang w:val="sq-AL"/>
              </w:rPr>
            </w:pPr>
            <w:r w:rsidRPr="009475CC">
              <w:rPr>
                <w:rFonts w:cs="Times New Roman"/>
                <w:i/>
                <w:iCs/>
                <w:szCs w:val="24"/>
                <w:lang w:val="sq-AL"/>
              </w:rPr>
              <w:t xml:space="preserve">Risk Kimik  </w:t>
            </w:r>
            <w:r w:rsidRPr="009475CC">
              <w:rPr>
                <w:rFonts w:cs="Times New Roman"/>
                <w:b/>
                <w:i/>
                <w:iCs/>
                <w:szCs w:val="24"/>
                <w:lang w:val="sq-AL"/>
              </w:rPr>
              <w:t>kategorisë IB me toksik  për riprodhimin</w:t>
            </w:r>
            <w:r w:rsidRPr="009475CC">
              <w:rPr>
                <w:rFonts w:cs="Times New Roman"/>
                <w:i/>
                <w:iCs/>
                <w:szCs w:val="24"/>
                <w:lang w:val="sq-AL"/>
              </w:rPr>
              <w:t xml:space="preserve"> (DEHP, DBP,  BBP, DINP, DIDP, DNOP) </w:t>
            </w:r>
            <w:r w:rsidRPr="009475CC">
              <w:rPr>
                <w:rFonts w:cs="Times New Roman"/>
                <w:b/>
                <w:i/>
                <w:iCs/>
                <w:szCs w:val="24"/>
                <w:lang w:val="sq-AL"/>
              </w:rPr>
              <w:t>mbi nivelin e lejuar &lt;0,1 %)</w:t>
            </w:r>
          </w:p>
        </w:tc>
      </w:tr>
      <w:tr w:rsidR="00DC3902" w:rsidRPr="009475CC" w14:paraId="5280DEBE" w14:textId="77777777" w:rsidTr="009475CC">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3E348AD2" w14:textId="77777777" w:rsidR="00DC3902" w:rsidRPr="009475CC" w:rsidRDefault="00DC3902" w:rsidP="009475CC">
            <w:pPr>
              <w:spacing w:after="160" w:line="259" w:lineRule="auto"/>
              <w:jc w:val="both"/>
              <w:rPr>
                <w:rFonts w:cs="Times New Roman"/>
                <w:szCs w:val="24"/>
                <w:lang w:val="sq-AL"/>
              </w:rPr>
            </w:pPr>
            <w:r w:rsidRPr="009475CC">
              <w:rPr>
                <w:rFonts w:cs="Times New Roman"/>
                <w:b/>
                <w:szCs w:val="24"/>
                <w:u w:val="single"/>
                <w:lang w:val="sq-AL"/>
              </w:rPr>
              <w:t>5  Lodra</w:t>
            </w:r>
          </w:p>
        </w:tc>
        <w:tc>
          <w:tcPr>
            <w:tcW w:w="2126" w:type="dxa"/>
          </w:tcPr>
          <w:p w14:paraId="00BE7BB3" w14:textId="77777777" w:rsidR="00DC3902" w:rsidRPr="009475CC" w:rsidRDefault="00DC3902" w:rsidP="009475CC">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cs="Times New Roman"/>
                <w:szCs w:val="24"/>
                <w:lang w:val="sq-AL"/>
              </w:rPr>
            </w:pPr>
            <w:r w:rsidRPr="009475CC">
              <w:rPr>
                <w:rFonts w:cs="Times New Roman"/>
                <w:szCs w:val="24"/>
                <w:lang w:val="sq-AL"/>
              </w:rPr>
              <w:t>EN 71-3:2013</w:t>
            </w:r>
          </w:p>
        </w:tc>
        <w:tc>
          <w:tcPr>
            <w:tcW w:w="5812" w:type="dxa"/>
          </w:tcPr>
          <w:p w14:paraId="269C3A9A" w14:textId="77777777" w:rsidR="00DC3902" w:rsidRPr="009475CC" w:rsidRDefault="00DC3902" w:rsidP="009475C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i/>
                <w:iCs/>
                <w:szCs w:val="24"/>
                <w:lang w:val="sq-AL"/>
              </w:rPr>
            </w:pPr>
            <w:r w:rsidRPr="009475CC">
              <w:rPr>
                <w:rFonts w:cs="Times New Roman"/>
                <w:i/>
                <w:iCs/>
                <w:szCs w:val="24"/>
                <w:lang w:val="sq-AL"/>
              </w:rPr>
              <w:t>Risk Kimik  sistemit të riprodhimit</w:t>
            </w:r>
          </w:p>
        </w:tc>
      </w:tr>
    </w:tbl>
    <w:p w14:paraId="34EDF83A" w14:textId="24ABE7AC" w:rsidR="00DC3902" w:rsidRPr="009475CC" w:rsidRDefault="00601086" w:rsidP="009475CC">
      <w:pPr>
        <w:jc w:val="center"/>
        <w:rPr>
          <w:rFonts w:cs="Times New Roman"/>
          <w:lang w:val="sq-AL"/>
        </w:rPr>
      </w:pPr>
      <w:r w:rsidRPr="009475CC">
        <w:rPr>
          <w:rFonts w:cs="Times New Roman"/>
          <w:lang w:val="sq-AL"/>
        </w:rPr>
        <w:t>Tab.2: Përmbledhje e rezultateve të analizimeve sipas standardit</w:t>
      </w:r>
    </w:p>
    <w:p w14:paraId="2B49DF26" w14:textId="77777777" w:rsidR="00981F27" w:rsidRDefault="00DC3902" w:rsidP="009475CC">
      <w:pPr>
        <w:spacing w:after="0"/>
        <w:jc w:val="both"/>
        <w:rPr>
          <w:rFonts w:cs="Times New Roman"/>
          <w:szCs w:val="24"/>
          <w:lang w:val="sq-AL"/>
        </w:rPr>
      </w:pPr>
      <w:r w:rsidRPr="009475CC">
        <w:rPr>
          <w:rFonts w:cs="Times New Roman"/>
          <w:szCs w:val="24"/>
          <w:lang w:val="sq-AL"/>
        </w:rPr>
        <w:t xml:space="preserve">ISHMT ka kryer jo vetëm ndalimin e tregtimit të produkteve të pasigurta dhe të rrezikshme por edhe shkatërrimin e tyre. Në vitin 2019  u  realizua për herë të parë proçedura e  shkatërrimit të produkteve joushqimore të cilat kanë rezultuar në jokonformitet me kërkesat minimale të sigurisë sipas legjislacionit në fuqi “Për tregtimin dhe mbikëqyrjen e tregut të produkteve joushqimore” dhe VKM Nr.262/2013 “Për sigurinë e Lodrave” dhe në Shkurt 2022 u realizuar procedura e dytë. Në total janë shkatërruar 116 artikuj lodra (me një sasi totale 22.000 copë) të cilat rezultuan nga analizat laboratorike me risk kimik, fizik, të identifikuara në RAPEX apo pa markimin CE. </w:t>
      </w:r>
    </w:p>
    <w:p w14:paraId="18B426CA" w14:textId="77777777" w:rsidR="00981F27" w:rsidRDefault="00981F27" w:rsidP="009475CC">
      <w:pPr>
        <w:spacing w:after="0"/>
        <w:jc w:val="both"/>
        <w:rPr>
          <w:rFonts w:cs="Times New Roman"/>
          <w:szCs w:val="24"/>
          <w:lang w:val="sq-AL"/>
        </w:rPr>
      </w:pPr>
    </w:p>
    <w:p w14:paraId="1BBD64B7" w14:textId="77777777" w:rsidR="00981F27" w:rsidRDefault="00DC3902" w:rsidP="009475CC">
      <w:pPr>
        <w:spacing w:after="0"/>
        <w:jc w:val="both"/>
        <w:rPr>
          <w:rFonts w:cs="Times New Roman"/>
          <w:szCs w:val="24"/>
          <w:lang w:val="sq-AL"/>
        </w:rPr>
      </w:pPr>
      <w:r w:rsidRPr="009475CC">
        <w:rPr>
          <w:rFonts w:cs="Times New Roman"/>
          <w:szCs w:val="24"/>
          <w:lang w:val="sq-AL"/>
        </w:rPr>
        <w:t xml:space="preserve">Mbështetur në pikën 1/d të </w:t>
      </w:r>
      <w:r w:rsidR="00967AF8">
        <w:rPr>
          <w:rFonts w:cs="Times New Roman"/>
          <w:szCs w:val="24"/>
          <w:lang w:val="sq-AL"/>
        </w:rPr>
        <w:t>n</w:t>
      </w:r>
      <w:r w:rsidRPr="009475CC">
        <w:rPr>
          <w:rFonts w:cs="Times New Roman"/>
          <w:szCs w:val="24"/>
          <w:lang w:val="sq-AL"/>
        </w:rPr>
        <w:t xml:space="preserve">enit 30 të Ligjit nr.10489 datë.15.12.2011, i ndryshuar, ka të drejtën e bllokimit të produkteve nëse </w:t>
      </w:r>
      <w:r w:rsidR="004D214D">
        <w:rPr>
          <w:rFonts w:cs="Times New Roman"/>
          <w:szCs w:val="24"/>
          <w:lang w:val="sq-AL"/>
        </w:rPr>
        <w:t>a</w:t>
      </w:r>
      <w:r w:rsidRPr="009475CC">
        <w:rPr>
          <w:rFonts w:cs="Times New Roman"/>
          <w:szCs w:val="24"/>
          <w:lang w:val="sq-AL"/>
        </w:rPr>
        <w:t>utoritetet e mbikëqyrjes së tregut në vende të tjera të BE-së kanë njoftuar se produkti është i rrezikshëm</w:t>
      </w:r>
      <w:r w:rsidR="004D214D">
        <w:rPr>
          <w:rFonts w:cs="Times New Roman"/>
          <w:szCs w:val="24"/>
          <w:lang w:val="sq-AL"/>
        </w:rPr>
        <w:t xml:space="preserve">. </w:t>
      </w:r>
      <w:r w:rsidRPr="009475CC">
        <w:rPr>
          <w:rFonts w:cs="Times New Roman"/>
          <w:szCs w:val="24"/>
          <w:lang w:val="sq-AL"/>
        </w:rPr>
        <w:t xml:space="preserve">Në këtë kuadër janë bllokuar produkte lodra apo  artikuj në kontakt </w:t>
      </w:r>
      <w:r w:rsidRPr="004D214D">
        <w:rPr>
          <w:rFonts w:cs="Times New Roman"/>
          <w:szCs w:val="24"/>
          <w:lang w:val="sq-AL"/>
        </w:rPr>
        <w:t>me ushqimin për të cilët është publikuar njoftimi nga vendet e BE</w:t>
      </w:r>
      <w:r w:rsidR="004D214D" w:rsidRPr="004D214D">
        <w:rPr>
          <w:rFonts w:cs="Times New Roman"/>
          <w:szCs w:val="24"/>
          <w:lang w:val="sq-AL"/>
        </w:rPr>
        <w:t xml:space="preserve">-së </w:t>
      </w:r>
      <w:r w:rsidRPr="004D214D">
        <w:rPr>
          <w:rFonts w:cs="Times New Roman"/>
          <w:szCs w:val="24"/>
          <w:lang w:val="sq-AL"/>
        </w:rPr>
        <w:t xml:space="preserve">në Safety Gate Alert  apo RASFF (AKU). </w:t>
      </w:r>
    </w:p>
    <w:p w14:paraId="25A6BB81" w14:textId="77777777" w:rsidR="00981F27" w:rsidRDefault="00981F27" w:rsidP="009475CC">
      <w:pPr>
        <w:spacing w:after="0"/>
        <w:jc w:val="both"/>
        <w:rPr>
          <w:rFonts w:cs="Times New Roman"/>
          <w:szCs w:val="24"/>
          <w:lang w:val="sq-AL"/>
        </w:rPr>
      </w:pPr>
    </w:p>
    <w:p w14:paraId="7BD0D3DE" w14:textId="4BCD7FA5" w:rsidR="008B59D6" w:rsidRPr="009475CC" w:rsidRDefault="00DC3902" w:rsidP="009475CC">
      <w:pPr>
        <w:spacing w:after="0"/>
        <w:jc w:val="both"/>
        <w:rPr>
          <w:rFonts w:cs="Times New Roman"/>
          <w:szCs w:val="24"/>
          <w:lang w:val="sq-AL"/>
        </w:rPr>
      </w:pPr>
      <w:r w:rsidRPr="004D214D">
        <w:rPr>
          <w:rFonts w:cs="Times New Roman"/>
          <w:szCs w:val="24"/>
          <w:lang w:val="sq-AL"/>
        </w:rPr>
        <w:t>Në vitin 2020 janë ndjekur  5 ALERT-e ndërkombëtare  të njoftuara nga RASFF të kategorizuara  me risk</w:t>
      </w:r>
      <w:r w:rsidRPr="009475CC">
        <w:rPr>
          <w:rFonts w:cs="Times New Roman"/>
          <w:szCs w:val="24"/>
          <w:lang w:val="sq-AL"/>
        </w:rPr>
        <w:t xml:space="preserve"> serioz me ndikimin në shëndetin e njeriut, prej produkteve  joushqimore të kategorisë  “material në kontakt me ushqimin”. Në vitin 2022 janë trajtuar 3 ALERT-e ndërkombëtare nga RASFF , ku  janë bllokuar 280 produkte t</w:t>
      </w:r>
      <w:r w:rsidR="004D214D">
        <w:rPr>
          <w:rFonts w:cs="Times New Roman"/>
          <w:szCs w:val="24"/>
          <w:lang w:val="sq-AL"/>
        </w:rPr>
        <w:t>ë</w:t>
      </w:r>
      <w:r w:rsidRPr="009475CC">
        <w:rPr>
          <w:rFonts w:cs="Times New Roman"/>
          <w:szCs w:val="24"/>
          <w:lang w:val="sq-AL"/>
        </w:rPr>
        <w:t xml:space="preserve"> k</w:t>
      </w:r>
      <w:r w:rsidR="004D214D">
        <w:rPr>
          <w:rFonts w:cs="Times New Roman"/>
          <w:szCs w:val="24"/>
          <w:lang w:val="sq-AL"/>
        </w:rPr>
        <w:t>ë</w:t>
      </w:r>
      <w:r w:rsidRPr="009475CC">
        <w:rPr>
          <w:rFonts w:cs="Times New Roman"/>
          <w:szCs w:val="24"/>
          <w:lang w:val="sq-AL"/>
        </w:rPr>
        <w:t>saj kategorie.</w:t>
      </w:r>
      <w:r w:rsidR="004D214D">
        <w:rPr>
          <w:rFonts w:cs="Times New Roman"/>
          <w:szCs w:val="24"/>
          <w:lang w:val="sq-AL"/>
        </w:rPr>
        <w:t xml:space="preserve"> </w:t>
      </w:r>
      <w:r w:rsidRPr="009475CC">
        <w:rPr>
          <w:rFonts w:cs="Times New Roman"/>
          <w:szCs w:val="24"/>
          <w:lang w:val="sq-AL"/>
        </w:rPr>
        <w:t>Inspektimet e realizuara nga ISHMT prej funksionimit e deri më tani kanë qënë kryesisht të planifikuara, (proaktive) por numri i inspektimeve mbi bazën e informacionit të përcjellë nga institucionet publike/organizata/qytetar/ konsumator pranë ISHMT nëpërmjet adr</w:t>
      </w:r>
      <w:r w:rsidR="004D214D">
        <w:rPr>
          <w:rFonts w:cs="Times New Roman"/>
          <w:szCs w:val="24"/>
          <w:lang w:val="sq-AL"/>
        </w:rPr>
        <w:t>e</w:t>
      </w:r>
      <w:r w:rsidRPr="009475CC">
        <w:rPr>
          <w:rFonts w:cs="Times New Roman"/>
          <w:szCs w:val="24"/>
          <w:lang w:val="sq-AL"/>
        </w:rPr>
        <w:t xml:space="preserve">sës fizike të institucionit (administruar në protokoll), email-et zyrtar (info@ishmt.gov.al), plotësimit të formularit të ankesës që disponohet në </w:t>
      </w:r>
      <w:r w:rsidR="006D61C0">
        <w:rPr>
          <w:rFonts w:cs="Times New Roman"/>
          <w:szCs w:val="24"/>
          <w:lang w:val="sq-AL"/>
        </w:rPr>
        <w:t>ë</w:t>
      </w:r>
      <w:r w:rsidRPr="009475CC">
        <w:rPr>
          <w:rFonts w:cs="Times New Roman"/>
          <w:szCs w:val="24"/>
          <w:lang w:val="sq-AL"/>
        </w:rPr>
        <w:t>ebiste-n zyrtar</w:t>
      </w:r>
      <w:r w:rsidR="004D214D">
        <w:rPr>
          <w:rFonts w:cs="Times New Roman"/>
          <w:szCs w:val="24"/>
          <w:lang w:val="sq-AL"/>
        </w:rPr>
        <w:t xml:space="preserve">, </w:t>
      </w:r>
      <w:r w:rsidRPr="009475CC">
        <w:rPr>
          <w:rFonts w:cs="Times New Roman"/>
          <w:szCs w:val="24"/>
          <w:lang w:val="sq-AL"/>
        </w:rPr>
        <w:t xml:space="preserve">si dhe ato të paraqitura nga Platforma e </w:t>
      </w:r>
      <w:r w:rsidR="004D214D">
        <w:rPr>
          <w:rFonts w:cs="Times New Roman"/>
          <w:szCs w:val="24"/>
          <w:lang w:val="sq-AL"/>
        </w:rPr>
        <w:t>B</w:t>
      </w:r>
      <w:r w:rsidRPr="009475CC">
        <w:rPr>
          <w:rFonts w:cs="Times New Roman"/>
          <w:szCs w:val="24"/>
          <w:lang w:val="sq-AL"/>
        </w:rPr>
        <w:t>ashkëqeverisjes janë ndjekur me prioritet dhe kanë qënë në rritje vit pas vit. Megjithë punën e madhe të bërë për fuqizimin e strukturës së mbikëqyrjes së tregut për produktet joushqimore mbeten ende sfida:</w:t>
      </w:r>
    </w:p>
    <w:p w14:paraId="5F062C17" w14:textId="77777777" w:rsidR="004D214D" w:rsidRDefault="00DC3902" w:rsidP="00623352">
      <w:pPr>
        <w:pStyle w:val="ListParagraph"/>
        <w:numPr>
          <w:ilvl w:val="0"/>
          <w:numId w:val="12"/>
        </w:numPr>
        <w:spacing w:after="0" w:line="240" w:lineRule="auto"/>
        <w:ind w:left="360"/>
        <w:jc w:val="both"/>
        <w:rPr>
          <w:rFonts w:cs="Times New Roman"/>
          <w:szCs w:val="24"/>
          <w:lang w:val="sq-AL"/>
        </w:rPr>
      </w:pPr>
      <w:r w:rsidRPr="004D214D">
        <w:rPr>
          <w:rFonts w:cs="Times New Roman"/>
          <w:szCs w:val="24"/>
          <w:lang w:val="sq-AL"/>
        </w:rPr>
        <w:t>Kontrolli në vazhdimësi i konformitetit të produkteve jo ushqimore, pajisjeve/</w:t>
      </w:r>
      <w:r w:rsidR="004D214D" w:rsidRPr="004D214D">
        <w:rPr>
          <w:rFonts w:cs="Times New Roman"/>
          <w:szCs w:val="24"/>
          <w:lang w:val="sq-AL"/>
        </w:rPr>
        <w:t xml:space="preserve"> </w:t>
      </w:r>
    </w:p>
    <w:p w14:paraId="65A4A3F2" w14:textId="669C3CD6" w:rsidR="008B59D6" w:rsidRPr="004D214D" w:rsidRDefault="00DC3902" w:rsidP="00981F27">
      <w:pPr>
        <w:spacing w:after="0" w:line="240" w:lineRule="auto"/>
        <w:jc w:val="both"/>
        <w:rPr>
          <w:rFonts w:cs="Times New Roman"/>
          <w:szCs w:val="24"/>
          <w:lang w:val="sq-AL"/>
        </w:rPr>
      </w:pPr>
      <w:r w:rsidRPr="004D214D">
        <w:rPr>
          <w:rFonts w:cs="Times New Roman"/>
          <w:szCs w:val="24"/>
          <w:lang w:val="sq-AL"/>
        </w:rPr>
        <w:t>instalimeve si dhe shtrirja e kontrolleve për sigurinë e grup produkteve që nuk kanë qenë objekt i kontrolleve të mëparshme si dhe përfshirja në një shkallë më të gjerë e instrumentave dhe pajisjeve ndihmëse në kontrollet mbikëqyrëse e cila kërkon më shumë impenjim edhe në trajnim të stafit për vënien e tyre në përdorim si dhe kryerja e analizave laboratorike</w:t>
      </w:r>
      <w:r w:rsidR="004D214D">
        <w:rPr>
          <w:rFonts w:cs="Times New Roman"/>
          <w:szCs w:val="24"/>
          <w:lang w:val="sq-AL"/>
        </w:rPr>
        <w:t>;</w:t>
      </w:r>
    </w:p>
    <w:p w14:paraId="7C681524" w14:textId="0A31CB5A" w:rsidR="00967AF8" w:rsidRDefault="00DC3902" w:rsidP="00623352">
      <w:pPr>
        <w:pStyle w:val="ListParagraph"/>
        <w:numPr>
          <w:ilvl w:val="0"/>
          <w:numId w:val="12"/>
        </w:numPr>
        <w:spacing w:after="0" w:line="240" w:lineRule="auto"/>
        <w:ind w:left="360"/>
        <w:jc w:val="both"/>
        <w:rPr>
          <w:rFonts w:cs="Times New Roman"/>
          <w:szCs w:val="24"/>
          <w:lang w:val="sq-AL"/>
        </w:rPr>
      </w:pPr>
      <w:r w:rsidRPr="009475CC">
        <w:rPr>
          <w:rFonts w:cs="Times New Roman"/>
          <w:szCs w:val="24"/>
          <w:lang w:val="sq-AL"/>
        </w:rPr>
        <w:t>Fuqizimi i mëtejshëm i ISHMT</w:t>
      </w:r>
      <w:r w:rsidR="004D214D">
        <w:rPr>
          <w:rFonts w:cs="Times New Roman"/>
          <w:szCs w:val="24"/>
          <w:lang w:val="sq-AL"/>
        </w:rPr>
        <w:t>-së</w:t>
      </w:r>
      <w:r w:rsidRPr="009475CC">
        <w:rPr>
          <w:rFonts w:cs="Times New Roman"/>
          <w:szCs w:val="24"/>
          <w:lang w:val="sq-AL"/>
        </w:rPr>
        <w:t xml:space="preserve"> si një institucion i rëndësishëm në fushën e</w:t>
      </w:r>
    </w:p>
    <w:p w14:paraId="476DA7BA" w14:textId="77777777" w:rsidR="004D214D" w:rsidRDefault="00DC3902" w:rsidP="00981F27">
      <w:pPr>
        <w:spacing w:after="0" w:line="240" w:lineRule="auto"/>
        <w:jc w:val="both"/>
        <w:rPr>
          <w:rFonts w:cs="Times New Roman"/>
          <w:szCs w:val="24"/>
          <w:lang w:val="sq-AL"/>
        </w:rPr>
      </w:pPr>
      <w:r w:rsidRPr="009475CC">
        <w:rPr>
          <w:rFonts w:cs="Times New Roman"/>
          <w:szCs w:val="24"/>
          <w:lang w:val="sq-AL"/>
        </w:rPr>
        <w:t>mbikëqyrjes së tregut</w:t>
      </w:r>
      <w:r w:rsidR="004D214D">
        <w:rPr>
          <w:rFonts w:cs="Times New Roman"/>
          <w:szCs w:val="24"/>
          <w:lang w:val="sq-AL"/>
        </w:rPr>
        <w:t>;</w:t>
      </w:r>
    </w:p>
    <w:p w14:paraId="2514955D" w14:textId="2DFBEA02" w:rsidR="004D214D" w:rsidRDefault="00DC3902" w:rsidP="00623352">
      <w:pPr>
        <w:pStyle w:val="ListParagraph"/>
        <w:numPr>
          <w:ilvl w:val="0"/>
          <w:numId w:val="3"/>
        </w:numPr>
        <w:tabs>
          <w:tab w:val="left" w:pos="426"/>
        </w:tabs>
        <w:spacing w:after="0" w:line="240" w:lineRule="auto"/>
        <w:ind w:left="0" w:firstLine="0"/>
        <w:jc w:val="both"/>
        <w:rPr>
          <w:rFonts w:cs="Times New Roman"/>
          <w:szCs w:val="24"/>
          <w:lang w:val="sq-AL"/>
        </w:rPr>
      </w:pPr>
      <w:r w:rsidRPr="004D214D">
        <w:rPr>
          <w:rFonts w:cs="Times New Roman"/>
          <w:szCs w:val="24"/>
          <w:lang w:val="sq-AL"/>
        </w:rPr>
        <w:t>Rritja e aksesit të operatorëve ekonomikë dhe konsumator</w:t>
      </w:r>
      <w:r w:rsidR="006D61C0">
        <w:rPr>
          <w:rFonts w:cs="Times New Roman"/>
          <w:szCs w:val="24"/>
          <w:lang w:val="sq-AL"/>
        </w:rPr>
        <w:t>ë</w:t>
      </w:r>
      <w:r w:rsidRPr="004D214D">
        <w:rPr>
          <w:rFonts w:cs="Times New Roman"/>
          <w:szCs w:val="24"/>
          <w:lang w:val="sq-AL"/>
        </w:rPr>
        <w:t xml:space="preserve">ve ndaj informacionit të </w:t>
      </w:r>
    </w:p>
    <w:p w14:paraId="4C70C110" w14:textId="67FB6C15" w:rsidR="004D214D" w:rsidRPr="004D214D" w:rsidRDefault="00DC3902" w:rsidP="004D214D">
      <w:pPr>
        <w:spacing w:after="0" w:line="240" w:lineRule="auto"/>
        <w:jc w:val="both"/>
        <w:rPr>
          <w:rFonts w:cs="Times New Roman"/>
          <w:szCs w:val="24"/>
          <w:lang w:val="sq-AL"/>
        </w:rPr>
      </w:pPr>
      <w:r w:rsidRPr="004D214D">
        <w:rPr>
          <w:rFonts w:cs="Times New Roman"/>
          <w:szCs w:val="24"/>
          <w:lang w:val="sq-AL"/>
        </w:rPr>
        <w:t>përditësuuar mbi sigurinë e produkteve jo ushqimore</w:t>
      </w:r>
      <w:r w:rsidR="00967AF8" w:rsidRPr="004D214D">
        <w:rPr>
          <w:rFonts w:cs="Times New Roman"/>
          <w:szCs w:val="24"/>
          <w:lang w:val="sq-AL"/>
        </w:rPr>
        <w:t>.</w:t>
      </w:r>
    </w:p>
    <w:p w14:paraId="545C85A3" w14:textId="0092BCF4" w:rsidR="00197E77" w:rsidRDefault="003A27DB" w:rsidP="00623352">
      <w:pPr>
        <w:pStyle w:val="Heading5"/>
      </w:pPr>
      <w:bookmarkStart w:id="48" w:name="_Toc132277330"/>
      <w:bookmarkStart w:id="49" w:name="_Hlk121689319"/>
      <w:r w:rsidRPr="00FB36DA">
        <w:lastRenderedPageBreak/>
        <w:t>I</w:t>
      </w:r>
      <w:r w:rsidR="00603DA7" w:rsidRPr="00FB36DA">
        <w:t xml:space="preserve">nspektorati </w:t>
      </w:r>
      <w:r w:rsidRPr="00FB36DA">
        <w:t>S</w:t>
      </w:r>
      <w:r w:rsidR="00603DA7" w:rsidRPr="00FB36DA">
        <w:t>h</w:t>
      </w:r>
      <w:r w:rsidR="00767F30" w:rsidRPr="0022797D">
        <w:t>tet</w:t>
      </w:r>
      <w:r w:rsidR="00967AF8">
        <w:t>ë</w:t>
      </w:r>
      <w:r w:rsidR="00603DA7" w:rsidRPr="0022797D">
        <w:t xml:space="preserve">ror </w:t>
      </w:r>
      <w:r w:rsidRPr="0022797D">
        <w:t>T</w:t>
      </w:r>
      <w:r w:rsidR="00603DA7" w:rsidRPr="0022797D">
        <w:t xml:space="preserve">eknik dhe </w:t>
      </w:r>
      <w:r w:rsidRPr="0093142A">
        <w:t>I</w:t>
      </w:r>
      <w:r w:rsidR="00603DA7" w:rsidRPr="008B3DCF">
        <w:t>ndustrial</w:t>
      </w:r>
      <w:bookmarkEnd w:id="48"/>
    </w:p>
    <w:bookmarkEnd w:id="49"/>
    <w:p w14:paraId="3A5A87BE" w14:textId="2BDCA752" w:rsidR="00197E77" w:rsidRDefault="00197E77" w:rsidP="00981F27">
      <w:pPr>
        <w:pStyle w:val="Default"/>
        <w:spacing w:after="240"/>
        <w:contextualSpacing/>
        <w:jc w:val="both"/>
      </w:pPr>
      <w:r w:rsidRPr="00E2223C">
        <w:t>ISHTI është struktura përgjegjëse për inspektimin për zbatimin dhe përmbushjen e kërkesave ligjore dhe nënligjore në fushat m</w:t>
      </w:r>
      <w:r w:rsidR="00752BF8">
        <w:t>ë</w:t>
      </w:r>
      <w:r w:rsidRPr="00E2223C">
        <w:t xml:space="preserve"> posht</w:t>
      </w:r>
      <w:r w:rsidR="00752BF8">
        <w:t>ë:</w:t>
      </w:r>
    </w:p>
    <w:p w14:paraId="4B0BB29B" w14:textId="77777777" w:rsidR="00981F27" w:rsidRPr="00753E9C" w:rsidRDefault="00981F27" w:rsidP="00981F27">
      <w:pPr>
        <w:pStyle w:val="Default"/>
        <w:spacing w:after="240"/>
        <w:contextualSpacing/>
        <w:jc w:val="both"/>
      </w:pPr>
    </w:p>
    <w:p w14:paraId="3E166415" w14:textId="77777777" w:rsidR="00197E77" w:rsidRPr="005D4962" w:rsidRDefault="00197E77" w:rsidP="00981F27">
      <w:pPr>
        <w:pStyle w:val="Default"/>
        <w:spacing w:before="240"/>
        <w:contextualSpacing/>
        <w:jc w:val="both"/>
      </w:pPr>
      <w:r w:rsidRPr="00E45C0D">
        <w:t xml:space="preserve">a) përpunimit, transportimit dhe tregtimit të naftës, të gazit dhe </w:t>
      </w:r>
      <w:r w:rsidRPr="004E1146">
        <w:t>nënprodukteve të tyre, sipas legjislacionit përkatës;</w:t>
      </w:r>
    </w:p>
    <w:p w14:paraId="7C0A4E38" w14:textId="77777777" w:rsidR="00197E77" w:rsidRPr="009475CC" w:rsidRDefault="00197E77" w:rsidP="00981F27">
      <w:pPr>
        <w:pStyle w:val="Default"/>
        <w:spacing w:after="240"/>
        <w:contextualSpacing/>
        <w:jc w:val="both"/>
      </w:pPr>
      <w:r w:rsidRPr="009475CC">
        <w:t>b) sigurisë së punës së pajisjeve dhe instalimeve elektrike, sipas legjislacionit përkatës;</w:t>
      </w:r>
    </w:p>
    <w:p w14:paraId="3267BD52" w14:textId="77777777" w:rsidR="00197E77" w:rsidRPr="009475CC" w:rsidRDefault="00197E77" w:rsidP="00981F27">
      <w:pPr>
        <w:pStyle w:val="Default"/>
        <w:spacing w:after="240"/>
        <w:contextualSpacing/>
        <w:jc w:val="both"/>
      </w:pPr>
      <w:r w:rsidRPr="009475CC">
        <w:t>c) sigurisë së punës së instalimeve nën presion, si një linjë teknologjike e përbërë nga enë, tubacione dhe aksesorë sigurie dhe që shërbejnë për mbajtjen, trajtimin dhe shpërndarjen e fluideve, sipas legjislacionit për sigurinë e enëve në presion;</w:t>
      </w:r>
    </w:p>
    <w:p w14:paraId="50D6B9BF" w14:textId="77777777" w:rsidR="00197E77" w:rsidRPr="009475CC" w:rsidRDefault="00197E77" w:rsidP="00981F27">
      <w:pPr>
        <w:pStyle w:val="Default"/>
        <w:spacing w:after="240"/>
        <w:contextualSpacing/>
        <w:jc w:val="both"/>
      </w:pPr>
      <w:r w:rsidRPr="009475CC">
        <w:t>ç) sigurisë së punës në veprimtarinë e sektorit të gazit natyror, përfshirë transmetimin, shpërndarjen, depozitimin, si dhe ndërtimin e operimin e infrastrukturës së gazit natyror, sipas legjislacionit të sektorit të gazit natyror;</w:t>
      </w:r>
    </w:p>
    <w:p w14:paraId="58A0AEC0" w14:textId="77777777" w:rsidR="00197E77" w:rsidRPr="009475CC" w:rsidRDefault="00197E77" w:rsidP="00981F27">
      <w:pPr>
        <w:pStyle w:val="Default"/>
        <w:spacing w:after="240"/>
        <w:contextualSpacing/>
        <w:jc w:val="both"/>
      </w:pPr>
      <w:r w:rsidRPr="009475CC">
        <w:t>d) sigurisë teknike të linjave teknologjike industriale të industrisë joushqimore, brenda fushës së përgjegjësisë së ministrisë përgjegjëse për industrinë, sipas legjislacionit përkatës;</w:t>
      </w:r>
    </w:p>
    <w:p w14:paraId="275CD7D7" w14:textId="129F93BD" w:rsidR="00197E77" w:rsidRDefault="00197E77" w:rsidP="00981F27">
      <w:pPr>
        <w:pStyle w:val="Default"/>
        <w:spacing w:after="240"/>
        <w:contextualSpacing/>
        <w:jc w:val="both"/>
      </w:pPr>
      <w:r w:rsidRPr="009475CC">
        <w:t>dh) çdo përgjegjësi tjetër të përcaktuar me ligj apo akt nënligjor.</w:t>
      </w:r>
    </w:p>
    <w:p w14:paraId="0EF36E57" w14:textId="77777777" w:rsidR="00981F27" w:rsidRPr="009475CC" w:rsidRDefault="00981F27" w:rsidP="00981F27">
      <w:pPr>
        <w:pStyle w:val="Default"/>
        <w:spacing w:after="240"/>
        <w:contextualSpacing/>
        <w:jc w:val="both"/>
      </w:pPr>
    </w:p>
    <w:p w14:paraId="2FD10FA6" w14:textId="1ACFB888" w:rsidR="00197E77" w:rsidRDefault="00197E77" w:rsidP="00981F27">
      <w:pPr>
        <w:pStyle w:val="Default"/>
        <w:spacing w:after="240"/>
        <w:contextualSpacing/>
        <w:jc w:val="both"/>
      </w:pPr>
      <w:r w:rsidRPr="009475CC">
        <w:t>ISHTI është organ qendror dhe ushtron juridiksionin e vet në të gjithë territorin e vendit bazuar n</w:t>
      </w:r>
      <w:r w:rsidR="00752BF8">
        <w:t>ë</w:t>
      </w:r>
      <w:r w:rsidRPr="009475CC">
        <w:t xml:space="preserve"> </w:t>
      </w:r>
      <w:r w:rsidR="00752BF8">
        <w:t>L</w:t>
      </w:r>
      <w:r w:rsidRPr="00753E9C">
        <w:t>igjin nr. 10433, datë 16.6.2011</w:t>
      </w:r>
      <w:r w:rsidR="00752BF8">
        <w:t xml:space="preserve"> </w:t>
      </w:r>
      <w:r w:rsidRPr="009475CC">
        <w:t xml:space="preserve">“Për inspektimin në Republikën e Shqipërisë” dhe të Vendimit të Këshillit të Ministrave nr. 410, datë 13.05.2015 “Për krijimin, </w:t>
      </w:r>
      <w:r w:rsidR="00752BF8">
        <w:t>o</w:t>
      </w:r>
      <w:r w:rsidRPr="00753E9C">
        <w:t xml:space="preserve">rganizimin e Inspektoratit Shtetëror Teknik dhe Industrial”. </w:t>
      </w:r>
    </w:p>
    <w:p w14:paraId="2DE6F32D" w14:textId="77777777" w:rsidR="00981F27" w:rsidRPr="00E45C0D" w:rsidRDefault="00981F27" w:rsidP="00981F27">
      <w:pPr>
        <w:pStyle w:val="Default"/>
        <w:spacing w:after="240"/>
        <w:contextualSpacing/>
        <w:jc w:val="both"/>
      </w:pPr>
    </w:p>
    <w:p w14:paraId="02522428" w14:textId="100BE0EA" w:rsidR="00197E77" w:rsidRDefault="00197E77" w:rsidP="00981F27">
      <w:pPr>
        <w:pStyle w:val="Default"/>
        <w:contextualSpacing/>
        <w:jc w:val="both"/>
      </w:pPr>
      <w:r w:rsidRPr="004E1146">
        <w:t>Struktura e ISHTI p</w:t>
      </w:r>
      <w:r w:rsidR="00752BF8">
        <w:t>ë</w:t>
      </w:r>
      <w:r w:rsidRPr="00753E9C">
        <w:t>rb</w:t>
      </w:r>
      <w:r w:rsidR="00752BF8">
        <w:t>ë</w:t>
      </w:r>
      <w:r w:rsidRPr="009475CC">
        <w:t>het nga 10 drejtori, 200 punonj</w:t>
      </w:r>
      <w:r w:rsidR="00752BF8">
        <w:t>ë</w:t>
      </w:r>
      <w:r w:rsidRPr="00753E9C">
        <w:t>s dhe drejtohe</w:t>
      </w:r>
      <w:r w:rsidRPr="00ED6C63">
        <w:t>t nga kryeinspektori. K</w:t>
      </w:r>
      <w:r w:rsidR="00752BF8">
        <w:t>ë</w:t>
      </w:r>
      <w:r w:rsidRPr="009475CC">
        <w:t>to drejtori n</w:t>
      </w:r>
      <w:r w:rsidR="00752BF8">
        <w:t>ë</w:t>
      </w:r>
      <w:r w:rsidRPr="00753E9C">
        <w:t xml:space="preserve"> bash</w:t>
      </w:r>
      <w:r w:rsidR="00752BF8">
        <w:t>kë</w:t>
      </w:r>
      <w:r w:rsidRPr="00753E9C">
        <w:t>punim me nj</w:t>
      </w:r>
      <w:r w:rsidR="00752BF8">
        <w:t>ë</w:t>
      </w:r>
      <w:r w:rsidRPr="009475CC">
        <w:t>ra tjetr</w:t>
      </w:r>
      <w:r w:rsidR="00752BF8">
        <w:t>ë</w:t>
      </w:r>
      <w:r w:rsidRPr="00753E9C">
        <w:t>n, planifikojn</w:t>
      </w:r>
      <w:r w:rsidR="00752BF8">
        <w:t>ë</w:t>
      </w:r>
      <w:r w:rsidRPr="00753E9C">
        <w:t>, bashkërendojn</w:t>
      </w:r>
      <w:r w:rsidR="00752BF8">
        <w:t>ë</w:t>
      </w:r>
      <w:r w:rsidRPr="009475CC">
        <w:t xml:space="preserve"> dhe realizojn</w:t>
      </w:r>
      <w:r w:rsidR="00752BF8">
        <w:t>ë</w:t>
      </w:r>
      <w:r w:rsidRPr="00753E9C">
        <w:t xml:space="preserve"> veprimtarinë e inspektimit, sigurojn</w:t>
      </w:r>
      <w:r w:rsidR="00752BF8">
        <w:t>ë</w:t>
      </w:r>
      <w:r w:rsidRPr="009475CC">
        <w:t xml:space="preserve"> unifikimin e praktikave të inspektimit, brenda fushës së përgjegjësisë, në shkallë vendi</w:t>
      </w:r>
      <w:r w:rsidR="00752BF8">
        <w:t>.</w:t>
      </w:r>
    </w:p>
    <w:p w14:paraId="32C02323" w14:textId="77777777" w:rsidR="00981F27" w:rsidRPr="00753E9C" w:rsidRDefault="00981F27" w:rsidP="00981F27">
      <w:pPr>
        <w:pStyle w:val="Default"/>
        <w:contextualSpacing/>
        <w:jc w:val="both"/>
      </w:pPr>
    </w:p>
    <w:p w14:paraId="0A47AD0D" w14:textId="32AE1549" w:rsidR="00197E77" w:rsidRPr="009475CC" w:rsidRDefault="00197E77" w:rsidP="00981F27">
      <w:pPr>
        <w:pStyle w:val="Default"/>
        <w:contextualSpacing/>
        <w:jc w:val="both"/>
      </w:pPr>
      <w:r w:rsidRPr="00E45C0D">
        <w:t>Arritjet kryesore</w:t>
      </w:r>
      <w:r w:rsidRPr="004E1146">
        <w:t xml:space="preserve"> </w:t>
      </w:r>
      <w:r w:rsidRPr="009475CC">
        <w:t>për periudhën 2017-2021</w:t>
      </w:r>
      <w:r w:rsidR="00752BF8">
        <w:t xml:space="preserve"> përfshijnë:</w:t>
      </w:r>
    </w:p>
    <w:p w14:paraId="335596F6" w14:textId="1D47353A" w:rsidR="003858F8" w:rsidRDefault="00197E77" w:rsidP="00623352">
      <w:pPr>
        <w:pStyle w:val="Default"/>
        <w:numPr>
          <w:ilvl w:val="0"/>
          <w:numId w:val="3"/>
        </w:numPr>
        <w:contextualSpacing/>
        <w:jc w:val="both"/>
      </w:pPr>
      <w:r w:rsidRPr="009475CC">
        <w:t>Rritja e kapaciteve</w:t>
      </w:r>
      <w:r w:rsidR="00752BF8">
        <w:t xml:space="preserve"> </w:t>
      </w:r>
      <w:r w:rsidRPr="009475CC">
        <w:t xml:space="preserve">administrative </w:t>
      </w:r>
      <w:r w:rsidR="00752BF8">
        <w:t xml:space="preserve">të </w:t>
      </w:r>
      <w:r w:rsidRPr="009475CC">
        <w:t>stukturës nga 100 punonj</w:t>
      </w:r>
      <w:r w:rsidR="00752BF8">
        <w:t>ë</w:t>
      </w:r>
      <w:r w:rsidRPr="009475CC">
        <w:t xml:space="preserve">s </w:t>
      </w:r>
      <w:r w:rsidR="003858F8" w:rsidRPr="009475CC">
        <w:t xml:space="preserve">në vitin 2020 </w:t>
      </w:r>
      <w:r w:rsidRPr="009475CC">
        <w:t>n</w:t>
      </w:r>
      <w:r w:rsidR="00752BF8">
        <w:t>ë</w:t>
      </w:r>
      <w:r w:rsidRPr="009475CC">
        <w:t xml:space="preserve"> 200 </w:t>
      </w:r>
    </w:p>
    <w:p w14:paraId="7AC683FE" w14:textId="0FE20826" w:rsidR="00197E77" w:rsidRDefault="00197E77" w:rsidP="00981F27">
      <w:pPr>
        <w:pStyle w:val="Default"/>
        <w:contextualSpacing/>
        <w:jc w:val="both"/>
      </w:pPr>
      <w:r w:rsidRPr="009475CC">
        <w:t>punonj</w:t>
      </w:r>
      <w:r w:rsidR="00752BF8">
        <w:t>ë</w:t>
      </w:r>
      <w:r w:rsidRPr="009475CC">
        <w:t xml:space="preserve">s si dhe </w:t>
      </w:r>
      <w:r w:rsidR="00752BF8">
        <w:t>s</w:t>
      </w:r>
      <w:r w:rsidRPr="00753E9C">
        <w:t>htimi i logjistik</w:t>
      </w:r>
      <w:r w:rsidR="00752BF8">
        <w:t>ë</w:t>
      </w:r>
      <w:r w:rsidRPr="009475CC">
        <w:t>s me 11 mjete t</w:t>
      </w:r>
      <w:r w:rsidR="00752BF8">
        <w:t>ë</w:t>
      </w:r>
      <w:r w:rsidRPr="00753E9C">
        <w:t xml:space="preserve"> reja transporti n</w:t>
      </w:r>
      <w:r w:rsidR="00752BF8">
        <w:t>ë</w:t>
      </w:r>
      <w:r w:rsidRPr="009475CC">
        <w:t xml:space="preserve"> funks</w:t>
      </w:r>
      <w:r w:rsidR="00752BF8">
        <w:t>i</w:t>
      </w:r>
      <w:r w:rsidRPr="009475CC">
        <w:t>on t</w:t>
      </w:r>
      <w:r w:rsidR="00752BF8">
        <w:t>ë</w:t>
      </w:r>
      <w:r w:rsidRPr="009475CC">
        <w:t xml:space="preserve"> grupeve t</w:t>
      </w:r>
      <w:r w:rsidR="00752BF8">
        <w:t xml:space="preserve">ë </w:t>
      </w:r>
      <w:r w:rsidRPr="009475CC">
        <w:t>inspektimit të cilët ka patur një im</w:t>
      </w:r>
      <w:r w:rsidR="00752BF8">
        <w:t>p</w:t>
      </w:r>
      <w:r w:rsidRPr="00753E9C">
        <w:t xml:space="preserve">akt </w:t>
      </w:r>
      <w:r w:rsidR="00752BF8">
        <w:t xml:space="preserve">të </w:t>
      </w:r>
      <w:r w:rsidRPr="00753E9C">
        <w:t>dre</w:t>
      </w:r>
      <w:r w:rsidR="00752BF8">
        <w:t>jt</w:t>
      </w:r>
      <w:r w:rsidRPr="00753E9C">
        <w:t>p</w:t>
      </w:r>
      <w:r w:rsidR="00752BF8">
        <w:t>ë</w:t>
      </w:r>
      <w:r w:rsidRPr="009475CC">
        <w:t>rdrejt</w:t>
      </w:r>
      <w:r w:rsidR="00752BF8">
        <w:t>ë</w:t>
      </w:r>
      <w:r w:rsidRPr="009475CC">
        <w:t xml:space="preserve"> në zbatimin e masave ligjore në treg</w:t>
      </w:r>
      <w:r w:rsidR="00752BF8">
        <w:t>.</w:t>
      </w:r>
    </w:p>
    <w:p w14:paraId="7DDDAFFE" w14:textId="77777777" w:rsidR="007C6B68" w:rsidRDefault="00197E77" w:rsidP="00623352">
      <w:pPr>
        <w:pStyle w:val="Default"/>
        <w:numPr>
          <w:ilvl w:val="0"/>
          <w:numId w:val="3"/>
        </w:numPr>
        <w:contextualSpacing/>
        <w:jc w:val="both"/>
      </w:pPr>
      <w:r w:rsidRPr="009475CC">
        <w:t xml:space="preserve">Miratimi i rregullores </w:t>
      </w:r>
      <w:r w:rsidR="00752BF8">
        <w:t>së</w:t>
      </w:r>
      <w:r w:rsidRPr="009475CC">
        <w:t xml:space="preserve"> re t</w:t>
      </w:r>
      <w:r w:rsidR="00752BF8">
        <w:t>ë</w:t>
      </w:r>
      <w:r w:rsidRPr="009475CC">
        <w:t xml:space="preserve"> brendshme t</w:t>
      </w:r>
      <w:r w:rsidR="00752BF8">
        <w:t>ë</w:t>
      </w:r>
      <w:r w:rsidRPr="009475CC">
        <w:t xml:space="preserve"> ISHTI ka p</w:t>
      </w:r>
      <w:r w:rsidR="00752BF8">
        <w:t>ë</w:t>
      </w:r>
      <w:r w:rsidRPr="009475CC">
        <w:t xml:space="preserve">rcaktuar qartë procedurat </w:t>
      </w:r>
    </w:p>
    <w:p w14:paraId="2CC290ED" w14:textId="5D40111F" w:rsidR="00197E77" w:rsidRPr="00ED6C63" w:rsidRDefault="00197E77" w:rsidP="00981F27">
      <w:pPr>
        <w:pStyle w:val="Default"/>
        <w:contextualSpacing/>
        <w:jc w:val="both"/>
      </w:pPr>
      <w:r w:rsidRPr="009475CC">
        <w:t>adminstrative,</w:t>
      </w:r>
      <w:r w:rsidR="00752BF8">
        <w:t xml:space="preserve"> </w:t>
      </w:r>
      <w:r w:rsidRPr="009475CC">
        <w:t>proceset e brendshme organizative dhe p</w:t>
      </w:r>
      <w:r w:rsidR="00752BF8">
        <w:t>ë</w:t>
      </w:r>
      <w:r w:rsidRPr="009475CC">
        <w:t>rgjegjësit</w:t>
      </w:r>
      <w:r w:rsidR="00752BF8">
        <w:t>ë</w:t>
      </w:r>
      <w:r w:rsidRPr="00753E9C">
        <w:t xml:space="preserve"> p</w:t>
      </w:r>
      <w:r w:rsidR="00752BF8">
        <w:t>ër</w:t>
      </w:r>
      <w:r w:rsidRPr="00753E9C">
        <w:t>katës</w:t>
      </w:r>
      <w:r w:rsidR="00752BF8">
        <w:t>e</w:t>
      </w:r>
      <w:r w:rsidRPr="00753E9C">
        <w:t xml:space="preserve"> sipas struktur</w:t>
      </w:r>
      <w:r w:rsidR="00752BF8">
        <w:t>ë</w:t>
      </w:r>
      <w:r w:rsidRPr="009475CC">
        <w:t>s s</w:t>
      </w:r>
      <w:r w:rsidR="00752BF8">
        <w:t>ë</w:t>
      </w:r>
      <w:r w:rsidRPr="009475CC">
        <w:t xml:space="preserve"> miratuar</w:t>
      </w:r>
      <w:r w:rsidR="00752BF8">
        <w:t>.</w:t>
      </w:r>
      <w:r w:rsidRPr="00753E9C">
        <w:t xml:space="preserve"> </w:t>
      </w:r>
    </w:p>
    <w:p w14:paraId="54284AAD" w14:textId="77777777" w:rsidR="007C6B68" w:rsidRDefault="00197E77" w:rsidP="00623352">
      <w:pPr>
        <w:pStyle w:val="Default"/>
        <w:numPr>
          <w:ilvl w:val="0"/>
          <w:numId w:val="3"/>
        </w:numPr>
        <w:contextualSpacing/>
        <w:jc w:val="both"/>
      </w:pPr>
      <w:r w:rsidRPr="00E45C0D">
        <w:t>Rritja e numrit t</w:t>
      </w:r>
      <w:r w:rsidR="00752BF8">
        <w:t>ë</w:t>
      </w:r>
      <w:r w:rsidRPr="009475CC">
        <w:t xml:space="preserve"> inspektimeve me 50% n</w:t>
      </w:r>
      <w:r w:rsidR="00752BF8">
        <w:t>ë</w:t>
      </w:r>
      <w:r w:rsidRPr="009475CC">
        <w:t xml:space="preserve"> nivel komb</w:t>
      </w:r>
      <w:r w:rsidR="00752BF8">
        <w:t>ë</w:t>
      </w:r>
      <w:r w:rsidRPr="00753E9C">
        <w:t>tar dhe si pasoj</w:t>
      </w:r>
      <w:r w:rsidR="00752BF8">
        <w:t>ë</w:t>
      </w:r>
      <w:r w:rsidRPr="009475CC">
        <w:t xml:space="preserve"> e formalizimit </w:t>
      </w:r>
    </w:p>
    <w:p w14:paraId="0D0BA1A6" w14:textId="77777777" w:rsidR="007C6B68" w:rsidRDefault="00197E77" w:rsidP="00981F27">
      <w:pPr>
        <w:pStyle w:val="Default"/>
        <w:contextualSpacing/>
        <w:jc w:val="both"/>
      </w:pPr>
      <w:r w:rsidRPr="009475CC">
        <w:t>dhe regjistrimit t</w:t>
      </w:r>
      <w:r w:rsidR="00752BF8">
        <w:t>ë</w:t>
      </w:r>
      <w:r w:rsidRPr="009475CC">
        <w:t xml:space="preserve"> shum</w:t>
      </w:r>
      <w:r w:rsidR="00752BF8">
        <w:t>ë</w:t>
      </w:r>
      <w:r w:rsidRPr="009475CC">
        <w:t xml:space="preserve"> subjekteve. </w:t>
      </w:r>
    </w:p>
    <w:p w14:paraId="726BCADA" w14:textId="6F23155C" w:rsidR="007C6B68" w:rsidRPr="00467638" w:rsidRDefault="00197E77" w:rsidP="00623352">
      <w:pPr>
        <w:pStyle w:val="Default"/>
        <w:numPr>
          <w:ilvl w:val="0"/>
          <w:numId w:val="3"/>
        </w:numPr>
        <w:contextualSpacing/>
        <w:jc w:val="both"/>
      </w:pPr>
      <w:r w:rsidRPr="00467638">
        <w:t>Bashk</w:t>
      </w:r>
      <w:r w:rsidR="007C6B68" w:rsidRPr="00467638">
        <w:t>ë</w:t>
      </w:r>
      <w:r w:rsidRPr="00467638">
        <w:t xml:space="preserve">punimi me ISHMT, Doganat, </w:t>
      </w:r>
      <w:bookmarkStart w:id="50" w:name="_Hlk121689660"/>
      <w:r w:rsidRPr="00467638">
        <w:t>DPSHTRR, QKR, MIE, Bashkit</w:t>
      </w:r>
      <w:r w:rsidR="00753E9C" w:rsidRPr="00467638">
        <w:t>ë</w:t>
      </w:r>
      <w:r w:rsidRPr="00467638">
        <w:t xml:space="preserve">, Inspektoratet </w:t>
      </w:r>
    </w:p>
    <w:p w14:paraId="5D905C50" w14:textId="5BA8472C" w:rsidR="00197E77" w:rsidRPr="00ED6C63" w:rsidRDefault="00197E77" w:rsidP="00981F27">
      <w:pPr>
        <w:pStyle w:val="Default"/>
        <w:contextualSpacing/>
        <w:jc w:val="both"/>
      </w:pPr>
      <w:r w:rsidRPr="00467638">
        <w:t>vendore, AKMC, AKU, MAS</w:t>
      </w:r>
      <w:bookmarkEnd w:id="50"/>
      <w:r w:rsidR="00467638" w:rsidRPr="00467638">
        <w:t xml:space="preserve"> </w:t>
      </w:r>
      <w:r w:rsidRPr="00467638">
        <w:t>etj</w:t>
      </w:r>
      <w:r w:rsidRPr="009475CC">
        <w:t xml:space="preserve">. </w:t>
      </w:r>
      <w:r w:rsidR="00753E9C">
        <w:t>d</w:t>
      </w:r>
      <w:r w:rsidRPr="00753E9C">
        <w:t>uke përmirësuar format dhe mënyrat e komunikimit dhe shkëmbimit të informacionit të ndërsjellë në formë periodike, për të identifikuar subjekte dhe aktivitete në fushën e mbulimit të ISHTI.</w:t>
      </w:r>
    </w:p>
    <w:p w14:paraId="362A49CF" w14:textId="77777777" w:rsidR="00467638" w:rsidRDefault="00197E77" w:rsidP="00623352">
      <w:pPr>
        <w:pStyle w:val="Default"/>
        <w:numPr>
          <w:ilvl w:val="0"/>
          <w:numId w:val="3"/>
        </w:numPr>
        <w:contextualSpacing/>
        <w:jc w:val="both"/>
      </w:pPr>
      <w:r w:rsidRPr="00E45C0D">
        <w:t xml:space="preserve">Laboratori Qëndror: </w:t>
      </w:r>
      <w:r w:rsidRPr="00753E9C">
        <w:t>Riakreditimi i Laboratorit të Naftës, G</w:t>
      </w:r>
      <w:r w:rsidRPr="00ED6C63">
        <w:t xml:space="preserve">azit dhe Nënprodukteve </w:t>
      </w:r>
    </w:p>
    <w:p w14:paraId="798BFA3C" w14:textId="0F5E4C84" w:rsidR="00197E77" w:rsidRDefault="00197E77" w:rsidP="00981F27">
      <w:pPr>
        <w:pStyle w:val="Default"/>
        <w:contextualSpacing/>
        <w:jc w:val="both"/>
      </w:pPr>
      <w:r w:rsidRPr="00ED6C63">
        <w:t>sipas standardit ISO 17025, pajisja me aparatura te reja të teknologjisë së fundit sipas standardeve europiane në fuqi, shtim i numrit të treguesve analizues tek nafta bruto dhe nënproduktet e saj, dhe trajnim i personelit për standa</w:t>
      </w:r>
      <w:r w:rsidRPr="00E45C0D">
        <w:t>rdin ISO 17025, që ka rezultuar në rritjen e kontrollit cilësor dhe përmirësimin e cilësisë dhe shërbimit për produkteve të përdorimit nga konsumatori fundor.</w:t>
      </w:r>
    </w:p>
    <w:p w14:paraId="2FAA0DEA" w14:textId="77777777" w:rsidR="00467638" w:rsidRPr="004E1146" w:rsidRDefault="00467638" w:rsidP="00467638">
      <w:pPr>
        <w:pStyle w:val="Default"/>
        <w:contextualSpacing/>
        <w:jc w:val="both"/>
      </w:pPr>
    </w:p>
    <w:p w14:paraId="7ED628BF" w14:textId="5E27FF28" w:rsidR="00197E77" w:rsidRPr="00FB36DA" w:rsidRDefault="00197E77" w:rsidP="009475CC">
      <w:pPr>
        <w:pStyle w:val="Default"/>
        <w:contextualSpacing/>
        <w:jc w:val="both"/>
      </w:pPr>
      <w:r w:rsidRPr="00FB36DA">
        <w:rPr>
          <w:noProof/>
        </w:rPr>
        <w:lastRenderedPageBreak/>
        <w:drawing>
          <wp:inline distT="0" distB="0" distL="0" distR="0" wp14:anchorId="3C5721C7" wp14:editId="73F8D966">
            <wp:extent cx="4470400" cy="4393353"/>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2025" cy="4404778"/>
                    </a:xfrm>
                    <a:prstGeom prst="rect">
                      <a:avLst/>
                    </a:prstGeom>
                    <a:noFill/>
                  </pic:spPr>
                </pic:pic>
              </a:graphicData>
            </a:graphic>
          </wp:inline>
        </w:drawing>
      </w:r>
    </w:p>
    <w:p w14:paraId="512C4B2E" w14:textId="5B477274" w:rsidR="003A27DB" w:rsidRPr="00FB36DA" w:rsidRDefault="003A27DB" w:rsidP="009475CC">
      <w:pPr>
        <w:pStyle w:val="Default"/>
        <w:contextualSpacing/>
        <w:jc w:val="both"/>
        <w:rPr>
          <w:b/>
          <w:bCs/>
          <w:lang w:val="sq-AL"/>
        </w:rPr>
      </w:pPr>
    </w:p>
    <w:p w14:paraId="410DAEBD" w14:textId="77777777" w:rsidR="00972897" w:rsidRDefault="00934CE8" w:rsidP="00C105AB">
      <w:pPr>
        <w:pStyle w:val="Default"/>
        <w:spacing w:after="240"/>
        <w:contextualSpacing/>
        <w:jc w:val="both"/>
        <w:rPr>
          <w:rFonts w:eastAsiaTheme="minorHAnsi"/>
          <w:bCs/>
          <w:color w:val="auto"/>
          <w:lang w:val="sq-AL"/>
        </w:rPr>
      </w:pPr>
      <w:r w:rsidRPr="00972897">
        <w:rPr>
          <w:rFonts w:eastAsiaTheme="minorHAnsi"/>
          <w:bCs/>
          <w:color w:val="auto"/>
          <w:lang w:val="sq-AL"/>
        </w:rPr>
        <w:t xml:space="preserve">Mbetet </w:t>
      </w:r>
      <w:r w:rsidR="00753E9C" w:rsidRPr="00972897">
        <w:rPr>
          <w:rFonts w:eastAsiaTheme="minorHAnsi"/>
          <w:bCs/>
          <w:color w:val="auto"/>
          <w:lang w:val="sq-AL"/>
        </w:rPr>
        <w:t>s</w:t>
      </w:r>
      <w:r w:rsidR="00BE6234" w:rsidRPr="00972897">
        <w:rPr>
          <w:rFonts w:eastAsiaTheme="minorHAnsi"/>
          <w:bCs/>
          <w:color w:val="auto"/>
          <w:lang w:val="sq-AL"/>
        </w:rPr>
        <w:t>fid</w:t>
      </w:r>
      <w:r w:rsidR="00753E9C" w:rsidRPr="00972897">
        <w:rPr>
          <w:rFonts w:eastAsiaTheme="minorHAnsi"/>
          <w:bCs/>
          <w:color w:val="auto"/>
          <w:lang w:val="sq-AL"/>
        </w:rPr>
        <w:t>ë</w:t>
      </w:r>
      <w:r w:rsidRPr="00972897">
        <w:rPr>
          <w:rFonts w:eastAsiaTheme="minorHAnsi"/>
          <w:bCs/>
          <w:color w:val="auto"/>
          <w:lang w:val="sq-AL"/>
        </w:rPr>
        <w:t>:</w:t>
      </w:r>
      <w:r w:rsidR="00753E9C" w:rsidRPr="00972897">
        <w:rPr>
          <w:rFonts w:eastAsiaTheme="minorHAnsi"/>
          <w:bCs/>
          <w:color w:val="auto"/>
          <w:lang w:val="sq-AL"/>
        </w:rPr>
        <w:t xml:space="preserve"> </w:t>
      </w:r>
    </w:p>
    <w:p w14:paraId="02D2AB6A"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72897">
        <w:rPr>
          <w:rFonts w:eastAsiaTheme="minorHAnsi"/>
          <w:bCs/>
          <w:color w:val="auto"/>
          <w:lang w:val="sq-AL"/>
        </w:rPr>
        <w:t>Ngritja e infrastruktura IT (arkiva di</w:t>
      </w:r>
      <w:r w:rsidR="00753E9C" w:rsidRPr="00972897">
        <w:rPr>
          <w:rFonts w:eastAsiaTheme="minorHAnsi"/>
          <w:bCs/>
          <w:color w:val="auto"/>
          <w:lang w:val="sq-AL"/>
        </w:rPr>
        <w:t>gj</w:t>
      </w:r>
      <w:r w:rsidRPr="00972897">
        <w:rPr>
          <w:rFonts w:eastAsiaTheme="minorHAnsi"/>
          <w:bCs/>
          <w:color w:val="auto"/>
          <w:lang w:val="sq-AL"/>
        </w:rPr>
        <w:t>itale, platform</w:t>
      </w:r>
      <w:r w:rsidR="00753E9C" w:rsidRPr="00972897">
        <w:rPr>
          <w:rFonts w:eastAsiaTheme="minorHAnsi"/>
          <w:bCs/>
          <w:color w:val="auto"/>
          <w:lang w:val="sq-AL"/>
        </w:rPr>
        <w:t>ë</w:t>
      </w:r>
      <w:r w:rsidRPr="00972897">
        <w:rPr>
          <w:rFonts w:eastAsiaTheme="minorHAnsi"/>
          <w:bCs/>
          <w:color w:val="auto"/>
          <w:lang w:val="sq-AL"/>
        </w:rPr>
        <w:t xml:space="preserve"> p</w:t>
      </w:r>
      <w:r w:rsidR="00753E9C" w:rsidRPr="00972897">
        <w:rPr>
          <w:rFonts w:eastAsiaTheme="minorHAnsi"/>
          <w:bCs/>
          <w:color w:val="auto"/>
          <w:lang w:val="sq-AL"/>
        </w:rPr>
        <w:t>ë</w:t>
      </w:r>
      <w:r w:rsidRPr="00972897">
        <w:rPr>
          <w:rFonts w:eastAsiaTheme="minorHAnsi"/>
          <w:bCs/>
          <w:color w:val="auto"/>
          <w:lang w:val="sq-AL"/>
        </w:rPr>
        <w:t>r ruajtjen e t</w:t>
      </w:r>
      <w:r w:rsidR="00753E9C" w:rsidRPr="00972897">
        <w:rPr>
          <w:rFonts w:eastAsiaTheme="minorHAnsi"/>
          <w:bCs/>
          <w:color w:val="auto"/>
          <w:lang w:val="sq-AL"/>
        </w:rPr>
        <w:t xml:space="preserve">ë </w:t>
      </w:r>
      <w:r w:rsidRPr="00972897">
        <w:rPr>
          <w:rFonts w:eastAsiaTheme="minorHAnsi"/>
          <w:bCs/>
          <w:color w:val="auto"/>
          <w:lang w:val="sq-AL"/>
        </w:rPr>
        <w:t>dh</w:t>
      </w:r>
      <w:r w:rsidR="00753E9C" w:rsidRPr="00972897">
        <w:rPr>
          <w:rFonts w:eastAsiaTheme="minorHAnsi"/>
          <w:bCs/>
          <w:color w:val="auto"/>
          <w:lang w:val="sq-AL"/>
        </w:rPr>
        <w:t>ë</w:t>
      </w:r>
      <w:r w:rsidRPr="00972897">
        <w:rPr>
          <w:rFonts w:eastAsiaTheme="minorHAnsi"/>
          <w:bCs/>
          <w:color w:val="auto"/>
          <w:lang w:val="sq-AL"/>
        </w:rPr>
        <w:t xml:space="preserve">nave, EMS, </w:t>
      </w:r>
    </w:p>
    <w:p w14:paraId="270CE4C1" w14:textId="047FDA13" w:rsidR="00BE6234" w:rsidRPr="009475CC" w:rsidRDefault="00BE6234" w:rsidP="00C105AB">
      <w:pPr>
        <w:pStyle w:val="Default"/>
        <w:spacing w:after="240"/>
        <w:contextualSpacing/>
        <w:jc w:val="both"/>
        <w:rPr>
          <w:rFonts w:eastAsiaTheme="minorHAnsi"/>
          <w:bCs/>
          <w:color w:val="auto"/>
          <w:lang w:val="sq-AL"/>
        </w:rPr>
      </w:pPr>
      <w:r w:rsidRPr="00972897">
        <w:rPr>
          <w:rFonts w:eastAsiaTheme="minorHAnsi"/>
          <w:bCs/>
          <w:color w:val="auto"/>
          <w:lang w:val="sq-AL"/>
        </w:rPr>
        <w:t>CRM, rrjet i brendsh</w:t>
      </w:r>
      <w:r w:rsidR="00972897">
        <w:rPr>
          <w:rFonts w:eastAsiaTheme="minorHAnsi"/>
          <w:bCs/>
          <w:color w:val="auto"/>
          <w:lang w:val="sq-AL"/>
        </w:rPr>
        <w:t>ë</w:t>
      </w:r>
      <w:r w:rsidRPr="00972897">
        <w:rPr>
          <w:rFonts w:eastAsiaTheme="minorHAnsi"/>
          <w:bCs/>
          <w:color w:val="auto"/>
          <w:lang w:val="sq-AL"/>
        </w:rPr>
        <w:t xml:space="preserve">m kompjuterik, platforma </w:t>
      </w:r>
      <w:r w:rsidR="00467638" w:rsidRPr="00972897">
        <w:rPr>
          <w:rFonts w:eastAsiaTheme="minorHAnsi"/>
          <w:bCs/>
          <w:color w:val="auto"/>
          <w:lang w:val="sq-AL"/>
        </w:rPr>
        <w:t>p</w:t>
      </w:r>
      <w:r w:rsidR="00753E9C" w:rsidRPr="00972897">
        <w:rPr>
          <w:rFonts w:eastAsiaTheme="minorHAnsi"/>
          <w:bCs/>
          <w:color w:val="auto"/>
          <w:lang w:val="sq-AL"/>
        </w:rPr>
        <w:t>ë</w:t>
      </w:r>
      <w:r w:rsidRPr="00972897">
        <w:rPr>
          <w:rFonts w:eastAsiaTheme="minorHAnsi"/>
          <w:bCs/>
          <w:color w:val="auto"/>
          <w:lang w:val="sq-AL"/>
        </w:rPr>
        <w:t>r regjistrimin e pa</w:t>
      </w:r>
      <w:r w:rsidR="00753E9C" w:rsidRPr="00972897">
        <w:rPr>
          <w:rFonts w:eastAsiaTheme="minorHAnsi"/>
          <w:bCs/>
          <w:color w:val="auto"/>
          <w:lang w:val="sq-AL"/>
        </w:rPr>
        <w:t>j</w:t>
      </w:r>
      <w:r w:rsidRPr="00972897">
        <w:rPr>
          <w:rFonts w:eastAsiaTheme="minorHAnsi"/>
          <w:bCs/>
          <w:color w:val="auto"/>
          <w:lang w:val="sq-AL"/>
        </w:rPr>
        <w:t>isjeve, vet</w:t>
      </w:r>
      <w:r w:rsidR="00753E9C" w:rsidRPr="00972897">
        <w:rPr>
          <w:rFonts w:eastAsiaTheme="minorHAnsi"/>
          <w:bCs/>
          <w:color w:val="auto"/>
          <w:lang w:val="sq-AL"/>
        </w:rPr>
        <w:t>ëde</w:t>
      </w:r>
      <w:r w:rsidRPr="00972897">
        <w:rPr>
          <w:rFonts w:eastAsiaTheme="minorHAnsi"/>
          <w:bCs/>
          <w:color w:val="auto"/>
          <w:lang w:val="sq-AL"/>
        </w:rPr>
        <w:t xml:space="preserve">klarimin e subjekteve dhe monitorimin e aktivitetit </w:t>
      </w:r>
      <w:r w:rsidR="00753E9C" w:rsidRPr="00972897">
        <w:rPr>
          <w:rFonts w:eastAsiaTheme="minorHAnsi"/>
          <w:bCs/>
          <w:color w:val="auto"/>
          <w:lang w:val="sq-AL"/>
        </w:rPr>
        <w:t>të</w:t>
      </w:r>
      <w:r w:rsidRPr="00972897">
        <w:rPr>
          <w:rFonts w:eastAsiaTheme="minorHAnsi"/>
          <w:bCs/>
          <w:color w:val="auto"/>
          <w:lang w:val="sq-AL"/>
        </w:rPr>
        <w:t xml:space="preserve"> </w:t>
      </w:r>
      <w:bookmarkStart w:id="51" w:name="_Hlk121689803"/>
      <w:r w:rsidRPr="00972897">
        <w:rPr>
          <w:rFonts w:eastAsiaTheme="minorHAnsi"/>
          <w:bCs/>
          <w:color w:val="auto"/>
          <w:lang w:val="sq-AL"/>
        </w:rPr>
        <w:t>OMVK</w:t>
      </w:r>
      <w:bookmarkEnd w:id="51"/>
      <w:r w:rsidRPr="00972897">
        <w:rPr>
          <w:rFonts w:eastAsiaTheme="minorHAnsi"/>
          <w:bCs/>
          <w:color w:val="auto"/>
          <w:lang w:val="sq-AL"/>
        </w:rPr>
        <w:t xml:space="preserve"> etj. Momentalisht infrastruktuara dhe sistemet</w:t>
      </w:r>
      <w:r w:rsidRPr="009475CC">
        <w:rPr>
          <w:rFonts w:eastAsiaTheme="minorHAnsi"/>
          <w:bCs/>
          <w:color w:val="auto"/>
          <w:lang w:val="sq-AL"/>
        </w:rPr>
        <w:t xml:space="preserve"> e IT nuk ekzistojn</w:t>
      </w:r>
      <w:r w:rsidR="00753E9C">
        <w:rPr>
          <w:rFonts w:eastAsiaTheme="minorHAnsi"/>
          <w:bCs/>
          <w:color w:val="auto"/>
          <w:lang w:val="sq-AL"/>
        </w:rPr>
        <w:t>ë.</w:t>
      </w:r>
    </w:p>
    <w:p w14:paraId="12C03883"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Rritja e kontrollit ndaj procedurave të ndjekura OMVK  n</w:t>
      </w:r>
      <w:r w:rsidR="00753E9C">
        <w:rPr>
          <w:rFonts w:eastAsiaTheme="minorHAnsi"/>
          <w:bCs/>
          <w:color w:val="auto"/>
          <w:lang w:val="sq-AL"/>
        </w:rPr>
        <w:t>ë</w:t>
      </w:r>
      <w:r w:rsidRPr="009475CC">
        <w:rPr>
          <w:rFonts w:eastAsiaTheme="minorHAnsi"/>
          <w:bCs/>
          <w:color w:val="auto"/>
          <w:lang w:val="sq-AL"/>
        </w:rPr>
        <w:t xml:space="preserve"> proceset e vlerësimit të </w:t>
      </w:r>
    </w:p>
    <w:p w14:paraId="34B093E2" w14:textId="7344A678" w:rsidR="00BE6234" w:rsidRPr="009475CC" w:rsidRDefault="00BE6234" w:rsidP="00C105AB">
      <w:pPr>
        <w:pStyle w:val="Default"/>
        <w:spacing w:after="240"/>
        <w:contextualSpacing/>
        <w:jc w:val="both"/>
        <w:rPr>
          <w:rFonts w:eastAsiaTheme="minorHAnsi"/>
          <w:bCs/>
          <w:color w:val="auto"/>
          <w:lang w:val="sq-AL"/>
        </w:rPr>
      </w:pPr>
      <w:r w:rsidRPr="009475CC">
        <w:rPr>
          <w:rFonts w:eastAsiaTheme="minorHAnsi"/>
          <w:bCs/>
          <w:color w:val="auto"/>
          <w:lang w:val="sq-AL"/>
        </w:rPr>
        <w:t>konformiteti</w:t>
      </w:r>
      <w:r w:rsidR="00972897">
        <w:rPr>
          <w:rFonts w:eastAsiaTheme="minorHAnsi"/>
          <w:bCs/>
          <w:color w:val="auto"/>
          <w:lang w:val="sq-AL"/>
        </w:rPr>
        <w:t>t</w:t>
      </w:r>
      <w:r w:rsidRPr="009475CC">
        <w:rPr>
          <w:rFonts w:eastAsiaTheme="minorHAnsi"/>
          <w:bCs/>
          <w:color w:val="auto"/>
          <w:lang w:val="sq-AL"/>
        </w:rPr>
        <w:t xml:space="preserve">  dhe miratimit t</w:t>
      </w:r>
      <w:r w:rsidR="00753E9C">
        <w:rPr>
          <w:rFonts w:eastAsiaTheme="minorHAnsi"/>
          <w:bCs/>
          <w:color w:val="auto"/>
          <w:lang w:val="sq-AL"/>
        </w:rPr>
        <w:t>ë</w:t>
      </w:r>
      <w:r w:rsidRPr="009475CC">
        <w:rPr>
          <w:rFonts w:eastAsiaTheme="minorHAnsi"/>
          <w:bCs/>
          <w:color w:val="auto"/>
          <w:lang w:val="sq-AL"/>
        </w:rPr>
        <w:t xml:space="preserve"> k</w:t>
      </w:r>
      <w:r w:rsidR="00753E9C">
        <w:rPr>
          <w:rFonts w:eastAsiaTheme="minorHAnsi"/>
          <w:bCs/>
          <w:color w:val="auto"/>
          <w:lang w:val="sq-AL"/>
        </w:rPr>
        <w:t>ë</w:t>
      </w:r>
      <w:r w:rsidRPr="009475CC">
        <w:rPr>
          <w:rFonts w:eastAsiaTheme="minorHAnsi"/>
          <w:bCs/>
          <w:color w:val="auto"/>
          <w:lang w:val="sq-AL"/>
        </w:rPr>
        <w:t>tyre subjekteve</w:t>
      </w:r>
      <w:r w:rsidR="00753E9C">
        <w:rPr>
          <w:rFonts w:eastAsiaTheme="minorHAnsi"/>
          <w:bCs/>
          <w:color w:val="auto"/>
          <w:lang w:val="sq-AL"/>
        </w:rPr>
        <w:t>.</w:t>
      </w:r>
    </w:p>
    <w:p w14:paraId="74392125"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P</w:t>
      </w:r>
      <w:r w:rsidR="00753E9C">
        <w:rPr>
          <w:rFonts w:eastAsiaTheme="minorHAnsi"/>
          <w:bCs/>
          <w:color w:val="auto"/>
          <w:lang w:val="sq-AL"/>
        </w:rPr>
        <w:t>ë</w:t>
      </w:r>
      <w:r w:rsidRPr="009475CC">
        <w:rPr>
          <w:rFonts w:eastAsiaTheme="minorHAnsi"/>
          <w:bCs/>
          <w:color w:val="auto"/>
          <w:lang w:val="sq-AL"/>
        </w:rPr>
        <w:t>rmir</w:t>
      </w:r>
      <w:r w:rsidR="00753E9C">
        <w:rPr>
          <w:rFonts w:eastAsiaTheme="minorHAnsi"/>
          <w:bCs/>
          <w:color w:val="auto"/>
          <w:lang w:val="sq-AL"/>
        </w:rPr>
        <w:t>ë</w:t>
      </w:r>
      <w:r w:rsidRPr="009475CC">
        <w:rPr>
          <w:rFonts w:eastAsiaTheme="minorHAnsi"/>
          <w:bCs/>
          <w:color w:val="auto"/>
          <w:lang w:val="sq-AL"/>
        </w:rPr>
        <w:t>simi i logjistik</w:t>
      </w:r>
      <w:r w:rsidR="00753E9C">
        <w:rPr>
          <w:rFonts w:eastAsiaTheme="minorHAnsi"/>
          <w:bCs/>
          <w:color w:val="auto"/>
          <w:lang w:val="sq-AL"/>
        </w:rPr>
        <w:t>ë</w:t>
      </w:r>
      <w:r w:rsidRPr="009475CC">
        <w:rPr>
          <w:rFonts w:eastAsiaTheme="minorHAnsi"/>
          <w:bCs/>
          <w:color w:val="auto"/>
          <w:lang w:val="sq-AL"/>
        </w:rPr>
        <w:t>s s</w:t>
      </w:r>
      <w:r w:rsidR="00753E9C">
        <w:rPr>
          <w:rFonts w:eastAsiaTheme="minorHAnsi"/>
          <w:bCs/>
          <w:color w:val="auto"/>
          <w:lang w:val="sq-AL"/>
        </w:rPr>
        <w:t>ë</w:t>
      </w:r>
      <w:r w:rsidRPr="009475CC">
        <w:rPr>
          <w:rFonts w:eastAsiaTheme="minorHAnsi"/>
          <w:bCs/>
          <w:color w:val="auto"/>
          <w:lang w:val="sq-AL"/>
        </w:rPr>
        <w:t xml:space="preserve"> institucionit duke shtuar mjete te reja t</w:t>
      </w:r>
      <w:r w:rsidR="00753E9C">
        <w:rPr>
          <w:rFonts w:eastAsiaTheme="minorHAnsi"/>
          <w:bCs/>
          <w:color w:val="auto"/>
          <w:lang w:val="sq-AL"/>
        </w:rPr>
        <w:t>ë</w:t>
      </w:r>
      <w:r w:rsidRPr="009475CC">
        <w:rPr>
          <w:rFonts w:eastAsiaTheme="minorHAnsi"/>
          <w:bCs/>
          <w:color w:val="auto"/>
          <w:lang w:val="sq-AL"/>
        </w:rPr>
        <w:t xml:space="preserve"> transporit rrugor </w:t>
      </w:r>
    </w:p>
    <w:p w14:paraId="3C940C85" w14:textId="77777777" w:rsidR="00972897" w:rsidRDefault="00753E9C" w:rsidP="00C105AB">
      <w:pPr>
        <w:pStyle w:val="Default"/>
        <w:spacing w:after="240"/>
        <w:contextualSpacing/>
        <w:jc w:val="both"/>
        <w:rPr>
          <w:rFonts w:eastAsiaTheme="minorHAnsi"/>
          <w:bCs/>
          <w:color w:val="auto"/>
          <w:lang w:val="sq-AL"/>
        </w:rPr>
      </w:pPr>
      <w:r w:rsidRPr="009475CC">
        <w:rPr>
          <w:rFonts w:eastAsiaTheme="minorHAnsi"/>
          <w:bCs/>
          <w:color w:val="auto"/>
          <w:lang w:val="sq-AL"/>
        </w:rPr>
        <w:t>p</w:t>
      </w:r>
      <w:r>
        <w:rPr>
          <w:rFonts w:eastAsiaTheme="minorHAnsi"/>
          <w:bCs/>
          <w:color w:val="auto"/>
          <w:lang w:val="sq-AL"/>
        </w:rPr>
        <w:t>ë</w:t>
      </w:r>
      <w:r w:rsidRPr="009475CC">
        <w:rPr>
          <w:rFonts w:eastAsiaTheme="minorHAnsi"/>
          <w:bCs/>
          <w:color w:val="auto"/>
          <w:lang w:val="sq-AL"/>
        </w:rPr>
        <w:t xml:space="preserve">r </w:t>
      </w:r>
      <w:r w:rsidR="00BE6234" w:rsidRPr="009475CC">
        <w:rPr>
          <w:rFonts w:eastAsiaTheme="minorHAnsi"/>
          <w:bCs/>
          <w:color w:val="auto"/>
          <w:lang w:val="sq-AL"/>
        </w:rPr>
        <w:t xml:space="preserve">grupet inspektuese, pasi </w:t>
      </w:r>
      <w:r w:rsidRPr="00753E9C">
        <w:rPr>
          <w:rFonts w:eastAsiaTheme="minorHAnsi"/>
          <w:bCs/>
          <w:color w:val="auto"/>
          <w:lang w:val="sq-AL"/>
        </w:rPr>
        <w:t>ISHTI</w:t>
      </w:r>
      <w:r w:rsidR="00BE6234" w:rsidRPr="009475CC">
        <w:rPr>
          <w:rFonts w:eastAsiaTheme="minorHAnsi"/>
          <w:bCs/>
          <w:color w:val="auto"/>
          <w:lang w:val="sq-AL"/>
        </w:rPr>
        <w:t xml:space="preserve"> ushtron veprimtari inspektuese n</w:t>
      </w:r>
      <w:r>
        <w:rPr>
          <w:rFonts w:eastAsiaTheme="minorHAnsi"/>
          <w:bCs/>
          <w:color w:val="auto"/>
          <w:lang w:val="sq-AL"/>
        </w:rPr>
        <w:t>ë</w:t>
      </w:r>
      <w:r w:rsidR="00BE6234" w:rsidRPr="009475CC">
        <w:rPr>
          <w:rFonts w:eastAsiaTheme="minorHAnsi"/>
          <w:bCs/>
          <w:color w:val="auto"/>
          <w:lang w:val="sq-AL"/>
        </w:rPr>
        <w:t xml:space="preserve"> t</w:t>
      </w:r>
      <w:r>
        <w:rPr>
          <w:rFonts w:eastAsiaTheme="minorHAnsi"/>
          <w:bCs/>
          <w:color w:val="auto"/>
          <w:lang w:val="sq-AL"/>
        </w:rPr>
        <w:t>ë</w:t>
      </w:r>
      <w:r w:rsidR="00BE6234" w:rsidRPr="009475CC">
        <w:rPr>
          <w:rFonts w:eastAsiaTheme="minorHAnsi"/>
          <w:bCs/>
          <w:color w:val="auto"/>
          <w:lang w:val="sq-AL"/>
        </w:rPr>
        <w:t xml:space="preserve"> gjith</w:t>
      </w:r>
      <w:r>
        <w:rPr>
          <w:rFonts w:eastAsiaTheme="minorHAnsi"/>
          <w:bCs/>
          <w:color w:val="auto"/>
          <w:lang w:val="sq-AL"/>
        </w:rPr>
        <w:t>ë</w:t>
      </w:r>
      <w:r w:rsidR="00BE6234" w:rsidRPr="009475CC">
        <w:rPr>
          <w:rFonts w:eastAsiaTheme="minorHAnsi"/>
          <w:bCs/>
          <w:color w:val="auto"/>
          <w:lang w:val="sq-AL"/>
        </w:rPr>
        <w:t xml:space="preserve"> territorin e Republikës së  Shqi</w:t>
      </w:r>
      <w:r>
        <w:rPr>
          <w:rFonts w:eastAsiaTheme="minorHAnsi"/>
          <w:bCs/>
          <w:color w:val="auto"/>
          <w:lang w:val="sq-AL"/>
        </w:rPr>
        <w:t>pë</w:t>
      </w:r>
      <w:r w:rsidR="00BE6234" w:rsidRPr="009475CC">
        <w:rPr>
          <w:rFonts w:eastAsiaTheme="minorHAnsi"/>
          <w:bCs/>
          <w:color w:val="auto"/>
          <w:lang w:val="sq-AL"/>
        </w:rPr>
        <w:t>ris</w:t>
      </w:r>
      <w:r>
        <w:rPr>
          <w:rFonts w:eastAsiaTheme="minorHAnsi"/>
          <w:bCs/>
          <w:color w:val="auto"/>
          <w:lang w:val="sq-AL"/>
        </w:rPr>
        <w:t>ë</w:t>
      </w:r>
      <w:r w:rsidR="00BE6234" w:rsidRPr="009475CC">
        <w:rPr>
          <w:rFonts w:eastAsiaTheme="minorHAnsi"/>
          <w:bCs/>
          <w:color w:val="auto"/>
          <w:lang w:val="sq-AL"/>
        </w:rPr>
        <w:t xml:space="preserve"> dhe ka vetem nj</w:t>
      </w:r>
      <w:r>
        <w:rPr>
          <w:rFonts w:eastAsiaTheme="minorHAnsi"/>
          <w:bCs/>
          <w:color w:val="auto"/>
          <w:lang w:val="sq-AL"/>
        </w:rPr>
        <w:t>ë</w:t>
      </w:r>
      <w:r w:rsidR="00BE6234" w:rsidRPr="009475CC">
        <w:rPr>
          <w:rFonts w:eastAsiaTheme="minorHAnsi"/>
          <w:bCs/>
          <w:color w:val="auto"/>
          <w:lang w:val="sq-AL"/>
        </w:rPr>
        <w:t xml:space="preserve"> seli qendrore n</w:t>
      </w:r>
      <w:r>
        <w:rPr>
          <w:rFonts w:eastAsiaTheme="minorHAnsi"/>
          <w:bCs/>
          <w:color w:val="auto"/>
          <w:lang w:val="sq-AL"/>
        </w:rPr>
        <w:t>ë</w:t>
      </w:r>
      <w:r w:rsidR="00BE6234" w:rsidRPr="009475CC">
        <w:rPr>
          <w:rFonts w:eastAsiaTheme="minorHAnsi"/>
          <w:bCs/>
          <w:color w:val="auto"/>
          <w:lang w:val="sq-AL"/>
        </w:rPr>
        <w:t xml:space="preserve"> Tiran</w:t>
      </w:r>
      <w:r>
        <w:rPr>
          <w:rFonts w:eastAsiaTheme="minorHAnsi"/>
          <w:bCs/>
          <w:color w:val="auto"/>
          <w:lang w:val="sq-AL"/>
        </w:rPr>
        <w:t>ë</w:t>
      </w:r>
      <w:r w:rsidR="00BE6234" w:rsidRPr="009475CC">
        <w:rPr>
          <w:rFonts w:eastAsiaTheme="minorHAnsi"/>
          <w:bCs/>
          <w:color w:val="auto"/>
          <w:lang w:val="sq-AL"/>
        </w:rPr>
        <w:t xml:space="preserve"> duke për</w:t>
      </w:r>
      <w:r>
        <w:rPr>
          <w:rFonts w:eastAsiaTheme="minorHAnsi"/>
          <w:bCs/>
          <w:color w:val="auto"/>
          <w:lang w:val="sq-AL"/>
        </w:rPr>
        <w:t>m</w:t>
      </w:r>
      <w:r w:rsidR="00BE6234" w:rsidRPr="009475CC">
        <w:rPr>
          <w:rFonts w:eastAsiaTheme="minorHAnsi"/>
          <w:bCs/>
          <w:color w:val="auto"/>
          <w:lang w:val="sq-AL"/>
        </w:rPr>
        <w:t>irësuar mbulimin terriorial të tregut n</w:t>
      </w:r>
      <w:r>
        <w:rPr>
          <w:rFonts w:eastAsiaTheme="minorHAnsi"/>
          <w:bCs/>
          <w:color w:val="auto"/>
          <w:lang w:val="sq-AL"/>
        </w:rPr>
        <w:t>ë</w:t>
      </w:r>
      <w:r w:rsidR="00BE6234" w:rsidRPr="009475CC">
        <w:rPr>
          <w:rFonts w:eastAsiaTheme="minorHAnsi"/>
          <w:bCs/>
          <w:color w:val="auto"/>
          <w:lang w:val="sq-AL"/>
        </w:rPr>
        <w:t xml:space="preserve"> RSH</w:t>
      </w:r>
      <w:r w:rsidR="00510B93" w:rsidRPr="009475CC">
        <w:rPr>
          <w:rFonts w:eastAsiaTheme="minorHAnsi"/>
          <w:bCs/>
          <w:color w:val="auto"/>
          <w:lang w:val="sq-AL"/>
        </w:rPr>
        <w:t>.</w:t>
      </w:r>
      <w:r>
        <w:rPr>
          <w:rFonts w:eastAsiaTheme="minorHAnsi"/>
          <w:bCs/>
          <w:color w:val="auto"/>
          <w:lang w:val="sq-AL"/>
        </w:rPr>
        <w:t xml:space="preserve"> </w:t>
      </w:r>
    </w:p>
    <w:p w14:paraId="054E2AEA"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Përmirësimi i i kuadrit ligjor p</w:t>
      </w:r>
      <w:r w:rsidR="00753E9C">
        <w:rPr>
          <w:rFonts w:eastAsiaTheme="minorHAnsi"/>
          <w:bCs/>
          <w:color w:val="auto"/>
          <w:lang w:val="sq-AL"/>
        </w:rPr>
        <w:t>ë</w:t>
      </w:r>
      <w:r w:rsidRPr="009475CC">
        <w:rPr>
          <w:rFonts w:eastAsiaTheme="minorHAnsi"/>
          <w:bCs/>
          <w:color w:val="auto"/>
          <w:lang w:val="sq-AL"/>
        </w:rPr>
        <w:t>r t</w:t>
      </w:r>
      <w:r w:rsidR="00753E9C">
        <w:rPr>
          <w:rFonts w:eastAsiaTheme="minorHAnsi"/>
          <w:bCs/>
          <w:color w:val="auto"/>
          <w:lang w:val="sq-AL"/>
        </w:rPr>
        <w:t>ë</w:t>
      </w:r>
      <w:r w:rsidRPr="009475CC">
        <w:rPr>
          <w:rFonts w:eastAsiaTheme="minorHAnsi"/>
          <w:bCs/>
          <w:color w:val="auto"/>
          <w:lang w:val="sq-AL"/>
        </w:rPr>
        <w:t xml:space="preserve"> gjitha fushat e veprimtaris</w:t>
      </w:r>
      <w:r w:rsidR="00753E9C">
        <w:rPr>
          <w:rFonts w:eastAsiaTheme="minorHAnsi"/>
          <w:bCs/>
          <w:color w:val="auto"/>
          <w:lang w:val="sq-AL"/>
        </w:rPr>
        <w:t>ë</w:t>
      </w:r>
      <w:r w:rsidRPr="009475CC">
        <w:rPr>
          <w:rFonts w:eastAsiaTheme="minorHAnsi"/>
          <w:bCs/>
          <w:color w:val="auto"/>
          <w:lang w:val="sq-AL"/>
        </w:rPr>
        <w:t xml:space="preserve"> inspektuese sipas </w:t>
      </w:r>
    </w:p>
    <w:p w14:paraId="2B74EE4F" w14:textId="77777777" w:rsidR="00972897" w:rsidRDefault="00BE6234" w:rsidP="00C105AB">
      <w:pPr>
        <w:pStyle w:val="Default"/>
        <w:spacing w:after="240"/>
        <w:contextualSpacing/>
        <w:jc w:val="both"/>
        <w:rPr>
          <w:rFonts w:eastAsiaTheme="minorHAnsi"/>
          <w:bCs/>
          <w:color w:val="auto"/>
          <w:lang w:val="sq-AL"/>
        </w:rPr>
      </w:pPr>
      <w:r w:rsidRPr="009475CC">
        <w:rPr>
          <w:rFonts w:eastAsiaTheme="minorHAnsi"/>
          <w:bCs/>
          <w:color w:val="auto"/>
          <w:lang w:val="sq-AL"/>
        </w:rPr>
        <w:t>fushave p</w:t>
      </w:r>
      <w:r w:rsidR="00753E9C">
        <w:rPr>
          <w:rFonts w:eastAsiaTheme="minorHAnsi"/>
          <w:bCs/>
          <w:color w:val="auto"/>
          <w:lang w:val="sq-AL"/>
        </w:rPr>
        <w:t>ë</w:t>
      </w:r>
      <w:r w:rsidRPr="009475CC">
        <w:rPr>
          <w:rFonts w:eastAsiaTheme="minorHAnsi"/>
          <w:bCs/>
          <w:color w:val="auto"/>
          <w:lang w:val="sq-AL"/>
        </w:rPr>
        <w:t>rkat</w:t>
      </w:r>
      <w:r w:rsidR="00972897">
        <w:rPr>
          <w:rFonts w:eastAsiaTheme="minorHAnsi"/>
          <w:bCs/>
          <w:color w:val="auto"/>
          <w:lang w:val="sq-AL"/>
        </w:rPr>
        <w:t>ë</w:t>
      </w:r>
      <w:r w:rsidRPr="009475CC">
        <w:rPr>
          <w:rFonts w:eastAsiaTheme="minorHAnsi"/>
          <w:bCs/>
          <w:color w:val="auto"/>
          <w:lang w:val="sq-AL"/>
        </w:rPr>
        <w:t>se t</w:t>
      </w:r>
      <w:r w:rsidR="00753E9C">
        <w:rPr>
          <w:rFonts w:eastAsiaTheme="minorHAnsi"/>
          <w:bCs/>
          <w:color w:val="auto"/>
          <w:lang w:val="sq-AL"/>
        </w:rPr>
        <w:t>ë</w:t>
      </w:r>
      <w:r w:rsidRPr="009475CC">
        <w:rPr>
          <w:rFonts w:eastAsiaTheme="minorHAnsi"/>
          <w:bCs/>
          <w:color w:val="auto"/>
          <w:lang w:val="sq-AL"/>
        </w:rPr>
        <w:t xml:space="preserve"> mbulimit</w:t>
      </w:r>
      <w:r w:rsidR="00510B93" w:rsidRPr="009475CC">
        <w:rPr>
          <w:rFonts w:eastAsiaTheme="minorHAnsi"/>
          <w:bCs/>
          <w:color w:val="auto"/>
          <w:lang w:val="sq-AL"/>
        </w:rPr>
        <w:t>.</w:t>
      </w:r>
      <w:r w:rsidR="00753E9C">
        <w:rPr>
          <w:rFonts w:eastAsiaTheme="minorHAnsi"/>
          <w:bCs/>
          <w:color w:val="auto"/>
          <w:lang w:val="sq-AL"/>
        </w:rPr>
        <w:t xml:space="preserve"> </w:t>
      </w:r>
    </w:p>
    <w:p w14:paraId="64C0E2DC"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Di</w:t>
      </w:r>
      <w:r w:rsidR="00753E9C">
        <w:rPr>
          <w:rFonts w:eastAsiaTheme="minorHAnsi"/>
          <w:bCs/>
          <w:color w:val="auto"/>
          <w:lang w:val="sq-AL"/>
        </w:rPr>
        <w:t>gj</w:t>
      </w:r>
      <w:r w:rsidRPr="009475CC">
        <w:rPr>
          <w:rFonts w:eastAsiaTheme="minorHAnsi"/>
          <w:bCs/>
          <w:color w:val="auto"/>
          <w:lang w:val="sq-AL"/>
        </w:rPr>
        <w:t>italizimin e arkiv- protokollit</w:t>
      </w:r>
      <w:r w:rsidR="00753E9C">
        <w:rPr>
          <w:rFonts w:eastAsiaTheme="minorHAnsi"/>
          <w:bCs/>
          <w:color w:val="auto"/>
          <w:lang w:val="sq-AL"/>
        </w:rPr>
        <w:t xml:space="preserve"> në</w:t>
      </w:r>
      <w:r w:rsidRPr="009475CC">
        <w:rPr>
          <w:rFonts w:eastAsiaTheme="minorHAnsi"/>
          <w:bCs/>
          <w:color w:val="auto"/>
          <w:lang w:val="sq-AL"/>
        </w:rPr>
        <w:t xml:space="preserve"> t</w:t>
      </w:r>
      <w:r w:rsidR="00753E9C">
        <w:rPr>
          <w:rFonts w:eastAsiaTheme="minorHAnsi"/>
          <w:bCs/>
          <w:color w:val="auto"/>
          <w:lang w:val="sq-AL"/>
        </w:rPr>
        <w:t>ë</w:t>
      </w:r>
      <w:r w:rsidRPr="009475CC">
        <w:rPr>
          <w:rFonts w:eastAsiaTheme="minorHAnsi"/>
          <w:bCs/>
          <w:color w:val="auto"/>
          <w:lang w:val="sq-AL"/>
        </w:rPr>
        <w:t xml:space="preserve"> gjith</w:t>
      </w:r>
      <w:r w:rsidR="00753E9C">
        <w:rPr>
          <w:rFonts w:eastAsiaTheme="minorHAnsi"/>
          <w:bCs/>
          <w:color w:val="auto"/>
          <w:lang w:val="sq-AL"/>
        </w:rPr>
        <w:t>ë</w:t>
      </w:r>
      <w:r w:rsidRPr="009475CC">
        <w:rPr>
          <w:rFonts w:eastAsiaTheme="minorHAnsi"/>
          <w:bCs/>
          <w:color w:val="auto"/>
          <w:lang w:val="sq-AL"/>
        </w:rPr>
        <w:t xml:space="preserve"> struktur</w:t>
      </w:r>
      <w:r w:rsidR="00753E9C">
        <w:rPr>
          <w:rFonts w:eastAsiaTheme="minorHAnsi"/>
          <w:bCs/>
          <w:color w:val="auto"/>
          <w:lang w:val="sq-AL"/>
        </w:rPr>
        <w:t>ë</w:t>
      </w:r>
      <w:r w:rsidRPr="009475CC">
        <w:rPr>
          <w:rFonts w:eastAsiaTheme="minorHAnsi"/>
          <w:bCs/>
          <w:color w:val="auto"/>
          <w:lang w:val="sq-AL"/>
        </w:rPr>
        <w:t>n e institucionit duke p</w:t>
      </w:r>
      <w:r w:rsidR="00753E9C">
        <w:rPr>
          <w:rFonts w:eastAsiaTheme="minorHAnsi"/>
          <w:bCs/>
          <w:color w:val="auto"/>
          <w:lang w:val="sq-AL"/>
        </w:rPr>
        <w:t>ë</w:t>
      </w:r>
      <w:r w:rsidRPr="009475CC">
        <w:rPr>
          <w:rFonts w:eastAsiaTheme="minorHAnsi"/>
          <w:bCs/>
          <w:color w:val="auto"/>
          <w:lang w:val="sq-AL"/>
        </w:rPr>
        <w:t xml:space="preserve">rdorur </w:t>
      </w:r>
    </w:p>
    <w:p w14:paraId="3395021F" w14:textId="4CDD66E3" w:rsidR="005576CC" w:rsidRPr="009475CC" w:rsidRDefault="00BE6234" w:rsidP="00C105AB">
      <w:pPr>
        <w:pStyle w:val="Default"/>
        <w:spacing w:after="240"/>
        <w:contextualSpacing/>
        <w:jc w:val="both"/>
        <w:rPr>
          <w:rFonts w:eastAsiaTheme="minorHAnsi"/>
          <w:bCs/>
          <w:color w:val="auto"/>
          <w:lang w:val="sq-AL"/>
        </w:rPr>
      </w:pPr>
      <w:r w:rsidRPr="009475CC">
        <w:rPr>
          <w:rFonts w:eastAsiaTheme="minorHAnsi"/>
          <w:bCs/>
          <w:color w:val="auto"/>
          <w:lang w:val="sq-AL"/>
        </w:rPr>
        <w:t>m</w:t>
      </w:r>
      <w:r w:rsidR="00753E9C">
        <w:rPr>
          <w:rFonts w:eastAsiaTheme="minorHAnsi"/>
          <w:bCs/>
          <w:color w:val="auto"/>
          <w:lang w:val="sq-AL"/>
        </w:rPr>
        <w:t>ë</w:t>
      </w:r>
      <w:r w:rsidRPr="009475CC">
        <w:rPr>
          <w:rFonts w:eastAsiaTheme="minorHAnsi"/>
          <w:bCs/>
          <w:color w:val="auto"/>
          <w:lang w:val="sq-AL"/>
        </w:rPr>
        <w:t>nyr</w:t>
      </w:r>
      <w:r w:rsidR="00753E9C">
        <w:rPr>
          <w:rFonts w:eastAsiaTheme="minorHAnsi"/>
          <w:bCs/>
          <w:color w:val="auto"/>
          <w:lang w:val="sq-AL"/>
        </w:rPr>
        <w:t>ë</w:t>
      </w:r>
      <w:r w:rsidRPr="009475CC">
        <w:rPr>
          <w:rFonts w:eastAsiaTheme="minorHAnsi"/>
          <w:bCs/>
          <w:color w:val="auto"/>
          <w:lang w:val="sq-AL"/>
        </w:rPr>
        <w:t>n elektronike t</w:t>
      </w:r>
      <w:r w:rsidR="00753E9C">
        <w:rPr>
          <w:rFonts w:eastAsiaTheme="minorHAnsi"/>
          <w:bCs/>
          <w:color w:val="auto"/>
          <w:lang w:val="sq-AL"/>
        </w:rPr>
        <w:t>ë</w:t>
      </w:r>
      <w:r w:rsidRPr="009475CC">
        <w:rPr>
          <w:rFonts w:eastAsiaTheme="minorHAnsi"/>
          <w:bCs/>
          <w:color w:val="auto"/>
          <w:lang w:val="sq-AL"/>
        </w:rPr>
        <w:t xml:space="preserve"> qarkullimit t</w:t>
      </w:r>
      <w:r w:rsidR="00753E9C">
        <w:rPr>
          <w:rFonts w:eastAsiaTheme="minorHAnsi"/>
          <w:bCs/>
          <w:color w:val="auto"/>
          <w:lang w:val="sq-AL"/>
        </w:rPr>
        <w:t>ë</w:t>
      </w:r>
      <w:r w:rsidRPr="009475CC">
        <w:rPr>
          <w:rFonts w:eastAsiaTheme="minorHAnsi"/>
          <w:bCs/>
          <w:color w:val="auto"/>
          <w:lang w:val="sq-AL"/>
        </w:rPr>
        <w:t xml:space="preserve"> dokumentave n</w:t>
      </w:r>
      <w:r w:rsidR="00753E9C">
        <w:rPr>
          <w:rFonts w:eastAsiaTheme="minorHAnsi"/>
          <w:bCs/>
          <w:color w:val="auto"/>
          <w:lang w:val="sq-AL"/>
        </w:rPr>
        <w:t>ë</w:t>
      </w:r>
      <w:r w:rsidRPr="009475CC">
        <w:rPr>
          <w:rFonts w:eastAsiaTheme="minorHAnsi"/>
          <w:bCs/>
          <w:color w:val="auto"/>
          <w:lang w:val="sq-AL"/>
        </w:rPr>
        <w:t xml:space="preserve"> p</w:t>
      </w:r>
      <w:r w:rsidR="00753E9C">
        <w:rPr>
          <w:rFonts w:eastAsiaTheme="minorHAnsi"/>
          <w:bCs/>
          <w:color w:val="auto"/>
          <w:lang w:val="sq-AL"/>
        </w:rPr>
        <w:t>ë</w:t>
      </w:r>
      <w:r w:rsidRPr="009475CC">
        <w:rPr>
          <w:rFonts w:eastAsiaTheme="minorHAnsi"/>
          <w:bCs/>
          <w:color w:val="auto"/>
          <w:lang w:val="sq-AL"/>
        </w:rPr>
        <w:t>rputhje me rregullat e p</w:t>
      </w:r>
      <w:r w:rsidR="00753E9C">
        <w:rPr>
          <w:rFonts w:eastAsiaTheme="minorHAnsi"/>
          <w:bCs/>
          <w:color w:val="auto"/>
          <w:lang w:val="sq-AL"/>
        </w:rPr>
        <w:t>ë</w:t>
      </w:r>
      <w:r w:rsidRPr="009475CC">
        <w:rPr>
          <w:rFonts w:eastAsiaTheme="minorHAnsi"/>
          <w:bCs/>
          <w:color w:val="auto"/>
          <w:lang w:val="sq-AL"/>
        </w:rPr>
        <w:t>rcaktuara n</w:t>
      </w:r>
      <w:r w:rsidR="00753E9C">
        <w:rPr>
          <w:rFonts w:eastAsiaTheme="minorHAnsi"/>
          <w:bCs/>
          <w:color w:val="auto"/>
          <w:lang w:val="sq-AL"/>
        </w:rPr>
        <w:t>ë</w:t>
      </w:r>
      <w:r w:rsidRPr="009475CC">
        <w:rPr>
          <w:rFonts w:eastAsiaTheme="minorHAnsi"/>
          <w:bCs/>
          <w:color w:val="auto"/>
          <w:lang w:val="sq-AL"/>
        </w:rPr>
        <w:t xml:space="preserve"> dispozitat ligjore dhe n</w:t>
      </w:r>
      <w:r w:rsidR="00753E9C">
        <w:rPr>
          <w:rFonts w:eastAsiaTheme="minorHAnsi"/>
          <w:bCs/>
          <w:color w:val="auto"/>
          <w:lang w:val="sq-AL"/>
        </w:rPr>
        <w:t>ë</w:t>
      </w:r>
      <w:r w:rsidRPr="009475CC">
        <w:rPr>
          <w:rFonts w:eastAsiaTheme="minorHAnsi"/>
          <w:bCs/>
          <w:color w:val="auto"/>
          <w:lang w:val="sq-AL"/>
        </w:rPr>
        <w:t>nligjore n</w:t>
      </w:r>
      <w:r w:rsidR="00753E9C">
        <w:rPr>
          <w:rFonts w:eastAsiaTheme="minorHAnsi"/>
          <w:bCs/>
          <w:color w:val="auto"/>
          <w:lang w:val="sq-AL"/>
        </w:rPr>
        <w:t>ë</w:t>
      </w:r>
      <w:r w:rsidRPr="009475CC">
        <w:rPr>
          <w:rFonts w:eastAsiaTheme="minorHAnsi"/>
          <w:bCs/>
          <w:color w:val="auto"/>
          <w:lang w:val="sq-AL"/>
        </w:rPr>
        <w:t xml:space="preserve"> fuqi.</w:t>
      </w:r>
      <w:r w:rsidR="00753E9C">
        <w:rPr>
          <w:rFonts w:eastAsiaTheme="minorHAnsi"/>
          <w:bCs/>
          <w:color w:val="auto"/>
          <w:lang w:val="sq-AL"/>
        </w:rPr>
        <w:t xml:space="preserve"> </w:t>
      </w:r>
    </w:p>
    <w:p w14:paraId="2F6FC8EA" w14:textId="77777777" w:rsidR="00972897" w:rsidRDefault="00BE6234"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Sigurimi i ambjenteve t</w:t>
      </w:r>
      <w:r w:rsidR="00ED6C63">
        <w:rPr>
          <w:rFonts w:eastAsiaTheme="minorHAnsi"/>
          <w:bCs/>
          <w:color w:val="auto"/>
          <w:lang w:val="sq-AL"/>
        </w:rPr>
        <w:t>ë</w:t>
      </w:r>
      <w:r w:rsidRPr="009475CC">
        <w:rPr>
          <w:rFonts w:eastAsiaTheme="minorHAnsi"/>
          <w:bCs/>
          <w:color w:val="auto"/>
          <w:lang w:val="sq-AL"/>
        </w:rPr>
        <w:t xml:space="preserve"> reja per laboratorin</w:t>
      </w:r>
      <w:r w:rsidR="00ED6C63">
        <w:rPr>
          <w:rFonts w:eastAsiaTheme="minorHAnsi"/>
          <w:bCs/>
          <w:color w:val="auto"/>
          <w:lang w:val="sq-AL"/>
        </w:rPr>
        <w:t xml:space="preserve"> qendror</w:t>
      </w:r>
      <w:r w:rsidRPr="009475CC">
        <w:rPr>
          <w:rFonts w:eastAsiaTheme="minorHAnsi"/>
          <w:bCs/>
          <w:color w:val="auto"/>
          <w:lang w:val="sq-AL"/>
        </w:rPr>
        <w:t xml:space="preserve"> nisur nga nevoja q</w:t>
      </w:r>
      <w:r w:rsidR="00ED6C63">
        <w:rPr>
          <w:rFonts w:eastAsiaTheme="minorHAnsi"/>
          <w:bCs/>
          <w:color w:val="auto"/>
          <w:lang w:val="sq-AL"/>
        </w:rPr>
        <w:t>ë</w:t>
      </w:r>
      <w:r w:rsidRPr="009475CC">
        <w:rPr>
          <w:rFonts w:eastAsiaTheme="minorHAnsi"/>
          <w:bCs/>
          <w:color w:val="auto"/>
          <w:lang w:val="sq-AL"/>
        </w:rPr>
        <w:t xml:space="preserve"> ka p</w:t>
      </w:r>
      <w:r w:rsidR="00ED6C63">
        <w:rPr>
          <w:rFonts w:eastAsiaTheme="minorHAnsi"/>
          <w:bCs/>
          <w:color w:val="auto"/>
          <w:lang w:val="sq-AL"/>
        </w:rPr>
        <w:t>ë</w:t>
      </w:r>
      <w:r w:rsidRPr="009475CC">
        <w:rPr>
          <w:rFonts w:eastAsiaTheme="minorHAnsi"/>
          <w:bCs/>
          <w:color w:val="auto"/>
          <w:lang w:val="sq-AL"/>
        </w:rPr>
        <w:t xml:space="preserve">r shkak </w:t>
      </w:r>
    </w:p>
    <w:p w14:paraId="79F963A6" w14:textId="6E7B9731" w:rsidR="00BE6234" w:rsidRPr="009475CC" w:rsidRDefault="00BE6234" w:rsidP="00C105AB">
      <w:pPr>
        <w:pStyle w:val="Default"/>
        <w:spacing w:after="240"/>
        <w:contextualSpacing/>
        <w:jc w:val="both"/>
        <w:rPr>
          <w:rFonts w:eastAsiaTheme="minorHAnsi"/>
          <w:bCs/>
          <w:color w:val="auto"/>
          <w:lang w:val="sq-AL"/>
        </w:rPr>
      </w:pPr>
      <w:r w:rsidRPr="009475CC">
        <w:rPr>
          <w:rFonts w:eastAsiaTheme="minorHAnsi"/>
          <w:bCs/>
          <w:color w:val="auto"/>
          <w:lang w:val="sq-AL"/>
        </w:rPr>
        <w:t>t</w:t>
      </w:r>
      <w:r w:rsidR="00ED6C63">
        <w:rPr>
          <w:rFonts w:eastAsiaTheme="minorHAnsi"/>
          <w:bCs/>
          <w:color w:val="auto"/>
          <w:lang w:val="sq-AL"/>
        </w:rPr>
        <w:t>ë</w:t>
      </w:r>
      <w:r w:rsidRPr="009475CC">
        <w:rPr>
          <w:rFonts w:eastAsiaTheme="minorHAnsi"/>
          <w:bCs/>
          <w:color w:val="auto"/>
          <w:lang w:val="sq-AL"/>
        </w:rPr>
        <w:t xml:space="preserve"> rrezikshmeris</w:t>
      </w:r>
      <w:r w:rsidR="00ED6C63">
        <w:rPr>
          <w:rFonts w:eastAsiaTheme="minorHAnsi"/>
          <w:bCs/>
          <w:color w:val="auto"/>
          <w:lang w:val="sq-AL"/>
        </w:rPr>
        <w:t>ë</w:t>
      </w:r>
      <w:r w:rsidRPr="009475CC">
        <w:rPr>
          <w:rFonts w:eastAsiaTheme="minorHAnsi"/>
          <w:bCs/>
          <w:color w:val="auto"/>
          <w:lang w:val="sq-AL"/>
        </w:rPr>
        <w:t xml:space="preserve"> s</w:t>
      </w:r>
      <w:r w:rsidR="00ED6C63">
        <w:rPr>
          <w:rFonts w:eastAsiaTheme="minorHAnsi"/>
          <w:bCs/>
          <w:color w:val="auto"/>
          <w:lang w:val="sq-AL"/>
        </w:rPr>
        <w:t>ë</w:t>
      </w:r>
      <w:r w:rsidRPr="009475CC">
        <w:rPr>
          <w:rFonts w:eastAsiaTheme="minorHAnsi"/>
          <w:bCs/>
          <w:color w:val="auto"/>
          <w:lang w:val="sq-AL"/>
        </w:rPr>
        <w:t xml:space="preserve"> lart</w:t>
      </w:r>
      <w:r w:rsidR="00ED6C63">
        <w:rPr>
          <w:rFonts w:eastAsiaTheme="minorHAnsi"/>
          <w:bCs/>
          <w:color w:val="auto"/>
          <w:lang w:val="sq-AL"/>
        </w:rPr>
        <w:t>ë</w:t>
      </w:r>
      <w:r w:rsidR="00972897">
        <w:rPr>
          <w:rFonts w:eastAsiaTheme="minorHAnsi"/>
          <w:bCs/>
          <w:color w:val="auto"/>
          <w:lang w:val="sq-AL"/>
        </w:rPr>
        <w:t>,</w:t>
      </w:r>
      <w:r w:rsidRPr="009475CC">
        <w:rPr>
          <w:rFonts w:eastAsiaTheme="minorHAnsi"/>
          <w:bCs/>
          <w:color w:val="auto"/>
          <w:lang w:val="sq-AL"/>
        </w:rPr>
        <w:t xml:space="preserve"> pasi laboratori aktual ndodhet n</w:t>
      </w:r>
      <w:r w:rsidR="00ED6C63">
        <w:rPr>
          <w:rFonts w:eastAsiaTheme="minorHAnsi"/>
          <w:bCs/>
          <w:color w:val="auto"/>
          <w:lang w:val="sq-AL"/>
        </w:rPr>
        <w:t>ë</w:t>
      </w:r>
      <w:r w:rsidRPr="009475CC">
        <w:rPr>
          <w:rFonts w:eastAsiaTheme="minorHAnsi"/>
          <w:bCs/>
          <w:color w:val="auto"/>
          <w:lang w:val="sq-AL"/>
        </w:rPr>
        <w:t xml:space="preserve"> nj</w:t>
      </w:r>
      <w:r w:rsidR="00ED6C63">
        <w:rPr>
          <w:rFonts w:eastAsiaTheme="minorHAnsi"/>
          <w:bCs/>
          <w:color w:val="auto"/>
          <w:lang w:val="sq-AL"/>
        </w:rPr>
        <w:t>ë</w:t>
      </w:r>
      <w:r w:rsidRPr="009475CC">
        <w:rPr>
          <w:rFonts w:eastAsiaTheme="minorHAnsi"/>
          <w:bCs/>
          <w:color w:val="auto"/>
          <w:lang w:val="sq-AL"/>
        </w:rPr>
        <w:t xml:space="preserve"> zon</w:t>
      </w:r>
      <w:r w:rsidR="00ED6C63">
        <w:rPr>
          <w:rFonts w:eastAsiaTheme="minorHAnsi"/>
          <w:bCs/>
          <w:color w:val="auto"/>
          <w:lang w:val="sq-AL"/>
        </w:rPr>
        <w:t>ë</w:t>
      </w:r>
      <w:r w:rsidRPr="009475CC">
        <w:rPr>
          <w:rFonts w:eastAsiaTheme="minorHAnsi"/>
          <w:bCs/>
          <w:color w:val="auto"/>
          <w:lang w:val="sq-AL"/>
        </w:rPr>
        <w:t xml:space="preserve"> shum</w:t>
      </w:r>
      <w:r w:rsidR="00ED6C63">
        <w:rPr>
          <w:rFonts w:eastAsiaTheme="minorHAnsi"/>
          <w:bCs/>
          <w:color w:val="auto"/>
          <w:lang w:val="sq-AL"/>
        </w:rPr>
        <w:t>ë</w:t>
      </w:r>
      <w:r w:rsidRPr="009475CC">
        <w:rPr>
          <w:rFonts w:eastAsiaTheme="minorHAnsi"/>
          <w:bCs/>
          <w:color w:val="auto"/>
          <w:lang w:val="sq-AL"/>
        </w:rPr>
        <w:t xml:space="preserve"> t</w:t>
      </w:r>
      <w:r w:rsidR="00ED6C63">
        <w:rPr>
          <w:rFonts w:eastAsiaTheme="minorHAnsi"/>
          <w:bCs/>
          <w:color w:val="auto"/>
          <w:lang w:val="sq-AL"/>
        </w:rPr>
        <w:t>ë</w:t>
      </w:r>
      <w:r w:rsidRPr="009475CC">
        <w:rPr>
          <w:rFonts w:eastAsiaTheme="minorHAnsi"/>
          <w:bCs/>
          <w:color w:val="auto"/>
          <w:lang w:val="sq-AL"/>
        </w:rPr>
        <w:t xml:space="preserve"> populluar rrethuar nga institucione t</w:t>
      </w:r>
      <w:r w:rsidR="00ED6C63">
        <w:rPr>
          <w:rFonts w:eastAsiaTheme="minorHAnsi"/>
          <w:bCs/>
          <w:color w:val="auto"/>
          <w:lang w:val="sq-AL"/>
        </w:rPr>
        <w:t>ë</w:t>
      </w:r>
      <w:r w:rsidRPr="009475CC">
        <w:rPr>
          <w:rFonts w:eastAsiaTheme="minorHAnsi"/>
          <w:bCs/>
          <w:color w:val="auto"/>
          <w:lang w:val="sq-AL"/>
        </w:rPr>
        <w:t xml:space="preserve"> arsimit parashkollor dhe 9-vjeçar si dhe nga nd</w:t>
      </w:r>
      <w:r w:rsidR="00ED6C63">
        <w:rPr>
          <w:rFonts w:eastAsiaTheme="minorHAnsi"/>
          <w:bCs/>
          <w:color w:val="auto"/>
          <w:lang w:val="sq-AL"/>
        </w:rPr>
        <w:t>ë</w:t>
      </w:r>
      <w:r w:rsidRPr="009475CC">
        <w:rPr>
          <w:rFonts w:eastAsiaTheme="minorHAnsi"/>
          <w:bCs/>
          <w:color w:val="auto"/>
          <w:lang w:val="sq-AL"/>
        </w:rPr>
        <w:t>rtesa banimi me dend</w:t>
      </w:r>
      <w:r w:rsidR="00ED6C63">
        <w:rPr>
          <w:rFonts w:eastAsiaTheme="minorHAnsi"/>
          <w:bCs/>
          <w:color w:val="auto"/>
          <w:lang w:val="sq-AL"/>
        </w:rPr>
        <w:t>ë</w:t>
      </w:r>
      <w:r w:rsidRPr="009475CC">
        <w:rPr>
          <w:rFonts w:eastAsiaTheme="minorHAnsi"/>
          <w:bCs/>
          <w:color w:val="auto"/>
          <w:lang w:val="sq-AL"/>
        </w:rPr>
        <w:t>si t</w:t>
      </w:r>
      <w:r w:rsidR="00ED6C63">
        <w:rPr>
          <w:rFonts w:eastAsiaTheme="minorHAnsi"/>
          <w:bCs/>
          <w:color w:val="auto"/>
          <w:lang w:val="sq-AL"/>
        </w:rPr>
        <w:t>ë</w:t>
      </w:r>
      <w:r w:rsidRPr="009475CC">
        <w:rPr>
          <w:rFonts w:eastAsiaTheme="minorHAnsi"/>
          <w:bCs/>
          <w:color w:val="auto"/>
          <w:lang w:val="sq-AL"/>
        </w:rPr>
        <w:t xml:space="preserve"> madhe popullsise.</w:t>
      </w:r>
      <w:r w:rsidR="00ED6C63">
        <w:rPr>
          <w:rFonts w:eastAsiaTheme="minorHAnsi"/>
          <w:bCs/>
          <w:color w:val="auto"/>
          <w:lang w:val="sq-AL"/>
        </w:rPr>
        <w:t xml:space="preserve"> </w:t>
      </w:r>
      <w:r w:rsidRPr="009475CC">
        <w:rPr>
          <w:rFonts w:eastAsiaTheme="minorHAnsi"/>
          <w:bCs/>
          <w:color w:val="auto"/>
          <w:lang w:val="sq-AL"/>
        </w:rPr>
        <w:t>Mungesë e trajnimeve brenda dhe jashtë vendit të personelit të Laboratorit.</w:t>
      </w:r>
    </w:p>
    <w:p w14:paraId="7DA91306" w14:textId="77777777" w:rsidR="002861DC" w:rsidRDefault="00ED6C63" w:rsidP="00623352">
      <w:pPr>
        <w:pStyle w:val="Default"/>
        <w:numPr>
          <w:ilvl w:val="0"/>
          <w:numId w:val="16"/>
        </w:numPr>
        <w:spacing w:after="240"/>
        <w:contextualSpacing/>
        <w:jc w:val="both"/>
        <w:rPr>
          <w:rFonts w:eastAsiaTheme="minorHAnsi"/>
          <w:bCs/>
          <w:color w:val="auto"/>
          <w:lang w:val="sq-AL"/>
        </w:rPr>
      </w:pPr>
      <w:r>
        <w:rPr>
          <w:rFonts w:eastAsiaTheme="minorHAnsi"/>
          <w:bCs/>
          <w:color w:val="auto"/>
          <w:lang w:val="sq-AL"/>
        </w:rPr>
        <w:t>A</w:t>
      </w:r>
      <w:r w:rsidR="00BE6234" w:rsidRPr="009475CC">
        <w:rPr>
          <w:rFonts w:eastAsiaTheme="minorHAnsi"/>
          <w:bCs/>
          <w:color w:val="auto"/>
          <w:lang w:val="sq-AL"/>
        </w:rPr>
        <w:t xml:space="preserve">naliza mjekësore të personelit të Laboratorit. </w:t>
      </w:r>
    </w:p>
    <w:p w14:paraId="53B2AE75" w14:textId="08D565A5" w:rsidR="00BE6234" w:rsidRPr="009475CC" w:rsidRDefault="00934CE8" w:rsidP="00623352">
      <w:pPr>
        <w:pStyle w:val="Default"/>
        <w:numPr>
          <w:ilvl w:val="0"/>
          <w:numId w:val="16"/>
        </w:numPr>
        <w:spacing w:after="240"/>
        <w:contextualSpacing/>
        <w:jc w:val="both"/>
        <w:rPr>
          <w:rFonts w:eastAsiaTheme="minorHAnsi"/>
          <w:bCs/>
          <w:color w:val="auto"/>
          <w:lang w:val="sq-AL"/>
        </w:rPr>
      </w:pPr>
      <w:r w:rsidRPr="009475CC">
        <w:rPr>
          <w:rFonts w:eastAsiaTheme="minorHAnsi"/>
          <w:bCs/>
          <w:color w:val="auto"/>
          <w:lang w:val="sq-AL"/>
        </w:rPr>
        <w:t>M</w:t>
      </w:r>
      <w:r w:rsidR="00ED6C63">
        <w:rPr>
          <w:rFonts w:eastAsiaTheme="minorHAnsi"/>
          <w:bCs/>
          <w:color w:val="auto"/>
          <w:lang w:val="sq-AL"/>
        </w:rPr>
        <w:t>i</w:t>
      </w:r>
      <w:r w:rsidR="00BE6234" w:rsidRPr="009475CC">
        <w:rPr>
          <w:rFonts w:eastAsiaTheme="minorHAnsi"/>
          <w:bCs/>
          <w:color w:val="auto"/>
          <w:lang w:val="sq-AL"/>
        </w:rPr>
        <w:t>rëmbajtje dhe kalibrim të jashtëm të aparaturave të Laboratorit për vitin 2020 dhe 2021.</w:t>
      </w:r>
    </w:p>
    <w:p w14:paraId="3EF35207" w14:textId="07EE5802" w:rsidR="00886DF9" w:rsidRPr="002861DC" w:rsidRDefault="00886DF9" w:rsidP="00623352">
      <w:pPr>
        <w:pStyle w:val="Heading3"/>
      </w:pPr>
      <w:bookmarkStart w:id="52" w:name="_Toc130994978"/>
      <w:bookmarkStart w:id="53" w:name="_Toc132277331"/>
      <w:bookmarkStart w:id="54" w:name="_Hlk121690213"/>
      <w:r w:rsidRPr="002861DC">
        <w:lastRenderedPageBreak/>
        <w:t xml:space="preserve">Kuadri ligjor </w:t>
      </w:r>
      <w:r w:rsidR="002861DC">
        <w:t xml:space="preserve">i </w:t>
      </w:r>
      <w:r w:rsidRPr="002861DC">
        <w:t>produkteve ushqimore dhe jo ushqimore</w:t>
      </w:r>
      <w:bookmarkEnd w:id="52"/>
      <w:bookmarkEnd w:id="53"/>
    </w:p>
    <w:bookmarkEnd w:id="54"/>
    <w:p w14:paraId="54E59B53" w14:textId="41FEEEBC" w:rsidR="00023A2D" w:rsidRPr="002861DC" w:rsidRDefault="00023A2D" w:rsidP="00623352">
      <w:pPr>
        <w:pStyle w:val="Heading5"/>
      </w:pPr>
      <w:r w:rsidRPr="002861DC">
        <w:t xml:space="preserve"> </w:t>
      </w:r>
      <w:bookmarkStart w:id="55" w:name="_Hlk121690254"/>
      <w:bookmarkStart w:id="56" w:name="_Toc132277332"/>
      <w:r w:rsidRPr="002861DC">
        <w:t>Kuadri ligjor</w:t>
      </w:r>
      <w:r w:rsidR="002861DC">
        <w:t xml:space="preserve"> i </w:t>
      </w:r>
      <w:r w:rsidRPr="002861DC">
        <w:t>produkteve ushqimore</w:t>
      </w:r>
      <w:bookmarkEnd w:id="55"/>
      <w:bookmarkEnd w:id="56"/>
    </w:p>
    <w:p w14:paraId="39D0791F" w14:textId="77777777" w:rsidR="00981F27" w:rsidRDefault="000B5A82" w:rsidP="00981F27">
      <w:pPr>
        <w:spacing w:line="240" w:lineRule="auto"/>
        <w:jc w:val="both"/>
        <w:rPr>
          <w:rFonts w:cs="Times New Roman"/>
          <w:szCs w:val="24"/>
          <w:lang w:val="sq-AL"/>
        </w:rPr>
      </w:pPr>
      <w:r w:rsidRPr="00981F27">
        <w:rPr>
          <w:rFonts w:cs="Times New Roman"/>
          <w:szCs w:val="24"/>
          <w:u w:val="single"/>
          <w:lang w:val="sq-AL"/>
        </w:rPr>
        <w:t>Ligji nr. 9863, datë 28.1.2008 “Për ushqimin</w:t>
      </w:r>
      <w:r w:rsidRPr="00981F27">
        <w:rPr>
          <w:rFonts w:cs="Times New Roman"/>
          <w:szCs w:val="24"/>
          <w:lang w:val="sq-AL"/>
        </w:rPr>
        <w:t>”, i ndryshuar, është i harmonizuar me</w:t>
      </w:r>
      <w:r w:rsidR="001035E3" w:rsidRPr="00981F27">
        <w:rPr>
          <w:rFonts w:cs="Times New Roman"/>
          <w:szCs w:val="24"/>
          <w:lang w:val="sq-AL"/>
        </w:rPr>
        <w:t xml:space="preserve"> </w:t>
      </w:r>
      <w:r w:rsidRPr="00981F27">
        <w:rPr>
          <w:rFonts w:cs="Times New Roman"/>
          <w:szCs w:val="24"/>
          <w:lang w:val="sq-AL"/>
        </w:rPr>
        <w:t xml:space="preserve">Rregulloren 178/2002/EU me anë të së cilës u ngrit Autoriteti Kombëtar i Ushqimit si struktura përgjegjëse për kontrollet zyrtare dhe garantimin e sigurisë ushqimore për një produkt të sigurt në mbrojtje të shëndetit të konsumatorit përmes analizës së tre komponentëve themelorë: vlerësimit të riskut, menaxhimit të riskut dhe komunikimit të riskut në fushën e ushqimeve dhe ushqimeve për kafshë, mbrojtjes së bimëve. </w:t>
      </w:r>
    </w:p>
    <w:p w14:paraId="3ED25312" w14:textId="0631A696" w:rsidR="000B5A82" w:rsidRPr="00981F27" w:rsidRDefault="000B5A82" w:rsidP="00981F27">
      <w:pPr>
        <w:spacing w:line="240" w:lineRule="auto"/>
        <w:jc w:val="both"/>
        <w:rPr>
          <w:rFonts w:cs="Times New Roman"/>
          <w:szCs w:val="24"/>
          <w:lang w:val="sq-AL"/>
        </w:rPr>
      </w:pPr>
      <w:r w:rsidRPr="00981F27">
        <w:rPr>
          <w:rFonts w:cs="Times New Roman"/>
          <w:szCs w:val="24"/>
          <w:lang w:val="sq-AL"/>
        </w:rPr>
        <w:t>Ky ligj ka për qëllim të vendosë bazat për sigurimin e një niveli të lartë të mbrojtjes së shëndetit të njerëzve dhe interesat e konsumatorit, duke përcaktuar:</w:t>
      </w:r>
      <w:r w:rsidR="00ED6C63" w:rsidRPr="00981F27">
        <w:rPr>
          <w:rFonts w:cs="Times New Roman"/>
          <w:szCs w:val="24"/>
          <w:lang w:val="sq-AL"/>
        </w:rPr>
        <w:t xml:space="preserve"> </w:t>
      </w:r>
      <w:r w:rsidR="00117EC6" w:rsidRPr="00981F27">
        <w:rPr>
          <w:rFonts w:cs="Times New Roman"/>
          <w:szCs w:val="24"/>
          <w:lang w:val="sq-AL"/>
        </w:rPr>
        <w:t>k</w:t>
      </w:r>
      <w:r w:rsidRPr="00981F27">
        <w:rPr>
          <w:rFonts w:cs="Times New Roman"/>
          <w:szCs w:val="24"/>
          <w:lang w:val="sq-AL"/>
        </w:rPr>
        <w:t>ërkesat dhe parimet e përgjithshme për higjienën dhe sigurinë e ushqimeve dhe të ushqimeve për kafshë, detyrimet e operatorëve të biznesit të ushqimeve dhe të ushqimeve për kafshë, për higjienën dhe sigurinë e këtyre ushqimeve, kërkesat e përgjithshme për cilësinë e ushqimeve, kërkesat e përgjithshme për regjistrimin e treguesve gjeografikë dhe emërtimin e origjinës së kontrolluar, kërkesat e përgjithshme për mënyrën e etiketimit të ushqimeve dhe tё ushqimeve për kafshë, kërkesat e përgjithshme të nxjerrjes në treg të ushqimeve dhe tё ushqimeve për kafshë, sistemin e kontrollit zyrtar të ushqimeve dhe tё ushqimeve për kafshë; sistemin e laboratorëve të autorizuar për analiza dhe të laboratorëve të referencës</w:t>
      </w:r>
      <w:r w:rsidR="003050D1" w:rsidRPr="00981F27">
        <w:rPr>
          <w:rFonts w:cs="Times New Roman"/>
          <w:szCs w:val="24"/>
          <w:lang w:val="sq-AL"/>
        </w:rPr>
        <w:t xml:space="preserve">. </w:t>
      </w:r>
      <w:r w:rsidRPr="00981F27">
        <w:rPr>
          <w:rFonts w:cs="Times New Roman"/>
          <w:szCs w:val="24"/>
          <w:lang w:val="sq-AL"/>
        </w:rPr>
        <w:t>Gjithashtu vendosja e standardeve garanton një konkurrencë të ndershme në treg midis operatorëve të biznesit ushqimor.</w:t>
      </w:r>
    </w:p>
    <w:p w14:paraId="1DA042C0" w14:textId="77777777" w:rsidR="00981F27" w:rsidRDefault="000B5A82" w:rsidP="00981F27">
      <w:pPr>
        <w:spacing w:line="240" w:lineRule="auto"/>
        <w:jc w:val="both"/>
        <w:rPr>
          <w:rFonts w:cs="Times New Roman"/>
          <w:szCs w:val="24"/>
          <w:lang w:val="sq-AL"/>
        </w:rPr>
      </w:pPr>
      <w:r w:rsidRPr="00981F27">
        <w:rPr>
          <w:rFonts w:cs="Times New Roman"/>
          <w:szCs w:val="24"/>
          <w:u w:val="single"/>
          <w:lang w:val="sq-AL"/>
        </w:rPr>
        <w:t>Ligji nr. 10465, datë 29.9.2011 “Për Shërbimin Veterinar në Republikën e Shqipërisë”,</w:t>
      </w:r>
      <w:r w:rsidRPr="00981F27">
        <w:rPr>
          <w:rFonts w:cs="Times New Roman"/>
          <w:szCs w:val="24"/>
          <w:lang w:val="sq-AL"/>
        </w:rPr>
        <w:t xml:space="preserve"> i ndryshuar, në kuadër të reformës veterinare, ngriti Autoritetin Kombëtar të Veterinarisë dhe Mbrojtjes së Bimëve si struktura përgjegjëse për kontrollet zyrtare për shëndetin dhe mirëqenien e kafshëve dhe përcaktoi se strukturat shtetërore të shërbimit veterinar do t</w:t>
      </w:r>
      <w:r w:rsidR="00117EC6" w:rsidRPr="00981F27">
        <w:rPr>
          <w:rFonts w:cs="Times New Roman"/>
          <w:szCs w:val="24"/>
          <w:lang w:val="sq-AL"/>
        </w:rPr>
        <w:t>ë</w:t>
      </w:r>
      <w:r w:rsidRPr="00981F27">
        <w:rPr>
          <w:rFonts w:cs="Times New Roman"/>
          <w:szCs w:val="24"/>
          <w:lang w:val="sq-AL"/>
        </w:rPr>
        <w:t xml:space="preserve"> kryejnë profilaksinë veterinare për të mbuluar çdo njësi administrative me shërbim veterinare. Garantimi i shëndetit të kafshëve është një hallkë e rëndësishme e zinxhirit ushqimor, sepse nga kafshë me status shëndetësor të sigurt rrjedhin ushqime të sigurta si dhe minimizohen zoonozat (sëmundje të trasmetueshme nga kafsha te njeriu). </w:t>
      </w:r>
    </w:p>
    <w:p w14:paraId="3930D28C" w14:textId="0DC36FAF" w:rsidR="000B5A82" w:rsidRPr="00981F27" w:rsidRDefault="000B5A82" w:rsidP="00981F27">
      <w:pPr>
        <w:spacing w:line="240" w:lineRule="auto"/>
        <w:jc w:val="both"/>
        <w:rPr>
          <w:rFonts w:cs="Times New Roman"/>
          <w:szCs w:val="24"/>
          <w:lang w:val="sq-AL"/>
        </w:rPr>
      </w:pPr>
      <w:r w:rsidRPr="00981F27">
        <w:rPr>
          <w:rFonts w:cs="Times New Roman"/>
          <w:szCs w:val="24"/>
          <w:lang w:val="sq-AL"/>
        </w:rPr>
        <w:t>Ky ligj ka për qëllim</w:t>
      </w:r>
      <w:r w:rsidR="00117EC6" w:rsidRPr="00981F27">
        <w:rPr>
          <w:rFonts w:cs="Times New Roman"/>
          <w:szCs w:val="24"/>
          <w:lang w:val="sq-AL"/>
        </w:rPr>
        <w:t>: t</w:t>
      </w:r>
      <w:r w:rsidRPr="00981F27">
        <w:rPr>
          <w:rFonts w:cs="Times New Roman"/>
          <w:szCs w:val="24"/>
          <w:lang w:val="sq-AL"/>
        </w:rPr>
        <w:t>ë mbrojë dhe të përmirësojë shëndetin e kafshëve</w:t>
      </w:r>
      <w:r w:rsidR="00117EC6" w:rsidRPr="00981F27">
        <w:rPr>
          <w:rFonts w:cs="Times New Roman"/>
          <w:szCs w:val="24"/>
          <w:lang w:val="sq-AL"/>
        </w:rPr>
        <w:t>,</w:t>
      </w:r>
      <w:r w:rsidRPr="00981F27">
        <w:rPr>
          <w:rFonts w:cs="Times New Roman"/>
          <w:szCs w:val="24"/>
          <w:lang w:val="sq-AL"/>
        </w:rPr>
        <w:t xml:space="preserve"> të tokës dhe të ujit</w:t>
      </w:r>
      <w:r w:rsidR="00117EC6" w:rsidRPr="00981F27">
        <w:rPr>
          <w:rFonts w:cs="Times New Roman"/>
          <w:szCs w:val="24"/>
          <w:lang w:val="sq-AL"/>
        </w:rPr>
        <w:t>; t</w:t>
      </w:r>
      <w:r w:rsidRPr="00981F27">
        <w:rPr>
          <w:rFonts w:cs="Times New Roman"/>
          <w:szCs w:val="24"/>
          <w:lang w:val="sq-AL"/>
        </w:rPr>
        <w:t>ë përcaktojë procedurat për parandalimin, monitorimin, diagnostikimin, trajtimin dhe çrrënjosjen e sëmundjeve të kafshëve</w:t>
      </w:r>
      <w:r w:rsidR="00117EC6" w:rsidRPr="00981F27">
        <w:rPr>
          <w:rFonts w:cs="Times New Roman"/>
          <w:szCs w:val="24"/>
          <w:lang w:val="sq-AL"/>
        </w:rPr>
        <w:t>; t</w:t>
      </w:r>
      <w:r w:rsidRPr="00981F27">
        <w:rPr>
          <w:rFonts w:cs="Times New Roman"/>
          <w:szCs w:val="24"/>
          <w:lang w:val="sq-AL"/>
        </w:rPr>
        <w:t>ë mbrojë shëndetin publik nga sëmundjet zoonotike të transmetueshme nga kafshët, si dhe nga lëndët mbetëse të dëmshme, të cilat gjenden në produktet për konsum human</w:t>
      </w:r>
      <w:r w:rsidR="00117EC6" w:rsidRPr="00981F27">
        <w:rPr>
          <w:rFonts w:cs="Times New Roman"/>
          <w:szCs w:val="24"/>
          <w:lang w:val="sq-AL"/>
        </w:rPr>
        <w:t>; t</w:t>
      </w:r>
      <w:r w:rsidRPr="00981F27">
        <w:rPr>
          <w:rFonts w:cs="Times New Roman"/>
          <w:szCs w:val="24"/>
          <w:lang w:val="sq-AL"/>
        </w:rPr>
        <w:t>ë sigurojë zbatimin e masave shëndetësore veterinare për produktet me origjinë shtazore, të prodhuara në fermë, lëndët e papërpunuara, kullotat, ujin dhe vendet e pirjes së ujit për kafshët</w:t>
      </w:r>
      <w:r w:rsidR="00117EC6" w:rsidRPr="00981F27">
        <w:rPr>
          <w:rFonts w:cs="Times New Roman"/>
          <w:szCs w:val="24"/>
          <w:lang w:val="sq-AL"/>
        </w:rPr>
        <w:t>; t</w:t>
      </w:r>
      <w:r w:rsidRPr="00981F27">
        <w:rPr>
          <w:rFonts w:cs="Times New Roman"/>
          <w:szCs w:val="24"/>
          <w:lang w:val="sq-AL"/>
        </w:rPr>
        <w:t>ë mbrojë shëndetin riprodhues të kafshëve, të sigurojë rritjen e prodhimtarisë dhe përmirësimin racor</w:t>
      </w:r>
      <w:r w:rsidR="00117EC6" w:rsidRPr="00981F27">
        <w:rPr>
          <w:rFonts w:cs="Times New Roman"/>
          <w:szCs w:val="24"/>
          <w:lang w:val="sq-AL"/>
        </w:rPr>
        <w:t>; t</w:t>
      </w:r>
      <w:r w:rsidRPr="00981F27">
        <w:rPr>
          <w:rFonts w:cs="Times New Roman"/>
          <w:szCs w:val="24"/>
          <w:lang w:val="sq-AL"/>
        </w:rPr>
        <w:t>ë mbrojë mjedisin nga infeksionet, helmet, mbeturinat e kafshëve dhe ndotjet (biologjike, fizike, kimike, radiobiologjike), me pasoja dëmtuese për shëndetin e kafshëve dhe njerëzit</w:t>
      </w:r>
      <w:r w:rsidR="00117EC6" w:rsidRPr="00981F27">
        <w:rPr>
          <w:rFonts w:cs="Times New Roman"/>
          <w:szCs w:val="24"/>
          <w:lang w:val="sq-AL"/>
        </w:rPr>
        <w:t>; t</w:t>
      </w:r>
      <w:r w:rsidRPr="00981F27">
        <w:rPr>
          <w:rFonts w:cs="Times New Roman"/>
          <w:szCs w:val="24"/>
          <w:lang w:val="sq-AL"/>
        </w:rPr>
        <w:t>ë mbrojë kafshët nga tortura dhe të sigurojë mirëqenien e tyre</w:t>
      </w:r>
      <w:r w:rsidR="00117EC6" w:rsidRPr="00981F27">
        <w:rPr>
          <w:rFonts w:cs="Times New Roman"/>
          <w:szCs w:val="24"/>
          <w:lang w:val="sq-AL"/>
        </w:rPr>
        <w:t>; t</w:t>
      </w:r>
      <w:r w:rsidRPr="00981F27">
        <w:rPr>
          <w:rFonts w:cs="Times New Roman"/>
          <w:szCs w:val="24"/>
          <w:lang w:val="sq-AL"/>
        </w:rPr>
        <w:t xml:space="preserve">ë përcaktojë detyrimet e fermerëve, të personave fizikë dhe juridikë, në zbatimin e këtij ligji. </w:t>
      </w:r>
    </w:p>
    <w:p w14:paraId="786C9C57" w14:textId="151F9791" w:rsidR="000B5A82" w:rsidRPr="00981F27" w:rsidRDefault="000B5A82" w:rsidP="00981F27">
      <w:pPr>
        <w:spacing w:line="240" w:lineRule="auto"/>
        <w:jc w:val="both"/>
        <w:rPr>
          <w:rFonts w:cs="Times New Roman"/>
          <w:szCs w:val="24"/>
          <w:lang w:val="sq-AL"/>
        </w:rPr>
      </w:pPr>
      <w:r w:rsidRPr="00981F27">
        <w:rPr>
          <w:rFonts w:cs="Times New Roman"/>
          <w:szCs w:val="24"/>
          <w:u w:val="single"/>
          <w:lang w:val="sq-AL"/>
        </w:rPr>
        <w:t>Vendimi</w:t>
      </w:r>
      <w:r w:rsidR="00117EC6" w:rsidRPr="00981F27">
        <w:rPr>
          <w:rFonts w:cs="Times New Roman"/>
          <w:szCs w:val="24"/>
          <w:u w:val="single"/>
          <w:lang w:val="sq-AL"/>
        </w:rPr>
        <w:t xml:space="preserve"> i Këshillit të Ministrave</w:t>
      </w:r>
      <w:r w:rsidRPr="00981F27">
        <w:rPr>
          <w:rFonts w:cs="Times New Roman"/>
          <w:szCs w:val="24"/>
          <w:u w:val="single"/>
          <w:lang w:val="sq-AL"/>
        </w:rPr>
        <w:t xml:space="preserve"> nr. 434, datë 11.7.2018 “Për etiketimin e ushqimeve dhe informimin e konsumatorit”</w:t>
      </w:r>
      <w:r w:rsidR="00117EC6" w:rsidRPr="00981F27">
        <w:rPr>
          <w:rFonts w:cs="Times New Roman"/>
          <w:szCs w:val="24"/>
          <w:u w:val="single"/>
          <w:lang w:val="sq-AL"/>
        </w:rPr>
        <w:t>.</w:t>
      </w:r>
      <w:r w:rsidRPr="00981F27">
        <w:rPr>
          <w:rFonts w:cs="Times New Roman"/>
          <w:szCs w:val="24"/>
          <w:lang w:val="sq-AL"/>
        </w:rPr>
        <w:t xml:space="preserve"> Ky vendim ka për qëllim të vendosë bazën për sigurimin e një niveli të lartë të mbrojtjes së konsumatorit nëpërmjet informacionit për ushqimin, duke marrë parasysh dallimet në perceptimin e konsumatorëve dhe nevojat e tyre për informacion si dhe duke siguruar funksionimin normal të tregut. Ky vendim përcakton parimet e përgjithshme, kërkesat dhe përgjegjësitë kryesore që rregullojnë informacionin për ushqimin dhe në veçanti, etiketimin e produkteve ushqimore. Ai përcakton mjetet për të garantuar të drejtën për informim të konsumatorëve dhe procedurat për sigurimin e informacionit për ushqimin, duke </w:t>
      </w:r>
      <w:r w:rsidRPr="00981F27">
        <w:rPr>
          <w:rFonts w:cs="Times New Roman"/>
          <w:szCs w:val="24"/>
          <w:lang w:val="sq-AL"/>
        </w:rPr>
        <w:lastRenderedPageBreak/>
        <w:t>marrë parasysh nevojën për të siguruar fleksibilitet të mjaftueshëm për t’iu përgjigjur zhvillimeve të ardhshme dhe kërkesave të reja të informimit.</w:t>
      </w:r>
    </w:p>
    <w:p w14:paraId="45AB1FE9" w14:textId="2CC0E920" w:rsidR="000B5A82" w:rsidRPr="009475CC" w:rsidRDefault="000B5A82" w:rsidP="001035E3">
      <w:pPr>
        <w:spacing w:line="240" w:lineRule="auto"/>
        <w:jc w:val="both"/>
        <w:rPr>
          <w:rFonts w:cs="Times New Roman"/>
          <w:szCs w:val="24"/>
          <w:lang w:val="sq-AL"/>
        </w:rPr>
      </w:pPr>
      <w:r w:rsidRPr="009475CC">
        <w:rPr>
          <w:rFonts w:cs="Times New Roman"/>
          <w:szCs w:val="24"/>
          <w:lang w:val="sq-AL"/>
        </w:rPr>
        <w:t xml:space="preserve">Ky vendim zbatohet për: Operatorët e Biznesit Ushqimor, në të gjitha fazat e zinxhirit ushqimor ku aktiviteti i tyre ka të bëjë me dhënien e informacionit për ushqimin për konsumatorët;  </w:t>
      </w:r>
    </w:p>
    <w:p w14:paraId="50F41844" w14:textId="77777777" w:rsidR="000B5A82" w:rsidRPr="009475CC" w:rsidRDefault="000B5A82" w:rsidP="001035E3">
      <w:pPr>
        <w:spacing w:line="240" w:lineRule="auto"/>
        <w:jc w:val="both"/>
        <w:rPr>
          <w:rFonts w:cs="Times New Roman"/>
          <w:szCs w:val="24"/>
          <w:lang w:val="sq-AL"/>
        </w:rPr>
      </w:pPr>
      <w:r w:rsidRPr="009475CC">
        <w:rPr>
          <w:rFonts w:cs="Times New Roman"/>
          <w:szCs w:val="24"/>
          <w:lang w:val="sq-AL"/>
        </w:rPr>
        <w:t xml:space="preserve">Të gjitha ushqimet e destinuara për konsumatorin e fundit, duke përfshirë edhe ushqimet e ofruara nga furnizues masivë ushqimesh dhe ushqime të destinuara për furnizim për shërbimin cattering; </w:t>
      </w:r>
    </w:p>
    <w:p w14:paraId="140558CD" w14:textId="79FCFB15" w:rsidR="00117EC6" w:rsidRDefault="000B5A82" w:rsidP="001035E3">
      <w:pPr>
        <w:spacing w:line="240" w:lineRule="auto"/>
        <w:jc w:val="both"/>
        <w:rPr>
          <w:rFonts w:cs="Times New Roman"/>
          <w:szCs w:val="24"/>
          <w:lang w:val="sq-AL"/>
        </w:rPr>
      </w:pPr>
      <w:r w:rsidRPr="009475CC">
        <w:rPr>
          <w:rFonts w:cs="Times New Roman"/>
          <w:szCs w:val="24"/>
          <w:lang w:val="sq-AL"/>
        </w:rPr>
        <w:t xml:space="preserve">Shërbimet e </w:t>
      </w:r>
      <w:r w:rsidRPr="00981F27">
        <w:rPr>
          <w:rFonts w:cs="Times New Roman"/>
          <w:i/>
          <w:iCs/>
          <w:szCs w:val="24"/>
          <w:lang w:val="sq-AL"/>
        </w:rPr>
        <w:t>cattering</w:t>
      </w:r>
      <w:r w:rsidRPr="009475CC">
        <w:rPr>
          <w:rFonts w:cs="Times New Roman"/>
          <w:szCs w:val="24"/>
          <w:lang w:val="sq-AL"/>
        </w:rPr>
        <w:t>-ut të ofruara nga ndërmarrjet e transportit</w:t>
      </w:r>
      <w:r w:rsidR="00117EC6">
        <w:rPr>
          <w:rFonts w:cs="Times New Roman"/>
          <w:szCs w:val="24"/>
          <w:lang w:val="sq-AL"/>
        </w:rPr>
        <w:t>.</w:t>
      </w:r>
    </w:p>
    <w:p w14:paraId="0241D2C9" w14:textId="3A412353" w:rsidR="000B5A82" w:rsidRPr="009475CC" w:rsidRDefault="00117EC6" w:rsidP="001035E3">
      <w:pPr>
        <w:spacing w:line="240" w:lineRule="auto"/>
        <w:jc w:val="both"/>
        <w:rPr>
          <w:rFonts w:cs="Times New Roman"/>
          <w:b/>
          <w:szCs w:val="24"/>
          <w:lang w:val="sq-AL"/>
        </w:rPr>
      </w:pPr>
      <w:r>
        <w:rPr>
          <w:rFonts w:cs="Times New Roman"/>
          <w:szCs w:val="24"/>
          <w:lang w:val="sq-AL"/>
        </w:rPr>
        <w:t>A</w:t>
      </w:r>
      <w:r w:rsidR="000B5A82" w:rsidRPr="009475CC">
        <w:rPr>
          <w:rFonts w:cs="Times New Roman"/>
          <w:szCs w:val="24"/>
          <w:lang w:val="sq-AL"/>
        </w:rPr>
        <w:t>ktet e tjera nënligjore që lidhen me kriteret mikrobiologjike, pak</w:t>
      </w:r>
      <w:r>
        <w:rPr>
          <w:rFonts w:cs="Times New Roman"/>
          <w:szCs w:val="24"/>
          <w:lang w:val="sq-AL"/>
        </w:rPr>
        <w:t>e</w:t>
      </w:r>
      <w:r w:rsidR="000B5A82" w:rsidRPr="009475CC">
        <w:rPr>
          <w:rFonts w:cs="Times New Roman"/>
          <w:szCs w:val="24"/>
          <w:lang w:val="sq-AL"/>
        </w:rPr>
        <w:t>tën higjenike për kontrollin e mishit në thertore dhe parametra të tjerë në fushën e sigurisë ushqimore, plotësojnë kuadrin ligjor në fushën e sigurisë ushqimore në rritjen e standardeve dhe sigurinë e produkteve të vendosura në treg për konsumatorin shqiptar. I gjithë legjislacioni i përgatitur është në përshtatje me legjislacionin e BE-së. Legjislacioni për Sigurinë Ushqimore gjen</w:t>
      </w:r>
      <w:r>
        <w:rPr>
          <w:rFonts w:cs="Times New Roman"/>
          <w:szCs w:val="24"/>
          <w:lang w:val="sq-AL"/>
        </w:rPr>
        <w:t>det</w:t>
      </w:r>
      <w:r w:rsidR="000B5A82" w:rsidRPr="009475CC">
        <w:rPr>
          <w:rFonts w:cs="Times New Roman"/>
          <w:szCs w:val="24"/>
          <w:lang w:val="sq-AL"/>
        </w:rPr>
        <w:t xml:space="preserve"> në faqen zyrtare të Ministrisë të Bujqësisë dhe Zhvillimit Rural dhe në faqen e Autoritetit Kombëtar të Ushqimit</w:t>
      </w:r>
      <w:r w:rsidR="00F8456F" w:rsidRPr="009475CC">
        <w:rPr>
          <w:rStyle w:val="FootnoteReference"/>
          <w:rFonts w:cs="Times New Roman"/>
          <w:b/>
          <w:szCs w:val="24"/>
          <w:lang w:val="sq-AL"/>
        </w:rPr>
        <w:footnoteReference w:id="1"/>
      </w:r>
      <w:r w:rsidR="00F8456F" w:rsidRPr="009475CC">
        <w:rPr>
          <w:rFonts w:cs="Times New Roman"/>
          <w:b/>
          <w:szCs w:val="24"/>
          <w:lang w:val="sq-AL"/>
        </w:rPr>
        <w:t>.</w:t>
      </w:r>
    </w:p>
    <w:p w14:paraId="05F0EB03" w14:textId="6FF4F573" w:rsidR="00023A2D" w:rsidRPr="00117EC6" w:rsidRDefault="00023A2D" w:rsidP="00623352">
      <w:pPr>
        <w:pStyle w:val="Heading5"/>
      </w:pPr>
      <w:bookmarkStart w:id="57" w:name="_Toc132277333"/>
      <w:bookmarkStart w:id="58" w:name="_Hlk121690353"/>
      <w:r w:rsidRPr="00117EC6">
        <w:t xml:space="preserve">Kuadri ligjor </w:t>
      </w:r>
      <w:r w:rsidR="003050D1" w:rsidRPr="00117EC6">
        <w:t xml:space="preserve">i </w:t>
      </w:r>
      <w:r w:rsidRPr="00117EC6">
        <w:t>produkteve jo ushqimore</w:t>
      </w:r>
      <w:bookmarkEnd w:id="57"/>
    </w:p>
    <w:p w14:paraId="111906CD" w14:textId="4F3777F1" w:rsidR="00E21479" w:rsidRPr="00E0157D" w:rsidRDefault="00E21479" w:rsidP="00E0157D">
      <w:pPr>
        <w:spacing w:before="240" w:after="0"/>
        <w:rPr>
          <w:rFonts w:cs="Times New Roman"/>
          <w:b/>
          <w:bCs/>
          <w:color w:val="2F5496" w:themeColor="accent5" w:themeShade="BF"/>
          <w:szCs w:val="24"/>
          <w:lang w:val="sq-AL"/>
        </w:rPr>
      </w:pPr>
      <w:r w:rsidRPr="00E0157D">
        <w:rPr>
          <w:rFonts w:cs="Times New Roman"/>
          <w:b/>
          <w:bCs/>
          <w:color w:val="2F5496" w:themeColor="accent5" w:themeShade="BF"/>
          <w:szCs w:val="24"/>
          <w:lang w:val="sq-AL"/>
        </w:rPr>
        <w:t>Ministria e Financave dhe Ekonomisë</w:t>
      </w:r>
    </w:p>
    <w:bookmarkEnd w:id="58"/>
    <w:p w14:paraId="5DE03F6A" w14:textId="77777777" w:rsidR="00023A2D" w:rsidRPr="009475CC" w:rsidRDefault="00023A2D" w:rsidP="00E0157D">
      <w:pPr>
        <w:spacing w:before="240" w:after="120" w:line="240" w:lineRule="auto"/>
        <w:jc w:val="both"/>
        <w:rPr>
          <w:rFonts w:cs="Times New Roman"/>
          <w:szCs w:val="24"/>
          <w:lang w:val="sq-AL"/>
        </w:rPr>
      </w:pPr>
      <w:r w:rsidRPr="009475CC">
        <w:rPr>
          <w:rFonts w:cs="Times New Roman"/>
          <w:szCs w:val="24"/>
          <w:lang w:val="sq-AL"/>
        </w:rPr>
        <w:t>Parimet e tregtimit, sigurisë së produkteve dhe mbikëqyrjes së tregut në Shqipëri rregullohen nga:</w:t>
      </w:r>
    </w:p>
    <w:p w14:paraId="48B0F2A9" w14:textId="41339B4B" w:rsidR="00117EC6" w:rsidRPr="00981F27" w:rsidRDefault="00023A2D" w:rsidP="00623352">
      <w:pPr>
        <w:pStyle w:val="ListParagraph"/>
        <w:numPr>
          <w:ilvl w:val="0"/>
          <w:numId w:val="46"/>
        </w:numPr>
        <w:spacing w:line="240" w:lineRule="auto"/>
        <w:jc w:val="both"/>
        <w:rPr>
          <w:rFonts w:cs="Times New Roman"/>
          <w:szCs w:val="24"/>
          <w:lang w:val="sq-AL"/>
        </w:rPr>
      </w:pPr>
      <w:r w:rsidRPr="00117EC6">
        <w:rPr>
          <w:rFonts w:cs="Times New Roman"/>
          <w:szCs w:val="24"/>
          <w:lang w:val="sq-AL"/>
        </w:rPr>
        <w:t xml:space="preserve">Ligji nr. 10489, datë 15.12.2011, “Për tregtimin dhe mbikëqyrjen e tregut të produkteve </w:t>
      </w:r>
      <w:r w:rsidRPr="00981F27">
        <w:rPr>
          <w:rFonts w:cs="Times New Roman"/>
          <w:szCs w:val="24"/>
          <w:lang w:val="sq-AL"/>
        </w:rPr>
        <w:t>jo ushqimore”, i ndryshuar</w:t>
      </w:r>
      <w:r w:rsidRPr="009475CC">
        <w:rPr>
          <w:rStyle w:val="FootnoteReference"/>
          <w:rFonts w:cs="Times New Roman"/>
          <w:szCs w:val="24"/>
          <w:lang w:val="sq-AL"/>
        </w:rPr>
        <w:footnoteReference w:id="2"/>
      </w:r>
      <w:r w:rsidRPr="00981F27">
        <w:rPr>
          <w:rFonts w:cs="Times New Roman"/>
          <w:szCs w:val="24"/>
          <w:lang w:val="sq-AL"/>
        </w:rPr>
        <w:t xml:space="preserve">; </w:t>
      </w:r>
    </w:p>
    <w:p w14:paraId="7D6006FE" w14:textId="12F6D788" w:rsidR="00023A2D" w:rsidRPr="00981F27" w:rsidRDefault="00023A2D" w:rsidP="00623352">
      <w:pPr>
        <w:pStyle w:val="ListParagraph"/>
        <w:numPr>
          <w:ilvl w:val="0"/>
          <w:numId w:val="46"/>
        </w:numPr>
        <w:spacing w:line="240" w:lineRule="auto"/>
        <w:jc w:val="both"/>
        <w:rPr>
          <w:rFonts w:cs="Times New Roman"/>
          <w:szCs w:val="24"/>
          <w:lang w:val="sq-AL"/>
        </w:rPr>
      </w:pPr>
      <w:r w:rsidRPr="00117EC6">
        <w:rPr>
          <w:rFonts w:cs="Times New Roman"/>
          <w:szCs w:val="24"/>
          <w:lang w:val="sq-AL"/>
        </w:rPr>
        <w:t xml:space="preserve">Ligji nr. 10480, datë 17.11. 2011 “Për sigurinë e përgjithshme të produkteve </w:t>
      </w:r>
      <w:r w:rsidRPr="00981F27">
        <w:rPr>
          <w:rFonts w:cs="Times New Roman"/>
          <w:szCs w:val="24"/>
          <w:lang w:val="sq-AL"/>
        </w:rPr>
        <w:t xml:space="preserve">joushqimore”; </w:t>
      </w:r>
    </w:p>
    <w:p w14:paraId="67F93170" w14:textId="6C5B83F3" w:rsidR="00023A2D" w:rsidRPr="00981F27" w:rsidRDefault="00023A2D" w:rsidP="00623352">
      <w:pPr>
        <w:pStyle w:val="ListParagraph"/>
        <w:numPr>
          <w:ilvl w:val="0"/>
          <w:numId w:val="46"/>
        </w:numPr>
        <w:spacing w:line="240" w:lineRule="auto"/>
        <w:jc w:val="both"/>
        <w:rPr>
          <w:rFonts w:cs="Times New Roman"/>
          <w:szCs w:val="24"/>
          <w:lang w:val="sq-AL"/>
        </w:rPr>
      </w:pPr>
      <w:r w:rsidRPr="00117EC6">
        <w:rPr>
          <w:rFonts w:cs="Times New Roman"/>
          <w:szCs w:val="24"/>
          <w:lang w:val="sq-AL"/>
        </w:rPr>
        <w:t xml:space="preserve">Legjislacioni specifik që rregullon veprimtarinë e institucioneve të infrastrukturës së </w:t>
      </w:r>
      <w:r w:rsidRPr="00981F27">
        <w:rPr>
          <w:rFonts w:cs="Times New Roman"/>
          <w:szCs w:val="24"/>
          <w:lang w:val="sq-AL"/>
        </w:rPr>
        <w:t>cilësisë (standardizimi, akreditimi, metrologjia dhe mbikëqyrja e tregut).</w:t>
      </w:r>
    </w:p>
    <w:p w14:paraId="5DEA7691" w14:textId="77777777" w:rsidR="00023A2D" w:rsidRPr="009475CC" w:rsidRDefault="00023A2D" w:rsidP="00952448">
      <w:pPr>
        <w:spacing w:line="240" w:lineRule="auto"/>
        <w:jc w:val="both"/>
        <w:rPr>
          <w:rFonts w:cs="Times New Roman"/>
          <w:szCs w:val="24"/>
          <w:lang w:val="sq-AL"/>
        </w:rPr>
      </w:pPr>
      <w:r w:rsidRPr="009475CC">
        <w:rPr>
          <w:rFonts w:cs="Times New Roman"/>
          <w:szCs w:val="24"/>
          <w:lang w:val="sq-AL"/>
        </w:rPr>
        <w:t>Ligji horizontal për tregtimin e produkteve dhe mbikëqyrjen e tregut përcakton detyrimet e operatorëve ekonomikë për të vendosur në treg produkte që janë në përputhje me kërkesat ligjore në lidhje me to. Gjithashtu, në këtë ligj parashikohet kontrolli i produkteve që hyjnë në territorin shqiptar nga autoritetet doganore, të cilat mund të pezullojnë zhdoganimin e produkteve që paraqesin risk serioz për shëndetin, sigurinë apo interesat të tjerë publike, si dhe detyrimi i personave përgjegjës për garantimin e sigurisë së produkteve dhe instalimeve që janë në përdorim.</w:t>
      </w:r>
    </w:p>
    <w:p w14:paraId="06D39390" w14:textId="3A2EC460" w:rsidR="00023A2D" w:rsidRPr="009475CC" w:rsidRDefault="00023A2D" w:rsidP="00952448">
      <w:pPr>
        <w:spacing w:line="240" w:lineRule="auto"/>
        <w:jc w:val="both"/>
        <w:rPr>
          <w:rFonts w:cs="Times New Roman"/>
          <w:szCs w:val="24"/>
          <w:lang w:val="sq-AL"/>
        </w:rPr>
      </w:pPr>
      <w:r w:rsidRPr="009475CC">
        <w:rPr>
          <w:rFonts w:cs="Times New Roman"/>
          <w:szCs w:val="24"/>
          <w:lang w:val="sq-AL"/>
        </w:rPr>
        <w:t xml:space="preserve">Ligji për sigurinë e përgjithshme të produkteve jo ushqimore përcakton të drejtat dhe detyrimet e prodhuesve e të shpërndarësve, me qëllim që produktet </w:t>
      </w:r>
      <w:r w:rsidR="00117EC6">
        <w:rPr>
          <w:rFonts w:cs="Times New Roman"/>
          <w:szCs w:val="24"/>
          <w:lang w:val="sq-AL"/>
        </w:rPr>
        <w:t>për</w:t>
      </w:r>
      <w:r w:rsidRPr="009475CC">
        <w:rPr>
          <w:rFonts w:cs="Times New Roman"/>
          <w:szCs w:val="24"/>
          <w:lang w:val="sq-AL"/>
        </w:rPr>
        <w:t xml:space="preserve"> konsumatori</w:t>
      </w:r>
      <w:r w:rsidR="00117EC6">
        <w:rPr>
          <w:rFonts w:cs="Times New Roman"/>
          <w:szCs w:val="24"/>
          <w:lang w:val="sq-AL"/>
        </w:rPr>
        <w:t>n</w:t>
      </w:r>
      <w:r w:rsidRPr="009475CC">
        <w:rPr>
          <w:rFonts w:cs="Times New Roman"/>
          <w:szCs w:val="24"/>
          <w:lang w:val="sq-AL"/>
        </w:rPr>
        <w:t xml:space="preserve"> të vendosura në treg të jenë të sigurta, si dhe kompetencat e strukturës përgjegjëse për mbikëqyrjen e tregut.</w:t>
      </w:r>
    </w:p>
    <w:p w14:paraId="7DD0AA97" w14:textId="7985B6FF" w:rsidR="00023A2D" w:rsidRPr="009475CC" w:rsidRDefault="00023A2D" w:rsidP="00952448">
      <w:pPr>
        <w:spacing w:line="240" w:lineRule="auto"/>
        <w:jc w:val="both"/>
        <w:rPr>
          <w:rFonts w:cs="Times New Roman"/>
          <w:szCs w:val="24"/>
          <w:lang w:val="sq-AL"/>
        </w:rPr>
      </w:pPr>
      <w:r w:rsidRPr="009475CC">
        <w:rPr>
          <w:rFonts w:cs="Times New Roman"/>
          <w:szCs w:val="24"/>
          <w:lang w:val="sq-AL"/>
        </w:rPr>
        <w:t>Krahas legjislacionit horizontal, në zbatim të tij janë miratuar edhe aktet nënligjore/</w:t>
      </w:r>
      <w:r w:rsidR="00117EC6">
        <w:rPr>
          <w:rFonts w:cs="Times New Roman"/>
          <w:szCs w:val="24"/>
          <w:lang w:val="sq-AL"/>
        </w:rPr>
        <w:t xml:space="preserve"> </w:t>
      </w:r>
      <w:r w:rsidRPr="009475CC">
        <w:rPr>
          <w:rFonts w:cs="Times New Roman"/>
          <w:szCs w:val="24"/>
          <w:lang w:val="sq-AL"/>
        </w:rPr>
        <w:t>rregullat teknik</w:t>
      </w:r>
      <w:r w:rsidR="00117EC6">
        <w:rPr>
          <w:rFonts w:cs="Times New Roman"/>
          <w:szCs w:val="24"/>
          <w:lang w:val="sq-AL"/>
        </w:rPr>
        <w:t>e</w:t>
      </w:r>
      <w:r w:rsidRPr="009475CC">
        <w:rPr>
          <w:rFonts w:cs="Times New Roman"/>
          <w:szCs w:val="24"/>
          <w:lang w:val="sq-AL"/>
        </w:rPr>
        <w:t xml:space="preserve">, sipas fushave të produkteve që bien nën përgjegjësinë e Ministrisë së Financave dhe Ekonomisë (pajisjet elektrike brenda kufijve të </w:t>
      </w:r>
      <w:r w:rsidRPr="00104DCF">
        <w:rPr>
          <w:rFonts w:cs="Times New Roman"/>
          <w:szCs w:val="24"/>
          <w:lang w:val="sq-AL"/>
        </w:rPr>
        <w:t>tensionit (LVD),</w:t>
      </w:r>
      <w:r w:rsidRPr="009475CC">
        <w:rPr>
          <w:rFonts w:cs="Times New Roman"/>
          <w:szCs w:val="24"/>
          <w:lang w:val="sq-AL"/>
        </w:rPr>
        <w:t xml:space="preserve"> përputhshmëria elektromagnetike, lodrat, ashensorët për përdorim civil, makineritë, pajisjet mbrojtëse personale, pajisjet e gazit,  enët e thjeshta nën presion, instrumentet matës, emetimi i zhurmave nga pajisjet, pajisjet e aerosolit, veshjet e këmbës etj.). Qëllimi i miratimit të këtyre rregullave teknik</w:t>
      </w:r>
      <w:r w:rsidR="00522A86">
        <w:rPr>
          <w:rFonts w:cs="Times New Roman"/>
          <w:szCs w:val="24"/>
          <w:lang w:val="sq-AL"/>
        </w:rPr>
        <w:t>e</w:t>
      </w:r>
      <w:r w:rsidRPr="009475CC">
        <w:rPr>
          <w:rFonts w:cs="Times New Roman"/>
          <w:szCs w:val="24"/>
          <w:lang w:val="sq-AL"/>
        </w:rPr>
        <w:t xml:space="preserve"> është përcaktimi i kërkesave themelore të sigurisë së produkteve për të garantuar një </w:t>
      </w:r>
      <w:r w:rsidRPr="009475CC">
        <w:rPr>
          <w:rFonts w:cs="Times New Roman"/>
          <w:szCs w:val="24"/>
          <w:lang w:val="sq-AL"/>
        </w:rPr>
        <w:lastRenderedPageBreak/>
        <w:t>nivel të mjaftueshëm të mbrojtjes së jetës, shëndetit të njerëzve, sigurisë së përdoruesve, si dhe lëvizjen e lirë në treg, në përputhje me kërkesat evropiane. Gjithashtu, rregullat teknikë përcaktojnë edhe aspekte të tjera që lidhn me: detyrimet e operatorëve, veprimtarinë e strukturave të mbikëqyrjes së tregut, procedurat e vlerësimit të konformitetit me kërkesat e përcaktuara, prezumimi i konformitetit, trajtimi i produkteve të cilat paraqesin rrezik, duke garantuar kështu produkte të sigurta dhe konsumatorë të mbrojtur në treg</w:t>
      </w:r>
      <w:r w:rsidR="00522A86">
        <w:rPr>
          <w:rFonts w:cs="Times New Roman"/>
          <w:szCs w:val="24"/>
          <w:lang w:val="sq-AL"/>
        </w:rPr>
        <w:t xml:space="preserve"> </w:t>
      </w:r>
      <w:r w:rsidRPr="009475CC">
        <w:rPr>
          <w:rFonts w:cs="Times New Roman"/>
          <w:szCs w:val="24"/>
          <w:lang w:val="sq-AL"/>
        </w:rPr>
        <w:t xml:space="preserve">etj.   </w:t>
      </w:r>
    </w:p>
    <w:p w14:paraId="6BD61B04" w14:textId="441B3240" w:rsidR="008A1FF2" w:rsidRPr="00952448" w:rsidRDefault="00023A2D" w:rsidP="00952448">
      <w:pPr>
        <w:spacing w:line="240" w:lineRule="auto"/>
        <w:jc w:val="both"/>
        <w:rPr>
          <w:rFonts w:cs="Times New Roman"/>
          <w:szCs w:val="24"/>
          <w:lang w:val="sq-AL"/>
        </w:rPr>
      </w:pPr>
      <w:r w:rsidRPr="009475CC">
        <w:rPr>
          <w:rFonts w:cs="Times New Roman"/>
          <w:szCs w:val="24"/>
          <w:lang w:val="sq-AL"/>
        </w:rPr>
        <w:t>Në përputhje me zhvillimet e legjislacionit të BE-së në fushën e lëvizjes së lirë të mallrave dhe hyrjes në fuqi të Rregullores (BE) 2019/1020 e Parlamentit Evropian dhe Këshillit e 20 Qershorit 2019 “Mbi mbikëqyrjen e tregut dhe përputhshmërinë e produkteve”, Shqipëria, si</w:t>
      </w:r>
      <w:r w:rsidR="008A1FF2">
        <w:rPr>
          <w:rFonts w:cs="Times New Roman"/>
          <w:szCs w:val="24"/>
          <w:lang w:val="sq-AL"/>
        </w:rPr>
        <w:t>ç është</w:t>
      </w:r>
      <w:r w:rsidRPr="009475CC">
        <w:rPr>
          <w:rFonts w:cs="Times New Roman"/>
          <w:szCs w:val="24"/>
          <w:lang w:val="sq-AL"/>
        </w:rPr>
        <w:t xml:space="preserve"> parashikuar në Planin Kombëtar për Integrimin Evropian, do të marrë angazhimin për përafrimin/</w:t>
      </w:r>
      <w:r w:rsidR="008A1FF2">
        <w:rPr>
          <w:rFonts w:cs="Times New Roman"/>
          <w:szCs w:val="24"/>
          <w:lang w:val="sq-AL"/>
        </w:rPr>
        <w:t xml:space="preserve"> </w:t>
      </w:r>
      <w:r w:rsidRPr="009475CC">
        <w:rPr>
          <w:rFonts w:cs="Times New Roman"/>
          <w:szCs w:val="24"/>
          <w:lang w:val="sq-AL"/>
        </w:rPr>
        <w:t>harmonizimin e kësaj  rregulloreje, përmes iniciativës për kryerjen e ndryshimeve ligjore përkatëse të ligjit nr. 10489, datë 15.12.2011 “Për tregtimin dhe mbikëqyrjen e tregut të produkteve jo ushqimore”, për të siguruar kështu koherencën me zhvillimet legjislative evropiane dhe forcimin e kuadrit ligjor horizontal në vend, me qëllim garantimin e mbulimit sa më të plotë dhe vënien në zbatim të mekanizmave për lëvizjen e lirë të mallrave, sigurinë e produkteve jo ushqimore dhe mbikëqyrjen sa më efektive të tregut</w:t>
      </w:r>
      <w:r w:rsidR="00E21479">
        <w:rPr>
          <w:rFonts w:cs="Times New Roman"/>
          <w:szCs w:val="24"/>
          <w:lang w:val="sq-AL"/>
        </w:rPr>
        <w:t>.</w:t>
      </w:r>
    </w:p>
    <w:p w14:paraId="044B371D" w14:textId="675CEA48" w:rsidR="00E21479" w:rsidRPr="00167C81" w:rsidRDefault="00E21479" w:rsidP="00167C81">
      <w:pPr>
        <w:spacing w:before="240" w:after="120"/>
        <w:rPr>
          <w:b/>
          <w:bCs/>
          <w:i/>
          <w:iCs/>
          <w:color w:val="2F5496" w:themeColor="accent5" w:themeShade="BF"/>
          <w:lang w:val="sq-AL"/>
        </w:rPr>
      </w:pPr>
      <w:bookmarkStart w:id="59" w:name="_Toc130998152"/>
      <w:r w:rsidRPr="00167C81">
        <w:rPr>
          <w:b/>
          <w:bCs/>
          <w:i/>
          <w:iCs/>
          <w:color w:val="2F5496" w:themeColor="accent5" w:themeShade="BF"/>
          <w:lang w:val="sq-AL"/>
        </w:rPr>
        <w:t>Ministria e Turizmit dhe Mjedisit</w:t>
      </w:r>
      <w:bookmarkEnd w:id="59"/>
    </w:p>
    <w:p w14:paraId="548E134C" w14:textId="121DA9CA" w:rsidR="00E21479" w:rsidRPr="008A1FF2" w:rsidRDefault="00E21479" w:rsidP="00623352">
      <w:pPr>
        <w:pStyle w:val="ListParagraph"/>
        <w:numPr>
          <w:ilvl w:val="0"/>
          <w:numId w:val="47"/>
        </w:numPr>
        <w:rPr>
          <w:rFonts w:cs="Times New Roman"/>
          <w:szCs w:val="24"/>
          <w:lang w:val="sq-AL"/>
        </w:rPr>
      </w:pPr>
      <w:r w:rsidRPr="008A1FF2">
        <w:rPr>
          <w:rFonts w:cs="Times New Roman"/>
          <w:szCs w:val="24"/>
          <w:lang w:val="sq-AL"/>
        </w:rPr>
        <w:t>Ligji nr. 27/2016 “Për menaxhimin e kimikateve”</w:t>
      </w:r>
      <w:r>
        <w:rPr>
          <w:rStyle w:val="FootnoteReference"/>
          <w:rFonts w:cs="Times New Roman"/>
          <w:szCs w:val="24"/>
          <w:lang w:val="sq-AL"/>
        </w:rPr>
        <w:footnoteReference w:id="3"/>
      </w:r>
      <w:r w:rsidR="008A1FF2">
        <w:rPr>
          <w:rFonts w:cs="Times New Roman"/>
          <w:szCs w:val="24"/>
          <w:lang w:val="sq-AL"/>
        </w:rPr>
        <w:t>.</w:t>
      </w:r>
    </w:p>
    <w:p w14:paraId="7E00A449" w14:textId="652E51BF" w:rsidR="008A1FF2" w:rsidRPr="00952448" w:rsidRDefault="00E21479" w:rsidP="00623352">
      <w:pPr>
        <w:pStyle w:val="ListParagraph"/>
        <w:numPr>
          <w:ilvl w:val="0"/>
          <w:numId w:val="47"/>
        </w:numPr>
        <w:rPr>
          <w:rFonts w:cs="Times New Roman"/>
          <w:szCs w:val="24"/>
          <w:lang w:val="sq-AL"/>
        </w:rPr>
      </w:pPr>
      <w:r w:rsidRPr="008A1FF2">
        <w:rPr>
          <w:rFonts w:cs="Times New Roman"/>
          <w:szCs w:val="24"/>
          <w:lang w:val="sq-AL"/>
        </w:rPr>
        <w:t>Ligji nr. 7/2020, datë 03.02.2020 “Për ratifikimin e Konventës së Minamatës “Për mërkurin”</w:t>
      </w:r>
    </w:p>
    <w:p w14:paraId="7ACA17E9" w14:textId="39A80626" w:rsidR="00E21479" w:rsidRPr="00167C81" w:rsidRDefault="00E21479" w:rsidP="00167C81">
      <w:pPr>
        <w:spacing w:before="240" w:after="120"/>
        <w:rPr>
          <w:b/>
          <w:bCs/>
          <w:i/>
          <w:iCs/>
          <w:color w:val="2F5496" w:themeColor="accent5" w:themeShade="BF"/>
          <w:lang w:val="sq-AL"/>
        </w:rPr>
      </w:pPr>
      <w:bookmarkStart w:id="60" w:name="_Toc130998153"/>
      <w:r w:rsidRPr="00167C81">
        <w:rPr>
          <w:b/>
          <w:bCs/>
          <w:i/>
          <w:iCs/>
          <w:color w:val="2F5496" w:themeColor="accent5" w:themeShade="BF"/>
          <w:lang w:val="sq-AL"/>
        </w:rPr>
        <w:t>Ministria e Shëndetësisë dhe Mbrojtjes Sociale</w:t>
      </w:r>
      <w:bookmarkEnd w:id="60"/>
    </w:p>
    <w:p w14:paraId="1B1E7673" w14:textId="737438A7" w:rsidR="00E21479" w:rsidRPr="00981F27" w:rsidRDefault="00E21479" w:rsidP="00623352">
      <w:pPr>
        <w:pStyle w:val="ListParagraph"/>
        <w:numPr>
          <w:ilvl w:val="0"/>
          <w:numId w:val="17"/>
        </w:numPr>
        <w:spacing w:after="0"/>
        <w:jc w:val="both"/>
        <w:rPr>
          <w:rFonts w:cs="Times New Roman"/>
          <w:szCs w:val="24"/>
          <w:lang w:val="sq-AL"/>
        </w:rPr>
      </w:pPr>
      <w:r w:rsidRPr="00981F27">
        <w:rPr>
          <w:rFonts w:cs="Times New Roman"/>
          <w:szCs w:val="24"/>
          <w:lang w:val="sq-AL"/>
        </w:rPr>
        <w:t xml:space="preserve">Pajisjet mjekësore rregullohen me Ligjin </w:t>
      </w:r>
      <w:r w:rsidR="00595444" w:rsidRPr="00981F27">
        <w:rPr>
          <w:rFonts w:cs="Times New Roman"/>
          <w:szCs w:val="24"/>
          <w:lang w:val="sq-AL"/>
        </w:rPr>
        <w:t xml:space="preserve">nr. </w:t>
      </w:r>
      <w:r w:rsidRPr="00981F27">
        <w:rPr>
          <w:rFonts w:cs="Times New Roman"/>
          <w:szCs w:val="24"/>
          <w:lang w:val="sq-AL"/>
        </w:rPr>
        <w:t>89/2014 “Për pajisjet mjekësore”,</w:t>
      </w:r>
      <w:r w:rsidR="00981F27" w:rsidRPr="00981F27">
        <w:rPr>
          <w:rFonts w:cs="Times New Roman"/>
          <w:szCs w:val="24"/>
          <w:lang w:val="sq-AL"/>
        </w:rPr>
        <w:t xml:space="preserve"> </w:t>
      </w:r>
      <w:r w:rsidR="00981F27">
        <w:rPr>
          <w:rFonts w:cs="Times New Roman"/>
          <w:szCs w:val="24"/>
          <w:lang w:val="sq-AL"/>
        </w:rPr>
        <w:t xml:space="preserve">i </w:t>
      </w:r>
      <w:r w:rsidRPr="00981F27">
        <w:rPr>
          <w:rFonts w:cs="Times New Roman"/>
          <w:szCs w:val="24"/>
          <w:lang w:val="sq-AL"/>
        </w:rPr>
        <w:t xml:space="preserve">amenduar </w:t>
      </w:r>
      <w:r w:rsidR="00595444" w:rsidRPr="00981F27">
        <w:rPr>
          <w:rFonts w:cs="Times New Roman"/>
          <w:szCs w:val="24"/>
          <w:lang w:val="sq-AL"/>
        </w:rPr>
        <w:t xml:space="preserve"> </w:t>
      </w:r>
      <w:r w:rsidRPr="00981F27">
        <w:rPr>
          <w:rFonts w:cs="Times New Roman"/>
          <w:szCs w:val="24"/>
          <w:lang w:val="sq-AL"/>
        </w:rPr>
        <w:t>me Ligjin 21/2020 “Për disa shtesa dhe ndryshime në ligjin nr. 89/2014 “Për pajisjet mjekësore” i cili përafron legjislacionin europian për pajisjet mjekësore. Referuar kuadrit rregullator të përbërë nga akte nënligjore dhe urdhëra të ministrit, rregullohet tregtimi dhe vendosja në treg i pajisjeve mjekësore të certifikuara dhe të sigurta, p</w:t>
      </w:r>
      <w:r w:rsidR="00595444" w:rsidRPr="00981F27">
        <w:rPr>
          <w:rFonts w:cs="Times New Roman"/>
          <w:szCs w:val="24"/>
          <w:lang w:val="sq-AL"/>
        </w:rPr>
        <w:t>ë</w:t>
      </w:r>
      <w:r w:rsidRPr="00981F27">
        <w:rPr>
          <w:rFonts w:cs="Times New Roman"/>
          <w:szCs w:val="24"/>
          <w:lang w:val="sq-AL"/>
        </w:rPr>
        <w:t>rcaktohen procedurat e kryerjes së hetimeve klinike, procedurat e vlerësimit të konformitetit, regjistrimi me qëllim gjurmimin në rast nevoje, inspektimi, shitja nëpërmjet internetit, publiciteti etj</w:t>
      </w:r>
      <w:r>
        <w:rPr>
          <w:rStyle w:val="FootnoteReference"/>
          <w:rFonts w:cs="Times New Roman"/>
          <w:szCs w:val="24"/>
          <w:lang w:val="sq-AL"/>
        </w:rPr>
        <w:footnoteReference w:id="4"/>
      </w:r>
      <w:r w:rsidRPr="00981F27">
        <w:rPr>
          <w:rFonts w:cs="Times New Roman"/>
          <w:szCs w:val="24"/>
          <w:lang w:val="sq-AL"/>
        </w:rPr>
        <w:t>.</w:t>
      </w:r>
    </w:p>
    <w:p w14:paraId="41792133" w14:textId="77777777" w:rsidR="00595444" w:rsidRDefault="00595444" w:rsidP="00981F27">
      <w:pPr>
        <w:pStyle w:val="ListParagraph"/>
        <w:rPr>
          <w:rFonts w:cs="Times New Roman"/>
          <w:szCs w:val="24"/>
          <w:lang w:val="sq-AL"/>
        </w:rPr>
      </w:pPr>
    </w:p>
    <w:p w14:paraId="354120BE" w14:textId="0889A598" w:rsidR="00E21479" w:rsidRPr="00981F27" w:rsidRDefault="00E21479" w:rsidP="00623352">
      <w:pPr>
        <w:pStyle w:val="ListParagraph"/>
        <w:numPr>
          <w:ilvl w:val="0"/>
          <w:numId w:val="17"/>
        </w:numPr>
        <w:jc w:val="both"/>
        <w:rPr>
          <w:rFonts w:cs="Times New Roman"/>
          <w:szCs w:val="24"/>
          <w:lang w:val="sq-AL"/>
        </w:rPr>
      </w:pPr>
      <w:r w:rsidRPr="00981F27">
        <w:rPr>
          <w:rFonts w:cs="Times New Roman"/>
          <w:szCs w:val="24"/>
          <w:lang w:val="sq-AL"/>
        </w:rPr>
        <w:t>Ligj nr. 26/2017 “Për produktet kozmetike” ka si qëllimi mbrojtjen e shëndetit të</w:t>
      </w:r>
      <w:r w:rsidR="00981F27" w:rsidRPr="00981F27">
        <w:rPr>
          <w:rFonts w:cs="Times New Roman"/>
          <w:szCs w:val="24"/>
          <w:lang w:val="sq-AL"/>
        </w:rPr>
        <w:t xml:space="preserve"> </w:t>
      </w:r>
      <w:r w:rsidRPr="00981F27">
        <w:rPr>
          <w:rFonts w:cs="Times New Roman"/>
          <w:szCs w:val="24"/>
          <w:lang w:val="sq-AL"/>
        </w:rPr>
        <w:t>njerëzve dhe garantimin e cilësisë së produkteve kozmetike të bëra të disponueshme në treg, duke përcaktuar kërkesat që duhet të përmbushë çdo produkt kozmetik</w:t>
      </w:r>
      <w:r w:rsidR="00153164">
        <w:rPr>
          <w:rStyle w:val="FootnoteReference"/>
          <w:rFonts w:cs="Times New Roman"/>
          <w:szCs w:val="24"/>
          <w:lang w:val="sq-AL"/>
        </w:rPr>
        <w:footnoteReference w:id="5"/>
      </w:r>
      <w:r w:rsidRPr="00981F27">
        <w:rPr>
          <w:rFonts w:cs="Times New Roman"/>
          <w:szCs w:val="24"/>
          <w:lang w:val="sq-AL"/>
        </w:rPr>
        <w:t xml:space="preserve">. </w:t>
      </w:r>
    </w:p>
    <w:p w14:paraId="603EDBDC" w14:textId="2E9D4BCC" w:rsidR="00C56EA9" w:rsidRPr="00595444" w:rsidRDefault="004363A7" w:rsidP="00623352">
      <w:pPr>
        <w:pStyle w:val="Heading5"/>
      </w:pPr>
      <w:bookmarkStart w:id="61" w:name="_Toc132277334"/>
      <w:bookmarkStart w:id="62" w:name="_Hlk121690514"/>
      <w:r w:rsidRPr="00595444">
        <w:t xml:space="preserve">Kuadri Ligjor </w:t>
      </w:r>
      <w:r w:rsidR="00981F27">
        <w:t xml:space="preserve">mbi </w:t>
      </w:r>
      <w:r w:rsidR="00C56EA9" w:rsidRPr="00595444">
        <w:t>Infrastruktur</w:t>
      </w:r>
      <w:r w:rsidR="00981F27">
        <w:t xml:space="preserve">ën </w:t>
      </w:r>
      <w:r w:rsidR="00C56EA9" w:rsidRPr="00595444">
        <w:t>e Cilësisë</w:t>
      </w:r>
      <w:bookmarkEnd w:id="61"/>
    </w:p>
    <w:bookmarkEnd w:id="62"/>
    <w:p w14:paraId="18BA6A74" w14:textId="10C76DDD" w:rsidR="00C56EA9" w:rsidRPr="00D5701A" w:rsidRDefault="00C56EA9" w:rsidP="00D5701A">
      <w:pPr>
        <w:rPr>
          <w:rFonts w:cs="Times New Roman"/>
          <w:b/>
          <w:bCs/>
          <w:i/>
          <w:iCs/>
          <w:color w:val="2F5496" w:themeColor="accent5" w:themeShade="BF"/>
          <w:szCs w:val="24"/>
          <w:lang w:val="sq-AL"/>
        </w:rPr>
      </w:pPr>
      <w:r w:rsidRPr="00D5701A">
        <w:rPr>
          <w:rFonts w:cs="Times New Roman"/>
          <w:b/>
          <w:bCs/>
          <w:i/>
          <w:iCs/>
          <w:color w:val="2F5496" w:themeColor="accent5" w:themeShade="BF"/>
          <w:szCs w:val="24"/>
          <w:lang w:val="sq-AL"/>
        </w:rPr>
        <w:t>Standardizimi</w:t>
      </w:r>
    </w:p>
    <w:p w14:paraId="0B9C0872" w14:textId="562B22E9" w:rsidR="00AD58BF" w:rsidRDefault="0043305B" w:rsidP="00AD58BF">
      <w:pPr>
        <w:spacing w:after="0"/>
        <w:rPr>
          <w:rFonts w:cs="Times New Roman"/>
          <w:szCs w:val="24"/>
          <w:lang w:val="sq-AL"/>
        </w:rPr>
      </w:pPr>
      <w:r w:rsidRPr="00981F27">
        <w:rPr>
          <w:rFonts w:cs="Times New Roman"/>
          <w:szCs w:val="24"/>
          <w:lang w:val="sq-AL"/>
        </w:rPr>
        <w:t>D</w:t>
      </w:r>
      <w:r w:rsidR="00981F27" w:rsidRPr="00981F27">
        <w:rPr>
          <w:rFonts w:cs="Times New Roman"/>
          <w:szCs w:val="24"/>
          <w:lang w:val="sq-AL"/>
        </w:rPr>
        <w:t xml:space="preserve">rejtoria e </w:t>
      </w:r>
      <w:r w:rsidRPr="00981F27">
        <w:rPr>
          <w:rFonts w:cs="Times New Roman"/>
          <w:szCs w:val="24"/>
          <w:lang w:val="sq-AL"/>
        </w:rPr>
        <w:t>P</w:t>
      </w:r>
      <w:r w:rsidR="00981F27" w:rsidRPr="00981F27">
        <w:rPr>
          <w:rFonts w:cs="Times New Roman"/>
          <w:szCs w:val="24"/>
          <w:lang w:val="sq-AL"/>
        </w:rPr>
        <w:t xml:space="preserve">ërgjithshme e </w:t>
      </w:r>
      <w:r w:rsidRPr="00981F27">
        <w:rPr>
          <w:rFonts w:cs="Times New Roman"/>
          <w:szCs w:val="24"/>
          <w:lang w:val="sq-AL"/>
        </w:rPr>
        <w:t>S</w:t>
      </w:r>
      <w:r w:rsidR="00981F27" w:rsidRPr="00981F27">
        <w:rPr>
          <w:rFonts w:cs="Times New Roman"/>
          <w:szCs w:val="24"/>
          <w:lang w:val="sq-AL"/>
        </w:rPr>
        <w:t>tandardizimit (DPS)</w:t>
      </w:r>
      <w:r w:rsidRPr="00981F27">
        <w:rPr>
          <w:rFonts w:cs="Times New Roman"/>
          <w:szCs w:val="24"/>
          <w:lang w:val="sq-AL"/>
        </w:rPr>
        <w:t xml:space="preserve"> organizohet dhe ushtron veprimtarinë e saj bazuar në Ligjin nr.</w:t>
      </w:r>
      <w:r w:rsidR="004363A7" w:rsidRPr="00981F27">
        <w:rPr>
          <w:rFonts w:cs="Times New Roman"/>
          <w:szCs w:val="24"/>
          <w:lang w:val="sq-AL"/>
        </w:rPr>
        <w:t xml:space="preserve"> </w:t>
      </w:r>
      <w:r w:rsidRPr="00981F27">
        <w:rPr>
          <w:rFonts w:cs="Times New Roman"/>
          <w:szCs w:val="24"/>
          <w:lang w:val="sq-AL"/>
        </w:rPr>
        <w:t xml:space="preserve">9870/2008 “Për </w:t>
      </w:r>
      <w:r w:rsidRPr="00AD58BF">
        <w:rPr>
          <w:rFonts w:cs="Times New Roman"/>
          <w:szCs w:val="24"/>
          <w:lang w:val="sq-AL"/>
        </w:rPr>
        <w:t xml:space="preserve">Standardizimin”, të ndryshuar dhe akteve të tjera në zbatim të tij, si dhe bazuar në rregulloret e brendshme e procedurat e punës. </w:t>
      </w:r>
    </w:p>
    <w:p w14:paraId="2D9F070D" w14:textId="77777777" w:rsidR="00981F27" w:rsidRDefault="00981F27" w:rsidP="00981F27">
      <w:pPr>
        <w:spacing w:after="0"/>
        <w:rPr>
          <w:rFonts w:cs="Times New Roman"/>
          <w:szCs w:val="24"/>
          <w:lang w:val="sq-AL"/>
        </w:rPr>
      </w:pPr>
    </w:p>
    <w:p w14:paraId="336040A1" w14:textId="2FC82E25" w:rsidR="00AD58BF" w:rsidRPr="00981F27" w:rsidRDefault="0043305B" w:rsidP="00981F27">
      <w:pPr>
        <w:spacing w:after="0"/>
        <w:rPr>
          <w:rFonts w:cs="Times New Roman"/>
          <w:szCs w:val="24"/>
          <w:lang w:val="sq-AL"/>
        </w:rPr>
      </w:pPr>
      <w:r w:rsidRPr="00981F27">
        <w:rPr>
          <w:rFonts w:cs="Times New Roman"/>
          <w:szCs w:val="24"/>
          <w:lang w:val="sq-AL"/>
        </w:rPr>
        <w:t>Vendimi nr.</w:t>
      </w:r>
      <w:r w:rsidR="00AD58BF" w:rsidRPr="00981F27">
        <w:rPr>
          <w:rFonts w:cs="Times New Roman"/>
          <w:szCs w:val="24"/>
          <w:lang w:val="sq-AL"/>
        </w:rPr>
        <w:t xml:space="preserve"> </w:t>
      </w:r>
      <w:r w:rsidRPr="00981F27">
        <w:rPr>
          <w:rFonts w:cs="Times New Roman"/>
          <w:szCs w:val="24"/>
          <w:lang w:val="sq-AL"/>
        </w:rPr>
        <w:t xml:space="preserve">382/2018 i Këshillit të Ministrave “Për veprimtarinë e Standardizimit”, </w:t>
      </w:r>
      <w:r w:rsidR="00AD58BF" w:rsidRPr="00981F27">
        <w:rPr>
          <w:rFonts w:cs="Times New Roman"/>
          <w:szCs w:val="24"/>
          <w:lang w:val="sq-AL"/>
        </w:rPr>
        <w:t>i</w:t>
      </w:r>
    </w:p>
    <w:p w14:paraId="160B2CE9" w14:textId="77777777" w:rsidR="00AD58BF" w:rsidRDefault="0043305B" w:rsidP="00981F27">
      <w:pPr>
        <w:rPr>
          <w:rFonts w:cs="Times New Roman"/>
          <w:szCs w:val="24"/>
          <w:lang w:val="sq-AL"/>
        </w:rPr>
      </w:pPr>
      <w:r w:rsidRPr="00AD58BF">
        <w:rPr>
          <w:rFonts w:cs="Times New Roman"/>
          <w:szCs w:val="24"/>
          <w:lang w:val="sq-AL"/>
        </w:rPr>
        <w:lastRenderedPageBreak/>
        <w:t xml:space="preserve">ndryshuar, ka transpozuar plotësisht rregulloren europiane 1025/2012 “Për Standardizimin Evropian”. </w:t>
      </w:r>
    </w:p>
    <w:p w14:paraId="6E9D8E3C" w14:textId="48DE4DBF" w:rsidR="00AD58BF" w:rsidRPr="00A02381" w:rsidRDefault="0043305B" w:rsidP="00167C81">
      <w:pPr>
        <w:spacing w:after="240"/>
        <w:rPr>
          <w:rFonts w:cs="Times New Roman"/>
          <w:szCs w:val="24"/>
          <w:lang w:val="sq-AL"/>
        </w:rPr>
      </w:pPr>
      <w:r w:rsidRPr="00AD58BF">
        <w:rPr>
          <w:rFonts w:cs="Times New Roman"/>
          <w:szCs w:val="24"/>
          <w:lang w:val="sq-AL"/>
        </w:rPr>
        <w:t>Të gjitha aktet ligjore e nënligjore të DPS gjenden të publikuara në faqen e saj të internetit</w:t>
      </w:r>
      <w:r w:rsidR="004363A7">
        <w:rPr>
          <w:rStyle w:val="FootnoteReference"/>
          <w:rFonts w:cs="Times New Roman"/>
          <w:szCs w:val="24"/>
          <w:lang w:val="sq-AL"/>
        </w:rPr>
        <w:footnoteReference w:id="6"/>
      </w:r>
      <w:r w:rsidR="004363A7" w:rsidRPr="00AD58BF">
        <w:rPr>
          <w:rFonts w:cs="Times New Roman"/>
          <w:szCs w:val="24"/>
          <w:lang w:val="sq-AL"/>
        </w:rPr>
        <w:t>.</w:t>
      </w:r>
      <w:r w:rsidRPr="00AD58BF">
        <w:rPr>
          <w:rFonts w:cs="Times New Roman"/>
          <w:szCs w:val="24"/>
          <w:lang w:val="sq-AL"/>
        </w:rPr>
        <w:t xml:space="preserve"> </w:t>
      </w:r>
    </w:p>
    <w:p w14:paraId="4292B331" w14:textId="45C6970C" w:rsidR="00C56EA9" w:rsidRPr="00D5701A" w:rsidRDefault="00C56EA9" w:rsidP="00D5701A">
      <w:pPr>
        <w:rPr>
          <w:rFonts w:cs="Times New Roman"/>
          <w:b/>
          <w:bCs/>
          <w:i/>
          <w:iCs/>
          <w:color w:val="2F5496" w:themeColor="accent5" w:themeShade="BF"/>
          <w:szCs w:val="24"/>
          <w:lang w:val="sq-AL"/>
        </w:rPr>
      </w:pPr>
      <w:r w:rsidRPr="00D5701A">
        <w:rPr>
          <w:rFonts w:cs="Times New Roman"/>
          <w:b/>
          <w:bCs/>
          <w:i/>
          <w:iCs/>
          <w:color w:val="2F5496" w:themeColor="accent5" w:themeShade="BF"/>
          <w:szCs w:val="24"/>
          <w:lang w:val="sq-AL"/>
        </w:rPr>
        <w:t>Akreditimi</w:t>
      </w:r>
    </w:p>
    <w:p w14:paraId="1DCB1343" w14:textId="2FBE261B" w:rsidR="00AD58BF" w:rsidRDefault="00096BE2" w:rsidP="00AD58BF">
      <w:pPr>
        <w:spacing w:after="0" w:line="240" w:lineRule="auto"/>
        <w:jc w:val="both"/>
        <w:rPr>
          <w:rFonts w:cs="Times New Roman"/>
          <w:szCs w:val="24"/>
          <w:lang w:val="sq-AL"/>
        </w:rPr>
      </w:pPr>
      <w:r w:rsidRPr="00981F27">
        <w:rPr>
          <w:rFonts w:cs="Times New Roman"/>
          <w:szCs w:val="24"/>
          <w:lang w:val="sq-AL"/>
        </w:rPr>
        <w:t>Organizmi kombëtar i akreditimit</w:t>
      </w:r>
      <w:r w:rsidR="004F291D" w:rsidRPr="00981F27">
        <w:rPr>
          <w:rFonts w:cs="Times New Roman"/>
          <w:szCs w:val="24"/>
          <w:lang w:val="sq-AL"/>
        </w:rPr>
        <w:t xml:space="preserve"> </w:t>
      </w:r>
      <w:r w:rsidRPr="00981F27">
        <w:rPr>
          <w:rFonts w:cs="Times New Roman"/>
          <w:szCs w:val="24"/>
          <w:lang w:val="sq-AL"/>
        </w:rPr>
        <w:t>është në varësi të Ministrisë Financave dhe</w:t>
      </w:r>
      <w:r w:rsidR="00981F27">
        <w:rPr>
          <w:rFonts w:cs="Times New Roman"/>
          <w:szCs w:val="24"/>
          <w:lang w:val="sq-AL"/>
        </w:rPr>
        <w:t xml:space="preserve"> </w:t>
      </w:r>
      <w:r w:rsidRPr="00AD58BF">
        <w:rPr>
          <w:rFonts w:cs="Times New Roman"/>
          <w:szCs w:val="24"/>
          <w:lang w:val="sq-AL"/>
        </w:rPr>
        <w:t>Ekonomis</w:t>
      </w:r>
      <w:r w:rsidR="004F291D" w:rsidRPr="00AD58BF">
        <w:rPr>
          <w:rFonts w:cs="Times New Roman"/>
          <w:szCs w:val="24"/>
          <w:lang w:val="sq-AL"/>
        </w:rPr>
        <w:t>ë</w:t>
      </w:r>
      <w:r w:rsidRPr="00AD58BF">
        <w:rPr>
          <w:rFonts w:cs="Times New Roman"/>
          <w:szCs w:val="24"/>
          <w:lang w:val="sq-AL"/>
        </w:rPr>
        <w:t xml:space="preserve"> dhe funksionon në bazë të </w:t>
      </w:r>
      <w:r w:rsidR="004F291D" w:rsidRPr="00AD58BF">
        <w:rPr>
          <w:rFonts w:cs="Times New Roman"/>
          <w:szCs w:val="24"/>
          <w:lang w:val="sq-AL"/>
        </w:rPr>
        <w:t>L</w:t>
      </w:r>
      <w:r w:rsidRPr="00AD58BF">
        <w:rPr>
          <w:rFonts w:cs="Times New Roman"/>
          <w:szCs w:val="24"/>
          <w:lang w:val="sq-AL"/>
        </w:rPr>
        <w:t xml:space="preserve">igjit </w:t>
      </w:r>
      <w:r w:rsidR="004F291D" w:rsidRPr="00AD58BF">
        <w:rPr>
          <w:rFonts w:cs="Times New Roman"/>
          <w:szCs w:val="24"/>
          <w:lang w:val="sq-AL"/>
        </w:rPr>
        <w:t>n</w:t>
      </w:r>
      <w:r w:rsidRPr="00AD58BF">
        <w:rPr>
          <w:rFonts w:cs="Times New Roman"/>
          <w:szCs w:val="24"/>
          <w:lang w:val="sq-AL"/>
        </w:rPr>
        <w:t>r. 116/2014</w:t>
      </w:r>
      <w:r w:rsidR="004F291D" w:rsidRPr="00AD58BF">
        <w:rPr>
          <w:rFonts w:cs="Times New Roman"/>
          <w:szCs w:val="24"/>
          <w:lang w:val="sq-AL"/>
        </w:rPr>
        <w:t>,</w:t>
      </w:r>
      <w:r w:rsidRPr="00AD58BF">
        <w:rPr>
          <w:rFonts w:cs="Times New Roman"/>
          <w:szCs w:val="24"/>
          <w:lang w:val="sq-AL"/>
        </w:rPr>
        <w:t xml:space="preserve"> datë 11.09.2014 "Për Akreditimin e Organeve të Vlerësimit të Konformitetit në Republikën e Shqipërisë"</w:t>
      </w:r>
      <w:r w:rsidR="004F291D">
        <w:rPr>
          <w:rStyle w:val="FootnoteReference"/>
          <w:rFonts w:cs="Times New Roman"/>
          <w:szCs w:val="24"/>
          <w:lang w:val="sq-AL"/>
        </w:rPr>
        <w:footnoteReference w:id="7"/>
      </w:r>
      <w:r w:rsidR="00AD58BF">
        <w:rPr>
          <w:rFonts w:cs="Times New Roman"/>
          <w:szCs w:val="24"/>
          <w:lang w:val="sq-AL"/>
        </w:rPr>
        <w:t>.</w:t>
      </w:r>
    </w:p>
    <w:p w14:paraId="5302AAA7" w14:textId="77777777" w:rsidR="00981F27" w:rsidRDefault="00981F27" w:rsidP="00981F27">
      <w:pPr>
        <w:spacing w:after="0" w:line="240" w:lineRule="auto"/>
        <w:jc w:val="both"/>
        <w:rPr>
          <w:rFonts w:cs="Times New Roman"/>
          <w:szCs w:val="24"/>
          <w:lang w:val="sq-AL"/>
        </w:rPr>
      </w:pPr>
    </w:p>
    <w:p w14:paraId="54B6B1D7" w14:textId="59274804" w:rsidR="00AD58BF" w:rsidRPr="00981F27" w:rsidRDefault="00096BE2" w:rsidP="00981F27">
      <w:pPr>
        <w:spacing w:after="0" w:line="240" w:lineRule="auto"/>
        <w:jc w:val="both"/>
        <w:rPr>
          <w:rFonts w:cs="Times New Roman"/>
          <w:szCs w:val="24"/>
          <w:lang w:val="sq-AL"/>
        </w:rPr>
      </w:pPr>
      <w:r w:rsidRPr="00981F27">
        <w:rPr>
          <w:rFonts w:cs="Times New Roman"/>
          <w:szCs w:val="24"/>
          <w:lang w:val="sq-AL"/>
        </w:rPr>
        <w:t>VKM nr.</w:t>
      </w:r>
      <w:r w:rsidR="004F291D" w:rsidRPr="00981F27">
        <w:rPr>
          <w:rFonts w:cs="Times New Roman"/>
          <w:szCs w:val="24"/>
          <w:lang w:val="sq-AL"/>
        </w:rPr>
        <w:t xml:space="preserve"> </w:t>
      </w:r>
      <w:r w:rsidRPr="00981F27">
        <w:rPr>
          <w:rFonts w:cs="Times New Roman"/>
          <w:szCs w:val="24"/>
          <w:lang w:val="sq-AL"/>
        </w:rPr>
        <w:t xml:space="preserve">667,  datë 29.07.2015 – “Për mënyrën e organizimit dhe të funksionimit të </w:t>
      </w:r>
    </w:p>
    <w:p w14:paraId="4BC618B6" w14:textId="7BA6F322" w:rsidR="00AD58BF" w:rsidRPr="00167C81" w:rsidRDefault="00096BE2" w:rsidP="00167C81">
      <w:pPr>
        <w:spacing w:after="240"/>
        <w:jc w:val="both"/>
        <w:rPr>
          <w:rFonts w:cs="Times New Roman"/>
          <w:szCs w:val="24"/>
          <w:lang w:val="sq-AL"/>
        </w:rPr>
      </w:pPr>
      <w:r w:rsidRPr="00167C81">
        <w:rPr>
          <w:rFonts w:cs="Times New Roman"/>
          <w:szCs w:val="24"/>
          <w:lang w:val="sq-AL"/>
        </w:rPr>
        <w:t>DPA”</w:t>
      </w:r>
      <w:r w:rsidR="004F291D" w:rsidRPr="00167C81">
        <w:rPr>
          <w:vertAlign w:val="superscript"/>
        </w:rPr>
        <w:footnoteReference w:id="8"/>
      </w:r>
      <w:r w:rsidR="004F291D" w:rsidRPr="00167C81">
        <w:rPr>
          <w:rFonts w:cs="Times New Roman"/>
          <w:szCs w:val="24"/>
          <w:vertAlign w:val="superscript"/>
          <w:lang w:val="sq-AL"/>
        </w:rPr>
        <w:t xml:space="preserve"> </w:t>
      </w:r>
      <w:r w:rsidRPr="00167C81">
        <w:rPr>
          <w:rFonts w:cs="Times New Roman"/>
          <w:szCs w:val="24"/>
          <w:lang w:val="sq-AL"/>
        </w:rPr>
        <w:t>dhe me kërkesat e standardit Standardit ISO/IEC 17011:2017 “Kërkesat për organizmat akreditues që akreditojnë organet e vlerësimit të konformitetit”.</w:t>
      </w:r>
    </w:p>
    <w:p w14:paraId="4F33FE95" w14:textId="0BAA4739" w:rsidR="00C56EA9" w:rsidRPr="00167C81" w:rsidRDefault="00C56EA9" w:rsidP="00167C81">
      <w:pPr>
        <w:rPr>
          <w:rFonts w:cs="Times New Roman"/>
          <w:b/>
          <w:bCs/>
          <w:i/>
          <w:iCs/>
          <w:color w:val="2F5496" w:themeColor="accent5" w:themeShade="BF"/>
          <w:szCs w:val="24"/>
          <w:lang w:val="sq-AL"/>
        </w:rPr>
      </w:pPr>
      <w:r w:rsidRPr="00167C81">
        <w:rPr>
          <w:rFonts w:cs="Times New Roman"/>
          <w:b/>
          <w:bCs/>
          <w:i/>
          <w:iCs/>
          <w:color w:val="2F5496" w:themeColor="accent5" w:themeShade="BF"/>
          <w:szCs w:val="24"/>
          <w:lang w:val="sq-AL"/>
        </w:rPr>
        <w:t>Metrologjia</w:t>
      </w:r>
    </w:p>
    <w:p w14:paraId="36C80280" w14:textId="51146DC1" w:rsidR="00C56EA9" w:rsidRPr="00981F27" w:rsidRDefault="00C56EA9" w:rsidP="00981F27">
      <w:pPr>
        <w:jc w:val="both"/>
        <w:textAlignment w:val="baseline"/>
        <w:rPr>
          <w:rFonts w:cs="Times New Roman"/>
          <w:szCs w:val="24"/>
          <w:lang w:val="sq-AL"/>
        </w:rPr>
      </w:pPr>
      <w:r w:rsidRPr="00981F27">
        <w:rPr>
          <w:rFonts w:cs="Times New Roman"/>
          <w:szCs w:val="24"/>
          <w:lang w:val="sq-AL"/>
        </w:rPr>
        <w:t>Institucioni përgjegjës për zhvillimin e metrologjisë në vend</w:t>
      </w:r>
      <w:r w:rsidR="00AD58BF" w:rsidRPr="00981F27">
        <w:rPr>
          <w:rFonts w:cs="Times New Roman"/>
          <w:szCs w:val="24"/>
          <w:lang w:val="sq-AL"/>
        </w:rPr>
        <w:t xml:space="preserve"> ë</w:t>
      </w:r>
      <w:r w:rsidRPr="00981F27">
        <w:rPr>
          <w:rFonts w:cs="Times New Roman"/>
          <w:szCs w:val="24"/>
          <w:lang w:val="sq-AL"/>
        </w:rPr>
        <w:t>sht</w:t>
      </w:r>
      <w:r w:rsidR="00AD58BF" w:rsidRPr="00981F27">
        <w:rPr>
          <w:rFonts w:cs="Times New Roman"/>
          <w:szCs w:val="24"/>
          <w:lang w:val="sq-AL"/>
        </w:rPr>
        <w:t>ë</w:t>
      </w:r>
      <w:r w:rsidRPr="00981F27">
        <w:rPr>
          <w:rFonts w:cs="Times New Roman"/>
          <w:szCs w:val="24"/>
          <w:lang w:val="sq-AL"/>
        </w:rPr>
        <w:t xml:space="preserve"> n</w:t>
      </w:r>
      <w:r w:rsidR="00AD58BF" w:rsidRPr="00981F27">
        <w:rPr>
          <w:rFonts w:cs="Times New Roman"/>
          <w:szCs w:val="24"/>
          <w:lang w:val="sq-AL"/>
        </w:rPr>
        <w:t>ë</w:t>
      </w:r>
      <w:r w:rsidRPr="00981F27">
        <w:rPr>
          <w:rFonts w:cs="Times New Roman"/>
          <w:szCs w:val="24"/>
          <w:lang w:val="sq-AL"/>
        </w:rPr>
        <w:t xml:space="preserve">n varesinë e Ministrisë së Financave dhe Ekonomisë dhe funksionon në bazë të ligjit nr. 126, datë 15.10.2020 </w:t>
      </w:r>
      <w:r w:rsidR="00AD58BF" w:rsidRPr="00981F27">
        <w:rPr>
          <w:rFonts w:cs="Times New Roman"/>
          <w:szCs w:val="24"/>
          <w:lang w:val="sq-AL"/>
        </w:rPr>
        <w:t>“</w:t>
      </w:r>
      <w:r w:rsidRPr="00981F27">
        <w:rPr>
          <w:rFonts w:cs="Times New Roman"/>
          <w:szCs w:val="24"/>
          <w:lang w:val="sq-AL"/>
        </w:rPr>
        <w:t>Për metrologjinë’’, dhe akteve nënligjore, një pjesë e të cilave janë të listuara më poshtë:</w:t>
      </w:r>
    </w:p>
    <w:p w14:paraId="3214C064" w14:textId="79307397" w:rsidR="00C56EA9" w:rsidRPr="00AD58BF"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rPr>
      </w:pPr>
      <w:r w:rsidRPr="00AD58BF">
        <w:rPr>
          <w:rFonts w:cs="Times New Roman"/>
          <w:szCs w:val="24"/>
          <w:lang w:val="sq-AL"/>
        </w:rPr>
        <w:t xml:space="preserve">Vendim i Këshillit të Ministrave </w:t>
      </w:r>
      <w:hyperlink r:id="rId20" w:tgtFrame="_blank" w:history="1">
        <w:r w:rsidRPr="00AD58BF">
          <w:rPr>
            <w:rFonts w:eastAsia="Times New Roman" w:cs="Times New Roman"/>
            <w:szCs w:val="24"/>
          </w:rPr>
          <w:t>nr.325, datë 18.05.2022 “Për organizimin dhe</w:t>
        </w:r>
        <w:r w:rsidR="00D13415">
          <w:rPr>
            <w:rFonts w:eastAsia="Times New Roman" w:cs="Times New Roman"/>
            <w:szCs w:val="24"/>
          </w:rPr>
          <w:t xml:space="preserve"> f</w:t>
        </w:r>
        <w:r w:rsidRPr="00AD58BF">
          <w:rPr>
            <w:rFonts w:eastAsia="Times New Roman" w:cs="Times New Roman"/>
            <w:szCs w:val="24"/>
          </w:rPr>
          <w:t>unksionimin e Drejtorisë të Përgjithshme të Metrologjisë’’ </w:t>
        </w:r>
      </w:hyperlink>
    </w:p>
    <w:p w14:paraId="612598A3" w14:textId="3821F454" w:rsidR="00C56EA9" w:rsidRPr="00981F27"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D13415">
        <w:rPr>
          <w:rFonts w:cs="Times New Roman"/>
          <w:szCs w:val="24"/>
          <w:lang w:val="sq-AL"/>
        </w:rPr>
        <w:t>Vendim i Këshillit të Ministrave</w:t>
      </w:r>
      <w:r w:rsidRPr="00D13415">
        <w:rPr>
          <w:rFonts w:eastAsia="Times New Roman" w:cs="Times New Roman"/>
          <w:szCs w:val="24"/>
          <w:lang w:val="it-IT"/>
        </w:rPr>
        <w:t xml:space="preserve"> nr. 324, datë 18.5.2022 ‘’Për përcaktimin e kërkesave </w:t>
      </w:r>
      <w:r w:rsidRPr="00981F27">
        <w:rPr>
          <w:rFonts w:eastAsia="Times New Roman" w:cs="Times New Roman"/>
          <w:szCs w:val="24"/>
          <w:lang w:val="it-IT"/>
        </w:rPr>
        <w:t>kushteve që duhet të plotësojë një standard matjeje për t’u deklaruar etalon kombëtar matjeje‘’</w:t>
      </w:r>
    </w:p>
    <w:p w14:paraId="7A5D9D06" w14:textId="2E8149CD" w:rsidR="00C56EA9" w:rsidRPr="00981F27" w:rsidRDefault="00D13415"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it-IT"/>
        </w:rPr>
      </w:pPr>
      <w:r w:rsidRPr="00D13415">
        <w:rPr>
          <w:rFonts w:cs="Times New Roman"/>
          <w:szCs w:val="24"/>
          <w:lang w:val="sq-AL"/>
        </w:rPr>
        <w:t>V</w:t>
      </w:r>
      <w:r w:rsidR="00C56EA9" w:rsidRPr="00D13415">
        <w:rPr>
          <w:rFonts w:cs="Times New Roman"/>
          <w:szCs w:val="24"/>
          <w:lang w:val="sq-AL"/>
        </w:rPr>
        <w:t>endim i Këshillit të Ministrave</w:t>
      </w:r>
      <w:r w:rsidR="00C56EA9" w:rsidRPr="00D13415">
        <w:rPr>
          <w:rFonts w:eastAsia="Times New Roman" w:cs="Times New Roman"/>
          <w:szCs w:val="24"/>
          <w:lang w:val="it-IT"/>
        </w:rPr>
        <w:t xml:space="preserve"> nr. 261, datë 29.4.2022 ‘’Për njësitë bazë të Sistemit </w:t>
      </w:r>
      <w:r w:rsidR="00C56EA9" w:rsidRPr="00981F27">
        <w:rPr>
          <w:rFonts w:eastAsia="Times New Roman" w:cs="Times New Roman"/>
          <w:szCs w:val="24"/>
          <w:lang w:val="it-IT"/>
        </w:rPr>
        <w:t>Ndërkombëtar të Njësive,</w:t>
      </w:r>
      <w:r w:rsidRPr="00981F27">
        <w:rPr>
          <w:rFonts w:eastAsia="Times New Roman" w:cs="Times New Roman"/>
          <w:szCs w:val="24"/>
          <w:lang w:val="it-IT"/>
        </w:rPr>
        <w:t xml:space="preserve"> </w:t>
      </w:r>
      <w:r w:rsidR="00C56EA9" w:rsidRPr="00981F27">
        <w:rPr>
          <w:rFonts w:eastAsia="Times New Roman" w:cs="Times New Roman"/>
          <w:szCs w:val="24"/>
          <w:lang w:val="it-IT"/>
        </w:rPr>
        <w:t>që do të  përdoren në Shqipëri, njësitë që rrjedhin prej tyre</w:t>
      </w:r>
      <w:r w:rsidRPr="00981F27">
        <w:rPr>
          <w:rFonts w:eastAsia="Times New Roman" w:cs="Times New Roman"/>
          <w:szCs w:val="24"/>
          <w:lang w:val="it-IT"/>
        </w:rPr>
        <w:t>”</w:t>
      </w:r>
      <w:r w:rsidR="00C56EA9" w:rsidRPr="00981F27">
        <w:rPr>
          <w:rFonts w:eastAsia="Times New Roman" w:cs="Times New Roman"/>
          <w:szCs w:val="24"/>
          <w:lang w:val="it-IT"/>
        </w:rPr>
        <w:t xml:space="preserve"> </w:t>
      </w:r>
    </w:p>
    <w:p w14:paraId="745DDA06" w14:textId="3019899D" w:rsidR="00C56EA9" w:rsidRPr="00981F27"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D13415">
        <w:rPr>
          <w:rFonts w:cs="Times New Roman"/>
          <w:szCs w:val="24"/>
          <w:lang w:val="sq-AL"/>
        </w:rPr>
        <w:t>Vendim i Këshillit të Ministrave</w:t>
      </w:r>
      <w:r w:rsidRPr="00D13415">
        <w:rPr>
          <w:rFonts w:eastAsia="Times New Roman" w:cs="Times New Roman"/>
          <w:szCs w:val="24"/>
          <w:lang w:val="it-IT"/>
        </w:rPr>
        <w:t xml:space="preserve"> nr. 217, datë 13.4.2022 "Për krijimin, administrimin </w:t>
      </w:r>
      <w:r w:rsidRPr="00981F27">
        <w:rPr>
          <w:rFonts w:eastAsia="Times New Roman" w:cs="Times New Roman"/>
          <w:szCs w:val="24"/>
          <w:lang w:val="it-IT"/>
        </w:rPr>
        <w:t>dhe përdorimin e</w:t>
      </w:r>
      <w:r w:rsidRPr="00981F27">
        <w:rPr>
          <w:rFonts w:eastAsia="Times New Roman" w:cs="Times New Roman"/>
          <w:szCs w:val="24"/>
          <w:lang w:val="en-US"/>
        </w:rPr>
        <w:t xml:space="preserve"> </w:t>
      </w:r>
      <w:r w:rsidRPr="00981F27">
        <w:rPr>
          <w:rFonts w:eastAsia="Times New Roman" w:cs="Times New Roman"/>
          <w:szCs w:val="24"/>
          <w:lang w:val="it-IT"/>
        </w:rPr>
        <w:t>bazës së të dhënave të regjistrit elektronik të DPM</w:t>
      </w:r>
      <w:r w:rsidR="00D13415" w:rsidRPr="00981F27">
        <w:rPr>
          <w:rFonts w:eastAsia="Times New Roman" w:cs="Times New Roman"/>
          <w:szCs w:val="24"/>
          <w:lang w:val="it-IT"/>
        </w:rPr>
        <w:t>”</w:t>
      </w:r>
    </w:p>
    <w:p w14:paraId="4F821948" w14:textId="38F1D103" w:rsidR="00C56EA9" w:rsidRPr="00981F27"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D13415">
        <w:rPr>
          <w:rFonts w:cs="Times New Roman"/>
          <w:szCs w:val="24"/>
          <w:lang w:val="sq-AL"/>
        </w:rPr>
        <w:t>Vendim i Këshillit të Ministrave</w:t>
      </w:r>
      <w:r w:rsidRPr="00D13415">
        <w:rPr>
          <w:rFonts w:eastAsia="Times New Roman" w:cs="Times New Roman"/>
          <w:szCs w:val="24"/>
          <w:lang w:val="en-US"/>
        </w:rPr>
        <w:t xml:space="preserve"> nr.152, datë 11.3.2022 "Për përbërjen, organizimin, </w:t>
      </w:r>
      <w:r w:rsidRPr="00981F27">
        <w:rPr>
          <w:rFonts w:eastAsia="Times New Roman" w:cs="Times New Roman"/>
          <w:szCs w:val="24"/>
          <w:lang w:val="en-US"/>
        </w:rPr>
        <w:t>funksionimin dhe mënyrën e shpërblimit të anëtarëve të këshillit të metrologjisë</w:t>
      </w:r>
      <w:r w:rsidR="006B635E" w:rsidRPr="00981F27">
        <w:rPr>
          <w:rFonts w:eastAsia="Times New Roman" w:cs="Times New Roman"/>
          <w:szCs w:val="24"/>
          <w:lang w:val="en-US"/>
        </w:rPr>
        <w:t>”</w:t>
      </w:r>
    </w:p>
    <w:p w14:paraId="4D10B7CC" w14:textId="1EE74D3F" w:rsidR="00C56EA9" w:rsidRPr="00981F27"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6B635E">
        <w:rPr>
          <w:rFonts w:cs="Times New Roman"/>
          <w:szCs w:val="24"/>
          <w:lang w:val="sq-AL"/>
        </w:rPr>
        <w:t>Vendim i Këshillit të Ministrave</w:t>
      </w:r>
      <w:r w:rsidRPr="006B635E">
        <w:rPr>
          <w:rFonts w:eastAsia="Times New Roman" w:cs="Times New Roman"/>
          <w:szCs w:val="24"/>
          <w:lang w:val="en-US"/>
        </w:rPr>
        <w:t xml:space="preserve"> nr. 443, datë 22.7.2021 "Për miratimin e rregullores</w:t>
      </w:r>
      <w:r w:rsidR="00981F27">
        <w:rPr>
          <w:rFonts w:eastAsia="Times New Roman" w:cs="Times New Roman"/>
          <w:szCs w:val="24"/>
          <w:lang w:val="en-US"/>
        </w:rPr>
        <w:t xml:space="preserve"> </w:t>
      </w:r>
      <w:r w:rsidRPr="00981F27">
        <w:rPr>
          <w:rFonts w:eastAsia="Times New Roman" w:cs="Times New Roman"/>
          <w:szCs w:val="24"/>
          <w:lang w:val="en-US"/>
        </w:rPr>
        <w:t>për parapaketimet</w:t>
      </w:r>
      <w:r w:rsidR="006B635E" w:rsidRPr="00981F27">
        <w:rPr>
          <w:rFonts w:eastAsia="Times New Roman" w:cs="Times New Roman"/>
          <w:szCs w:val="24"/>
          <w:lang w:val="en-US"/>
        </w:rPr>
        <w:t>”</w:t>
      </w:r>
    </w:p>
    <w:p w14:paraId="5928A30D" w14:textId="51CC1FA8" w:rsidR="006B635E" w:rsidRPr="00981F27"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6B635E">
        <w:rPr>
          <w:rFonts w:cs="Times New Roman"/>
          <w:szCs w:val="24"/>
          <w:lang w:val="sq-AL"/>
        </w:rPr>
        <w:t>Vendim i Këshillit të Ministrave</w:t>
      </w:r>
      <w:r w:rsidRPr="006B635E">
        <w:rPr>
          <w:rFonts w:eastAsia="Times New Roman" w:cs="Times New Roman"/>
          <w:szCs w:val="24"/>
          <w:lang w:val="en-US"/>
        </w:rPr>
        <w:t xml:space="preserve"> nr. 349, datë 16.6.2021 "Për miratimin e rregullores </w:t>
      </w:r>
      <w:r w:rsidRPr="00981F27">
        <w:rPr>
          <w:rFonts w:eastAsia="Times New Roman" w:cs="Times New Roman"/>
          <w:szCs w:val="24"/>
          <w:lang w:val="en-US"/>
        </w:rPr>
        <w:t>për shishet enëmatëse</w:t>
      </w:r>
      <w:r w:rsidR="006B635E" w:rsidRPr="00981F27">
        <w:rPr>
          <w:rFonts w:eastAsia="Times New Roman" w:cs="Times New Roman"/>
          <w:szCs w:val="24"/>
          <w:lang w:val="en-US"/>
        </w:rPr>
        <w:t>”</w:t>
      </w:r>
    </w:p>
    <w:p w14:paraId="4D6471D6" w14:textId="7F4E3EF2" w:rsidR="00C56EA9" w:rsidRPr="006B635E"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6B635E">
        <w:rPr>
          <w:rFonts w:cs="Times New Roman"/>
          <w:szCs w:val="24"/>
          <w:lang w:val="sq-AL"/>
        </w:rPr>
        <w:t>Vendim i Këshillit të Ministrave</w:t>
      </w:r>
      <w:r w:rsidRPr="006B635E">
        <w:rPr>
          <w:rFonts w:eastAsia="Times New Roman" w:cs="Times New Roman"/>
          <w:szCs w:val="24"/>
          <w:lang w:val="de-DE"/>
        </w:rPr>
        <w:t xml:space="preserve"> </w:t>
      </w:r>
      <w:r w:rsidRPr="006B635E">
        <w:rPr>
          <w:rFonts w:eastAsia="Times New Roman" w:cs="Times New Roman"/>
          <w:szCs w:val="24"/>
          <w:lang w:val="en-US"/>
        </w:rPr>
        <w:t>nr</w:t>
      </w:r>
      <w:r w:rsidRPr="006B635E">
        <w:rPr>
          <w:rFonts w:eastAsia="Times New Roman" w:cs="Times New Roman"/>
          <w:szCs w:val="24"/>
        </w:rPr>
        <w:t xml:space="preserve">. 631, datë 25.9.2019 </w:t>
      </w:r>
      <w:r w:rsidR="006B635E" w:rsidRPr="006B635E">
        <w:rPr>
          <w:rFonts w:eastAsia="Times New Roman" w:cs="Times New Roman"/>
          <w:szCs w:val="24"/>
          <w:lang w:val="de-DE"/>
        </w:rPr>
        <w:t>"</w:t>
      </w:r>
      <w:hyperlink r:id="rId21" w:history="1">
        <w:r w:rsidRPr="006B635E">
          <w:rPr>
            <w:rStyle w:val="Hyperlink"/>
            <w:rFonts w:cs="Times New Roman"/>
            <w:color w:val="auto"/>
            <w:szCs w:val="24"/>
            <w:u w:val="none"/>
            <w:bdr w:val="none" w:sz="0" w:space="0" w:color="auto" w:frame="1"/>
            <w:shd w:val="clear" w:color="auto" w:fill="FCFCFC"/>
          </w:rPr>
          <w:t>Për miratimin e rregullit teknik “Për instrumentet e peshimit joautomatik” dhe përcaktimin e listës së standardeve të harmonizuara”</w:t>
        </w:r>
      </w:hyperlink>
    </w:p>
    <w:p w14:paraId="21700D57" w14:textId="6DCDF002" w:rsidR="00C56EA9" w:rsidRPr="006B635E"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6B635E">
        <w:rPr>
          <w:rFonts w:cs="Times New Roman"/>
          <w:szCs w:val="24"/>
          <w:lang w:val="sq-AL"/>
        </w:rPr>
        <w:t xml:space="preserve">Vendim i </w:t>
      </w:r>
      <w:r w:rsidRPr="00981F27">
        <w:rPr>
          <w:rFonts w:cs="Times New Roman"/>
          <w:szCs w:val="24"/>
          <w:lang w:val="sq-AL"/>
        </w:rPr>
        <w:t>Këshillit të Ministrave</w:t>
      </w:r>
      <w:r w:rsidRPr="00981F27">
        <w:rPr>
          <w:rFonts w:eastAsia="Times New Roman" w:cs="Times New Roman"/>
          <w:szCs w:val="24"/>
          <w:lang w:val="de-DE"/>
        </w:rPr>
        <w:t xml:space="preserve"> </w:t>
      </w:r>
      <w:r w:rsidRPr="00981F27">
        <w:rPr>
          <w:rFonts w:eastAsia="Times New Roman" w:cs="Times New Roman"/>
          <w:szCs w:val="24"/>
          <w:lang w:val="en-US"/>
        </w:rPr>
        <w:t xml:space="preserve">nr. </w:t>
      </w:r>
      <w:r w:rsidRPr="00981F27">
        <w:rPr>
          <w:rFonts w:eastAsia="Times New Roman" w:cs="Times New Roman"/>
          <w:szCs w:val="24"/>
        </w:rPr>
        <w:t xml:space="preserve">770, datë 2.11.2016 </w:t>
      </w:r>
      <w:r w:rsidRPr="00981F27">
        <w:rPr>
          <w:rFonts w:eastAsia="Times New Roman" w:cs="Times New Roman"/>
          <w:szCs w:val="24"/>
          <w:lang w:val="de-DE"/>
        </w:rPr>
        <w:t>‘‘</w:t>
      </w:r>
      <w:hyperlink r:id="rId22" w:tgtFrame="_blank" w:history="1">
        <w:r w:rsidRPr="00981F27">
          <w:rPr>
            <w:rStyle w:val="Hyperlink"/>
            <w:rFonts w:cs="Times New Roman"/>
            <w:color w:val="auto"/>
            <w:szCs w:val="24"/>
            <w:u w:val="none"/>
            <w:bdr w:val="none" w:sz="0" w:space="0" w:color="auto" w:frame="1"/>
          </w:rPr>
          <w:t>Për miratimin e rregullit teknik “Për instrumentet matëse”, për disa ndryshime në vendimin nr.1351, datë 3.10.2008, të Këshillit të Ministrave, “Për miratimin e rregullores për kërkesat dhe metrologjike për instrumentet matëse, ligjërisht të kontrolluara”, dhe pёrcaktimin e listёs së standardeve të harmonizuara</w:t>
        </w:r>
      </w:hyperlink>
      <w:r w:rsidR="006B635E" w:rsidRPr="00981F27">
        <w:rPr>
          <w:rStyle w:val="Hyperlink"/>
          <w:rFonts w:cs="Times New Roman"/>
          <w:color w:val="auto"/>
          <w:szCs w:val="24"/>
          <w:u w:val="none"/>
          <w:bdr w:val="none" w:sz="0" w:space="0" w:color="auto" w:frame="1"/>
        </w:rPr>
        <w:t>”</w:t>
      </w:r>
    </w:p>
    <w:p w14:paraId="62BC79FA" w14:textId="61CEB628" w:rsidR="00C56EA9" w:rsidRPr="006B635E" w:rsidRDefault="00C56EA9" w:rsidP="00623352">
      <w:pPr>
        <w:pStyle w:val="ListParagraph"/>
        <w:numPr>
          <w:ilvl w:val="0"/>
          <w:numId w:val="48"/>
        </w:numPr>
        <w:shd w:val="clear" w:color="auto" w:fill="FFFFFF" w:themeFill="background1"/>
        <w:spacing w:after="0" w:line="240" w:lineRule="auto"/>
        <w:jc w:val="both"/>
        <w:textAlignment w:val="baseline"/>
        <w:rPr>
          <w:rFonts w:eastAsia="Times New Roman" w:cs="Times New Roman"/>
          <w:szCs w:val="24"/>
          <w:lang w:val="en-US"/>
        </w:rPr>
      </w:pPr>
      <w:r w:rsidRPr="006B635E">
        <w:rPr>
          <w:rFonts w:cs="Times New Roman"/>
          <w:szCs w:val="24"/>
          <w:lang w:val="sq-AL"/>
        </w:rPr>
        <w:t>Vendim i Këshillit të Ministrave</w:t>
      </w:r>
      <w:r w:rsidRPr="006B635E">
        <w:rPr>
          <w:rFonts w:eastAsia="Times New Roman" w:cs="Times New Roman"/>
          <w:szCs w:val="24"/>
          <w:lang w:val="en-US"/>
        </w:rPr>
        <w:t xml:space="preserve"> nr. </w:t>
      </w:r>
      <w:r w:rsidRPr="006B635E">
        <w:rPr>
          <w:rFonts w:eastAsia="Times New Roman" w:cs="Times New Roman"/>
          <w:szCs w:val="24"/>
        </w:rPr>
        <w:t>1052, datë 23.12.2015 ‘</w:t>
      </w:r>
      <w:hyperlink r:id="rId23" w:tgtFrame="_blank" w:history="1">
        <w:r w:rsidRPr="006B635E">
          <w:rPr>
            <w:rStyle w:val="Hyperlink"/>
            <w:rFonts w:cs="Times New Roman"/>
            <w:color w:val="auto"/>
            <w:szCs w:val="24"/>
            <w:u w:val="none"/>
            <w:bdr w:val="none" w:sz="0" w:space="0" w:color="auto" w:frame="1"/>
            <w:shd w:val="clear" w:color="auto" w:fill="FCFCFC"/>
          </w:rPr>
          <w:t>Për deklarimin e etaloneve kombëtare të matjeve dhe mbajtësit e tyre”</w:t>
        </w:r>
      </w:hyperlink>
    </w:p>
    <w:p w14:paraId="73A04E93" w14:textId="57947361" w:rsidR="00C56EA9" w:rsidRPr="006B635E" w:rsidRDefault="009B18B8" w:rsidP="00623352">
      <w:pPr>
        <w:pStyle w:val="ListParagraph"/>
        <w:numPr>
          <w:ilvl w:val="0"/>
          <w:numId w:val="48"/>
        </w:numPr>
        <w:shd w:val="clear" w:color="auto" w:fill="FFFFFF" w:themeFill="background1"/>
        <w:spacing w:after="0" w:line="240" w:lineRule="auto"/>
        <w:jc w:val="both"/>
        <w:textAlignment w:val="baseline"/>
        <w:rPr>
          <w:rStyle w:val="Hyperlink"/>
          <w:rFonts w:cs="Times New Roman"/>
          <w:color w:val="auto"/>
          <w:szCs w:val="24"/>
          <w:u w:val="none"/>
          <w:bdr w:val="none" w:sz="0" w:space="0" w:color="auto" w:frame="1"/>
        </w:rPr>
      </w:pPr>
      <w:hyperlink r:id="rId24" w:tgtFrame="_blank" w:history="1">
        <w:r w:rsidR="00C56EA9" w:rsidRPr="006B635E">
          <w:rPr>
            <w:rFonts w:cs="Times New Roman"/>
            <w:szCs w:val="24"/>
            <w:lang w:val="sq-AL"/>
          </w:rPr>
          <w:t>Vendim i Këshillit të Ministrave</w:t>
        </w:r>
        <w:r w:rsidR="00C56EA9" w:rsidRPr="006B635E">
          <w:rPr>
            <w:rStyle w:val="Hyperlink"/>
            <w:rFonts w:cs="Times New Roman"/>
            <w:color w:val="auto"/>
            <w:szCs w:val="24"/>
            <w:u w:val="none"/>
            <w:bdr w:val="none" w:sz="0" w:space="0" w:color="auto" w:frame="1"/>
          </w:rPr>
          <w:t xml:space="preserve"> nr. 1351, dat</w:t>
        </w:r>
        <w:r w:rsidR="006B635E">
          <w:rPr>
            <w:rStyle w:val="Hyperlink"/>
            <w:rFonts w:cs="Times New Roman"/>
            <w:color w:val="auto"/>
            <w:szCs w:val="24"/>
            <w:u w:val="none"/>
            <w:bdr w:val="none" w:sz="0" w:space="0" w:color="auto" w:frame="1"/>
          </w:rPr>
          <w:t xml:space="preserve">ë </w:t>
        </w:r>
        <w:r w:rsidR="00C56EA9" w:rsidRPr="006B635E">
          <w:rPr>
            <w:rStyle w:val="Hyperlink"/>
            <w:rFonts w:cs="Times New Roman"/>
            <w:color w:val="auto"/>
            <w:szCs w:val="24"/>
            <w:u w:val="none"/>
            <w:bdr w:val="none" w:sz="0" w:space="0" w:color="auto" w:frame="1"/>
          </w:rPr>
          <w:t>03.10.2008 “Për miratimin e rregullores për kërkesat teknike dhe metrologjike për instrumentet matëse ligjërisht të kontrolluara” </w:t>
        </w:r>
      </w:hyperlink>
    </w:p>
    <w:p w14:paraId="204B82E6" w14:textId="1C8C6CF0" w:rsidR="006B635E" w:rsidRPr="008E64A2" w:rsidRDefault="006B635E" w:rsidP="006B635E">
      <w:pPr>
        <w:shd w:val="clear" w:color="auto" w:fill="FCFCFC"/>
        <w:spacing w:after="0" w:line="240" w:lineRule="auto"/>
        <w:jc w:val="both"/>
        <w:textAlignment w:val="baseline"/>
        <w:rPr>
          <w:rFonts w:cs="Times New Roman"/>
          <w:szCs w:val="24"/>
          <w:bdr w:val="none" w:sz="0" w:space="0" w:color="auto" w:frame="1"/>
        </w:rPr>
      </w:pPr>
      <w:r>
        <w:rPr>
          <w:rFonts w:cs="Times New Roman"/>
          <w:szCs w:val="24"/>
          <w:lang w:val="sq-AL"/>
        </w:rPr>
        <w:lastRenderedPageBreak/>
        <w:t xml:space="preserve">Të gjitha aktet nënligjore </w:t>
      </w:r>
      <w:r w:rsidR="00AD58BF" w:rsidRPr="00AD58BF">
        <w:rPr>
          <w:rFonts w:cs="Times New Roman"/>
          <w:szCs w:val="24"/>
          <w:lang w:val="sq-AL"/>
        </w:rPr>
        <w:t xml:space="preserve">mund të gjenden në linkun </w:t>
      </w:r>
      <w:hyperlink r:id="rId25" w:history="1">
        <w:r w:rsidR="008E64A2" w:rsidRPr="00531617">
          <w:rPr>
            <w:rStyle w:val="Hyperlink"/>
            <w:rFonts w:cs="Times New Roman"/>
            <w:szCs w:val="24"/>
            <w:lang w:val="sq-AL"/>
          </w:rPr>
          <w:t>https://www.dpm.gov.al/legjislacioni-3/</w:t>
        </w:r>
      </w:hyperlink>
      <w:r>
        <w:rPr>
          <w:rStyle w:val="Hyperlink"/>
          <w:rFonts w:cs="Times New Roman"/>
          <w:szCs w:val="24"/>
          <w:lang w:val="sq-AL"/>
        </w:rPr>
        <w:t>.</w:t>
      </w:r>
    </w:p>
    <w:p w14:paraId="1FE177FD" w14:textId="246D46B7" w:rsidR="008B59D6" w:rsidRPr="006B635E" w:rsidRDefault="008B59D6" w:rsidP="00623352">
      <w:pPr>
        <w:pStyle w:val="Heading5"/>
      </w:pPr>
      <w:bookmarkStart w:id="63" w:name="_Toc132277335"/>
      <w:bookmarkStart w:id="64" w:name="_Hlk121691056"/>
      <w:r w:rsidRPr="006B635E">
        <w:t>Kuadri ligjor</w:t>
      </w:r>
      <w:r w:rsidR="006B635E">
        <w:t xml:space="preserve"> i</w:t>
      </w:r>
      <w:r w:rsidRPr="006B635E">
        <w:t xml:space="preserve"> </w:t>
      </w:r>
      <w:r w:rsidR="006B635E">
        <w:t>m</w:t>
      </w:r>
      <w:r w:rsidRPr="006B635E">
        <w:t>bikëqyrje</w:t>
      </w:r>
      <w:r w:rsidR="006B635E">
        <w:t>s</w:t>
      </w:r>
      <w:r w:rsidRPr="006B635E">
        <w:t xml:space="preserve"> </w:t>
      </w:r>
      <w:r w:rsidR="006B635E">
        <w:t xml:space="preserve">së </w:t>
      </w:r>
      <w:r w:rsidRPr="006B635E">
        <w:t>tregu</w:t>
      </w:r>
      <w:r w:rsidR="006B635E">
        <w:t>t</w:t>
      </w:r>
      <w:bookmarkEnd w:id="63"/>
    </w:p>
    <w:bookmarkEnd w:id="64"/>
    <w:p w14:paraId="27C4E7AC" w14:textId="18645752" w:rsidR="008B59D6" w:rsidRPr="00167C81" w:rsidRDefault="008B59D6" w:rsidP="00167C81">
      <w:pPr>
        <w:spacing w:before="240" w:after="120"/>
        <w:rPr>
          <w:rFonts w:cs="Times New Roman"/>
          <w:b/>
          <w:bCs/>
          <w:i/>
          <w:iCs/>
          <w:color w:val="2F5496" w:themeColor="accent5" w:themeShade="BF"/>
          <w:szCs w:val="24"/>
          <w:lang w:val="sq-AL"/>
        </w:rPr>
      </w:pPr>
      <w:r w:rsidRPr="00167C81">
        <w:rPr>
          <w:rFonts w:cs="Times New Roman"/>
          <w:b/>
          <w:bCs/>
          <w:i/>
          <w:iCs/>
          <w:color w:val="2F5496" w:themeColor="accent5" w:themeShade="BF"/>
          <w:szCs w:val="24"/>
          <w:lang w:val="sq-AL"/>
        </w:rPr>
        <w:t>A</w:t>
      </w:r>
      <w:r w:rsidR="00144357" w:rsidRPr="00167C81">
        <w:rPr>
          <w:rFonts w:cs="Times New Roman"/>
          <w:b/>
          <w:bCs/>
          <w:i/>
          <w:iCs/>
          <w:color w:val="2F5496" w:themeColor="accent5" w:themeShade="BF"/>
          <w:szCs w:val="24"/>
          <w:lang w:val="sq-AL"/>
        </w:rPr>
        <w:t xml:space="preserve">utoriteti </w:t>
      </w:r>
      <w:r w:rsidRPr="00167C81">
        <w:rPr>
          <w:rFonts w:cs="Times New Roman"/>
          <w:b/>
          <w:bCs/>
          <w:i/>
          <w:iCs/>
          <w:color w:val="2F5496" w:themeColor="accent5" w:themeShade="BF"/>
          <w:szCs w:val="24"/>
          <w:lang w:val="sq-AL"/>
        </w:rPr>
        <w:t>K</w:t>
      </w:r>
      <w:r w:rsidR="00144357" w:rsidRPr="00167C81">
        <w:rPr>
          <w:rFonts w:cs="Times New Roman"/>
          <w:b/>
          <w:bCs/>
          <w:i/>
          <w:iCs/>
          <w:color w:val="2F5496" w:themeColor="accent5" w:themeShade="BF"/>
          <w:szCs w:val="24"/>
          <w:lang w:val="sq-AL"/>
        </w:rPr>
        <w:t xml:space="preserve">ombëtar i </w:t>
      </w:r>
      <w:r w:rsidRPr="00167C81">
        <w:rPr>
          <w:rFonts w:cs="Times New Roman"/>
          <w:b/>
          <w:bCs/>
          <w:i/>
          <w:iCs/>
          <w:color w:val="2F5496" w:themeColor="accent5" w:themeShade="BF"/>
          <w:szCs w:val="24"/>
          <w:lang w:val="sq-AL"/>
        </w:rPr>
        <w:t>U</w:t>
      </w:r>
      <w:r w:rsidR="00144357" w:rsidRPr="00167C81">
        <w:rPr>
          <w:rFonts w:cs="Times New Roman"/>
          <w:b/>
          <w:bCs/>
          <w:i/>
          <w:iCs/>
          <w:color w:val="2F5496" w:themeColor="accent5" w:themeShade="BF"/>
          <w:szCs w:val="24"/>
          <w:lang w:val="sq-AL"/>
        </w:rPr>
        <w:t>shqimit</w:t>
      </w:r>
    </w:p>
    <w:p w14:paraId="0A86E279" w14:textId="01FEC4D3" w:rsidR="006B635E" w:rsidRDefault="00075341" w:rsidP="006B635E">
      <w:pPr>
        <w:spacing w:after="0"/>
        <w:jc w:val="both"/>
        <w:rPr>
          <w:rFonts w:cs="Times New Roman"/>
          <w:szCs w:val="24"/>
          <w:lang w:val="sq-AL"/>
        </w:rPr>
      </w:pPr>
      <w:r w:rsidRPr="00981F27">
        <w:rPr>
          <w:rFonts w:cs="Times New Roman"/>
          <w:szCs w:val="24"/>
          <w:lang w:val="sq-AL"/>
        </w:rPr>
        <w:t>Ligji “Për Ushqimin” i miratuar në vitin 2008 dhe i harmonizuar me Rregulloren</w:t>
      </w:r>
      <w:r w:rsidR="00981F27">
        <w:rPr>
          <w:rFonts w:cs="Times New Roman"/>
          <w:szCs w:val="24"/>
          <w:lang w:val="sq-AL"/>
        </w:rPr>
        <w:t xml:space="preserve"> </w:t>
      </w:r>
      <w:r w:rsidRPr="006B635E">
        <w:rPr>
          <w:rFonts w:cs="Times New Roman"/>
          <w:szCs w:val="24"/>
          <w:lang w:val="sq-AL"/>
        </w:rPr>
        <w:t>178/2002 të KE, në fushën e sigurisë së ushqimit, ka për qëllim të pakësojë, eliminojë ose parandalojë risqet për shëndetin e konsumatorit përmes analizës së tre komponentëve themelorë: vlerësimit të riskut, menaxhimit të riskut dhe komunikimit të riskut në fushën e ushqimeve dhe ushqimeve</w:t>
      </w:r>
      <w:r w:rsidR="006B635E">
        <w:rPr>
          <w:rFonts w:cs="Times New Roman"/>
          <w:szCs w:val="24"/>
          <w:lang w:val="sq-AL"/>
        </w:rPr>
        <w:t>.</w:t>
      </w:r>
    </w:p>
    <w:p w14:paraId="2DD4703B" w14:textId="77777777" w:rsidR="00981F27" w:rsidRDefault="00981F27" w:rsidP="00981F27">
      <w:pPr>
        <w:spacing w:after="0"/>
        <w:jc w:val="both"/>
        <w:rPr>
          <w:rFonts w:cs="Times New Roman"/>
          <w:szCs w:val="24"/>
          <w:lang w:val="sq-AL"/>
        </w:rPr>
      </w:pPr>
    </w:p>
    <w:p w14:paraId="30D3D998" w14:textId="7683800D" w:rsidR="006B635E" w:rsidRPr="00981F27" w:rsidRDefault="00075341" w:rsidP="00981F27">
      <w:pPr>
        <w:spacing w:after="0"/>
        <w:jc w:val="both"/>
        <w:rPr>
          <w:rFonts w:cs="Times New Roman"/>
          <w:szCs w:val="24"/>
          <w:lang w:val="sq-AL"/>
        </w:rPr>
      </w:pPr>
      <w:r w:rsidRPr="00981F27">
        <w:rPr>
          <w:rFonts w:cs="Times New Roman"/>
          <w:szCs w:val="24"/>
          <w:lang w:val="sq-AL"/>
        </w:rPr>
        <w:t xml:space="preserve">Legjislacioni sekondar i përshtatur me atë evropian përfshin paketën higjenike, kriteret </w:t>
      </w:r>
    </w:p>
    <w:p w14:paraId="208E1BB0" w14:textId="277F041C" w:rsidR="006B635E" w:rsidRPr="006B635E" w:rsidRDefault="00075341" w:rsidP="006B635E">
      <w:pPr>
        <w:spacing w:after="0"/>
        <w:jc w:val="both"/>
        <w:rPr>
          <w:rFonts w:cs="Times New Roman"/>
          <w:szCs w:val="24"/>
          <w:lang w:val="sq-AL"/>
        </w:rPr>
      </w:pPr>
      <w:r w:rsidRPr="006B635E">
        <w:rPr>
          <w:rFonts w:cs="Times New Roman"/>
          <w:szCs w:val="24"/>
          <w:lang w:val="sq-AL"/>
        </w:rPr>
        <w:t>mikrobiologjike, kriteret shëndetësore për produktet me origjinë shtazore të importuara, kontaminantet dhe aditivët ushqimore, materialet në kontakt me ushqimin, etiketimin e produkteve ushqimore, kërkesat shëndetësore për produktet ujore, ushqimet për fëmijë, etj.Informacion te detajuar ne lidhje me çdo akt ligjor apo nënligjor q</w:t>
      </w:r>
      <w:r w:rsidR="00144357" w:rsidRPr="006B635E">
        <w:rPr>
          <w:rFonts w:cs="Times New Roman"/>
          <w:szCs w:val="24"/>
          <w:lang w:val="sq-AL"/>
        </w:rPr>
        <w:t>ë</w:t>
      </w:r>
      <w:r w:rsidRPr="006B635E">
        <w:rPr>
          <w:rFonts w:cs="Times New Roman"/>
          <w:szCs w:val="24"/>
          <w:lang w:val="sq-AL"/>
        </w:rPr>
        <w:t xml:space="preserve"> disiplinon fushën e sigurisë ushqimore gjendet ne </w:t>
      </w:r>
      <w:r w:rsidR="006D61C0">
        <w:rPr>
          <w:rFonts w:cs="Times New Roman"/>
          <w:szCs w:val="24"/>
          <w:lang w:val="sq-AL"/>
        </w:rPr>
        <w:t>ë</w:t>
      </w:r>
      <w:r w:rsidR="006B635E">
        <w:rPr>
          <w:rFonts w:cs="Times New Roman"/>
          <w:szCs w:val="24"/>
          <w:lang w:val="sq-AL"/>
        </w:rPr>
        <w:t>eb-in</w:t>
      </w:r>
      <w:r w:rsidRPr="006B635E">
        <w:rPr>
          <w:rFonts w:cs="Times New Roman"/>
          <w:szCs w:val="24"/>
          <w:lang w:val="sq-AL"/>
        </w:rPr>
        <w:t xml:space="preserve"> e institucionit</w:t>
      </w:r>
      <w:r w:rsidR="006B635E">
        <w:rPr>
          <w:rStyle w:val="FootnoteReference"/>
          <w:rFonts w:cs="Times New Roman"/>
          <w:szCs w:val="24"/>
          <w:lang w:val="sq-AL"/>
        </w:rPr>
        <w:footnoteReference w:id="9"/>
      </w:r>
      <w:r w:rsidR="00144357" w:rsidRPr="006B635E">
        <w:rPr>
          <w:rFonts w:cs="Times New Roman"/>
          <w:szCs w:val="24"/>
          <w:lang w:val="sq-AL"/>
        </w:rPr>
        <w:t xml:space="preserve">. </w:t>
      </w:r>
    </w:p>
    <w:p w14:paraId="47F88541" w14:textId="036A0F76" w:rsidR="008B59D6" w:rsidRPr="00167C81" w:rsidRDefault="008B59D6" w:rsidP="00167C81">
      <w:pPr>
        <w:spacing w:before="240" w:after="120"/>
        <w:rPr>
          <w:rFonts w:cs="Times New Roman"/>
          <w:b/>
          <w:bCs/>
          <w:i/>
          <w:iCs/>
          <w:color w:val="2F5496" w:themeColor="accent5" w:themeShade="BF"/>
          <w:szCs w:val="24"/>
          <w:lang w:val="sq-AL"/>
        </w:rPr>
      </w:pPr>
      <w:r w:rsidRPr="00167C81">
        <w:rPr>
          <w:rFonts w:cs="Times New Roman"/>
          <w:b/>
          <w:bCs/>
          <w:i/>
          <w:iCs/>
          <w:color w:val="2F5496" w:themeColor="accent5" w:themeShade="BF"/>
          <w:szCs w:val="24"/>
          <w:lang w:val="sq-AL"/>
        </w:rPr>
        <w:t>I</w:t>
      </w:r>
      <w:r w:rsidR="00144357" w:rsidRPr="00167C81">
        <w:rPr>
          <w:rFonts w:cs="Times New Roman"/>
          <w:b/>
          <w:bCs/>
          <w:i/>
          <w:iCs/>
          <w:color w:val="2F5496" w:themeColor="accent5" w:themeShade="BF"/>
          <w:szCs w:val="24"/>
          <w:lang w:val="sq-AL"/>
        </w:rPr>
        <w:t xml:space="preserve">nspektorati </w:t>
      </w:r>
      <w:r w:rsidRPr="00167C81">
        <w:rPr>
          <w:rFonts w:cs="Times New Roman"/>
          <w:b/>
          <w:bCs/>
          <w:i/>
          <w:iCs/>
          <w:color w:val="2F5496" w:themeColor="accent5" w:themeShade="BF"/>
          <w:szCs w:val="24"/>
          <w:lang w:val="sq-AL"/>
        </w:rPr>
        <w:t>S</w:t>
      </w:r>
      <w:r w:rsidR="00144357" w:rsidRPr="00167C81">
        <w:rPr>
          <w:rFonts w:cs="Times New Roman"/>
          <w:b/>
          <w:bCs/>
          <w:i/>
          <w:iCs/>
          <w:color w:val="2F5496" w:themeColor="accent5" w:themeShade="BF"/>
          <w:szCs w:val="24"/>
          <w:lang w:val="sq-AL"/>
        </w:rPr>
        <w:t xml:space="preserve">htetëror </w:t>
      </w:r>
      <w:r w:rsidRPr="00167C81">
        <w:rPr>
          <w:rFonts w:cs="Times New Roman"/>
          <w:b/>
          <w:bCs/>
          <w:i/>
          <w:iCs/>
          <w:color w:val="2F5496" w:themeColor="accent5" w:themeShade="BF"/>
          <w:szCs w:val="24"/>
          <w:lang w:val="sq-AL"/>
        </w:rPr>
        <w:t>S</w:t>
      </w:r>
      <w:r w:rsidR="00144357" w:rsidRPr="00167C81">
        <w:rPr>
          <w:rFonts w:cs="Times New Roman"/>
          <w:b/>
          <w:bCs/>
          <w:i/>
          <w:iCs/>
          <w:color w:val="2F5496" w:themeColor="accent5" w:themeShade="BF"/>
          <w:szCs w:val="24"/>
          <w:lang w:val="sq-AL"/>
        </w:rPr>
        <w:t>hëndetësor</w:t>
      </w:r>
    </w:p>
    <w:p w14:paraId="68269B50" w14:textId="205E336F" w:rsidR="00C66938" w:rsidRPr="009475CC" w:rsidRDefault="00C66938" w:rsidP="009475CC">
      <w:pPr>
        <w:spacing w:after="0" w:line="240" w:lineRule="auto"/>
        <w:jc w:val="both"/>
        <w:rPr>
          <w:rFonts w:cs="Times New Roman"/>
          <w:szCs w:val="24"/>
          <w:lang w:val="sq-AL"/>
        </w:rPr>
      </w:pPr>
      <w:r w:rsidRPr="009475CC">
        <w:rPr>
          <w:rFonts w:cs="Times New Roman"/>
          <w:szCs w:val="24"/>
          <w:lang w:val="sq-AL"/>
        </w:rPr>
        <w:t>Legjislacioni horizontal mbi të cilën mbështetet veprimtaria inspektuese e Inspektoratit Shtetëror Shëndetësor, ISHSH, për garantimin e respektimit të kërkesave ligjore në fushën e shëndetit publik janë ligjet e mëposhtme</w:t>
      </w:r>
      <w:r w:rsidR="00144357">
        <w:rPr>
          <w:rStyle w:val="FootnoteReference"/>
          <w:rFonts w:cs="Times New Roman"/>
          <w:szCs w:val="24"/>
          <w:lang w:val="sq-AL"/>
        </w:rPr>
        <w:footnoteReference w:id="10"/>
      </w:r>
      <w:r w:rsidRPr="009475CC">
        <w:rPr>
          <w:rFonts w:cs="Times New Roman"/>
          <w:szCs w:val="24"/>
          <w:lang w:val="sq-AL"/>
        </w:rPr>
        <w:t xml:space="preserve">: </w:t>
      </w:r>
    </w:p>
    <w:p w14:paraId="2C2135B7" w14:textId="570A8948" w:rsidR="00C66938" w:rsidRPr="00B360AF" w:rsidRDefault="00C66938" w:rsidP="00623352">
      <w:pPr>
        <w:pStyle w:val="ListParagraph"/>
        <w:numPr>
          <w:ilvl w:val="0"/>
          <w:numId w:val="49"/>
        </w:numPr>
        <w:spacing w:after="0" w:line="240" w:lineRule="auto"/>
        <w:jc w:val="both"/>
        <w:rPr>
          <w:rFonts w:cs="Times New Roman"/>
          <w:szCs w:val="24"/>
          <w:lang w:val="sq-AL"/>
        </w:rPr>
      </w:pPr>
      <w:r w:rsidRPr="00B360AF">
        <w:rPr>
          <w:rFonts w:cs="Times New Roman"/>
          <w:szCs w:val="24"/>
          <w:lang w:val="sq-AL"/>
        </w:rPr>
        <w:t xml:space="preserve">Ligj </w:t>
      </w:r>
      <w:r w:rsidR="00144357" w:rsidRPr="00B360AF">
        <w:rPr>
          <w:rFonts w:cs="Times New Roman"/>
          <w:szCs w:val="24"/>
          <w:lang w:val="sq-AL"/>
        </w:rPr>
        <w:t>n</w:t>
      </w:r>
      <w:r w:rsidRPr="00B360AF">
        <w:rPr>
          <w:rFonts w:cs="Times New Roman"/>
          <w:szCs w:val="24"/>
          <w:lang w:val="sq-AL"/>
        </w:rPr>
        <w:t>r. 10433, datë 16. 6. 2011</w:t>
      </w:r>
      <w:r w:rsidR="00144357" w:rsidRPr="00B360AF">
        <w:rPr>
          <w:rFonts w:cs="Times New Roman"/>
          <w:szCs w:val="24"/>
          <w:lang w:val="sq-AL"/>
        </w:rPr>
        <w:t xml:space="preserve"> “</w:t>
      </w:r>
      <w:r w:rsidRPr="00B360AF">
        <w:rPr>
          <w:rFonts w:cs="Times New Roman"/>
          <w:szCs w:val="24"/>
          <w:lang w:val="sq-AL"/>
        </w:rPr>
        <w:t>Për Inspektimin në Republikën e Shqipërisë</w:t>
      </w:r>
      <w:r w:rsidR="00144357" w:rsidRPr="00B360AF">
        <w:rPr>
          <w:rFonts w:cs="Times New Roman"/>
          <w:szCs w:val="24"/>
          <w:lang w:val="sq-AL"/>
        </w:rPr>
        <w:t>”,</w:t>
      </w:r>
    </w:p>
    <w:p w14:paraId="1116654E" w14:textId="3BF565DF" w:rsidR="00C66938" w:rsidRPr="00B360AF" w:rsidRDefault="00C66938" w:rsidP="00623352">
      <w:pPr>
        <w:pStyle w:val="ListParagraph"/>
        <w:numPr>
          <w:ilvl w:val="0"/>
          <w:numId w:val="49"/>
        </w:numPr>
        <w:spacing w:after="0" w:line="240" w:lineRule="auto"/>
        <w:jc w:val="both"/>
        <w:rPr>
          <w:rFonts w:cs="Times New Roman"/>
          <w:szCs w:val="24"/>
          <w:lang w:val="sq-AL"/>
        </w:rPr>
      </w:pPr>
      <w:r w:rsidRPr="00B360AF">
        <w:rPr>
          <w:rFonts w:cs="Times New Roman"/>
          <w:szCs w:val="24"/>
          <w:lang w:val="sq-AL"/>
        </w:rPr>
        <w:t xml:space="preserve">Ligj </w:t>
      </w:r>
      <w:r w:rsidR="00144357" w:rsidRPr="00B360AF">
        <w:rPr>
          <w:rFonts w:cs="Times New Roman"/>
          <w:szCs w:val="24"/>
          <w:lang w:val="sq-AL"/>
        </w:rPr>
        <w:t>n</w:t>
      </w:r>
      <w:r w:rsidRPr="00B360AF">
        <w:rPr>
          <w:rFonts w:cs="Times New Roman"/>
          <w:szCs w:val="24"/>
          <w:lang w:val="sq-AL"/>
        </w:rPr>
        <w:t>r. 7643, datë 2. 12. 1992</w:t>
      </w:r>
      <w:r w:rsidR="00144357" w:rsidRPr="00B360AF">
        <w:rPr>
          <w:rFonts w:cs="Times New Roman"/>
          <w:szCs w:val="24"/>
          <w:lang w:val="sq-AL"/>
        </w:rPr>
        <w:t xml:space="preserve"> “</w:t>
      </w:r>
      <w:r w:rsidRPr="00B360AF">
        <w:rPr>
          <w:rFonts w:cs="Times New Roman"/>
          <w:szCs w:val="24"/>
          <w:lang w:val="sq-AL"/>
        </w:rPr>
        <w:t>Për Inspektoratin Sanitar Shtetëror</w:t>
      </w:r>
      <w:r w:rsidR="00144357" w:rsidRPr="00B360AF">
        <w:rPr>
          <w:rFonts w:cs="Times New Roman"/>
          <w:szCs w:val="24"/>
          <w:lang w:val="sq-AL"/>
        </w:rPr>
        <w:t>”,</w:t>
      </w:r>
      <w:r w:rsidRPr="00B360AF">
        <w:rPr>
          <w:rFonts w:cs="Times New Roman"/>
          <w:szCs w:val="24"/>
          <w:lang w:val="sq-AL"/>
        </w:rPr>
        <w:t xml:space="preserve"> </w:t>
      </w:r>
      <w:r w:rsidR="00144357" w:rsidRPr="00B360AF">
        <w:rPr>
          <w:rFonts w:cs="Times New Roman"/>
          <w:szCs w:val="24"/>
          <w:lang w:val="sq-AL"/>
        </w:rPr>
        <w:t>i ndryshuar</w:t>
      </w:r>
    </w:p>
    <w:p w14:paraId="4C1A1749" w14:textId="5550F945" w:rsidR="00C66938" w:rsidRPr="008E64A2" w:rsidRDefault="00C66938" w:rsidP="00623352">
      <w:pPr>
        <w:pStyle w:val="ListParagraph"/>
        <w:numPr>
          <w:ilvl w:val="0"/>
          <w:numId w:val="49"/>
        </w:numPr>
        <w:spacing w:after="0" w:line="240" w:lineRule="auto"/>
        <w:jc w:val="both"/>
        <w:rPr>
          <w:rFonts w:cs="Times New Roman"/>
          <w:szCs w:val="24"/>
          <w:lang w:val="sq-AL"/>
        </w:rPr>
      </w:pPr>
      <w:r w:rsidRPr="00B360AF">
        <w:rPr>
          <w:rFonts w:cs="Times New Roman"/>
          <w:szCs w:val="24"/>
          <w:lang w:val="sq-AL"/>
        </w:rPr>
        <w:t xml:space="preserve">Ligj </w:t>
      </w:r>
      <w:r w:rsidR="00144357" w:rsidRPr="00B360AF">
        <w:rPr>
          <w:rFonts w:cs="Times New Roman"/>
          <w:szCs w:val="24"/>
          <w:lang w:val="sq-AL"/>
        </w:rPr>
        <w:t xml:space="preserve">nr. </w:t>
      </w:r>
      <w:r w:rsidRPr="00B360AF">
        <w:rPr>
          <w:rFonts w:cs="Times New Roman"/>
          <w:szCs w:val="24"/>
          <w:lang w:val="sq-AL"/>
        </w:rPr>
        <w:t>26/2017</w:t>
      </w:r>
      <w:r w:rsidR="00144357" w:rsidRPr="00B360AF">
        <w:rPr>
          <w:rFonts w:cs="Times New Roman"/>
          <w:szCs w:val="24"/>
          <w:lang w:val="sq-AL"/>
        </w:rPr>
        <w:t xml:space="preserve"> </w:t>
      </w:r>
      <w:r w:rsidRPr="00B360AF">
        <w:rPr>
          <w:rFonts w:cs="Times New Roman"/>
          <w:szCs w:val="24"/>
          <w:lang w:val="sq-AL"/>
        </w:rPr>
        <w:t xml:space="preserve"> </w:t>
      </w:r>
      <w:r w:rsidR="00144357" w:rsidRPr="00B360AF">
        <w:rPr>
          <w:rFonts w:cs="Times New Roman"/>
          <w:szCs w:val="24"/>
          <w:lang w:val="sq-AL"/>
        </w:rPr>
        <w:t>“</w:t>
      </w:r>
      <w:r w:rsidRPr="00B360AF">
        <w:rPr>
          <w:rFonts w:cs="Times New Roman"/>
          <w:szCs w:val="24"/>
          <w:lang w:val="sq-AL"/>
        </w:rPr>
        <w:t>Për produktet Kozmetike</w:t>
      </w:r>
      <w:r w:rsidR="00144357" w:rsidRPr="00B360AF">
        <w:rPr>
          <w:rFonts w:cs="Times New Roman"/>
          <w:szCs w:val="24"/>
          <w:lang w:val="sq-AL"/>
        </w:rPr>
        <w:t>”</w:t>
      </w:r>
      <w:r w:rsidRPr="00B360AF">
        <w:rPr>
          <w:rFonts w:cs="Times New Roman"/>
          <w:szCs w:val="24"/>
          <w:lang w:val="sq-AL"/>
        </w:rPr>
        <w:t>.</w:t>
      </w:r>
    </w:p>
    <w:p w14:paraId="209D08B3" w14:textId="5154EC6F" w:rsidR="008B59D6" w:rsidRPr="00167C81" w:rsidRDefault="008B59D6" w:rsidP="00167C81">
      <w:pPr>
        <w:spacing w:before="240" w:after="120"/>
        <w:rPr>
          <w:b/>
          <w:bCs/>
          <w:i/>
          <w:iCs/>
          <w:color w:val="2F5496" w:themeColor="accent5" w:themeShade="BF"/>
          <w:szCs w:val="24"/>
          <w:lang w:val="sq-AL"/>
        </w:rPr>
      </w:pPr>
      <w:r w:rsidRPr="00167C81">
        <w:rPr>
          <w:rFonts w:cs="Times New Roman"/>
          <w:b/>
          <w:bCs/>
          <w:i/>
          <w:iCs/>
          <w:color w:val="2F5496" w:themeColor="accent5" w:themeShade="BF"/>
          <w:szCs w:val="24"/>
          <w:lang w:val="sq-AL"/>
        </w:rPr>
        <w:t>I</w:t>
      </w:r>
      <w:r w:rsidR="00A674F1" w:rsidRPr="00167C81">
        <w:rPr>
          <w:rFonts w:cs="Times New Roman"/>
          <w:b/>
          <w:bCs/>
          <w:i/>
          <w:iCs/>
          <w:color w:val="2F5496" w:themeColor="accent5" w:themeShade="BF"/>
          <w:szCs w:val="24"/>
          <w:lang w:val="sq-AL"/>
        </w:rPr>
        <w:t xml:space="preserve">nspektorati  </w:t>
      </w:r>
      <w:r w:rsidRPr="00167C81">
        <w:rPr>
          <w:rFonts w:cs="Times New Roman"/>
          <w:b/>
          <w:bCs/>
          <w:i/>
          <w:iCs/>
          <w:color w:val="2F5496" w:themeColor="accent5" w:themeShade="BF"/>
          <w:szCs w:val="24"/>
          <w:lang w:val="sq-AL"/>
        </w:rPr>
        <w:t>S</w:t>
      </w:r>
      <w:r w:rsidR="00A674F1" w:rsidRPr="00167C81">
        <w:rPr>
          <w:rFonts w:cs="Times New Roman"/>
          <w:b/>
          <w:bCs/>
          <w:i/>
          <w:iCs/>
          <w:color w:val="2F5496" w:themeColor="accent5" w:themeShade="BF"/>
          <w:szCs w:val="24"/>
          <w:lang w:val="sq-AL"/>
        </w:rPr>
        <w:t xml:space="preserve">htetëror </w:t>
      </w:r>
      <w:r w:rsidRPr="00167C81">
        <w:rPr>
          <w:rFonts w:cs="Times New Roman"/>
          <w:b/>
          <w:bCs/>
          <w:i/>
          <w:iCs/>
          <w:color w:val="2F5496" w:themeColor="accent5" w:themeShade="BF"/>
          <w:szCs w:val="24"/>
          <w:lang w:val="sq-AL"/>
        </w:rPr>
        <w:t>M</w:t>
      </w:r>
      <w:r w:rsidR="00A674F1" w:rsidRPr="00167C81">
        <w:rPr>
          <w:rFonts w:cs="Times New Roman"/>
          <w:b/>
          <w:bCs/>
          <w:i/>
          <w:iCs/>
          <w:color w:val="2F5496" w:themeColor="accent5" w:themeShade="BF"/>
          <w:szCs w:val="24"/>
          <w:lang w:val="sq-AL"/>
        </w:rPr>
        <w:t xml:space="preserve">bikqyrjes së </w:t>
      </w:r>
      <w:r w:rsidRPr="00167C81">
        <w:rPr>
          <w:rFonts w:cs="Times New Roman"/>
          <w:b/>
          <w:bCs/>
          <w:i/>
          <w:iCs/>
          <w:color w:val="2F5496" w:themeColor="accent5" w:themeShade="BF"/>
          <w:szCs w:val="24"/>
          <w:lang w:val="sq-AL"/>
        </w:rPr>
        <w:t>T</w:t>
      </w:r>
      <w:r w:rsidR="00A674F1" w:rsidRPr="00167C81">
        <w:rPr>
          <w:rFonts w:cs="Times New Roman"/>
          <w:b/>
          <w:bCs/>
          <w:i/>
          <w:iCs/>
          <w:color w:val="2F5496" w:themeColor="accent5" w:themeShade="BF"/>
          <w:szCs w:val="24"/>
          <w:lang w:val="sq-AL"/>
        </w:rPr>
        <w:t>regut</w:t>
      </w:r>
      <w:r w:rsidRPr="00167C81">
        <w:rPr>
          <w:b/>
          <w:bCs/>
          <w:i/>
          <w:iCs/>
          <w:color w:val="2F5496" w:themeColor="accent5" w:themeShade="BF"/>
          <w:szCs w:val="24"/>
          <w:vertAlign w:val="superscript"/>
          <w:lang w:val="sq-AL"/>
        </w:rPr>
        <w:footnoteReference w:id="11"/>
      </w:r>
    </w:p>
    <w:p w14:paraId="43637938" w14:textId="77777777" w:rsidR="008B59D6" w:rsidRPr="00B360AF" w:rsidRDefault="008B59D6" w:rsidP="00623352">
      <w:pPr>
        <w:pStyle w:val="ListParagraph"/>
        <w:numPr>
          <w:ilvl w:val="0"/>
          <w:numId w:val="50"/>
        </w:numPr>
        <w:spacing w:after="0" w:line="240" w:lineRule="auto"/>
        <w:jc w:val="both"/>
        <w:textAlignment w:val="baseline"/>
        <w:rPr>
          <w:rFonts w:cs="Times New Roman"/>
          <w:szCs w:val="24"/>
        </w:rPr>
      </w:pPr>
      <w:r w:rsidRPr="00B360AF">
        <w:rPr>
          <w:rFonts w:cs="Times New Roman"/>
          <w:szCs w:val="24"/>
        </w:rPr>
        <w:t xml:space="preserve">Ligji Nr. 9902, datë 17.4.2008 “Për mbrojtjen e konsumatorëve”, i ndryshuar; </w:t>
      </w:r>
    </w:p>
    <w:p w14:paraId="5A2E2A0A" w14:textId="0C3C5225" w:rsidR="008B59D6" w:rsidRPr="00B360AF" w:rsidRDefault="008B59D6" w:rsidP="00623352">
      <w:pPr>
        <w:pStyle w:val="ListParagraph"/>
        <w:numPr>
          <w:ilvl w:val="0"/>
          <w:numId w:val="50"/>
        </w:numPr>
        <w:spacing w:after="0" w:line="240" w:lineRule="auto"/>
        <w:jc w:val="both"/>
        <w:textAlignment w:val="baseline"/>
        <w:rPr>
          <w:rFonts w:cs="Times New Roman"/>
          <w:szCs w:val="24"/>
        </w:rPr>
      </w:pPr>
      <w:r w:rsidRPr="00B360AF">
        <w:rPr>
          <w:rFonts w:cs="Times New Roman"/>
          <w:szCs w:val="24"/>
        </w:rPr>
        <w:t xml:space="preserve">Ligji Nr. 126, </w:t>
      </w:r>
      <w:r w:rsidR="00B360AF">
        <w:rPr>
          <w:rFonts w:cs="Times New Roman"/>
          <w:szCs w:val="24"/>
        </w:rPr>
        <w:t>datë</w:t>
      </w:r>
      <w:r w:rsidRPr="00B360AF">
        <w:rPr>
          <w:rFonts w:cs="Times New Roman"/>
          <w:szCs w:val="24"/>
        </w:rPr>
        <w:t xml:space="preserve"> 15.10.2020 "Për metrologjinë; </w:t>
      </w:r>
    </w:p>
    <w:p w14:paraId="380FB386" w14:textId="7AD7B553" w:rsidR="008B59D6" w:rsidRPr="00B360AF" w:rsidRDefault="008B59D6" w:rsidP="00623352">
      <w:pPr>
        <w:pStyle w:val="ListParagraph"/>
        <w:numPr>
          <w:ilvl w:val="0"/>
          <w:numId w:val="50"/>
        </w:numPr>
        <w:spacing w:after="0" w:line="240" w:lineRule="auto"/>
        <w:jc w:val="both"/>
        <w:textAlignment w:val="baseline"/>
        <w:rPr>
          <w:rFonts w:cs="Times New Roman"/>
          <w:szCs w:val="24"/>
        </w:rPr>
      </w:pPr>
      <w:r w:rsidRPr="00B360AF">
        <w:rPr>
          <w:rFonts w:cs="Times New Roman"/>
          <w:szCs w:val="24"/>
        </w:rPr>
        <w:t xml:space="preserve">Ligji nr. 68/2012 “Për informacionin e konsumit të energjisë dhe burimeve të tjera të produkteve me ndikim në energji”; </w:t>
      </w:r>
    </w:p>
    <w:p w14:paraId="4D66F91D" w14:textId="405431A8" w:rsidR="008B59D6" w:rsidRPr="00B360AF" w:rsidRDefault="008B59D6" w:rsidP="00623352">
      <w:pPr>
        <w:pStyle w:val="ListParagraph"/>
        <w:numPr>
          <w:ilvl w:val="0"/>
          <w:numId w:val="50"/>
        </w:numPr>
        <w:spacing w:after="0" w:line="240" w:lineRule="auto"/>
        <w:jc w:val="both"/>
        <w:textAlignment w:val="baseline"/>
        <w:rPr>
          <w:rFonts w:cs="Times New Roman"/>
          <w:szCs w:val="24"/>
        </w:rPr>
      </w:pPr>
      <w:r w:rsidRPr="00B360AF">
        <w:rPr>
          <w:rFonts w:cs="Times New Roman"/>
          <w:szCs w:val="24"/>
        </w:rPr>
        <w:t>Ligji nr.10216, datë 21.1.2010 “Për detergjentët “;</w:t>
      </w:r>
    </w:p>
    <w:p w14:paraId="026FBAC9" w14:textId="27E182DD" w:rsidR="008B59D6" w:rsidRPr="00B360AF" w:rsidRDefault="008B59D6" w:rsidP="00623352">
      <w:pPr>
        <w:pStyle w:val="ListParagraph"/>
        <w:numPr>
          <w:ilvl w:val="0"/>
          <w:numId w:val="50"/>
        </w:numPr>
        <w:spacing w:after="0" w:line="240" w:lineRule="auto"/>
        <w:jc w:val="both"/>
        <w:textAlignment w:val="baseline"/>
        <w:rPr>
          <w:rFonts w:cs="Times New Roman"/>
          <w:szCs w:val="24"/>
        </w:rPr>
      </w:pPr>
      <w:r w:rsidRPr="00B360AF">
        <w:rPr>
          <w:rFonts w:cs="Times New Roman"/>
          <w:szCs w:val="24"/>
        </w:rPr>
        <w:t>Ligji</w:t>
      </w:r>
      <w:r w:rsidR="00B360AF">
        <w:rPr>
          <w:rFonts w:cs="Times New Roman"/>
          <w:szCs w:val="24"/>
        </w:rPr>
        <w:t xml:space="preserve"> nr. </w:t>
      </w:r>
      <w:r w:rsidRPr="00B360AF">
        <w:rPr>
          <w:rFonts w:cs="Times New Roman"/>
          <w:szCs w:val="24"/>
        </w:rPr>
        <w:t>73/2021 “Për hedhjen në treg dhe mbikëqyrjen e artikujve piroteknik”</w:t>
      </w:r>
      <w:r w:rsidR="00A674F1" w:rsidRPr="00B360AF">
        <w:rPr>
          <w:rFonts w:cs="Times New Roman"/>
          <w:szCs w:val="24"/>
        </w:rPr>
        <w:t>.</w:t>
      </w:r>
    </w:p>
    <w:p w14:paraId="771A4C73" w14:textId="6B2D3106" w:rsidR="008B59D6" w:rsidRPr="00167C81" w:rsidRDefault="00FD36F3" w:rsidP="00167C81">
      <w:pPr>
        <w:spacing w:before="240" w:after="120"/>
        <w:rPr>
          <w:rFonts w:cs="Times New Roman"/>
          <w:b/>
          <w:bCs/>
          <w:i/>
          <w:iCs/>
          <w:color w:val="2F5496" w:themeColor="accent5" w:themeShade="BF"/>
          <w:szCs w:val="24"/>
          <w:lang w:val="sq-AL"/>
        </w:rPr>
      </w:pPr>
      <w:r w:rsidRPr="00167C81">
        <w:rPr>
          <w:rFonts w:cs="Times New Roman"/>
          <w:b/>
          <w:bCs/>
          <w:i/>
          <w:iCs/>
          <w:color w:val="2F5496" w:themeColor="accent5" w:themeShade="BF"/>
          <w:szCs w:val="24"/>
          <w:lang w:val="sq-AL"/>
        </w:rPr>
        <w:t xml:space="preserve">Inspektorati  Shtetëror </w:t>
      </w:r>
      <w:r w:rsidR="008B59D6" w:rsidRPr="00167C81">
        <w:rPr>
          <w:rFonts w:cs="Times New Roman"/>
          <w:b/>
          <w:bCs/>
          <w:i/>
          <w:iCs/>
          <w:color w:val="2F5496" w:themeColor="accent5" w:themeShade="BF"/>
          <w:szCs w:val="24"/>
          <w:lang w:val="sq-AL"/>
        </w:rPr>
        <w:t>T</w:t>
      </w:r>
      <w:r w:rsidRPr="00167C81">
        <w:rPr>
          <w:rFonts w:cs="Times New Roman"/>
          <w:b/>
          <w:bCs/>
          <w:i/>
          <w:iCs/>
          <w:color w:val="2F5496" w:themeColor="accent5" w:themeShade="BF"/>
          <w:szCs w:val="24"/>
          <w:lang w:val="sq-AL"/>
        </w:rPr>
        <w:t xml:space="preserve">eknik dhe </w:t>
      </w:r>
      <w:r w:rsidR="008B59D6" w:rsidRPr="00167C81">
        <w:rPr>
          <w:rFonts w:cs="Times New Roman"/>
          <w:b/>
          <w:bCs/>
          <w:i/>
          <w:iCs/>
          <w:color w:val="2F5496" w:themeColor="accent5" w:themeShade="BF"/>
          <w:szCs w:val="24"/>
          <w:lang w:val="sq-AL"/>
        </w:rPr>
        <w:t>I</w:t>
      </w:r>
      <w:r w:rsidRPr="00167C81">
        <w:rPr>
          <w:rFonts w:cs="Times New Roman"/>
          <w:b/>
          <w:bCs/>
          <w:i/>
          <w:iCs/>
          <w:color w:val="2F5496" w:themeColor="accent5" w:themeShade="BF"/>
          <w:szCs w:val="24"/>
          <w:lang w:val="sq-AL"/>
        </w:rPr>
        <w:t>ndustrial</w:t>
      </w:r>
    </w:p>
    <w:p w14:paraId="136277DD" w14:textId="784C6A50" w:rsidR="003A27DB" w:rsidRPr="00981F27" w:rsidRDefault="003A27DB" w:rsidP="00623352">
      <w:pPr>
        <w:pStyle w:val="Normal1"/>
        <w:numPr>
          <w:ilvl w:val="0"/>
          <w:numId w:val="51"/>
        </w:numPr>
        <w:spacing w:line="276" w:lineRule="auto"/>
        <w:contextualSpacing/>
        <w:jc w:val="both"/>
        <w:rPr>
          <w:lang w:val="sq-AL"/>
        </w:rPr>
      </w:pPr>
      <w:r w:rsidRPr="00FB36DA">
        <w:rPr>
          <w:lang w:val="sq-AL"/>
        </w:rPr>
        <w:t>V</w:t>
      </w:r>
      <w:r w:rsidR="00FD36F3">
        <w:rPr>
          <w:lang w:val="sq-AL"/>
        </w:rPr>
        <w:t>KM</w:t>
      </w:r>
      <w:r w:rsidRPr="00FB36DA">
        <w:rPr>
          <w:lang w:val="sq-AL"/>
        </w:rPr>
        <w:t xml:space="preserve"> nr.410</w:t>
      </w:r>
      <w:r w:rsidR="00FD36F3">
        <w:rPr>
          <w:lang w:val="sq-AL"/>
        </w:rPr>
        <w:t>,</w:t>
      </w:r>
      <w:r w:rsidRPr="00FB36DA">
        <w:rPr>
          <w:lang w:val="sq-AL"/>
        </w:rPr>
        <w:t xml:space="preserve"> dat</w:t>
      </w:r>
      <w:r w:rsidR="00FD36F3">
        <w:rPr>
          <w:lang w:val="sq-AL"/>
        </w:rPr>
        <w:t>ë</w:t>
      </w:r>
      <w:r w:rsidRPr="00FB36DA">
        <w:rPr>
          <w:lang w:val="sq-AL"/>
        </w:rPr>
        <w:t xml:space="preserve"> 13.5.2015 </w:t>
      </w:r>
      <w:r w:rsidR="00FD36F3">
        <w:rPr>
          <w:lang w:val="sq-AL"/>
        </w:rPr>
        <w:t>“Për</w:t>
      </w:r>
      <w:r w:rsidRPr="00FB36DA">
        <w:rPr>
          <w:lang w:val="sq-AL"/>
        </w:rPr>
        <w:t xml:space="preserve"> </w:t>
      </w:r>
      <w:r w:rsidR="00FD36F3">
        <w:rPr>
          <w:lang w:val="sq-AL"/>
        </w:rPr>
        <w:t>k</w:t>
      </w:r>
      <w:r w:rsidRPr="00FB36DA">
        <w:rPr>
          <w:lang w:val="sq-AL"/>
        </w:rPr>
        <w:t xml:space="preserve">rijimin, </w:t>
      </w:r>
      <w:r w:rsidR="00FD36F3">
        <w:rPr>
          <w:lang w:val="sq-AL"/>
        </w:rPr>
        <w:t>o</w:t>
      </w:r>
      <w:r w:rsidRPr="00FB36DA">
        <w:rPr>
          <w:lang w:val="sq-AL"/>
        </w:rPr>
        <w:t xml:space="preserve">rganizimin dhe </w:t>
      </w:r>
      <w:r w:rsidR="00FD36F3">
        <w:rPr>
          <w:lang w:val="sq-AL"/>
        </w:rPr>
        <w:t>f</w:t>
      </w:r>
      <w:r w:rsidRPr="00FB36DA">
        <w:rPr>
          <w:lang w:val="sq-AL"/>
        </w:rPr>
        <w:t xml:space="preserve">unksionimin e </w:t>
      </w:r>
      <w:r w:rsidRPr="00981F27">
        <w:rPr>
          <w:lang w:val="sq-AL"/>
        </w:rPr>
        <w:t>Inspektoratit</w:t>
      </w:r>
      <w:r w:rsidR="00FD36F3" w:rsidRPr="00981F27">
        <w:rPr>
          <w:lang w:val="sq-AL"/>
        </w:rPr>
        <w:t xml:space="preserve"> </w:t>
      </w:r>
      <w:r w:rsidRPr="00981F27">
        <w:rPr>
          <w:lang w:val="sq-AL"/>
        </w:rPr>
        <w:t>Shtet</w:t>
      </w:r>
      <w:r w:rsidR="00FD36F3" w:rsidRPr="00981F27">
        <w:rPr>
          <w:lang w:val="sq-AL"/>
        </w:rPr>
        <w:t>ë</w:t>
      </w:r>
      <w:r w:rsidRPr="00981F27">
        <w:rPr>
          <w:lang w:val="sq-AL"/>
        </w:rPr>
        <w:t>ror Teknik dhe Industrial”</w:t>
      </w:r>
    </w:p>
    <w:p w14:paraId="439D0711" w14:textId="5ED2CA53" w:rsidR="003A27DB" w:rsidRPr="00981F27" w:rsidRDefault="003A27DB" w:rsidP="00623352">
      <w:pPr>
        <w:pStyle w:val="ListParagraph"/>
        <w:numPr>
          <w:ilvl w:val="0"/>
          <w:numId w:val="51"/>
        </w:numPr>
        <w:spacing w:after="0" w:line="240" w:lineRule="auto"/>
        <w:rPr>
          <w:rFonts w:cs="Times New Roman"/>
          <w:szCs w:val="24"/>
          <w:lang w:val="sq-AL"/>
        </w:rPr>
      </w:pPr>
      <w:r w:rsidRPr="00B360AF">
        <w:rPr>
          <w:rFonts w:cs="Times New Roman"/>
          <w:szCs w:val="24"/>
          <w:lang w:val="sq-AL"/>
        </w:rPr>
        <w:t xml:space="preserve">Ligji </w:t>
      </w:r>
      <w:r w:rsidR="00B360AF">
        <w:rPr>
          <w:rFonts w:cs="Times New Roman"/>
          <w:szCs w:val="24"/>
          <w:lang w:val="sq-AL"/>
        </w:rPr>
        <w:t>n</w:t>
      </w:r>
      <w:r w:rsidRPr="00B360AF">
        <w:rPr>
          <w:rFonts w:cs="Times New Roman"/>
          <w:szCs w:val="24"/>
          <w:lang w:val="sq-AL"/>
        </w:rPr>
        <w:t>r. 32/2016</w:t>
      </w:r>
      <w:r w:rsidR="00FD36F3" w:rsidRPr="00B360AF">
        <w:rPr>
          <w:rFonts w:cs="Times New Roman"/>
          <w:szCs w:val="24"/>
          <w:lang w:val="sq-AL"/>
        </w:rPr>
        <w:t>,</w:t>
      </w:r>
      <w:r w:rsidRPr="00B360AF">
        <w:rPr>
          <w:rFonts w:cs="Times New Roman"/>
          <w:szCs w:val="24"/>
          <w:lang w:val="sq-AL"/>
        </w:rPr>
        <w:t xml:space="preserve"> dat</w:t>
      </w:r>
      <w:r w:rsidR="00FD36F3" w:rsidRPr="00B360AF">
        <w:rPr>
          <w:rFonts w:cs="Times New Roman"/>
          <w:szCs w:val="24"/>
          <w:lang w:val="sq-AL"/>
        </w:rPr>
        <w:t>ë</w:t>
      </w:r>
      <w:r w:rsidRPr="00B360AF">
        <w:rPr>
          <w:rFonts w:cs="Times New Roman"/>
          <w:szCs w:val="24"/>
          <w:lang w:val="sq-AL"/>
        </w:rPr>
        <w:t xml:space="preserve"> 24.03.2016 “</w:t>
      </w:r>
      <w:r w:rsidR="00B360AF">
        <w:rPr>
          <w:rFonts w:cs="Times New Roman"/>
          <w:szCs w:val="24"/>
          <w:lang w:val="sq-AL"/>
        </w:rPr>
        <w:t xml:space="preserve">Për </w:t>
      </w:r>
      <w:r w:rsidR="00B360AF" w:rsidRPr="00B360AF">
        <w:rPr>
          <w:rFonts w:cs="Times New Roman"/>
          <w:szCs w:val="24"/>
          <w:lang w:val="sq-AL"/>
        </w:rPr>
        <w:t xml:space="preserve">garantimin e sigurisë së punës së pajisjeve </w:t>
      </w:r>
      <w:r w:rsidR="00B360AF" w:rsidRPr="00981F27">
        <w:rPr>
          <w:rFonts w:cs="Times New Roman"/>
          <w:szCs w:val="24"/>
          <w:lang w:val="sq-AL"/>
        </w:rPr>
        <w:t>dhe instalimeve nën presion</w:t>
      </w:r>
      <w:r w:rsidRPr="00981F27">
        <w:rPr>
          <w:rFonts w:cs="Times New Roman"/>
          <w:szCs w:val="24"/>
          <w:lang w:val="sq-AL"/>
        </w:rPr>
        <w:t xml:space="preserve">” </w:t>
      </w:r>
    </w:p>
    <w:p w14:paraId="76251949" w14:textId="540CE673" w:rsidR="003A27DB" w:rsidRPr="00981F27" w:rsidRDefault="003A27DB" w:rsidP="00623352">
      <w:pPr>
        <w:pStyle w:val="Normal1"/>
        <w:numPr>
          <w:ilvl w:val="0"/>
          <w:numId w:val="51"/>
        </w:numPr>
        <w:contextualSpacing/>
        <w:jc w:val="both"/>
        <w:rPr>
          <w:rFonts w:eastAsiaTheme="minorHAnsi"/>
          <w:color w:val="auto"/>
          <w:lang w:val="sq-AL"/>
        </w:rPr>
      </w:pPr>
      <w:r w:rsidRPr="009475CC">
        <w:rPr>
          <w:rFonts w:eastAsiaTheme="minorHAnsi"/>
          <w:color w:val="auto"/>
          <w:lang w:val="sq-AL"/>
        </w:rPr>
        <w:t xml:space="preserve">Ligji nr. 8450, datë 24.02.1999 "Për përpunimin, për </w:t>
      </w:r>
      <w:r w:rsidR="007C3C4F">
        <w:rPr>
          <w:rFonts w:eastAsiaTheme="minorHAnsi"/>
          <w:color w:val="auto"/>
          <w:lang w:val="sq-AL"/>
        </w:rPr>
        <w:t>t</w:t>
      </w:r>
      <w:r w:rsidRPr="009475CC">
        <w:rPr>
          <w:rFonts w:eastAsiaTheme="minorHAnsi"/>
          <w:color w:val="auto"/>
          <w:lang w:val="sq-AL"/>
        </w:rPr>
        <w:t xml:space="preserve">ransportin dhe </w:t>
      </w:r>
      <w:r w:rsidR="007C3C4F">
        <w:rPr>
          <w:rFonts w:eastAsiaTheme="minorHAnsi"/>
          <w:color w:val="auto"/>
          <w:lang w:val="sq-AL"/>
        </w:rPr>
        <w:t>t</w:t>
      </w:r>
      <w:r w:rsidRPr="009475CC">
        <w:rPr>
          <w:rFonts w:eastAsiaTheme="minorHAnsi"/>
          <w:color w:val="auto"/>
          <w:lang w:val="sq-AL"/>
        </w:rPr>
        <w:t xml:space="preserve">regtimin e </w:t>
      </w:r>
      <w:r w:rsidR="007C3C4F">
        <w:rPr>
          <w:rFonts w:eastAsiaTheme="minorHAnsi"/>
          <w:color w:val="auto"/>
          <w:lang w:val="sq-AL"/>
        </w:rPr>
        <w:t>n</w:t>
      </w:r>
      <w:r w:rsidRPr="009475CC">
        <w:rPr>
          <w:rFonts w:eastAsiaTheme="minorHAnsi"/>
          <w:color w:val="auto"/>
          <w:lang w:val="sq-AL"/>
        </w:rPr>
        <w:t xml:space="preserve">aftës, </w:t>
      </w:r>
      <w:r w:rsidRPr="00981F27">
        <w:rPr>
          <w:rFonts w:eastAsiaTheme="minorHAnsi"/>
          <w:color w:val="auto"/>
          <w:lang w:val="sq-AL"/>
        </w:rPr>
        <w:t xml:space="preserve">të </w:t>
      </w:r>
      <w:r w:rsidR="007C3C4F" w:rsidRPr="00981F27">
        <w:rPr>
          <w:rFonts w:eastAsiaTheme="minorHAnsi"/>
          <w:color w:val="auto"/>
          <w:lang w:val="sq-AL"/>
        </w:rPr>
        <w:t>g</w:t>
      </w:r>
      <w:r w:rsidRPr="00981F27">
        <w:rPr>
          <w:rFonts w:eastAsiaTheme="minorHAnsi"/>
          <w:color w:val="auto"/>
          <w:lang w:val="sq-AL"/>
        </w:rPr>
        <w:t xml:space="preserve">azit dhe </w:t>
      </w:r>
      <w:r w:rsidR="007C3C4F" w:rsidRPr="00981F27">
        <w:rPr>
          <w:rFonts w:eastAsiaTheme="minorHAnsi"/>
          <w:color w:val="auto"/>
          <w:lang w:val="sq-AL"/>
        </w:rPr>
        <w:t>n</w:t>
      </w:r>
      <w:r w:rsidRPr="00981F27">
        <w:rPr>
          <w:rFonts w:eastAsiaTheme="minorHAnsi"/>
          <w:color w:val="auto"/>
          <w:lang w:val="sq-AL"/>
        </w:rPr>
        <w:t>ënprodukteve të tyre"</w:t>
      </w:r>
    </w:p>
    <w:p w14:paraId="08480414" w14:textId="1EDD1C5B" w:rsidR="003A27DB" w:rsidRPr="00981F27" w:rsidRDefault="003A27DB" w:rsidP="00623352">
      <w:pPr>
        <w:pStyle w:val="Default"/>
        <w:numPr>
          <w:ilvl w:val="0"/>
          <w:numId w:val="51"/>
        </w:numPr>
        <w:contextualSpacing/>
        <w:jc w:val="both"/>
        <w:rPr>
          <w:rFonts w:eastAsiaTheme="minorHAnsi"/>
          <w:color w:val="auto"/>
          <w:lang w:val="sq-AL"/>
        </w:rPr>
      </w:pPr>
      <w:r w:rsidRPr="009475CC">
        <w:rPr>
          <w:rFonts w:eastAsiaTheme="minorHAnsi"/>
          <w:color w:val="auto"/>
          <w:lang w:val="sq-AL"/>
        </w:rPr>
        <w:t xml:space="preserve">Ligji </w:t>
      </w:r>
      <w:r w:rsidR="007C3C4F">
        <w:rPr>
          <w:rFonts w:eastAsiaTheme="minorHAnsi"/>
          <w:color w:val="auto"/>
          <w:lang w:val="sq-AL"/>
        </w:rPr>
        <w:t>n</w:t>
      </w:r>
      <w:r w:rsidRPr="009475CC">
        <w:rPr>
          <w:rFonts w:eastAsiaTheme="minorHAnsi"/>
          <w:color w:val="auto"/>
          <w:lang w:val="sq-AL"/>
        </w:rPr>
        <w:t xml:space="preserve">r. 9876, datë 14.2.2008 “Për prodhimin, transportimin dhe tregtimin e </w:t>
      </w:r>
      <w:r w:rsidRPr="00981F27">
        <w:rPr>
          <w:rFonts w:eastAsiaTheme="minorHAnsi"/>
          <w:color w:val="auto"/>
          <w:lang w:val="sq-AL"/>
        </w:rPr>
        <w:t>biokarburanteve dhe të lëndëve të tjera djegëse të rinovushme për transport</w:t>
      </w:r>
      <w:r w:rsidR="00B360AF" w:rsidRPr="00981F27">
        <w:rPr>
          <w:rFonts w:eastAsiaTheme="minorHAnsi"/>
          <w:color w:val="auto"/>
          <w:lang w:val="sq-AL"/>
        </w:rPr>
        <w:t>”</w:t>
      </w:r>
    </w:p>
    <w:p w14:paraId="4DD11ECC" w14:textId="0854E3D6" w:rsidR="003A27DB" w:rsidRPr="00B360AF" w:rsidRDefault="003A27DB" w:rsidP="00623352">
      <w:pPr>
        <w:pStyle w:val="ListParagraph"/>
        <w:numPr>
          <w:ilvl w:val="0"/>
          <w:numId w:val="51"/>
        </w:numPr>
        <w:spacing w:after="0" w:line="240" w:lineRule="auto"/>
        <w:rPr>
          <w:rFonts w:cs="Times New Roman"/>
          <w:szCs w:val="24"/>
          <w:lang w:val="sq-AL"/>
        </w:rPr>
      </w:pPr>
      <w:r w:rsidRPr="00B360AF">
        <w:rPr>
          <w:rFonts w:cs="Times New Roman"/>
          <w:szCs w:val="24"/>
          <w:lang w:val="sq-AL"/>
        </w:rPr>
        <w:t>Ligj nr.102,</w:t>
      </w:r>
      <w:r w:rsidR="007C3C4F" w:rsidRPr="00B360AF">
        <w:rPr>
          <w:rFonts w:cs="Times New Roman"/>
          <w:szCs w:val="24"/>
          <w:lang w:val="sq-AL"/>
        </w:rPr>
        <w:t xml:space="preserve"> </w:t>
      </w:r>
      <w:r w:rsidRPr="00B360AF">
        <w:rPr>
          <w:rFonts w:cs="Times New Roman"/>
          <w:szCs w:val="24"/>
          <w:lang w:val="sq-AL"/>
        </w:rPr>
        <w:t>d</w:t>
      </w:r>
      <w:r w:rsidR="007C3C4F" w:rsidRPr="00B360AF">
        <w:rPr>
          <w:rFonts w:cs="Times New Roman"/>
          <w:szCs w:val="24"/>
          <w:lang w:val="sq-AL"/>
        </w:rPr>
        <w:t>a</w:t>
      </w:r>
      <w:r w:rsidRPr="00B360AF">
        <w:rPr>
          <w:rFonts w:cs="Times New Roman"/>
          <w:szCs w:val="24"/>
          <w:lang w:val="sq-AL"/>
        </w:rPr>
        <w:t>t</w:t>
      </w:r>
      <w:r w:rsidR="007C3C4F" w:rsidRPr="00B360AF">
        <w:rPr>
          <w:rFonts w:cs="Times New Roman"/>
          <w:szCs w:val="24"/>
          <w:lang w:val="sq-AL"/>
        </w:rPr>
        <w:t xml:space="preserve">ë </w:t>
      </w:r>
      <w:r w:rsidRPr="00B360AF">
        <w:rPr>
          <w:rFonts w:cs="Times New Roman"/>
          <w:szCs w:val="24"/>
          <w:lang w:val="sq-AL"/>
        </w:rPr>
        <w:t>23.9.2015 “Per sektorin e gazit natyror”</w:t>
      </w:r>
    </w:p>
    <w:p w14:paraId="004DC6E5" w14:textId="61247E6F" w:rsidR="00B360AF" w:rsidRPr="00981F27" w:rsidRDefault="00B360AF" w:rsidP="00623352">
      <w:pPr>
        <w:pStyle w:val="ListParagraph"/>
        <w:numPr>
          <w:ilvl w:val="0"/>
          <w:numId w:val="51"/>
        </w:numPr>
        <w:spacing w:after="0" w:line="240" w:lineRule="auto"/>
        <w:rPr>
          <w:rFonts w:cs="Times New Roman"/>
          <w:szCs w:val="24"/>
          <w:lang w:val="sq-AL"/>
        </w:rPr>
      </w:pPr>
      <w:r w:rsidRPr="00B360AF">
        <w:rPr>
          <w:rFonts w:cs="Times New Roman"/>
          <w:szCs w:val="24"/>
          <w:lang w:val="sq-AL"/>
        </w:rPr>
        <w:lastRenderedPageBreak/>
        <w:t>Urdh</w:t>
      </w:r>
      <w:r>
        <w:rPr>
          <w:rFonts w:cs="Times New Roman"/>
          <w:szCs w:val="24"/>
          <w:lang w:val="sq-AL"/>
        </w:rPr>
        <w:t>ri i</w:t>
      </w:r>
      <w:r w:rsidRPr="00B360AF">
        <w:rPr>
          <w:rFonts w:cs="Times New Roman"/>
          <w:szCs w:val="24"/>
          <w:lang w:val="sq-AL"/>
        </w:rPr>
        <w:t xml:space="preserve"> Ministrit </w:t>
      </w:r>
      <w:r>
        <w:rPr>
          <w:rFonts w:cs="Times New Roman"/>
          <w:szCs w:val="24"/>
          <w:lang w:val="sq-AL"/>
        </w:rPr>
        <w:t>n</w:t>
      </w:r>
      <w:r w:rsidRPr="00B360AF">
        <w:rPr>
          <w:rFonts w:cs="Times New Roman"/>
          <w:szCs w:val="24"/>
          <w:lang w:val="sq-AL"/>
        </w:rPr>
        <w:t>r.184</w:t>
      </w:r>
      <w:r>
        <w:rPr>
          <w:rFonts w:cs="Times New Roman"/>
          <w:szCs w:val="24"/>
          <w:lang w:val="sq-AL"/>
        </w:rPr>
        <w:t>,</w:t>
      </w:r>
      <w:r w:rsidRPr="00B360AF">
        <w:rPr>
          <w:rFonts w:cs="Times New Roman"/>
          <w:szCs w:val="24"/>
          <w:lang w:val="sq-AL"/>
        </w:rPr>
        <w:t xml:space="preserve"> dat</w:t>
      </w:r>
      <w:r>
        <w:rPr>
          <w:rFonts w:cs="Times New Roman"/>
          <w:szCs w:val="24"/>
          <w:lang w:val="sq-AL"/>
        </w:rPr>
        <w:t>ë</w:t>
      </w:r>
      <w:r w:rsidRPr="00B360AF">
        <w:rPr>
          <w:rFonts w:cs="Times New Roman"/>
          <w:szCs w:val="24"/>
          <w:lang w:val="sq-AL"/>
        </w:rPr>
        <w:t xml:space="preserve"> 05.07.2005 “Kodi i Hidrokarbureve, p</w:t>
      </w:r>
      <w:r>
        <w:rPr>
          <w:rFonts w:cs="Times New Roman"/>
          <w:szCs w:val="24"/>
          <w:lang w:val="sq-AL"/>
        </w:rPr>
        <w:t>ë</w:t>
      </w:r>
      <w:r w:rsidRPr="00B360AF">
        <w:rPr>
          <w:rFonts w:cs="Times New Roman"/>
          <w:szCs w:val="24"/>
          <w:lang w:val="sq-AL"/>
        </w:rPr>
        <w:t xml:space="preserve">r kushtet teknike </w:t>
      </w:r>
      <w:r w:rsidRPr="00981F27">
        <w:rPr>
          <w:rFonts w:cs="Times New Roman"/>
          <w:szCs w:val="24"/>
          <w:lang w:val="sq-AL"/>
        </w:rPr>
        <w:t>dhe normat e projektimit të impianteve e instalimeve të transportimit, depozitimit, dhe tregtimit të tyre”</w:t>
      </w:r>
    </w:p>
    <w:p w14:paraId="52D8031C" w14:textId="2FDE3C29" w:rsidR="003A27DB" w:rsidRPr="00981F27" w:rsidRDefault="003A27DB" w:rsidP="00623352">
      <w:pPr>
        <w:pStyle w:val="Default"/>
        <w:numPr>
          <w:ilvl w:val="0"/>
          <w:numId w:val="51"/>
        </w:numPr>
        <w:contextualSpacing/>
        <w:jc w:val="both"/>
        <w:rPr>
          <w:rFonts w:eastAsiaTheme="minorHAnsi"/>
          <w:color w:val="auto"/>
          <w:lang w:val="sq-AL"/>
        </w:rPr>
      </w:pPr>
      <w:r w:rsidRPr="009475CC">
        <w:rPr>
          <w:rFonts w:eastAsiaTheme="minorHAnsi"/>
          <w:color w:val="auto"/>
          <w:lang w:val="sq-AL"/>
        </w:rPr>
        <w:t>Urdhri nr. 288, dat</w:t>
      </w:r>
      <w:r w:rsidR="00B360AF">
        <w:rPr>
          <w:rFonts w:eastAsiaTheme="minorHAnsi"/>
          <w:color w:val="auto"/>
          <w:lang w:val="sq-AL"/>
        </w:rPr>
        <w:t>ë</w:t>
      </w:r>
      <w:r w:rsidRPr="009475CC">
        <w:rPr>
          <w:rFonts w:eastAsiaTheme="minorHAnsi"/>
          <w:color w:val="auto"/>
          <w:lang w:val="sq-AL"/>
        </w:rPr>
        <w:t xml:space="preserve"> 13.10.2020, “Për miratimin e Rregullores së Brendshme për </w:t>
      </w:r>
      <w:r w:rsidRPr="00981F27">
        <w:rPr>
          <w:rFonts w:eastAsiaTheme="minorHAnsi"/>
          <w:color w:val="auto"/>
          <w:lang w:val="sq-AL"/>
        </w:rPr>
        <w:t>Organizimin dhe Funksionimin e Inspektoratit Shtetëror Teknik dhe Industrial”.</w:t>
      </w:r>
    </w:p>
    <w:p w14:paraId="3DA7F3DC" w14:textId="709DCD97" w:rsidR="005605CE" w:rsidRPr="00E97B84" w:rsidRDefault="00E97B84" w:rsidP="00CD6F88">
      <w:pPr>
        <w:pStyle w:val="Heading2"/>
      </w:pPr>
      <w:bookmarkStart w:id="65" w:name="_Toc130994979"/>
      <w:bookmarkStart w:id="66" w:name="_Toc132277336"/>
      <w:bookmarkStart w:id="67" w:name="_Hlk121691676"/>
      <w:r w:rsidRPr="00E97B84">
        <w:t xml:space="preserve">I.2 </w:t>
      </w:r>
      <w:r w:rsidR="007C3C4F" w:rsidRPr="00E97B84">
        <w:t>Shtylla II</w:t>
      </w:r>
      <w:r w:rsidR="00DD02FC" w:rsidRPr="00E97B84">
        <w:t>:</w:t>
      </w:r>
      <w:r w:rsidR="007C3C4F" w:rsidRPr="00E97B84">
        <w:t xml:space="preserve"> </w:t>
      </w:r>
      <w:r w:rsidR="00126667" w:rsidRPr="00E97B84">
        <w:t xml:space="preserve">Çështje të mbrojtjes së konsumatorëve </w:t>
      </w:r>
      <w:bookmarkStart w:id="68" w:name="_Hlk121734932"/>
      <w:r w:rsidR="00126667" w:rsidRPr="00E97B84">
        <w:t xml:space="preserve">që nuk </w:t>
      </w:r>
      <w:r w:rsidR="00957AD4" w:rsidRPr="00E97B84">
        <w:t xml:space="preserve">lidhen </w:t>
      </w:r>
      <w:bookmarkEnd w:id="68"/>
      <w:r w:rsidR="004332D1" w:rsidRPr="00E97B84">
        <w:t xml:space="preserve">me </w:t>
      </w:r>
      <w:r w:rsidR="008D79F2" w:rsidRPr="00E97B84">
        <w:t>aspektet e sigurisë</w:t>
      </w:r>
      <w:bookmarkEnd w:id="65"/>
      <w:bookmarkEnd w:id="66"/>
    </w:p>
    <w:p w14:paraId="5BEC3CA0" w14:textId="77777777" w:rsidR="001B547E" w:rsidRPr="001B547E" w:rsidRDefault="001B547E" w:rsidP="00623352">
      <w:pPr>
        <w:pStyle w:val="ListParagraph"/>
        <w:numPr>
          <w:ilvl w:val="0"/>
          <w:numId w:val="10"/>
        </w:numPr>
        <w:spacing w:before="240" w:after="120" w:line="240" w:lineRule="auto"/>
        <w:contextualSpacing w:val="0"/>
        <w:rPr>
          <w:rFonts w:asciiTheme="majorHAnsi" w:eastAsia="PMingLiU" w:hAnsiTheme="majorHAnsi" w:cs="Book Antiqua"/>
          <w:vanish/>
          <w:color w:val="5B9BD5" w:themeColor="accent1"/>
          <w:sz w:val="48"/>
          <w:szCs w:val="48"/>
          <w:lang w:val="en-ZA" w:eastAsia="zh-TW"/>
        </w:rPr>
      </w:pPr>
    </w:p>
    <w:p w14:paraId="138085A8" w14:textId="124AE0AB" w:rsidR="001B547E" w:rsidRPr="001B547E" w:rsidRDefault="00E2165D" w:rsidP="00623352">
      <w:pPr>
        <w:pStyle w:val="Heading3"/>
      </w:pPr>
      <w:bookmarkStart w:id="69" w:name="_Toc130994980"/>
      <w:bookmarkStart w:id="70" w:name="_Toc132277337"/>
      <w:r>
        <w:t>Kuadri institucional</w:t>
      </w:r>
      <w:bookmarkEnd w:id="69"/>
      <w:bookmarkEnd w:id="70"/>
    </w:p>
    <w:p w14:paraId="00348AF7" w14:textId="283339FD" w:rsidR="00203D73" w:rsidRPr="004332D1" w:rsidRDefault="00E05AF2" w:rsidP="00623352">
      <w:pPr>
        <w:pStyle w:val="Heading5"/>
      </w:pPr>
      <w:bookmarkStart w:id="71" w:name="_Hlk121691812"/>
      <w:bookmarkStart w:id="72" w:name="_Toc132277338"/>
      <w:bookmarkEnd w:id="67"/>
      <w:r w:rsidRPr="00DD02FC">
        <w:t>Ministria e Financave dhe Ekonomis</w:t>
      </w:r>
      <w:r w:rsidR="00203D73" w:rsidRPr="00DD02FC">
        <w:t>ë</w:t>
      </w:r>
      <w:bookmarkEnd w:id="71"/>
      <w:bookmarkEnd w:id="72"/>
    </w:p>
    <w:p w14:paraId="244C25C6" w14:textId="7AC3CD11" w:rsidR="00082C54" w:rsidRPr="009475CC" w:rsidRDefault="00082C54" w:rsidP="00D730C2">
      <w:pPr>
        <w:spacing w:line="240" w:lineRule="auto"/>
        <w:jc w:val="both"/>
        <w:rPr>
          <w:rFonts w:cs="Times New Roman"/>
          <w:szCs w:val="24"/>
          <w:lang w:val="sq-AL"/>
        </w:rPr>
      </w:pPr>
      <w:r w:rsidRPr="009475CC">
        <w:rPr>
          <w:rFonts w:cs="Times New Roman"/>
          <w:szCs w:val="24"/>
          <w:lang w:val="sq-AL"/>
        </w:rPr>
        <w:t xml:space="preserve">Mbrojtja e konsumatorit, për çështje që nuk lidhen me sigurinë e produkteve të konsumatorëve, përfshin kryesisht mbrojtjen e interesave ekonomike, individuale apo kolektive dhe të drejtave të tjera të konsumatorëve, në aspektet e lidhura me politikën, legjislacionin dhe zbatimin e tij. </w:t>
      </w:r>
    </w:p>
    <w:p w14:paraId="1851EA69" w14:textId="261A4A4B" w:rsidR="00082C54" w:rsidRPr="009475CC" w:rsidRDefault="00082C54" w:rsidP="00D730C2">
      <w:pPr>
        <w:spacing w:line="240" w:lineRule="auto"/>
        <w:jc w:val="both"/>
        <w:rPr>
          <w:rFonts w:cs="Times New Roman"/>
          <w:szCs w:val="24"/>
          <w:lang w:val="sq-AL"/>
        </w:rPr>
      </w:pPr>
      <w:r w:rsidRPr="009475CC">
        <w:rPr>
          <w:rFonts w:cs="Times New Roman"/>
          <w:szCs w:val="24"/>
          <w:lang w:val="sq-AL"/>
        </w:rPr>
        <w:t>Në terma më specifikë këtu përfshihen çështje të tilla si: të drejtat e konsumatorëve në kontratat e blerjeve të mallrave apo shërbimeve në qendra tregtare, edhe jashtë qendrave apo shitjeve në largësi, praktikat e padrejta tregtare, shitja e mallrave të konsumatorëve të shoqëruara me garancitë, kushtet e padrejta në kontrata, treguesi i çmimit, kreditë konsumatore, publiciteti çorientues dhe krahasues, zgjidhja alternative dhe online e mosmarrëveshjeve me konsumatorët</w:t>
      </w:r>
      <w:r w:rsidR="00DD02FC">
        <w:rPr>
          <w:rFonts w:cs="Times New Roman"/>
          <w:szCs w:val="24"/>
          <w:lang w:val="sq-AL"/>
        </w:rPr>
        <w:t>, ve</w:t>
      </w:r>
      <w:r w:rsidRPr="009475CC">
        <w:rPr>
          <w:rFonts w:cs="Times New Roman"/>
          <w:szCs w:val="24"/>
          <w:lang w:val="sq-AL"/>
        </w:rPr>
        <w:t>ndimet për mbrojtjen e konsumatorëve, mjedisi</w:t>
      </w:r>
      <w:r w:rsidR="00DD02FC">
        <w:rPr>
          <w:rFonts w:cs="Times New Roman"/>
          <w:szCs w:val="24"/>
          <w:lang w:val="sq-AL"/>
        </w:rPr>
        <w:t>,</w:t>
      </w:r>
      <w:r w:rsidRPr="009475CC">
        <w:rPr>
          <w:rFonts w:cs="Times New Roman"/>
          <w:szCs w:val="24"/>
          <w:lang w:val="sq-AL"/>
        </w:rPr>
        <w:t xml:space="preserve"> turizmi</w:t>
      </w:r>
      <w:r w:rsidR="00DD02FC">
        <w:rPr>
          <w:rFonts w:cs="Times New Roman"/>
          <w:szCs w:val="24"/>
          <w:lang w:val="sq-AL"/>
        </w:rPr>
        <w:t>,</w:t>
      </w:r>
      <w:r w:rsidRPr="009475CC">
        <w:rPr>
          <w:rFonts w:cs="Times New Roman"/>
          <w:szCs w:val="24"/>
          <w:lang w:val="sq-AL"/>
        </w:rPr>
        <w:t xml:space="preserve"> digjitalizimi etj.</w:t>
      </w:r>
    </w:p>
    <w:p w14:paraId="53F77E97" w14:textId="04322F05" w:rsidR="00082C54" w:rsidRPr="009475CC" w:rsidRDefault="00082C54" w:rsidP="00D730C2">
      <w:pPr>
        <w:spacing w:line="240" w:lineRule="auto"/>
        <w:jc w:val="both"/>
        <w:rPr>
          <w:rFonts w:cs="Times New Roman"/>
          <w:szCs w:val="24"/>
          <w:lang w:val="sq-AL"/>
        </w:rPr>
      </w:pPr>
      <w:r w:rsidRPr="009475CC">
        <w:rPr>
          <w:rFonts w:cs="Times New Roman"/>
          <w:szCs w:val="24"/>
          <w:lang w:val="sq-AL"/>
        </w:rPr>
        <w:t>Hapat e ndërmarra në vite në lidhje me fushën e mbrojtjes së konsumatorëve kanë mundë</w:t>
      </w:r>
      <w:r w:rsidR="00DD02FC">
        <w:rPr>
          <w:rFonts w:cs="Times New Roman"/>
          <w:szCs w:val="24"/>
          <w:lang w:val="sq-AL"/>
        </w:rPr>
        <w:t>s</w:t>
      </w:r>
      <w:r w:rsidRPr="009475CC">
        <w:rPr>
          <w:rFonts w:cs="Times New Roman"/>
          <w:szCs w:val="24"/>
          <w:lang w:val="sq-AL"/>
        </w:rPr>
        <w:t xml:space="preserve">uar adoptimin e një kuadri ligjor rregullator efikas për mbrojtjen e të drejtave të konsumatorëve, të përafruar me </w:t>
      </w:r>
      <w:r w:rsidR="00DD02FC">
        <w:rPr>
          <w:rFonts w:cs="Times New Roman"/>
          <w:szCs w:val="24"/>
          <w:lang w:val="sq-AL"/>
        </w:rPr>
        <w:t>D</w:t>
      </w:r>
      <w:r w:rsidRPr="009475CC">
        <w:rPr>
          <w:rFonts w:cs="Times New Roman"/>
          <w:szCs w:val="24"/>
          <w:lang w:val="sq-AL"/>
        </w:rPr>
        <w:t>irektivat e BE</w:t>
      </w:r>
      <w:r w:rsidR="00DD02FC">
        <w:rPr>
          <w:rFonts w:cs="Times New Roman"/>
          <w:szCs w:val="24"/>
          <w:lang w:val="sq-AL"/>
        </w:rPr>
        <w:t>-së</w:t>
      </w:r>
      <w:r w:rsidRPr="009475CC">
        <w:rPr>
          <w:rFonts w:cs="Times New Roman"/>
          <w:szCs w:val="24"/>
          <w:lang w:val="sq-AL"/>
        </w:rPr>
        <w:t xml:space="preserve"> në këtë fushë. Pra, konsumatorët shqiptarë kanë një kuadër institucional dhe legjislativ, që mundësojnë nivel të njëjtë mbrojtjeje me konsumatorët e vendeve evropiane edhe në drejtim të mbrojtjes së interesave ekonomike të tyre.  </w:t>
      </w:r>
    </w:p>
    <w:p w14:paraId="58C043FD" w14:textId="57D05549" w:rsidR="00082C54" w:rsidRPr="009475CC" w:rsidRDefault="00082C54" w:rsidP="00D730C2">
      <w:pPr>
        <w:spacing w:line="240" w:lineRule="auto"/>
        <w:jc w:val="both"/>
        <w:rPr>
          <w:rFonts w:cs="Times New Roman"/>
          <w:szCs w:val="24"/>
          <w:lang w:val="sq-AL"/>
        </w:rPr>
      </w:pPr>
      <w:r w:rsidRPr="009475CC">
        <w:rPr>
          <w:rFonts w:cs="Times New Roman"/>
          <w:szCs w:val="24"/>
          <w:lang w:val="sq-AL"/>
        </w:rPr>
        <w:t>Ndër  arritjet e rënd</w:t>
      </w:r>
      <w:r w:rsidR="00DD02FC">
        <w:rPr>
          <w:rFonts w:cs="Times New Roman"/>
          <w:szCs w:val="24"/>
          <w:lang w:val="sq-AL"/>
        </w:rPr>
        <w:t>ë</w:t>
      </w:r>
      <w:r w:rsidRPr="009475CC">
        <w:rPr>
          <w:rFonts w:cs="Times New Roman"/>
          <w:szCs w:val="24"/>
          <w:lang w:val="sq-AL"/>
        </w:rPr>
        <w:t>sishme për periudhën 2017-2021, përmenden:</w:t>
      </w:r>
    </w:p>
    <w:p w14:paraId="62FD38A5" w14:textId="1FA61656" w:rsidR="00082C54" w:rsidRDefault="00082C54" w:rsidP="00623352">
      <w:pPr>
        <w:pStyle w:val="ListParagraph"/>
        <w:numPr>
          <w:ilvl w:val="0"/>
          <w:numId w:val="18"/>
        </w:numPr>
        <w:spacing w:line="240" w:lineRule="auto"/>
        <w:jc w:val="both"/>
        <w:rPr>
          <w:rFonts w:cs="Times New Roman"/>
          <w:szCs w:val="24"/>
          <w:lang w:val="sq-AL"/>
        </w:rPr>
      </w:pPr>
      <w:r w:rsidRPr="00981F27">
        <w:rPr>
          <w:rFonts w:cs="Times New Roman"/>
          <w:szCs w:val="24"/>
          <w:lang w:val="sq-AL"/>
        </w:rPr>
        <w:t>Plotësimi dhe përmirësimi i bazës ligjore të mbrojtjes së konsumatorëve, duke siguruar</w:t>
      </w:r>
      <w:r w:rsidR="00981F27" w:rsidRPr="00981F27">
        <w:rPr>
          <w:rFonts w:cs="Times New Roman"/>
          <w:szCs w:val="24"/>
          <w:lang w:val="sq-AL"/>
        </w:rPr>
        <w:t xml:space="preserve"> </w:t>
      </w:r>
      <w:r w:rsidRPr="00981F27">
        <w:rPr>
          <w:rFonts w:cs="Times New Roman"/>
          <w:szCs w:val="24"/>
          <w:lang w:val="sq-AL"/>
        </w:rPr>
        <w:t xml:space="preserve">fuqizimin e rolit të konsumatorit në treg. </w:t>
      </w:r>
      <w:r w:rsidRPr="00981F27">
        <w:rPr>
          <w:rFonts w:eastAsia="MS Mincho" w:cs="Times New Roman"/>
          <w:szCs w:val="24"/>
          <w:lang w:val="sq-AL"/>
        </w:rPr>
        <w:t xml:space="preserve">Konkretisht, </w:t>
      </w:r>
      <w:r w:rsidRPr="00981F27">
        <w:rPr>
          <w:rFonts w:cs="Times New Roman"/>
          <w:szCs w:val="24"/>
          <w:lang w:val="sq-AL"/>
        </w:rPr>
        <w:t>janë miratuar 1 akt ligjor dhe 4 akte nënligjor</w:t>
      </w:r>
      <w:r w:rsidR="00DD02FC" w:rsidRPr="00981F27">
        <w:rPr>
          <w:rFonts w:cs="Times New Roman"/>
          <w:szCs w:val="24"/>
          <w:lang w:val="sq-AL"/>
        </w:rPr>
        <w:t>e</w:t>
      </w:r>
      <w:r w:rsidRPr="00981F27">
        <w:rPr>
          <w:rFonts w:cs="Times New Roman"/>
          <w:szCs w:val="24"/>
          <w:lang w:val="sq-AL"/>
        </w:rPr>
        <w:t xml:space="preserve">, që kanë përcaktuar detyrime mbi subjektet tregtare për informimin më të mirë të konsumatorëve, rritjen e transparencës së informacionit, mbrojtjen e të drejtave të konsumatorëve etj, në fushat e shitjeve drejtpërdrejtë, jashtë qendrave të tregtimit dhe në largësi të produkteve dhe shërbimeve për konsumatorët, shërbimeve financiare në largësi, si dhe për ngritjen e strukturës për trajtimin e ankesave të konsumatorëve.  </w:t>
      </w:r>
    </w:p>
    <w:p w14:paraId="41B39FF5" w14:textId="77777777" w:rsidR="004D24BD" w:rsidRPr="00981F27" w:rsidRDefault="004D24BD" w:rsidP="004D24BD">
      <w:pPr>
        <w:pStyle w:val="ListParagraph"/>
        <w:spacing w:line="240" w:lineRule="auto"/>
        <w:ind w:left="360"/>
        <w:jc w:val="both"/>
        <w:rPr>
          <w:rFonts w:cs="Times New Roman"/>
          <w:szCs w:val="24"/>
          <w:lang w:val="sq-AL"/>
        </w:rPr>
      </w:pPr>
    </w:p>
    <w:p w14:paraId="004D5801" w14:textId="0CF5D863" w:rsidR="00082C54" w:rsidRPr="00981F27" w:rsidRDefault="00082C54" w:rsidP="00623352">
      <w:pPr>
        <w:pStyle w:val="ListParagraph"/>
        <w:numPr>
          <w:ilvl w:val="0"/>
          <w:numId w:val="18"/>
        </w:numPr>
        <w:spacing w:line="240" w:lineRule="auto"/>
        <w:jc w:val="both"/>
        <w:rPr>
          <w:rFonts w:cs="Times New Roman"/>
          <w:szCs w:val="24"/>
          <w:lang w:val="sq-AL"/>
        </w:rPr>
      </w:pPr>
      <w:r w:rsidRPr="00DD02FC">
        <w:rPr>
          <w:rFonts w:cs="Times New Roman"/>
          <w:szCs w:val="24"/>
          <w:lang w:val="sq-AL"/>
        </w:rPr>
        <w:t>Funksionimi efektiv i strukturave administrative të  ngarkuara me çështjet e mbrojtjes</w:t>
      </w:r>
      <w:r w:rsidR="00981F27">
        <w:rPr>
          <w:rFonts w:cs="Times New Roman"/>
          <w:szCs w:val="24"/>
          <w:lang w:val="sq-AL"/>
        </w:rPr>
        <w:t xml:space="preserve"> </w:t>
      </w:r>
      <w:r w:rsidRPr="00981F27">
        <w:rPr>
          <w:rFonts w:cs="Times New Roman"/>
          <w:szCs w:val="24"/>
          <w:lang w:val="sq-AL"/>
        </w:rPr>
        <w:t>së konsumatorëve</w:t>
      </w:r>
      <w:r w:rsidR="00DD02FC" w:rsidRPr="00981F27">
        <w:rPr>
          <w:rFonts w:cs="Times New Roman"/>
          <w:szCs w:val="24"/>
          <w:lang w:val="sq-AL"/>
        </w:rPr>
        <w:t>.</w:t>
      </w:r>
    </w:p>
    <w:p w14:paraId="3235C241" w14:textId="16CC690F" w:rsidR="00082C54" w:rsidRPr="004D24BD" w:rsidRDefault="00082C54" w:rsidP="00623352">
      <w:pPr>
        <w:pStyle w:val="ListParagraph"/>
        <w:numPr>
          <w:ilvl w:val="1"/>
          <w:numId w:val="18"/>
        </w:numPr>
        <w:spacing w:line="240" w:lineRule="auto"/>
        <w:ind w:left="567" w:hanging="283"/>
        <w:jc w:val="both"/>
        <w:rPr>
          <w:rFonts w:cs="Times New Roman"/>
          <w:szCs w:val="24"/>
          <w:lang w:val="sq-AL"/>
        </w:rPr>
      </w:pPr>
      <w:r w:rsidRPr="00DD02FC">
        <w:rPr>
          <w:rFonts w:cs="Times New Roman"/>
          <w:szCs w:val="24"/>
          <w:lang w:val="sq-AL"/>
        </w:rPr>
        <w:t xml:space="preserve">Sektori i Tregut të Brendshëm në Drejtorinë e Politikave të Zhvillimit Ekonomik në </w:t>
      </w:r>
      <w:r w:rsidRPr="004D24BD">
        <w:rPr>
          <w:rFonts w:cs="Times New Roman"/>
          <w:szCs w:val="24"/>
          <w:lang w:val="sq-AL"/>
        </w:rPr>
        <w:t xml:space="preserve">MFE,  në    drejtim të hartimit të politikave dhe sigurimit të instrumenteve rregullues për mbrojtjen e konsumatorëve; </w:t>
      </w:r>
    </w:p>
    <w:p w14:paraId="536A11AD" w14:textId="5D4FA171" w:rsidR="00082C54" w:rsidRPr="004D24BD" w:rsidRDefault="00082C54" w:rsidP="00623352">
      <w:pPr>
        <w:pStyle w:val="ListParagraph"/>
        <w:numPr>
          <w:ilvl w:val="1"/>
          <w:numId w:val="18"/>
        </w:numPr>
        <w:spacing w:line="240" w:lineRule="auto"/>
        <w:ind w:left="567" w:hanging="283"/>
        <w:jc w:val="both"/>
        <w:rPr>
          <w:rFonts w:cs="Times New Roman"/>
          <w:szCs w:val="24"/>
          <w:lang w:val="sq-AL"/>
        </w:rPr>
      </w:pPr>
      <w:r w:rsidRPr="00DD02FC">
        <w:rPr>
          <w:rFonts w:cs="Times New Roman"/>
          <w:szCs w:val="24"/>
          <w:lang w:val="sq-AL"/>
        </w:rPr>
        <w:t xml:space="preserve">Komisioni i Mbrojtjes së Konsumatorëve, si struktura kryesore zbatuese e legjislacionit </w:t>
      </w:r>
      <w:r w:rsidRPr="004D24BD">
        <w:rPr>
          <w:rFonts w:cs="Times New Roman"/>
          <w:szCs w:val="24"/>
          <w:lang w:val="sq-AL"/>
        </w:rPr>
        <w:t>për mbrojtjen e konsumatorit, i cili në zbatim të dispozitave të reja legjislacionit të mbrojtjes së konsumatorëve, ka gjithashtu edhe rolin e autoritetit kompetent për mbikëqyrjen dhe vlerësimin e procedurave të zgjidhjes alternative të mosmarrëveshjeve  nga të gjitha strukturat ZAM.</w:t>
      </w:r>
    </w:p>
    <w:p w14:paraId="7745E265" w14:textId="063F5E2C" w:rsidR="00DD02FC" w:rsidRDefault="00082C54" w:rsidP="00623352">
      <w:pPr>
        <w:pStyle w:val="ListParagraph"/>
        <w:numPr>
          <w:ilvl w:val="1"/>
          <w:numId w:val="18"/>
        </w:numPr>
        <w:spacing w:line="240" w:lineRule="auto"/>
        <w:ind w:left="567" w:hanging="283"/>
        <w:jc w:val="both"/>
        <w:rPr>
          <w:rFonts w:cs="Times New Roman"/>
          <w:szCs w:val="24"/>
          <w:lang w:val="sq-AL"/>
        </w:rPr>
      </w:pPr>
      <w:r w:rsidRPr="00DD02FC">
        <w:rPr>
          <w:rFonts w:cs="Times New Roman"/>
          <w:szCs w:val="24"/>
          <w:lang w:val="sq-AL"/>
        </w:rPr>
        <w:t xml:space="preserve">Strukturat e posaçme pranë njësive të vetëqeverisjes vendore, për kryerjen e </w:t>
      </w:r>
      <w:r w:rsidRPr="004D24BD">
        <w:rPr>
          <w:rFonts w:cs="Times New Roman"/>
          <w:szCs w:val="24"/>
          <w:lang w:val="sq-AL"/>
        </w:rPr>
        <w:t>funksioneve për informimin, njoftimin dhe ndërgjegjësimin e konsumatorëve, si dhe për mbledhjen, seleksionimin e ankesave të konsumatorëve. Përmendet këtu, se 31 bashki kan</w:t>
      </w:r>
      <w:r w:rsidR="00DD02FC" w:rsidRPr="004D24BD">
        <w:rPr>
          <w:rFonts w:cs="Times New Roman"/>
          <w:szCs w:val="24"/>
          <w:lang w:val="sq-AL"/>
        </w:rPr>
        <w:t>ë</w:t>
      </w:r>
      <w:r w:rsidRPr="004D24BD">
        <w:rPr>
          <w:rFonts w:cs="Times New Roman"/>
          <w:szCs w:val="24"/>
          <w:lang w:val="sq-AL"/>
        </w:rPr>
        <w:t xml:space="preserve"> nj</w:t>
      </w:r>
      <w:r w:rsidR="00DD02FC" w:rsidRPr="004D24BD">
        <w:rPr>
          <w:rFonts w:cs="Times New Roman"/>
          <w:szCs w:val="24"/>
          <w:lang w:val="sq-AL"/>
        </w:rPr>
        <w:t>ë</w:t>
      </w:r>
      <w:r w:rsidRPr="004D24BD">
        <w:rPr>
          <w:rFonts w:cs="Times New Roman"/>
          <w:szCs w:val="24"/>
          <w:lang w:val="sq-AL"/>
        </w:rPr>
        <w:t xml:space="preserve"> </w:t>
      </w:r>
      <w:r w:rsidRPr="004D24BD">
        <w:rPr>
          <w:rFonts w:cs="Times New Roman"/>
          <w:szCs w:val="24"/>
          <w:lang w:val="sq-AL"/>
        </w:rPr>
        <w:lastRenderedPageBreak/>
        <w:t xml:space="preserve">strukturë te posaçme ose një nënpunës me funksionet e mbrojtjes së konsumatorëve, ndërsa 30 njësi të  vetëqeverisjes vendore nuk kanë strukturë apo një nënpunës për  këtë  qëllim. </w:t>
      </w:r>
    </w:p>
    <w:p w14:paraId="480C6C5D" w14:textId="77777777" w:rsidR="004D24BD" w:rsidRPr="004D24BD" w:rsidRDefault="004D24BD" w:rsidP="004D24BD">
      <w:pPr>
        <w:pStyle w:val="ListParagraph"/>
        <w:spacing w:line="240" w:lineRule="auto"/>
        <w:ind w:left="567"/>
        <w:jc w:val="both"/>
        <w:rPr>
          <w:rFonts w:cs="Times New Roman"/>
          <w:szCs w:val="24"/>
          <w:lang w:val="sq-AL"/>
        </w:rPr>
      </w:pPr>
    </w:p>
    <w:p w14:paraId="398609CB" w14:textId="33E123A2" w:rsidR="00082C54" w:rsidRDefault="00082C54" w:rsidP="00623352">
      <w:pPr>
        <w:pStyle w:val="ListParagraph"/>
        <w:numPr>
          <w:ilvl w:val="0"/>
          <w:numId w:val="18"/>
        </w:numPr>
        <w:spacing w:line="240" w:lineRule="auto"/>
        <w:jc w:val="both"/>
        <w:rPr>
          <w:rFonts w:cs="Times New Roman"/>
          <w:szCs w:val="24"/>
          <w:lang w:val="sq-AL"/>
        </w:rPr>
      </w:pPr>
      <w:r w:rsidRPr="004D24BD">
        <w:rPr>
          <w:rFonts w:cs="Times New Roman"/>
          <w:szCs w:val="24"/>
          <w:lang w:val="sq-AL"/>
        </w:rPr>
        <w:t>Ngritja e Strukturës përgjegjëse për zgjidhjen alternative të mosmarrëveshjeve të tjera nga ato që lidhen me shërbimet me interes publik, e emërtuar Drejtori e Përgjithshme për Zgjidhjen Alternative të Mosmarrëveshjeve (DPZAM), në varësi të MFE është një nga arritjet kryesore të kësaj periudhe. Kjo strukturë plotëson sistemin institucional për zgjidhjen e mosmarrëveshjeve, duke siguruar që skemat ZAM, të jenë në dispozicion të konsumatorëve në të gjithë sektorët e tregut të shitjes së mallrave dhe shërbimeve. DPZAM pritet</w:t>
      </w:r>
      <w:r w:rsidR="00DD02FC" w:rsidRPr="004D24BD">
        <w:rPr>
          <w:rFonts w:cs="Times New Roman"/>
          <w:szCs w:val="24"/>
          <w:lang w:val="sq-AL"/>
        </w:rPr>
        <w:t xml:space="preserve"> </w:t>
      </w:r>
      <w:r w:rsidRPr="004D24BD">
        <w:rPr>
          <w:rFonts w:cs="Times New Roman"/>
          <w:szCs w:val="24"/>
          <w:lang w:val="sq-AL"/>
        </w:rPr>
        <w:t xml:space="preserve">të jetë funksionale brenda vitit 2022, pasi aktualisht është në ndjekje të procedurave të rekrutimit të nëpunësve të administratës publike. </w:t>
      </w:r>
    </w:p>
    <w:p w14:paraId="5F20BEAA" w14:textId="77777777" w:rsidR="004D24BD" w:rsidRPr="004D24BD" w:rsidRDefault="004D24BD" w:rsidP="004D24BD">
      <w:pPr>
        <w:pStyle w:val="ListParagraph"/>
        <w:spacing w:line="240" w:lineRule="auto"/>
        <w:ind w:left="360"/>
        <w:jc w:val="both"/>
        <w:rPr>
          <w:rFonts w:cs="Times New Roman"/>
          <w:szCs w:val="24"/>
          <w:lang w:val="sq-AL"/>
        </w:rPr>
      </w:pPr>
    </w:p>
    <w:p w14:paraId="66328E7B" w14:textId="1F063006" w:rsidR="00082C54" w:rsidRDefault="00082C54" w:rsidP="00623352">
      <w:pPr>
        <w:pStyle w:val="ListParagraph"/>
        <w:numPr>
          <w:ilvl w:val="0"/>
          <w:numId w:val="18"/>
        </w:numPr>
        <w:spacing w:line="240" w:lineRule="auto"/>
        <w:jc w:val="both"/>
        <w:rPr>
          <w:rFonts w:cs="Times New Roman"/>
          <w:szCs w:val="24"/>
          <w:lang w:val="sq-AL"/>
        </w:rPr>
      </w:pPr>
      <w:r w:rsidRPr="004D24BD">
        <w:rPr>
          <w:rFonts w:cs="Times New Roman"/>
          <w:szCs w:val="24"/>
          <w:lang w:val="sq-AL"/>
        </w:rPr>
        <w:t>Rinovimi i përbërjes së Këshillit Bashkërendues për çështjet e mbrojtjes së konsumatorëve dhe mbikëqyrjes së tregut, nëpërmjet Urdhrit të Kryeministrit nr. 62, datë 06.04.2022 “Për miratimin e përbërjes së Këshillit Bashkërendues për Mbrojtjen e Konsumatorëve”. Këshilli ka në kompetencë të nxisë diskutimet, të shkëmbejë mendime, të miratojë deklarata, opinione dhe të japë rekomandime në lidhje me çështje që kanë ndikim në mbrojtjen e konsumatorit.</w:t>
      </w:r>
    </w:p>
    <w:p w14:paraId="4B6D1C3D" w14:textId="77777777" w:rsidR="004D24BD" w:rsidRPr="004D24BD" w:rsidRDefault="004D24BD" w:rsidP="004D24BD">
      <w:pPr>
        <w:pStyle w:val="ListParagraph"/>
        <w:spacing w:line="240" w:lineRule="auto"/>
        <w:ind w:left="360"/>
        <w:jc w:val="both"/>
        <w:rPr>
          <w:rFonts w:cs="Times New Roman"/>
          <w:szCs w:val="24"/>
          <w:lang w:val="sq-AL"/>
        </w:rPr>
      </w:pPr>
    </w:p>
    <w:p w14:paraId="3C90E771" w14:textId="5198C27B" w:rsidR="00082C54" w:rsidRPr="004D24BD" w:rsidRDefault="00082C54" w:rsidP="00623352">
      <w:pPr>
        <w:pStyle w:val="ListParagraph"/>
        <w:numPr>
          <w:ilvl w:val="0"/>
          <w:numId w:val="18"/>
        </w:numPr>
        <w:spacing w:line="240" w:lineRule="auto"/>
        <w:jc w:val="both"/>
        <w:rPr>
          <w:rFonts w:cs="Times New Roman"/>
          <w:szCs w:val="24"/>
          <w:lang w:val="sq-AL"/>
        </w:rPr>
      </w:pPr>
      <w:r w:rsidRPr="004D24BD">
        <w:rPr>
          <w:rFonts w:cs="Times New Roman"/>
          <w:szCs w:val="24"/>
          <w:lang w:val="sq-AL"/>
        </w:rPr>
        <w:t>Në drejtim të zbatimit të legjislacionit të mbrojtjes së konsum</w:t>
      </w:r>
      <w:r w:rsidR="00DD02FC" w:rsidRPr="004D24BD">
        <w:rPr>
          <w:rFonts w:cs="Times New Roman"/>
          <w:szCs w:val="24"/>
          <w:lang w:val="sq-AL"/>
        </w:rPr>
        <w:t>a</w:t>
      </w:r>
      <w:r w:rsidRPr="004D24BD">
        <w:rPr>
          <w:rFonts w:cs="Times New Roman"/>
          <w:szCs w:val="24"/>
          <w:lang w:val="sq-AL"/>
        </w:rPr>
        <w:t>torëve, Komisioni i Mbrojtjes së Konsumatorëve ka funksionuar në mënyrë të rregullt, duke zhvilluar rreth 30 mbledhje. KMK ka gjykuar çështjeve me interes publik të konsumatorëve, duke mbrojtur interesa kolektive dhe çështje me interes individual. Komisioni ka marrë rreth 45 vendime, 30 prej t</w:t>
      </w:r>
      <w:r w:rsidR="00DD02FC" w:rsidRPr="004D24BD">
        <w:rPr>
          <w:rFonts w:cs="Times New Roman"/>
          <w:szCs w:val="24"/>
          <w:lang w:val="sq-AL"/>
        </w:rPr>
        <w:t>ë</w:t>
      </w:r>
      <w:r w:rsidRPr="004D24BD">
        <w:rPr>
          <w:rFonts w:cs="Times New Roman"/>
          <w:szCs w:val="24"/>
          <w:lang w:val="sq-AL"/>
        </w:rPr>
        <w:t xml:space="preserve"> cilave, në mbrojtje të interesit të përgjithshëm publik për çështje të tilla si: praktika të padrejta tregtare, publicitet krahasues të palejuar, mospërmbushje të shërbimeve të ofruara, mungesë informacioni etj. Përmendet këtu marrja e 18 vendimeve, në lidhje me kushtet standarde të kontratës në fushën e arsimit universitar nga Insitucionet e Arsimit të Lartë Universitar Jopublik, me synim gjetjen dhe eliminimin e kushteve të padrejta në këto kontrata, në vijim të praktikës së ndjekur në vite nga KMK për kushtet e padrejta në kontratat standarde të konsumatorëve të fushave tjera, si: furnizimi me ujë, energji elektrike etj.; </w:t>
      </w:r>
    </w:p>
    <w:p w14:paraId="3F99033D" w14:textId="77777777" w:rsidR="00125F79" w:rsidRDefault="00082C54" w:rsidP="00D730C2">
      <w:pPr>
        <w:spacing w:line="240" w:lineRule="auto"/>
        <w:jc w:val="both"/>
        <w:rPr>
          <w:rFonts w:cs="Times New Roman"/>
          <w:szCs w:val="24"/>
          <w:lang w:val="sq-AL"/>
        </w:rPr>
      </w:pPr>
      <w:r w:rsidRPr="009475CC">
        <w:rPr>
          <w:rFonts w:cs="Times New Roman"/>
          <w:szCs w:val="24"/>
          <w:lang w:val="sq-AL"/>
        </w:rPr>
        <w:t>Masa të tjera të marra janë edhe:</w:t>
      </w:r>
    </w:p>
    <w:p w14:paraId="17D2947C" w14:textId="5644540B" w:rsidR="00125F79" w:rsidRDefault="00125F79" w:rsidP="00623352">
      <w:pPr>
        <w:pStyle w:val="ListParagraph"/>
        <w:numPr>
          <w:ilvl w:val="0"/>
          <w:numId w:val="52"/>
        </w:numPr>
        <w:spacing w:line="240" w:lineRule="auto"/>
        <w:jc w:val="both"/>
        <w:rPr>
          <w:rFonts w:cs="Times New Roman"/>
          <w:szCs w:val="24"/>
          <w:lang w:val="sq-AL"/>
        </w:rPr>
      </w:pPr>
      <w:r>
        <w:rPr>
          <w:rFonts w:cs="Times New Roman"/>
          <w:szCs w:val="24"/>
          <w:lang w:val="sq-AL"/>
        </w:rPr>
        <w:t>I</w:t>
      </w:r>
      <w:r w:rsidR="00082C54" w:rsidRPr="00125F79">
        <w:rPr>
          <w:rFonts w:cs="Times New Roman"/>
          <w:szCs w:val="24"/>
          <w:lang w:val="sq-AL"/>
        </w:rPr>
        <w:t xml:space="preserve">nicimi në bashkëpunim me AKEP i hartimit të një Kodi Sjellje në fushën e </w:t>
      </w:r>
      <w:r w:rsidR="00082C54" w:rsidRPr="004D24BD">
        <w:rPr>
          <w:rFonts w:cs="Times New Roman"/>
          <w:szCs w:val="24"/>
          <w:lang w:val="sq-AL"/>
        </w:rPr>
        <w:t xml:space="preserve">komunikimeve elektronike, të nënshkruar nga katër operatorët e telefonisë celulare me synim ndalimin e praktikave të padrejta tregtare në fushën e komunikimeve elektronike; </w:t>
      </w:r>
    </w:p>
    <w:p w14:paraId="1658FE85" w14:textId="77777777" w:rsidR="004D24BD" w:rsidRPr="004D24BD" w:rsidRDefault="004D24BD" w:rsidP="004D24BD">
      <w:pPr>
        <w:pStyle w:val="ListParagraph"/>
        <w:spacing w:line="240" w:lineRule="auto"/>
        <w:ind w:left="360"/>
        <w:jc w:val="both"/>
        <w:rPr>
          <w:rFonts w:cs="Times New Roman"/>
          <w:szCs w:val="24"/>
          <w:lang w:val="sq-AL"/>
        </w:rPr>
      </w:pPr>
    </w:p>
    <w:p w14:paraId="1E0B9CF7" w14:textId="0C849B3E" w:rsidR="00082C54" w:rsidRPr="004D24BD" w:rsidRDefault="00082C54" w:rsidP="00623352">
      <w:pPr>
        <w:pStyle w:val="ListParagraph"/>
        <w:numPr>
          <w:ilvl w:val="0"/>
          <w:numId w:val="52"/>
        </w:numPr>
        <w:spacing w:line="240" w:lineRule="auto"/>
        <w:jc w:val="both"/>
        <w:rPr>
          <w:rFonts w:cs="Times New Roman"/>
          <w:szCs w:val="24"/>
          <w:lang w:val="sq-AL"/>
        </w:rPr>
      </w:pPr>
      <w:r w:rsidRPr="00125F79">
        <w:rPr>
          <w:rFonts w:cs="Times New Roman"/>
          <w:szCs w:val="24"/>
          <w:lang w:val="sq-AL"/>
        </w:rPr>
        <w:t xml:space="preserve">Nënshkrimi i një marrëveshje bashkëpunimi midis AMA dhe MFE, në lidhje me </w:t>
      </w:r>
      <w:r w:rsidRPr="004D24BD">
        <w:rPr>
          <w:rFonts w:cs="Times New Roman"/>
          <w:szCs w:val="24"/>
          <w:lang w:val="sq-AL"/>
        </w:rPr>
        <w:t xml:space="preserve">mbrojtjen e konsumatorëve nga praktikat e padrejta tregtare në fushën e mediave audiovizive. </w:t>
      </w:r>
    </w:p>
    <w:p w14:paraId="3E916B13" w14:textId="1CC89181" w:rsidR="00082C54" w:rsidRPr="00125F79" w:rsidRDefault="00082C54" w:rsidP="00D730C2">
      <w:pPr>
        <w:spacing w:line="240" w:lineRule="auto"/>
        <w:jc w:val="both"/>
        <w:rPr>
          <w:rFonts w:cs="Times New Roman"/>
          <w:szCs w:val="24"/>
          <w:lang w:val="sq-AL"/>
        </w:rPr>
      </w:pPr>
      <w:r w:rsidRPr="00125F79">
        <w:rPr>
          <w:rFonts w:cs="Times New Roman"/>
          <w:szCs w:val="24"/>
          <w:lang w:val="sq-AL"/>
        </w:rPr>
        <w:t>Trajtimi dhe zgjidhja e ankesave individuale të konsumatorëve, si pjes</w:t>
      </w:r>
      <w:r w:rsidR="00125F79">
        <w:rPr>
          <w:rFonts w:cs="Times New Roman"/>
          <w:szCs w:val="24"/>
          <w:lang w:val="sq-AL"/>
        </w:rPr>
        <w:t>ë</w:t>
      </w:r>
      <w:r w:rsidRPr="00125F79">
        <w:rPr>
          <w:rFonts w:cs="Times New Roman"/>
          <w:szCs w:val="24"/>
          <w:lang w:val="sq-AL"/>
        </w:rPr>
        <w:t xml:space="preserve"> e punës së KMK</w:t>
      </w:r>
      <w:r w:rsidR="00125F79">
        <w:rPr>
          <w:rFonts w:cs="Times New Roman"/>
          <w:szCs w:val="24"/>
          <w:lang w:val="sq-AL"/>
        </w:rPr>
        <w:t>-së</w:t>
      </w:r>
      <w:r w:rsidRPr="00125F79">
        <w:rPr>
          <w:rFonts w:cs="Times New Roman"/>
          <w:szCs w:val="24"/>
          <w:lang w:val="sq-AL"/>
        </w:rPr>
        <w:t xml:space="preserve"> ka shoqëruar të gjithë periudhën e zbatimit të strategjisë. Pranë Komisionit janë paraqitur gjithsej 200 ankesa me objekt mbrojtjen e interesave individualë të konsumatorëve, nga të cilat 170 ankesa të ardhura nga konsumatorët,  shoqata apo organizata të mbrojtjes së konsumatorëve, nga pushteti vendor, platforma e bashkëqeverisjes dhe 30 nga biznesi, të përmbledhura në tabelën në vijim:</w:t>
      </w:r>
    </w:p>
    <w:tbl>
      <w:tblPr>
        <w:tblW w:w="8217" w:type="dxa"/>
        <w:jc w:val="center"/>
        <w:tblLook w:val="04A0" w:firstRow="1" w:lastRow="0" w:firstColumn="1" w:lastColumn="0" w:noHBand="0" w:noVBand="1"/>
      </w:tblPr>
      <w:tblGrid>
        <w:gridCol w:w="3539"/>
        <w:gridCol w:w="992"/>
        <w:gridCol w:w="851"/>
        <w:gridCol w:w="850"/>
        <w:gridCol w:w="851"/>
        <w:gridCol w:w="1134"/>
      </w:tblGrid>
      <w:tr w:rsidR="00082C54" w:rsidRPr="009475CC" w14:paraId="3F817913" w14:textId="77777777" w:rsidTr="009475CC">
        <w:trPr>
          <w:trHeight w:val="440"/>
          <w:jc w:val="center"/>
        </w:trPr>
        <w:tc>
          <w:tcPr>
            <w:tcW w:w="3539" w:type="dxa"/>
            <w:vMerge w:val="restart"/>
            <w:tcBorders>
              <w:top w:val="single" w:sz="4" w:space="0" w:color="auto"/>
              <w:left w:val="single" w:sz="4" w:space="0" w:color="auto"/>
              <w:right w:val="single" w:sz="4" w:space="0" w:color="auto"/>
            </w:tcBorders>
            <w:shd w:val="clear" w:color="auto" w:fill="AEAAAA" w:themeFill="background2" w:themeFillShade="BF"/>
            <w:noWrap/>
            <w:vAlign w:val="bottom"/>
          </w:tcPr>
          <w:p w14:paraId="6BC58C58" w14:textId="77777777" w:rsidR="00082C54" w:rsidRPr="009475CC" w:rsidRDefault="00082C54" w:rsidP="00E45C0D">
            <w:pPr>
              <w:spacing w:after="0" w:line="240" w:lineRule="auto"/>
              <w:jc w:val="center"/>
              <w:rPr>
                <w:rFonts w:eastAsia="Times New Roman" w:cs="Times New Roman"/>
                <w:color w:val="000000"/>
                <w:szCs w:val="24"/>
              </w:rPr>
            </w:pPr>
            <w:r w:rsidRPr="009475CC">
              <w:rPr>
                <w:rFonts w:eastAsia="Times New Roman" w:cs="Times New Roman"/>
                <w:color w:val="000000"/>
                <w:szCs w:val="24"/>
              </w:rPr>
              <w:t>Burimi i ankesave</w:t>
            </w:r>
          </w:p>
        </w:tc>
        <w:tc>
          <w:tcPr>
            <w:tcW w:w="4678" w:type="dxa"/>
            <w:gridSpan w:val="5"/>
            <w:tcBorders>
              <w:top w:val="single" w:sz="4" w:space="0" w:color="auto"/>
              <w:left w:val="single" w:sz="4" w:space="0" w:color="auto"/>
              <w:bottom w:val="single" w:sz="4" w:space="0" w:color="000000"/>
              <w:right w:val="single" w:sz="4" w:space="0" w:color="auto"/>
            </w:tcBorders>
            <w:shd w:val="clear" w:color="auto" w:fill="AEAAAA" w:themeFill="background2" w:themeFillShade="BF"/>
            <w:vAlign w:val="bottom"/>
          </w:tcPr>
          <w:p w14:paraId="14A60102" w14:textId="77777777" w:rsidR="00082C54" w:rsidRPr="009475CC" w:rsidRDefault="00082C54" w:rsidP="004E1146">
            <w:pPr>
              <w:spacing w:after="0" w:line="240" w:lineRule="auto"/>
              <w:jc w:val="center"/>
              <w:rPr>
                <w:rFonts w:eastAsia="Times New Roman" w:cs="Times New Roman"/>
                <w:color w:val="000000"/>
                <w:szCs w:val="24"/>
              </w:rPr>
            </w:pPr>
            <w:r w:rsidRPr="009475CC">
              <w:rPr>
                <w:rFonts w:eastAsia="Times New Roman" w:cs="Times New Roman"/>
                <w:color w:val="000000"/>
                <w:szCs w:val="24"/>
              </w:rPr>
              <w:t>Numri i ankesave ne vite</w:t>
            </w:r>
          </w:p>
        </w:tc>
      </w:tr>
      <w:tr w:rsidR="00203D73" w:rsidRPr="009475CC" w14:paraId="49E5A054" w14:textId="77777777" w:rsidTr="00203D73">
        <w:trPr>
          <w:trHeight w:val="300"/>
          <w:jc w:val="center"/>
        </w:trPr>
        <w:tc>
          <w:tcPr>
            <w:tcW w:w="3539" w:type="dxa"/>
            <w:vMerge/>
            <w:tcBorders>
              <w:left w:val="single" w:sz="4" w:space="0" w:color="auto"/>
              <w:right w:val="single" w:sz="4" w:space="0" w:color="auto"/>
            </w:tcBorders>
            <w:shd w:val="clear" w:color="auto" w:fill="AEAAAA" w:themeFill="background2" w:themeFillShade="BF"/>
            <w:noWrap/>
            <w:vAlign w:val="bottom"/>
          </w:tcPr>
          <w:p w14:paraId="650EB574" w14:textId="77777777" w:rsidR="00082C54" w:rsidRPr="009475CC" w:rsidRDefault="00082C54" w:rsidP="009475CC">
            <w:pPr>
              <w:spacing w:after="0" w:line="240" w:lineRule="auto"/>
              <w:jc w:val="center"/>
              <w:rPr>
                <w:rFonts w:eastAsia="Times New Roman" w:cs="Times New Roman"/>
                <w:color w:val="000000"/>
                <w:szCs w:val="24"/>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053FE08" w14:textId="77777777" w:rsidR="00082C54" w:rsidRPr="009475CC" w:rsidRDefault="00082C54" w:rsidP="009475CC">
            <w:pPr>
              <w:spacing w:after="0" w:line="240" w:lineRule="auto"/>
              <w:rPr>
                <w:rFonts w:eastAsia="Times New Roman" w:cs="Times New Roman"/>
                <w:color w:val="000000"/>
                <w:szCs w:val="24"/>
              </w:rPr>
            </w:pPr>
            <w:r w:rsidRPr="009475CC">
              <w:rPr>
                <w:rFonts w:eastAsia="Times New Roman" w:cs="Times New Roman"/>
                <w:color w:val="000000"/>
                <w:szCs w:val="24"/>
              </w:rPr>
              <w:t>2017</w:t>
            </w:r>
          </w:p>
        </w:tc>
        <w:tc>
          <w:tcPr>
            <w:tcW w:w="851" w:type="dxa"/>
            <w:vMerge w:val="restart"/>
            <w:tcBorders>
              <w:top w:val="single" w:sz="4" w:space="0" w:color="auto"/>
              <w:left w:val="single" w:sz="4" w:space="0" w:color="auto"/>
              <w:right w:val="single" w:sz="4" w:space="0" w:color="auto"/>
            </w:tcBorders>
          </w:tcPr>
          <w:p w14:paraId="3145390C" w14:textId="77777777" w:rsidR="00082C54" w:rsidRPr="009475CC" w:rsidRDefault="00082C54" w:rsidP="009475CC">
            <w:pPr>
              <w:spacing w:after="0" w:line="240" w:lineRule="auto"/>
              <w:rPr>
                <w:rFonts w:eastAsia="Times New Roman" w:cs="Times New Roman"/>
                <w:color w:val="000000"/>
                <w:szCs w:val="24"/>
              </w:rPr>
            </w:pPr>
          </w:p>
          <w:p w14:paraId="47AA476B" w14:textId="77777777" w:rsidR="00082C54" w:rsidRPr="009475CC" w:rsidRDefault="00082C54" w:rsidP="009475CC">
            <w:pPr>
              <w:spacing w:after="0" w:line="240" w:lineRule="auto"/>
              <w:rPr>
                <w:rFonts w:eastAsia="Times New Roman" w:cs="Times New Roman"/>
                <w:color w:val="000000"/>
                <w:szCs w:val="24"/>
              </w:rPr>
            </w:pPr>
          </w:p>
          <w:p w14:paraId="41476D17" w14:textId="77777777" w:rsidR="00203D73" w:rsidRDefault="00203D73" w:rsidP="00203D73">
            <w:pPr>
              <w:spacing w:after="0" w:line="240" w:lineRule="auto"/>
              <w:rPr>
                <w:rFonts w:eastAsia="Times New Roman" w:cs="Times New Roman"/>
                <w:color w:val="000000"/>
                <w:szCs w:val="24"/>
              </w:rPr>
            </w:pPr>
          </w:p>
          <w:p w14:paraId="6A82B5BA" w14:textId="15ADA2B3" w:rsidR="00082C54" w:rsidRPr="009475CC" w:rsidRDefault="00082C54" w:rsidP="009475CC">
            <w:pPr>
              <w:spacing w:after="0" w:line="240" w:lineRule="auto"/>
              <w:rPr>
                <w:rFonts w:eastAsia="Times New Roman" w:cs="Times New Roman"/>
                <w:color w:val="000000"/>
                <w:szCs w:val="24"/>
              </w:rPr>
            </w:pPr>
            <w:r w:rsidRPr="009475CC">
              <w:rPr>
                <w:rFonts w:eastAsia="Times New Roman" w:cs="Times New Roman"/>
                <w:color w:val="000000"/>
                <w:szCs w:val="24"/>
              </w:rPr>
              <w:t>2018</w:t>
            </w:r>
          </w:p>
        </w:tc>
        <w:tc>
          <w:tcPr>
            <w:tcW w:w="850" w:type="dxa"/>
            <w:vMerge w:val="restart"/>
            <w:tcBorders>
              <w:top w:val="single" w:sz="4" w:space="0" w:color="auto"/>
              <w:left w:val="single" w:sz="4" w:space="0" w:color="auto"/>
              <w:right w:val="single" w:sz="4" w:space="0" w:color="auto"/>
            </w:tcBorders>
          </w:tcPr>
          <w:p w14:paraId="338282F4" w14:textId="77777777" w:rsidR="00082C54" w:rsidRPr="009475CC" w:rsidRDefault="00082C54" w:rsidP="009475CC">
            <w:pPr>
              <w:spacing w:after="0" w:line="240" w:lineRule="auto"/>
              <w:rPr>
                <w:rFonts w:eastAsia="Times New Roman" w:cs="Times New Roman"/>
                <w:color w:val="000000"/>
                <w:szCs w:val="24"/>
              </w:rPr>
            </w:pPr>
          </w:p>
          <w:p w14:paraId="30E69113" w14:textId="77777777" w:rsidR="00082C54" w:rsidRPr="009475CC" w:rsidRDefault="00082C54" w:rsidP="009475CC">
            <w:pPr>
              <w:spacing w:after="0" w:line="240" w:lineRule="auto"/>
              <w:rPr>
                <w:rFonts w:eastAsia="Times New Roman" w:cs="Times New Roman"/>
                <w:color w:val="000000"/>
                <w:szCs w:val="24"/>
              </w:rPr>
            </w:pPr>
          </w:p>
          <w:p w14:paraId="185855DB" w14:textId="77777777" w:rsidR="00082C54" w:rsidRPr="009475CC" w:rsidRDefault="00082C54" w:rsidP="009475CC">
            <w:pPr>
              <w:spacing w:after="0" w:line="240" w:lineRule="auto"/>
              <w:rPr>
                <w:rFonts w:eastAsia="Times New Roman" w:cs="Times New Roman"/>
                <w:color w:val="000000"/>
                <w:szCs w:val="24"/>
              </w:rPr>
            </w:pPr>
          </w:p>
          <w:p w14:paraId="0FE25EC5" w14:textId="77777777" w:rsidR="00082C54" w:rsidRPr="009475CC" w:rsidRDefault="00082C54" w:rsidP="009475CC">
            <w:pPr>
              <w:spacing w:after="0" w:line="240" w:lineRule="auto"/>
              <w:rPr>
                <w:rFonts w:eastAsia="Times New Roman" w:cs="Times New Roman"/>
                <w:color w:val="000000"/>
                <w:szCs w:val="24"/>
              </w:rPr>
            </w:pPr>
            <w:r w:rsidRPr="009475CC">
              <w:rPr>
                <w:rFonts w:eastAsia="Times New Roman" w:cs="Times New Roman"/>
                <w:color w:val="000000"/>
                <w:szCs w:val="24"/>
              </w:rPr>
              <w:t>2019</w:t>
            </w:r>
          </w:p>
        </w:tc>
        <w:tc>
          <w:tcPr>
            <w:tcW w:w="851" w:type="dxa"/>
            <w:tcBorders>
              <w:top w:val="single" w:sz="4" w:space="0" w:color="auto"/>
              <w:left w:val="single" w:sz="4" w:space="0" w:color="auto"/>
              <w:right w:val="single" w:sz="4" w:space="0" w:color="auto"/>
            </w:tcBorders>
          </w:tcPr>
          <w:p w14:paraId="7A5A657C" w14:textId="77777777" w:rsidR="00082C54" w:rsidRPr="009475CC" w:rsidRDefault="00082C54" w:rsidP="009475CC">
            <w:pPr>
              <w:spacing w:after="0" w:line="240" w:lineRule="auto"/>
              <w:rPr>
                <w:rFonts w:eastAsia="Times New Roman" w:cs="Times New Roman"/>
                <w:color w:val="000000"/>
                <w:szCs w:val="24"/>
              </w:rPr>
            </w:pPr>
          </w:p>
          <w:p w14:paraId="78F42F8B" w14:textId="77777777" w:rsidR="00082C54" w:rsidRPr="009475CC" w:rsidRDefault="00082C54" w:rsidP="009475CC">
            <w:pPr>
              <w:spacing w:after="0" w:line="240" w:lineRule="auto"/>
              <w:rPr>
                <w:rFonts w:eastAsia="Times New Roman" w:cs="Times New Roman"/>
                <w:color w:val="000000"/>
                <w:szCs w:val="24"/>
              </w:rPr>
            </w:pPr>
          </w:p>
        </w:tc>
        <w:tc>
          <w:tcPr>
            <w:tcW w:w="1134" w:type="dxa"/>
            <w:tcBorders>
              <w:top w:val="single" w:sz="4" w:space="0" w:color="auto"/>
              <w:left w:val="single" w:sz="4" w:space="0" w:color="auto"/>
              <w:right w:val="single" w:sz="4" w:space="0" w:color="auto"/>
            </w:tcBorders>
          </w:tcPr>
          <w:p w14:paraId="4AD0DE1B" w14:textId="77777777" w:rsidR="00082C54" w:rsidRPr="009475CC" w:rsidRDefault="00082C54" w:rsidP="009475CC">
            <w:pPr>
              <w:spacing w:after="0" w:line="240" w:lineRule="auto"/>
              <w:rPr>
                <w:rFonts w:eastAsia="Times New Roman" w:cs="Times New Roman"/>
                <w:color w:val="000000"/>
                <w:szCs w:val="24"/>
              </w:rPr>
            </w:pPr>
          </w:p>
        </w:tc>
      </w:tr>
      <w:tr w:rsidR="00203D73" w:rsidRPr="009475CC" w14:paraId="5801D1B4" w14:textId="77777777" w:rsidTr="00203D73">
        <w:trPr>
          <w:trHeight w:val="341"/>
          <w:jc w:val="center"/>
        </w:trPr>
        <w:tc>
          <w:tcPr>
            <w:tcW w:w="3539" w:type="dxa"/>
            <w:vMerge/>
            <w:tcBorders>
              <w:left w:val="single" w:sz="4" w:space="0" w:color="auto"/>
              <w:bottom w:val="single" w:sz="4" w:space="0" w:color="000000"/>
              <w:right w:val="single" w:sz="4" w:space="0" w:color="auto"/>
            </w:tcBorders>
            <w:shd w:val="clear" w:color="auto" w:fill="AEAAAA" w:themeFill="background2" w:themeFillShade="BF"/>
            <w:vAlign w:val="center"/>
          </w:tcPr>
          <w:p w14:paraId="09448D49" w14:textId="77777777" w:rsidR="00082C54" w:rsidRPr="009475CC" w:rsidRDefault="00082C54" w:rsidP="009475CC">
            <w:pPr>
              <w:spacing w:after="0" w:line="240" w:lineRule="auto"/>
              <w:rPr>
                <w:rFonts w:eastAsia="Times New Roman" w:cs="Times New Roman"/>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25ECEA09" w14:textId="77777777" w:rsidR="00082C54" w:rsidRPr="009475CC" w:rsidRDefault="00082C54" w:rsidP="009475CC">
            <w:pPr>
              <w:spacing w:after="0" w:line="240" w:lineRule="auto"/>
              <w:rPr>
                <w:rFonts w:eastAsia="Times New Roman" w:cs="Times New Roman"/>
                <w:color w:val="000000"/>
                <w:szCs w:val="24"/>
              </w:rPr>
            </w:pPr>
          </w:p>
        </w:tc>
        <w:tc>
          <w:tcPr>
            <w:tcW w:w="851" w:type="dxa"/>
            <w:vMerge/>
            <w:tcBorders>
              <w:left w:val="single" w:sz="4" w:space="0" w:color="auto"/>
              <w:bottom w:val="single" w:sz="4" w:space="0" w:color="000000"/>
              <w:right w:val="single" w:sz="4" w:space="0" w:color="auto"/>
            </w:tcBorders>
          </w:tcPr>
          <w:p w14:paraId="0CDB1DCF" w14:textId="77777777" w:rsidR="00082C54" w:rsidRPr="009475CC" w:rsidRDefault="00082C54" w:rsidP="009475CC">
            <w:pPr>
              <w:spacing w:after="0" w:line="240" w:lineRule="auto"/>
              <w:rPr>
                <w:rFonts w:eastAsia="Times New Roman" w:cs="Times New Roman"/>
                <w:color w:val="000000"/>
                <w:szCs w:val="24"/>
              </w:rPr>
            </w:pPr>
          </w:p>
        </w:tc>
        <w:tc>
          <w:tcPr>
            <w:tcW w:w="850" w:type="dxa"/>
            <w:vMerge/>
            <w:tcBorders>
              <w:left w:val="single" w:sz="4" w:space="0" w:color="auto"/>
              <w:bottom w:val="single" w:sz="4" w:space="0" w:color="000000"/>
              <w:right w:val="single" w:sz="4" w:space="0" w:color="auto"/>
            </w:tcBorders>
          </w:tcPr>
          <w:p w14:paraId="4D134D10" w14:textId="77777777" w:rsidR="00082C54" w:rsidRPr="009475CC" w:rsidRDefault="00082C54" w:rsidP="009475CC">
            <w:pPr>
              <w:spacing w:after="0" w:line="240" w:lineRule="auto"/>
              <w:rPr>
                <w:rFonts w:eastAsia="Times New Roman" w:cs="Times New Roman"/>
                <w:color w:val="000000"/>
                <w:szCs w:val="24"/>
              </w:rPr>
            </w:pPr>
          </w:p>
        </w:tc>
        <w:tc>
          <w:tcPr>
            <w:tcW w:w="851" w:type="dxa"/>
            <w:tcBorders>
              <w:left w:val="single" w:sz="4" w:space="0" w:color="auto"/>
              <w:bottom w:val="single" w:sz="4" w:space="0" w:color="000000"/>
              <w:right w:val="single" w:sz="4" w:space="0" w:color="auto"/>
            </w:tcBorders>
          </w:tcPr>
          <w:p w14:paraId="788047DC" w14:textId="77777777" w:rsidR="00082C54" w:rsidRPr="009475CC" w:rsidRDefault="00082C54" w:rsidP="00E45C0D">
            <w:pPr>
              <w:spacing w:after="0" w:line="240" w:lineRule="auto"/>
              <w:rPr>
                <w:rFonts w:eastAsia="Times New Roman" w:cs="Times New Roman"/>
                <w:color w:val="000000"/>
                <w:szCs w:val="24"/>
              </w:rPr>
            </w:pPr>
          </w:p>
          <w:p w14:paraId="6C51B616" w14:textId="77777777" w:rsidR="00082C54" w:rsidRPr="009475CC" w:rsidRDefault="00082C54" w:rsidP="004E1146">
            <w:pPr>
              <w:spacing w:after="0" w:line="240" w:lineRule="auto"/>
              <w:rPr>
                <w:rFonts w:eastAsia="Times New Roman" w:cs="Times New Roman"/>
                <w:color w:val="000000"/>
                <w:szCs w:val="24"/>
              </w:rPr>
            </w:pPr>
            <w:r w:rsidRPr="009475CC">
              <w:rPr>
                <w:rFonts w:eastAsia="Times New Roman" w:cs="Times New Roman"/>
                <w:color w:val="000000"/>
                <w:szCs w:val="24"/>
              </w:rPr>
              <w:t>2020</w:t>
            </w:r>
          </w:p>
        </w:tc>
        <w:tc>
          <w:tcPr>
            <w:tcW w:w="1134" w:type="dxa"/>
            <w:tcBorders>
              <w:left w:val="single" w:sz="4" w:space="0" w:color="auto"/>
              <w:bottom w:val="single" w:sz="4" w:space="0" w:color="000000"/>
              <w:right w:val="single" w:sz="4" w:space="0" w:color="auto"/>
            </w:tcBorders>
          </w:tcPr>
          <w:p w14:paraId="15C34AE1" w14:textId="77777777" w:rsidR="00082C54" w:rsidRPr="009475CC" w:rsidRDefault="00082C54" w:rsidP="009475CC">
            <w:pPr>
              <w:spacing w:after="0" w:line="240" w:lineRule="auto"/>
              <w:rPr>
                <w:rFonts w:eastAsia="Times New Roman" w:cs="Times New Roman"/>
                <w:color w:val="000000"/>
                <w:szCs w:val="24"/>
              </w:rPr>
            </w:pPr>
          </w:p>
          <w:p w14:paraId="001C47F9" w14:textId="77777777" w:rsidR="00082C54" w:rsidRPr="009475CC" w:rsidRDefault="00082C54" w:rsidP="009475CC">
            <w:pPr>
              <w:spacing w:after="0" w:line="240" w:lineRule="auto"/>
              <w:rPr>
                <w:rFonts w:eastAsia="Times New Roman" w:cs="Times New Roman"/>
                <w:color w:val="000000"/>
                <w:szCs w:val="24"/>
              </w:rPr>
            </w:pPr>
            <w:r w:rsidRPr="009475CC">
              <w:rPr>
                <w:rFonts w:eastAsia="Times New Roman" w:cs="Times New Roman"/>
                <w:color w:val="000000"/>
                <w:szCs w:val="24"/>
              </w:rPr>
              <w:t>2021</w:t>
            </w:r>
          </w:p>
        </w:tc>
      </w:tr>
      <w:tr w:rsidR="00082C54" w:rsidRPr="009475CC" w14:paraId="0568145B" w14:textId="77777777" w:rsidTr="009475CC">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8D6D3B6" w14:textId="356658B5" w:rsidR="00082C54" w:rsidRPr="009475CC" w:rsidRDefault="00082C54" w:rsidP="00E45C0D">
            <w:pPr>
              <w:spacing w:after="0" w:line="240" w:lineRule="auto"/>
              <w:rPr>
                <w:rFonts w:eastAsia="Times New Roman" w:cs="Times New Roman"/>
                <w:color w:val="000000"/>
                <w:szCs w:val="24"/>
              </w:rPr>
            </w:pPr>
            <w:r w:rsidRPr="009475CC">
              <w:rPr>
                <w:rFonts w:eastAsia="Times New Roman" w:cs="Times New Roman"/>
                <w:color w:val="000000"/>
                <w:szCs w:val="24"/>
              </w:rPr>
              <w:lastRenderedPageBreak/>
              <w:t>Nga konsumator</w:t>
            </w:r>
            <w:r w:rsidR="00203D73">
              <w:rPr>
                <w:rFonts w:eastAsia="Times New Roman" w:cs="Times New Roman"/>
                <w:color w:val="000000"/>
                <w:szCs w:val="24"/>
              </w:rPr>
              <w:t>ë</w:t>
            </w:r>
            <w:r w:rsidRPr="009475CC">
              <w:rPr>
                <w:rFonts w:eastAsia="Times New Roman" w:cs="Times New Roman"/>
                <w:color w:val="000000"/>
                <w:szCs w:val="24"/>
              </w:rPr>
              <w:t xml:space="preserve">/organizata/platforma </w:t>
            </w:r>
          </w:p>
        </w:tc>
        <w:tc>
          <w:tcPr>
            <w:tcW w:w="992" w:type="dxa"/>
            <w:tcBorders>
              <w:top w:val="nil"/>
              <w:left w:val="nil"/>
              <w:bottom w:val="single" w:sz="4" w:space="0" w:color="auto"/>
              <w:right w:val="single" w:sz="4" w:space="0" w:color="auto"/>
            </w:tcBorders>
            <w:shd w:val="clear" w:color="auto" w:fill="auto"/>
          </w:tcPr>
          <w:p w14:paraId="2C930CCB" w14:textId="77777777" w:rsidR="00203D73" w:rsidRDefault="00203D73" w:rsidP="00203D73">
            <w:pPr>
              <w:spacing w:after="0" w:line="240" w:lineRule="auto"/>
              <w:jc w:val="center"/>
              <w:rPr>
                <w:rFonts w:cs="Times New Roman"/>
                <w:szCs w:val="24"/>
              </w:rPr>
            </w:pPr>
          </w:p>
          <w:p w14:paraId="4484D5DE" w14:textId="6C30F0CE" w:rsidR="00082C54" w:rsidRPr="009475CC" w:rsidRDefault="00082C54" w:rsidP="009475CC">
            <w:pPr>
              <w:spacing w:after="0" w:line="240" w:lineRule="auto"/>
              <w:jc w:val="center"/>
              <w:rPr>
                <w:rFonts w:cs="Times New Roman"/>
                <w:szCs w:val="24"/>
              </w:rPr>
            </w:pPr>
            <w:r w:rsidRPr="009475CC">
              <w:rPr>
                <w:rFonts w:cs="Times New Roman"/>
                <w:szCs w:val="24"/>
              </w:rPr>
              <w:t>22</w:t>
            </w:r>
          </w:p>
        </w:tc>
        <w:tc>
          <w:tcPr>
            <w:tcW w:w="851" w:type="dxa"/>
            <w:tcBorders>
              <w:top w:val="nil"/>
              <w:left w:val="nil"/>
              <w:bottom w:val="single" w:sz="4" w:space="0" w:color="auto"/>
              <w:right w:val="single" w:sz="4" w:space="0" w:color="auto"/>
            </w:tcBorders>
          </w:tcPr>
          <w:p w14:paraId="659E34E0" w14:textId="77777777" w:rsidR="00203D73" w:rsidRDefault="00203D73" w:rsidP="00203D73">
            <w:pPr>
              <w:spacing w:after="0" w:line="240" w:lineRule="auto"/>
              <w:jc w:val="center"/>
              <w:rPr>
                <w:rFonts w:cs="Times New Roman"/>
                <w:szCs w:val="24"/>
              </w:rPr>
            </w:pPr>
          </w:p>
          <w:p w14:paraId="370D7CF1" w14:textId="205E8843" w:rsidR="00082C54" w:rsidRPr="009475CC" w:rsidRDefault="00082C54" w:rsidP="009475CC">
            <w:pPr>
              <w:spacing w:after="0" w:line="240" w:lineRule="auto"/>
              <w:jc w:val="center"/>
              <w:rPr>
                <w:rFonts w:cs="Times New Roman"/>
                <w:szCs w:val="24"/>
              </w:rPr>
            </w:pPr>
            <w:r w:rsidRPr="009475CC">
              <w:rPr>
                <w:rFonts w:cs="Times New Roman"/>
                <w:szCs w:val="24"/>
              </w:rPr>
              <w:t>24</w:t>
            </w:r>
          </w:p>
        </w:tc>
        <w:tc>
          <w:tcPr>
            <w:tcW w:w="850" w:type="dxa"/>
            <w:tcBorders>
              <w:top w:val="nil"/>
              <w:left w:val="nil"/>
              <w:bottom w:val="single" w:sz="4" w:space="0" w:color="auto"/>
              <w:right w:val="single" w:sz="4" w:space="0" w:color="auto"/>
            </w:tcBorders>
          </w:tcPr>
          <w:p w14:paraId="4223AEFF" w14:textId="77777777" w:rsidR="00203D73" w:rsidRDefault="00203D73" w:rsidP="00203D73">
            <w:pPr>
              <w:spacing w:after="0" w:line="240" w:lineRule="auto"/>
              <w:jc w:val="center"/>
              <w:rPr>
                <w:rFonts w:cs="Times New Roman"/>
                <w:szCs w:val="24"/>
              </w:rPr>
            </w:pPr>
          </w:p>
          <w:p w14:paraId="1B7EF47B" w14:textId="015F5A9B" w:rsidR="00082C54" w:rsidRPr="009475CC" w:rsidRDefault="00082C54" w:rsidP="009475CC">
            <w:pPr>
              <w:spacing w:after="0" w:line="240" w:lineRule="auto"/>
              <w:jc w:val="center"/>
              <w:rPr>
                <w:rFonts w:cs="Times New Roman"/>
                <w:szCs w:val="24"/>
              </w:rPr>
            </w:pPr>
            <w:r w:rsidRPr="009475CC">
              <w:rPr>
                <w:rFonts w:cs="Times New Roman"/>
                <w:szCs w:val="24"/>
              </w:rPr>
              <w:t>28</w:t>
            </w:r>
          </w:p>
        </w:tc>
        <w:tc>
          <w:tcPr>
            <w:tcW w:w="851" w:type="dxa"/>
            <w:tcBorders>
              <w:top w:val="nil"/>
              <w:left w:val="nil"/>
              <w:bottom w:val="single" w:sz="4" w:space="0" w:color="auto"/>
              <w:right w:val="single" w:sz="4" w:space="0" w:color="auto"/>
            </w:tcBorders>
          </w:tcPr>
          <w:p w14:paraId="269169F6" w14:textId="77777777" w:rsidR="00203D73" w:rsidRDefault="00203D73" w:rsidP="00203D73">
            <w:pPr>
              <w:spacing w:after="0" w:line="240" w:lineRule="auto"/>
              <w:jc w:val="center"/>
              <w:rPr>
                <w:rFonts w:cs="Times New Roman"/>
                <w:szCs w:val="24"/>
              </w:rPr>
            </w:pPr>
          </w:p>
          <w:p w14:paraId="7075DEBC" w14:textId="6DFD3970" w:rsidR="00082C54" w:rsidRPr="009475CC" w:rsidRDefault="00082C54" w:rsidP="009475CC">
            <w:pPr>
              <w:spacing w:after="0" w:line="240" w:lineRule="auto"/>
              <w:jc w:val="center"/>
              <w:rPr>
                <w:rFonts w:cs="Times New Roman"/>
                <w:szCs w:val="24"/>
              </w:rPr>
            </w:pPr>
            <w:r w:rsidRPr="009475CC">
              <w:rPr>
                <w:rFonts w:cs="Times New Roman"/>
                <w:szCs w:val="24"/>
              </w:rPr>
              <w:t>45</w:t>
            </w:r>
          </w:p>
        </w:tc>
        <w:tc>
          <w:tcPr>
            <w:tcW w:w="1134" w:type="dxa"/>
            <w:tcBorders>
              <w:top w:val="nil"/>
              <w:left w:val="nil"/>
              <w:bottom w:val="single" w:sz="4" w:space="0" w:color="auto"/>
              <w:right w:val="single" w:sz="4" w:space="0" w:color="auto"/>
            </w:tcBorders>
          </w:tcPr>
          <w:p w14:paraId="53F691D8" w14:textId="77777777" w:rsidR="00203D73" w:rsidRDefault="00203D73" w:rsidP="00203D73">
            <w:pPr>
              <w:spacing w:after="0" w:line="240" w:lineRule="auto"/>
              <w:jc w:val="center"/>
              <w:rPr>
                <w:rFonts w:eastAsia="Times New Roman" w:cs="Times New Roman"/>
                <w:color w:val="000000"/>
                <w:szCs w:val="24"/>
              </w:rPr>
            </w:pPr>
          </w:p>
          <w:p w14:paraId="74EEBA25" w14:textId="339AC7FA" w:rsidR="00082C54" w:rsidRPr="009475CC" w:rsidRDefault="00082C54" w:rsidP="00E45C0D">
            <w:pPr>
              <w:spacing w:after="0" w:line="240" w:lineRule="auto"/>
              <w:jc w:val="center"/>
              <w:rPr>
                <w:rFonts w:eastAsia="Times New Roman" w:cs="Times New Roman"/>
                <w:color w:val="000000"/>
                <w:szCs w:val="24"/>
              </w:rPr>
            </w:pPr>
            <w:r w:rsidRPr="009475CC">
              <w:rPr>
                <w:rFonts w:eastAsia="Times New Roman" w:cs="Times New Roman"/>
                <w:color w:val="000000"/>
                <w:szCs w:val="24"/>
              </w:rPr>
              <w:t>51</w:t>
            </w:r>
          </w:p>
        </w:tc>
      </w:tr>
      <w:tr w:rsidR="00082C54" w:rsidRPr="009475CC" w14:paraId="4B9D84A1" w14:textId="77777777" w:rsidTr="009475CC">
        <w:trPr>
          <w:trHeight w:val="359"/>
          <w:jc w:val="center"/>
        </w:trPr>
        <w:tc>
          <w:tcPr>
            <w:tcW w:w="3539" w:type="dxa"/>
            <w:tcBorders>
              <w:top w:val="nil"/>
              <w:left w:val="single" w:sz="4" w:space="0" w:color="auto"/>
              <w:bottom w:val="single" w:sz="4" w:space="0" w:color="auto"/>
              <w:right w:val="single" w:sz="4" w:space="0" w:color="auto"/>
            </w:tcBorders>
            <w:shd w:val="clear" w:color="auto" w:fill="auto"/>
            <w:vAlign w:val="bottom"/>
          </w:tcPr>
          <w:p w14:paraId="04E1A4BA" w14:textId="3265E229" w:rsidR="00082C54" w:rsidRPr="009475CC" w:rsidRDefault="00082C54" w:rsidP="00E45C0D">
            <w:pPr>
              <w:spacing w:after="0" w:line="240" w:lineRule="auto"/>
              <w:rPr>
                <w:rFonts w:eastAsia="Times New Roman" w:cs="Times New Roman"/>
                <w:color w:val="000000"/>
                <w:szCs w:val="24"/>
              </w:rPr>
            </w:pPr>
            <w:r w:rsidRPr="009475CC">
              <w:rPr>
                <w:rFonts w:eastAsia="Times New Roman" w:cs="Times New Roman"/>
                <w:color w:val="000000"/>
                <w:szCs w:val="24"/>
              </w:rPr>
              <w:t>Nga tregtar</w:t>
            </w:r>
            <w:r w:rsidR="00203D73">
              <w:rPr>
                <w:rFonts w:eastAsia="Times New Roman" w:cs="Times New Roman"/>
                <w:color w:val="000000"/>
                <w:szCs w:val="24"/>
              </w:rPr>
              <w:t>ë</w:t>
            </w:r>
          </w:p>
        </w:tc>
        <w:tc>
          <w:tcPr>
            <w:tcW w:w="992" w:type="dxa"/>
            <w:tcBorders>
              <w:top w:val="nil"/>
              <w:left w:val="nil"/>
              <w:bottom w:val="single" w:sz="4" w:space="0" w:color="auto"/>
              <w:right w:val="single" w:sz="4" w:space="0" w:color="auto"/>
            </w:tcBorders>
            <w:shd w:val="clear" w:color="auto" w:fill="auto"/>
          </w:tcPr>
          <w:p w14:paraId="5F7939DA" w14:textId="77777777" w:rsidR="00082C54" w:rsidRPr="009475CC" w:rsidRDefault="00082C54" w:rsidP="009475CC">
            <w:pPr>
              <w:spacing w:after="0" w:line="240" w:lineRule="auto"/>
              <w:jc w:val="center"/>
              <w:rPr>
                <w:rFonts w:cs="Times New Roman"/>
                <w:szCs w:val="24"/>
              </w:rPr>
            </w:pPr>
            <w:r w:rsidRPr="009475CC">
              <w:rPr>
                <w:rFonts w:cs="Times New Roman"/>
                <w:szCs w:val="24"/>
              </w:rPr>
              <w:t>4</w:t>
            </w:r>
          </w:p>
        </w:tc>
        <w:tc>
          <w:tcPr>
            <w:tcW w:w="851" w:type="dxa"/>
            <w:tcBorders>
              <w:top w:val="nil"/>
              <w:left w:val="nil"/>
              <w:bottom w:val="single" w:sz="4" w:space="0" w:color="auto"/>
              <w:right w:val="single" w:sz="4" w:space="0" w:color="auto"/>
            </w:tcBorders>
          </w:tcPr>
          <w:p w14:paraId="48AD4892" w14:textId="77777777" w:rsidR="00082C54" w:rsidRPr="009475CC" w:rsidRDefault="00082C54" w:rsidP="009475CC">
            <w:pPr>
              <w:spacing w:after="0" w:line="240" w:lineRule="auto"/>
              <w:jc w:val="center"/>
              <w:rPr>
                <w:rFonts w:cs="Times New Roman"/>
                <w:szCs w:val="24"/>
              </w:rPr>
            </w:pPr>
            <w:r w:rsidRPr="009475CC">
              <w:rPr>
                <w:rFonts w:cs="Times New Roman"/>
                <w:szCs w:val="24"/>
              </w:rPr>
              <w:t>6</w:t>
            </w:r>
          </w:p>
        </w:tc>
        <w:tc>
          <w:tcPr>
            <w:tcW w:w="850" w:type="dxa"/>
            <w:tcBorders>
              <w:top w:val="nil"/>
              <w:left w:val="nil"/>
              <w:bottom w:val="single" w:sz="4" w:space="0" w:color="auto"/>
              <w:right w:val="single" w:sz="4" w:space="0" w:color="auto"/>
            </w:tcBorders>
          </w:tcPr>
          <w:p w14:paraId="3AC5E3DA" w14:textId="77777777" w:rsidR="00082C54" w:rsidRPr="009475CC" w:rsidRDefault="00082C54" w:rsidP="009475CC">
            <w:pPr>
              <w:spacing w:after="0" w:line="240" w:lineRule="auto"/>
              <w:jc w:val="center"/>
              <w:rPr>
                <w:rFonts w:cs="Times New Roman"/>
                <w:szCs w:val="24"/>
              </w:rPr>
            </w:pPr>
            <w:r w:rsidRPr="009475CC">
              <w:rPr>
                <w:rFonts w:cs="Times New Roman"/>
                <w:szCs w:val="24"/>
              </w:rPr>
              <w:t>3</w:t>
            </w:r>
          </w:p>
        </w:tc>
        <w:tc>
          <w:tcPr>
            <w:tcW w:w="851" w:type="dxa"/>
            <w:tcBorders>
              <w:top w:val="nil"/>
              <w:left w:val="nil"/>
              <w:bottom w:val="single" w:sz="4" w:space="0" w:color="auto"/>
              <w:right w:val="single" w:sz="4" w:space="0" w:color="auto"/>
            </w:tcBorders>
          </w:tcPr>
          <w:p w14:paraId="54C301BA" w14:textId="77777777" w:rsidR="00082C54" w:rsidRPr="009475CC" w:rsidRDefault="00082C54" w:rsidP="009475CC">
            <w:pPr>
              <w:spacing w:after="0" w:line="240" w:lineRule="auto"/>
              <w:jc w:val="center"/>
              <w:rPr>
                <w:rFonts w:cs="Times New Roman"/>
                <w:szCs w:val="24"/>
              </w:rPr>
            </w:pPr>
            <w:r w:rsidRPr="009475CC">
              <w:rPr>
                <w:rFonts w:cs="Times New Roman"/>
                <w:szCs w:val="24"/>
              </w:rPr>
              <w:t>10</w:t>
            </w:r>
          </w:p>
        </w:tc>
        <w:tc>
          <w:tcPr>
            <w:tcW w:w="1134" w:type="dxa"/>
            <w:tcBorders>
              <w:top w:val="nil"/>
              <w:left w:val="nil"/>
              <w:bottom w:val="single" w:sz="4" w:space="0" w:color="auto"/>
              <w:right w:val="single" w:sz="4" w:space="0" w:color="auto"/>
            </w:tcBorders>
          </w:tcPr>
          <w:p w14:paraId="58262D1D" w14:textId="77777777" w:rsidR="00082C54" w:rsidRPr="009475CC" w:rsidRDefault="00082C54" w:rsidP="00E45C0D">
            <w:pPr>
              <w:spacing w:after="0" w:line="240" w:lineRule="auto"/>
              <w:jc w:val="center"/>
              <w:rPr>
                <w:rFonts w:eastAsia="Times New Roman" w:cs="Times New Roman"/>
                <w:color w:val="000000"/>
                <w:szCs w:val="24"/>
              </w:rPr>
            </w:pPr>
            <w:r w:rsidRPr="009475CC">
              <w:rPr>
                <w:rFonts w:eastAsia="Times New Roman" w:cs="Times New Roman"/>
                <w:color w:val="000000"/>
                <w:szCs w:val="24"/>
              </w:rPr>
              <w:t>7</w:t>
            </w:r>
          </w:p>
        </w:tc>
      </w:tr>
      <w:tr w:rsidR="00082C54" w:rsidRPr="009475CC" w14:paraId="5EFD4892" w14:textId="77777777" w:rsidTr="009475CC">
        <w:trPr>
          <w:trHeight w:val="377"/>
          <w:jc w:val="center"/>
        </w:trPr>
        <w:tc>
          <w:tcPr>
            <w:tcW w:w="3539" w:type="dxa"/>
            <w:tcBorders>
              <w:top w:val="nil"/>
              <w:left w:val="single" w:sz="4" w:space="0" w:color="auto"/>
              <w:bottom w:val="single" w:sz="4" w:space="0" w:color="auto"/>
              <w:right w:val="single" w:sz="4" w:space="0" w:color="auto"/>
            </w:tcBorders>
            <w:shd w:val="clear" w:color="auto" w:fill="auto"/>
            <w:vAlign w:val="bottom"/>
          </w:tcPr>
          <w:p w14:paraId="74F5FF2F" w14:textId="77777777" w:rsidR="00082C54" w:rsidRPr="009475CC" w:rsidRDefault="00082C54" w:rsidP="00E45C0D">
            <w:pPr>
              <w:spacing w:after="0" w:line="240" w:lineRule="auto"/>
              <w:rPr>
                <w:rFonts w:eastAsia="Times New Roman" w:cs="Times New Roman"/>
                <w:color w:val="000000"/>
                <w:szCs w:val="24"/>
              </w:rPr>
            </w:pPr>
            <w:r w:rsidRPr="009475CC">
              <w:rPr>
                <w:rFonts w:eastAsia="Times New Roman" w:cs="Times New Roman"/>
                <w:color w:val="000000"/>
                <w:szCs w:val="24"/>
              </w:rPr>
              <w:t>Ankesa gjithsej </w:t>
            </w:r>
          </w:p>
        </w:tc>
        <w:tc>
          <w:tcPr>
            <w:tcW w:w="992" w:type="dxa"/>
            <w:tcBorders>
              <w:top w:val="nil"/>
              <w:left w:val="nil"/>
              <w:bottom w:val="single" w:sz="4" w:space="0" w:color="auto"/>
              <w:right w:val="single" w:sz="4" w:space="0" w:color="auto"/>
            </w:tcBorders>
            <w:shd w:val="clear" w:color="auto" w:fill="auto"/>
          </w:tcPr>
          <w:p w14:paraId="1C4BA117" w14:textId="77777777" w:rsidR="00082C54" w:rsidRPr="009475CC" w:rsidRDefault="00082C54" w:rsidP="009475CC">
            <w:pPr>
              <w:spacing w:after="0" w:line="240" w:lineRule="auto"/>
              <w:jc w:val="center"/>
              <w:rPr>
                <w:rFonts w:cs="Times New Roman"/>
                <w:szCs w:val="24"/>
              </w:rPr>
            </w:pPr>
            <w:r w:rsidRPr="009475CC">
              <w:rPr>
                <w:rFonts w:cs="Times New Roman"/>
                <w:szCs w:val="24"/>
              </w:rPr>
              <w:t>26</w:t>
            </w:r>
          </w:p>
        </w:tc>
        <w:tc>
          <w:tcPr>
            <w:tcW w:w="851" w:type="dxa"/>
            <w:tcBorders>
              <w:top w:val="nil"/>
              <w:left w:val="nil"/>
              <w:bottom w:val="single" w:sz="4" w:space="0" w:color="auto"/>
              <w:right w:val="single" w:sz="4" w:space="0" w:color="auto"/>
            </w:tcBorders>
          </w:tcPr>
          <w:p w14:paraId="1C6FC24E" w14:textId="77777777" w:rsidR="00082C54" w:rsidRPr="009475CC" w:rsidRDefault="00082C54" w:rsidP="009475CC">
            <w:pPr>
              <w:spacing w:after="0" w:line="240" w:lineRule="auto"/>
              <w:jc w:val="center"/>
              <w:rPr>
                <w:rFonts w:cs="Times New Roman"/>
                <w:szCs w:val="24"/>
              </w:rPr>
            </w:pPr>
            <w:r w:rsidRPr="009475CC">
              <w:rPr>
                <w:rFonts w:cs="Times New Roman"/>
                <w:szCs w:val="24"/>
              </w:rPr>
              <w:t>30</w:t>
            </w:r>
          </w:p>
        </w:tc>
        <w:tc>
          <w:tcPr>
            <w:tcW w:w="850" w:type="dxa"/>
            <w:tcBorders>
              <w:top w:val="nil"/>
              <w:left w:val="nil"/>
              <w:bottom w:val="single" w:sz="4" w:space="0" w:color="auto"/>
              <w:right w:val="single" w:sz="4" w:space="0" w:color="auto"/>
            </w:tcBorders>
          </w:tcPr>
          <w:p w14:paraId="067DE0BD" w14:textId="77777777" w:rsidR="00082C54" w:rsidRPr="009475CC" w:rsidRDefault="00082C54" w:rsidP="009475CC">
            <w:pPr>
              <w:spacing w:after="0" w:line="240" w:lineRule="auto"/>
              <w:jc w:val="center"/>
              <w:rPr>
                <w:rFonts w:cs="Times New Roman"/>
                <w:szCs w:val="24"/>
              </w:rPr>
            </w:pPr>
            <w:r w:rsidRPr="009475CC">
              <w:rPr>
                <w:rFonts w:cs="Times New Roman"/>
                <w:szCs w:val="24"/>
              </w:rPr>
              <w:t>31</w:t>
            </w:r>
          </w:p>
        </w:tc>
        <w:tc>
          <w:tcPr>
            <w:tcW w:w="851" w:type="dxa"/>
            <w:tcBorders>
              <w:top w:val="nil"/>
              <w:left w:val="nil"/>
              <w:bottom w:val="single" w:sz="4" w:space="0" w:color="auto"/>
              <w:right w:val="single" w:sz="4" w:space="0" w:color="auto"/>
            </w:tcBorders>
          </w:tcPr>
          <w:p w14:paraId="26236131" w14:textId="77777777" w:rsidR="00082C54" w:rsidRPr="009475CC" w:rsidRDefault="00082C54" w:rsidP="009475CC">
            <w:pPr>
              <w:spacing w:after="0" w:line="240" w:lineRule="auto"/>
              <w:jc w:val="center"/>
              <w:rPr>
                <w:rFonts w:cs="Times New Roman"/>
                <w:szCs w:val="24"/>
              </w:rPr>
            </w:pPr>
            <w:r w:rsidRPr="009475CC">
              <w:rPr>
                <w:rFonts w:cs="Times New Roman"/>
                <w:szCs w:val="24"/>
              </w:rPr>
              <w:t>55</w:t>
            </w:r>
          </w:p>
        </w:tc>
        <w:tc>
          <w:tcPr>
            <w:tcW w:w="1134" w:type="dxa"/>
            <w:tcBorders>
              <w:top w:val="nil"/>
              <w:left w:val="nil"/>
              <w:bottom w:val="single" w:sz="4" w:space="0" w:color="auto"/>
              <w:right w:val="single" w:sz="4" w:space="0" w:color="auto"/>
            </w:tcBorders>
          </w:tcPr>
          <w:p w14:paraId="365466EC" w14:textId="77777777" w:rsidR="00082C54" w:rsidRPr="009475CC" w:rsidRDefault="00082C54" w:rsidP="00E45C0D">
            <w:pPr>
              <w:spacing w:after="0" w:line="240" w:lineRule="auto"/>
              <w:jc w:val="center"/>
              <w:rPr>
                <w:rFonts w:eastAsia="Times New Roman" w:cs="Times New Roman"/>
                <w:color w:val="000000"/>
                <w:szCs w:val="24"/>
              </w:rPr>
            </w:pPr>
            <w:r w:rsidRPr="009475CC">
              <w:rPr>
                <w:rFonts w:eastAsia="Times New Roman" w:cs="Times New Roman"/>
                <w:color w:val="000000"/>
                <w:szCs w:val="24"/>
              </w:rPr>
              <w:t>58</w:t>
            </w:r>
          </w:p>
        </w:tc>
      </w:tr>
    </w:tbl>
    <w:p w14:paraId="35D5E4E7" w14:textId="77777777" w:rsidR="00082C54" w:rsidRPr="009475CC" w:rsidRDefault="00082C54" w:rsidP="009475CC">
      <w:pPr>
        <w:spacing w:after="0" w:line="240" w:lineRule="auto"/>
        <w:jc w:val="both"/>
        <w:rPr>
          <w:rFonts w:cs="Times New Roman"/>
          <w:szCs w:val="24"/>
          <w:lang w:val="sq-AL"/>
        </w:rPr>
      </w:pPr>
    </w:p>
    <w:p w14:paraId="12EF36B8" w14:textId="77777777" w:rsidR="00125F79" w:rsidRDefault="00082C54" w:rsidP="00623352">
      <w:pPr>
        <w:pStyle w:val="ListParagraph"/>
        <w:numPr>
          <w:ilvl w:val="0"/>
          <w:numId w:val="1"/>
        </w:numPr>
        <w:spacing w:after="0" w:line="240" w:lineRule="auto"/>
        <w:jc w:val="both"/>
        <w:rPr>
          <w:rFonts w:cs="Times New Roman"/>
          <w:szCs w:val="24"/>
          <w:lang w:val="sq-AL"/>
        </w:rPr>
      </w:pPr>
      <w:r w:rsidRPr="009475CC">
        <w:rPr>
          <w:rFonts w:cs="Times New Roman"/>
          <w:szCs w:val="24"/>
          <w:lang w:val="sq-AL"/>
        </w:rPr>
        <w:t xml:space="preserve">Problematikat e ankesave të konsumatorëve konsistojnë kryesisht në: mospërmbushje e </w:t>
      </w:r>
    </w:p>
    <w:p w14:paraId="0357A76F" w14:textId="77777777" w:rsidR="00125F79" w:rsidRDefault="00082C54" w:rsidP="00125F79">
      <w:pPr>
        <w:spacing w:after="0" w:line="240" w:lineRule="auto"/>
        <w:jc w:val="both"/>
        <w:rPr>
          <w:rFonts w:cs="Times New Roman"/>
          <w:szCs w:val="24"/>
          <w:lang w:val="sq-AL"/>
        </w:rPr>
      </w:pPr>
      <w:r w:rsidRPr="00125F79">
        <w:rPr>
          <w:rFonts w:cs="Times New Roman"/>
          <w:szCs w:val="24"/>
          <w:lang w:val="sq-AL"/>
        </w:rPr>
        <w:t xml:space="preserve">shërbimeve të ofruara në përputhje me kushtet kontraktore, mospërputhshmëria me kushtet e  kontratës në blerjen e mallit dhe garancia e produkteve, mungesa e zbatimit e së drejtës së konsumatorit për të hequr dorë  nga kontratat në largësi, kushtet e padrejta në kontratat konsumatore: në kredinë konsumatore, të paketave të udhëtimit; informacioneve të pavërteta  në publicitete të ndryshme, publicitet krahasues  të palejuar, etj. </w:t>
      </w:r>
    </w:p>
    <w:p w14:paraId="6119E778" w14:textId="3BE828AA" w:rsidR="00082C54" w:rsidRPr="00125F79" w:rsidRDefault="00082C54" w:rsidP="00125F79">
      <w:pPr>
        <w:spacing w:after="0" w:line="240" w:lineRule="auto"/>
        <w:jc w:val="both"/>
        <w:rPr>
          <w:rFonts w:cs="Times New Roman"/>
          <w:szCs w:val="24"/>
          <w:lang w:val="sq-AL"/>
        </w:rPr>
      </w:pPr>
      <w:r w:rsidRPr="00125F79">
        <w:rPr>
          <w:rFonts w:cs="Times New Roman"/>
          <w:szCs w:val="24"/>
          <w:lang w:val="sq-AL"/>
        </w:rPr>
        <w:t>Një paraqitje skematike e problematikave të sipërpermendur të ankesave, p</w:t>
      </w:r>
      <w:r w:rsidR="00125F79">
        <w:rPr>
          <w:rFonts w:cs="Times New Roman"/>
          <w:szCs w:val="24"/>
          <w:lang w:val="sq-AL"/>
        </w:rPr>
        <w:t>ë</w:t>
      </w:r>
      <w:r w:rsidRPr="00125F79">
        <w:rPr>
          <w:rFonts w:cs="Times New Roman"/>
          <w:szCs w:val="24"/>
          <w:lang w:val="sq-AL"/>
        </w:rPr>
        <w:t>r vitin 2021 jepet n</w:t>
      </w:r>
      <w:r w:rsidR="00CD0666" w:rsidRPr="00125F79">
        <w:rPr>
          <w:rFonts w:cs="Times New Roman"/>
          <w:szCs w:val="24"/>
          <w:lang w:val="sq-AL"/>
        </w:rPr>
        <w:t>ë</w:t>
      </w:r>
      <w:r w:rsidRPr="00125F79">
        <w:rPr>
          <w:rFonts w:cs="Times New Roman"/>
          <w:szCs w:val="24"/>
          <w:lang w:val="sq-AL"/>
        </w:rPr>
        <w:t xml:space="preserve"> vijim:</w:t>
      </w:r>
    </w:p>
    <w:p w14:paraId="39D1C65A" w14:textId="77777777" w:rsidR="00082C54" w:rsidRPr="009475CC" w:rsidRDefault="00082C54" w:rsidP="009475CC">
      <w:pPr>
        <w:spacing w:after="0" w:line="240" w:lineRule="auto"/>
        <w:jc w:val="both"/>
        <w:rPr>
          <w:rFonts w:cs="Times New Roman"/>
          <w:szCs w:val="24"/>
          <w:lang w:val="sq-AL"/>
        </w:rPr>
      </w:pPr>
    </w:p>
    <w:p w14:paraId="3FB349C8" w14:textId="6F28E398" w:rsidR="00082C54" w:rsidRDefault="00082C54" w:rsidP="009475CC">
      <w:pPr>
        <w:spacing w:after="0" w:line="240" w:lineRule="auto"/>
        <w:jc w:val="center"/>
        <w:rPr>
          <w:rFonts w:cs="Times New Roman"/>
          <w:szCs w:val="24"/>
          <w:lang w:val="sq-AL"/>
        </w:rPr>
      </w:pPr>
      <w:r w:rsidRPr="009475CC">
        <w:rPr>
          <w:rFonts w:cs="Times New Roman"/>
          <w:noProof/>
          <w:szCs w:val="24"/>
          <w:lang w:val="en-US"/>
        </w:rPr>
        <w:drawing>
          <wp:inline distT="0" distB="0" distL="0" distR="0" wp14:anchorId="67B8C416" wp14:editId="29311FFB">
            <wp:extent cx="4006446" cy="18795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26796" cy="1889069"/>
                    </a:xfrm>
                    <a:prstGeom prst="rect">
                      <a:avLst/>
                    </a:prstGeom>
                    <a:noFill/>
                  </pic:spPr>
                </pic:pic>
              </a:graphicData>
            </a:graphic>
          </wp:inline>
        </w:drawing>
      </w:r>
    </w:p>
    <w:p w14:paraId="0EB02FAA" w14:textId="77777777" w:rsidR="004D24BD" w:rsidRPr="009475CC" w:rsidRDefault="004D24BD" w:rsidP="009475CC">
      <w:pPr>
        <w:spacing w:after="0" w:line="240" w:lineRule="auto"/>
        <w:jc w:val="center"/>
        <w:rPr>
          <w:rFonts w:cs="Times New Roman"/>
          <w:szCs w:val="24"/>
          <w:lang w:val="sq-AL"/>
        </w:rPr>
      </w:pPr>
    </w:p>
    <w:p w14:paraId="15B0C9AF" w14:textId="77777777" w:rsidR="00125F79" w:rsidRDefault="00082C54" w:rsidP="00623352">
      <w:pPr>
        <w:pStyle w:val="ListParagraph"/>
        <w:numPr>
          <w:ilvl w:val="0"/>
          <w:numId w:val="1"/>
        </w:numPr>
        <w:spacing w:after="0" w:line="240" w:lineRule="auto"/>
        <w:jc w:val="both"/>
        <w:rPr>
          <w:rFonts w:cs="Times New Roman"/>
          <w:szCs w:val="24"/>
          <w:lang w:val="sq-AL"/>
        </w:rPr>
      </w:pPr>
      <w:r w:rsidRPr="009475CC">
        <w:rPr>
          <w:rFonts w:cs="Times New Roman"/>
          <w:szCs w:val="24"/>
          <w:lang w:val="sq-AL"/>
        </w:rPr>
        <w:t xml:space="preserve">Zgjidhja e ankesave është siguruar nëpërmjet: vendimeve të KMK; zgjidhje me </w:t>
      </w:r>
    </w:p>
    <w:p w14:paraId="3FDD4560" w14:textId="18214089" w:rsidR="00082C54" w:rsidRDefault="00082C54" w:rsidP="00125F79">
      <w:pPr>
        <w:spacing w:after="0" w:line="240" w:lineRule="auto"/>
        <w:jc w:val="both"/>
        <w:rPr>
          <w:rFonts w:cs="Times New Roman"/>
          <w:szCs w:val="24"/>
          <w:lang w:val="sq-AL"/>
        </w:rPr>
      </w:pPr>
      <w:r w:rsidRPr="00125F79">
        <w:rPr>
          <w:rFonts w:cs="Times New Roman"/>
          <w:szCs w:val="24"/>
          <w:lang w:val="sq-AL"/>
        </w:rPr>
        <w:t xml:space="preserve">mirëkuptim/ ndërmjetësim me tregtarët, duke përmbushur funksionet e një strukture për </w:t>
      </w:r>
      <w:bookmarkStart w:id="73" w:name="_Hlk121692065"/>
      <w:r w:rsidRPr="00125F79">
        <w:rPr>
          <w:rFonts w:cs="Times New Roman"/>
          <w:szCs w:val="24"/>
          <w:lang w:val="sq-AL"/>
        </w:rPr>
        <w:t>Zgjidhjen Alternative të Mosmarrëveshjeve (ZAM</w:t>
      </w:r>
      <w:bookmarkEnd w:id="73"/>
      <w:r w:rsidRPr="00125F79">
        <w:rPr>
          <w:rFonts w:cs="Times New Roman"/>
          <w:szCs w:val="24"/>
          <w:lang w:val="sq-AL"/>
        </w:rPr>
        <w:t>); delegim tek institucio</w:t>
      </w:r>
      <w:r w:rsidRPr="009475CC">
        <w:rPr>
          <w:rFonts w:cs="Times New Roman"/>
          <w:szCs w:val="24"/>
          <w:lang w:val="sq-AL"/>
        </w:rPr>
        <w:t>net përkatëse për trajtim të mëtejshëm, në bazë të fushës së përgjegjësisë (AKEP, ISHMT, ERRU, ERE, MTM etj).</w:t>
      </w:r>
    </w:p>
    <w:p w14:paraId="4EB58EF3" w14:textId="77777777" w:rsidR="004D24BD" w:rsidRPr="009475CC" w:rsidRDefault="004D24BD" w:rsidP="00125F79">
      <w:pPr>
        <w:spacing w:after="0" w:line="240" w:lineRule="auto"/>
        <w:jc w:val="both"/>
        <w:rPr>
          <w:rFonts w:cs="Times New Roman"/>
          <w:szCs w:val="24"/>
          <w:lang w:val="sq-AL"/>
        </w:rPr>
      </w:pPr>
    </w:p>
    <w:p w14:paraId="17A79D96" w14:textId="77777777" w:rsidR="004D24BD" w:rsidRDefault="00082C54" w:rsidP="00D730C2">
      <w:pPr>
        <w:spacing w:after="0" w:line="240" w:lineRule="auto"/>
        <w:jc w:val="both"/>
        <w:rPr>
          <w:rFonts w:cs="Times New Roman"/>
          <w:szCs w:val="24"/>
          <w:lang w:val="sq-AL"/>
        </w:rPr>
      </w:pPr>
      <w:r w:rsidRPr="009475CC">
        <w:rPr>
          <w:rFonts w:cs="Times New Roman"/>
          <w:szCs w:val="24"/>
          <w:lang w:val="sq-AL"/>
        </w:rPr>
        <w:t>Sfidat kryesore në këtë fushë janë</w:t>
      </w:r>
      <w:r w:rsidR="00B246D8">
        <w:rPr>
          <w:rFonts w:cs="Times New Roman"/>
          <w:szCs w:val="24"/>
          <w:lang w:val="sq-AL"/>
        </w:rPr>
        <w:t xml:space="preserve">: </w:t>
      </w:r>
      <w:r w:rsidR="004625E8" w:rsidRPr="009475CC">
        <w:rPr>
          <w:rFonts w:cs="Times New Roman"/>
          <w:szCs w:val="24"/>
          <w:lang w:val="sq-AL"/>
        </w:rPr>
        <w:t>p</w:t>
      </w:r>
      <w:r w:rsidRPr="009475CC">
        <w:rPr>
          <w:rFonts w:cs="Times New Roman"/>
          <w:szCs w:val="24"/>
          <w:lang w:val="sq-AL"/>
        </w:rPr>
        <w:t xml:space="preserve">ërmirësimi i mëtejshëm i legjislacionit të mbrojtjes së konsumatorëve, në kushtet e zhvillimeve të vazhdueshme teknologjike në  tregun online, të shërbimeve digjitale apo/ dhe përdorimit të mjeteve digjitale nga konsumatorët, si dhe përafrimi i tij me zhvillimet/ ndryshimet më të fundit të legjislacionit evropian në këtë fushë. </w:t>
      </w:r>
    </w:p>
    <w:p w14:paraId="25B1882E" w14:textId="77777777" w:rsidR="004D24BD" w:rsidRDefault="004D24BD" w:rsidP="00D730C2">
      <w:pPr>
        <w:spacing w:after="0" w:line="240" w:lineRule="auto"/>
        <w:jc w:val="both"/>
        <w:rPr>
          <w:rFonts w:cs="Times New Roman"/>
          <w:szCs w:val="24"/>
          <w:lang w:val="sq-AL"/>
        </w:rPr>
      </w:pPr>
    </w:p>
    <w:p w14:paraId="05358F72" w14:textId="14554129" w:rsidR="006E16A2" w:rsidRPr="00D730C2" w:rsidRDefault="00082C54" w:rsidP="00D730C2">
      <w:pPr>
        <w:spacing w:after="0" w:line="240" w:lineRule="auto"/>
        <w:jc w:val="both"/>
        <w:rPr>
          <w:rFonts w:cs="Times New Roman"/>
          <w:szCs w:val="24"/>
          <w:lang w:val="sq-AL"/>
        </w:rPr>
      </w:pPr>
      <w:r w:rsidRPr="009475CC">
        <w:rPr>
          <w:rFonts w:cs="Times New Roman"/>
          <w:szCs w:val="24"/>
          <w:lang w:val="sq-AL"/>
        </w:rPr>
        <w:t>Këto ndryshime ligjore, pjesë e direktivave të reja evropiane synojnë të garantojnë transparencën e duhur ndaj konsumatorëve, zbatimin e të drejtave të tyre, si dhe përmirësimin e funksionimit të tregut;</w:t>
      </w:r>
      <w:r w:rsidR="00125F79">
        <w:rPr>
          <w:rFonts w:cs="Times New Roman"/>
          <w:szCs w:val="24"/>
          <w:lang w:val="sq-AL"/>
        </w:rPr>
        <w:t xml:space="preserve"> </w:t>
      </w:r>
      <w:r w:rsidRPr="009475CC">
        <w:rPr>
          <w:rFonts w:cs="Times New Roman"/>
          <w:szCs w:val="24"/>
          <w:lang w:val="sq-AL"/>
        </w:rPr>
        <w:t>Fuqizimi i kapaciteteve administrative dhe burimeve njerëzore të strukturës përgjegjëse të mbrojtjes së konsumatorëve, Komisionit të Mbrojtjes së Konsumatorëve, si dhe institucioneve të tjera përkatëse në fushën  e mbrojtjes së konsumatorëve</w:t>
      </w:r>
      <w:r w:rsidR="00B246D8">
        <w:rPr>
          <w:rFonts w:cs="Times New Roman"/>
          <w:szCs w:val="24"/>
          <w:lang w:val="sq-AL"/>
        </w:rPr>
        <w:t>;</w:t>
      </w:r>
      <w:r w:rsidR="00125F79">
        <w:rPr>
          <w:rFonts w:cs="Times New Roman"/>
          <w:szCs w:val="24"/>
          <w:lang w:val="sq-AL"/>
        </w:rPr>
        <w:t xml:space="preserve"> </w:t>
      </w:r>
      <w:r w:rsidRPr="009475CC">
        <w:rPr>
          <w:rFonts w:cs="Times New Roman"/>
          <w:szCs w:val="24"/>
          <w:lang w:val="sq-AL"/>
        </w:rPr>
        <w:t>Ngritja dhe bërja e funksionale e strukturave të posaçme të mbrojtjes së konsumatorëve, pranë të gjitha njësive të vetëqeverisjes vendore në vend.</w:t>
      </w:r>
    </w:p>
    <w:p w14:paraId="616BFDAD" w14:textId="17E126E9" w:rsidR="005605CE" w:rsidRPr="00125F79" w:rsidRDefault="00CA6337" w:rsidP="00623352">
      <w:pPr>
        <w:pStyle w:val="Heading5"/>
      </w:pPr>
      <w:bookmarkStart w:id="74" w:name="_Toc132277339"/>
      <w:bookmarkStart w:id="75" w:name="_Hlk121692113"/>
      <w:r w:rsidRPr="00125F79">
        <w:t>Ministria e Turizmit</w:t>
      </w:r>
      <w:r w:rsidR="004625E8" w:rsidRPr="00125F79">
        <w:t xml:space="preserve"> dhe Mjedisit</w:t>
      </w:r>
      <w:bookmarkEnd w:id="74"/>
    </w:p>
    <w:bookmarkEnd w:id="75"/>
    <w:p w14:paraId="3A0134AB" w14:textId="26C20EBA" w:rsidR="00CA6337" w:rsidRDefault="00CA6337" w:rsidP="009475CC">
      <w:pPr>
        <w:spacing w:after="0" w:line="240" w:lineRule="auto"/>
        <w:jc w:val="both"/>
        <w:rPr>
          <w:rFonts w:cs="Times New Roman"/>
          <w:szCs w:val="24"/>
          <w:lang w:val="sq-AL"/>
        </w:rPr>
      </w:pPr>
      <w:r w:rsidRPr="009475CC">
        <w:rPr>
          <w:rFonts w:cs="Times New Roman"/>
          <w:szCs w:val="24"/>
          <w:lang w:val="sq-AL"/>
        </w:rPr>
        <w:t>Ministria e Turizmit dhe Mjedisit ka si mision nd</w:t>
      </w:r>
      <w:r w:rsidR="00EC1623">
        <w:rPr>
          <w:rFonts w:cs="Times New Roman"/>
          <w:szCs w:val="24"/>
          <w:lang w:val="sq-AL"/>
        </w:rPr>
        <w:t>ë</w:t>
      </w:r>
      <w:r w:rsidRPr="009475CC">
        <w:rPr>
          <w:rFonts w:cs="Times New Roman"/>
          <w:szCs w:val="24"/>
          <w:lang w:val="sq-AL"/>
        </w:rPr>
        <w:t>r t</w:t>
      </w:r>
      <w:r w:rsidR="00EC1623">
        <w:rPr>
          <w:rFonts w:cs="Times New Roman"/>
          <w:szCs w:val="24"/>
          <w:lang w:val="sq-AL"/>
        </w:rPr>
        <w:t>ë</w:t>
      </w:r>
      <w:r w:rsidRPr="009475CC">
        <w:rPr>
          <w:rFonts w:cs="Times New Roman"/>
          <w:szCs w:val="24"/>
          <w:lang w:val="sq-AL"/>
        </w:rPr>
        <w:t xml:space="preserve"> tjera</w:t>
      </w:r>
      <w:r w:rsidR="003A75EF">
        <w:rPr>
          <w:rFonts w:cs="Times New Roman"/>
          <w:szCs w:val="24"/>
          <w:lang w:val="sq-AL"/>
        </w:rPr>
        <w:t>:</w:t>
      </w:r>
      <w:r w:rsidRPr="009475CC">
        <w:rPr>
          <w:rFonts w:cs="Times New Roman"/>
          <w:szCs w:val="24"/>
          <w:lang w:val="sq-AL"/>
        </w:rPr>
        <w:t xml:space="preserve"> hartimin dhe zbatimin e politikave për një zhvillim të qëndrueshëm të turizmit nëpërmjet nxitjes së investimeve në fushën e </w:t>
      </w:r>
      <w:r w:rsidRPr="009475CC">
        <w:rPr>
          <w:rFonts w:cs="Times New Roman"/>
          <w:szCs w:val="24"/>
          <w:lang w:val="sq-AL"/>
        </w:rPr>
        <w:lastRenderedPageBreak/>
        <w:t>turizmit, të agroturizmit, ekoturizmit, turizmit ujor, zonave bregdetare, ngritjen, monitorimin dhe kontrollimin e sistemit të standardeve në turizëm dhe edukimit të biznesit në fushën e turizmit, të promovimit të produktit dhe destinacioneve turistike, si dhe koordinimit e bashkëpunimit me strukturat e tjera shtetërore me q</w:t>
      </w:r>
      <w:r w:rsidR="003A75EF">
        <w:rPr>
          <w:rFonts w:cs="Times New Roman"/>
          <w:szCs w:val="24"/>
          <w:lang w:val="sq-AL"/>
        </w:rPr>
        <w:t>ë</w:t>
      </w:r>
      <w:r w:rsidRPr="009475CC">
        <w:rPr>
          <w:rFonts w:cs="Times New Roman"/>
          <w:szCs w:val="24"/>
          <w:lang w:val="sq-AL"/>
        </w:rPr>
        <w:t>llim arritjen e objektivit t</w:t>
      </w:r>
      <w:r w:rsidR="003A75EF">
        <w:rPr>
          <w:rFonts w:cs="Times New Roman"/>
          <w:szCs w:val="24"/>
          <w:lang w:val="sq-AL"/>
        </w:rPr>
        <w:t>ë</w:t>
      </w:r>
      <w:r w:rsidRPr="009475CC">
        <w:rPr>
          <w:rFonts w:cs="Times New Roman"/>
          <w:szCs w:val="24"/>
          <w:lang w:val="sq-AL"/>
        </w:rPr>
        <w:t xml:space="preserve"> saj. </w:t>
      </w:r>
    </w:p>
    <w:p w14:paraId="7DBBAA04" w14:textId="77777777" w:rsidR="004D24BD" w:rsidRPr="009475CC" w:rsidRDefault="004D24BD" w:rsidP="009475CC">
      <w:pPr>
        <w:spacing w:after="0" w:line="240" w:lineRule="auto"/>
        <w:jc w:val="both"/>
        <w:rPr>
          <w:rFonts w:cs="Times New Roman"/>
          <w:szCs w:val="24"/>
          <w:lang w:val="sq-AL"/>
        </w:rPr>
      </w:pPr>
    </w:p>
    <w:p w14:paraId="5B4E5BA3" w14:textId="2376615A" w:rsidR="00CA6337" w:rsidRDefault="00CA6337" w:rsidP="009475CC">
      <w:pPr>
        <w:spacing w:after="0" w:line="240" w:lineRule="auto"/>
        <w:jc w:val="both"/>
        <w:rPr>
          <w:rFonts w:cs="Times New Roman"/>
          <w:szCs w:val="24"/>
          <w:lang w:val="sq-AL"/>
        </w:rPr>
      </w:pPr>
      <w:r w:rsidRPr="009475CC">
        <w:rPr>
          <w:rFonts w:cs="Times New Roman"/>
          <w:szCs w:val="24"/>
          <w:lang w:val="sq-AL"/>
        </w:rPr>
        <w:t>Garantimi i siguris</w:t>
      </w:r>
      <w:r w:rsidR="003A75EF">
        <w:rPr>
          <w:rFonts w:cs="Times New Roman"/>
          <w:szCs w:val="24"/>
          <w:lang w:val="sq-AL"/>
        </w:rPr>
        <w:t>ë</w:t>
      </w:r>
      <w:r w:rsidRPr="009475CC">
        <w:rPr>
          <w:rFonts w:cs="Times New Roman"/>
          <w:szCs w:val="24"/>
          <w:lang w:val="sq-AL"/>
        </w:rPr>
        <w:t xml:space="preserve"> s</w:t>
      </w:r>
      <w:r w:rsidR="003A75EF">
        <w:rPr>
          <w:rFonts w:cs="Times New Roman"/>
          <w:szCs w:val="24"/>
          <w:lang w:val="sq-AL"/>
        </w:rPr>
        <w:t>ë</w:t>
      </w:r>
      <w:r w:rsidRPr="009475CC">
        <w:rPr>
          <w:rFonts w:cs="Times New Roman"/>
          <w:szCs w:val="24"/>
          <w:lang w:val="sq-AL"/>
        </w:rPr>
        <w:t xml:space="preserve"> turist</w:t>
      </w:r>
      <w:r w:rsidR="003A75EF">
        <w:rPr>
          <w:rFonts w:cs="Times New Roman"/>
          <w:szCs w:val="24"/>
          <w:lang w:val="sq-AL"/>
        </w:rPr>
        <w:t>ë</w:t>
      </w:r>
      <w:r w:rsidRPr="009475CC">
        <w:rPr>
          <w:rFonts w:cs="Times New Roman"/>
          <w:szCs w:val="24"/>
          <w:lang w:val="sq-AL"/>
        </w:rPr>
        <w:t>ve, paralelisht me krijimin e standardeve n</w:t>
      </w:r>
      <w:r w:rsidR="003A75EF">
        <w:rPr>
          <w:rFonts w:cs="Times New Roman"/>
          <w:szCs w:val="24"/>
          <w:lang w:val="sq-AL"/>
        </w:rPr>
        <w:t>ë</w:t>
      </w:r>
      <w:r w:rsidRPr="009475CC">
        <w:rPr>
          <w:rFonts w:cs="Times New Roman"/>
          <w:szCs w:val="24"/>
          <w:lang w:val="sq-AL"/>
        </w:rPr>
        <w:t xml:space="preserve"> ofrimin e sh</w:t>
      </w:r>
      <w:r w:rsidR="003A75EF">
        <w:rPr>
          <w:rFonts w:cs="Times New Roman"/>
          <w:szCs w:val="24"/>
          <w:lang w:val="sq-AL"/>
        </w:rPr>
        <w:t>ë</w:t>
      </w:r>
      <w:r w:rsidRPr="009475CC">
        <w:rPr>
          <w:rFonts w:cs="Times New Roman"/>
          <w:szCs w:val="24"/>
          <w:lang w:val="sq-AL"/>
        </w:rPr>
        <w:t>rbimeve n</w:t>
      </w:r>
      <w:r w:rsidR="003A75EF">
        <w:rPr>
          <w:rFonts w:cs="Times New Roman"/>
          <w:szCs w:val="24"/>
          <w:lang w:val="sq-AL"/>
        </w:rPr>
        <w:t>ë</w:t>
      </w:r>
      <w:r w:rsidRPr="009475CC">
        <w:rPr>
          <w:rFonts w:cs="Times New Roman"/>
          <w:szCs w:val="24"/>
          <w:lang w:val="sq-AL"/>
        </w:rPr>
        <w:t xml:space="preserve"> sektorin e turizmit jan</w:t>
      </w:r>
      <w:r w:rsidR="003A75EF">
        <w:rPr>
          <w:rFonts w:cs="Times New Roman"/>
          <w:szCs w:val="24"/>
          <w:lang w:val="sq-AL"/>
        </w:rPr>
        <w:t>ë</w:t>
      </w:r>
      <w:r w:rsidRPr="009475CC">
        <w:rPr>
          <w:rFonts w:cs="Times New Roman"/>
          <w:szCs w:val="24"/>
          <w:lang w:val="sq-AL"/>
        </w:rPr>
        <w:t xml:space="preserve"> n</w:t>
      </w:r>
      <w:r w:rsidR="003A75EF">
        <w:rPr>
          <w:rFonts w:cs="Times New Roman"/>
          <w:szCs w:val="24"/>
          <w:lang w:val="sq-AL"/>
        </w:rPr>
        <w:t>ë</w:t>
      </w:r>
      <w:r w:rsidRPr="009475CC">
        <w:rPr>
          <w:rFonts w:cs="Times New Roman"/>
          <w:szCs w:val="24"/>
          <w:lang w:val="sq-AL"/>
        </w:rPr>
        <w:t xml:space="preserve"> fokus t</w:t>
      </w:r>
      <w:r w:rsidR="003A75EF">
        <w:rPr>
          <w:rFonts w:cs="Times New Roman"/>
          <w:szCs w:val="24"/>
          <w:lang w:val="sq-AL"/>
        </w:rPr>
        <w:t>ë</w:t>
      </w:r>
      <w:r w:rsidRPr="009475CC">
        <w:rPr>
          <w:rFonts w:cs="Times New Roman"/>
          <w:szCs w:val="24"/>
          <w:lang w:val="sq-AL"/>
        </w:rPr>
        <w:t xml:space="preserve"> politikave t</w:t>
      </w:r>
      <w:r w:rsidR="003A75EF">
        <w:rPr>
          <w:rFonts w:cs="Times New Roman"/>
          <w:szCs w:val="24"/>
          <w:lang w:val="sq-AL"/>
        </w:rPr>
        <w:t>ë</w:t>
      </w:r>
      <w:r w:rsidRPr="009475CC">
        <w:rPr>
          <w:rFonts w:cs="Times New Roman"/>
          <w:szCs w:val="24"/>
          <w:lang w:val="sq-AL"/>
        </w:rPr>
        <w:t xml:space="preserve"> ministris</w:t>
      </w:r>
      <w:r w:rsidR="003A75EF">
        <w:rPr>
          <w:rFonts w:cs="Times New Roman"/>
          <w:szCs w:val="24"/>
          <w:lang w:val="sq-AL"/>
        </w:rPr>
        <w:t>ë</w:t>
      </w:r>
      <w:r w:rsidRPr="009475CC">
        <w:rPr>
          <w:rFonts w:cs="Times New Roman"/>
          <w:szCs w:val="24"/>
          <w:lang w:val="sq-AL"/>
        </w:rPr>
        <w:t xml:space="preserve"> p</w:t>
      </w:r>
      <w:r w:rsidR="003A75EF">
        <w:rPr>
          <w:rFonts w:cs="Times New Roman"/>
          <w:szCs w:val="24"/>
          <w:lang w:val="sq-AL"/>
        </w:rPr>
        <w:t>ë</w:t>
      </w:r>
      <w:r w:rsidRPr="009475CC">
        <w:rPr>
          <w:rFonts w:cs="Times New Roman"/>
          <w:szCs w:val="24"/>
          <w:lang w:val="sq-AL"/>
        </w:rPr>
        <w:t>rgjegj</w:t>
      </w:r>
      <w:r w:rsidR="003A75EF">
        <w:rPr>
          <w:rFonts w:cs="Times New Roman"/>
          <w:szCs w:val="24"/>
          <w:lang w:val="sq-AL"/>
        </w:rPr>
        <w:t>ë</w:t>
      </w:r>
      <w:r w:rsidRPr="009475CC">
        <w:rPr>
          <w:rFonts w:cs="Times New Roman"/>
          <w:szCs w:val="24"/>
          <w:lang w:val="sq-AL"/>
        </w:rPr>
        <w:t>se p</w:t>
      </w:r>
      <w:r w:rsidR="003A75EF">
        <w:rPr>
          <w:rFonts w:cs="Times New Roman"/>
          <w:szCs w:val="24"/>
          <w:lang w:val="sq-AL"/>
        </w:rPr>
        <w:t>ë</w:t>
      </w:r>
      <w:r w:rsidRPr="009475CC">
        <w:rPr>
          <w:rFonts w:cs="Times New Roman"/>
          <w:szCs w:val="24"/>
          <w:lang w:val="sq-AL"/>
        </w:rPr>
        <w:t xml:space="preserve">r turizmin. </w:t>
      </w:r>
    </w:p>
    <w:p w14:paraId="0F8183F4" w14:textId="77777777" w:rsidR="004D24BD" w:rsidRPr="009475CC" w:rsidRDefault="004D24BD" w:rsidP="009475CC">
      <w:pPr>
        <w:spacing w:after="0" w:line="240" w:lineRule="auto"/>
        <w:jc w:val="both"/>
        <w:rPr>
          <w:rFonts w:cs="Times New Roman"/>
          <w:szCs w:val="24"/>
          <w:lang w:val="sq-AL"/>
        </w:rPr>
      </w:pPr>
    </w:p>
    <w:p w14:paraId="681E5C0C" w14:textId="2F5A4AD0" w:rsidR="00CA6337" w:rsidRPr="009475CC" w:rsidRDefault="00CA6337" w:rsidP="009475CC">
      <w:pPr>
        <w:spacing w:after="0" w:line="240" w:lineRule="auto"/>
        <w:jc w:val="both"/>
        <w:rPr>
          <w:rFonts w:cs="Times New Roman"/>
          <w:szCs w:val="24"/>
          <w:lang w:val="sq-AL"/>
        </w:rPr>
      </w:pPr>
      <w:r w:rsidRPr="009475CC">
        <w:rPr>
          <w:rFonts w:cs="Times New Roman"/>
          <w:szCs w:val="24"/>
          <w:lang w:val="sq-AL"/>
        </w:rPr>
        <w:t xml:space="preserve">Risi </w:t>
      </w:r>
      <w:r w:rsidR="00125F79">
        <w:rPr>
          <w:rFonts w:cs="Times New Roman"/>
          <w:szCs w:val="24"/>
          <w:lang w:val="sq-AL"/>
        </w:rPr>
        <w:t>ë</w:t>
      </w:r>
      <w:r w:rsidRPr="009475CC">
        <w:rPr>
          <w:rFonts w:cs="Times New Roman"/>
          <w:szCs w:val="24"/>
          <w:lang w:val="sq-AL"/>
        </w:rPr>
        <w:t>sht</w:t>
      </w:r>
      <w:r w:rsidR="00125F79">
        <w:rPr>
          <w:rFonts w:cs="Times New Roman"/>
          <w:szCs w:val="24"/>
          <w:lang w:val="sq-AL"/>
        </w:rPr>
        <w:t>ë</w:t>
      </w:r>
      <w:r w:rsidRPr="009475CC">
        <w:rPr>
          <w:rFonts w:cs="Times New Roman"/>
          <w:szCs w:val="24"/>
          <w:lang w:val="sq-AL"/>
        </w:rPr>
        <w:t xml:space="preserve"> aderimi i</w:t>
      </w:r>
      <w:r w:rsidR="00125F79">
        <w:rPr>
          <w:rFonts w:cs="Times New Roman"/>
          <w:szCs w:val="24"/>
          <w:lang w:val="sq-AL"/>
        </w:rPr>
        <w:t xml:space="preserve"> </w:t>
      </w:r>
      <w:r w:rsidR="003A75EF">
        <w:rPr>
          <w:rFonts w:cs="Times New Roman"/>
          <w:szCs w:val="24"/>
          <w:lang w:val="sq-AL"/>
        </w:rPr>
        <w:t xml:space="preserve">Shqipërisë </w:t>
      </w:r>
      <w:r w:rsidRPr="009475CC">
        <w:rPr>
          <w:rFonts w:cs="Times New Roman"/>
          <w:szCs w:val="24"/>
          <w:lang w:val="sq-AL"/>
        </w:rPr>
        <w:t>n</w:t>
      </w:r>
      <w:r w:rsidR="003A75EF">
        <w:rPr>
          <w:rFonts w:cs="Times New Roman"/>
          <w:szCs w:val="24"/>
          <w:lang w:val="sq-AL"/>
        </w:rPr>
        <w:t>ë</w:t>
      </w:r>
      <w:r w:rsidRPr="009475CC">
        <w:rPr>
          <w:rFonts w:cs="Times New Roman"/>
          <w:szCs w:val="24"/>
          <w:lang w:val="sq-AL"/>
        </w:rPr>
        <w:t xml:space="preserve"> </w:t>
      </w:r>
      <w:r w:rsidR="003A75EF">
        <w:rPr>
          <w:rFonts w:cs="Times New Roman"/>
          <w:szCs w:val="24"/>
          <w:lang w:val="sq-AL"/>
        </w:rPr>
        <w:t xml:space="preserve">vitin </w:t>
      </w:r>
      <w:r w:rsidRPr="009475CC">
        <w:rPr>
          <w:rFonts w:cs="Times New Roman"/>
          <w:szCs w:val="24"/>
          <w:lang w:val="sq-AL"/>
        </w:rPr>
        <w:t>2022 n</w:t>
      </w:r>
      <w:r w:rsidR="003A75EF">
        <w:rPr>
          <w:rFonts w:cs="Times New Roman"/>
          <w:szCs w:val="24"/>
          <w:lang w:val="sq-AL"/>
        </w:rPr>
        <w:t>ë</w:t>
      </w:r>
      <w:r w:rsidRPr="009475CC">
        <w:rPr>
          <w:rFonts w:cs="Times New Roman"/>
          <w:szCs w:val="24"/>
          <w:lang w:val="sq-AL"/>
        </w:rPr>
        <w:t xml:space="preserve"> </w:t>
      </w:r>
      <w:r w:rsidR="003A75EF">
        <w:rPr>
          <w:rFonts w:cs="Times New Roman"/>
          <w:szCs w:val="24"/>
          <w:lang w:val="sq-AL"/>
        </w:rPr>
        <w:t>R</w:t>
      </w:r>
      <w:r w:rsidRPr="009475CC">
        <w:rPr>
          <w:rFonts w:cs="Times New Roman"/>
          <w:szCs w:val="24"/>
          <w:lang w:val="sq-AL"/>
        </w:rPr>
        <w:t xml:space="preserve">ezolutën 732 të </w:t>
      </w:r>
      <w:bookmarkStart w:id="76" w:name="_Hlk121692429"/>
      <w:r w:rsidRPr="009475CC">
        <w:rPr>
          <w:rFonts w:cs="Times New Roman"/>
          <w:szCs w:val="24"/>
          <w:lang w:val="sq-AL"/>
        </w:rPr>
        <w:t>Kodit Ndërkombëtar për Mbrojtjen e Turistëve (ICPT</w:t>
      </w:r>
      <w:bookmarkEnd w:id="76"/>
      <w:r w:rsidRPr="009475CC">
        <w:rPr>
          <w:rFonts w:cs="Times New Roman"/>
          <w:szCs w:val="24"/>
          <w:lang w:val="sq-AL"/>
        </w:rPr>
        <w:t>) t</w:t>
      </w:r>
      <w:r w:rsidR="003A75EF">
        <w:rPr>
          <w:rFonts w:cs="Times New Roman"/>
          <w:szCs w:val="24"/>
          <w:lang w:val="sq-AL"/>
        </w:rPr>
        <w:t>ë</w:t>
      </w:r>
      <w:r w:rsidRPr="009475CC">
        <w:rPr>
          <w:rFonts w:cs="Times New Roman"/>
          <w:szCs w:val="24"/>
          <w:lang w:val="sq-AL"/>
        </w:rPr>
        <w:t xml:space="preserve"> Organizat</w:t>
      </w:r>
      <w:r w:rsidR="003A75EF">
        <w:rPr>
          <w:rFonts w:cs="Times New Roman"/>
          <w:szCs w:val="24"/>
          <w:lang w:val="sq-AL"/>
        </w:rPr>
        <w:t>ë</w:t>
      </w:r>
      <w:r w:rsidRPr="009475CC">
        <w:rPr>
          <w:rFonts w:cs="Times New Roman"/>
          <w:szCs w:val="24"/>
          <w:lang w:val="sq-AL"/>
        </w:rPr>
        <w:t>s Bot</w:t>
      </w:r>
      <w:r w:rsidR="003A75EF">
        <w:rPr>
          <w:rFonts w:cs="Times New Roman"/>
          <w:szCs w:val="24"/>
          <w:lang w:val="sq-AL"/>
        </w:rPr>
        <w:t>ë</w:t>
      </w:r>
      <w:r w:rsidRPr="009475CC">
        <w:rPr>
          <w:rFonts w:cs="Times New Roman"/>
          <w:szCs w:val="24"/>
          <w:lang w:val="sq-AL"/>
        </w:rPr>
        <w:t>rore t</w:t>
      </w:r>
      <w:r w:rsidR="003A75EF">
        <w:rPr>
          <w:rFonts w:cs="Times New Roman"/>
          <w:szCs w:val="24"/>
          <w:lang w:val="sq-AL"/>
        </w:rPr>
        <w:t>ë</w:t>
      </w:r>
      <w:r w:rsidRPr="009475CC">
        <w:rPr>
          <w:rFonts w:cs="Times New Roman"/>
          <w:szCs w:val="24"/>
          <w:lang w:val="sq-AL"/>
        </w:rPr>
        <w:t xml:space="preserve"> Turizmit. Ky kod do të shërbejë si një udhëzues praktik mbi mënyrën se si mund të asistohen turistët në situata krize, si dhe mbi zhvillimin dhe harmonizimin e të drejtave konsumatore të turistëve në realitetin post-Covid, duke mbuluar çështje kryesore si:</w:t>
      </w:r>
    </w:p>
    <w:p w14:paraId="6FBE1E69" w14:textId="77777777" w:rsidR="00CA6337" w:rsidRPr="009475CC" w:rsidRDefault="00CA6337" w:rsidP="009475CC">
      <w:pPr>
        <w:spacing w:after="0" w:line="240" w:lineRule="auto"/>
        <w:jc w:val="both"/>
        <w:rPr>
          <w:rFonts w:cs="Times New Roman"/>
          <w:szCs w:val="24"/>
          <w:lang w:val="sq-AL"/>
        </w:rPr>
      </w:pPr>
      <w:r w:rsidRPr="009475CC">
        <w:rPr>
          <w:rFonts w:cs="Times New Roman"/>
          <w:szCs w:val="24"/>
          <w:lang w:val="sq-AL"/>
        </w:rPr>
        <w:t>o</w:t>
      </w:r>
      <w:r w:rsidRPr="009475CC">
        <w:rPr>
          <w:rFonts w:cs="Times New Roman"/>
          <w:szCs w:val="24"/>
          <w:lang w:val="sq-AL"/>
        </w:rPr>
        <w:tab/>
        <w:t xml:space="preserve">Ndihmë / asistencë për turistët ndërkombëtarë në situata emergjente; </w:t>
      </w:r>
    </w:p>
    <w:p w14:paraId="6BA18B1E" w14:textId="77777777" w:rsidR="00CA6337" w:rsidRPr="009475CC" w:rsidRDefault="00CA6337" w:rsidP="009475CC">
      <w:pPr>
        <w:spacing w:after="0" w:line="240" w:lineRule="auto"/>
        <w:jc w:val="both"/>
        <w:rPr>
          <w:rFonts w:cs="Times New Roman"/>
          <w:szCs w:val="24"/>
          <w:lang w:val="sq-AL"/>
        </w:rPr>
      </w:pPr>
      <w:r w:rsidRPr="009475CC">
        <w:rPr>
          <w:rFonts w:cs="Times New Roman"/>
          <w:szCs w:val="24"/>
          <w:lang w:val="sq-AL"/>
        </w:rPr>
        <w:t>o</w:t>
      </w:r>
      <w:r w:rsidRPr="009475CC">
        <w:rPr>
          <w:rFonts w:cs="Times New Roman"/>
          <w:szCs w:val="24"/>
          <w:lang w:val="sq-AL"/>
        </w:rPr>
        <w:tab/>
        <w:t xml:space="preserve">Mbrojtja e turistëve në kontrata; </w:t>
      </w:r>
    </w:p>
    <w:p w14:paraId="2F62EA2C" w14:textId="76AFDB57" w:rsidR="00CA6337" w:rsidRDefault="00CA6337" w:rsidP="009475CC">
      <w:pPr>
        <w:spacing w:after="0" w:line="240" w:lineRule="auto"/>
        <w:jc w:val="both"/>
        <w:rPr>
          <w:rFonts w:cs="Times New Roman"/>
          <w:szCs w:val="24"/>
          <w:lang w:val="sq-AL"/>
        </w:rPr>
      </w:pPr>
      <w:r w:rsidRPr="009475CC">
        <w:rPr>
          <w:rFonts w:cs="Times New Roman"/>
          <w:szCs w:val="24"/>
          <w:lang w:val="sq-AL"/>
        </w:rPr>
        <w:t>o</w:t>
      </w:r>
      <w:r w:rsidRPr="009475CC">
        <w:rPr>
          <w:rFonts w:cs="Times New Roman"/>
          <w:szCs w:val="24"/>
          <w:lang w:val="sq-AL"/>
        </w:rPr>
        <w:tab/>
        <w:t>Zgjidhja ndërkombëtare e mosmarrëveshjeve të udhëtimit dhe turizmit nëpërmjet mjeteve alternative të zgjidhjes së mosmarrëveshjeve.</w:t>
      </w:r>
    </w:p>
    <w:p w14:paraId="537E7F2E" w14:textId="77777777" w:rsidR="004D24BD" w:rsidRPr="009475CC" w:rsidRDefault="004D24BD" w:rsidP="009475CC">
      <w:pPr>
        <w:spacing w:after="0" w:line="240" w:lineRule="auto"/>
        <w:jc w:val="both"/>
        <w:rPr>
          <w:rFonts w:cs="Times New Roman"/>
          <w:szCs w:val="24"/>
          <w:lang w:val="sq-AL"/>
        </w:rPr>
      </w:pPr>
    </w:p>
    <w:p w14:paraId="560C2E64" w14:textId="77BA94C4" w:rsidR="00125F79" w:rsidRPr="009475CC" w:rsidRDefault="00CA6337" w:rsidP="00125F79">
      <w:pPr>
        <w:spacing w:after="0" w:line="240" w:lineRule="auto"/>
        <w:jc w:val="both"/>
        <w:rPr>
          <w:rFonts w:cs="Times New Roman"/>
          <w:szCs w:val="24"/>
          <w:lang w:val="sq-AL"/>
        </w:rPr>
      </w:pPr>
      <w:r w:rsidRPr="009475CC">
        <w:rPr>
          <w:rFonts w:cs="Times New Roman"/>
          <w:szCs w:val="24"/>
          <w:lang w:val="sq-AL"/>
        </w:rPr>
        <w:t xml:space="preserve">Sfidat kryesore sa i takon </w:t>
      </w:r>
      <w:r w:rsidR="003A75EF">
        <w:rPr>
          <w:rFonts w:cs="Times New Roman"/>
          <w:szCs w:val="24"/>
          <w:lang w:val="sq-AL"/>
        </w:rPr>
        <w:t>çë</w:t>
      </w:r>
      <w:r w:rsidRPr="009475CC">
        <w:rPr>
          <w:rFonts w:cs="Times New Roman"/>
          <w:szCs w:val="24"/>
          <w:lang w:val="sq-AL"/>
        </w:rPr>
        <w:t>shtjes s</w:t>
      </w:r>
      <w:r w:rsidR="003A75EF">
        <w:rPr>
          <w:rFonts w:cs="Times New Roman"/>
          <w:szCs w:val="24"/>
          <w:lang w:val="sq-AL"/>
        </w:rPr>
        <w:t>ë</w:t>
      </w:r>
      <w:r w:rsidRPr="009475CC">
        <w:rPr>
          <w:rFonts w:cs="Times New Roman"/>
          <w:szCs w:val="24"/>
          <w:lang w:val="sq-AL"/>
        </w:rPr>
        <w:t xml:space="preserve"> mbrojtjes s</w:t>
      </w:r>
      <w:r w:rsidR="003A75EF">
        <w:rPr>
          <w:rFonts w:cs="Times New Roman"/>
          <w:szCs w:val="24"/>
          <w:lang w:val="sq-AL"/>
        </w:rPr>
        <w:t>ë</w:t>
      </w:r>
      <w:r w:rsidRPr="009475CC">
        <w:rPr>
          <w:rFonts w:cs="Times New Roman"/>
          <w:szCs w:val="24"/>
          <w:lang w:val="sq-AL"/>
        </w:rPr>
        <w:t xml:space="preserve"> konsumator</w:t>
      </w:r>
      <w:r w:rsidR="003A75EF">
        <w:rPr>
          <w:rFonts w:cs="Times New Roman"/>
          <w:szCs w:val="24"/>
          <w:lang w:val="sq-AL"/>
        </w:rPr>
        <w:t>ë</w:t>
      </w:r>
      <w:r w:rsidRPr="009475CC">
        <w:rPr>
          <w:rFonts w:cs="Times New Roman"/>
          <w:szCs w:val="24"/>
          <w:lang w:val="sq-AL"/>
        </w:rPr>
        <w:t>ve turist</w:t>
      </w:r>
      <w:r w:rsidR="003A75EF">
        <w:rPr>
          <w:rFonts w:cs="Times New Roman"/>
          <w:szCs w:val="24"/>
          <w:lang w:val="sq-AL"/>
        </w:rPr>
        <w:t>ë</w:t>
      </w:r>
      <w:r w:rsidRPr="009475CC">
        <w:rPr>
          <w:rFonts w:cs="Times New Roman"/>
          <w:szCs w:val="24"/>
          <w:lang w:val="sq-AL"/>
        </w:rPr>
        <w:t xml:space="preserve"> kan</w:t>
      </w:r>
      <w:r w:rsidR="003A75EF">
        <w:rPr>
          <w:rFonts w:cs="Times New Roman"/>
          <w:szCs w:val="24"/>
          <w:lang w:val="sq-AL"/>
        </w:rPr>
        <w:t>ë</w:t>
      </w:r>
      <w:r w:rsidRPr="009475CC">
        <w:rPr>
          <w:rFonts w:cs="Times New Roman"/>
          <w:szCs w:val="24"/>
          <w:lang w:val="sq-AL"/>
        </w:rPr>
        <w:t xml:space="preserve"> t</w:t>
      </w:r>
      <w:r w:rsidR="003A75EF">
        <w:rPr>
          <w:rFonts w:cs="Times New Roman"/>
          <w:szCs w:val="24"/>
          <w:lang w:val="sq-AL"/>
        </w:rPr>
        <w:t>ë</w:t>
      </w:r>
      <w:r w:rsidRPr="009475CC">
        <w:rPr>
          <w:rFonts w:cs="Times New Roman"/>
          <w:szCs w:val="24"/>
          <w:lang w:val="sq-AL"/>
        </w:rPr>
        <w:t xml:space="preserve"> b</w:t>
      </w:r>
      <w:r w:rsidR="003A75EF">
        <w:rPr>
          <w:rFonts w:cs="Times New Roman"/>
          <w:szCs w:val="24"/>
          <w:lang w:val="sq-AL"/>
        </w:rPr>
        <w:t>ë</w:t>
      </w:r>
      <w:r w:rsidRPr="009475CC">
        <w:rPr>
          <w:rFonts w:cs="Times New Roman"/>
          <w:szCs w:val="24"/>
          <w:lang w:val="sq-AL"/>
        </w:rPr>
        <w:t>jn</w:t>
      </w:r>
      <w:r w:rsidR="003A75EF">
        <w:rPr>
          <w:rFonts w:cs="Times New Roman"/>
          <w:szCs w:val="24"/>
          <w:lang w:val="sq-AL"/>
        </w:rPr>
        <w:t>ë</w:t>
      </w:r>
      <w:r w:rsidRPr="009475CC">
        <w:rPr>
          <w:rFonts w:cs="Times New Roman"/>
          <w:szCs w:val="24"/>
          <w:lang w:val="sq-AL"/>
        </w:rPr>
        <w:t xml:space="preserve"> me pasjen e nj</w:t>
      </w:r>
      <w:r w:rsidR="003A75EF">
        <w:rPr>
          <w:rFonts w:cs="Times New Roman"/>
          <w:szCs w:val="24"/>
          <w:lang w:val="sq-AL"/>
        </w:rPr>
        <w:t>ë</w:t>
      </w:r>
      <w:r w:rsidRPr="009475CC">
        <w:rPr>
          <w:rFonts w:cs="Times New Roman"/>
          <w:szCs w:val="24"/>
          <w:lang w:val="sq-AL"/>
        </w:rPr>
        <w:t xml:space="preserve"> kornize ligjore sa m</w:t>
      </w:r>
      <w:r w:rsidR="003A75EF">
        <w:rPr>
          <w:rFonts w:cs="Times New Roman"/>
          <w:szCs w:val="24"/>
          <w:lang w:val="sq-AL"/>
        </w:rPr>
        <w:t>ë</w:t>
      </w:r>
      <w:r w:rsidRPr="009475CC">
        <w:rPr>
          <w:rFonts w:cs="Times New Roman"/>
          <w:szCs w:val="24"/>
          <w:lang w:val="sq-AL"/>
        </w:rPr>
        <w:t xml:space="preserve"> t</w:t>
      </w:r>
      <w:r w:rsidR="003A75EF">
        <w:rPr>
          <w:rFonts w:cs="Times New Roman"/>
          <w:szCs w:val="24"/>
          <w:lang w:val="sq-AL"/>
        </w:rPr>
        <w:t>ë</w:t>
      </w:r>
      <w:r w:rsidRPr="009475CC">
        <w:rPr>
          <w:rFonts w:cs="Times New Roman"/>
          <w:szCs w:val="24"/>
          <w:lang w:val="sq-AL"/>
        </w:rPr>
        <w:t xml:space="preserve"> plot</w:t>
      </w:r>
      <w:r w:rsidR="003A75EF">
        <w:rPr>
          <w:rFonts w:cs="Times New Roman"/>
          <w:szCs w:val="24"/>
          <w:lang w:val="sq-AL"/>
        </w:rPr>
        <w:t>ë</w:t>
      </w:r>
      <w:r w:rsidRPr="009475CC">
        <w:rPr>
          <w:rFonts w:cs="Times New Roman"/>
          <w:szCs w:val="24"/>
          <w:lang w:val="sq-AL"/>
        </w:rPr>
        <w:t xml:space="preserve"> n</w:t>
      </w:r>
      <w:r w:rsidR="003A75EF">
        <w:rPr>
          <w:rFonts w:cs="Times New Roman"/>
          <w:szCs w:val="24"/>
          <w:lang w:val="sq-AL"/>
        </w:rPr>
        <w:t>ë</w:t>
      </w:r>
      <w:r w:rsidRPr="009475CC">
        <w:rPr>
          <w:rFonts w:cs="Times New Roman"/>
          <w:szCs w:val="24"/>
          <w:lang w:val="sq-AL"/>
        </w:rPr>
        <w:t xml:space="preserve"> k</w:t>
      </w:r>
      <w:r w:rsidR="003A75EF">
        <w:rPr>
          <w:rFonts w:cs="Times New Roman"/>
          <w:szCs w:val="24"/>
          <w:lang w:val="sq-AL"/>
        </w:rPr>
        <w:t>ë</w:t>
      </w:r>
      <w:r w:rsidRPr="009475CC">
        <w:rPr>
          <w:rFonts w:cs="Times New Roman"/>
          <w:szCs w:val="24"/>
          <w:lang w:val="sq-AL"/>
        </w:rPr>
        <w:t>t</w:t>
      </w:r>
      <w:r w:rsidR="003A75EF">
        <w:rPr>
          <w:rFonts w:cs="Times New Roman"/>
          <w:szCs w:val="24"/>
          <w:lang w:val="sq-AL"/>
        </w:rPr>
        <w:t>ë</w:t>
      </w:r>
      <w:r w:rsidRPr="009475CC">
        <w:rPr>
          <w:rFonts w:cs="Times New Roman"/>
          <w:szCs w:val="24"/>
          <w:lang w:val="sq-AL"/>
        </w:rPr>
        <w:t xml:space="preserve"> fush</w:t>
      </w:r>
      <w:r w:rsidR="003A75EF">
        <w:rPr>
          <w:rFonts w:cs="Times New Roman"/>
          <w:szCs w:val="24"/>
          <w:lang w:val="sq-AL"/>
        </w:rPr>
        <w:t>ë</w:t>
      </w:r>
      <w:r w:rsidRPr="009475CC">
        <w:rPr>
          <w:rFonts w:cs="Times New Roman"/>
          <w:szCs w:val="24"/>
          <w:lang w:val="sq-AL"/>
        </w:rPr>
        <w:t>, si dhe nga ana tjeter sigurimin e implementimit t</w:t>
      </w:r>
      <w:r w:rsidR="003A75EF">
        <w:rPr>
          <w:rFonts w:cs="Times New Roman"/>
          <w:szCs w:val="24"/>
          <w:lang w:val="sq-AL"/>
        </w:rPr>
        <w:t>ë</w:t>
      </w:r>
      <w:r w:rsidRPr="009475CC">
        <w:rPr>
          <w:rFonts w:cs="Times New Roman"/>
          <w:szCs w:val="24"/>
          <w:lang w:val="sq-AL"/>
        </w:rPr>
        <w:t xml:space="preserve"> kuadrit ligjor nga t</w:t>
      </w:r>
      <w:r w:rsidR="003A75EF">
        <w:rPr>
          <w:rFonts w:cs="Times New Roman"/>
          <w:szCs w:val="24"/>
          <w:lang w:val="sq-AL"/>
        </w:rPr>
        <w:t>ë</w:t>
      </w:r>
      <w:r w:rsidRPr="009475CC">
        <w:rPr>
          <w:rFonts w:cs="Times New Roman"/>
          <w:szCs w:val="24"/>
          <w:lang w:val="sq-AL"/>
        </w:rPr>
        <w:t xml:space="preserve"> gjith</w:t>
      </w:r>
      <w:r w:rsidR="003A75EF">
        <w:rPr>
          <w:rFonts w:cs="Times New Roman"/>
          <w:szCs w:val="24"/>
          <w:lang w:val="sq-AL"/>
        </w:rPr>
        <w:t>ë</w:t>
      </w:r>
      <w:r w:rsidRPr="009475CC">
        <w:rPr>
          <w:rFonts w:cs="Times New Roman"/>
          <w:szCs w:val="24"/>
          <w:lang w:val="sq-AL"/>
        </w:rPr>
        <w:t xml:space="preserve"> operator</w:t>
      </w:r>
      <w:r w:rsidR="003A75EF">
        <w:rPr>
          <w:rFonts w:cs="Times New Roman"/>
          <w:szCs w:val="24"/>
          <w:lang w:val="sq-AL"/>
        </w:rPr>
        <w:t>ë</w:t>
      </w:r>
      <w:r w:rsidRPr="009475CC">
        <w:rPr>
          <w:rFonts w:cs="Times New Roman"/>
          <w:szCs w:val="24"/>
          <w:lang w:val="sq-AL"/>
        </w:rPr>
        <w:t>t dhe subjektet private q</w:t>
      </w:r>
      <w:r w:rsidR="003A75EF">
        <w:rPr>
          <w:rFonts w:cs="Times New Roman"/>
          <w:szCs w:val="24"/>
          <w:lang w:val="sq-AL"/>
        </w:rPr>
        <w:t>ë</w:t>
      </w:r>
      <w:r w:rsidRPr="009475CC">
        <w:rPr>
          <w:rFonts w:cs="Times New Roman"/>
          <w:szCs w:val="24"/>
          <w:lang w:val="sq-AL"/>
        </w:rPr>
        <w:t xml:space="preserve"> ushtrojn</w:t>
      </w:r>
      <w:r w:rsidR="003A75EF">
        <w:rPr>
          <w:rFonts w:cs="Times New Roman"/>
          <w:szCs w:val="24"/>
          <w:lang w:val="sq-AL"/>
        </w:rPr>
        <w:t>ë</w:t>
      </w:r>
      <w:r w:rsidRPr="009475CC">
        <w:rPr>
          <w:rFonts w:cs="Times New Roman"/>
          <w:szCs w:val="24"/>
          <w:lang w:val="sq-AL"/>
        </w:rPr>
        <w:t xml:space="preserve"> </w:t>
      </w:r>
      <w:r w:rsidR="00125F79" w:rsidRPr="009475CC">
        <w:rPr>
          <w:rFonts w:cs="Times New Roman"/>
          <w:szCs w:val="24"/>
          <w:lang w:val="sq-AL"/>
        </w:rPr>
        <w:t>veprimtari ne sektorin e turizmit.</w:t>
      </w:r>
      <w:r w:rsidR="00125F79">
        <w:rPr>
          <w:rFonts w:cs="Times New Roman"/>
          <w:szCs w:val="24"/>
          <w:lang w:val="sq-AL"/>
        </w:rPr>
        <w:t xml:space="preserve"> </w:t>
      </w:r>
      <w:r w:rsidR="00125F79" w:rsidRPr="009475CC">
        <w:rPr>
          <w:rFonts w:cs="Times New Roman"/>
          <w:szCs w:val="24"/>
          <w:lang w:val="sq-AL"/>
        </w:rPr>
        <w:t>N</w:t>
      </w:r>
      <w:r w:rsidR="00125F79">
        <w:rPr>
          <w:rFonts w:cs="Times New Roman"/>
          <w:szCs w:val="24"/>
          <w:lang w:val="sq-AL"/>
        </w:rPr>
        <w:t>ë</w:t>
      </w:r>
      <w:r w:rsidR="00125F79" w:rsidRPr="009475CC">
        <w:rPr>
          <w:rFonts w:cs="Times New Roman"/>
          <w:szCs w:val="24"/>
          <w:lang w:val="sq-AL"/>
        </w:rPr>
        <w:t xml:space="preserve"> kontekstin e plot</w:t>
      </w:r>
      <w:r w:rsidR="00125F79">
        <w:rPr>
          <w:rFonts w:cs="Times New Roman"/>
          <w:szCs w:val="24"/>
          <w:lang w:val="sq-AL"/>
        </w:rPr>
        <w:t>ë</w:t>
      </w:r>
      <w:r w:rsidR="00125F79" w:rsidRPr="009475CC">
        <w:rPr>
          <w:rFonts w:cs="Times New Roman"/>
          <w:szCs w:val="24"/>
          <w:lang w:val="sq-AL"/>
        </w:rPr>
        <w:t>simit t</w:t>
      </w:r>
      <w:r w:rsidR="00125F79">
        <w:rPr>
          <w:rFonts w:cs="Times New Roman"/>
          <w:szCs w:val="24"/>
          <w:lang w:val="sq-AL"/>
        </w:rPr>
        <w:t>ë</w:t>
      </w:r>
      <w:r w:rsidR="00125F79" w:rsidRPr="009475CC">
        <w:rPr>
          <w:rFonts w:cs="Times New Roman"/>
          <w:szCs w:val="24"/>
          <w:lang w:val="sq-AL"/>
        </w:rPr>
        <w:t xml:space="preserve"> korniz</w:t>
      </w:r>
      <w:r w:rsidR="00125F79">
        <w:rPr>
          <w:rFonts w:cs="Times New Roman"/>
          <w:szCs w:val="24"/>
          <w:lang w:val="sq-AL"/>
        </w:rPr>
        <w:t>ë</w:t>
      </w:r>
      <w:r w:rsidR="00125F79" w:rsidRPr="009475CC">
        <w:rPr>
          <w:rFonts w:cs="Times New Roman"/>
          <w:szCs w:val="24"/>
          <w:lang w:val="sq-AL"/>
        </w:rPr>
        <w:t>s ligjore n</w:t>
      </w:r>
      <w:r w:rsidR="00125F79">
        <w:rPr>
          <w:rFonts w:cs="Times New Roman"/>
          <w:szCs w:val="24"/>
          <w:lang w:val="sq-AL"/>
        </w:rPr>
        <w:t>ë</w:t>
      </w:r>
      <w:r w:rsidR="00125F79" w:rsidRPr="009475CC">
        <w:rPr>
          <w:rFonts w:cs="Times New Roman"/>
          <w:szCs w:val="24"/>
          <w:lang w:val="sq-AL"/>
        </w:rPr>
        <w:t xml:space="preserve"> sektorin e turizmit me fokus mbrojtjen e konsumatorit/turistit dhe nj</w:t>
      </w:r>
      <w:r w:rsidR="00125F79">
        <w:rPr>
          <w:rFonts w:cs="Times New Roman"/>
          <w:szCs w:val="24"/>
          <w:lang w:val="sq-AL"/>
        </w:rPr>
        <w:t>ë</w:t>
      </w:r>
      <w:r w:rsidR="00125F79" w:rsidRPr="009475CC">
        <w:rPr>
          <w:rFonts w:cs="Times New Roman"/>
          <w:szCs w:val="24"/>
          <w:lang w:val="sq-AL"/>
        </w:rPr>
        <w:t>koh</w:t>
      </w:r>
      <w:r w:rsidR="00125F79">
        <w:rPr>
          <w:rFonts w:cs="Times New Roman"/>
          <w:szCs w:val="24"/>
          <w:lang w:val="sq-AL"/>
        </w:rPr>
        <w:t>ë</w:t>
      </w:r>
      <w:r w:rsidR="00125F79" w:rsidRPr="009475CC">
        <w:rPr>
          <w:rFonts w:cs="Times New Roman"/>
          <w:szCs w:val="24"/>
          <w:lang w:val="sq-AL"/>
        </w:rPr>
        <w:t>sisht vendosjen e stadardeve</w:t>
      </w:r>
      <w:r w:rsidR="00125F79">
        <w:rPr>
          <w:rFonts w:cs="Times New Roman"/>
          <w:szCs w:val="24"/>
          <w:lang w:val="sq-AL"/>
        </w:rPr>
        <w:t>, j</w:t>
      </w:r>
      <w:r w:rsidR="00125F79" w:rsidRPr="009475CC">
        <w:rPr>
          <w:rFonts w:cs="Times New Roman"/>
          <w:szCs w:val="24"/>
          <w:lang w:val="sq-AL"/>
        </w:rPr>
        <w:t>an</w:t>
      </w:r>
      <w:r w:rsidR="00125F79">
        <w:rPr>
          <w:rFonts w:cs="Times New Roman"/>
          <w:szCs w:val="24"/>
          <w:lang w:val="sq-AL"/>
        </w:rPr>
        <w:t>ë</w:t>
      </w:r>
      <w:r w:rsidR="00125F79" w:rsidRPr="009475CC">
        <w:rPr>
          <w:rFonts w:cs="Times New Roman"/>
          <w:szCs w:val="24"/>
          <w:lang w:val="sq-AL"/>
        </w:rPr>
        <w:t xml:space="preserve"> hartuar dhe rishikuar s</w:t>
      </w:r>
      <w:r w:rsidR="00125F79">
        <w:rPr>
          <w:rFonts w:cs="Times New Roman"/>
          <w:szCs w:val="24"/>
          <w:lang w:val="sq-AL"/>
        </w:rPr>
        <w:t>ë</w:t>
      </w:r>
      <w:r w:rsidR="00125F79" w:rsidRPr="009475CC">
        <w:rPr>
          <w:rFonts w:cs="Times New Roman"/>
          <w:szCs w:val="24"/>
          <w:lang w:val="sq-AL"/>
        </w:rPr>
        <w:t xml:space="preserve"> fundmi:</w:t>
      </w:r>
    </w:p>
    <w:p w14:paraId="1E49CA01" w14:textId="2C84C9B5" w:rsidR="00125F79" w:rsidRPr="004D24BD" w:rsidRDefault="00125F79" w:rsidP="00623352">
      <w:pPr>
        <w:pStyle w:val="ListParagraph"/>
        <w:numPr>
          <w:ilvl w:val="0"/>
          <w:numId w:val="53"/>
        </w:numPr>
        <w:spacing w:after="0" w:line="240" w:lineRule="auto"/>
        <w:jc w:val="both"/>
        <w:rPr>
          <w:rFonts w:cs="Times New Roman"/>
          <w:szCs w:val="24"/>
          <w:lang w:val="sq-AL"/>
        </w:rPr>
      </w:pPr>
      <w:r w:rsidRPr="004D24BD">
        <w:rPr>
          <w:rFonts w:cs="Times New Roman"/>
          <w:szCs w:val="24"/>
          <w:lang w:val="sq-AL"/>
        </w:rPr>
        <w:t>VKM për stacionet e plazhit që parashikon masa për sigurinë shëndetësore dhe fizike të turistëve që pushojnë në zonat bregdetare nëpërmjet përcaktimeve për vrojtuesit e plazhit, perimetrin e sigurisë në zonat e lejuara për notim dhe korridoret për hyrje-daljen e mjeteve lundruese;</w:t>
      </w:r>
    </w:p>
    <w:p w14:paraId="757F9701" w14:textId="4A37890D" w:rsidR="00125F79" w:rsidRPr="004D24BD" w:rsidRDefault="00125F79" w:rsidP="00623352">
      <w:pPr>
        <w:pStyle w:val="ListParagraph"/>
        <w:numPr>
          <w:ilvl w:val="0"/>
          <w:numId w:val="53"/>
        </w:numPr>
        <w:spacing w:after="0" w:line="240" w:lineRule="auto"/>
        <w:jc w:val="both"/>
        <w:rPr>
          <w:rFonts w:cs="Times New Roman"/>
          <w:szCs w:val="24"/>
          <w:lang w:val="sq-AL"/>
        </w:rPr>
      </w:pPr>
      <w:r w:rsidRPr="004D24BD">
        <w:rPr>
          <w:rFonts w:cs="Times New Roman"/>
          <w:szCs w:val="24"/>
          <w:lang w:val="sq-AL"/>
        </w:rPr>
        <w:t>Ligji për turizmin detar që përfshin ndër të tjera përcaktimet për kolaudimin e mjeteve lundruese dhe sigurimin ndaj paleve të treta;</w:t>
      </w:r>
    </w:p>
    <w:p w14:paraId="5495447E" w14:textId="00552B6A" w:rsidR="00125F79" w:rsidRPr="004D24BD" w:rsidRDefault="00125F79" w:rsidP="00623352">
      <w:pPr>
        <w:pStyle w:val="ListParagraph"/>
        <w:numPr>
          <w:ilvl w:val="0"/>
          <w:numId w:val="53"/>
        </w:numPr>
        <w:spacing w:after="0" w:line="240" w:lineRule="auto"/>
        <w:jc w:val="both"/>
        <w:rPr>
          <w:rFonts w:cs="Times New Roman"/>
          <w:szCs w:val="24"/>
          <w:lang w:val="sq-AL"/>
        </w:rPr>
      </w:pPr>
      <w:r w:rsidRPr="004D24BD">
        <w:rPr>
          <w:rFonts w:cs="Times New Roman"/>
          <w:szCs w:val="24"/>
          <w:lang w:val="sq-AL"/>
        </w:rPr>
        <w:t>VKM për disiplinimin e lëvizjes dhe ankorimit të mjeteve lundruese.</w:t>
      </w:r>
    </w:p>
    <w:p w14:paraId="0D9B4BAB" w14:textId="77777777" w:rsidR="004D24BD" w:rsidRDefault="004D24BD" w:rsidP="004D24BD">
      <w:pPr>
        <w:spacing w:after="0" w:line="240" w:lineRule="auto"/>
        <w:jc w:val="both"/>
        <w:rPr>
          <w:rFonts w:cs="Times New Roman"/>
          <w:szCs w:val="24"/>
          <w:lang w:val="sq-AL"/>
        </w:rPr>
      </w:pPr>
    </w:p>
    <w:p w14:paraId="69364AC9" w14:textId="0DDA5FD6" w:rsidR="00125F79" w:rsidRPr="004D24BD" w:rsidRDefault="00125F79" w:rsidP="004D24BD">
      <w:pPr>
        <w:spacing w:after="0" w:line="240" w:lineRule="auto"/>
        <w:jc w:val="both"/>
        <w:rPr>
          <w:rFonts w:cs="Times New Roman"/>
          <w:szCs w:val="24"/>
          <w:lang w:val="sq-AL"/>
        </w:rPr>
      </w:pPr>
      <w:r w:rsidRPr="004D24BD">
        <w:rPr>
          <w:rFonts w:cs="Times New Roman"/>
          <w:szCs w:val="24"/>
          <w:lang w:val="sq-AL"/>
        </w:rPr>
        <w:t>Inspektimi i Strukturave Akomoduese ka filluar në vitin 2022. Referuar ankesave administrative momentalisht nuk kemi informacion, për arsye trasferimi i drejtorisë tonë pranë AKB në Qershor 2020.</w:t>
      </w:r>
    </w:p>
    <w:p w14:paraId="52F64BE4" w14:textId="77777777" w:rsidR="004D24BD" w:rsidRPr="009475CC" w:rsidRDefault="004D24BD" w:rsidP="00125F79">
      <w:pPr>
        <w:spacing w:after="0" w:line="240" w:lineRule="auto"/>
        <w:jc w:val="both"/>
        <w:rPr>
          <w:rFonts w:cs="Times New Roman"/>
          <w:szCs w:val="24"/>
          <w:lang w:val="sq-AL"/>
        </w:rPr>
      </w:pPr>
    </w:p>
    <w:p w14:paraId="6624D92B" w14:textId="77777777" w:rsidR="0063740F" w:rsidRDefault="00125F79" w:rsidP="00125F79">
      <w:pPr>
        <w:spacing w:after="0" w:line="240" w:lineRule="auto"/>
        <w:jc w:val="both"/>
        <w:rPr>
          <w:rFonts w:cs="Times New Roman"/>
          <w:szCs w:val="24"/>
          <w:lang w:val="sq-AL"/>
        </w:rPr>
      </w:pPr>
      <w:r w:rsidRPr="009475CC">
        <w:rPr>
          <w:rFonts w:cs="Times New Roman"/>
          <w:szCs w:val="24"/>
          <w:lang w:val="sq-AL"/>
        </w:rPr>
        <w:t>Sfidat në sektorin e turizmit</w:t>
      </w:r>
      <w:r>
        <w:rPr>
          <w:rFonts w:cs="Times New Roman"/>
          <w:szCs w:val="24"/>
          <w:lang w:val="sq-AL"/>
        </w:rPr>
        <w:t xml:space="preserve"> janë:</w:t>
      </w:r>
      <w:r w:rsidRPr="009475CC">
        <w:rPr>
          <w:rFonts w:cs="Times New Roman"/>
          <w:szCs w:val="24"/>
          <w:lang w:val="sq-AL"/>
        </w:rPr>
        <w:t xml:space="preserve"> </w:t>
      </w:r>
    </w:p>
    <w:p w14:paraId="0427C749" w14:textId="77777777" w:rsidR="0063740F" w:rsidRDefault="00125F79" w:rsidP="00623352">
      <w:pPr>
        <w:pStyle w:val="ListParagraph"/>
        <w:numPr>
          <w:ilvl w:val="0"/>
          <w:numId w:val="18"/>
        </w:numPr>
        <w:spacing w:after="0" w:line="240" w:lineRule="auto"/>
        <w:jc w:val="both"/>
        <w:rPr>
          <w:rFonts w:cs="Times New Roman"/>
          <w:szCs w:val="24"/>
          <w:lang w:val="sq-AL"/>
        </w:rPr>
      </w:pPr>
      <w:r w:rsidRPr="0063740F">
        <w:rPr>
          <w:rFonts w:cs="Times New Roman"/>
          <w:szCs w:val="24"/>
          <w:lang w:val="sq-AL"/>
        </w:rPr>
        <w:t xml:space="preserve">përmirësimi i kuadrit ligjor, i cili do të impaktojë marrëdhëniet  të cilat do të ofrojë një </w:t>
      </w:r>
    </w:p>
    <w:p w14:paraId="641E64C3" w14:textId="77777777" w:rsidR="0063740F" w:rsidRDefault="0063740F" w:rsidP="0063740F">
      <w:pPr>
        <w:spacing w:after="0" w:line="240" w:lineRule="auto"/>
        <w:jc w:val="both"/>
        <w:rPr>
          <w:rFonts w:cs="Times New Roman"/>
          <w:szCs w:val="24"/>
          <w:lang w:val="sq-AL"/>
        </w:rPr>
      </w:pPr>
      <w:r>
        <w:rPr>
          <w:rFonts w:cs="Times New Roman"/>
          <w:szCs w:val="24"/>
          <w:lang w:val="sq-AL"/>
        </w:rPr>
        <w:t>mb</w:t>
      </w:r>
      <w:r w:rsidR="00125F79" w:rsidRPr="0063740F">
        <w:rPr>
          <w:rFonts w:cs="Times New Roman"/>
          <w:szCs w:val="24"/>
          <w:lang w:val="sq-AL"/>
        </w:rPr>
        <w:t xml:space="preserve">rojtje më të madhe të të drejtave të turistit /konsumatorit dhe do të qartësojë detyrimet e operatorëve ekonomikë; </w:t>
      </w:r>
    </w:p>
    <w:p w14:paraId="2427274F" w14:textId="77777777" w:rsidR="0063740F" w:rsidRDefault="00125F79" w:rsidP="00623352">
      <w:pPr>
        <w:pStyle w:val="ListParagraph"/>
        <w:numPr>
          <w:ilvl w:val="0"/>
          <w:numId w:val="18"/>
        </w:numPr>
        <w:spacing w:after="0" w:line="240" w:lineRule="auto"/>
        <w:jc w:val="both"/>
        <w:rPr>
          <w:rFonts w:cs="Times New Roman"/>
          <w:szCs w:val="24"/>
          <w:lang w:val="sq-AL"/>
        </w:rPr>
      </w:pPr>
      <w:r w:rsidRPr="0063740F">
        <w:rPr>
          <w:rFonts w:cs="Times New Roman"/>
          <w:szCs w:val="24"/>
          <w:lang w:val="sq-AL"/>
        </w:rPr>
        <w:t>informimi i turistëve/ konsumatorëve mbi të drejtat e tyre në fushën e turizmit</w:t>
      </w:r>
      <w:r w:rsidR="0063740F">
        <w:rPr>
          <w:rFonts w:cs="Times New Roman"/>
          <w:szCs w:val="24"/>
          <w:lang w:val="sq-AL"/>
        </w:rPr>
        <w:t>;</w:t>
      </w:r>
    </w:p>
    <w:p w14:paraId="3145D6F6" w14:textId="0D3831C9" w:rsidR="0063740F" w:rsidRDefault="00125F79" w:rsidP="00623352">
      <w:pPr>
        <w:pStyle w:val="ListParagraph"/>
        <w:numPr>
          <w:ilvl w:val="0"/>
          <w:numId w:val="18"/>
        </w:numPr>
        <w:spacing w:after="0" w:line="240" w:lineRule="auto"/>
        <w:jc w:val="both"/>
        <w:rPr>
          <w:rFonts w:cs="Times New Roman"/>
          <w:szCs w:val="24"/>
          <w:lang w:val="sq-AL"/>
        </w:rPr>
      </w:pPr>
      <w:r w:rsidRPr="0063740F">
        <w:rPr>
          <w:rFonts w:cs="Times New Roman"/>
          <w:szCs w:val="24"/>
          <w:lang w:val="sq-AL"/>
        </w:rPr>
        <w:t xml:space="preserve">monitorimi </w:t>
      </w:r>
      <w:r w:rsidR="0063740F">
        <w:rPr>
          <w:rFonts w:cs="Times New Roman"/>
          <w:szCs w:val="24"/>
          <w:lang w:val="sq-AL"/>
        </w:rPr>
        <w:t>i</w:t>
      </w:r>
      <w:r w:rsidRPr="0063740F">
        <w:rPr>
          <w:rFonts w:cs="Times New Roman"/>
          <w:szCs w:val="24"/>
          <w:lang w:val="sq-AL"/>
        </w:rPr>
        <w:t xml:space="preserve"> cilësisë  së shërbimit turistik mbetet një sfidë p</w:t>
      </w:r>
      <w:r w:rsidR="0063740F">
        <w:rPr>
          <w:rFonts w:cs="Times New Roman"/>
          <w:szCs w:val="24"/>
          <w:lang w:val="sq-AL"/>
        </w:rPr>
        <w:t>ë</w:t>
      </w:r>
      <w:r w:rsidRPr="0063740F">
        <w:rPr>
          <w:rFonts w:cs="Times New Roman"/>
          <w:szCs w:val="24"/>
          <w:lang w:val="sq-AL"/>
        </w:rPr>
        <w:t>r t</w:t>
      </w:r>
      <w:r w:rsidR="0063740F">
        <w:rPr>
          <w:rFonts w:cs="Times New Roman"/>
          <w:szCs w:val="24"/>
          <w:lang w:val="sq-AL"/>
        </w:rPr>
        <w:t>ë</w:t>
      </w:r>
      <w:r w:rsidRPr="0063740F">
        <w:rPr>
          <w:rFonts w:cs="Times New Roman"/>
          <w:szCs w:val="24"/>
          <w:lang w:val="sq-AL"/>
        </w:rPr>
        <w:t xml:space="preserve"> përmirësuar shërbimin  </w:t>
      </w:r>
    </w:p>
    <w:p w14:paraId="4495353C" w14:textId="77777777" w:rsidR="0063740F" w:rsidRDefault="00125F79" w:rsidP="0063740F">
      <w:pPr>
        <w:spacing w:after="0" w:line="240" w:lineRule="auto"/>
        <w:jc w:val="both"/>
        <w:rPr>
          <w:rFonts w:cs="Times New Roman"/>
          <w:szCs w:val="24"/>
          <w:lang w:val="sq-AL"/>
        </w:rPr>
      </w:pPr>
      <w:r w:rsidRPr="0063740F">
        <w:rPr>
          <w:rFonts w:cs="Times New Roman"/>
          <w:szCs w:val="24"/>
          <w:lang w:val="sq-AL"/>
        </w:rPr>
        <w:t xml:space="preserve">sipas standarteve  të përcaktuara ligjore. </w:t>
      </w:r>
    </w:p>
    <w:p w14:paraId="7D1C220D" w14:textId="3FDAB66C" w:rsidR="00125F79" w:rsidRPr="0063740F" w:rsidRDefault="00125F79" w:rsidP="0063740F">
      <w:pPr>
        <w:spacing w:after="0" w:line="240" w:lineRule="auto"/>
        <w:jc w:val="both"/>
        <w:rPr>
          <w:rFonts w:cs="Times New Roman"/>
          <w:szCs w:val="24"/>
          <w:lang w:val="sq-AL"/>
        </w:rPr>
      </w:pPr>
      <w:r w:rsidRPr="0063740F">
        <w:rPr>
          <w:rFonts w:cs="Times New Roman"/>
          <w:szCs w:val="24"/>
          <w:lang w:val="sq-AL"/>
        </w:rPr>
        <w:t xml:space="preserve">Adresa e postës elektronike për dërgimin e ankesave: </w:t>
      </w:r>
      <w:hyperlink r:id="rId27" w:history="1">
        <w:r w:rsidRPr="0063740F">
          <w:rPr>
            <w:rStyle w:val="Hyperlink"/>
            <w:rFonts w:cs="Times New Roman"/>
            <w:szCs w:val="24"/>
            <w:lang w:val="sq-AL"/>
          </w:rPr>
          <w:t>info@turizmi.gov.al</w:t>
        </w:r>
      </w:hyperlink>
      <w:r w:rsidRPr="0063740F">
        <w:rPr>
          <w:rStyle w:val="Hyperlink"/>
          <w:rFonts w:cs="Times New Roman"/>
          <w:szCs w:val="24"/>
          <w:lang w:val="sq-AL"/>
        </w:rPr>
        <w:t>.</w:t>
      </w:r>
    </w:p>
    <w:p w14:paraId="0F07EFF9" w14:textId="62E00052" w:rsidR="00125F79" w:rsidRPr="00125F79" w:rsidRDefault="00125F79" w:rsidP="00125F79">
      <w:pPr>
        <w:spacing w:after="0" w:line="240" w:lineRule="auto"/>
        <w:jc w:val="both"/>
        <w:rPr>
          <w:rFonts w:cs="Times New Roman"/>
          <w:szCs w:val="24"/>
          <w:lang w:val="sq-AL"/>
        </w:rPr>
      </w:pPr>
    </w:p>
    <w:tbl>
      <w:tblPr>
        <w:tblStyle w:val="TableGrid"/>
        <w:tblpPr w:leftFromText="180" w:rightFromText="180" w:vertAnchor="page" w:horzAnchor="margin" w:tblpY="1481"/>
        <w:tblW w:w="9776" w:type="dxa"/>
        <w:tblLayout w:type="fixed"/>
        <w:tblLook w:val="04A0" w:firstRow="1" w:lastRow="0" w:firstColumn="1" w:lastColumn="0" w:noHBand="0" w:noVBand="1"/>
      </w:tblPr>
      <w:tblGrid>
        <w:gridCol w:w="704"/>
        <w:gridCol w:w="1276"/>
        <w:gridCol w:w="709"/>
        <w:gridCol w:w="708"/>
        <w:gridCol w:w="709"/>
        <w:gridCol w:w="709"/>
        <w:gridCol w:w="709"/>
        <w:gridCol w:w="708"/>
        <w:gridCol w:w="709"/>
        <w:gridCol w:w="709"/>
        <w:gridCol w:w="709"/>
        <w:gridCol w:w="708"/>
        <w:gridCol w:w="709"/>
      </w:tblGrid>
      <w:tr w:rsidR="00125F79" w:rsidRPr="00EF0FE5" w14:paraId="5D242F9C" w14:textId="77777777" w:rsidTr="00125F79">
        <w:trPr>
          <w:trHeight w:val="488"/>
        </w:trPr>
        <w:tc>
          <w:tcPr>
            <w:tcW w:w="9776" w:type="dxa"/>
            <w:gridSpan w:val="13"/>
            <w:vMerge w:val="restart"/>
            <w:noWrap/>
            <w:hideMark/>
          </w:tcPr>
          <w:p w14:paraId="7D91CAF6" w14:textId="77777777" w:rsidR="00125F79" w:rsidRPr="00EF0FE5" w:rsidRDefault="00125F79" w:rsidP="00125F79">
            <w:pPr>
              <w:jc w:val="both"/>
              <w:rPr>
                <w:rFonts w:cs="Times New Roman"/>
                <w:b/>
                <w:bCs/>
                <w:szCs w:val="24"/>
                <w:lang w:val="en-GB"/>
              </w:rPr>
            </w:pPr>
            <w:r w:rsidRPr="00EF0FE5">
              <w:rPr>
                <w:rFonts w:cs="Times New Roman"/>
                <w:b/>
                <w:bCs/>
                <w:szCs w:val="24"/>
                <w:lang w:val="en-GB"/>
              </w:rPr>
              <w:lastRenderedPageBreak/>
              <w:t>DREJTORIA E SIGURIMIT TE ZHVILLIMIT TE QENDRUESHEM TE TURIZMIT DHE ZONAVE BREGDETARE</w:t>
            </w:r>
          </w:p>
        </w:tc>
      </w:tr>
      <w:tr w:rsidR="00125F79" w:rsidRPr="00EF0FE5" w14:paraId="4196E589" w14:textId="77777777" w:rsidTr="00125F79">
        <w:trPr>
          <w:trHeight w:val="458"/>
        </w:trPr>
        <w:tc>
          <w:tcPr>
            <w:tcW w:w="9776" w:type="dxa"/>
            <w:gridSpan w:val="13"/>
            <w:vMerge/>
            <w:hideMark/>
          </w:tcPr>
          <w:p w14:paraId="50435168" w14:textId="77777777" w:rsidR="00125F79" w:rsidRPr="00EF0FE5" w:rsidRDefault="00125F79" w:rsidP="00125F79">
            <w:pPr>
              <w:jc w:val="both"/>
              <w:rPr>
                <w:rFonts w:cs="Times New Roman"/>
                <w:b/>
                <w:bCs/>
                <w:szCs w:val="24"/>
                <w:lang w:val="en-GB"/>
              </w:rPr>
            </w:pPr>
          </w:p>
        </w:tc>
      </w:tr>
      <w:tr w:rsidR="00125F79" w:rsidRPr="00EF0FE5" w14:paraId="097983ED" w14:textId="77777777" w:rsidTr="00125F79">
        <w:trPr>
          <w:trHeight w:val="1095"/>
        </w:trPr>
        <w:tc>
          <w:tcPr>
            <w:tcW w:w="704" w:type="dxa"/>
            <w:noWrap/>
            <w:hideMark/>
          </w:tcPr>
          <w:p w14:paraId="54F0A20B" w14:textId="77777777" w:rsidR="00125F79" w:rsidRPr="00EF0FE5" w:rsidRDefault="00125F79" w:rsidP="00125F79">
            <w:pPr>
              <w:jc w:val="both"/>
              <w:rPr>
                <w:rFonts w:cs="Times New Roman"/>
                <w:b/>
                <w:bCs/>
                <w:szCs w:val="24"/>
                <w:lang w:val="en-GB"/>
              </w:rPr>
            </w:pPr>
            <w:r w:rsidRPr="00EF0FE5">
              <w:rPr>
                <w:rFonts w:cs="Times New Roman"/>
                <w:b/>
                <w:bCs/>
                <w:szCs w:val="24"/>
                <w:lang w:val="en-GB"/>
              </w:rPr>
              <w:t>Viti</w:t>
            </w:r>
          </w:p>
        </w:tc>
        <w:tc>
          <w:tcPr>
            <w:tcW w:w="1276" w:type="dxa"/>
            <w:noWrap/>
            <w:hideMark/>
          </w:tcPr>
          <w:p w14:paraId="2E8561B4" w14:textId="77777777" w:rsidR="00125F79" w:rsidRPr="00EF0FE5" w:rsidRDefault="00125F79" w:rsidP="00125F79">
            <w:pPr>
              <w:jc w:val="both"/>
              <w:rPr>
                <w:rFonts w:cs="Times New Roman"/>
                <w:b/>
                <w:bCs/>
                <w:szCs w:val="24"/>
                <w:lang w:val="en-GB"/>
              </w:rPr>
            </w:pPr>
            <w:r w:rsidRPr="00EF0FE5">
              <w:rPr>
                <w:rFonts w:cs="Times New Roman"/>
                <w:b/>
                <w:bCs/>
                <w:szCs w:val="24"/>
                <w:lang w:val="en-GB"/>
              </w:rPr>
              <w:t>Institucioni</w:t>
            </w:r>
          </w:p>
        </w:tc>
        <w:tc>
          <w:tcPr>
            <w:tcW w:w="709" w:type="dxa"/>
            <w:hideMark/>
          </w:tcPr>
          <w:p w14:paraId="4E020AD6" w14:textId="77777777" w:rsidR="00125F79" w:rsidRPr="00EF0FE5" w:rsidRDefault="00125F79" w:rsidP="00125F79">
            <w:pPr>
              <w:jc w:val="both"/>
              <w:rPr>
                <w:rFonts w:cs="Times New Roman"/>
                <w:b/>
                <w:bCs/>
                <w:szCs w:val="24"/>
                <w:lang w:val="en-GB"/>
              </w:rPr>
            </w:pPr>
            <w:r w:rsidRPr="00EF0FE5">
              <w:rPr>
                <w:rFonts w:cs="Times New Roman"/>
                <w:b/>
                <w:bCs/>
                <w:szCs w:val="24"/>
                <w:lang w:val="en-GB"/>
              </w:rPr>
              <w:t xml:space="preserve">Aktivitete kontrolluese/inspektuese Total </w:t>
            </w:r>
          </w:p>
        </w:tc>
        <w:tc>
          <w:tcPr>
            <w:tcW w:w="708" w:type="dxa"/>
            <w:hideMark/>
          </w:tcPr>
          <w:p w14:paraId="3F66826B" w14:textId="77777777" w:rsidR="00125F79" w:rsidRPr="00EF0FE5" w:rsidRDefault="00125F79" w:rsidP="00125F79">
            <w:pPr>
              <w:jc w:val="both"/>
              <w:rPr>
                <w:rFonts w:cs="Times New Roman"/>
                <w:b/>
                <w:bCs/>
                <w:szCs w:val="24"/>
                <w:lang w:val="en-GB"/>
              </w:rPr>
            </w:pPr>
            <w:r w:rsidRPr="00EF0FE5">
              <w:rPr>
                <w:rFonts w:cs="Times New Roman"/>
                <w:b/>
                <w:bCs/>
                <w:szCs w:val="24"/>
                <w:lang w:val="en-GB"/>
              </w:rPr>
              <w:t>Inspektime Total</w:t>
            </w:r>
          </w:p>
        </w:tc>
        <w:tc>
          <w:tcPr>
            <w:tcW w:w="709" w:type="dxa"/>
            <w:hideMark/>
          </w:tcPr>
          <w:p w14:paraId="5AA61212" w14:textId="77777777" w:rsidR="00125F79" w:rsidRPr="00EF0FE5" w:rsidRDefault="00125F79" w:rsidP="00125F79">
            <w:pPr>
              <w:jc w:val="both"/>
              <w:rPr>
                <w:rFonts w:cs="Times New Roman"/>
                <w:b/>
                <w:bCs/>
                <w:szCs w:val="24"/>
                <w:lang w:val="en-GB"/>
              </w:rPr>
            </w:pPr>
            <w:r w:rsidRPr="00EF0FE5">
              <w:rPr>
                <w:rFonts w:cs="Times New Roman"/>
                <w:b/>
                <w:bCs/>
                <w:szCs w:val="24"/>
                <w:lang w:val="en-GB"/>
              </w:rPr>
              <w:t>Inspektime AU+OT+UT</w:t>
            </w:r>
          </w:p>
        </w:tc>
        <w:tc>
          <w:tcPr>
            <w:tcW w:w="709" w:type="dxa"/>
            <w:hideMark/>
          </w:tcPr>
          <w:p w14:paraId="30101628" w14:textId="77777777" w:rsidR="00125F79" w:rsidRPr="00EF0FE5" w:rsidRDefault="00125F79" w:rsidP="00125F79">
            <w:pPr>
              <w:jc w:val="both"/>
              <w:rPr>
                <w:rFonts w:cs="Times New Roman"/>
                <w:b/>
                <w:bCs/>
                <w:szCs w:val="24"/>
                <w:lang w:val="en-GB"/>
              </w:rPr>
            </w:pPr>
            <w:r w:rsidRPr="00EF0FE5">
              <w:rPr>
                <w:rFonts w:cs="Times New Roman"/>
                <w:b/>
                <w:bCs/>
                <w:szCs w:val="24"/>
                <w:lang w:val="en-GB"/>
              </w:rPr>
              <w:t>Inspektime SP</w:t>
            </w:r>
          </w:p>
        </w:tc>
        <w:tc>
          <w:tcPr>
            <w:tcW w:w="709" w:type="dxa"/>
            <w:hideMark/>
          </w:tcPr>
          <w:p w14:paraId="742EB94C" w14:textId="77777777" w:rsidR="00125F79" w:rsidRPr="00EF0FE5" w:rsidRDefault="00125F79" w:rsidP="00125F79">
            <w:pPr>
              <w:jc w:val="both"/>
              <w:rPr>
                <w:rFonts w:cs="Times New Roman"/>
                <w:b/>
                <w:bCs/>
                <w:szCs w:val="24"/>
                <w:lang w:val="en-GB"/>
              </w:rPr>
            </w:pPr>
            <w:r w:rsidRPr="00EF0FE5">
              <w:rPr>
                <w:rFonts w:cs="Times New Roman"/>
                <w:b/>
                <w:bCs/>
                <w:szCs w:val="24"/>
                <w:lang w:val="en-GB"/>
              </w:rPr>
              <w:t>Inspektime SA</w:t>
            </w:r>
          </w:p>
        </w:tc>
        <w:tc>
          <w:tcPr>
            <w:tcW w:w="708" w:type="dxa"/>
            <w:hideMark/>
          </w:tcPr>
          <w:p w14:paraId="3F877E5D" w14:textId="77777777" w:rsidR="00125F79" w:rsidRPr="00EF0FE5" w:rsidRDefault="00125F79" w:rsidP="00125F79">
            <w:pPr>
              <w:jc w:val="both"/>
              <w:rPr>
                <w:rFonts w:cs="Times New Roman"/>
                <w:b/>
                <w:bCs/>
                <w:szCs w:val="24"/>
                <w:lang w:val="en-GB"/>
              </w:rPr>
            </w:pPr>
            <w:r w:rsidRPr="00EF0FE5">
              <w:rPr>
                <w:rFonts w:cs="Times New Roman"/>
                <w:b/>
                <w:bCs/>
                <w:szCs w:val="24"/>
                <w:lang w:val="en-GB"/>
              </w:rPr>
              <w:t>Monitorime SA+Agroturizëm</w:t>
            </w:r>
          </w:p>
        </w:tc>
        <w:tc>
          <w:tcPr>
            <w:tcW w:w="709" w:type="dxa"/>
            <w:hideMark/>
          </w:tcPr>
          <w:p w14:paraId="4C078309" w14:textId="77777777" w:rsidR="00125F79" w:rsidRPr="00EF0FE5" w:rsidRDefault="00125F79" w:rsidP="00125F79">
            <w:pPr>
              <w:jc w:val="both"/>
              <w:rPr>
                <w:rFonts w:cs="Times New Roman"/>
                <w:b/>
                <w:bCs/>
                <w:szCs w:val="24"/>
                <w:lang w:val="en-GB"/>
              </w:rPr>
            </w:pPr>
            <w:r w:rsidRPr="00EF0FE5">
              <w:rPr>
                <w:rFonts w:cs="Times New Roman"/>
                <w:b/>
                <w:bCs/>
                <w:szCs w:val="24"/>
                <w:lang w:val="en-GB"/>
              </w:rPr>
              <w:t>Monitorime SP</w:t>
            </w:r>
          </w:p>
        </w:tc>
        <w:tc>
          <w:tcPr>
            <w:tcW w:w="709" w:type="dxa"/>
            <w:hideMark/>
          </w:tcPr>
          <w:p w14:paraId="573AD486" w14:textId="77777777" w:rsidR="00125F79" w:rsidRPr="00EF0FE5" w:rsidRDefault="00125F79" w:rsidP="00125F79">
            <w:pPr>
              <w:jc w:val="both"/>
              <w:rPr>
                <w:rFonts w:cs="Times New Roman"/>
                <w:b/>
                <w:bCs/>
                <w:szCs w:val="24"/>
                <w:lang w:val="en-GB"/>
              </w:rPr>
            </w:pPr>
            <w:r w:rsidRPr="00EF0FE5">
              <w:rPr>
                <w:rFonts w:cs="Times New Roman"/>
                <w:b/>
                <w:bCs/>
                <w:szCs w:val="24"/>
                <w:lang w:val="en-GB"/>
              </w:rPr>
              <w:t>Monitorime AU</w:t>
            </w:r>
          </w:p>
        </w:tc>
        <w:tc>
          <w:tcPr>
            <w:tcW w:w="709" w:type="dxa"/>
            <w:hideMark/>
          </w:tcPr>
          <w:p w14:paraId="06F7F3DF" w14:textId="77777777" w:rsidR="00125F79" w:rsidRPr="00EF0FE5" w:rsidRDefault="00125F79" w:rsidP="00125F79">
            <w:pPr>
              <w:jc w:val="both"/>
              <w:rPr>
                <w:rFonts w:cs="Times New Roman"/>
                <w:b/>
                <w:bCs/>
                <w:szCs w:val="24"/>
                <w:lang w:val="en-GB"/>
              </w:rPr>
            </w:pPr>
            <w:r w:rsidRPr="00EF0FE5">
              <w:rPr>
                <w:rFonts w:cs="Times New Roman"/>
                <w:b/>
                <w:bCs/>
                <w:szCs w:val="24"/>
                <w:lang w:val="en-GB"/>
              </w:rPr>
              <w:t>Masa Administrative</w:t>
            </w:r>
          </w:p>
        </w:tc>
        <w:tc>
          <w:tcPr>
            <w:tcW w:w="708" w:type="dxa"/>
            <w:hideMark/>
          </w:tcPr>
          <w:p w14:paraId="715367A8" w14:textId="77777777" w:rsidR="00125F79" w:rsidRPr="00EF0FE5" w:rsidRDefault="00125F79" w:rsidP="00125F79">
            <w:pPr>
              <w:jc w:val="both"/>
              <w:rPr>
                <w:rFonts w:cs="Times New Roman"/>
                <w:b/>
                <w:bCs/>
                <w:szCs w:val="24"/>
                <w:lang w:val="en-GB"/>
              </w:rPr>
            </w:pPr>
            <w:r w:rsidRPr="00EF0FE5">
              <w:rPr>
                <w:rFonts w:cs="Times New Roman"/>
                <w:b/>
                <w:bCs/>
                <w:szCs w:val="24"/>
                <w:lang w:val="en-GB"/>
              </w:rPr>
              <w:t>Paralajmërime</w:t>
            </w:r>
          </w:p>
        </w:tc>
        <w:tc>
          <w:tcPr>
            <w:tcW w:w="709" w:type="dxa"/>
            <w:noWrap/>
            <w:hideMark/>
          </w:tcPr>
          <w:p w14:paraId="27BC9A55" w14:textId="77777777" w:rsidR="00125F79" w:rsidRPr="00EF0FE5" w:rsidRDefault="00125F79" w:rsidP="00125F79">
            <w:pPr>
              <w:jc w:val="both"/>
              <w:rPr>
                <w:rFonts w:cs="Times New Roman"/>
                <w:b/>
                <w:bCs/>
                <w:szCs w:val="24"/>
                <w:lang w:val="en-GB"/>
              </w:rPr>
            </w:pPr>
            <w:r w:rsidRPr="00EF0FE5">
              <w:rPr>
                <w:rFonts w:cs="Times New Roman"/>
                <w:b/>
                <w:bCs/>
                <w:szCs w:val="24"/>
                <w:lang w:val="en-GB"/>
              </w:rPr>
              <w:t>Gjoba</w:t>
            </w:r>
          </w:p>
        </w:tc>
      </w:tr>
      <w:tr w:rsidR="00125F79" w:rsidRPr="00EF0FE5" w14:paraId="1751F3A2" w14:textId="77777777" w:rsidTr="00125F79">
        <w:trPr>
          <w:trHeight w:val="405"/>
        </w:trPr>
        <w:tc>
          <w:tcPr>
            <w:tcW w:w="704" w:type="dxa"/>
            <w:noWrap/>
            <w:hideMark/>
          </w:tcPr>
          <w:p w14:paraId="15C6D4CC"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2017</w:t>
            </w:r>
          </w:p>
        </w:tc>
        <w:tc>
          <w:tcPr>
            <w:tcW w:w="1276" w:type="dxa"/>
            <w:noWrap/>
            <w:hideMark/>
          </w:tcPr>
          <w:p w14:paraId="07DE4458" w14:textId="77777777" w:rsidR="00125F79" w:rsidRPr="00EF0FE5" w:rsidRDefault="00125F79" w:rsidP="00125F79">
            <w:pPr>
              <w:jc w:val="both"/>
              <w:rPr>
                <w:rFonts w:cs="Times New Roman"/>
                <w:szCs w:val="24"/>
                <w:lang w:val="en-GB"/>
              </w:rPr>
            </w:pPr>
            <w:r w:rsidRPr="00EF0FE5">
              <w:rPr>
                <w:rFonts w:cs="Times New Roman"/>
                <w:szCs w:val="24"/>
                <w:lang w:val="en-GB"/>
              </w:rPr>
              <w:t>ISHMT</w:t>
            </w:r>
          </w:p>
        </w:tc>
        <w:tc>
          <w:tcPr>
            <w:tcW w:w="709" w:type="dxa"/>
            <w:noWrap/>
            <w:hideMark/>
          </w:tcPr>
          <w:p w14:paraId="74F09A37" w14:textId="77777777" w:rsidR="00125F79" w:rsidRPr="00EF0FE5" w:rsidRDefault="00125F79" w:rsidP="00125F79">
            <w:pPr>
              <w:jc w:val="both"/>
              <w:rPr>
                <w:rFonts w:cs="Times New Roman"/>
                <w:szCs w:val="24"/>
                <w:lang w:val="en-GB"/>
              </w:rPr>
            </w:pPr>
            <w:r w:rsidRPr="00EF0FE5">
              <w:rPr>
                <w:rFonts w:cs="Times New Roman"/>
                <w:szCs w:val="24"/>
                <w:lang w:val="en-GB"/>
              </w:rPr>
              <w:t>726</w:t>
            </w:r>
          </w:p>
        </w:tc>
        <w:tc>
          <w:tcPr>
            <w:tcW w:w="708" w:type="dxa"/>
            <w:noWrap/>
            <w:hideMark/>
          </w:tcPr>
          <w:p w14:paraId="4D591D4D" w14:textId="77777777" w:rsidR="00125F79" w:rsidRPr="00EF0FE5" w:rsidRDefault="00125F79" w:rsidP="00125F79">
            <w:pPr>
              <w:jc w:val="both"/>
              <w:rPr>
                <w:rFonts w:cs="Times New Roman"/>
                <w:szCs w:val="24"/>
                <w:lang w:val="en-GB"/>
              </w:rPr>
            </w:pPr>
            <w:r w:rsidRPr="00EF0FE5">
              <w:rPr>
                <w:rFonts w:cs="Times New Roman"/>
                <w:szCs w:val="24"/>
                <w:lang w:val="en-GB"/>
              </w:rPr>
              <w:t>726</w:t>
            </w:r>
          </w:p>
        </w:tc>
        <w:tc>
          <w:tcPr>
            <w:tcW w:w="709" w:type="dxa"/>
            <w:noWrap/>
            <w:hideMark/>
          </w:tcPr>
          <w:p w14:paraId="6EC5ED69" w14:textId="77777777" w:rsidR="00125F79" w:rsidRPr="00EF0FE5" w:rsidRDefault="00125F79" w:rsidP="00125F79">
            <w:pPr>
              <w:jc w:val="both"/>
              <w:rPr>
                <w:rFonts w:cs="Times New Roman"/>
                <w:szCs w:val="24"/>
                <w:lang w:val="en-GB"/>
              </w:rPr>
            </w:pPr>
            <w:r w:rsidRPr="00EF0FE5">
              <w:rPr>
                <w:rFonts w:cs="Times New Roman"/>
                <w:szCs w:val="24"/>
                <w:lang w:val="en-GB"/>
              </w:rPr>
              <w:t>29</w:t>
            </w:r>
          </w:p>
        </w:tc>
        <w:tc>
          <w:tcPr>
            <w:tcW w:w="709" w:type="dxa"/>
            <w:noWrap/>
            <w:hideMark/>
          </w:tcPr>
          <w:p w14:paraId="3A31B833" w14:textId="77777777" w:rsidR="00125F79" w:rsidRPr="00EF0FE5" w:rsidRDefault="00125F79" w:rsidP="00125F79">
            <w:pPr>
              <w:jc w:val="both"/>
              <w:rPr>
                <w:rFonts w:cs="Times New Roman"/>
                <w:szCs w:val="24"/>
                <w:lang w:val="en-GB"/>
              </w:rPr>
            </w:pPr>
            <w:r w:rsidRPr="00EF0FE5">
              <w:rPr>
                <w:rFonts w:cs="Times New Roman"/>
                <w:szCs w:val="24"/>
                <w:lang w:val="en-GB"/>
              </w:rPr>
              <w:t>697</w:t>
            </w:r>
          </w:p>
        </w:tc>
        <w:tc>
          <w:tcPr>
            <w:tcW w:w="709" w:type="dxa"/>
            <w:noWrap/>
            <w:hideMark/>
          </w:tcPr>
          <w:p w14:paraId="20745B77"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8" w:type="dxa"/>
            <w:noWrap/>
            <w:hideMark/>
          </w:tcPr>
          <w:p w14:paraId="2AE59D07"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45C5E33E"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53ABA939"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7B87D887" w14:textId="77777777" w:rsidR="00125F79" w:rsidRPr="00EF0FE5" w:rsidRDefault="00125F79" w:rsidP="00125F79">
            <w:pPr>
              <w:jc w:val="both"/>
              <w:rPr>
                <w:rFonts w:cs="Times New Roman"/>
                <w:szCs w:val="24"/>
                <w:lang w:val="en-GB"/>
              </w:rPr>
            </w:pPr>
            <w:r w:rsidRPr="00EF0FE5">
              <w:rPr>
                <w:rFonts w:cs="Times New Roman"/>
                <w:szCs w:val="24"/>
                <w:lang w:val="en-GB"/>
              </w:rPr>
              <w:t>50</w:t>
            </w:r>
          </w:p>
        </w:tc>
        <w:tc>
          <w:tcPr>
            <w:tcW w:w="708" w:type="dxa"/>
            <w:noWrap/>
            <w:hideMark/>
          </w:tcPr>
          <w:p w14:paraId="258AB7AB"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55B4E214" w14:textId="77777777" w:rsidR="00125F79" w:rsidRPr="00EF0FE5" w:rsidRDefault="00125F79" w:rsidP="00125F79">
            <w:pPr>
              <w:jc w:val="both"/>
              <w:rPr>
                <w:rFonts w:cs="Times New Roman"/>
                <w:szCs w:val="24"/>
                <w:lang w:val="en-GB"/>
              </w:rPr>
            </w:pPr>
            <w:r w:rsidRPr="00EF0FE5">
              <w:rPr>
                <w:rFonts w:cs="Times New Roman"/>
                <w:szCs w:val="24"/>
                <w:lang w:val="en-GB"/>
              </w:rPr>
              <w:t>50</w:t>
            </w:r>
          </w:p>
        </w:tc>
      </w:tr>
      <w:tr w:rsidR="00125F79" w:rsidRPr="00EF0FE5" w14:paraId="1DC91856" w14:textId="77777777" w:rsidTr="00125F79">
        <w:trPr>
          <w:trHeight w:val="405"/>
        </w:trPr>
        <w:tc>
          <w:tcPr>
            <w:tcW w:w="704" w:type="dxa"/>
            <w:noWrap/>
            <w:hideMark/>
          </w:tcPr>
          <w:p w14:paraId="3DFC4393"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2018</w:t>
            </w:r>
          </w:p>
        </w:tc>
        <w:tc>
          <w:tcPr>
            <w:tcW w:w="1276" w:type="dxa"/>
            <w:noWrap/>
            <w:hideMark/>
          </w:tcPr>
          <w:p w14:paraId="11B94150" w14:textId="77777777" w:rsidR="00125F79" w:rsidRPr="00EF0FE5" w:rsidRDefault="00125F79" w:rsidP="00125F79">
            <w:pPr>
              <w:jc w:val="both"/>
              <w:rPr>
                <w:rFonts w:cs="Times New Roman"/>
                <w:szCs w:val="24"/>
                <w:lang w:val="en-GB"/>
              </w:rPr>
            </w:pPr>
            <w:r w:rsidRPr="00EF0FE5">
              <w:rPr>
                <w:rFonts w:cs="Times New Roman"/>
                <w:szCs w:val="24"/>
                <w:lang w:val="en-GB"/>
              </w:rPr>
              <w:t>ISHMT &amp; ISHMPUT</w:t>
            </w:r>
          </w:p>
        </w:tc>
        <w:tc>
          <w:tcPr>
            <w:tcW w:w="709" w:type="dxa"/>
            <w:hideMark/>
          </w:tcPr>
          <w:p w14:paraId="0B0B448D" w14:textId="77777777" w:rsidR="00125F79" w:rsidRPr="00EF0FE5" w:rsidRDefault="00125F79" w:rsidP="00125F79">
            <w:pPr>
              <w:jc w:val="both"/>
              <w:rPr>
                <w:rFonts w:cs="Times New Roman"/>
                <w:szCs w:val="24"/>
                <w:lang w:val="en-GB"/>
              </w:rPr>
            </w:pPr>
            <w:r w:rsidRPr="00EF0FE5">
              <w:rPr>
                <w:rFonts w:cs="Times New Roman"/>
                <w:szCs w:val="24"/>
                <w:lang w:val="en-GB"/>
              </w:rPr>
              <w:t>890</w:t>
            </w:r>
          </w:p>
        </w:tc>
        <w:tc>
          <w:tcPr>
            <w:tcW w:w="708" w:type="dxa"/>
            <w:noWrap/>
            <w:hideMark/>
          </w:tcPr>
          <w:p w14:paraId="4A518853" w14:textId="77777777" w:rsidR="00125F79" w:rsidRPr="00EF0FE5" w:rsidRDefault="00125F79" w:rsidP="00125F79">
            <w:pPr>
              <w:jc w:val="both"/>
              <w:rPr>
                <w:rFonts w:cs="Times New Roman"/>
                <w:szCs w:val="24"/>
                <w:lang w:val="en-GB"/>
              </w:rPr>
            </w:pPr>
            <w:r w:rsidRPr="00EF0FE5">
              <w:rPr>
                <w:rFonts w:cs="Times New Roman"/>
                <w:szCs w:val="24"/>
                <w:lang w:val="en-GB"/>
              </w:rPr>
              <w:t>347</w:t>
            </w:r>
          </w:p>
        </w:tc>
        <w:tc>
          <w:tcPr>
            <w:tcW w:w="709" w:type="dxa"/>
            <w:noWrap/>
            <w:hideMark/>
          </w:tcPr>
          <w:p w14:paraId="34E7AD59" w14:textId="77777777" w:rsidR="00125F79" w:rsidRPr="00EF0FE5" w:rsidRDefault="00125F79" w:rsidP="00125F79">
            <w:pPr>
              <w:jc w:val="both"/>
              <w:rPr>
                <w:rFonts w:cs="Times New Roman"/>
                <w:szCs w:val="24"/>
                <w:lang w:val="en-GB"/>
              </w:rPr>
            </w:pPr>
            <w:r w:rsidRPr="00EF0FE5">
              <w:rPr>
                <w:rFonts w:cs="Times New Roman"/>
                <w:szCs w:val="24"/>
                <w:lang w:val="en-GB"/>
              </w:rPr>
              <w:t>347</w:t>
            </w:r>
          </w:p>
        </w:tc>
        <w:tc>
          <w:tcPr>
            <w:tcW w:w="709" w:type="dxa"/>
            <w:noWrap/>
            <w:hideMark/>
          </w:tcPr>
          <w:p w14:paraId="36F1F6F7"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7B9C2E14"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8" w:type="dxa"/>
            <w:noWrap/>
            <w:hideMark/>
          </w:tcPr>
          <w:p w14:paraId="31A0B8FE"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7DE5A855" w14:textId="77777777" w:rsidR="00125F79" w:rsidRPr="00EF0FE5" w:rsidRDefault="00125F79" w:rsidP="00125F79">
            <w:pPr>
              <w:jc w:val="both"/>
              <w:rPr>
                <w:rFonts w:cs="Times New Roman"/>
                <w:szCs w:val="24"/>
                <w:lang w:val="en-GB"/>
              </w:rPr>
            </w:pPr>
            <w:r w:rsidRPr="00EF0FE5">
              <w:rPr>
                <w:rFonts w:cs="Times New Roman"/>
                <w:szCs w:val="24"/>
                <w:lang w:val="en-GB"/>
              </w:rPr>
              <w:t>543</w:t>
            </w:r>
          </w:p>
        </w:tc>
        <w:tc>
          <w:tcPr>
            <w:tcW w:w="709" w:type="dxa"/>
            <w:noWrap/>
            <w:hideMark/>
          </w:tcPr>
          <w:p w14:paraId="6E77D0B1"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058E1469" w14:textId="77777777" w:rsidR="00125F79" w:rsidRPr="00EF0FE5" w:rsidRDefault="00125F79" w:rsidP="00125F79">
            <w:pPr>
              <w:jc w:val="both"/>
              <w:rPr>
                <w:rFonts w:cs="Times New Roman"/>
                <w:szCs w:val="24"/>
                <w:lang w:val="en-GB"/>
              </w:rPr>
            </w:pPr>
            <w:r w:rsidRPr="00EF0FE5">
              <w:rPr>
                <w:rFonts w:cs="Times New Roman"/>
                <w:szCs w:val="24"/>
                <w:lang w:val="en-GB"/>
              </w:rPr>
              <w:t>20</w:t>
            </w:r>
          </w:p>
        </w:tc>
        <w:tc>
          <w:tcPr>
            <w:tcW w:w="708" w:type="dxa"/>
            <w:noWrap/>
            <w:hideMark/>
          </w:tcPr>
          <w:p w14:paraId="36B1A83B"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588FC017" w14:textId="77777777" w:rsidR="00125F79" w:rsidRPr="00EF0FE5" w:rsidRDefault="00125F79" w:rsidP="00125F79">
            <w:pPr>
              <w:jc w:val="both"/>
              <w:rPr>
                <w:rFonts w:cs="Times New Roman"/>
                <w:szCs w:val="24"/>
                <w:lang w:val="en-GB"/>
              </w:rPr>
            </w:pPr>
            <w:r w:rsidRPr="00EF0FE5">
              <w:rPr>
                <w:rFonts w:cs="Times New Roman"/>
                <w:szCs w:val="24"/>
                <w:lang w:val="en-GB"/>
              </w:rPr>
              <w:t>20</w:t>
            </w:r>
          </w:p>
        </w:tc>
      </w:tr>
      <w:tr w:rsidR="00125F79" w:rsidRPr="00EF0FE5" w14:paraId="21F452FE" w14:textId="77777777" w:rsidTr="00125F79">
        <w:trPr>
          <w:trHeight w:val="405"/>
        </w:trPr>
        <w:tc>
          <w:tcPr>
            <w:tcW w:w="704" w:type="dxa"/>
            <w:noWrap/>
            <w:hideMark/>
          </w:tcPr>
          <w:p w14:paraId="46B756E3"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2019</w:t>
            </w:r>
          </w:p>
        </w:tc>
        <w:tc>
          <w:tcPr>
            <w:tcW w:w="1276" w:type="dxa"/>
            <w:hideMark/>
          </w:tcPr>
          <w:p w14:paraId="028D0C6C" w14:textId="77777777" w:rsidR="00125F79" w:rsidRPr="00EF0FE5" w:rsidRDefault="00125F79" w:rsidP="00125F79">
            <w:pPr>
              <w:jc w:val="both"/>
              <w:rPr>
                <w:rFonts w:cs="Times New Roman"/>
                <w:szCs w:val="24"/>
                <w:lang w:val="en-GB"/>
              </w:rPr>
            </w:pPr>
            <w:r w:rsidRPr="00EF0FE5">
              <w:rPr>
                <w:rFonts w:cs="Times New Roman"/>
                <w:szCs w:val="24"/>
                <w:lang w:val="en-GB"/>
              </w:rPr>
              <w:t>ISHMPUT</w:t>
            </w:r>
          </w:p>
        </w:tc>
        <w:tc>
          <w:tcPr>
            <w:tcW w:w="709" w:type="dxa"/>
            <w:hideMark/>
          </w:tcPr>
          <w:p w14:paraId="7822496C" w14:textId="77777777" w:rsidR="00125F79" w:rsidRPr="00EF0FE5" w:rsidRDefault="00125F79" w:rsidP="00125F79">
            <w:pPr>
              <w:jc w:val="both"/>
              <w:rPr>
                <w:rFonts w:cs="Times New Roman"/>
                <w:szCs w:val="24"/>
                <w:lang w:val="en-GB"/>
              </w:rPr>
            </w:pPr>
            <w:r w:rsidRPr="00EF0FE5">
              <w:rPr>
                <w:rFonts w:cs="Times New Roman"/>
                <w:szCs w:val="24"/>
                <w:lang w:val="en-GB"/>
              </w:rPr>
              <w:t>2078</w:t>
            </w:r>
          </w:p>
        </w:tc>
        <w:tc>
          <w:tcPr>
            <w:tcW w:w="708" w:type="dxa"/>
            <w:noWrap/>
            <w:hideMark/>
          </w:tcPr>
          <w:p w14:paraId="5667AB4C" w14:textId="77777777" w:rsidR="00125F79" w:rsidRPr="00EF0FE5" w:rsidRDefault="00125F79" w:rsidP="00125F79">
            <w:pPr>
              <w:jc w:val="both"/>
              <w:rPr>
                <w:rFonts w:cs="Times New Roman"/>
                <w:szCs w:val="24"/>
                <w:lang w:val="en-GB"/>
              </w:rPr>
            </w:pPr>
            <w:r w:rsidRPr="00EF0FE5">
              <w:rPr>
                <w:rFonts w:cs="Times New Roman"/>
                <w:szCs w:val="24"/>
                <w:lang w:val="en-GB"/>
              </w:rPr>
              <w:t>457</w:t>
            </w:r>
          </w:p>
        </w:tc>
        <w:tc>
          <w:tcPr>
            <w:tcW w:w="709" w:type="dxa"/>
            <w:noWrap/>
            <w:hideMark/>
          </w:tcPr>
          <w:p w14:paraId="62236523" w14:textId="77777777" w:rsidR="00125F79" w:rsidRPr="00EF0FE5" w:rsidRDefault="00125F79" w:rsidP="00125F79">
            <w:pPr>
              <w:jc w:val="both"/>
              <w:rPr>
                <w:rFonts w:cs="Times New Roman"/>
                <w:szCs w:val="24"/>
                <w:lang w:val="en-GB"/>
              </w:rPr>
            </w:pPr>
            <w:r w:rsidRPr="00EF0FE5">
              <w:rPr>
                <w:rFonts w:cs="Times New Roman"/>
                <w:szCs w:val="24"/>
                <w:lang w:val="en-GB"/>
              </w:rPr>
              <w:t>163</w:t>
            </w:r>
          </w:p>
        </w:tc>
        <w:tc>
          <w:tcPr>
            <w:tcW w:w="709" w:type="dxa"/>
            <w:noWrap/>
            <w:hideMark/>
          </w:tcPr>
          <w:p w14:paraId="02EBEA74" w14:textId="77777777" w:rsidR="00125F79" w:rsidRPr="00EF0FE5" w:rsidRDefault="00125F79" w:rsidP="00125F79">
            <w:pPr>
              <w:jc w:val="both"/>
              <w:rPr>
                <w:rFonts w:cs="Times New Roman"/>
                <w:szCs w:val="24"/>
                <w:lang w:val="en-GB"/>
              </w:rPr>
            </w:pPr>
            <w:r w:rsidRPr="00EF0FE5">
              <w:rPr>
                <w:rFonts w:cs="Times New Roman"/>
                <w:szCs w:val="24"/>
                <w:lang w:val="en-GB"/>
              </w:rPr>
              <w:t>294</w:t>
            </w:r>
          </w:p>
        </w:tc>
        <w:tc>
          <w:tcPr>
            <w:tcW w:w="709" w:type="dxa"/>
            <w:noWrap/>
            <w:hideMark/>
          </w:tcPr>
          <w:p w14:paraId="2F8E057C"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8" w:type="dxa"/>
            <w:noWrap/>
            <w:hideMark/>
          </w:tcPr>
          <w:p w14:paraId="7675395E" w14:textId="77777777" w:rsidR="00125F79" w:rsidRPr="00EF0FE5" w:rsidRDefault="00125F79" w:rsidP="00125F79">
            <w:pPr>
              <w:jc w:val="both"/>
              <w:rPr>
                <w:rFonts w:cs="Times New Roman"/>
                <w:szCs w:val="24"/>
                <w:lang w:val="en-GB"/>
              </w:rPr>
            </w:pPr>
            <w:r w:rsidRPr="00EF0FE5">
              <w:rPr>
                <w:rFonts w:cs="Times New Roman"/>
                <w:szCs w:val="24"/>
                <w:lang w:val="en-GB"/>
              </w:rPr>
              <w:t>820</w:t>
            </w:r>
          </w:p>
        </w:tc>
        <w:tc>
          <w:tcPr>
            <w:tcW w:w="709" w:type="dxa"/>
            <w:noWrap/>
            <w:hideMark/>
          </w:tcPr>
          <w:p w14:paraId="0A26BB65" w14:textId="77777777" w:rsidR="00125F79" w:rsidRPr="00EF0FE5" w:rsidRDefault="00125F79" w:rsidP="00125F79">
            <w:pPr>
              <w:jc w:val="both"/>
              <w:rPr>
                <w:rFonts w:cs="Times New Roman"/>
                <w:szCs w:val="24"/>
                <w:lang w:val="en-GB"/>
              </w:rPr>
            </w:pPr>
            <w:r w:rsidRPr="00EF0FE5">
              <w:rPr>
                <w:rFonts w:cs="Times New Roman"/>
                <w:szCs w:val="24"/>
                <w:lang w:val="en-GB"/>
              </w:rPr>
              <w:t>801</w:t>
            </w:r>
          </w:p>
        </w:tc>
        <w:tc>
          <w:tcPr>
            <w:tcW w:w="709" w:type="dxa"/>
            <w:noWrap/>
            <w:hideMark/>
          </w:tcPr>
          <w:p w14:paraId="0AEFC911"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2C014D92" w14:textId="77777777" w:rsidR="00125F79" w:rsidRPr="00EF0FE5" w:rsidRDefault="00125F79" w:rsidP="00125F79">
            <w:pPr>
              <w:jc w:val="both"/>
              <w:rPr>
                <w:rFonts w:cs="Times New Roman"/>
                <w:szCs w:val="24"/>
                <w:lang w:val="en-GB"/>
              </w:rPr>
            </w:pPr>
            <w:r w:rsidRPr="00EF0FE5">
              <w:rPr>
                <w:rFonts w:cs="Times New Roman"/>
                <w:szCs w:val="24"/>
                <w:lang w:val="en-GB"/>
              </w:rPr>
              <w:t>193</w:t>
            </w:r>
          </w:p>
        </w:tc>
        <w:tc>
          <w:tcPr>
            <w:tcW w:w="708" w:type="dxa"/>
            <w:noWrap/>
            <w:hideMark/>
          </w:tcPr>
          <w:p w14:paraId="49099CF3" w14:textId="77777777" w:rsidR="00125F79" w:rsidRPr="00EF0FE5" w:rsidRDefault="00125F79" w:rsidP="00125F79">
            <w:pPr>
              <w:jc w:val="both"/>
              <w:rPr>
                <w:rFonts w:cs="Times New Roman"/>
                <w:szCs w:val="24"/>
                <w:lang w:val="en-GB"/>
              </w:rPr>
            </w:pPr>
            <w:r w:rsidRPr="00EF0FE5">
              <w:rPr>
                <w:rFonts w:cs="Times New Roman"/>
                <w:szCs w:val="24"/>
                <w:lang w:val="en-GB"/>
              </w:rPr>
              <w:t>153</w:t>
            </w:r>
          </w:p>
        </w:tc>
        <w:tc>
          <w:tcPr>
            <w:tcW w:w="709" w:type="dxa"/>
            <w:noWrap/>
            <w:hideMark/>
          </w:tcPr>
          <w:p w14:paraId="10D6F7FD" w14:textId="77777777" w:rsidR="00125F79" w:rsidRPr="00EF0FE5" w:rsidRDefault="00125F79" w:rsidP="00125F79">
            <w:pPr>
              <w:jc w:val="both"/>
              <w:rPr>
                <w:rFonts w:cs="Times New Roman"/>
                <w:szCs w:val="24"/>
                <w:lang w:val="en-GB"/>
              </w:rPr>
            </w:pPr>
            <w:r w:rsidRPr="00EF0FE5">
              <w:rPr>
                <w:rFonts w:cs="Times New Roman"/>
                <w:szCs w:val="24"/>
                <w:lang w:val="en-GB"/>
              </w:rPr>
              <w:t>40</w:t>
            </w:r>
          </w:p>
        </w:tc>
      </w:tr>
      <w:tr w:rsidR="00125F79" w:rsidRPr="00EF0FE5" w14:paraId="238307CD" w14:textId="77777777" w:rsidTr="00125F79">
        <w:trPr>
          <w:trHeight w:val="405"/>
        </w:trPr>
        <w:tc>
          <w:tcPr>
            <w:tcW w:w="704" w:type="dxa"/>
            <w:noWrap/>
            <w:hideMark/>
          </w:tcPr>
          <w:p w14:paraId="3520A8F3"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2020</w:t>
            </w:r>
          </w:p>
        </w:tc>
        <w:tc>
          <w:tcPr>
            <w:tcW w:w="1276" w:type="dxa"/>
            <w:vMerge w:val="restart"/>
            <w:hideMark/>
          </w:tcPr>
          <w:p w14:paraId="40FE417A" w14:textId="77777777" w:rsidR="00125F79" w:rsidRPr="00EF0FE5" w:rsidRDefault="00125F79" w:rsidP="00125F79">
            <w:pPr>
              <w:jc w:val="both"/>
              <w:rPr>
                <w:rFonts w:cs="Times New Roman"/>
                <w:szCs w:val="24"/>
                <w:lang w:val="en-GB"/>
              </w:rPr>
            </w:pPr>
            <w:r w:rsidRPr="00EF0FE5">
              <w:rPr>
                <w:rFonts w:cs="Times New Roman"/>
                <w:szCs w:val="24"/>
                <w:lang w:val="en-GB"/>
              </w:rPr>
              <w:t>AKB</w:t>
            </w:r>
          </w:p>
        </w:tc>
        <w:tc>
          <w:tcPr>
            <w:tcW w:w="709" w:type="dxa"/>
            <w:hideMark/>
          </w:tcPr>
          <w:p w14:paraId="7522BEEE" w14:textId="77777777" w:rsidR="00125F79" w:rsidRPr="00EF0FE5" w:rsidRDefault="00125F79" w:rsidP="00125F79">
            <w:pPr>
              <w:jc w:val="both"/>
              <w:rPr>
                <w:rFonts w:cs="Times New Roman"/>
                <w:szCs w:val="24"/>
                <w:lang w:val="en-GB"/>
              </w:rPr>
            </w:pPr>
            <w:r w:rsidRPr="00EF0FE5">
              <w:rPr>
                <w:rFonts w:cs="Times New Roman"/>
                <w:szCs w:val="24"/>
                <w:lang w:val="en-GB"/>
              </w:rPr>
              <w:t>2214</w:t>
            </w:r>
          </w:p>
        </w:tc>
        <w:tc>
          <w:tcPr>
            <w:tcW w:w="708" w:type="dxa"/>
            <w:noWrap/>
            <w:hideMark/>
          </w:tcPr>
          <w:p w14:paraId="5103B9F4" w14:textId="77777777" w:rsidR="00125F79" w:rsidRPr="00EF0FE5" w:rsidRDefault="00125F79" w:rsidP="00125F79">
            <w:pPr>
              <w:jc w:val="both"/>
              <w:rPr>
                <w:rFonts w:cs="Times New Roman"/>
                <w:szCs w:val="24"/>
                <w:lang w:val="en-GB"/>
              </w:rPr>
            </w:pPr>
            <w:r w:rsidRPr="00EF0FE5">
              <w:rPr>
                <w:rFonts w:cs="Times New Roman"/>
                <w:szCs w:val="24"/>
                <w:lang w:val="en-GB"/>
              </w:rPr>
              <w:t>117</w:t>
            </w:r>
          </w:p>
        </w:tc>
        <w:tc>
          <w:tcPr>
            <w:tcW w:w="709" w:type="dxa"/>
            <w:noWrap/>
            <w:hideMark/>
          </w:tcPr>
          <w:p w14:paraId="1701AB79" w14:textId="77777777" w:rsidR="00125F79" w:rsidRPr="00EF0FE5" w:rsidRDefault="00125F79" w:rsidP="00125F79">
            <w:pPr>
              <w:jc w:val="both"/>
              <w:rPr>
                <w:rFonts w:cs="Times New Roman"/>
                <w:szCs w:val="24"/>
                <w:lang w:val="en-GB"/>
              </w:rPr>
            </w:pPr>
            <w:r w:rsidRPr="00EF0FE5">
              <w:rPr>
                <w:rFonts w:cs="Times New Roman"/>
                <w:szCs w:val="24"/>
                <w:lang w:val="en-GB"/>
              </w:rPr>
              <w:t>1</w:t>
            </w:r>
          </w:p>
        </w:tc>
        <w:tc>
          <w:tcPr>
            <w:tcW w:w="709" w:type="dxa"/>
            <w:noWrap/>
            <w:hideMark/>
          </w:tcPr>
          <w:p w14:paraId="361BEEAA" w14:textId="77777777" w:rsidR="00125F79" w:rsidRPr="00EF0FE5" w:rsidRDefault="00125F79" w:rsidP="00125F79">
            <w:pPr>
              <w:jc w:val="both"/>
              <w:rPr>
                <w:rFonts w:cs="Times New Roman"/>
                <w:szCs w:val="24"/>
                <w:lang w:val="en-GB"/>
              </w:rPr>
            </w:pPr>
            <w:r w:rsidRPr="00EF0FE5">
              <w:rPr>
                <w:rFonts w:cs="Times New Roman"/>
                <w:szCs w:val="24"/>
                <w:lang w:val="en-GB"/>
              </w:rPr>
              <w:t>116</w:t>
            </w:r>
          </w:p>
        </w:tc>
        <w:tc>
          <w:tcPr>
            <w:tcW w:w="709" w:type="dxa"/>
            <w:noWrap/>
            <w:hideMark/>
          </w:tcPr>
          <w:p w14:paraId="689FC1F4"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8" w:type="dxa"/>
            <w:noWrap/>
            <w:hideMark/>
          </w:tcPr>
          <w:p w14:paraId="53E09172" w14:textId="77777777" w:rsidR="00125F79" w:rsidRPr="00EF0FE5" w:rsidRDefault="00125F79" w:rsidP="00125F79">
            <w:pPr>
              <w:jc w:val="both"/>
              <w:rPr>
                <w:rFonts w:cs="Times New Roman"/>
                <w:szCs w:val="24"/>
                <w:lang w:val="en-GB"/>
              </w:rPr>
            </w:pPr>
            <w:r w:rsidRPr="00EF0FE5">
              <w:rPr>
                <w:rFonts w:cs="Times New Roman"/>
                <w:szCs w:val="24"/>
                <w:lang w:val="en-GB"/>
              </w:rPr>
              <w:t>1797</w:t>
            </w:r>
          </w:p>
        </w:tc>
        <w:tc>
          <w:tcPr>
            <w:tcW w:w="709" w:type="dxa"/>
            <w:noWrap/>
            <w:hideMark/>
          </w:tcPr>
          <w:p w14:paraId="69389A27" w14:textId="77777777" w:rsidR="00125F79" w:rsidRPr="00EF0FE5" w:rsidRDefault="00125F79" w:rsidP="00125F79">
            <w:pPr>
              <w:jc w:val="both"/>
              <w:rPr>
                <w:rFonts w:cs="Times New Roman"/>
                <w:szCs w:val="24"/>
                <w:lang w:val="en-GB"/>
              </w:rPr>
            </w:pPr>
            <w:r w:rsidRPr="00EF0FE5">
              <w:rPr>
                <w:rFonts w:cs="Times New Roman"/>
                <w:szCs w:val="24"/>
                <w:lang w:val="en-GB"/>
              </w:rPr>
              <w:t>300</w:t>
            </w:r>
          </w:p>
        </w:tc>
        <w:tc>
          <w:tcPr>
            <w:tcW w:w="709" w:type="dxa"/>
            <w:noWrap/>
            <w:hideMark/>
          </w:tcPr>
          <w:p w14:paraId="3B7EBEE8"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086EA3F9" w14:textId="77777777" w:rsidR="00125F79" w:rsidRPr="00EF0FE5" w:rsidRDefault="00125F79" w:rsidP="00125F79">
            <w:pPr>
              <w:jc w:val="both"/>
              <w:rPr>
                <w:rFonts w:cs="Times New Roman"/>
                <w:szCs w:val="24"/>
                <w:lang w:val="en-GB"/>
              </w:rPr>
            </w:pPr>
            <w:r w:rsidRPr="00EF0FE5">
              <w:rPr>
                <w:rFonts w:cs="Times New Roman"/>
                <w:szCs w:val="24"/>
                <w:lang w:val="en-GB"/>
              </w:rPr>
              <w:t>71</w:t>
            </w:r>
          </w:p>
        </w:tc>
        <w:tc>
          <w:tcPr>
            <w:tcW w:w="708" w:type="dxa"/>
            <w:noWrap/>
            <w:hideMark/>
          </w:tcPr>
          <w:p w14:paraId="17954B32" w14:textId="77777777" w:rsidR="00125F79" w:rsidRPr="00EF0FE5" w:rsidRDefault="00125F79" w:rsidP="00125F79">
            <w:pPr>
              <w:jc w:val="both"/>
              <w:rPr>
                <w:rFonts w:cs="Times New Roman"/>
                <w:szCs w:val="24"/>
                <w:lang w:val="en-GB"/>
              </w:rPr>
            </w:pPr>
            <w:r w:rsidRPr="00EF0FE5">
              <w:rPr>
                <w:rFonts w:cs="Times New Roman"/>
                <w:szCs w:val="24"/>
                <w:lang w:val="en-GB"/>
              </w:rPr>
              <w:t>53</w:t>
            </w:r>
          </w:p>
        </w:tc>
        <w:tc>
          <w:tcPr>
            <w:tcW w:w="709" w:type="dxa"/>
            <w:noWrap/>
            <w:hideMark/>
          </w:tcPr>
          <w:p w14:paraId="5572786E" w14:textId="77777777" w:rsidR="00125F79" w:rsidRPr="00EF0FE5" w:rsidRDefault="00125F79" w:rsidP="00125F79">
            <w:pPr>
              <w:jc w:val="both"/>
              <w:rPr>
                <w:rFonts w:cs="Times New Roman"/>
                <w:szCs w:val="24"/>
                <w:lang w:val="en-GB"/>
              </w:rPr>
            </w:pPr>
            <w:r w:rsidRPr="00EF0FE5">
              <w:rPr>
                <w:rFonts w:cs="Times New Roman"/>
                <w:szCs w:val="24"/>
                <w:lang w:val="en-GB"/>
              </w:rPr>
              <w:t>18</w:t>
            </w:r>
          </w:p>
        </w:tc>
      </w:tr>
      <w:tr w:rsidR="00125F79" w:rsidRPr="00EF0FE5" w14:paraId="12BAEE1A" w14:textId="77777777" w:rsidTr="00125F79">
        <w:trPr>
          <w:trHeight w:val="405"/>
        </w:trPr>
        <w:tc>
          <w:tcPr>
            <w:tcW w:w="704" w:type="dxa"/>
            <w:noWrap/>
            <w:hideMark/>
          </w:tcPr>
          <w:p w14:paraId="74CF1644"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2021</w:t>
            </w:r>
          </w:p>
        </w:tc>
        <w:tc>
          <w:tcPr>
            <w:tcW w:w="1276" w:type="dxa"/>
            <w:vMerge/>
            <w:hideMark/>
          </w:tcPr>
          <w:p w14:paraId="479623E4" w14:textId="77777777" w:rsidR="00125F79" w:rsidRPr="00EF0FE5" w:rsidRDefault="00125F79" w:rsidP="00125F79">
            <w:pPr>
              <w:jc w:val="both"/>
              <w:rPr>
                <w:rFonts w:cs="Times New Roman"/>
                <w:szCs w:val="24"/>
                <w:lang w:val="en-GB"/>
              </w:rPr>
            </w:pPr>
          </w:p>
        </w:tc>
        <w:tc>
          <w:tcPr>
            <w:tcW w:w="709" w:type="dxa"/>
            <w:hideMark/>
          </w:tcPr>
          <w:p w14:paraId="65EBBEF6" w14:textId="77777777" w:rsidR="00125F79" w:rsidRPr="00EF0FE5" w:rsidRDefault="00125F79" w:rsidP="00125F79">
            <w:pPr>
              <w:jc w:val="both"/>
              <w:rPr>
                <w:rFonts w:cs="Times New Roman"/>
                <w:szCs w:val="24"/>
                <w:lang w:val="en-GB"/>
              </w:rPr>
            </w:pPr>
            <w:r w:rsidRPr="00EF0FE5">
              <w:rPr>
                <w:rFonts w:cs="Times New Roman"/>
                <w:szCs w:val="24"/>
                <w:lang w:val="en-GB"/>
              </w:rPr>
              <w:t>1652</w:t>
            </w:r>
          </w:p>
        </w:tc>
        <w:tc>
          <w:tcPr>
            <w:tcW w:w="708" w:type="dxa"/>
            <w:noWrap/>
            <w:hideMark/>
          </w:tcPr>
          <w:p w14:paraId="2009DB1B" w14:textId="77777777" w:rsidR="00125F79" w:rsidRPr="00EF0FE5" w:rsidRDefault="00125F79" w:rsidP="00125F79">
            <w:pPr>
              <w:jc w:val="both"/>
              <w:rPr>
                <w:rFonts w:cs="Times New Roman"/>
                <w:szCs w:val="24"/>
                <w:lang w:val="en-GB"/>
              </w:rPr>
            </w:pPr>
            <w:r w:rsidRPr="00EF0FE5">
              <w:rPr>
                <w:rFonts w:cs="Times New Roman"/>
                <w:szCs w:val="24"/>
                <w:lang w:val="en-GB"/>
              </w:rPr>
              <w:t>50</w:t>
            </w:r>
          </w:p>
        </w:tc>
        <w:tc>
          <w:tcPr>
            <w:tcW w:w="709" w:type="dxa"/>
            <w:noWrap/>
            <w:hideMark/>
          </w:tcPr>
          <w:p w14:paraId="35275853"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417446DD" w14:textId="77777777" w:rsidR="00125F79" w:rsidRPr="00EF0FE5" w:rsidRDefault="00125F79" w:rsidP="00125F79">
            <w:pPr>
              <w:jc w:val="both"/>
              <w:rPr>
                <w:rFonts w:cs="Times New Roman"/>
                <w:szCs w:val="24"/>
                <w:lang w:val="en-GB"/>
              </w:rPr>
            </w:pPr>
            <w:r w:rsidRPr="00EF0FE5">
              <w:rPr>
                <w:rFonts w:cs="Times New Roman"/>
                <w:szCs w:val="24"/>
                <w:lang w:val="en-GB"/>
              </w:rPr>
              <w:t>50</w:t>
            </w:r>
          </w:p>
        </w:tc>
        <w:tc>
          <w:tcPr>
            <w:tcW w:w="709" w:type="dxa"/>
            <w:noWrap/>
            <w:hideMark/>
          </w:tcPr>
          <w:p w14:paraId="24CF568B"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8" w:type="dxa"/>
            <w:noWrap/>
            <w:hideMark/>
          </w:tcPr>
          <w:p w14:paraId="4137C632" w14:textId="77777777" w:rsidR="00125F79" w:rsidRPr="00EF0FE5" w:rsidRDefault="00125F79" w:rsidP="00125F79">
            <w:pPr>
              <w:jc w:val="both"/>
              <w:rPr>
                <w:rFonts w:cs="Times New Roman"/>
                <w:szCs w:val="24"/>
                <w:lang w:val="en-GB"/>
              </w:rPr>
            </w:pPr>
            <w:r w:rsidRPr="00EF0FE5">
              <w:rPr>
                <w:rFonts w:cs="Times New Roman"/>
                <w:szCs w:val="24"/>
                <w:lang w:val="en-GB"/>
              </w:rPr>
              <w:t>454</w:t>
            </w:r>
          </w:p>
        </w:tc>
        <w:tc>
          <w:tcPr>
            <w:tcW w:w="709" w:type="dxa"/>
            <w:noWrap/>
            <w:hideMark/>
          </w:tcPr>
          <w:p w14:paraId="13BB52BE" w14:textId="77777777" w:rsidR="00125F79" w:rsidRPr="00EF0FE5" w:rsidRDefault="00125F79" w:rsidP="00125F79">
            <w:pPr>
              <w:jc w:val="both"/>
              <w:rPr>
                <w:rFonts w:cs="Times New Roman"/>
                <w:szCs w:val="24"/>
                <w:lang w:val="en-GB"/>
              </w:rPr>
            </w:pPr>
            <w:r w:rsidRPr="00EF0FE5">
              <w:rPr>
                <w:rFonts w:cs="Times New Roman"/>
                <w:szCs w:val="24"/>
                <w:lang w:val="en-GB"/>
              </w:rPr>
              <w:t>769</w:t>
            </w:r>
          </w:p>
        </w:tc>
        <w:tc>
          <w:tcPr>
            <w:tcW w:w="709" w:type="dxa"/>
            <w:noWrap/>
            <w:hideMark/>
          </w:tcPr>
          <w:p w14:paraId="1462100D" w14:textId="77777777" w:rsidR="00125F79" w:rsidRPr="00EF0FE5" w:rsidRDefault="00125F79" w:rsidP="00125F79">
            <w:pPr>
              <w:jc w:val="both"/>
              <w:rPr>
                <w:rFonts w:cs="Times New Roman"/>
                <w:szCs w:val="24"/>
                <w:lang w:val="en-GB"/>
              </w:rPr>
            </w:pPr>
            <w:r w:rsidRPr="00EF0FE5">
              <w:rPr>
                <w:rFonts w:cs="Times New Roman"/>
                <w:szCs w:val="24"/>
                <w:lang w:val="en-GB"/>
              </w:rPr>
              <w:t>379</w:t>
            </w:r>
          </w:p>
        </w:tc>
        <w:tc>
          <w:tcPr>
            <w:tcW w:w="709" w:type="dxa"/>
            <w:noWrap/>
            <w:hideMark/>
          </w:tcPr>
          <w:p w14:paraId="110E9213" w14:textId="77777777" w:rsidR="00125F79" w:rsidRPr="00EF0FE5" w:rsidRDefault="00125F79" w:rsidP="00125F79">
            <w:pPr>
              <w:jc w:val="both"/>
              <w:rPr>
                <w:rFonts w:cs="Times New Roman"/>
                <w:szCs w:val="24"/>
                <w:lang w:val="en-GB"/>
              </w:rPr>
            </w:pPr>
            <w:r w:rsidRPr="00EF0FE5">
              <w:rPr>
                <w:rFonts w:cs="Times New Roman"/>
                <w:szCs w:val="24"/>
                <w:lang w:val="en-GB"/>
              </w:rPr>
              <w:t>40</w:t>
            </w:r>
          </w:p>
        </w:tc>
        <w:tc>
          <w:tcPr>
            <w:tcW w:w="708" w:type="dxa"/>
            <w:noWrap/>
            <w:hideMark/>
          </w:tcPr>
          <w:p w14:paraId="7706A416" w14:textId="77777777" w:rsidR="00125F79" w:rsidRPr="00EF0FE5" w:rsidRDefault="00125F79" w:rsidP="00125F79">
            <w:pPr>
              <w:jc w:val="both"/>
              <w:rPr>
                <w:rFonts w:cs="Times New Roman"/>
                <w:szCs w:val="24"/>
                <w:lang w:val="en-GB"/>
              </w:rPr>
            </w:pPr>
            <w:r w:rsidRPr="00EF0FE5">
              <w:rPr>
                <w:rFonts w:cs="Times New Roman"/>
                <w:szCs w:val="24"/>
                <w:lang w:val="en-GB"/>
              </w:rPr>
              <w:t>27</w:t>
            </w:r>
          </w:p>
        </w:tc>
        <w:tc>
          <w:tcPr>
            <w:tcW w:w="709" w:type="dxa"/>
            <w:noWrap/>
            <w:hideMark/>
          </w:tcPr>
          <w:p w14:paraId="54D1E13E" w14:textId="77777777" w:rsidR="00125F79" w:rsidRPr="00EF0FE5" w:rsidRDefault="00125F79" w:rsidP="00125F79">
            <w:pPr>
              <w:jc w:val="both"/>
              <w:rPr>
                <w:rFonts w:cs="Times New Roman"/>
                <w:szCs w:val="24"/>
                <w:lang w:val="en-GB"/>
              </w:rPr>
            </w:pPr>
            <w:r w:rsidRPr="00EF0FE5">
              <w:rPr>
                <w:rFonts w:cs="Times New Roman"/>
                <w:szCs w:val="24"/>
                <w:lang w:val="en-GB"/>
              </w:rPr>
              <w:t>13</w:t>
            </w:r>
          </w:p>
        </w:tc>
      </w:tr>
      <w:tr w:rsidR="00125F79" w:rsidRPr="00EF0FE5" w14:paraId="788DCE18" w14:textId="77777777" w:rsidTr="00125F79">
        <w:trPr>
          <w:trHeight w:val="405"/>
        </w:trPr>
        <w:tc>
          <w:tcPr>
            <w:tcW w:w="704" w:type="dxa"/>
            <w:noWrap/>
            <w:hideMark/>
          </w:tcPr>
          <w:p w14:paraId="284D2879"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2022</w:t>
            </w:r>
          </w:p>
        </w:tc>
        <w:tc>
          <w:tcPr>
            <w:tcW w:w="1276" w:type="dxa"/>
            <w:vMerge/>
            <w:hideMark/>
          </w:tcPr>
          <w:p w14:paraId="3316794F" w14:textId="77777777" w:rsidR="00125F79" w:rsidRPr="00EF0FE5" w:rsidRDefault="00125F79" w:rsidP="00125F79">
            <w:pPr>
              <w:jc w:val="both"/>
              <w:rPr>
                <w:rFonts w:cs="Times New Roman"/>
                <w:szCs w:val="24"/>
                <w:lang w:val="en-GB"/>
              </w:rPr>
            </w:pPr>
          </w:p>
        </w:tc>
        <w:tc>
          <w:tcPr>
            <w:tcW w:w="709" w:type="dxa"/>
            <w:hideMark/>
          </w:tcPr>
          <w:p w14:paraId="00388CE4" w14:textId="77777777" w:rsidR="00125F79" w:rsidRPr="00EF0FE5" w:rsidRDefault="00125F79" w:rsidP="00125F79">
            <w:pPr>
              <w:jc w:val="both"/>
              <w:rPr>
                <w:rFonts w:cs="Times New Roman"/>
                <w:szCs w:val="24"/>
                <w:lang w:val="en-GB"/>
              </w:rPr>
            </w:pPr>
            <w:r w:rsidRPr="00EF0FE5">
              <w:rPr>
                <w:rFonts w:cs="Times New Roman"/>
                <w:szCs w:val="24"/>
                <w:lang w:val="en-GB"/>
              </w:rPr>
              <w:t>1106</w:t>
            </w:r>
          </w:p>
        </w:tc>
        <w:tc>
          <w:tcPr>
            <w:tcW w:w="708" w:type="dxa"/>
            <w:noWrap/>
            <w:hideMark/>
          </w:tcPr>
          <w:p w14:paraId="1481BB5B" w14:textId="77777777" w:rsidR="00125F79" w:rsidRPr="00EF0FE5" w:rsidRDefault="00125F79" w:rsidP="00125F79">
            <w:pPr>
              <w:jc w:val="both"/>
              <w:rPr>
                <w:rFonts w:cs="Times New Roman"/>
                <w:szCs w:val="24"/>
                <w:lang w:val="en-GB"/>
              </w:rPr>
            </w:pPr>
            <w:r w:rsidRPr="00EF0FE5">
              <w:rPr>
                <w:rFonts w:cs="Times New Roman"/>
                <w:szCs w:val="24"/>
                <w:lang w:val="en-GB"/>
              </w:rPr>
              <w:t>773</w:t>
            </w:r>
          </w:p>
        </w:tc>
        <w:tc>
          <w:tcPr>
            <w:tcW w:w="709" w:type="dxa"/>
            <w:noWrap/>
            <w:hideMark/>
          </w:tcPr>
          <w:p w14:paraId="4FFD5233" w14:textId="77777777" w:rsidR="00125F79" w:rsidRPr="00EF0FE5" w:rsidRDefault="00125F79" w:rsidP="00125F79">
            <w:pPr>
              <w:jc w:val="both"/>
              <w:rPr>
                <w:rFonts w:cs="Times New Roman"/>
                <w:szCs w:val="24"/>
                <w:lang w:val="en-GB"/>
              </w:rPr>
            </w:pPr>
            <w:r w:rsidRPr="00EF0FE5">
              <w:rPr>
                <w:rFonts w:cs="Times New Roman"/>
                <w:szCs w:val="24"/>
                <w:lang w:val="en-GB"/>
              </w:rPr>
              <w:t>120</w:t>
            </w:r>
          </w:p>
        </w:tc>
        <w:tc>
          <w:tcPr>
            <w:tcW w:w="709" w:type="dxa"/>
            <w:noWrap/>
            <w:hideMark/>
          </w:tcPr>
          <w:p w14:paraId="444742F4" w14:textId="77777777" w:rsidR="00125F79" w:rsidRPr="00EF0FE5" w:rsidRDefault="00125F79" w:rsidP="00125F79">
            <w:pPr>
              <w:jc w:val="both"/>
              <w:rPr>
                <w:rFonts w:cs="Times New Roman"/>
                <w:szCs w:val="24"/>
                <w:lang w:val="en-GB"/>
              </w:rPr>
            </w:pPr>
            <w:r w:rsidRPr="00EF0FE5">
              <w:rPr>
                <w:rFonts w:cs="Times New Roman"/>
                <w:szCs w:val="24"/>
                <w:lang w:val="en-GB"/>
              </w:rPr>
              <w:t>427</w:t>
            </w:r>
          </w:p>
        </w:tc>
        <w:tc>
          <w:tcPr>
            <w:tcW w:w="709" w:type="dxa"/>
            <w:noWrap/>
            <w:hideMark/>
          </w:tcPr>
          <w:p w14:paraId="7CE0612E" w14:textId="77777777" w:rsidR="00125F79" w:rsidRPr="00EF0FE5" w:rsidRDefault="00125F79" w:rsidP="00125F79">
            <w:pPr>
              <w:jc w:val="both"/>
              <w:rPr>
                <w:rFonts w:cs="Times New Roman"/>
                <w:szCs w:val="24"/>
                <w:lang w:val="en-GB"/>
              </w:rPr>
            </w:pPr>
            <w:r w:rsidRPr="00EF0FE5">
              <w:rPr>
                <w:rFonts w:cs="Times New Roman"/>
                <w:szCs w:val="24"/>
                <w:lang w:val="en-GB"/>
              </w:rPr>
              <w:t>226</w:t>
            </w:r>
          </w:p>
        </w:tc>
        <w:tc>
          <w:tcPr>
            <w:tcW w:w="708" w:type="dxa"/>
            <w:noWrap/>
            <w:hideMark/>
          </w:tcPr>
          <w:p w14:paraId="46FD1A0C" w14:textId="77777777" w:rsidR="00125F79" w:rsidRPr="00EF0FE5" w:rsidRDefault="00125F79" w:rsidP="00125F79">
            <w:pPr>
              <w:jc w:val="both"/>
              <w:rPr>
                <w:rFonts w:cs="Times New Roman"/>
                <w:szCs w:val="24"/>
                <w:lang w:val="en-GB"/>
              </w:rPr>
            </w:pPr>
            <w:r w:rsidRPr="00EF0FE5">
              <w:rPr>
                <w:rFonts w:cs="Times New Roman"/>
                <w:szCs w:val="24"/>
                <w:lang w:val="en-GB"/>
              </w:rPr>
              <w:t>167</w:t>
            </w:r>
          </w:p>
        </w:tc>
        <w:tc>
          <w:tcPr>
            <w:tcW w:w="709" w:type="dxa"/>
            <w:noWrap/>
            <w:hideMark/>
          </w:tcPr>
          <w:p w14:paraId="76DD0D68" w14:textId="77777777" w:rsidR="00125F79" w:rsidRPr="00EF0FE5" w:rsidRDefault="00125F79" w:rsidP="00125F79">
            <w:pPr>
              <w:jc w:val="both"/>
              <w:rPr>
                <w:rFonts w:cs="Times New Roman"/>
                <w:szCs w:val="24"/>
                <w:lang w:val="en-GB"/>
              </w:rPr>
            </w:pPr>
            <w:r w:rsidRPr="00EF0FE5">
              <w:rPr>
                <w:rFonts w:cs="Times New Roman"/>
                <w:szCs w:val="24"/>
                <w:lang w:val="en-GB"/>
              </w:rPr>
              <w:t>166</w:t>
            </w:r>
          </w:p>
        </w:tc>
        <w:tc>
          <w:tcPr>
            <w:tcW w:w="709" w:type="dxa"/>
            <w:noWrap/>
            <w:hideMark/>
          </w:tcPr>
          <w:p w14:paraId="195840D3"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69BBA3CF" w14:textId="77777777" w:rsidR="00125F79" w:rsidRPr="00EF0FE5" w:rsidRDefault="00125F79" w:rsidP="00125F79">
            <w:pPr>
              <w:jc w:val="both"/>
              <w:rPr>
                <w:rFonts w:cs="Times New Roman"/>
                <w:szCs w:val="24"/>
                <w:lang w:val="en-GB"/>
              </w:rPr>
            </w:pPr>
            <w:r w:rsidRPr="00EF0FE5">
              <w:rPr>
                <w:rFonts w:cs="Times New Roman"/>
                <w:szCs w:val="24"/>
                <w:lang w:val="en-GB"/>
              </w:rPr>
              <w:t>208</w:t>
            </w:r>
          </w:p>
        </w:tc>
        <w:tc>
          <w:tcPr>
            <w:tcW w:w="708" w:type="dxa"/>
            <w:noWrap/>
            <w:hideMark/>
          </w:tcPr>
          <w:p w14:paraId="5E882F23" w14:textId="77777777" w:rsidR="00125F79" w:rsidRPr="00EF0FE5" w:rsidRDefault="00125F79" w:rsidP="00125F79">
            <w:pPr>
              <w:jc w:val="both"/>
              <w:rPr>
                <w:rFonts w:cs="Times New Roman"/>
                <w:szCs w:val="24"/>
                <w:lang w:val="en-GB"/>
              </w:rPr>
            </w:pPr>
            <w:r w:rsidRPr="00EF0FE5">
              <w:rPr>
                <w:rFonts w:cs="Times New Roman"/>
                <w:szCs w:val="24"/>
                <w:lang w:val="en-GB"/>
              </w:rPr>
              <w:t>120</w:t>
            </w:r>
          </w:p>
        </w:tc>
        <w:tc>
          <w:tcPr>
            <w:tcW w:w="709" w:type="dxa"/>
            <w:noWrap/>
            <w:hideMark/>
          </w:tcPr>
          <w:p w14:paraId="298543FB" w14:textId="77777777" w:rsidR="00125F79" w:rsidRPr="00EF0FE5" w:rsidRDefault="00125F79" w:rsidP="00125F79">
            <w:pPr>
              <w:jc w:val="both"/>
              <w:rPr>
                <w:rFonts w:cs="Times New Roman"/>
                <w:szCs w:val="24"/>
                <w:lang w:val="en-GB"/>
              </w:rPr>
            </w:pPr>
            <w:r w:rsidRPr="00EF0FE5">
              <w:rPr>
                <w:rFonts w:cs="Times New Roman"/>
                <w:szCs w:val="24"/>
                <w:lang w:val="en-GB"/>
              </w:rPr>
              <w:t>88</w:t>
            </w:r>
          </w:p>
        </w:tc>
      </w:tr>
      <w:tr w:rsidR="00125F79" w:rsidRPr="00EF0FE5" w14:paraId="0F9612E8" w14:textId="77777777" w:rsidTr="00125F79">
        <w:trPr>
          <w:trHeight w:val="420"/>
        </w:trPr>
        <w:tc>
          <w:tcPr>
            <w:tcW w:w="704" w:type="dxa"/>
            <w:noWrap/>
            <w:hideMark/>
          </w:tcPr>
          <w:p w14:paraId="73286DB8" w14:textId="77777777" w:rsidR="00125F79" w:rsidRPr="00EF0FE5" w:rsidRDefault="00125F79" w:rsidP="00125F79">
            <w:pPr>
              <w:jc w:val="both"/>
              <w:rPr>
                <w:rFonts w:cs="Times New Roman"/>
                <w:b/>
                <w:bCs/>
                <w:szCs w:val="24"/>
                <w:lang w:val="en-GB"/>
              </w:rPr>
            </w:pPr>
            <w:r w:rsidRPr="00EF0FE5">
              <w:rPr>
                <w:rFonts w:cs="Times New Roman"/>
                <w:b/>
                <w:bCs/>
                <w:szCs w:val="24"/>
                <w:lang w:val="en-GB"/>
              </w:rPr>
              <w:t>Total</w:t>
            </w:r>
          </w:p>
        </w:tc>
        <w:tc>
          <w:tcPr>
            <w:tcW w:w="1276" w:type="dxa"/>
            <w:noWrap/>
            <w:hideMark/>
          </w:tcPr>
          <w:p w14:paraId="7106278C" w14:textId="77777777" w:rsidR="00125F79" w:rsidRPr="00EF0FE5" w:rsidRDefault="00125F79" w:rsidP="00125F79">
            <w:pPr>
              <w:jc w:val="both"/>
              <w:rPr>
                <w:rFonts w:cs="Times New Roman"/>
                <w:szCs w:val="24"/>
                <w:lang w:val="en-GB"/>
              </w:rPr>
            </w:pPr>
            <w:r w:rsidRPr="00EF0FE5">
              <w:rPr>
                <w:rFonts w:cs="Times New Roman"/>
                <w:szCs w:val="24"/>
                <w:lang w:val="en-GB"/>
              </w:rPr>
              <w:t> </w:t>
            </w:r>
          </w:p>
        </w:tc>
        <w:tc>
          <w:tcPr>
            <w:tcW w:w="709" w:type="dxa"/>
            <w:noWrap/>
            <w:hideMark/>
          </w:tcPr>
          <w:p w14:paraId="142821DE" w14:textId="77777777" w:rsidR="00125F79" w:rsidRPr="00EF0FE5" w:rsidRDefault="00125F79" w:rsidP="00125F79">
            <w:pPr>
              <w:jc w:val="both"/>
              <w:rPr>
                <w:rFonts w:cs="Times New Roman"/>
                <w:b/>
                <w:bCs/>
                <w:szCs w:val="24"/>
                <w:lang w:val="en-GB"/>
              </w:rPr>
            </w:pPr>
            <w:r w:rsidRPr="00EF0FE5">
              <w:rPr>
                <w:rFonts w:cs="Times New Roman"/>
                <w:b/>
                <w:bCs/>
                <w:szCs w:val="24"/>
                <w:lang w:val="en-GB"/>
              </w:rPr>
              <w:t>8666</w:t>
            </w:r>
          </w:p>
        </w:tc>
        <w:tc>
          <w:tcPr>
            <w:tcW w:w="708" w:type="dxa"/>
            <w:noWrap/>
            <w:hideMark/>
          </w:tcPr>
          <w:p w14:paraId="62A80CCD"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2470</w:t>
            </w:r>
          </w:p>
        </w:tc>
        <w:tc>
          <w:tcPr>
            <w:tcW w:w="709" w:type="dxa"/>
            <w:noWrap/>
            <w:hideMark/>
          </w:tcPr>
          <w:p w14:paraId="63FFF56E" w14:textId="77777777" w:rsidR="00125F79" w:rsidRPr="00EF0FE5" w:rsidRDefault="00125F79" w:rsidP="00125F79">
            <w:pPr>
              <w:jc w:val="both"/>
              <w:rPr>
                <w:rFonts w:cs="Times New Roman"/>
                <w:b/>
                <w:bCs/>
                <w:szCs w:val="24"/>
                <w:lang w:val="en-GB"/>
              </w:rPr>
            </w:pPr>
            <w:r w:rsidRPr="00EF0FE5">
              <w:rPr>
                <w:rFonts w:cs="Times New Roman"/>
                <w:b/>
                <w:bCs/>
                <w:szCs w:val="24"/>
                <w:lang w:val="en-GB"/>
              </w:rPr>
              <w:t>660</w:t>
            </w:r>
          </w:p>
        </w:tc>
        <w:tc>
          <w:tcPr>
            <w:tcW w:w="709" w:type="dxa"/>
            <w:noWrap/>
            <w:hideMark/>
          </w:tcPr>
          <w:p w14:paraId="6D775872" w14:textId="77777777" w:rsidR="00125F79" w:rsidRPr="00EF0FE5" w:rsidRDefault="00125F79" w:rsidP="00125F79">
            <w:pPr>
              <w:jc w:val="both"/>
              <w:rPr>
                <w:rFonts w:cs="Times New Roman"/>
                <w:b/>
                <w:bCs/>
                <w:szCs w:val="24"/>
                <w:lang w:val="en-GB"/>
              </w:rPr>
            </w:pPr>
            <w:r w:rsidRPr="00EF0FE5">
              <w:rPr>
                <w:rFonts w:cs="Times New Roman"/>
                <w:b/>
                <w:bCs/>
                <w:szCs w:val="24"/>
                <w:lang w:val="en-GB"/>
              </w:rPr>
              <w:t>1584</w:t>
            </w:r>
          </w:p>
        </w:tc>
        <w:tc>
          <w:tcPr>
            <w:tcW w:w="709" w:type="dxa"/>
            <w:noWrap/>
            <w:hideMark/>
          </w:tcPr>
          <w:p w14:paraId="1689054D"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226</w:t>
            </w:r>
          </w:p>
        </w:tc>
        <w:tc>
          <w:tcPr>
            <w:tcW w:w="708" w:type="dxa"/>
            <w:noWrap/>
            <w:hideMark/>
          </w:tcPr>
          <w:p w14:paraId="219D266D" w14:textId="77777777" w:rsidR="00125F79" w:rsidRPr="00EF0FE5" w:rsidRDefault="00125F79" w:rsidP="00125F79">
            <w:pPr>
              <w:jc w:val="both"/>
              <w:rPr>
                <w:rFonts w:cs="Times New Roman"/>
                <w:b/>
                <w:bCs/>
                <w:szCs w:val="24"/>
                <w:lang w:val="en-GB"/>
              </w:rPr>
            </w:pPr>
            <w:r w:rsidRPr="00EF0FE5">
              <w:rPr>
                <w:rFonts w:cs="Times New Roman"/>
                <w:b/>
                <w:bCs/>
                <w:szCs w:val="24"/>
                <w:lang w:val="en-GB"/>
              </w:rPr>
              <w:t>3238</w:t>
            </w:r>
          </w:p>
        </w:tc>
        <w:tc>
          <w:tcPr>
            <w:tcW w:w="709" w:type="dxa"/>
            <w:noWrap/>
            <w:hideMark/>
          </w:tcPr>
          <w:p w14:paraId="24D7FA11"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2579</w:t>
            </w:r>
          </w:p>
        </w:tc>
        <w:tc>
          <w:tcPr>
            <w:tcW w:w="709" w:type="dxa"/>
            <w:noWrap/>
            <w:hideMark/>
          </w:tcPr>
          <w:p w14:paraId="0CA1292F" w14:textId="77777777" w:rsidR="00125F79" w:rsidRPr="00EF0FE5" w:rsidRDefault="00125F79" w:rsidP="00125F79">
            <w:pPr>
              <w:jc w:val="both"/>
              <w:rPr>
                <w:rFonts w:cs="Times New Roman"/>
                <w:b/>
                <w:bCs/>
                <w:szCs w:val="24"/>
                <w:lang w:val="en-GB"/>
              </w:rPr>
            </w:pPr>
            <w:r w:rsidRPr="00EF0FE5">
              <w:rPr>
                <w:rFonts w:cs="Times New Roman"/>
                <w:b/>
                <w:bCs/>
                <w:szCs w:val="24"/>
                <w:lang w:val="en-GB"/>
              </w:rPr>
              <w:t>379</w:t>
            </w:r>
          </w:p>
        </w:tc>
        <w:tc>
          <w:tcPr>
            <w:tcW w:w="709" w:type="dxa"/>
            <w:noWrap/>
            <w:hideMark/>
          </w:tcPr>
          <w:p w14:paraId="1DB59CBC" w14:textId="77777777" w:rsidR="00125F79" w:rsidRPr="00EF0FE5" w:rsidRDefault="00125F79" w:rsidP="00125F79">
            <w:pPr>
              <w:jc w:val="both"/>
              <w:rPr>
                <w:rFonts w:cs="Times New Roman"/>
                <w:b/>
                <w:bCs/>
                <w:szCs w:val="24"/>
                <w:lang w:val="en-GB"/>
              </w:rPr>
            </w:pPr>
            <w:r w:rsidRPr="00EF0FE5">
              <w:rPr>
                <w:rFonts w:cs="Times New Roman"/>
                <w:b/>
                <w:bCs/>
                <w:szCs w:val="24"/>
                <w:lang w:val="en-GB"/>
              </w:rPr>
              <w:t>582</w:t>
            </w:r>
          </w:p>
        </w:tc>
        <w:tc>
          <w:tcPr>
            <w:tcW w:w="708" w:type="dxa"/>
            <w:noWrap/>
            <w:hideMark/>
          </w:tcPr>
          <w:p w14:paraId="5B4A95A9" w14:textId="77777777" w:rsidR="00125F79" w:rsidRPr="00EF0FE5" w:rsidRDefault="00125F79" w:rsidP="00125F79">
            <w:pPr>
              <w:jc w:val="both"/>
              <w:rPr>
                <w:rFonts w:cs="Times New Roman"/>
                <w:b/>
                <w:bCs/>
                <w:szCs w:val="24"/>
                <w:lang w:val="en-GB"/>
              </w:rPr>
            </w:pPr>
            <w:r w:rsidRPr="00EF0FE5">
              <w:rPr>
                <w:rFonts w:cs="Times New Roman"/>
                <w:b/>
                <w:bCs/>
                <w:szCs w:val="24"/>
                <w:lang w:val="en-GB"/>
              </w:rPr>
              <w:t>353</w:t>
            </w:r>
          </w:p>
        </w:tc>
        <w:tc>
          <w:tcPr>
            <w:tcW w:w="709" w:type="dxa"/>
            <w:noWrap/>
            <w:hideMark/>
          </w:tcPr>
          <w:p w14:paraId="575C6B88" w14:textId="77777777" w:rsidR="00125F79" w:rsidRPr="00EF0FE5" w:rsidRDefault="00125F79" w:rsidP="00125F79">
            <w:pPr>
              <w:jc w:val="both"/>
              <w:rPr>
                <w:rFonts w:cs="Times New Roman"/>
                <w:b/>
                <w:bCs/>
                <w:szCs w:val="24"/>
                <w:lang w:val="en-GB"/>
              </w:rPr>
            </w:pPr>
            <w:r w:rsidRPr="00EF0FE5">
              <w:rPr>
                <w:rFonts w:cs="Times New Roman"/>
                <w:b/>
                <w:bCs/>
                <w:szCs w:val="24"/>
                <w:lang w:val="en-GB"/>
              </w:rPr>
              <w:t>229</w:t>
            </w:r>
          </w:p>
        </w:tc>
      </w:tr>
    </w:tbl>
    <w:p w14:paraId="0F072D97" w14:textId="77777777" w:rsidR="00F517F8" w:rsidRPr="009475CC" w:rsidRDefault="00F517F8" w:rsidP="009475CC">
      <w:pPr>
        <w:spacing w:after="0" w:line="240" w:lineRule="auto"/>
        <w:jc w:val="both"/>
        <w:rPr>
          <w:rFonts w:cs="Times New Roman"/>
          <w:szCs w:val="24"/>
          <w:lang w:val="sq-AL"/>
        </w:rPr>
      </w:pPr>
    </w:p>
    <w:p w14:paraId="3BB7E3A7" w14:textId="77777777" w:rsidR="0063740F" w:rsidRDefault="00F517F8" w:rsidP="009475CC">
      <w:pPr>
        <w:spacing w:after="0" w:line="240" w:lineRule="auto"/>
        <w:jc w:val="center"/>
        <w:rPr>
          <w:rFonts w:cs="Times New Roman"/>
          <w:iCs/>
          <w:lang w:val="sq-AL"/>
        </w:rPr>
      </w:pPr>
      <w:r w:rsidRPr="009475CC">
        <w:rPr>
          <w:rFonts w:cs="Times New Roman"/>
          <w:iCs/>
          <w:lang w:val="sq-AL"/>
        </w:rPr>
        <w:t>Legjenda e veprimtarive: AU - agjenci udh</w:t>
      </w:r>
      <w:r w:rsidR="0063740F">
        <w:rPr>
          <w:rFonts w:cs="Times New Roman"/>
          <w:iCs/>
          <w:lang w:val="sq-AL"/>
        </w:rPr>
        <w:t>ë</w:t>
      </w:r>
      <w:r w:rsidRPr="009475CC">
        <w:rPr>
          <w:rFonts w:cs="Times New Roman"/>
          <w:iCs/>
          <w:lang w:val="sq-AL"/>
        </w:rPr>
        <w:t xml:space="preserve">timi; OT - operator turistik; UT - udherrefyes turistik; </w:t>
      </w:r>
    </w:p>
    <w:p w14:paraId="3AE54220" w14:textId="2D0CCF70" w:rsidR="00E35586" w:rsidRPr="00E2165D" w:rsidRDefault="00F517F8" w:rsidP="00E2165D">
      <w:pPr>
        <w:spacing w:after="0" w:line="240" w:lineRule="auto"/>
        <w:jc w:val="center"/>
        <w:rPr>
          <w:rFonts w:cs="Times New Roman"/>
          <w:iCs/>
          <w:sz w:val="22"/>
          <w:lang w:val="sq-AL"/>
        </w:rPr>
      </w:pPr>
      <w:r w:rsidRPr="009475CC">
        <w:rPr>
          <w:rFonts w:cs="Times New Roman"/>
          <w:iCs/>
          <w:lang w:val="sq-AL"/>
        </w:rPr>
        <w:t>SP - stacion plazhi; SA - strukture akomoduese</w:t>
      </w:r>
      <w:bookmarkStart w:id="77" w:name="_Hlk121693386"/>
    </w:p>
    <w:p w14:paraId="54190CF8" w14:textId="30C8A3E2" w:rsidR="000C1726" w:rsidRPr="00C00D6D" w:rsidRDefault="000C1726" w:rsidP="00623352">
      <w:pPr>
        <w:pStyle w:val="Heading5"/>
      </w:pPr>
      <w:bookmarkStart w:id="78" w:name="_Toc132277340"/>
      <w:r w:rsidRPr="00C00D6D">
        <w:lastRenderedPageBreak/>
        <w:t>Enti Rregullator i Energjisë</w:t>
      </w:r>
      <w:bookmarkEnd w:id="78"/>
    </w:p>
    <w:bookmarkEnd w:id="77"/>
    <w:p w14:paraId="5CB921A7" w14:textId="77777777" w:rsidR="00874BDC" w:rsidRPr="0022797D" w:rsidRDefault="00874BDC" w:rsidP="00E2165D">
      <w:pPr>
        <w:spacing w:line="240" w:lineRule="auto"/>
        <w:jc w:val="both"/>
        <w:rPr>
          <w:rFonts w:cs="Times New Roman"/>
          <w:szCs w:val="24"/>
          <w:lang w:val="sq-AL"/>
        </w:rPr>
      </w:pPr>
      <w:r w:rsidRPr="00FB36DA">
        <w:rPr>
          <w:rFonts w:cs="Times New Roman"/>
          <w:szCs w:val="24"/>
          <w:lang w:val="sq-AL"/>
        </w:rPr>
        <w:t>Enti Rregullator i Energjisë është autoriteti rregullator i Sektorit të Energjisë Elektrike dhe të Gazit Natyror në Shqipëri, i cili funksionon në bazë të Ligjit Nr. 43/2015 “Për Sektorin e Energjisë Elektrike”, i ndryshuar, Ligjit Nr. 102/2015 “Për Sektorin e Gazit Natyror”, i ndryshuar, Ligjit Nr. 7/2017 “Pёr nxitjen e pёrdorimit tё energjisё nga burimet e rinovueshme</w:t>
      </w:r>
      <w:r w:rsidRPr="0022797D">
        <w:rPr>
          <w:rFonts w:cs="Times New Roman"/>
          <w:szCs w:val="24"/>
          <w:lang w:val="sq-AL"/>
        </w:rPr>
        <w:t>”, si dhe akte të tjera nënligjore të miratuara në zbatim të tyre.</w:t>
      </w:r>
    </w:p>
    <w:p w14:paraId="454CF350" w14:textId="77777777" w:rsidR="00874BDC" w:rsidRPr="00E2223C" w:rsidRDefault="00874BDC" w:rsidP="00E2165D">
      <w:pPr>
        <w:spacing w:line="240" w:lineRule="auto"/>
        <w:jc w:val="both"/>
        <w:rPr>
          <w:rFonts w:cs="Times New Roman"/>
          <w:szCs w:val="24"/>
          <w:lang w:val="sq-AL"/>
        </w:rPr>
      </w:pPr>
      <w:r w:rsidRPr="0093142A">
        <w:rPr>
          <w:rFonts w:cs="Times New Roman"/>
          <w:szCs w:val="24"/>
          <w:lang w:val="sq-AL"/>
        </w:rPr>
        <w:t>Ndër objektivat kryesorë të ERE-s është mbrojtja e interesave të konsumatorëve, në lidhje me shërbimet e rregulluara të ofruara nga operatorët e sektorit të energjisë elektrike apo gazit. E</w:t>
      </w:r>
      <w:r w:rsidRPr="008B3DCF">
        <w:rPr>
          <w:rFonts w:cs="Times New Roman"/>
          <w:szCs w:val="24"/>
          <w:lang w:val="sq-AL"/>
        </w:rPr>
        <w:t xml:space="preserve">RE kryen funksionet e saj në vlerësim të çuarjes përpara të objektivave të përcaktuar në ligj, duke promovuar konkurencë efektive dhe transparente midis pjesëmarrësve të tregut. Në metodologjinë e punës së ERE për të kryer funksionet e saj për qëllime të promovimit të konkurrencës, ERE mban në konsideratë shkallën në të cilën interesat e konsumatorëve duhet të mbrohen si rrjedhojë e ushtrimit të këtyre funksioneve, si dhe nëse ato do të promovojnë ose jo transparencën në veprimtarinë në treg. </w:t>
      </w:r>
    </w:p>
    <w:p w14:paraId="341F1044" w14:textId="77777777" w:rsidR="00874BDC" w:rsidRPr="009475CC" w:rsidRDefault="00874BDC" w:rsidP="00E2165D">
      <w:pPr>
        <w:spacing w:line="240" w:lineRule="auto"/>
        <w:jc w:val="both"/>
        <w:rPr>
          <w:rFonts w:cs="Times New Roman"/>
          <w:szCs w:val="24"/>
          <w:lang w:val="sq-AL"/>
        </w:rPr>
      </w:pPr>
      <w:r w:rsidRPr="00ED6C63">
        <w:rPr>
          <w:rFonts w:cs="Times New Roman"/>
          <w:szCs w:val="24"/>
          <w:lang w:val="sq-AL"/>
        </w:rPr>
        <w:t>Ndër arritjet</w:t>
      </w:r>
      <w:r w:rsidRPr="00E45C0D">
        <w:rPr>
          <w:rFonts w:cs="Times New Roman"/>
          <w:szCs w:val="24"/>
          <w:lang w:val="sq-AL"/>
        </w:rPr>
        <w:t xml:space="preserve"> më efektprurëse për këtë qëllim ka qënë miratimi nga ERE i një sërë aktesh që lidhen ngushtësisht me realizimin e shërbimit me standard nga ana e të licencuarve, siç janë Rregulloret e standardeve të cilësisë të miratuara nga ERE, por edhe kujdesi për të </w:t>
      </w:r>
      <w:r w:rsidRPr="004E1146">
        <w:rPr>
          <w:rFonts w:cs="Times New Roman"/>
          <w:szCs w:val="24"/>
          <w:lang w:val="sq-AL"/>
        </w:rPr>
        <w:t>rregulluar me akte nënligjore modalitetet e ofrimit të një shërbimi me standarde për konsumatorin siç është Rregullorja  mbi masat e të licencuarve në aktivitetin e furnizimit për arritjen e treguesve të matjes dhe vlerësimit nga ERE të performancës së shë</w:t>
      </w:r>
      <w:r w:rsidRPr="005D4962">
        <w:rPr>
          <w:rFonts w:cs="Times New Roman"/>
          <w:szCs w:val="24"/>
          <w:lang w:val="sq-AL"/>
        </w:rPr>
        <w:t xml:space="preserve">rbimit ndaj klientit. </w:t>
      </w:r>
    </w:p>
    <w:p w14:paraId="7023727D" w14:textId="667902CD" w:rsidR="00874BDC" w:rsidRPr="009475CC" w:rsidRDefault="00874BDC" w:rsidP="00E2165D">
      <w:pPr>
        <w:spacing w:line="240" w:lineRule="auto"/>
        <w:jc w:val="both"/>
        <w:rPr>
          <w:rFonts w:cs="Times New Roman"/>
          <w:szCs w:val="24"/>
        </w:rPr>
      </w:pPr>
      <w:r w:rsidRPr="009475CC">
        <w:rPr>
          <w:rFonts w:cs="Times New Roman"/>
          <w:szCs w:val="24"/>
        </w:rPr>
        <w:lastRenderedPageBreak/>
        <w:t>Gjatë këtij 5 vjeçari ERE rregulloi gjithashtu me një akt nënligjor, siç është Rregullorja për standardet e trajtimit të ankesave të klientëve të energjisë elektrike dhe gazit natyror nga të licencuarit në aktivitetin e furnizimit, ç</w:t>
      </w:r>
      <w:r w:rsidR="00C00D6D">
        <w:rPr>
          <w:rFonts w:cs="Times New Roman"/>
          <w:szCs w:val="24"/>
        </w:rPr>
        <w:t>’</w:t>
      </w:r>
      <w:r w:rsidRPr="009475CC">
        <w:rPr>
          <w:rFonts w:cs="Times New Roman"/>
          <w:szCs w:val="24"/>
        </w:rPr>
        <w:t>ka vendos kornizën e duhur ligjore për të mbrojtur konsumatorin gjatë praktikave të ankimimit tek të licencuarit. Ndarja e operatorit t</w:t>
      </w:r>
      <w:r w:rsidR="00C00D6D">
        <w:rPr>
          <w:rFonts w:cs="Times New Roman"/>
          <w:szCs w:val="24"/>
        </w:rPr>
        <w:t>ë</w:t>
      </w:r>
      <w:r w:rsidRPr="009475CC">
        <w:rPr>
          <w:rFonts w:cs="Times New Roman"/>
          <w:szCs w:val="24"/>
        </w:rPr>
        <w:t xml:space="preserve"> sistemit </w:t>
      </w:r>
      <w:r w:rsidR="00C00D6D">
        <w:rPr>
          <w:rFonts w:cs="Times New Roman"/>
          <w:szCs w:val="24"/>
        </w:rPr>
        <w:t>të</w:t>
      </w:r>
      <w:r w:rsidRPr="009475CC">
        <w:rPr>
          <w:rFonts w:cs="Times New Roman"/>
          <w:szCs w:val="24"/>
        </w:rPr>
        <w:t xml:space="preserve"> shp</w:t>
      </w:r>
      <w:r w:rsidR="00C00D6D">
        <w:rPr>
          <w:rFonts w:cs="Times New Roman"/>
          <w:szCs w:val="24"/>
        </w:rPr>
        <w:t>ë</w:t>
      </w:r>
      <w:r w:rsidRPr="009475CC">
        <w:rPr>
          <w:rFonts w:cs="Times New Roman"/>
          <w:szCs w:val="24"/>
        </w:rPr>
        <w:t>rndarjes nga veprimtaritë e tjera n</w:t>
      </w:r>
      <w:r w:rsidR="00C00D6D">
        <w:rPr>
          <w:rFonts w:cs="Times New Roman"/>
          <w:szCs w:val="24"/>
        </w:rPr>
        <w:t>ë</w:t>
      </w:r>
      <w:r w:rsidRPr="009475CC">
        <w:rPr>
          <w:rFonts w:cs="Times New Roman"/>
          <w:szCs w:val="24"/>
        </w:rPr>
        <w:t xml:space="preserve"> sektor, një detyrim </w:t>
      </w:r>
      <w:r w:rsidR="00C00D6D">
        <w:rPr>
          <w:rFonts w:cs="Times New Roman"/>
          <w:szCs w:val="24"/>
        </w:rPr>
        <w:t>i</w:t>
      </w:r>
      <w:r w:rsidRPr="009475CC">
        <w:rPr>
          <w:rFonts w:cs="Times New Roman"/>
          <w:szCs w:val="24"/>
        </w:rPr>
        <w:t xml:space="preserve"> ligjit të sektorit të energjisë, garantoi shmangien e ndërsubvencionimit të aktiviteteve nëpërmjet tarifave të ndara të aksesit në rrjet nga ato të aktiviteteve të tjera në sektor. Gjatë viteve 2017 – 2021 jan</w:t>
      </w:r>
      <w:r w:rsidR="00C00D6D">
        <w:rPr>
          <w:rFonts w:cs="Times New Roman"/>
          <w:szCs w:val="24"/>
        </w:rPr>
        <w:t>ë</w:t>
      </w:r>
      <w:r w:rsidRPr="009475CC">
        <w:rPr>
          <w:rFonts w:cs="Times New Roman"/>
          <w:szCs w:val="24"/>
        </w:rPr>
        <w:t xml:space="preserve"> miratuar mbi  90 akte nënligjore në zba</w:t>
      </w:r>
      <w:r w:rsidR="00C00D6D">
        <w:rPr>
          <w:rFonts w:cs="Times New Roman"/>
          <w:szCs w:val="24"/>
        </w:rPr>
        <w:t>t</w:t>
      </w:r>
      <w:r w:rsidRPr="009475CC">
        <w:rPr>
          <w:rFonts w:cs="Times New Roman"/>
          <w:szCs w:val="24"/>
        </w:rPr>
        <w:t>im të ligjit të energjisë elektrike dhe atij të gazit natyror,  80 %</w:t>
      </w:r>
      <w:r w:rsidR="00C00D6D">
        <w:rPr>
          <w:rFonts w:cs="Times New Roman"/>
          <w:szCs w:val="24"/>
        </w:rPr>
        <w:t xml:space="preserve"> </w:t>
      </w:r>
      <w:r w:rsidRPr="009475CC">
        <w:rPr>
          <w:rFonts w:cs="Times New Roman"/>
          <w:szCs w:val="24"/>
        </w:rPr>
        <w:t>e të cilave lidhen me rregullim të sektorit me impakt të drejtëpërdrejtë tek konsumatori</w:t>
      </w:r>
      <w:r w:rsidR="00B86A9F" w:rsidRPr="009475CC">
        <w:rPr>
          <w:rFonts w:cs="Times New Roman"/>
          <w:szCs w:val="24"/>
        </w:rPr>
        <w:t>.</w:t>
      </w:r>
    </w:p>
    <w:p w14:paraId="299F19C2" w14:textId="7C8BD572" w:rsidR="00B86A9F" w:rsidRPr="00C04034" w:rsidRDefault="00B86A9F" w:rsidP="00E2165D">
      <w:pPr>
        <w:spacing w:line="240" w:lineRule="auto"/>
        <w:jc w:val="both"/>
        <w:rPr>
          <w:rFonts w:cs="Times New Roman"/>
          <w:szCs w:val="24"/>
          <w:lang w:val="sq-AL"/>
        </w:rPr>
      </w:pPr>
      <w:r w:rsidRPr="009475CC">
        <w:rPr>
          <w:rFonts w:cs="Times New Roman"/>
          <w:szCs w:val="24"/>
          <w:lang w:val="sq-AL"/>
        </w:rPr>
        <w:t>Numri i përgjithshëm i konsumatorëve të energjisë elektrike për vitin 2021 është 1,279,460 dhe krahasuar me vitin 2020 vihet re një rritje e numrit të përgjithshëm të klientëve me rreth 6,460. Ndërkohë numri total i konsumatorëve të energjisë elektrike që janë shërbyer me kontratë furnizimit gjatë vitit 2017 ka qënë 1,209,958 klientë duke shënuar një rritje jo të vogël në këtë 5 vjeçar. Për vitin 2021 pjesën më të madhe të klientëve të Furnizuesit të Shërbimit Universal (FSHU) sh.a. e zënë klientët familjarë që shkojnë në 86.17% të numrit total të klentëve të FSHU sh.a. Në të njëjtën kohë klientët familjarë zënë pjesën më të madhe në FSHU sh.a. dhe pjesën më të madhe të energjisë së faturuar për vitin 2021 respektivisht 49.36% të faturimit të realizuar për vitin 2021, ku 36.92% e përbëjnë klientët privatë, dhe pjesën tjetër klientët buxhetorë me rreth 5.99% dhe jo buxhetorë 7.72</w:t>
      </w:r>
      <w:r w:rsidRPr="00C04034">
        <w:rPr>
          <w:rFonts w:cs="Times New Roman"/>
          <w:szCs w:val="24"/>
          <w:lang w:val="sq-AL"/>
        </w:rPr>
        <w:t>%.</w:t>
      </w:r>
    </w:p>
    <w:p w14:paraId="5C658A8F" w14:textId="77777777" w:rsidR="00C04034" w:rsidRDefault="00210826" w:rsidP="00E2165D">
      <w:pPr>
        <w:spacing w:line="240" w:lineRule="auto"/>
        <w:jc w:val="both"/>
        <w:rPr>
          <w:rFonts w:cs="Times New Roman"/>
          <w:szCs w:val="24"/>
          <w:lang w:val="sq-AL"/>
        </w:rPr>
      </w:pPr>
      <w:r w:rsidRPr="00C04034">
        <w:rPr>
          <w:rFonts w:cs="Times New Roman"/>
          <w:bCs/>
          <w:szCs w:val="24"/>
          <w:lang w:val="sq-AL"/>
        </w:rPr>
        <w:t xml:space="preserve">Trajtimi </w:t>
      </w:r>
      <w:r w:rsidR="00E35586" w:rsidRPr="00C04034">
        <w:rPr>
          <w:rFonts w:cs="Times New Roman"/>
          <w:bCs/>
          <w:szCs w:val="24"/>
          <w:lang w:val="sq-AL"/>
        </w:rPr>
        <w:t>i</w:t>
      </w:r>
      <w:r w:rsidRPr="00C04034">
        <w:rPr>
          <w:rFonts w:cs="Times New Roman"/>
          <w:bCs/>
          <w:szCs w:val="24"/>
          <w:lang w:val="sq-AL"/>
        </w:rPr>
        <w:t xml:space="preserve"> ankesave</w:t>
      </w:r>
      <w:r w:rsidRPr="00C04034">
        <w:rPr>
          <w:rFonts w:cs="Times New Roman"/>
          <w:szCs w:val="24"/>
          <w:lang w:val="sq-AL"/>
        </w:rPr>
        <w:t xml:space="preserve"> është një pjesë e rëndësishme e punës së ERE-s</w:t>
      </w:r>
      <w:r w:rsidR="00E35586" w:rsidRPr="00C04034">
        <w:rPr>
          <w:rFonts w:cs="Times New Roman"/>
          <w:szCs w:val="24"/>
          <w:lang w:val="sq-AL"/>
        </w:rPr>
        <w:t>,</w:t>
      </w:r>
      <w:r w:rsidRPr="00C04034">
        <w:rPr>
          <w:rFonts w:cs="Times New Roman"/>
          <w:szCs w:val="24"/>
          <w:lang w:val="sq-AL"/>
        </w:rPr>
        <w:t xml:space="preserve"> që konsiston në funksionin e saj si një Strukturë për</w:t>
      </w:r>
      <w:r w:rsidRPr="009475CC">
        <w:rPr>
          <w:rFonts w:cs="Times New Roman"/>
          <w:szCs w:val="24"/>
          <w:lang w:val="sq-AL"/>
        </w:rPr>
        <w:t xml:space="preserve"> Zgjidhjen Alternative të Mosmarrëveshjeve, ç</w:t>
      </w:r>
      <w:r w:rsidR="00C04034">
        <w:rPr>
          <w:rFonts w:cs="Times New Roman"/>
          <w:szCs w:val="24"/>
          <w:lang w:val="sq-AL"/>
        </w:rPr>
        <w:t>’</w:t>
      </w:r>
      <w:r w:rsidRPr="009475CC">
        <w:rPr>
          <w:rFonts w:cs="Times New Roman"/>
          <w:szCs w:val="24"/>
          <w:lang w:val="sq-AL"/>
        </w:rPr>
        <w:t>ka përfshin trajtimin e ankesave të regjistruara në ERE për zgjidhje apo trajtimin e ankesave dhe konflikteve direkte që lindin nga marrëdhëniet midis furnizuesit të energjisë elektrike apo gazit natyror dhe klientëve, duke pasur si qëllim mbrojtjen e interesave të klient</w:t>
      </w:r>
      <w:r w:rsidR="00C04034">
        <w:rPr>
          <w:rFonts w:cs="Times New Roman"/>
          <w:szCs w:val="24"/>
          <w:lang w:val="sq-AL"/>
        </w:rPr>
        <w:t>ë</w:t>
      </w:r>
      <w:r w:rsidRPr="009475CC">
        <w:rPr>
          <w:rFonts w:cs="Times New Roman"/>
          <w:szCs w:val="24"/>
          <w:lang w:val="sq-AL"/>
        </w:rPr>
        <w:t>ve në aspektin individual dhe ekuilibrimin e interesave të palëve. Një pjesë e konsiderueshme e ankesave që paraqiten në ERE, kanë si shkak kryesor mungesën e informacionit në lidhje me detyrimet e konsumatorëve ndaj shoqërive të licencuara, por edhe  kërkesa, ankesa që gjenerohen nga mosnjohja e rolit të ERE-s. Për të shmangur sa më sipër, ERE duke konstatuar dhe mungesën e informacionit nga konsumatorët ka bërë përpjekje të vazhdueshme për të informuar konsumatorin në lidhje me të drejtat dhe detyrimet ndaj operatorëve të licencuar, por edhe për të drejtat e tyre në raport me ERE-n, me qëllim shmangien e konflikteve mes palëve. Kështu për këtë qëllim janë organizuar fushata të mirëfillta informimi nëpërmjet broshurave informative për konsumatorin, aksesi në të cilat është grantuar jo vetëm në ambjentet e ERE</w:t>
      </w:r>
      <w:r w:rsidR="00C04034">
        <w:rPr>
          <w:rFonts w:cs="Times New Roman"/>
          <w:szCs w:val="24"/>
          <w:lang w:val="sq-AL"/>
        </w:rPr>
        <w:t>-s</w:t>
      </w:r>
      <w:r w:rsidRPr="009475CC">
        <w:rPr>
          <w:rFonts w:cs="Times New Roman"/>
          <w:szCs w:val="24"/>
          <w:lang w:val="sq-AL"/>
        </w:rPr>
        <w:t xml:space="preserve"> por edhe nëpë</w:t>
      </w:r>
      <w:r w:rsidR="00C04034">
        <w:rPr>
          <w:rFonts w:cs="Times New Roman"/>
          <w:szCs w:val="24"/>
          <w:lang w:val="sq-AL"/>
        </w:rPr>
        <w:t>r</w:t>
      </w:r>
      <w:r w:rsidRPr="009475CC">
        <w:rPr>
          <w:rFonts w:cs="Times New Roman"/>
          <w:szCs w:val="24"/>
          <w:lang w:val="sq-AL"/>
        </w:rPr>
        <w:t>mjet bashkëpunimit me shoqata të mbrojtjes së konsumatorit, nëpërmjet publikimeve periodike në faqen e internetit të ERE por edhe nëpër rrjetet sociale të saj, si një mjet i shpejtë dhe efiçient në arritjen e qëllimit për informim. Janë zhvilluar gjithashtu takime me shoqata për mbrojtjen e konsumatorit si dhe janë nënshkruar një sërë memorandumesh bashkëpunimi me Universitete pikërisht me qëllim rritjen e ndërgjegjësimit të kategorive të caktuara të konsumatorit në lidhje me fushën e përgjegjësisë së ERE por edhe rolin e saj në mbrojtjen e konsumatorit.</w:t>
      </w:r>
    </w:p>
    <w:p w14:paraId="4755A324" w14:textId="04E613AC" w:rsidR="00210826" w:rsidRPr="009475CC" w:rsidRDefault="00210826" w:rsidP="00E2165D">
      <w:pPr>
        <w:spacing w:line="240" w:lineRule="auto"/>
        <w:jc w:val="both"/>
        <w:rPr>
          <w:rFonts w:cs="Times New Roman"/>
          <w:szCs w:val="24"/>
          <w:lang w:val="sq-AL"/>
        </w:rPr>
      </w:pPr>
      <w:r w:rsidRPr="009475CC">
        <w:rPr>
          <w:rFonts w:cs="Times New Roman"/>
          <w:szCs w:val="24"/>
          <w:lang w:val="sq-AL"/>
        </w:rPr>
        <w:t xml:space="preserve">Ndër sfidat kryesore  ka qënë dhe është  ruajtja e balancës mes nevojës për rregullimin e tregut, përcaktimit të tarifave të drejta </w:t>
      </w:r>
      <w:r w:rsidR="00FF3E5D">
        <w:rPr>
          <w:rFonts w:cs="Times New Roman"/>
          <w:szCs w:val="24"/>
          <w:lang w:val="sq-AL"/>
        </w:rPr>
        <w:t xml:space="preserve">e </w:t>
      </w:r>
      <w:r w:rsidRPr="009475CC">
        <w:rPr>
          <w:rFonts w:cs="Times New Roman"/>
          <w:szCs w:val="24"/>
          <w:lang w:val="sq-AL"/>
        </w:rPr>
        <w:t>jodiskriminuese, vendosja e standardeve objektive e të arritshme për operatorët e rrjetit dhe informimi i konsumatorit mbi këto zhvillime si dhe mbrojtja e tij ndaj praktikave të padrejta nga ana e të licencuarve</w:t>
      </w:r>
      <w:r w:rsidR="00E35586">
        <w:rPr>
          <w:rFonts w:cs="Times New Roman"/>
          <w:szCs w:val="24"/>
          <w:lang w:val="sq-AL"/>
        </w:rPr>
        <w:t>.</w:t>
      </w:r>
    </w:p>
    <w:p w14:paraId="3B6078EA" w14:textId="4D1EF5B8" w:rsidR="00210826" w:rsidRPr="009475CC" w:rsidRDefault="00210826" w:rsidP="009475CC">
      <w:pPr>
        <w:spacing w:after="0" w:line="240" w:lineRule="auto"/>
        <w:jc w:val="both"/>
        <w:rPr>
          <w:rFonts w:cs="Times New Roman"/>
          <w:b/>
          <w:szCs w:val="24"/>
          <w:lang w:val="sq-AL"/>
        </w:rPr>
      </w:pPr>
    </w:p>
    <w:tbl>
      <w:tblPr>
        <w:tblStyle w:val="LightGrid"/>
        <w:tblW w:w="0" w:type="auto"/>
        <w:tblLook w:val="04A0" w:firstRow="1" w:lastRow="0" w:firstColumn="1" w:lastColumn="0" w:noHBand="0" w:noVBand="1"/>
      </w:tblPr>
      <w:tblGrid>
        <w:gridCol w:w="743"/>
        <w:gridCol w:w="1245"/>
        <w:gridCol w:w="1363"/>
        <w:gridCol w:w="1150"/>
        <w:gridCol w:w="1536"/>
        <w:gridCol w:w="1689"/>
        <w:gridCol w:w="1280"/>
      </w:tblGrid>
      <w:tr w:rsidR="00210826" w:rsidRPr="009475CC" w14:paraId="0B26D278" w14:textId="77777777" w:rsidTr="00EE6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82EEDB3" w14:textId="77777777" w:rsidR="00210826" w:rsidRPr="00FB36DA" w:rsidRDefault="00210826" w:rsidP="009475CC">
            <w:pPr>
              <w:jc w:val="both"/>
              <w:rPr>
                <w:rFonts w:cs="Times New Roman"/>
                <w:szCs w:val="24"/>
                <w:lang w:val="sq-AL"/>
              </w:rPr>
            </w:pPr>
            <w:r w:rsidRPr="00FB36DA">
              <w:rPr>
                <w:rFonts w:cs="Times New Roman"/>
                <w:szCs w:val="24"/>
                <w:lang w:val="sq-AL"/>
              </w:rPr>
              <w:t>Viti</w:t>
            </w:r>
          </w:p>
          <w:p w14:paraId="7B61B95A" w14:textId="77777777" w:rsidR="00210826" w:rsidRPr="00FB36DA" w:rsidRDefault="00210826" w:rsidP="009475CC">
            <w:pPr>
              <w:jc w:val="both"/>
              <w:rPr>
                <w:rFonts w:cs="Times New Roman"/>
                <w:szCs w:val="24"/>
                <w:lang w:val="sq-AL"/>
              </w:rPr>
            </w:pPr>
          </w:p>
        </w:tc>
        <w:tc>
          <w:tcPr>
            <w:tcW w:w="1245" w:type="dxa"/>
            <w:vMerge w:val="restart"/>
          </w:tcPr>
          <w:p w14:paraId="6F109CEA" w14:textId="77777777" w:rsidR="00210826" w:rsidRPr="0022797D" w:rsidRDefault="00210826" w:rsidP="009475CC">
            <w:pPr>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r w:rsidRPr="00FB36DA">
              <w:rPr>
                <w:rFonts w:cs="Times New Roman"/>
                <w:szCs w:val="24"/>
                <w:lang w:val="sq-AL"/>
              </w:rPr>
              <w:t>Numri i ankesave gjithsej</w:t>
            </w:r>
          </w:p>
          <w:p w14:paraId="6B60BA83" w14:textId="77777777" w:rsidR="00210826" w:rsidRPr="0093142A" w:rsidRDefault="00210826" w:rsidP="009475CC">
            <w:pPr>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p>
        </w:tc>
        <w:tc>
          <w:tcPr>
            <w:tcW w:w="5738" w:type="dxa"/>
            <w:gridSpan w:val="4"/>
          </w:tcPr>
          <w:p w14:paraId="78E01704" w14:textId="77777777" w:rsidR="00210826" w:rsidRPr="008B3DCF" w:rsidRDefault="00210826" w:rsidP="009475CC">
            <w:pPr>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r w:rsidRPr="008B3DCF">
              <w:rPr>
                <w:rFonts w:cs="Times New Roman"/>
                <w:szCs w:val="24"/>
                <w:lang w:val="sq-AL"/>
              </w:rPr>
              <w:t>Zgjidhja e ankesës</w:t>
            </w:r>
          </w:p>
        </w:tc>
        <w:tc>
          <w:tcPr>
            <w:tcW w:w="1280" w:type="dxa"/>
            <w:vMerge w:val="restart"/>
          </w:tcPr>
          <w:p w14:paraId="47DFF627" w14:textId="77777777" w:rsidR="00210826" w:rsidRPr="00ED6C63" w:rsidRDefault="00210826" w:rsidP="009475CC">
            <w:pPr>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r w:rsidRPr="00E2223C">
              <w:rPr>
                <w:rFonts w:cs="Times New Roman"/>
                <w:szCs w:val="24"/>
                <w:lang w:val="sq-AL"/>
              </w:rPr>
              <w:t>Komente</w:t>
            </w:r>
          </w:p>
          <w:p w14:paraId="75F32030" w14:textId="77777777" w:rsidR="00210826" w:rsidRPr="00E45C0D" w:rsidRDefault="00210826" w:rsidP="009475CC">
            <w:pPr>
              <w:jc w:val="both"/>
              <w:cnfStyle w:val="100000000000" w:firstRow="1" w:lastRow="0" w:firstColumn="0" w:lastColumn="0" w:oddVBand="0" w:evenVBand="0" w:oddHBand="0" w:evenHBand="0" w:firstRowFirstColumn="0" w:firstRowLastColumn="0" w:lastRowFirstColumn="0" w:lastRowLastColumn="0"/>
              <w:rPr>
                <w:rFonts w:cs="Times New Roman"/>
                <w:szCs w:val="24"/>
                <w:lang w:val="sq-AL"/>
              </w:rPr>
            </w:pPr>
          </w:p>
        </w:tc>
      </w:tr>
      <w:tr w:rsidR="00210826" w:rsidRPr="009475CC" w14:paraId="2344BC01" w14:textId="77777777" w:rsidTr="00EE6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tcPr>
          <w:p w14:paraId="6B64F0FA" w14:textId="77777777" w:rsidR="00210826" w:rsidRPr="009475CC" w:rsidRDefault="00210826" w:rsidP="009475CC">
            <w:pPr>
              <w:jc w:val="both"/>
              <w:rPr>
                <w:rFonts w:cs="Times New Roman"/>
                <w:szCs w:val="24"/>
                <w:lang w:val="sq-AL"/>
              </w:rPr>
            </w:pPr>
          </w:p>
        </w:tc>
        <w:tc>
          <w:tcPr>
            <w:tcW w:w="1245" w:type="dxa"/>
            <w:vMerge/>
          </w:tcPr>
          <w:p w14:paraId="1A7D872E"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szCs w:val="24"/>
                <w:lang w:val="sq-AL"/>
              </w:rPr>
            </w:pPr>
          </w:p>
        </w:tc>
        <w:tc>
          <w:tcPr>
            <w:tcW w:w="1363" w:type="dxa"/>
          </w:tcPr>
          <w:p w14:paraId="5CB7B9F7"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9475CC">
              <w:rPr>
                <w:rFonts w:cs="Times New Roman"/>
                <w:b/>
                <w:szCs w:val="24"/>
                <w:lang w:val="sq-AL"/>
              </w:rPr>
              <w:t xml:space="preserve">Zgjidhur nga institucioni </w:t>
            </w:r>
          </w:p>
        </w:tc>
        <w:tc>
          <w:tcPr>
            <w:tcW w:w="1150" w:type="dxa"/>
          </w:tcPr>
          <w:p w14:paraId="0F6612CC"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9475CC">
              <w:rPr>
                <w:rFonts w:cs="Times New Roman"/>
                <w:b/>
                <w:szCs w:val="24"/>
                <w:lang w:val="sq-AL"/>
              </w:rPr>
              <w:t xml:space="preserve">Deleguar </w:t>
            </w:r>
          </w:p>
        </w:tc>
        <w:tc>
          <w:tcPr>
            <w:tcW w:w="1536" w:type="dxa"/>
          </w:tcPr>
          <w:p w14:paraId="59EBDC52"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9475CC">
              <w:rPr>
                <w:rFonts w:cs="Times New Roman"/>
                <w:b/>
                <w:szCs w:val="24"/>
                <w:lang w:val="sq-AL"/>
              </w:rPr>
              <w:t>Jashtë kompetencës</w:t>
            </w:r>
          </w:p>
        </w:tc>
        <w:tc>
          <w:tcPr>
            <w:tcW w:w="1689" w:type="dxa"/>
          </w:tcPr>
          <w:p w14:paraId="4870292E"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9475CC">
              <w:rPr>
                <w:rFonts w:cs="Times New Roman"/>
                <w:b/>
                <w:szCs w:val="24"/>
                <w:lang w:val="sq-AL"/>
              </w:rPr>
              <w:t>Tjet</w:t>
            </w:r>
            <w:r w:rsidRPr="009475CC">
              <w:rPr>
                <w:rFonts w:cs="Times New Roman"/>
                <w:b/>
                <w:bCs/>
                <w:szCs w:val="24"/>
                <w:lang w:val="sq-AL"/>
              </w:rPr>
              <w:t xml:space="preserve">ër- trajtim jashtë afatit nga </w:t>
            </w:r>
            <w:r w:rsidRPr="009475CC">
              <w:rPr>
                <w:rFonts w:cs="Times New Roman"/>
                <w:b/>
                <w:bCs/>
                <w:szCs w:val="24"/>
                <w:lang w:val="sq-AL"/>
              </w:rPr>
              <w:lastRenderedPageBreak/>
              <w:t>institucioni i deleguar</w:t>
            </w:r>
          </w:p>
        </w:tc>
        <w:tc>
          <w:tcPr>
            <w:tcW w:w="1280" w:type="dxa"/>
            <w:vMerge/>
          </w:tcPr>
          <w:p w14:paraId="11E89910" w14:textId="77777777" w:rsidR="00210826" w:rsidRPr="009475C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szCs w:val="24"/>
                <w:lang w:val="sq-AL"/>
              </w:rPr>
            </w:pPr>
          </w:p>
        </w:tc>
      </w:tr>
      <w:tr w:rsidR="00210826" w:rsidRPr="009475CC" w14:paraId="076D160B" w14:textId="77777777" w:rsidTr="00EE6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1EED26E4" w14:textId="77777777" w:rsidR="00210826" w:rsidRPr="00FB36DA" w:rsidRDefault="00210826" w:rsidP="009475CC">
            <w:pPr>
              <w:jc w:val="both"/>
              <w:rPr>
                <w:rFonts w:cs="Times New Roman"/>
                <w:szCs w:val="24"/>
                <w:lang w:val="sq-AL"/>
              </w:rPr>
            </w:pPr>
            <w:r w:rsidRPr="00FB36DA">
              <w:rPr>
                <w:rFonts w:cs="Times New Roman"/>
                <w:szCs w:val="24"/>
                <w:lang w:val="sq-AL"/>
              </w:rPr>
              <w:lastRenderedPageBreak/>
              <w:t>2017</w:t>
            </w:r>
          </w:p>
        </w:tc>
        <w:tc>
          <w:tcPr>
            <w:tcW w:w="1245" w:type="dxa"/>
          </w:tcPr>
          <w:p w14:paraId="0AF9B8F8" w14:textId="77777777" w:rsidR="00210826" w:rsidRPr="00FB36DA" w:rsidRDefault="00210826" w:rsidP="009475CC">
            <w:pPr>
              <w:tabs>
                <w:tab w:val="left" w:pos="330"/>
              </w:tabs>
              <w:jc w:val="both"/>
              <w:cnfStyle w:val="000000010000" w:firstRow="0" w:lastRow="0" w:firstColumn="0" w:lastColumn="0" w:oddVBand="0" w:evenVBand="0" w:oddHBand="0" w:evenHBand="1" w:firstRowFirstColumn="0" w:firstRowLastColumn="0" w:lastRowFirstColumn="0" w:lastRowLastColumn="0"/>
              <w:rPr>
                <w:rFonts w:cs="Times New Roman"/>
                <w:szCs w:val="24"/>
                <w:lang w:val="sq-AL"/>
              </w:rPr>
            </w:pPr>
            <w:r w:rsidRPr="00FB36DA">
              <w:rPr>
                <w:rFonts w:cs="Times New Roman"/>
                <w:szCs w:val="24"/>
              </w:rPr>
              <w:t xml:space="preserve">564 </w:t>
            </w:r>
          </w:p>
        </w:tc>
        <w:tc>
          <w:tcPr>
            <w:tcW w:w="1363" w:type="dxa"/>
          </w:tcPr>
          <w:p w14:paraId="2939C827" w14:textId="77777777" w:rsidR="00210826" w:rsidRPr="0022797D"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22797D">
              <w:rPr>
                <w:rFonts w:cs="Times New Roman"/>
                <w:b/>
                <w:szCs w:val="24"/>
                <w:lang w:val="sq-AL"/>
              </w:rPr>
              <w:t>492</w:t>
            </w:r>
          </w:p>
        </w:tc>
        <w:tc>
          <w:tcPr>
            <w:tcW w:w="1150" w:type="dxa"/>
          </w:tcPr>
          <w:p w14:paraId="28C053A4" w14:textId="77777777" w:rsidR="00210826" w:rsidRPr="0093142A"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536" w:type="dxa"/>
          </w:tcPr>
          <w:p w14:paraId="75557B63" w14:textId="77777777" w:rsidR="00210826" w:rsidRPr="008B3DCF"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689" w:type="dxa"/>
          </w:tcPr>
          <w:p w14:paraId="6B6B89BC" w14:textId="77777777" w:rsidR="00210826" w:rsidRPr="00D52DC6"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8B3DCF">
              <w:rPr>
                <w:rFonts w:cs="Times New Roman"/>
                <w:b/>
                <w:szCs w:val="24"/>
                <w:lang w:val="sq-AL"/>
              </w:rPr>
              <w:t>72</w:t>
            </w:r>
          </w:p>
        </w:tc>
        <w:tc>
          <w:tcPr>
            <w:tcW w:w="1280" w:type="dxa"/>
          </w:tcPr>
          <w:p w14:paraId="178FEC68" w14:textId="77777777" w:rsidR="00210826" w:rsidRPr="00E2223C"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r>
      <w:tr w:rsidR="00210826" w:rsidRPr="009475CC" w14:paraId="01AC188F" w14:textId="77777777" w:rsidTr="00EE6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7EF369AD" w14:textId="77777777" w:rsidR="00210826" w:rsidRPr="00FB36DA" w:rsidRDefault="00210826" w:rsidP="009475CC">
            <w:pPr>
              <w:jc w:val="both"/>
              <w:rPr>
                <w:rFonts w:cs="Times New Roman"/>
                <w:szCs w:val="24"/>
                <w:lang w:val="sq-AL"/>
              </w:rPr>
            </w:pPr>
            <w:r w:rsidRPr="00FB36DA">
              <w:rPr>
                <w:rFonts w:cs="Times New Roman"/>
                <w:szCs w:val="24"/>
                <w:lang w:val="sq-AL"/>
              </w:rPr>
              <w:t>2018</w:t>
            </w:r>
          </w:p>
        </w:tc>
        <w:tc>
          <w:tcPr>
            <w:tcW w:w="1245" w:type="dxa"/>
          </w:tcPr>
          <w:p w14:paraId="5B2A0F34" w14:textId="77777777" w:rsidR="00210826" w:rsidRPr="00FB36DA"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FB36DA">
              <w:rPr>
                <w:rFonts w:cs="Times New Roman"/>
                <w:szCs w:val="24"/>
              </w:rPr>
              <w:t xml:space="preserve">279 </w:t>
            </w:r>
          </w:p>
        </w:tc>
        <w:tc>
          <w:tcPr>
            <w:tcW w:w="1363" w:type="dxa"/>
          </w:tcPr>
          <w:p w14:paraId="77961361" w14:textId="77777777" w:rsidR="00210826" w:rsidRPr="0022797D"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22797D">
              <w:rPr>
                <w:rFonts w:cs="Times New Roman"/>
                <w:b/>
                <w:szCs w:val="24"/>
                <w:lang w:val="sq-AL"/>
              </w:rPr>
              <w:t>158</w:t>
            </w:r>
          </w:p>
        </w:tc>
        <w:tc>
          <w:tcPr>
            <w:tcW w:w="1150" w:type="dxa"/>
          </w:tcPr>
          <w:p w14:paraId="53727A1B" w14:textId="77777777" w:rsidR="00210826" w:rsidRPr="0093142A"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c>
          <w:tcPr>
            <w:tcW w:w="1536" w:type="dxa"/>
          </w:tcPr>
          <w:p w14:paraId="69C3400A" w14:textId="77777777" w:rsidR="00210826" w:rsidRPr="008B3DCF"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c>
          <w:tcPr>
            <w:tcW w:w="1689" w:type="dxa"/>
          </w:tcPr>
          <w:p w14:paraId="027C9E7F" w14:textId="77777777" w:rsidR="00210826" w:rsidRPr="00D52DC6"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8B3DCF">
              <w:rPr>
                <w:rFonts w:cs="Times New Roman"/>
                <w:b/>
                <w:szCs w:val="24"/>
                <w:lang w:val="sq-AL"/>
              </w:rPr>
              <w:t>121</w:t>
            </w:r>
          </w:p>
        </w:tc>
        <w:tc>
          <w:tcPr>
            <w:tcW w:w="1280" w:type="dxa"/>
          </w:tcPr>
          <w:p w14:paraId="01D91FF8" w14:textId="77777777" w:rsidR="00210826" w:rsidRPr="00E2223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r>
      <w:tr w:rsidR="00210826" w:rsidRPr="009475CC" w14:paraId="52C54778" w14:textId="77777777" w:rsidTr="00EE6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4236D78C" w14:textId="77777777" w:rsidR="00210826" w:rsidRPr="00FB36DA" w:rsidRDefault="00210826" w:rsidP="009475CC">
            <w:pPr>
              <w:jc w:val="both"/>
              <w:rPr>
                <w:rFonts w:cs="Times New Roman"/>
                <w:szCs w:val="24"/>
                <w:lang w:val="sq-AL"/>
              </w:rPr>
            </w:pPr>
            <w:r w:rsidRPr="00FB36DA">
              <w:rPr>
                <w:rFonts w:cs="Times New Roman"/>
                <w:szCs w:val="24"/>
                <w:lang w:val="sq-AL"/>
              </w:rPr>
              <w:t>2019</w:t>
            </w:r>
          </w:p>
        </w:tc>
        <w:tc>
          <w:tcPr>
            <w:tcW w:w="1245" w:type="dxa"/>
          </w:tcPr>
          <w:p w14:paraId="4CF7F183" w14:textId="77777777" w:rsidR="00210826" w:rsidRPr="00FB36DA"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FB36DA">
              <w:rPr>
                <w:rFonts w:cs="Times New Roman"/>
                <w:szCs w:val="24"/>
              </w:rPr>
              <w:t xml:space="preserve">182 </w:t>
            </w:r>
          </w:p>
        </w:tc>
        <w:tc>
          <w:tcPr>
            <w:tcW w:w="1363" w:type="dxa"/>
          </w:tcPr>
          <w:p w14:paraId="5EF9158A" w14:textId="77777777" w:rsidR="00210826" w:rsidRPr="0022797D"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22797D">
              <w:rPr>
                <w:rFonts w:cs="Times New Roman"/>
                <w:b/>
                <w:szCs w:val="24"/>
                <w:lang w:val="sq-AL"/>
              </w:rPr>
              <w:t>78</w:t>
            </w:r>
          </w:p>
        </w:tc>
        <w:tc>
          <w:tcPr>
            <w:tcW w:w="1150" w:type="dxa"/>
          </w:tcPr>
          <w:p w14:paraId="14BC3F01" w14:textId="77777777" w:rsidR="00210826" w:rsidRPr="0093142A"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536" w:type="dxa"/>
          </w:tcPr>
          <w:p w14:paraId="14C9C41C" w14:textId="77777777" w:rsidR="00210826" w:rsidRPr="008B3DCF"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689" w:type="dxa"/>
          </w:tcPr>
          <w:p w14:paraId="1B75293C" w14:textId="77777777" w:rsidR="00210826" w:rsidRPr="00D52DC6"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8B3DCF">
              <w:rPr>
                <w:rFonts w:cs="Times New Roman"/>
                <w:b/>
                <w:szCs w:val="24"/>
                <w:lang w:val="sq-AL"/>
              </w:rPr>
              <w:t>104</w:t>
            </w:r>
          </w:p>
        </w:tc>
        <w:tc>
          <w:tcPr>
            <w:tcW w:w="1280" w:type="dxa"/>
          </w:tcPr>
          <w:p w14:paraId="78BBAC13" w14:textId="77777777" w:rsidR="00210826" w:rsidRPr="00E2223C"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r>
      <w:tr w:rsidR="00210826" w:rsidRPr="009475CC" w14:paraId="505B601F" w14:textId="77777777" w:rsidTr="00EE6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75539617" w14:textId="77777777" w:rsidR="00210826" w:rsidRPr="00FB36DA" w:rsidRDefault="00210826" w:rsidP="009475CC">
            <w:pPr>
              <w:jc w:val="both"/>
              <w:rPr>
                <w:rFonts w:cs="Times New Roman"/>
                <w:szCs w:val="24"/>
                <w:lang w:val="sq-AL"/>
              </w:rPr>
            </w:pPr>
            <w:r w:rsidRPr="00FB36DA">
              <w:rPr>
                <w:rFonts w:cs="Times New Roman"/>
                <w:szCs w:val="24"/>
                <w:lang w:val="sq-AL"/>
              </w:rPr>
              <w:t>2020</w:t>
            </w:r>
          </w:p>
        </w:tc>
        <w:tc>
          <w:tcPr>
            <w:tcW w:w="1245" w:type="dxa"/>
          </w:tcPr>
          <w:p w14:paraId="22B1E5D8" w14:textId="77777777" w:rsidR="00210826" w:rsidRPr="00FB36DA"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FB36DA">
              <w:rPr>
                <w:rFonts w:cs="Times New Roman"/>
                <w:szCs w:val="24"/>
              </w:rPr>
              <w:t xml:space="preserve">165 </w:t>
            </w:r>
          </w:p>
        </w:tc>
        <w:tc>
          <w:tcPr>
            <w:tcW w:w="1363" w:type="dxa"/>
          </w:tcPr>
          <w:p w14:paraId="1DCB621E" w14:textId="77777777" w:rsidR="00210826" w:rsidRPr="0022797D"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22797D">
              <w:rPr>
                <w:rFonts w:cs="Times New Roman"/>
                <w:b/>
                <w:szCs w:val="24"/>
                <w:lang w:val="sq-AL"/>
              </w:rPr>
              <w:t>106</w:t>
            </w:r>
          </w:p>
        </w:tc>
        <w:tc>
          <w:tcPr>
            <w:tcW w:w="1150" w:type="dxa"/>
          </w:tcPr>
          <w:p w14:paraId="1E7FD9CA" w14:textId="77777777" w:rsidR="00210826" w:rsidRPr="0093142A"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c>
          <w:tcPr>
            <w:tcW w:w="1536" w:type="dxa"/>
          </w:tcPr>
          <w:p w14:paraId="29D2D966" w14:textId="77777777" w:rsidR="00210826" w:rsidRPr="008B3DCF"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c>
          <w:tcPr>
            <w:tcW w:w="1689" w:type="dxa"/>
          </w:tcPr>
          <w:p w14:paraId="18EAEEAE" w14:textId="77777777" w:rsidR="00210826" w:rsidRPr="00D52DC6"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r w:rsidRPr="008B3DCF">
              <w:rPr>
                <w:rFonts w:cs="Times New Roman"/>
                <w:b/>
                <w:szCs w:val="24"/>
                <w:lang w:val="sq-AL"/>
              </w:rPr>
              <w:t>59</w:t>
            </w:r>
          </w:p>
        </w:tc>
        <w:tc>
          <w:tcPr>
            <w:tcW w:w="1280" w:type="dxa"/>
          </w:tcPr>
          <w:p w14:paraId="07D34DC6" w14:textId="77777777" w:rsidR="00210826" w:rsidRPr="00E2223C" w:rsidRDefault="00210826" w:rsidP="009475CC">
            <w:pPr>
              <w:jc w:val="both"/>
              <w:cnfStyle w:val="000000100000" w:firstRow="0" w:lastRow="0" w:firstColumn="0" w:lastColumn="0" w:oddVBand="0" w:evenVBand="0" w:oddHBand="1" w:evenHBand="0" w:firstRowFirstColumn="0" w:firstRowLastColumn="0" w:lastRowFirstColumn="0" w:lastRowLastColumn="0"/>
              <w:rPr>
                <w:rFonts w:cs="Times New Roman"/>
                <w:b/>
                <w:szCs w:val="24"/>
                <w:lang w:val="sq-AL"/>
              </w:rPr>
            </w:pPr>
          </w:p>
        </w:tc>
      </w:tr>
      <w:tr w:rsidR="00210826" w:rsidRPr="009475CC" w14:paraId="2B9D9302" w14:textId="77777777" w:rsidTr="00EE6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5C837222" w14:textId="77777777" w:rsidR="00210826" w:rsidRPr="00FB36DA" w:rsidRDefault="00210826" w:rsidP="009475CC">
            <w:pPr>
              <w:jc w:val="both"/>
              <w:rPr>
                <w:rFonts w:cs="Times New Roman"/>
                <w:szCs w:val="24"/>
                <w:lang w:val="sq-AL"/>
              </w:rPr>
            </w:pPr>
            <w:r w:rsidRPr="00FB36DA">
              <w:rPr>
                <w:rFonts w:cs="Times New Roman"/>
                <w:szCs w:val="24"/>
                <w:lang w:val="sq-AL"/>
              </w:rPr>
              <w:t>2021</w:t>
            </w:r>
          </w:p>
        </w:tc>
        <w:tc>
          <w:tcPr>
            <w:tcW w:w="1245" w:type="dxa"/>
          </w:tcPr>
          <w:p w14:paraId="39BE5945" w14:textId="77777777" w:rsidR="00210826" w:rsidRPr="00FB36DA"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FB36DA">
              <w:rPr>
                <w:rFonts w:cs="Times New Roman"/>
                <w:szCs w:val="24"/>
              </w:rPr>
              <w:t xml:space="preserve">155 </w:t>
            </w:r>
          </w:p>
        </w:tc>
        <w:tc>
          <w:tcPr>
            <w:tcW w:w="1363" w:type="dxa"/>
          </w:tcPr>
          <w:p w14:paraId="56737A84" w14:textId="77777777" w:rsidR="00210826" w:rsidRPr="0022797D"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22797D">
              <w:rPr>
                <w:rFonts w:cs="Times New Roman"/>
                <w:b/>
                <w:szCs w:val="24"/>
                <w:lang w:val="sq-AL"/>
              </w:rPr>
              <w:t>139</w:t>
            </w:r>
          </w:p>
        </w:tc>
        <w:tc>
          <w:tcPr>
            <w:tcW w:w="1150" w:type="dxa"/>
          </w:tcPr>
          <w:p w14:paraId="272FFA9D" w14:textId="77777777" w:rsidR="00210826" w:rsidRPr="0093142A"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536" w:type="dxa"/>
          </w:tcPr>
          <w:p w14:paraId="76AE18A5" w14:textId="77777777" w:rsidR="00210826" w:rsidRPr="008B3DCF"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c>
          <w:tcPr>
            <w:tcW w:w="1689" w:type="dxa"/>
          </w:tcPr>
          <w:p w14:paraId="0FF47A50" w14:textId="77777777" w:rsidR="00210826" w:rsidRPr="00D52DC6"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r w:rsidRPr="008B3DCF">
              <w:rPr>
                <w:rFonts w:cs="Times New Roman"/>
                <w:b/>
                <w:szCs w:val="24"/>
                <w:lang w:val="sq-AL"/>
              </w:rPr>
              <w:t>16</w:t>
            </w:r>
          </w:p>
        </w:tc>
        <w:tc>
          <w:tcPr>
            <w:tcW w:w="1280" w:type="dxa"/>
          </w:tcPr>
          <w:p w14:paraId="31051905" w14:textId="77777777" w:rsidR="00210826" w:rsidRPr="00E2223C" w:rsidRDefault="00210826" w:rsidP="009475CC">
            <w:pPr>
              <w:jc w:val="both"/>
              <w:cnfStyle w:val="000000010000" w:firstRow="0" w:lastRow="0" w:firstColumn="0" w:lastColumn="0" w:oddVBand="0" w:evenVBand="0" w:oddHBand="0" w:evenHBand="1" w:firstRowFirstColumn="0" w:firstRowLastColumn="0" w:lastRowFirstColumn="0" w:lastRowLastColumn="0"/>
              <w:rPr>
                <w:rFonts w:cs="Times New Roman"/>
                <w:b/>
                <w:szCs w:val="24"/>
                <w:lang w:val="sq-AL"/>
              </w:rPr>
            </w:pPr>
          </w:p>
        </w:tc>
      </w:tr>
    </w:tbl>
    <w:p w14:paraId="394755D3" w14:textId="2F29E06D" w:rsidR="00210826" w:rsidRPr="009475CC" w:rsidRDefault="00EE6B45" w:rsidP="009475CC">
      <w:pPr>
        <w:spacing w:after="0" w:line="240" w:lineRule="auto"/>
        <w:jc w:val="center"/>
        <w:rPr>
          <w:rFonts w:cs="Times New Roman"/>
          <w:lang w:val="sq-AL"/>
        </w:rPr>
      </w:pPr>
      <w:r w:rsidRPr="009475CC">
        <w:rPr>
          <w:rFonts w:cs="Times New Roman"/>
          <w:lang w:val="sq-AL"/>
        </w:rPr>
        <w:t>Tab. Trajtimi i ankesave  në vitet 2017-2021</w:t>
      </w:r>
    </w:p>
    <w:p w14:paraId="0046A716" w14:textId="77777777" w:rsidR="00210826" w:rsidRPr="009475CC" w:rsidRDefault="00210826" w:rsidP="009475CC">
      <w:pPr>
        <w:spacing w:after="0" w:line="240" w:lineRule="auto"/>
        <w:jc w:val="both"/>
        <w:rPr>
          <w:rFonts w:cs="Times New Roman"/>
          <w:szCs w:val="24"/>
          <w:lang w:val="sq-AL"/>
        </w:rPr>
      </w:pPr>
    </w:p>
    <w:p w14:paraId="62266CA4" w14:textId="031AB361" w:rsidR="00FF3E5D" w:rsidRDefault="00210826" w:rsidP="009475CC">
      <w:pPr>
        <w:spacing w:after="0" w:line="240" w:lineRule="auto"/>
        <w:jc w:val="both"/>
        <w:rPr>
          <w:rFonts w:cs="Times New Roman"/>
          <w:szCs w:val="24"/>
          <w:lang w:val="sq-AL"/>
        </w:rPr>
      </w:pPr>
      <w:r w:rsidRPr="009475CC">
        <w:rPr>
          <w:rFonts w:cs="Times New Roman"/>
          <w:szCs w:val="24"/>
          <w:lang w:val="sq-AL"/>
        </w:rPr>
        <w:t>Ankesat në ERE adresohen nëpërmjet këtyre burimeve aksesi: 1) shërbimit postar Adresa: Blvd “Bajram Curri, Rr. Viktor Eftemiu 1023, 2) E-mail</w:t>
      </w:r>
      <w:r w:rsidR="00EE6B45">
        <w:rPr>
          <w:rFonts w:cs="Times New Roman"/>
          <w:szCs w:val="24"/>
          <w:lang w:val="sq-AL"/>
        </w:rPr>
        <w:t>:</w:t>
      </w:r>
      <w:r w:rsidRPr="009475CC">
        <w:rPr>
          <w:rFonts w:cs="Times New Roman"/>
          <w:szCs w:val="24"/>
          <w:lang w:val="sq-AL"/>
        </w:rPr>
        <w:t xml:space="preserve"> </w:t>
      </w:r>
      <w:hyperlink r:id="rId28" w:history="1">
        <w:r w:rsidR="00EE6B45" w:rsidRPr="009475CC">
          <w:rPr>
            <w:rStyle w:val="Hyperlink"/>
            <w:rFonts w:cs="Times New Roman"/>
            <w:szCs w:val="24"/>
            <w:lang w:val="sq-AL"/>
          </w:rPr>
          <w:t>erealb@ere.gov.al</w:t>
        </w:r>
      </w:hyperlink>
      <w:r w:rsidRPr="009475CC">
        <w:rPr>
          <w:rFonts w:cs="Times New Roman"/>
          <w:szCs w:val="24"/>
          <w:lang w:val="sq-AL"/>
        </w:rPr>
        <w:t xml:space="preserve">, 3) plotësimit të ankesës në </w:t>
      </w:r>
      <w:hyperlink r:id="rId29" w:history="1">
        <w:r w:rsidR="003C2EDE" w:rsidRPr="00C27E36">
          <w:rPr>
            <w:rStyle w:val="Hyperlink"/>
            <w:rFonts w:cs="Times New Roman"/>
            <w:szCs w:val="24"/>
            <w:lang w:val="sq-AL"/>
          </w:rPr>
          <w:t>www.ere.gov.al</w:t>
        </w:r>
      </w:hyperlink>
      <w:r w:rsidR="00EE6B45">
        <w:rPr>
          <w:rFonts w:cs="Times New Roman"/>
          <w:szCs w:val="24"/>
          <w:lang w:val="sq-AL"/>
        </w:rPr>
        <w:t>.</w:t>
      </w:r>
    </w:p>
    <w:p w14:paraId="47B50C51" w14:textId="1A0CA199" w:rsidR="00210826" w:rsidRPr="00E2165D" w:rsidRDefault="00210826" w:rsidP="009475CC">
      <w:pPr>
        <w:spacing w:after="0" w:line="240" w:lineRule="auto"/>
        <w:jc w:val="both"/>
        <w:rPr>
          <w:rFonts w:cs="Times New Roman"/>
          <w:szCs w:val="24"/>
          <w:lang w:val="sq-AL"/>
        </w:rPr>
      </w:pPr>
      <w:r w:rsidRPr="009475CC">
        <w:rPr>
          <w:rFonts w:cs="Times New Roman"/>
          <w:szCs w:val="24"/>
          <w:lang w:val="sq-AL"/>
        </w:rPr>
        <w:t>N</w:t>
      </w:r>
      <w:r w:rsidR="00EE6B45" w:rsidRPr="00E45C0D">
        <w:rPr>
          <w:rFonts w:cs="Times New Roman"/>
          <w:szCs w:val="24"/>
          <w:lang w:val="sq-AL"/>
        </w:rPr>
        <w:t>um</w:t>
      </w:r>
      <w:r w:rsidRPr="009475CC">
        <w:rPr>
          <w:rFonts w:cs="Times New Roman"/>
          <w:szCs w:val="24"/>
          <w:lang w:val="sq-AL"/>
        </w:rPr>
        <w:t>r</w:t>
      </w:r>
      <w:r w:rsidR="00EE6B45" w:rsidRPr="009475CC">
        <w:rPr>
          <w:rFonts w:cs="Times New Roman"/>
          <w:szCs w:val="24"/>
          <w:lang w:val="sq-AL"/>
        </w:rPr>
        <w:t>i</w:t>
      </w:r>
      <w:r w:rsidRPr="009475CC">
        <w:rPr>
          <w:rFonts w:cs="Times New Roman"/>
          <w:szCs w:val="24"/>
          <w:lang w:val="sq-AL"/>
        </w:rPr>
        <w:t xml:space="preserve"> i gjelbër 0800 23 23 është në dispozicion pa pagesë për të gjithë konsumatorët</w:t>
      </w:r>
      <w:r w:rsidR="00EE6B45">
        <w:rPr>
          <w:rFonts w:cs="Times New Roman"/>
          <w:szCs w:val="24"/>
          <w:lang w:val="sq-AL"/>
        </w:rPr>
        <w:t>.</w:t>
      </w:r>
    </w:p>
    <w:p w14:paraId="0B0C7F37" w14:textId="2013EDDB" w:rsidR="00195872" w:rsidRPr="00FF3E5D" w:rsidRDefault="00241AD2" w:rsidP="00623352">
      <w:pPr>
        <w:pStyle w:val="Heading5"/>
      </w:pPr>
      <w:bookmarkStart w:id="79" w:name="_Toc132277341"/>
      <w:bookmarkStart w:id="80" w:name="_Hlk121693582"/>
      <w:r w:rsidRPr="00FF3E5D">
        <w:t>E</w:t>
      </w:r>
      <w:r w:rsidR="000C1726" w:rsidRPr="00FF3E5D">
        <w:t xml:space="preserve">nti </w:t>
      </w:r>
      <w:r w:rsidR="00EE6B45" w:rsidRPr="00FF3E5D">
        <w:t>R</w:t>
      </w:r>
      <w:r w:rsidR="000C1726" w:rsidRPr="00FF3E5D">
        <w:t>regullator i Ujit</w:t>
      </w:r>
      <w:bookmarkEnd w:id="79"/>
    </w:p>
    <w:bookmarkEnd w:id="80"/>
    <w:p w14:paraId="5981476B" w14:textId="1BB5084F" w:rsidR="00195872" w:rsidRPr="009475CC" w:rsidRDefault="00195872" w:rsidP="00E2165D">
      <w:pPr>
        <w:spacing w:line="240" w:lineRule="auto"/>
        <w:jc w:val="both"/>
        <w:rPr>
          <w:rFonts w:cs="Times New Roman"/>
          <w:szCs w:val="24"/>
        </w:rPr>
      </w:pPr>
      <w:r w:rsidRPr="009475CC">
        <w:rPr>
          <w:rFonts w:cs="Times New Roman"/>
          <w:szCs w:val="24"/>
        </w:rPr>
        <w:t>Burimet e ujit të pijshëm përbëjnë një aset të madh për Shqipërinë. Sasia mesatare e ujit të pijshëm llogaritet në 8,700 metra kub për frymë në vit, që është një nga më të lartat në Evropë. Burimet e ujit të pijshëm në vend ekzistojnë në formën e burimeve sipërfaqësore, lumenjve, liqeneve dhe ujërave nëntokësore. Furnizimi me ujë të pijshëm vjen kryesisht nga burime nëntokësore dhe burime ujore sipërfaqësore.</w:t>
      </w:r>
    </w:p>
    <w:p w14:paraId="4F9DB37B" w14:textId="68A3072B" w:rsidR="00195872" w:rsidRPr="009475CC" w:rsidRDefault="00195872" w:rsidP="00E2165D">
      <w:pPr>
        <w:spacing w:line="240" w:lineRule="auto"/>
        <w:jc w:val="both"/>
        <w:rPr>
          <w:rFonts w:cs="Times New Roman"/>
          <w:szCs w:val="24"/>
        </w:rPr>
      </w:pPr>
      <w:r w:rsidRPr="009475CC">
        <w:rPr>
          <w:rFonts w:cs="Times New Roman"/>
          <w:szCs w:val="24"/>
        </w:rPr>
        <w:t>Krijimi i një sektori të vet</w:t>
      </w:r>
      <w:r w:rsidR="00FF3E5D">
        <w:rPr>
          <w:rFonts w:cs="Times New Roman"/>
          <w:szCs w:val="24"/>
        </w:rPr>
        <w:t>ë</w:t>
      </w:r>
      <w:r w:rsidRPr="009475CC">
        <w:rPr>
          <w:rFonts w:cs="Times New Roman"/>
          <w:szCs w:val="24"/>
        </w:rPr>
        <w:t>qëndrueshëm financiarisht që ofron shërbime të një cilësie të lartë, të përballueshme për të gjithë konsumatorët vijon të jetë në fokus të objektivave institucionale.</w:t>
      </w:r>
    </w:p>
    <w:p w14:paraId="6FFB46D4" w14:textId="77777777" w:rsidR="00195872" w:rsidRPr="009475CC" w:rsidRDefault="00195872" w:rsidP="00E2165D">
      <w:pPr>
        <w:spacing w:line="240" w:lineRule="auto"/>
        <w:jc w:val="both"/>
        <w:rPr>
          <w:rFonts w:cs="Times New Roman"/>
          <w:szCs w:val="24"/>
        </w:rPr>
      </w:pPr>
      <w:r w:rsidRPr="009475CC">
        <w:rPr>
          <w:rFonts w:cs="Times New Roman"/>
          <w:szCs w:val="24"/>
        </w:rPr>
        <w:t>Në sektorin UK shërbimi i "grumbullimit, shpërndarjes së ujit për konsum publik" për vitin 2021 është ofruar nga 58 shoqëri Ujësjellës Kanalizime nga të cilat vetëm 1 prej tyre kryen edhe shërbimin e "përpunimit të ujit të pijshëm për konsum publik". Shërbimi i "grumbullimit e largimit të ujërave të ndotura" ofrohet nga 53 shoqëri ndërsa përpunimi i tyre arrihet të kryhet nëpërmjet 8 impianteve të përpunimit të ujërave të ndotura.</w:t>
      </w:r>
    </w:p>
    <w:p w14:paraId="48EA6213" w14:textId="4D063D61" w:rsidR="00195872" w:rsidRPr="009475CC" w:rsidRDefault="00195872" w:rsidP="00E2165D">
      <w:pPr>
        <w:spacing w:line="240" w:lineRule="auto"/>
        <w:jc w:val="both"/>
        <w:rPr>
          <w:rFonts w:cs="Times New Roman"/>
          <w:szCs w:val="24"/>
        </w:rPr>
      </w:pPr>
      <w:r w:rsidRPr="009475CC">
        <w:rPr>
          <w:rFonts w:cs="Times New Roman"/>
          <w:szCs w:val="24"/>
        </w:rPr>
        <w:t xml:space="preserve">Vendimi i Këshillit të Ministrave </w:t>
      </w:r>
      <w:r w:rsidR="002F7454">
        <w:rPr>
          <w:rFonts w:cs="Times New Roman"/>
          <w:szCs w:val="24"/>
        </w:rPr>
        <w:t>n</w:t>
      </w:r>
      <w:r w:rsidRPr="009475CC">
        <w:rPr>
          <w:rFonts w:cs="Times New Roman"/>
          <w:szCs w:val="24"/>
        </w:rPr>
        <w:t>r.</w:t>
      </w:r>
      <w:r w:rsidR="00E105B0">
        <w:rPr>
          <w:rFonts w:cs="Times New Roman"/>
          <w:szCs w:val="24"/>
        </w:rPr>
        <w:t xml:space="preserve"> </w:t>
      </w:r>
      <w:r w:rsidRPr="009475CC">
        <w:rPr>
          <w:rFonts w:cs="Times New Roman"/>
          <w:szCs w:val="24"/>
        </w:rPr>
        <w:t>302, datë 11.05.2022</w:t>
      </w:r>
      <w:r w:rsidR="002F7454">
        <w:rPr>
          <w:rFonts w:cs="Times New Roman"/>
          <w:szCs w:val="24"/>
        </w:rPr>
        <w:t xml:space="preserve"> </w:t>
      </w:r>
      <w:r w:rsidR="002F7454">
        <w:rPr>
          <w:rFonts w:cs="Times New Roman"/>
          <w:i/>
          <w:iCs/>
          <w:szCs w:val="24"/>
        </w:rPr>
        <w:t>“P</w:t>
      </w:r>
      <w:r w:rsidRPr="009475CC">
        <w:rPr>
          <w:rFonts w:cs="Times New Roman"/>
          <w:i/>
          <w:iCs/>
          <w:szCs w:val="24"/>
        </w:rPr>
        <w:t>ër politikat kombëtare për riorganizimin e sektorit të furnizimit me ujë dhe të largimit, trajtimit dhe përpunimit të ujërave të ndotura”</w:t>
      </w:r>
      <w:r w:rsidRPr="009475CC">
        <w:rPr>
          <w:rFonts w:cs="Times New Roman"/>
          <w:b/>
          <w:bCs/>
          <w:szCs w:val="24"/>
        </w:rPr>
        <w:t xml:space="preserve"> </w:t>
      </w:r>
      <w:r w:rsidRPr="009475CC">
        <w:rPr>
          <w:rFonts w:cs="Times New Roman"/>
          <w:szCs w:val="24"/>
        </w:rPr>
        <w:t>parashikon shkrirjen e këtyre shoqërive dhe krijimin e 15 shoqërive rajonale për ofrimin e shërbimit UK me pronar njësitë e qeverisjes vendore dhe qeverisjes qendrore. Qëllimi i riorganizimit të sektorit është përmirësimi dhe sigurimi i furnizimit me ujë dhe të shërbimeve të kanalizimeve në të gjithë territorin e Republikës së Shqipërisë, duke plotësuar nevojat e një ekonomie në zhvillim, si dhe duke mbrojtur mjedisin, shëndetin e sigurinë e qytetarëve.</w:t>
      </w:r>
      <w:r w:rsidR="002F7454">
        <w:rPr>
          <w:rFonts w:cs="Times New Roman"/>
          <w:szCs w:val="24"/>
        </w:rPr>
        <w:t xml:space="preserve"> </w:t>
      </w:r>
      <w:r w:rsidRPr="009475CC">
        <w:rPr>
          <w:rFonts w:cs="Times New Roman"/>
          <w:szCs w:val="24"/>
        </w:rPr>
        <w:t>Gjatë viteve 2017 – 2021 në fokus të punës së rregullatorit, me qëllim rritjen e cilësisë së shërbimit ndaj konsumatorit, ka qenë përmirësimi i standardeve të shërbimeve në sektorin UK nëpërmjet Instrumenteve Rregullatore si më poshtë:</w:t>
      </w:r>
    </w:p>
    <w:p w14:paraId="62C14B51" w14:textId="77777777" w:rsidR="00195872" w:rsidRPr="009475CC" w:rsidRDefault="00195872" w:rsidP="00623352">
      <w:pPr>
        <w:pStyle w:val="ListParagraph"/>
        <w:numPr>
          <w:ilvl w:val="0"/>
          <w:numId w:val="12"/>
        </w:numPr>
        <w:spacing w:line="240" w:lineRule="auto"/>
        <w:jc w:val="both"/>
        <w:rPr>
          <w:rFonts w:cs="Times New Roman"/>
          <w:szCs w:val="24"/>
        </w:rPr>
      </w:pPr>
      <w:r w:rsidRPr="009475CC">
        <w:rPr>
          <w:rFonts w:cs="Times New Roman"/>
          <w:szCs w:val="24"/>
        </w:rPr>
        <w:t xml:space="preserve">Seanca dëgjimore me Publikun </w:t>
      </w:r>
    </w:p>
    <w:p w14:paraId="2C734927" w14:textId="66B25733" w:rsidR="00195872" w:rsidRPr="009475CC" w:rsidRDefault="00195872" w:rsidP="00E2165D">
      <w:pPr>
        <w:spacing w:line="240" w:lineRule="auto"/>
        <w:jc w:val="both"/>
        <w:rPr>
          <w:rFonts w:cs="Times New Roman"/>
          <w:szCs w:val="24"/>
        </w:rPr>
      </w:pPr>
      <w:r w:rsidRPr="009475CC">
        <w:rPr>
          <w:rFonts w:cs="Times New Roman"/>
          <w:szCs w:val="24"/>
        </w:rPr>
        <w:t>Vendosja e organizimit të seancave dëgjimore me publikun si një nga hallkat e domosdoshme në procesin e miratimit t</w:t>
      </w:r>
      <w:r w:rsidR="00E105B0">
        <w:rPr>
          <w:rFonts w:cs="Times New Roman"/>
          <w:szCs w:val="24"/>
        </w:rPr>
        <w:t>ë</w:t>
      </w:r>
      <w:r w:rsidRPr="009475CC">
        <w:rPr>
          <w:rFonts w:cs="Times New Roman"/>
          <w:szCs w:val="24"/>
        </w:rPr>
        <w:t xml:space="preserve"> tarifave dhe hartimi i një rregullore për organizimin e saj në vitin 2018 pati si qëllim sqarimin dhe përfshirjen e publikut në procesin e propozimit të tarifave të reja, rritjen e transparencës, besimit dhe bashkëpunimit të shoqërive UK me publikun. Gjithashtu informimin e konsumatorëve në lidhje me detyrimin dhe problematikën që hasin shoqëritë për të plotësuar standardet e cilësisë së shërbimeve, njohjen me objektivat e shoqërisë për të ardhmen, nga ana tjetër dhe ndërgjegjësimin e tyre në lidhje me detyrimet që duhet të përmbushin konsumatorët (publiku) ndaj shoqërisë UK. Zhvillimi i këtyre seancave në qendër të qyteteve ku aksesi i konsumatorit është më i thjeshtë ka rritur njohjen dhe ndërgjegjësimin </w:t>
      </w:r>
      <w:r w:rsidRPr="009475CC">
        <w:rPr>
          <w:rFonts w:cs="Times New Roman"/>
          <w:szCs w:val="24"/>
        </w:rPr>
        <w:lastRenderedPageBreak/>
        <w:t>e konsumatorëve jo vetëm për procesin e vendosjes s</w:t>
      </w:r>
      <w:r w:rsidR="00915EC9">
        <w:rPr>
          <w:rFonts w:cs="Times New Roman"/>
          <w:szCs w:val="24"/>
        </w:rPr>
        <w:t>ë</w:t>
      </w:r>
      <w:r w:rsidRPr="009475CC">
        <w:rPr>
          <w:rFonts w:cs="Times New Roman"/>
          <w:szCs w:val="24"/>
        </w:rPr>
        <w:t xml:space="preserve"> tarifave por edhe për të shprehur pakënaqësitë në lidhje me shërbimin apo çfarë duhet te përmirësohet nga shoqëria. Përgjatë viteve 2017 – 2021 janë organizuar 32 seanca dëgjimore dhe prania e përfaqësuesve të rregullatorit në këto seanca ka ndikuar ne vendosjen e objektivave konkret për shoqërinë në drejtim të ofrimit të shërbimit.</w:t>
      </w:r>
    </w:p>
    <w:p w14:paraId="013D5149" w14:textId="77777777" w:rsidR="00143213" w:rsidRPr="009475CC" w:rsidRDefault="00143213" w:rsidP="00623352">
      <w:pPr>
        <w:pStyle w:val="ListParagraph"/>
        <w:numPr>
          <w:ilvl w:val="0"/>
          <w:numId w:val="12"/>
        </w:numPr>
        <w:spacing w:line="240" w:lineRule="auto"/>
        <w:jc w:val="both"/>
        <w:rPr>
          <w:rFonts w:cs="Times New Roman"/>
          <w:iCs/>
          <w:szCs w:val="24"/>
        </w:rPr>
      </w:pPr>
      <w:r w:rsidRPr="009475CC">
        <w:rPr>
          <w:rFonts w:cs="Times New Roman"/>
          <w:iCs/>
          <w:szCs w:val="24"/>
        </w:rPr>
        <w:t xml:space="preserve">Trajtimi i ankesave ndaj konsumatorëve </w:t>
      </w:r>
    </w:p>
    <w:p w14:paraId="5BD4800E" w14:textId="3ACA2D7F" w:rsidR="002F7454" w:rsidRPr="00E45C0D" w:rsidDel="002F7454" w:rsidRDefault="00143213" w:rsidP="00E2165D">
      <w:pPr>
        <w:spacing w:line="240" w:lineRule="auto"/>
        <w:jc w:val="both"/>
        <w:rPr>
          <w:rFonts w:cs="Times New Roman"/>
          <w:szCs w:val="24"/>
        </w:rPr>
      </w:pPr>
      <w:r w:rsidRPr="009475CC">
        <w:rPr>
          <w:rFonts w:cs="Times New Roman"/>
          <w:szCs w:val="24"/>
        </w:rPr>
        <w:t>Detyrimi ligjor që nëpërmjet trajtimit të ankesave të konsumatorëve, të sigurohet që dhënia e shërbimit nga ana e shoqërive UK të jetë në përputhje me aktet nënligjore duke siguruar kështu cilësinë, efiçencën dhe vazhdueshmërinë e shërbimit është në fokus të rregullores së trajtimit të ankesave të ERRU-së miratuar në vitin 2019. Trajtimi i ankesave me rregulla të përcaktuara rriti angazhimin e shoqërive në trajtimin e ankesave si dhe zgjidhjen e tyre më shumë në favor të konsumatorit në raport me nivelin total të ankesave.</w:t>
      </w:r>
      <w:r w:rsidR="002F7454">
        <w:rPr>
          <w:rFonts w:cs="Times New Roman"/>
          <w:szCs w:val="24"/>
        </w:rPr>
        <w:t xml:space="preserve"> </w:t>
      </w:r>
      <w:r w:rsidRPr="009475CC">
        <w:rPr>
          <w:rFonts w:cs="Times New Roman"/>
          <w:szCs w:val="24"/>
        </w:rPr>
        <w:t>Konsumatorët në sektorin e ujit janë të ndarë në tre kategori kryesore</w:t>
      </w:r>
      <w:r w:rsidR="002F7454">
        <w:rPr>
          <w:rFonts w:cs="Times New Roman"/>
          <w:szCs w:val="24"/>
        </w:rPr>
        <w:t>:</w:t>
      </w:r>
      <w:r w:rsidRPr="009475CC">
        <w:rPr>
          <w:rFonts w:cs="Times New Roman"/>
          <w:szCs w:val="24"/>
        </w:rPr>
        <w:t xml:space="preserve"> </w:t>
      </w:r>
      <w:r w:rsidR="002F7454">
        <w:rPr>
          <w:rFonts w:cs="Times New Roman"/>
          <w:szCs w:val="24"/>
        </w:rPr>
        <w:t>k</w:t>
      </w:r>
      <w:r w:rsidRPr="009475CC">
        <w:rPr>
          <w:rFonts w:cs="Times New Roman"/>
          <w:szCs w:val="24"/>
        </w:rPr>
        <w:t xml:space="preserve">onsumatorët </w:t>
      </w:r>
      <w:r w:rsidR="002F7454">
        <w:rPr>
          <w:rFonts w:cs="Times New Roman"/>
          <w:szCs w:val="24"/>
        </w:rPr>
        <w:t>f</w:t>
      </w:r>
      <w:r w:rsidRPr="009475CC">
        <w:rPr>
          <w:rFonts w:cs="Times New Roman"/>
          <w:szCs w:val="24"/>
        </w:rPr>
        <w:t xml:space="preserve">amiljarë, konsumatorë </w:t>
      </w:r>
      <w:r w:rsidR="002F7454">
        <w:rPr>
          <w:rFonts w:cs="Times New Roman"/>
          <w:szCs w:val="24"/>
        </w:rPr>
        <w:t>p</w:t>
      </w:r>
      <w:r w:rsidRPr="009475CC">
        <w:rPr>
          <w:rFonts w:cs="Times New Roman"/>
          <w:szCs w:val="24"/>
        </w:rPr>
        <w:t xml:space="preserve">ublik dhe konsumatorë </w:t>
      </w:r>
    </w:p>
    <w:tbl>
      <w:tblPr>
        <w:tblStyle w:val="LightGrid1"/>
        <w:tblpPr w:leftFromText="180" w:rightFromText="180" w:vertAnchor="page" w:horzAnchor="margin" w:tblpY="3091"/>
        <w:tblW w:w="10196" w:type="dxa"/>
        <w:tblLook w:val="04A0" w:firstRow="1" w:lastRow="0" w:firstColumn="1" w:lastColumn="0" w:noHBand="0" w:noVBand="1"/>
      </w:tblPr>
      <w:tblGrid>
        <w:gridCol w:w="772"/>
        <w:gridCol w:w="1061"/>
        <w:gridCol w:w="35"/>
        <w:gridCol w:w="1475"/>
        <w:gridCol w:w="1096"/>
        <w:gridCol w:w="1469"/>
        <w:gridCol w:w="13"/>
        <w:gridCol w:w="776"/>
        <w:gridCol w:w="3499"/>
      </w:tblGrid>
      <w:tr w:rsidR="002F7454" w:rsidRPr="00EB04FE" w14:paraId="1CF928A4" w14:textId="77777777" w:rsidTr="007D1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vMerge w:val="restart"/>
          </w:tcPr>
          <w:p w14:paraId="02419279"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Viti</w:t>
            </w:r>
          </w:p>
          <w:p w14:paraId="289CE953" w14:textId="77777777" w:rsidR="002F7454" w:rsidRPr="00FB36DA" w:rsidRDefault="002F7454" w:rsidP="00E2165D">
            <w:pPr>
              <w:jc w:val="both"/>
              <w:rPr>
                <w:rFonts w:eastAsiaTheme="minorHAnsi"/>
                <w:b w:val="0"/>
                <w:bCs w:val="0"/>
                <w:szCs w:val="24"/>
              </w:rPr>
            </w:pPr>
          </w:p>
        </w:tc>
        <w:tc>
          <w:tcPr>
            <w:tcW w:w="1096" w:type="dxa"/>
            <w:gridSpan w:val="2"/>
            <w:vMerge w:val="restart"/>
          </w:tcPr>
          <w:p w14:paraId="26AFE5EE" w14:textId="77777777" w:rsidR="002F7454" w:rsidRPr="0093142A"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r w:rsidRPr="0022797D">
              <w:rPr>
                <w:rFonts w:eastAsiaTheme="minorHAnsi"/>
                <w:b w:val="0"/>
                <w:bCs w:val="0"/>
                <w:szCs w:val="24"/>
              </w:rPr>
              <w:t>Numri i ankesave</w:t>
            </w:r>
          </w:p>
          <w:p w14:paraId="45149E99" w14:textId="77777777" w:rsidR="002F7454" w:rsidRPr="008B3DCF"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r w:rsidRPr="008B3DCF">
              <w:rPr>
                <w:rFonts w:eastAsiaTheme="minorHAnsi"/>
                <w:b w:val="0"/>
                <w:bCs w:val="0"/>
                <w:szCs w:val="24"/>
              </w:rPr>
              <w:t>gjithsej</w:t>
            </w:r>
          </w:p>
          <w:p w14:paraId="431523D5" w14:textId="77777777" w:rsidR="002F7454" w:rsidRPr="00E2223C"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p>
        </w:tc>
        <w:tc>
          <w:tcPr>
            <w:tcW w:w="4829" w:type="dxa"/>
            <w:gridSpan w:val="5"/>
            <w:tcBorders>
              <w:bottom w:val="single" w:sz="4" w:space="0" w:color="auto"/>
            </w:tcBorders>
          </w:tcPr>
          <w:p w14:paraId="1D0C6A76" w14:textId="77777777" w:rsidR="002F7454" w:rsidRPr="00EB04FE"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r w:rsidRPr="00ED6C63">
              <w:rPr>
                <w:rFonts w:eastAsiaTheme="minorHAnsi"/>
                <w:b w:val="0"/>
                <w:bCs w:val="0"/>
                <w:szCs w:val="24"/>
              </w:rPr>
              <w:t>Zgjidhja e ankesës</w:t>
            </w:r>
          </w:p>
        </w:tc>
        <w:tc>
          <w:tcPr>
            <w:tcW w:w="3499" w:type="dxa"/>
            <w:vMerge w:val="restart"/>
          </w:tcPr>
          <w:p w14:paraId="005D00AC" w14:textId="77777777" w:rsidR="002F7454" w:rsidRPr="00EB04FE"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r w:rsidRPr="00EB04FE">
              <w:rPr>
                <w:rFonts w:eastAsiaTheme="minorHAnsi"/>
                <w:b w:val="0"/>
                <w:bCs w:val="0"/>
                <w:szCs w:val="24"/>
              </w:rPr>
              <w:t>Komente</w:t>
            </w:r>
          </w:p>
          <w:p w14:paraId="0AEF64C2" w14:textId="77777777" w:rsidR="002F7454" w:rsidRPr="00EB04FE" w:rsidRDefault="002F7454" w:rsidP="00E2165D">
            <w:pPr>
              <w:jc w:val="both"/>
              <w:cnfStyle w:val="100000000000" w:firstRow="1" w:lastRow="0" w:firstColumn="0" w:lastColumn="0" w:oddVBand="0" w:evenVBand="0" w:oddHBand="0" w:evenHBand="0" w:firstRowFirstColumn="0" w:firstRowLastColumn="0" w:lastRowFirstColumn="0" w:lastRowLastColumn="0"/>
              <w:rPr>
                <w:rFonts w:eastAsiaTheme="minorHAnsi"/>
                <w:b w:val="0"/>
                <w:bCs w:val="0"/>
                <w:szCs w:val="24"/>
              </w:rPr>
            </w:pPr>
          </w:p>
        </w:tc>
      </w:tr>
      <w:tr w:rsidR="002F7454" w:rsidRPr="00EB04FE" w14:paraId="66736FD6" w14:textId="77777777" w:rsidTr="007D1824">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772" w:type="dxa"/>
            <w:vMerge/>
          </w:tcPr>
          <w:p w14:paraId="1D98EC58" w14:textId="77777777" w:rsidR="002F7454" w:rsidRPr="00EB04FE" w:rsidRDefault="002F7454" w:rsidP="00E2165D">
            <w:pPr>
              <w:jc w:val="both"/>
              <w:rPr>
                <w:rFonts w:eastAsiaTheme="minorHAnsi"/>
                <w:b w:val="0"/>
                <w:bCs w:val="0"/>
                <w:szCs w:val="24"/>
              </w:rPr>
            </w:pPr>
          </w:p>
        </w:tc>
        <w:tc>
          <w:tcPr>
            <w:tcW w:w="1096" w:type="dxa"/>
            <w:gridSpan w:val="2"/>
            <w:vMerge/>
            <w:tcBorders>
              <w:right w:val="single" w:sz="4" w:space="0" w:color="auto"/>
            </w:tcBorders>
          </w:tcPr>
          <w:p w14:paraId="0EAFAF38"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475" w:type="dxa"/>
            <w:tcBorders>
              <w:top w:val="single" w:sz="4" w:space="0" w:color="auto"/>
              <w:left w:val="single" w:sz="4" w:space="0" w:color="auto"/>
              <w:bottom w:val="single" w:sz="4" w:space="0" w:color="auto"/>
              <w:right w:val="single" w:sz="4" w:space="0" w:color="auto"/>
            </w:tcBorders>
          </w:tcPr>
          <w:p w14:paraId="04E1BEDE"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 xml:space="preserve">Zgjidhur nga institucioni </w:t>
            </w:r>
          </w:p>
        </w:tc>
        <w:tc>
          <w:tcPr>
            <w:tcW w:w="1096" w:type="dxa"/>
            <w:tcBorders>
              <w:top w:val="single" w:sz="4" w:space="0" w:color="auto"/>
              <w:left w:val="single" w:sz="4" w:space="0" w:color="auto"/>
              <w:bottom w:val="single" w:sz="4" w:space="0" w:color="auto"/>
              <w:right w:val="single" w:sz="4" w:space="0" w:color="auto"/>
            </w:tcBorders>
          </w:tcPr>
          <w:p w14:paraId="6363F95D"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 xml:space="preserve">Deleguar </w:t>
            </w:r>
          </w:p>
        </w:tc>
        <w:tc>
          <w:tcPr>
            <w:tcW w:w="1469" w:type="dxa"/>
            <w:tcBorders>
              <w:top w:val="single" w:sz="4" w:space="0" w:color="auto"/>
              <w:left w:val="single" w:sz="4" w:space="0" w:color="auto"/>
              <w:bottom w:val="single" w:sz="4" w:space="0" w:color="auto"/>
              <w:right w:val="single" w:sz="4" w:space="0" w:color="auto"/>
            </w:tcBorders>
          </w:tcPr>
          <w:p w14:paraId="0D625B83"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Jashtë kompetencës</w:t>
            </w:r>
          </w:p>
        </w:tc>
        <w:tc>
          <w:tcPr>
            <w:tcW w:w="789" w:type="dxa"/>
            <w:gridSpan w:val="2"/>
            <w:tcBorders>
              <w:top w:val="single" w:sz="4" w:space="0" w:color="auto"/>
              <w:left w:val="single" w:sz="4" w:space="0" w:color="auto"/>
              <w:bottom w:val="single" w:sz="4" w:space="0" w:color="auto"/>
              <w:right w:val="single" w:sz="4" w:space="0" w:color="auto"/>
            </w:tcBorders>
          </w:tcPr>
          <w:p w14:paraId="115D6FFB"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Tjetër</w:t>
            </w:r>
          </w:p>
        </w:tc>
        <w:tc>
          <w:tcPr>
            <w:tcW w:w="3499" w:type="dxa"/>
            <w:vMerge/>
            <w:tcBorders>
              <w:left w:val="single" w:sz="4" w:space="0" w:color="auto"/>
            </w:tcBorders>
          </w:tcPr>
          <w:p w14:paraId="489DBD49"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F7454" w:rsidRPr="00EB04FE" w14:paraId="1CB6469A" w14:textId="77777777" w:rsidTr="007D18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7596482B"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2017</w:t>
            </w:r>
          </w:p>
        </w:tc>
        <w:tc>
          <w:tcPr>
            <w:tcW w:w="1061" w:type="dxa"/>
          </w:tcPr>
          <w:p w14:paraId="215B9B40" w14:textId="77777777" w:rsidR="002F7454" w:rsidRPr="0022797D" w:rsidRDefault="002F7454" w:rsidP="00E2165D">
            <w:pPr>
              <w:tabs>
                <w:tab w:val="left" w:pos="330"/>
              </w:tabs>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FB36DA">
              <w:rPr>
                <w:rFonts w:cs="Times New Roman"/>
                <w:szCs w:val="24"/>
              </w:rPr>
              <w:t xml:space="preserve">   </w:t>
            </w:r>
            <w:r w:rsidRPr="0022797D">
              <w:rPr>
                <w:rFonts w:cs="Times New Roman"/>
                <w:szCs w:val="24"/>
              </w:rPr>
              <w:t xml:space="preserve">  58</w:t>
            </w:r>
          </w:p>
        </w:tc>
        <w:tc>
          <w:tcPr>
            <w:tcW w:w="1510" w:type="dxa"/>
            <w:gridSpan w:val="2"/>
            <w:tcBorders>
              <w:top w:val="single" w:sz="4" w:space="0" w:color="auto"/>
            </w:tcBorders>
          </w:tcPr>
          <w:p w14:paraId="525FA304" w14:textId="77777777" w:rsidR="002F7454" w:rsidRPr="008B3DCF"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93142A">
              <w:rPr>
                <w:rFonts w:cs="Times New Roman"/>
                <w:szCs w:val="24"/>
              </w:rPr>
              <w:t>14</w:t>
            </w:r>
          </w:p>
        </w:tc>
        <w:tc>
          <w:tcPr>
            <w:tcW w:w="1096" w:type="dxa"/>
            <w:tcBorders>
              <w:top w:val="single" w:sz="4" w:space="0" w:color="auto"/>
            </w:tcBorders>
          </w:tcPr>
          <w:p w14:paraId="39FDB635" w14:textId="77777777" w:rsidR="002F7454" w:rsidRPr="00D52DC6"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8B3DCF">
              <w:rPr>
                <w:rFonts w:cs="Times New Roman"/>
                <w:szCs w:val="24"/>
              </w:rPr>
              <w:t>0</w:t>
            </w:r>
          </w:p>
        </w:tc>
        <w:tc>
          <w:tcPr>
            <w:tcW w:w="1482" w:type="dxa"/>
            <w:gridSpan w:val="2"/>
            <w:tcBorders>
              <w:top w:val="single" w:sz="4" w:space="0" w:color="auto"/>
            </w:tcBorders>
          </w:tcPr>
          <w:p w14:paraId="5543DC5B" w14:textId="77777777" w:rsidR="002F7454" w:rsidRPr="00ED6C63"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2223C">
              <w:rPr>
                <w:rFonts w:cs="Times New Roman"/>
                <w:szCs w:val="24"/>
              </w:rPr>
              <w:t>0</w:t>
            </w:r>
          </w:p>
        </w:tc>
        <w:tc>
          <w:tcPr>
            <w:tcW w:w="776" w:type="dxa"/>
            <w:tcBorders>
              <w:top w:val="single" w:sz="4" w:space="0" w:color="auto"/>
            </w:tcBorders>
          </w:tcPr>
          <w:p w14:paraId="27696561"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0</w:t>
            </w:r>
          </w:p>
        </w:tc>
        <w:tc>
          <w:tcPr>
            <w:tcW w:w="3499" w:type="dxa"/>
          </w:tcPr>
          <w:p w14:paraId="1162F74F"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 xml:space="preserve">Ndjekur rrugën gjyqësore;  Konsumatori ka ndërvepruar me shoqërinë UK </w:t>
            </w:r>
          </w:p>
        </w:tc>
      </w:tr>
      <w:tr w:rsidR="002F7454" w:rsidRPr="00EB04FE" w14:paraId="15944BE3" w14:textId="77777777" w:rsidTr="007D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17BF3E91"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2018</w:t>
            </w:r>
          </w:p>
        </w:tc>
        <w:tc>
          <w:tcPr>
            <w:tcW w:w="1061" w:type="dxa"/>
          </w:tcPr>
          <w:p w14:paraId="1ECFF221" w14:textId="77777777" w:rsidR="002F7454" w:rsidRPr="0022797D"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FB36DA">
              <w:rPr>
                <w:rFonts w:cs="Times New Roman"/>
                <w:szCs w:val="24"/>
              </w:rPr>
              <w:t>39</w:t>
            </w:r>
          </w:p>
        </w:tc>
        <w:tc>
          <w:tcPr>
            <w:tcW w:w="1510" w:type="dxa"/>
            <w:gridSpan w:val="2"/>
          </w:tcPr>
          <w:p w14:paraId="2A88B155" w14:textId="77777777" w:rsidR="002F7454" w:rsidRPr="008B3DCF"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93142A">
              <w:rPr>
                <w:rFonts w:cs="Times New Roman"/>
                <w:szCs w:val="24"/>
              </w:rPr>
              <w:t>10</w:t>
            </w:r>
          </w:p>
        </w:tc>
        <w:tc>
          <w:tcPr>
            <w:tcW w:w="1096" w:type="dxa"/>
          </w:tcPr>
          <w:p w14:paraId="5907DF72" w14:textId="77777777" w:rsidR="002F7454" w:rsidRPr="00D52DC6"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B3DCF">
              <w:rPr>
                <w:rFonts w:cs="Times New Roman"/>
                <w:szCs w:val="24"/>
              </w:rPr>
              <w:t>0</w:t>
            </w:r>
          </w:p>
        </w:tc>
        <w:tc>
          <w:tcPr>
            <w:tcW w:w="1482" w:type="dxa"/>
            <w:gridSpan w:val="2"/>
          </w:tcPr>
          <w:p w14:paraId="1E1402E4" w14:textId="77777777" w:rsidR="002F7454" w:rsidRPr="00ED6C63"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2223C">
              <w:rPr>
                <w:rFonts w:cs="Times New Roman"/>
                <w:szCs w:val="24"/>
              </w:rPr>
              <w:t>0</w:t>
            </w:r>
          </w:p>
        </w:tc>
        <w:tc>
          <w:tcPr>
            <w:tcW w:w="776" w:type="dxa"/>
          </w:tcPr>
          <w:p w14:paraId="00BF9C94"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0</w:t>
            </w:r>
          </w:p>
        </w:tc>
        <w:tc>
          <w:tcPr>
            <w:tcW w:w="3499" w:type="dxa"/>
          </w:tcPr>
          <w:p w14:paraId="51E692A3"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Ndjekur rrugën gjyqësore; Konsumatori ka ndërvepruar me shoqërinë UK</w:t>
            </w:r>
          </w:p>
        </w:tc>
      </w:tr>
      <w:tr w:rsidR="002F7454" w:rsidRPr="00EB04FE" w14:paraId="184E3A53" w14:textId="77777777" w:rsidTr="007D18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75300C24"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2019</w:t>
            </w:r>
          </w:p>
        </w:tc>
        <w:tc>
          <w:tcPr>
            <w:tcW w:w="1061" w:type="dxa"/>
          </w:tcPr>
          <w:p w14:paraId="4F4EC89F" w14:textId="77777777" w:rsidR="002F7454" w:rsidRPr="0022797D"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FB36DA">
              <w:rPr>
                <w:rFonts w:cs="Times New Roman"/>
                <w:szCs w:val="24"/>
              </w:rPr>
              <w:t>18</w:t>
            </w:r>
          </w:p>
        </w:tc>
        <w:tc>
          <w:tcPr>
            <w:tcW w:w="1510" w:type="dxa"/>
            <w:gridSpan w:val="2"/>
          </w:tcPr>
          <w:p w14:paraId="1C736C3B" w14:textId="77777777" w:rsidR="002F7454" w:rsidRPr="008B3DCF"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93142A">
              <w:rPr>
                <w:rFonts w:cs="Times New Roman"/>
                <w:szCs w:val="24"/>
              </w:rPr>
              <w:t>6</w:t>
            </w:r>
          </w:p>
        </w:tc>
        <w:tc>
          <w:tcPr>
            <w:tcW w:w="1096" w:type="dxa"/>
          </w:tcPr>
          <w:p w14:paraId="130BDF90" w14:textId="77777777" w:rsidR="002F7454" w:rsidRPr="00D52DC6"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8B3DCF">
              <w:rPr>
                <w:rFonts w:cs="Times New Roman"/>
                <w:szCs w:val="24"/>
              </w:rPr>
              <w:t>0</w:t>
            </w:r>
          </w:p>
        </w:tc>
        <w:tc>
          <w:tcPr>
            <w:tcW w:w="1482" w:type="dxa"/>
            <w:gridSpan w:val="2"/>
          </w:tcPr>
          <w:p w14:paraId="498C5FC5" w14:textId="77777777" w:rsidR="002F7454" w:rsidRPr="00ED6C63"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2223C">
              <w:rPr>
                <w:rFonts w:cs="Times New Roman"/>
                <w:szCs w:val="24"/>
              </w:rPr>
              <w:t>0</w:t>
            </w:r>
          </w:p>
        </w:tc>
        <w:tc>
          <w:tcPr>
            <w:tcW w:w="776" w:type="dxa"/>
          </w:tcPr>
          <w:p w14:paraId="2942D4D8"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0</w:t>
            </w:r>
          </w:p>
        </w:tc>
        <w:tc>
          <w:tcPr>
            <w:tcW w:w="3499" w:type="dxa"/>
          </w:tcPr>
          <w:p w14:paraId="03EC38DD"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Ndjekur rrugën gjyqësore; Konsumatori ka ndërvepruar me shoqërinë UK</w:t>
            </w:r>
          </w:p>
        </w:tc>
      </w:tr>
      <w:tr w:rsidR="002F7454" w:rsidRPr="00EB04FE" w14:paraId="546CF161" w14:textId="77777777" w:rsidTr="007D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0C2032EF"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2020</w:t>
            </w:r>
          </w:p>
        </w:tc>
        <w:tc>
          <w:tcPr>
            <w:tcW w:w="1061" w:type="dxa"/>
          </w:tcPr>
          <w:p w14:paraId="4A4EB7D1" w14:textId="77777777" w:rsidR="002F7454" w:rsidRPr="0022797D"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FB36DA">
              <w:rPr>
                <w:rFonts w:cs="Times New Roman"/>
                <w:szCs w:val="24"/>
              </w:rPr>
              <w:t>9</w:t>
            </w:r>
          </w:p>
        </w:tc>
        <w:tc>
          <w:tcPr>
            <w:tcW w:w="1510" w:type="dxa"/>
            <w:gridSpan w:val="2"/>
          </w:tcPr>
          <w:p w14:paraId="48EEA138" w14:textId="77777777" w:rsidR="002F7454" w:rsidRPr="008B3DCF"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93142A">
              <w:rPr>
                <w:rFonts w:cs="Times New Roman"/>
                <w:szCs w:val="24"/>
              </w:rPr>
              <w:t>5</w:t>
            </w:r>
          </w:p>
        </w:tc>
        <w:tc>
          <w:tcPr>
            <w:tcW w:w="1096" w:type="dxa"/>
          </w:tcPr>
          <w:p w14:paraId="05ABC873" w14:textId="77777777" w:rsidR="002F7454" w:rsidRPr="00D52DC6"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B3DCF">
              <w:rPr>
                <w:rFonts w:cs="Times New Roman"/>
                <w:szCs w:val="24"/>
              </w:rPr>
              <w:t>0</w:t>
            </w:r>
          </w:p>
        </w:tc>
        <w:tc>
          <w:tcPr>
            <w:tcW w:w="1482" w:type="dxa"/>
            <w:gridSpan w:val="2"/>
          </w:tcPr>
          <w:p w14:paraId="2A3594DB" w14:textId="77777777" w:rsidR="002F7454" w:rsidRPr="00ED6C63"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2223C">
              <w:rPr>
                <w:rFonts w:cs="Times New Roman"/>
                <w:szCs w:val="24"/>
              </w:rPr>
              <w:t>0</w:t>
            </w:r>
          </w:p>
        </w:tc>
        <w:tc>
          <w:tcPr>
            <w:tcW w:w="776" w:type="dxa"/>
          </w:tcPr>
          <w:p w14:paraId="649C6E6C"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0</w:t>
            </w:r>
          </w:p>
        </w:tc>
        <w:tc>
          <w:tcPr>
            <w:tcW w:w="3499" w:type="dxa"/>
          </w:tcPr>
          <w:p w14:paraId="60450F68" w14:textId="77777777" w:rsidR="002F7454" w:rsidRPr="00EB04FE" w:rsidRDefault="002F7454" w:rsidP="00E2165D">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EB04FE">
              <w:rPr>
                <w:rFonts w:cs="Times New Roman"/>
                <w:szCs w:val="24"/>
              </w:rPr>
              <w:t>Ndjekur rrugën gjyqësore; Konsumatori ka ndërvepruar me shoqërinë UK</w:t>
            </w:r>
          </w:p>
        </w:tc>
      </w:tr>
      <w:tr w:rsidR="002F7454" w:rsidRPr="00EB04FE" w14:paraId="4C5C4255" w14:textId="77777777" w:rsidTr="007D18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727505F4" w14:textId="77777777" w:rsidR="002F7454" w:rsidRPr="00FB36DA" w:rsidRDefault="002F7454" w:rsidP="00E2165D">
            <w:pPr>
              <w:jc w:val="both"/>
              <w:rPr>
                <w:rFonts w:eastAsiaTheme="minorHAnsi"/>
                <w:b w:val="0"/>
                <w:bCs w:val="0"/>
                <w:szCs w:val="24"/>
              </w:rPr>
            </w:pPr>
            <w:r w:rsidRPr="00FB36DA">
              <w:rPr>
                <w:rFonts w:eastAsiaTheme="minorHAnsi"/>
                <w:b w:val="0"/>
                <w:bCs w:val="0"/>
                <w:szCs w:val="24"/>
              </w:rPr>
              <w:t>2021</w:t>
            </w:r>
          </w:p>
        </w:tc>
        <w:tc>
          <w:tcPr>
            <w:tcW w:w="1061" w:type="dxa"/>
          </w:tcPr>
          <w:p w14:paraId="0E725B2D" w14:textId="77777777" w:rsidR="002F7454" w:rsidRPr="0022797D"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FB36DA">
              <w:rPr>
                <w:rFonts w:cs="Times New Roman"/>
                <w:szCs w:val="24"/>
              </w:rPr>
              <w:t>1</w:t>
            </w:r>
            <w:r w:rsidRPr="0022797D">
              <w:rPr>
                <w:rFonts w:cs="Times New Roman"/>
                <w:szCs w:val="24"/>
              </w:rPr>
              <w:t>6</w:t>
            </w:r>
          </w:p>
        </w:tc>
        <w:tc>
          <w:tcPr>
            <w:tcW w:w="1510" w:type="dxa"/>
            <w:gridSpan w:val="2"/>
          </w:tcPr>
          <w:p w14:paraId="542098CD" w14:textId="77777777" w:rsidR="002F7454" w:rsidRPr="008B3DCF"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93142A">
              <w:rPr>
                <w:rFonts w:cs="Times New Roman"/>
                <w:szCs w:val="24"/>
              </w:rPr>
              <w:t>7</w:t>
            </w:r>
          </w:p>
          <w:p w14:paraId="0192C6F2" w14:textId="77777777" w:rsidR="002F7454" w:rsidRPr="008B3DCF"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p>
        </w:tc>
        <w:tc>
          <w:tcPr>
            <w:tcW w:w="1096" w:type="dxa"/>
          </w:tcPr>
          <w:p w14:paraId="76E6D68D" w14:textId="77777777" w:rsidR="002F7454" w:rsidRPr="00ED6C63"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2223C">
              <w:rPr>
                <w:rFonts w:cs="Times New Roman"/>
                <w:szCs w:val="24"/>
              </w:rPr>
              <w:t>0</w:t>
            </w:r>
          </w:p>
        </w:tc>
        <w:tc>
          <w:tcPr>
            <w:tcW w:w="1482" w:type="dxa"/>
            <w:gridSpan w:val="2"/>
          </w:tcPr>
          <w:p w14:paraId="10C1D89C"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0</w:t>
            </w:r>
          </w:p>
        </w:tc>
        <w:tc>
          <w:tcPr>
            <w:tcW w:w="776" w:type="dxa"/>
          </w:tcPr>
          <w:p w14:paraId="779FA193"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0</w:t>
            </w:r>
          </w:p>
        </w:tc>
        <w:tc>
          <w:tcPr>
            <w:tcW w:w="3499" w:type="dxa"/>
          </w:tcPr>
          <w:p w14:paraId="42067A7D"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Ndjekur rrugën gjyqësore</w:t>
            </w:r>
          </w:p>
          <w:p w14:paraId="0D95F171" w14:textId="77777777" w:rsidR="002F7454" w:rsidRPr="00EB04FE" w:rsidRDefault="002F7454" w:rsidP="00E2165D">
            <w:pPr>
              <w:jc w:val="both"/>
              <w:cnfStyle w:val="000000010000" w:firstRow="0" w:lastRow="0" w:firstColumn="0" w:lastColumn="0" w:oddVBand="0" w:evenVBand="0" w:oddHBand="0" w:evenHBand="1" w:firstRowFirstColumn="0" w:firstRowLastColumn="0" w:lastRowFirstColumn="0" w:lastRowLastColumn="0"/>
              <w:rPr>
                <w:rFonts w:cs="Times New Roman"/>
                <w:szCs w:val="24"/>
              </w:rPr>
            </w:pPr>
            <w:r w:rsidRPr="00EB04FE">
              <w:rPr>
                <w:rFonts w:cs="Times New Roman"/>
                <w:szCs w:val="24"/>
              </w:rPr>
              <w:t>Konsumatori ka ndër vepruar me shoqërinë UK</w:t>
            </w:r>
          </w:p>
        </w:tc>
      </w:tr>
    </w:tbl>
    <w:p w14:paraId="110F5B6E" w14:textId="361C87CC" w:rsidR="002F7454" w:rsidRDefault="002F7454" w:rsidP="00E2165D">
      <w:pPr>
        <w:spacing w:line="240" w:lineRule="auto"/>
        <w:jc w:val="both"/>
        <w:rPr>
          <w:rFonts w:cs="Times New Roman"/>
          <w:szCs w:val="24"/>
        </w:rPr>
      </w:pPr>
      <w:r>
        <w:rPr>
          <w:rFonts w:cs="Times New Roman"/>
          <w:szCs w:val="24"/>
        </w:rPr>
        <w:t>p</w:t>
      </w:r>
      <w:r w:rsidR="00143213" w:rsidRPr="009475CC">
        <w:rPr>
          <w:rFonts w:cs="Times New Roman"/>
          <w:szCs w:val="24"/>
        </w:rPr>
        <w:t>rivat. 90% e ankesave të drejtuara n</w:t>
      </w:r>
      <w:r w:rsidR="007D1824">
        <w:rPr>
          <w:rFonts w:cs="Times New Roman"/>
          <w:szCs w:val="24"/>
        </w:rPr>
        <w:t>ë</w:t>
      </w:r>
      <w:r w:rsidR="00143213" w:rsidRPr="009475CC">
        <w:rPr>
          <w:rFonts w:cs="Times New Roman"/>
          <w:szCs w:val="24"/>
        </w:rPr>
        <w:t xml:space="preserve"> ERRU janë nga konsumatorë familjare. </w:t>
      </w:r>
    </w:p>
    <w:p w14:paraId="28640D8D" w14:textId="0A699F42" w:rsidR="00143213" w:rsidRPr="009475CC" w:rsidRDefault="00143213" w:rsidP="00E2165D">
      <w:pPr>
        <w:spacing w:line="240" w:lineRule="auto"/>
        <w:jc w:val="both"/>
        <w:rPr>
          <w:rFonts w:cs="Times New Roman"/>
          <w:szCs w:val="24"/>
        </w:rPr>
      </w:pPr>
      <w:r w:rsidRPr="009475CC">
        <w:rPr>
          <w:rFonts w:cs="Times New Roman"/>
          <w:szCs w:val="24"/>
        </w:rPr>
        <w:t>Natyra e ankesave të paraqitura pranë ERRU-së në vitet e raportuara në tabelën e mëposhtme ka qenë kryesisht mbi “faturimin aforfe”, “zëvendësimin e shpeshtë të ujëmatësit dhe pa respektuar procedurat nga shoqëria UK”, “mbifaturimi”, “mosnjohjen e detyrimeve nga ana e konsumatorëve”, “problemet me kontratën për shërbime ujësjellës kanalizime”.</w:t>
      </w:r>
    </w:p>
    <w:p w14:paraId="21689E43" w14:textId="77777777" w:rsidR="00143213" w:rsidRPr="009475CC" w:rsidRDefault="00143213" w:rsidP="00623352">
      <w:pPr>
        <w:pStyle w:val="ListParagraph"/>
        <w:numPr>
          <w:ilvl w:val="0"/>
          <w:numId w:val="12"/>
        </w:numPr>
        <w:spacing w:line="240" w:lineRule="auto"/>
        <w:jc w:val="both"/>
        <w:rPr>
          <w:rFonts w:cs="Times New Roman"/>
          <w:iCs/>
          <w:szCs w:val="24"/>
        </w:rPr>
      </w:pPr>
      <w:r w:rsidRPr="009475CC">
        <w:rPr>
          <w:rFonts w:cs="Times New Roman"/>
          <w:iCs/>
          <w:szCs w:val="24"/>
        </w:rPr>
        <w:t xml:space="preserve">Struktura e Zgjidhjes Alternative të Mosmarrëveshjeve </w:t>
      </w:r>
    </w:p>
    <w:p w14:paraId="2D466B32" w14:textId="7302CCED" w:rsidR="00143213" w:rsidRPr="009475CC" w:rsidRDefault="00143213" w:rsidP="00E2165D">
      <w:pPr>
        <w:spacing w:line="240" w:lineRule="auto"/>
        <w:jc w:val="both"/>
        <w:rPr>
          <w:rFonts w:cs="Times New Roman"/>
          <w:szCs w:val="24"/>
        </w:rPr>
      </w:pPr>
      <w:r w:rsidRPr="009475CC">
        <w:rPr>
          <w:rFonts w:cs="Times New Roman"/>
          <w:szCs w:val="24"/>
        </w:rPr>
        <w:t>Në zbatim të këtij ligji në vitin 2021 është krijuar brenda strukturës së ERRU-së struktura përgjegjëse e përberë nga 3 anëtarë (SZAM) dhe është hartuar Rregullorja e brendshme për përcaktimin e procedurës dhe mekanizmave për funksionimin e strukturës përgjegjëse për zgjidhjen alternative të mosmarrëveshjeve</w:t>
      </w:r>
      <w:r w:rsidR="007D1824">
        <w:rPr>
          <w:rFonts w:cs="Times New Roman"/>
          <w:szCs w:val="24"/>
        </w:rPr>
        <w:t xml:space="preserve">. </w:t>
      </w:r>
      <w:r w:rsidRPr="009475CC">
        <w:rPr>
          <w:rFonts w:cs="Times New Roman"/>
          <w:szCs w:val="24"/>
        </w:rPr>
        <w:t>Rreth 30% e ankesave të konsumatorëve kan</w:t>
      </w:r>
      <w:r w:rsidR="007D1824">
        <w:rPr>
          <w:rFonts w:cs="Times New Roman"/>
          <w:szCs w:val="24"/>
        </w:rPr>
        <w:t>ë</w:t>
      </w:r>
      <w:r w:rsidRPr="009475CC">
        <w:rPr>
          <w:rFonts w:cs="Times New Roman"/>
          <w:szCs w:val="24"/>
        </w:rPr>
        <w:t xml:space="preserve"> gjetur një zgjidhje t</w:t>
      </w:r>
      <w:r w:rsidR="007D1824">
        <w:rPr>
          <w:rFonts w:cs="Times New Roman"/>
          <w:szCs w:val="24"/>
        </w:rPr>
        <w:t>ë</w:t>
      </w:r>
      <w:r w:rsidRPr="009475CC">
        <w:rPr>
          <w:rFonts w:cs="Times New Roman"/>
          <w:szCs w:val="24"/>
        </w:rPr>
        <w:t xml:space="preserve"> kënaqshme për konsumatorët me ndërmjetësimin e rregullatorit. Pjesa tjetër e ankesave kan</w:t>
      </w:r>
      <w:r w:rsidR="007D1824">
        <w:rPr>
          <w:rFonts w:cs="Times New Roman"/>
          <w:szCs w:val="24"/>
        </w:rPr>
        <w:t>ë</w:t>
      </w:r>
      <w:r w:rsidRPr="009475CC">
        <w:rPr>
          <w:rFonts w:cs="Times New Roman"/>
          <w:szCs w:val="24"/>
        </w:rPr>
        <w:t xml:space="preserve"> ndjekur rrugën gjyqësore për zgjidhjen e ankesës se tyre, kryesisht ato me natyre “Mbifaturimi” apo “Faturimi Aforfe” ose kan</w:t>
      </w:r>
      <w:r w:rsidR="007D1824">
        <w:rPr>
          <w:rFonts w:cs="Times New Roman"/>
          <w:szCs w:val="24"/>
        </w:rPr>
        <w:t>ë</w:t>
      </w:r>
      <w:r w:rsidRPr="009475CC">
        <w:rPr>
          <w:rFonts w:cs="Times New Roman"/>
          <w:szCs w:val="24"/>
        </w:rPr>
        <w:t xml:space="preserve"> vijuar me zgjidhjen e ankesës ku secila palë ka përmbushur detyrimet sipas kontratës se shërbimit.</w:t>
      </w:r>
    </w:p>
    <w:p w14:paraId="0AAE4E86" w14:textId="77777777" w:rsidR="00195872" w:rsidRPr="009475CC" w:rsidRDefault="00195872" w:rsidP="009475CC">
      <w:pPr>
        <w:spacing w:after="0" w:line="240" w:lineRule="auto"/>
        <w:jc w:val="both"/>
        <w:rPr>
          <w:rFonts w:cs="Times New Roman"/>
          <w:bCs/>
          <w:i/>
          <w:szCs w:val="24"/>
        </w:rPr>
      </w:pPr>
      <w:r w:rsidRPr="009475CC">
        <w:rPr>
          <w:rFonts w:cs="Times New Roman"/>
          <w:bCs/>
          <w:i/>
          <w:szCs w:val="24"/>
        </w:rPr>
        <w:lastRenderedPageBreak/>
        <w:t>Raporti i Monitorimit për Ankesat e konsumatorëve ndaj Shoqërive UK</w:t>
      </w:r>
    </w:p>
    <w:p w14:paraId="71955EDA" w14:textId="01CC20E8" w:rsidR="007F1485" w:rsidRPr="00003497" w:rsidRDefault="00195872" w:rsidP="009475CC">
      <w:pPr>
        <w:spacing w:after="0" w:line="240" w:lineRule="auto"/>
        <w:jc w:val="both"/>
        <w:rPr>
          <w:rFonts w:cs="Times New Roman"/>
          <w:sz w:val="28"/>
          <w:szCs w:val="28"/>
        </w:rPr>
      </w:pPr>
      <w:r w:rsidRPr="009475CC">
        <w:rPr>
          <w:rFonts w:cs="Times New Roman"/>
          <w:szCs w:val="24"/>
        </w:rPr>
        <w:t>Hartimi i Raportit të Monitorimit për Ankesat e konsumatorëve ndaj Shoqërive UK si praktikë monitorimi me qëllimin kryesor mbrojtjen e konsumatorit në këndvështrimin e së drejtës së tij për t’u ankuar nëpërmjet një procedure korrekte ligjore dhe që trajtimi i këtyre ankesave të gjejë një zgjidhje praktike dhe sa më të drejtë nga ana e shoqërive UK. Përgjatë viteve 2020 – 2022 janë zhvilluar 3 monitorime n</w:t>
      </w:r>
      <w:r w:rsidR="007D1824">
        <w:rPr>
          <w:rFonts w:cs="Times New Roman"/>
          <w:szCs w:val="24"/>
        </w:rPr>
        <w:t>ë</w:t>
      </w:r>
      <w:r w:rsidRPr="009475CC">
        <w:rPr>
          <w:rFonts w:cs="Times New Roman"/>
          <w:szCs w:val="24"/>
        </w:rPr>
        <w:t xml:space="preserve"> shoqëritë me numrin m</w:t>
      </w:r>
      <w:r w:rsidR="007D1824">
        <w:rPr>
          <w:rFonts w:cs="Times New Roman"/>
          <w:szCs w:val="24"/>
        </w:rPr>
        <w:t>ë</w:t>
      </w:r>
      <w:r w:rsidRPr="009475CC">
        <w:rPr>
          <w:rFonts w:cs="Times New Roman"/>
          <w:szCs w:val="24"/>
        </w:rPr>
        <w:t xml:space="preserve"> t</w:t>
      </w:r>
      <w:r w:rsidR="007D1824">
        <w:rPr>
          <w:rFonts w:cs="Times New Roman"/>
          <w:szCs w:val="24"/>
        </w:rPr>
        <w:t>ë</w:t>
      </w:r>
      <w:r w:rsidRPr="009475CC">
        <w:rPr>
          <w:rFonts w:cs="Times New Roman"/>
          <w:szCs w:val="24"/>
        </w:rPr>
        <w:t xml:space="preserve"> madh t</w:t>
      </w:r>
      <w:r w:rsidR="007D1824">
        <w:rPr>
          <w:rFonts w:cs="Times New Roman"/>
          <w:szCs w:val="24"/>
        </w:rPr>
        <w:t>ë</w:t>
      </w:r>
      <w:r w:rsidRPr="009475CC">
        <w:rPr>
          <w:rFonts w:cs="Times New Roman"/>
          <w:szCs w:val="24"/>
        </w:rPr>
        <w:t xml:space="preserve"> klientëve UK Tiran</w:t>
      </w:r>
      <w:r w:rsidR="007D1824">
        <w:rPr>
          <w:rFonts w:cs="Times New Roman"/>
          <w:szCs w:val="24"/>
        </w:rPr>
        <w:t>ë</w:t>
      </w:r>
      <w:r w:rsidRPr="009475CC">
        <w:rPr>
          <w:rFonts w:cs="Times New Roman"/>
          <w:szCs w:val="24"/>
        </w:rPr>
        <w:t>, UK Durrës dhe UK Fier ku raportet e monitorimit kan</w:t>
      </w:r>
      <w:r w:rsidR="007D1824">
        <w:rPr>
          <w:rFonts w:cs="Times New Roman"/>
          <w:szCs w:val="24"/>
        </w:rPr>
        <w:t>ë</w:t>
      </w:r>
      <w:r w:rsidRPr="009475CC">
        <w:rPr>
          <w:rFonts w:cs="Times New Roman"/>
          <w:szCs w:val="24"/>
        </w:rPr>
        <w:t xml:space="preserve"> evidentuar gjetjet dhe përmbajnë rekomandime konkrete në lidhje me përmirësimin e punës së shoqërive UK në trajtimin e ankesave të konsumatorëve. Realizimi i këtyre rekomandimeve ë</w:t>
      </w:r>
      <w:r w:rsidR="007F1485">
        <w:rPr>
          <w:rFonts w:cs="Times New Roman"/>
          <w:szCs w:val="24"/>
        </w:rPr>
        <w:t>shtë</w:t>
      </w:r>
      <w:r w:rsidRPr="009475CC">
        <w:rPr>
          <w:rFonts w:cs="Times New Roman"/>
          <w:szCs w:val="24"/>
        </w:rPr>
        <w:t xml:space="preserve"> sërish subjekt monitorimi. </w:t>
      </w:r>
    </w:p>
    <w:p w14:paraId="708EFAB0" w14:textId="19FBCA9D" w:rsidR="007F1485" w:rsidRPr="00003497" w:rsidRDefault="007F1485" w:rsidP="00623352">
      <w:pPr>
        <w:pStyle w:val="Heading5"/>
        <w:rPr>
          <w:rFonts w:eastAsia="MS Mincho"/>
        </w:rPr>
      </w:pPr>
      <w:bookmarkStart w:id="81" w:name="_Toc132277342"/>
      <w:bookmarkStart w:id="82" w:name="_Hlk121693963"/>
      <w:r w:rsidRPr="00003497">
        <w:rPr>
          <w:rFonts w:eastAsia="MS Mincho"/>
        </w:rPr>
        <w:t>Autoriteti i Komunikimeve Elektronike dhe Postare</w:t>
      </w:r>
      <w:bookmarkEnd w:id="81"/>
    </w:p>
    <w:bookmarkEnd w:id="82"/>
    <w:p w14:paraId="38342ED8" w14:textId="13F2A3F3"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Rrjetet dhe shërbimet e komunikimeve elektronike të ofruara nga rrjete celulare dhe fikse gjatë viteve të fundit kanë vijuar të jenë mbështetës të rëndësishëm të lehtësimit të komunikimit ndërmjet konsumatorëve si dhe përdorimit prej tyre të platformave elektronike online që mundësojnë ofrimin e shërbimeve të ekonomisë digjitale si</w:t>
      </w:r>
      <w:r w:rsidR="00003497">
        <w:rPr>
          <w:rFonts w:eastAsia="MS Mincho" w:cs="Times New Roman"/>
          <w:iCs/>
          <w:szCs w:val="24"/>
          <w:lang w:val="en-US"/>
        </w:rPr>
        <w:t>:</w:t>
      </w:r>
      <w:r w:rsidRPr="00F32E3B">
        <w:rPr>
          <w:rFonts w:eastAsia="MS Mincho" w:cs="Times New Roman"/>
          <w:iCs/>
          <w:szCs w:val="24"/>
          <w:lang w:val="en-US"/>
        </w:rPr>
        <w:t xml:space="preserve"> tregtia elektronike, shërbime e-qeverisja, edukimi etj. </w:t>
      </w:r>
    </w:p>
    <w:p w14:paraId="44F5E684" w14:textId="383D161B"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N</w:t>
      </w:r>
      <w:r w:rsidR="0075193F">
        <w:rPr>
          <w:rFonts w:eastAsia="MS Mincho" w:cs="Times New Roman"/>
          <w:iCs/>
          <w:szCs w:val="24"/>
          <w:lang w:val="en-US"/>
        </w:rPr>
        <w:t>ë</w:t>
      </w:r>
      <w:r w:rsidRPr="00F32E3B">
        <w:rPr>
          <w:rFonts w:eastAsia="MS Mincho" w:cs="Times New Roman"/>
          <w:iCs/>
          <w:szCs w:val="24"/>
          <w:lang w:val="en-US"/>
        </w:rPr>
        <w:t xml:space="preserve"> fund të vitit 2021, numri total i pajtimtarëve aktivë (përdorim të shërbimeve gjatë 3 muajve të fundit) të shërbimeve nga rrjete celulare arriti në 2.6 milionë, ku 2 milionë prej tyre janë përdorues aktivë të internetit nga rrjet</w:t>
      </w:r>
      <w:r w:rsidR="0075193F">
        <w:rPr>
          <w:rFonts w:eastAsia="MS Mincho" w:cs="Times New Roman"/>
          <w:iCs/>
          <w:szCs w:val="24"/>
          <w:lang w:val="en-US"/>
        </w:rPr>
        <w:t>i</w:t>
      </w:r>
      <w:r w:rsidRPr="00F32E3B">
        <w:rPr>
          <w:rFonts w:eastAsia="MS Mincho" w:cs="Times New Roman"/>
          <w:iCs/>
          <w:szCs w:val="24"/>
          <w:lang w:val="en-US"/>
        </w:rPr>
        <w:t xml:space="preserve"> celular. Pavarësisht terrenit malor, Shqipëria ka mbulim shumë të mirë me rrjete celulare 2G/3G/4G. Mbulimi me rrjet GSM apo 2G që mundëson akses në rrjet publik telefonik dhe përdorim interneti funksional, në fund të vitit 2021 rezultoi në 99.86% të popullsisë dhe në 96.7% të territorit. Zhvillime pozitive mjaft të rëndësishme ka pasur përmirësimi i mbulimit me rrjet të teknologjisë LTE (4G), ku në vitin 2021 mbulimi i territorit të Shqipërisë arriti në 95.9%, dhe mbulimi i popullsisë në 98.9%, krahasuar me 70% në vitin 2017. Përmirësimi i ndjeshëm në mbulimin me rrjet 4G ka sjellë njëkohësisht rritje të ndjeshme të shpejtësisë së shërbimit të internetit celular si dhe të përdorimit të të dhënave, ku në vitin 2021 një përdorues celular konsumoi mesatarisht rreth 6.4 GB të dhëna në muaj apo 3 herë më shumë se në vitin 2017 (2.1 GB).</w:t>
      </w:r>
    </w:p>
    <w:p w14:paraId="28992BD3" w14:textId="08820C05"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Megjithëse historikisht Shqipëria ka pasur një mbulim shumë të kufizuar me rrjete fikse telefonike dhe më pas internet, kryesisht në zona urbane, rritja e kërkesës për akses në internet ka ndikuar në rritjen e ndjeshme të investimeve dhe mbulimit me rrjete fikse broadband në periudhën 2017-</w:t>
      </w:r>
      <w:r w:rsidR="00003497">
        <w:rPr>
          <w:rFonts w:eastAsia="MS Mincho" w:cs="Times New Roman"/>
          <w:iCs/>
          <w:szCs w:val="24"/>
          <w:lang w:val="en-US"/>
        </w:rPr>
        <w:t>20</w:t>
      </w:r>
      <w:r w:rsidRPr="00F32E3B">
        <w:rPr>
          <w:rFonts w:eastAsia="MS Mincho" w:cs="Times New Roman"/>
          <w:iCs/>
          <w:szCs w:val="24"/>
          <w:lang w:val="en-US"/>
        </w:rPr>
        <w:t xml:space="preserve">21. Numri pajtimtarëve me akses broadband fiks në fund të vitit 2021 arriti në 560 mijë, që përbën një rritje me 85% krahasuar me vitin 2017. </w:t>
      </w:r>
    </w:p>
    <w:p w14:paraId="1732F746" w14:textId="549B89AF"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 xml:space="preserve">Një ndër ndryshimet kryesore në shërbimet postare është zhvendosja nga komunikimi tradicional i bazuar në letër drejt komunikimeve me mjete elektronike, gjë e cila ka çuar në rënie të konsiderueshme </w:t>
      </w:r>
      <w:r w:rsidR="00003497">
        <w:rPr>
          <w:rFonts w:eastAsia="MS Mincho" w:cs="Times New Roman"/>
          <w:iCs/>
          <w:szCs w:val="24"/>
          <w:lang w:val="en-US"/>
        </w:rPr>
        <w:t xml:space="preserve">të </w:t>
      </w:r>
      <w:r w:rsidRPr="00F32E3B">
        <w:rPr>
          <w:rFonts w:eastAsia="MS Mincho" w:cs="Times New Roman"/>
          <w:iCs/>
          <w:szCs w:val="24"/>
          <w:lang w:val="en-US"/>
        </w:rPr>
        <w:t>sasisë së objekteve postare. Në të njëjtën kohë, digjitalizimi ka nxitur rritjen e sasisë së pakove postare për shkak të rritjes së tregtisë elektronike (e-commerce).</w:t>
      </w:r>
    </w:p>
    <w:p w14:paraId="1945060F" w14:textId="6DFDE192"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 xml:space="preserve">Pas një periudhe rënie me ritme të moderuara të numrit të objekteve postare në dy vitet e fundit, për shkak edhe të pandemisë Covid-19, në vitin 2021 është vërejtur një rritje e sasisë së pakove postare. Numri total i objekteve postare në Shqipëri gjatë vitit 2021 ishte rreth 27.2 milionë, një rritje me 9.8% krahasuar me vitin 2020 dhe me 9% në krahasim me vitin 2017. </w:t>
      </w:r>
    </w:p>
    <w:p w14:paraId="080627D2" w14:textId="6EF3EA84"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 xml:space="preserve">Në periudhën 2017-2021, AKEP dhe MIE kanë qenë pjesë e procesit të bashkëpunimit rajonal të </w:t>
      </w:r>
      <w:bookmarkStart w:id="83" w:name="_Hlk121694023"/>
      <w:r w:rsidRPr="00F32E3B">
        <w:rPr>
          <w:rFonts w:eastAsia="MS Mincho" w:cs="Times New Roman"/>
          <w:iCs/>
          <w:szCs w:val="24"/>
          <w:lang w:val="en-US"/>
        </w:rPr>
        <w:t>Ballkanit Perëndimor (në vijim BP</w:t>
      </w:r>
      <w:bookmarkEnd w:id="83"/>
      <w:r w:rsidRPr="00F32E3B">
        <w:rPr>
          <w:rFonts w:eastAsia="MS Mincho" w:cs="Times New Roman"/>
          <w:iCs/>
          <w:szCs w:val="24"/>
          <w:lang w:val="en-US"/>
        </w:rPr>
        <w:t xml:space="preserve">) për reduktimin dhe heqjen e tarifave roaming në vendet e BP-së. Falë këtij procesi bashkëpunimi, të asistuar nga KE dhe RCC, ministritë përgjegjëse për komunikimet elektronike të gjashtë vendeve të Ballkanit Perëndimor (Shqipëria, Bosnja </w:t>
      </w:r>
      <w:r w:rsidRPr="00F32E3B">
        <w:rPr>
          <w:rFonts w:eastAsia="MS Mincho" w:cs="Times New Roman"/>
          <w:iCs/>
          <w:szCs w:val="24"/>
          <w:lang w:val="en-US"/>
        </w:rPr>
        <w:lastRenderedPageBreak/>
        <w:t xml:space="preserve">dhe Hercegovina, Kosova, Maqedonia e Veriut, Mali i Zi, dhe Serbia) nënshkruan më 4 prill 2019 “Marrëveshjen mbi reduktimin e çmimeve të shërbimeve roaming në rrjetet publike të komunikimit celular në rajonin e Ballkanit Perëndimor”. </w:t>
      </w:r>
    </w:p>
    <w:p w14:paraId="6F3269DE" w14:textId="5CA52ED8"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Në zbatim të kësaj marrëveshje, duke filluar nga data 1.07.2021, të gjithë pajtimtarët (konsumatorë dhe biznese</w:t>
      </w:r>
      <w:r w:rsidR="0075193F">
        <w:rPr>
          <w:rFonts w:eastAsia="MS Mincho" w:cs="Times New Roman"/>
          <w:iCs/>
          <w:szCs w:val="24"/>
          <w:lang w:val="en-US"/>
        </w:rPr>
        <w:t>)</w:t>
      </w:r>
      <w:r w:rsidRPr="00F32E3B">
        <w:rPr>
          <w:rFonts w:eastAsia="MS Mincho" w:cs="Times New Roman"/>
          <w:iCs/>
          <w:szCs w:val="24"/>
          <w:lang w:val="en-US"/>
        </w:rPr>
        <w:t xml:space="preserve"> e rrjeteve celularë të RSH që udhëtojnë në vendet e tjera të Ballkanit Perëndimor (Kosovë, Bosnjë-Hercegovinë, Mali i Zi, Maqedonia e Veriut dhe Serbi) gëzojnë të drejtën e përdorimit të të gjitha shërbimeve celulare roaming të rregulluara në këto vende të BP sikundër të ishin në Shqipëri, pra pa tarifa/shpenzime shtesë për roaming (</w:t>
      </w:r>
      <w:bookmarkStart w:id="84" w:name="_Hlk121694067"/>
      <w:r w:rsidRPr="00F32E3B">
        <w:rPr>
          <w:rFonts w:eastAsia="MS Mincho" w:cs="Times New Roman"/>
          <w:iCs/>
          <w:szCs w:val="24"/>
          <w:lang w:val="en-US"/>
        </w:rPr>
        <w:t>RLAH-Roam Like At Home</w:t>
      </w:r>
      <w:bookmarkEnd w:id="84"/>
      <w:r w:rsidRPr="00F32E3B">
        <w:rPr>
          <w:rFonts w:eastAsia="MS Mincho" w:cs="Times New Roman"/>
          <w:iCs/>
          <w:szCs w:val="24"/>
          <w:lang w:val="en-US"/>
        </w:rPr>
        <w:t>). Implementimi me sukses i RLAH me BP në Shqipëri duke filluar nga data 1.07.202</w:t>
      </w:r>
      <w:r w:rsidR="00003497">
        <w:rPr>
          <w:rFonts w:eastAsia="MS Mincho" w:cs="Times New Roman"/>
          <w:iCs/>
          <w:szCs w:val="24"/>
          <w:lang w:val="en-US"/>
        </w:rPr>
        <w:t>1</w:t>
      </w:r>
      <w:r w:rsidRPr="00F32E3B">
        <w:rPr>
          <w:rFonts w:eastAsia="MS Mincho" w:cs="Times New Roman"/>
          <w:iCs/>
          <w:szCs w:val="24"/>
          <w:lang w:val="en-US"/>
        </w:rPr>
        <w:t xml:space="preserve"> përbën një nga arritjet më të rëndësishme jo vetëm në kuadër të bashkëpunimit rajonal dhe me KE, por sidomos për përfitimet e qytetarëve të RSH në përdorimin e shërbimeve celulare. Një ndër prioritet kryesore të punës së AKEP në vitin 2021 ka qenë dhe marrja e masave për përfshirjen dhe integrimin shoqëror të personave me aftësi të kufizuar në aksesin dhe përdorimin e shërbimeve të komunikimeve elektronike publike. Rregullor</w:t>
      </w:r>
      <w:r w:rsidR="006D1BDF">
        <w:rPr>
          <w:rFonts w:eastAsia="MS Mincho" w:cs="Times New Roman"/>
          <w:iCs/>
          <w:szCs w:val="24"/>
          <w:lang w:val="en-US"/>
        </w:rPr>
        <w:t>ja</w:t>
      </w:r>
      <w:r w:rsidRPr="00F32E3B">
        <w:rPr>
          <w:rFonts w:eastAsia="MS Mincho" w:cs="Times New Roman"/>
          <w:iCs/>
          <w:szCs w:val="24"/>
          <w:lang w:val="en-US"/>
        </w:rPr>
        <w:t xml:space="preserve"> nr.</w:t>
      </w:r>
      <w:r w:rsidR="00255965">
        <w:rPr>
          <w:rFonts w:eastAsia="MS Mincho" w:cs="Times New Roman"/>
          <w:iCs/>
          <w:szCs w:val="24"/>
          <w:lang w:val="en-US"/>
        </w:rPr>
        <w:t xml:space="preserve"> </w:t>
      </w:r>
      <w:r w:rsidRPr="00F32E3B">
        <w:rPr>
          <w:rFonts w:eastAsia="MS Mincho" w:cs="Times New Roman"/>
          <w:iCs/>
          <w:szCs w:val="24"/>
          <w:lang w:val="en-US"/>
        </w:rPr>
        <w:t>49/2021 “Për mbrojtjen e konsumatorëve dhe pajtimtarëve të shërbimeve të komunikimeve elektronike publike” përmban një kapitull të veçantë për masat që duhet të ndërmarrin operatorët për të garantuar akses të barabartë për personat me aftësi të kufizuar në shërbimet e komunikimeve elektronike. Tre operatorët kryesorë të komunikimeve elektronike kanë publikuar në faqet e tyre të internetit seksione të dedikuara për masa të veçanta për personat me aftësi të kufizuar, sipas llojit të aftësisë së kufizuar si kufizime në shikim, dëgjim/artikulim, lëvizje etj., përfshirë ofrimin e paketave të veçanta tarifore me skonto për këto kategori përdoruesish dhe udhëzime lehtësirat e ofruar dhe komunikim të veçantë të kujdesit të klientit të operatorit me këta pajtimtarë.</w:t>
      </w:r>
    </w:p>
    <w:p w14:paraId="4C55D191" w14:textId="1752D0B7" w:rsidR="007F1485" w:rsidRPr="00F32E3B"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Gjatë vitit 2021</w:t>
      </w:r>
      <w:r w:rsidR="00255965">
        <w:rPr>
          <w:rFonts w:eastAsia="MS Mincho" w:cs="Times New Roman"/>
          <w:iCs/>
          <w:szCs w:val="24"/>
          <w:lang w:val="en-US"/>
        </w:rPr>
        <w:t>,</w:t>
      </w:r>
      <w:r w:rsidRPr="00F32E3B">
        <w:rPr>
          <w:rFonts w:eastAsia="MS Mincho" w:cs="Times New Roman"/>
          <w:iCs/>
          <w:szCs w:val="24"/>
          <w:lang w:val="en-US"/>
        </w:rPr>
        <w:t xml:space="preserve"> AKEP ka administruar 2077 ankesa të përdoruesve të shërbimeve të komunikimeve elektronike dhe postare, krahasuar me 90 ankesa në vitin 2017.  Në vitin 2021, 2066 ankesa ishin me objekt përdorimin e shërbimeve të komunikimeve elektronike (prej të cilave 1903 ishin ankesa për portim numri celulare dhe 163 ankesa për pengesa të operatorëve për mbyllje kontrate, çështje të lidhura me faturimin apo pagesat, probleme me cilësinë e shërbimit të aksesit në internet, dhe reduktimi/ndryshimi i kanaleve TV në paketat e integruara të shërbimeve të rrjeteve fikse), 5 ankesa nga përdorues të shërbimeve postare, dhe 3 ankesa jo të lidhura me shërbime të komunikimeve elektronike dhe postare (blerje online dhe telefonata pa kërkesë). </w:t>
      </w:r>
      <w:r w:rsidR="00255965">
        <w:rPr>
          <w:rFonts w:eastAsia="MS Mincho" w:cs="Times New Roman"/>
          <w:iCs/>
          <w:szCs w:val="24"/>
          <w:lang w:val="en-US"/>
        </w:rPr>
        <w:t xml:space="preserve"> </w:t>
      </w:r>
      <w:r w:rsidRPr="00F32E3B">
        <w:rPr>
          <w:rFonts w:eastAsia="MS Mincho" w:cs="Times New Roman"/>
          <w:iCs/>
          <w:szCs w:val="24"/>
          <w:lang w:val="en-US"/>
        </w:rPr>
        <w:t>Në shumicën e rasteve, ankesat e ardhura në AKEP dhe të përcjella për trajtim tek ofruesi i shërbimit elektronik ose postar i ankimuar janë zgjidhur prej ofruesit të shërbimit, dhe përdoruesit kanë qenë dakord me zgjidhjen/sqarimet, duke mos pasur nevojë për kalim në procedurë formale zgjidhje (alternative) mosmarrëveshje apo ZAM nga AKEP. Për të adresuar problematikat në lidhje me refuzimin e bartjes së numrit, AKEP gjatë viteve 2021 dhe 2022 ka kryer dy procese inspektim</w:t>
      </w:r>
      <w:r w:rsidR="006D1BDF">
        <w:rPr>
          <w:rFonts w:eastAsia="MS Mincho" w:cs="Times New Roman"/>
          <w:iCs/>
          <w:szCs w:val="24"/>
          <w:lang w:val="en-US"/>
        </w:rPr>
        <w:t>i</w:t>
      </w:r>
      <w:r w:rsidRPr="00F32E3B">
        <w:rPr>
          <w:rFonts w:eastAsia="MS Mincho" w:cs="Times New Roman"/>
          <w:iCs/>
          <w:szCs w:val="24"/>
          <w:lang w:val="en-US"/>
        </w:rPr>
        <w:t xml:space="preserve"> te të tre operatorëve celularë.  Ndaj tre subjekteve të inspektuar AKPE ka vendosur masa kryesore administrative “gjobë” si dhe dënim administrativ plotësues në formën e rekomandimeve si dhe korrigjim tё shkeljeve të konstatuara brenda një afati kohor të arsyeshëm. Gjithashtu për vitin 2022, AKEP ka planifikuar që të kryejë ndryshime në rregulloren e portabilitetit, me qëllim që të përmirësojë procesin e realizimit të bartjes së numrit nëpërmjet përcaktimeve më të qarta për të adresuar numrin e lartë të refuzimeve të kërkesave për shkak të ID-së dhe detyrimeve kontraktore të pajtimtarit ndaj operatorit dhënës. </w:t>
      </w:r>
    </w:p>
    <w:p w14:paraId="32DDBDA8" w14:textId="77777777" w:rsidR="006D1BDF"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Sfidat e se</w:t>
      </w:r>
      <w:r w:rsidR="00255965">
        <w:rPr>
          <w:rFonts w:eastAsia="MS Mincho" w:cs="Times New Roman"/>
          <w:iCs/>
          <w:szCs w:val="24"/>
          <w:lang w:val="en-US"/>
        </w:rPr>
        <w:t>k</w:t>
      </w:r>
      <w:r w:rsidRPr="00F32E3B">
        <w:rPr>
          <w:rFonts w:eastAsia="MS Mincho" w:cs="Times New Roman"/>
          <w:iCs/>
          <w:szCs w:val="24"/>
          <w:lang w:val="en-US"/>
        </w:rPr>
        <w:t>torit t</w:t>
      </w:r>
      <w:r w:rsidR="00255965">
        <w:rPr>
          <w:rFonts w:eastAsia="MS Mincho" w:cs="Times New Roman"/>
          <w:iCs/>
          <w:szCs w:val="24"/>
          <w:lang w:val="en-US"/>
        </w:rPr>
        <w:t>ë</w:t>
      </w:r>
      <w:r w:rsidRPr="00F32E3B">
        <w:rPr>
          <w:rFonts w:eastAsia="MS Mincho" w:cs="Times New Roman"/>
          <w:iCs/>
          <w:szCs w:val="24"/>
          <w:lang w:val="en-US"/>
        </w:rPr>
        <w:t xml:space="preserve"> komunikimeve elektronike jan</w:t>
      </w:r>
      <w:r w:rsidR="00255965">
        <w:rPr>
          <w:rFonts w:eastAsia="MS Mincho" w:cs="Times New Roman"/>
          <w:iCs/>
          <w:szCs w:val="24"/>
          <w:lang w:val="en-US"/>
        </w:rPr>
        <w:t>ë:</w:t>
      </w:r>
    </w:p>
    <w:p w14:paraId="6AA607FA" w14:textId="77777777" w:rsidR="00603639"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1.</w:t>
      </w:r>
      <w:r w:rsidR="00255965">
        <w:rPr>
          <w:rFonts w:eastAsia="MS Mincho" w:cs="Times New Roman"/>
          <w:iCs/>
          <w:szCs w:val="24"/>
          <w:lang w:val="en-US"/>
        </w:rPr>
        <w:t xml:space="preserve"> </w:t>
      </w:r>
      <w:r w:rsidRPr="00F32E3B">
        <w:rPr>
          <w:rFonts w:eastAsia="MS Mincho" w:cs="Times New Roman"/>
          <w:iCs/>
          <w:szCs w:val="24"/>
          <w:lang w:val="en-US"/>
        </w:rPr>
        <w:t>Pengesat/</w:t>
      </w:r>
      <w:r w:rsidR="00255965">
        <w:rPr>
          <w:rFonts w:eastAsia="MS Mincho" w:cs="Times New Roman"/>
          <w:iCs/>
          <w:szCs w:val="24"/>
          <w:lang w:val="en-US"/>
        </w:rPr>
        <w:t xml:space="preserve"> </w:t>
      </w:r>
      <w:r w:rsidRPr="00F32E3B">
        <w:rPr>
          <w:rFonts w:eastAsia="MS Mincho" w:cs="Times New Roman"/>
          <w:iCs/>
          <w:szCs w:val="24"/>
          <w:lang w:val="en-US"/>
        </w:rPr>
        <w:t>barrierat e ofruesve të rrjeteve dhe/ose shërbimeve të komunikimeve elektronike publike të lidhura me kushtet kontrakore për kohëzgjatjen, rinovimin dhe përfundimin e kontratave të pajtimit, si dhe procedurat për trajtimin e ankesave të konsumatorëve/pajtimtarëve;</w:t>
      </w:r>
    </w:p>
    <w:p w14:paraId="4AAA4DF1" w14:textId="77777777" w:rsidR="00603639"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lastRenderedPageBreak/>
        <w:t>2.</w:t>
      </w:r>
      <w:r w:rsidR="00255965">
        <w:rPr>
          <w:rFonts w:eastAsia="MS Mincho" w:cs="Times New Roman"/>
          <w:iCs/>
          <w:szCs w:val="24"/>
          <w:lang w:val="en-US"/>
        </w:rPr>
        <w:t xml:space="preserve"> </w:t>
      </w:r>
      <w:r w:rsidRPr="00F32E3B">
        <w:rPr>
          <w:rFonts w:eastAsia="MS Mincho" w:cs="Times New Roman"/>
          <w:iCs/>
          <w:szCs w:val="24"/>
          <w:lang w:val="en-US"/>
        </w:rPr>
        <w:t>Pengesat/barrierat e operator</w:t>
      </w:r>
      <w:r w:rsidR="00603639">
        <w:rPr>
          <w:rFonts w:eastAsia="MS Mincho" w:cs="Times New Roman"/>
          <w:iCs/>
          <w:szCs w:val="24"/>
          <w:lang w:val="en-US"/>
        </w:rPr>
        <w:t>ë</w:t>
      </w:r>
      <w:r w:rsidRPr="00F32E3B">
        <w:rPr>
          <w:rFonts w:eastAsia="MS Mincho" w:cs="Times New Roman"/>
          <w:iCs/>
          <w:szCs w:val="24"/>
          <w:lang w:val="en-US"/>
        </w:rPr>
        <w:t>ve të rrjeteve celulare për konsumatorët/pajtimtarët që t</w:t>
      </w:r>
      <w:r w:rsidR="00255965">
        <w:rPr>
          <w:rFonts w:eastAsia="MS Mincho" w:cs="Times New Roman"/>
          <w:iCs/>
          <w:szCs w:val="24"/>
          <w:lang w:val="en-US"/>
        </w:rPr>
        <w:t>ë</w:t>
      </w:r>
      <w:r w:rsidRPr="00F32E3B">
        <w:rPr>
          <w:rFonts w:eastAsia="MS Mincho" w:cs="Times New Roman"/>
          <w:iCs/>
          <w:szCs w:val="24"/>
          <w:lang w:val="en-US"/>
        </w:rPr>
        <w:t xml:space="preserve"> ushtrojnë t</w:t>
      </w:r>
      <w:r w:rsidR="00255965">
        <w:rPr>
          <w:rFonts w:eastAsia="MS Mincho" w:cs="Times New Roman"/>
          <w:iCs/>
          <w:szCs w:val="24"/>
          <w:lang w:val="en-US"/>
        </w:rPr>
        <w:t>ë</w:t>
      </w:r>
      <w:r w:rsidRPr="00F32E3B">
        <w:rPr>
          <w:rFonts w:eastAsia="MS Mincho" w:cs="Times New Roman"/>
          <w:iCs/>
          <w:szCs w:val="24"/>
          <w:lang w:val="en-US"/>
        </w:rPr>
        <w:t xml:space="preserve"> drejtën e tyre t</w:t>
      </w:r>
      <w:r w:rsidR="00255965">
        <w:rPr>
          <w:rFonts w:eastAsia="MS Mincho" w:cs="Times New Roman"/>
          <w:iCs/>
          <w:szCs w:val="24"/>
          <w:lang w:val="en-US"/>
        </w:rPr>
        <w:t>ë</w:t>
      </w:r>
      <w:r w:rsidRPr="00F32E3B">
        <w:rPr>
          <w:rFonts w:eastAsia="MS Mincho" w:cs="Times New Roman"/>
          <w:iCs/>
          <w:szCs w:val="24"/>
          <w:lang w:val="en-US"/>
        </w:rPr>
        <w:t xml:space="preserve"> portimit t</w:t>
      </w:r>
      <w:r w:rsidR="00255965">
        <w:rPr>
          <w:rFonts w:eastAsia="MS Mincho" w:cs="Times New Roman"/>
          <w:iCs/>
          <w:szCs w:val="24"/>
          <w:lang w:val="en-US"/>
        </w:rPr>
        <w:t>ë</w:t>
      </w:r>
      <w:r w:rsidRPr="00F32E3B">
        <w:rPr>
          <w:rFonts w:eastAsia="MS Mincho" w:cs="Times New Roman"/>
          <w:iCs/>
          <w:szCs w:val="24"/>
          <w:lang w:val="en-US"/>
        </w:rPr>
        <w:t xml:space="preserve"> numrit celular sipas afateve dhe procedurave t</w:t>
      </w:r>
      <w:r w:rsidR="00255965">
        <w:rPr>
          <w:rFonts w:eastAsia="MS Mincho" w:cs="Times New Roman"/>
          <w:iCs/>
          <w:szCs w:val="24"/>
          <w:lang w:val="en-US"/>
        </w:rPr>
        <w:t xml:space="preserve">ë </w:t>
      </w:r>
      <w:r w:rsidRPr="00F32E3B">
        <w:rPr>
          <w:rFonts w:eastAsia="MS Mincho" w:cs="Times New Roman"/>
          <w:iCs/>
          <w:szCs w:val="24"/>
          <w:lang w:val="en-US"/>
        </w:rPr>
        <w:t>përcaktuara n</w:t>
      </w:r>
      <w:r w:rsidR="00255965">
        <w:rPr>
          <w:rFonts w:eastAsia="MS Mincho" w:cs="Times New Roman"/>
          <w:iCs/>
          <w:szCs w:val="24"/>
          <w:lang w:val="en-US"/>
        </w:rPr>
        <w:t>ë</w:t>
      </w:r>
      <w:r w:rsidRPr="00F32E3B">
        <w:rPr>
          <w:rFonts w:eastAsia="MS Mincho" w:cs="Times New Roman"/>
          <w:iCs/>
          <w:szCs w:val="24"/>
          <w:lang w:val="en-US"/>
        </w:rPr>
        <w:t xml:space="preserve"> aktet ligjore dhe rregullatore;</w:t>
      </w:r>
      <w:r w:rsidR="00255965">
        <w:rPr>
          <w:rFonts w:eastAsia="MS Mincho" w:cs="Times New Roman"/>
          <w:iCs/>
          <w:szCs w:val="24"/>
          <w:lang w:val="en-US"/>
        </w:rPr>
        <w:t xml:space="preserve"> </w:t>
      </w:r>
    </w:p>
    <w:p w14:paraId="4FC79571" w14:textId="77777777" w:rsidR="00603639" w:rsidRDefault="007F1485" w:rsidP="006F6738">
      <w:pPr>
        <w:spacing w:line="240" w:lineRule="auto"/>
        <w:jc w:val="both"/>
        <w:rPr>
          <w:rFonts w:eastAsia="MS Mincho" w:cs="Times New Roman"/>
          <w:iCs/>
          <w:szCs w:val="24"/>
          <w:lang w:val="en-US"/>
        </w:rPr>
      </w:pPr>
      <w:r w:rsidRPr="00F32E3B">
        <w:rPr>
          <w:rFonts w:eastAsia="MS Mincho" w:cs="Times New Roman"/>
          <w:iCs/>
          <w:szCs w:val="24"/>
          <w:lang w:val="en-US"/>
        </w:rPr>
        <w:t>3.</w:t>
      </w:r>
      <w:r w:rsidR="00255965">
        <w:rPr>
          <w:rFonts w:eastAsia="MS Mincho" w:cs="Times New Roman"/>
          <w:iCs/>
          <w:szCs w:val="24"/>
          <w:lang w:val="en-US"/>
        </w:rPr>
        <w:t xml:space="preserve"> </w:t>
      </w:r>
      <w:r w:rsidRPr="00F32E3B">
        <w:rPr>
          <w:rFonts w:eastAsia="MS Mincho" w:cs="Times New Roman"/>
          <w:iCs/>
          <w:szCs w:val="24"/>
          <w:lang w:val="en-US"/>
        </w:rPr>
        <w:t>Probleme me cilësinë/shpejtësinë e shërbimit të aksesit në internet</w:t>
      </w:r>
      <w:r w:rsidR="00255965">
        <w:rPr>
          <w:rFonts w:eastAsia="MS Mincho" w:cs="Times New Roman"/>
          <w:iCs/>
          <w:szCs w:val="24"/>
          <w:lang w:val="en-US"/>
        </w:rPr>
        <w:t>;</w:t>
      </w:r>
    </w:p>
    <w:p w14:paraId="78E7BC2E" w14:textId="1F0FFF03" w:rsidR="00B86A9F" w:rsidRPr="00603639" w:rsidRDefault="007F1485" w:rsidP="006F6738">
      <w:pPr>
        <w:spacing w:line="240" w:lineRule="auto"/>
        <w:jc w:val="both"/>
        <w:rPr>
          <w:rFonts w:cs="Times New Roman"/>
          <w:sz w:val="28"/>
          <w:szCs w:val="28"/>
        </w:rPr>
      </w:pPr>
      <w:r w:rsidRPr="00F32E3B">
        <w:rPr>
          <w:rFonts w:eastAsia="MS Mincho" w:cs="Times New Roman"/>
          <w:iCs/>
          <w:szCs w:val="24"/>
          <w:lang w:val="en-US"/>
        </w:rPr>
        <w:t>4.</w:t>
      </w:r>
      <w:r w:rsidR="00255965">
        <w:rPr>
          <w:rFonts w:eastAsia="MS Mincho" w:cs="Times New Roman"/>
          <w:iCs/>
          <w:szCs w:val="24"/>
          <w:lang w:val="en-US"/>
        </w:rPr>
        <w:t xml:space="preserve"> </w:t>
      </w:r>
      <w:r w:rsidRPr="00F32E3B">
        <w:rPr>
          <w:rFonts w:eastAsia="MS Mincho" w:cs="Times New Roman"/>
          <w:iCs/>
          <w:szCs w:val="24"/>
          <w:lang w:val="en-US"/>
        </w:rPr>
        <w:t>Problematika e telefonatave t</w:t>
      </w:r>
      <w:r w:rsidR="00255965">
        <w:rPr>
          <w:rFonts w:eastAsia="MS Mincho" w:cs="Times New Roman"/>
          <w:iCs/>
          <w:szCs w:val="24"/>
          <w:lang w:val="en-US"/>
        </w:rPr>
        <w:t>ë</w:t>
      </w:r>
      <w:r w:rsidRPr="00F32E3B">
        <w:rPr>
          <w:rFonts w:eastAsia="MS Mincho" w:cs="Times New Roman"/>
          <w:iCs/>
          <w:szCs w:val="24"/>
          <w:lang w:val="en-US"/>
        </w:rPr>
        <w:t xml:space="preserve"> padëshiruara t</w:t>
      </w:r>
      <w:r w:rsidR="00255965">
        <w:rPr>
          <w:rFonts w:eastAsia="MS Mincho" w:cs="Times New Roman"/>
          <w:iCs/>
          <w:szCs w:val="24"/>
          <w:lang w:val="en-US"/>
        </w:rPr>
        <w:t>ë</w:t>
      </w:r>
      <w:r w:rsidRPr="00F32E3B">
        <w:rPr>
          <w:rFonts w:eastAsia="MS Mincho" w:cs="Times New Roman"/>
          <w:iCs/>
          <w:szCs w:val="24"/>
          <w:lang w:val="en-US"/>
        </w:rPr>
        <w:t xml:space="preserve"> kompanive t</w:t>
      </w:r>
      <w:r w:rsidR="00255965">
        <w:rPr>
          <w:rFonts w:eastAsia="MS Mincho" w:cs="Times New Roman"/>
          <w:iCs/>
          <w:szCs w:val="24"/>
          <w:lang w:val="en-US"/>
        </w:rPr>
        <w:t>ë</w:t>
      </w:r>
      <w:r w:rsidRPr="00F32E3B">
        <w:rPr>
          <w:rFonts w:eastAsia="MS Mincho" w:cs="Times New Roman"/>
          <w:iCs/>
          <w:szCs w:val="24"/>
          <w:lang w:val="en-US"/>
        </w:rPr>
        <w:t xml:space="preserve"> marketingut </w:t>
      </w:r>
      <w:r w:rsidR="00255965">
        <w:rPr>
          <w:rFonts w:eastAsia="MS Mincho" w:cs="Times New Roman"/>
          <w:iCs/>
          <w:szCs w:val="24"/>
          <w:lang w:val="en-US"/>
        </w:rPr>
        <w:t>në</w:t>
      </w:r>
      <w:r w:rsidRPr="00F32E3B">
        <w:rPr>
          <w:rFonts w:eastAsia="MS Mincho" w:cs="Times New Roman"/>
          <w:iCs/>
          <w:szCs w:val="24"/>
          <w:lang w:val="en-US"/>
        </w:rPr>
        <w:t xml:space="preserve"> drejtim t</w:t>
      </w:r>
      <w:r w:rsidR="00255965">
        <w:rPr>
          <w:rFonts w:eastAsia="MS Mincho" w:cs="Times New Roman"/>
          <w:iCs/>
          <w:szCs w:val="24"/>
          <w:lang w:val="en-US"/>
        </w:rPr>
        <w:t>ë</w:t>
      </w:r>
      <w:r w:rsidRPr="00F32E3B">
        <w:rPr>
          <w:rFonts w:eastAsia="MS Mincho" w:cs="Times New Roman"/>
          <w:iCs/>
          <w:szCs w:val="24"/>
          <w:lang w:val="en-US"/>
        </w:rPr>
        <w:t xml:space="preserve"> konsumatorëve.</w:t>
      </w:r>
    </w:p>
    <w:p w14:paraId="648ACDB4" w14:textId="77777777" w:rsidR="001C46F5" w:rsidRDefault="000B1D3A" w:rsidP="00623352">
      <w:pPr>
        <w:pStyle w:val="Heading5"/>
        <w:rPr>
          <w:rFonts w:eastAsia="MS Mincho"/>
        </w:rPr>
      </w:pPr>
      <w:bookmarkStart w:id="85" w:name="_Toc132277343"/>
      <w:bookmarkStart w:id="86" w:name="_Hlk121694280"/>
      <w:r w:rsidRPr="00603639">
        <w:rPr>
          <w:rFonts w:eastAsia="MS Mincho"/>
        </w:rPr>
        <w:t>Autoriteti Mbikëqyrjes Financiare</w:t>
      </w:r>
      <w:bookmarkEnd w:id="85"/>
    </w:p>
    <w:p w14:paraId="7982C5F5" w14:textId="7F210AF4" w:rsidR="001C46F5" w:rsidRPr="001C46F5" w:rsidRDefault="001C46F5" w:rsidP="006F6738">
      <w:pPr>
        <w:spacing w:line="240" w:lineRule="auto"/>
        <w:jc w:val="both"/>
        <w:rPr>
          <w:rFonts w:cs="Times New Roman"/>
          <w:szCs w:val="24"/>
        </w:rPr>
      </w:pPr>
      <w:r w:rsidRPr="001C46F5">
        <w:rPr>
          <w:rFonts w:cs="Times New Roman"/>
          <w:szCs w:val="24"/>
        </w:rPr>
        <w:t>Mbrojtja e konsumatorit dhe investitorit është një drejtim i rëndësishëm ku është fokusuar puna e Autoritetit gjatë këtyre viteve. Ky objektiv kryesor i veprimtarisë rregullatore dhe mbikëqyrëse të Autoritetit u realizua nëpërmjet proceseve të:</w:t>
      </w:r>
    </w:p>
    <w:p w14:paraId="04D8E12E" w14:textId="77777777" w:rsidR="004D24BD" w:rsidRPr="004D24BD" w:rsidRDefault="004D24BD" w:rsidP="00623352">
      <w:pPr>
        <w:pStyle w:val="ListParagraph"/>
        <w:numPr>
          <w:ilvl w:val="0"/>
          <w:numId w:val="54"/>
        </w:numPr>
        <w:spacing w:line="240" w:lineRule="auto"/>
        <w:jc w:val="both"/>
        <w:rPr>
          <w:rFonts w:cs="Times New Roman"/>
          <w:szCs w:val="24"/>
        </w:rPr>
      </w:pPr>
      <w:r w:rsidRPr="004D24BD">
        <w:rPr>
          <w:rFonts w:cs="Times New Roman"/>
          <w:szCs w:val="24"/>
        </w:rPr>
        <w:t>S</w:t>
      </w:r>
      <w:r w:rsidR="001C46F5" w:rsidRPr="004D24BD">
        <w:rPr>
          <w:rFonts w:cs="Times New Roman"/>
          <w:szCs w:val="24"/>
        </w:rPr>
        <w:t xml:space="preserve">hqyrtimit dhe trajtimit të ankesave të konsumatorëve dhe investitorëve; </w:t>
      </w:r>
    </w:p>
    <w:p w14:paraId="5C5B3B07" w14:textId="77777777" w:rsidR="004D24BD" w:rsidRPr="004D24BD" w:rsidRDefault="001C46F5" w:rsidP="00623352">
      <w:pPr>
        <w:pStyle w:val="ListParagraph"/>
        <w:numPr>
          <w:ilvl w:val="0"/>
          <w:numId w:val="54"/>
        </w:numPr>
        <w:spacing w:line="240" w:lineRule="auto"/>
        <w:jc w:val="both"/>
        <w:rPr>
          <w:rFonts w:cs="Times New Roman"/>
          <w:szCs w:val="24"/>
        </w:rPr>
      </w:pPr>
      <w:r w:rsidRPr="004D24BD">
        <w:rPr>
          <w:rFonts w:cs="Times New Roman"/>
          <w:szCs w:val="24"/>
        </w:rPr>
        <w:t xml:space="preserve">Monitorimit të zbatimit të legjislacionit në fuqi lidhur me detyrimin për informim të </w:t>
      </w:r>
      <w:r w:rsidR="004D24BD" w:rsidRPr="004D24BD">
        <w:rPr>
          <w:rFonts w:cs="Times New Roman"/>
          <w:szCs w:val="24"/>
        </w:rPr>
        <w:t xml:space="preserve"> </w:t>
      </w:r>
      <w:r w:rsidRPr="004D24BD">
        <w:rPr>
          <w:rFonts w:cs="Times New Roman"/>
          <w:szCs w:val="24"/>
        </w:rPr>
        <w:t xml:space="preserve">publikut si dhe afatet e trajtimit të kërkesave për dëmshpërblim; </w:t>
      </w:r>
    </w:p>
    <w:p w14:paraId="767FDCB2" w14:textId="5CDE6F28" w:rsidR="001C46F5" w:rsidRPr="004D24BD" w:rsidRDefault="001C46F5" w:rsidP="00623352">
      <w:pPr>
        <w:pStyle w:val="ListParagraph"/>
        <w:numPr>
          <w:ilvl w:val="0"/>
          <w:numId w:val="54"/>
        </w:numPr>
        <w:spacing w:line="240" w:lineRule="auto"/>
        <w:jc w:val="both"/>
        <w:rPr>
          <w:rFonts w:cs="Times New Roman"/>
          <w:szCs w:val="24"/>
        </w:rPr>
      </w:pPr>
      <w:r w:rsidRPr="004D24BD">
        <w:rPr>
          <w:rFonts w:cs="Times New Roman"/>
          <w:szCs w:val="24"/>
        </w:rPr>
        <w:t>Rritjes së edukimit financiar për publikun</w:t>
      </w:r>
      <w:r w:rsidR="00601BFD" w:rsidRPr="004D24BD">
        <w:rPr>
          <w:rFonts w:cs="Times New Roman"/>
          <w:szCs w:val="24"/>
        </w:rPr>
        <w:t>.</w:t>
      </w:r>
    </w:p>
    <w:p w14:paraId="224291AD" w14:textId="77777777" w:rsidR="001C46F5" w:rsidRPr="00A52D91" w:rsidRDefault="001C46F5" w:rsidP="006F6738">
      <w:pPr>
        <w:spacing w:line="240" w:lineRule="auto"/>
        <w:jc w:val="both"/>
        <w:rPr>
          <w:rFonts w:cs="Times New Roman"/>
          <w:szCs w:val="24"/>
        </w:rPr>
      </w:pPr>
      <w:r w:rsidRPr="00A52D91">
        <w:rPr>
          <w:rFonts w:cs="Times New Roman"/>
          <w:szCs w:val="24"/>
        </w:rPr>
        <w:t xml:space="preserve">Autoriteti ka realizuar reformimin e strukturës organizative si një strukturë e posaçme, e dedikuar për mbrojtjen e konsumatorit dhe edukimin financiar të tij. </w:t>
      </w:r>
    </w:p>
    <w:p w14:paraId="6EDB5ACF" w14:textId="77777777" w:rsidR="001C46F5" w:rsidRPr="00D805EC" w:rsidRDefault="001C46F5" w:rsidP="006F6738">
      <w:pPr>
        <w:spacing w:line="240" w:lineRule="auto"/>
        <w:jc w:val="both"/>
        <w:rPr>
          <w:rFonts w:cs="Times New Roman"/>
          <w:szCs w:val="24"/>
        </w:rPr>
      </w:pPr>
      <w:r w:rsidRPr="00D805EC">
        <w:rPr>
          <w:rFonts w:cs="Times New Roman"/>
          <w:szCs w:val="24"/>
        </w:rPr>
        <w:t xml:space="preserve">AMF ka në funksionim mekanizma komunikimi me qytetarët të cilat mundësojnë asistencën ndaj tyre jo vetëm nëpërmjet trajtimit formal të ankesave e kërkesave, por edhe duke krijuar mundësinë që konsumatori të vihet në kontakt lehtësisht dhe në çdo kohë me AMF-në. Për këtë Autoriteti ka në dispozicion të publikut numrin e telefonit, (Tel: +355(0)42257560, </w:t>
      </w:r>
      <w:r w:rsidRPr="00D805EC">
        <w:rPr>
          <w:rFonts w:cs="Times New Roman"/>
          <w:spacing w:val="-11"/>
          <w:szCs w:val="24"/>
          <w:shd w:val="clear" w:color="auto" w:fill="FFFFFF"/>
        </w:rPr>
        <w:t xml:space="preserve">0800 6969, </w:t>
      </w:r>
      <w:r w:rsidRPr="00D805EC">
        <w:rPr>
          <w:rFonts w:cs="Times New Roman"/>
          <w:szCs w:val="24"/>
        </w:rPr>
        <w:t>Celular +355 694060671) dhe adresë email-i konsumatori@amf.gov.al, të cilat janë të aksesueshme në faqen zyrtare online të Autoritetit. Gjithashtu faqja zyrtare online e Autoritetit ofron informacion të vazhdueshëm mbi zhvillimin e tregjeve nën mbikëqyrje, me bazën ligjore të përditësuar, njoftimet për veprimtarinë vendimmarrëse të Bordit të Autoritetit etj. Në rubrika të veçanta të saj pasqyrohen raporte periodike statistikore, informacione edukuese për konsumatorin, si edhe njoftime për zhvillimet e reja në vendet e rajonit për këto tregje, nëpërmjet publikimeve të përmuajshme të lajmeve. Faqja online pasqyron informacion për subjektet që veprojnë në tregjet e mbikëqyrura duke dhënë formën e organizmit dhe stafin drejtues ekzekutiv.</w:t>
      </w:r>
    </w:p>
    <w:p w14:paraId="7037A38B" w14:textId="77777777" w:rsidR="001C46F5" w:rsidRPr="00AE549E" w:rsidRDefault="001C46F5" w:rsidP="006F6738">
      <w:pPr>
        <w:spacing w:line="240" w:lineRule="auto"/>
        <w:jc w:val="both"/>
        <w:rPr>
          <w:rFonts w:cs="Times New Roman"/>
          <w:szCs w:val="24"/>
        </w:rPr>
      </w:pPr>
      <w:r w:rsidRPr="00D805EC">
        <w:rPr>
          <w:rFonts w:cs="Times New Roman"/>
          <w:szCs w:val="24"/>
        </w:rPr>
        <w:t xml:space="preserve">Për të rritur mundësinë e informimit të publikut, AMF ka përgatitur dhe publikuar materiale informuese, të cilat renditen: </w:t>
      </w:r>
    </w:p>
    <w:p w14:paraId="4FB5B83B" w14:textId="77777777" w:rsidR="006403B4" w:rsidRDefault="001C46F5" w:rsidP="00623352">
      <w:pPr>
        <w:pStyle w:val="ListParagraph"/>
        <w:numPr>
          <w:ilvl w:val="0"/>
          <w:numId w:val="12"/>
        </w:numPr>
        <w:spacing w:line="240" w:lineRule="auto"/>
        <w:ind w:left="360"/>
        <w:jc w:val="both"/>
        <w:rPr>
          <w:rFonts w:cs="Times New Roman"/>
          <w:szCs w:val="24"/>
        </w:rPr>
      </w:pPr>
      <w:r w:rsidRPr="006403B4">
        <w:rPr>
          <w:rFonts w:cs="Times New Roman"/>
          <w:szCs w:val="24"/>
        </w:rPr>
        <w:t>Hartim i broshurave informuese (Sigurimi i Pronës, Sigurimi i Shëndetit, Tregu i</w:t>
      </w:r>
    </w:p>
    <w:p w14:paraId="12554D6F" w14:textId="77777777" w:rsidR="006403B4" w:rsidRDefault="001C46F5" w:rsidP="004D24BD">
      <w:pPr>
        <w:spacing w:line="240" w:lineRule="auto"/>
        <w:jc w:val="both"/>
        <w:rPr>
          <w:rFonts w:cs="Times New Roman"/>
          <w:szCs w:val="24"/>
        </w:rPr>
      </w:pPr>
      <w:r w:rsidRPr="006403B4">
        <w:rPr>
          <w:rFonts w:cs="Times New Roman"/>
          <w:szCs w:val="24"/>
        </w:rPr>
        <w:t xml:space="preserve">Sigurimeve); </w:t>
      </w:r>
    </w:p>
    <w:p w14:paraId="29EF52A9" w14:textId="77777777" w:rsidR="006403B4" w:rsidRDefault="001C46F5" w:rsidP="00623352">
      <w:pPr>
        <w:pStyle w:val="ListParagraph"/>
        <w:numPr>
          <w:ilvl w:val="0"/>
          <w:numId w:val="12"/>
        </w:numPr>
        <w:spacing w:line="240" w:lineRule="auto"/>
        <w:ind w:left="360"/>
        <w:jc w:val="both"/>
        <w:rPr>
          <w:rFonts w:cs="Times New Roman"/>
          <w:szCs w:val="24"/>
        </w:rPr>
      </w:pPr>
      <w:r w:rsidRPr="006403B4">
        <w:rPr>
          <w:rFonts w:cs="Times New Roman"/>
          <w:szCs w:val="24"/>
        </w:rPr>
        <w:t xml:space="preserve">Materiale informative të publikuara në faqen e Autoritetit (Tregu i sigurimeve </w:t>
      </w:r>
    </w:p>
    <w:p w14:paraId="45F5BA89" w14:textId="7F7138FB" w:rsidR="001C46F5" w:rsidRPr="006403B4" w:rsidRDefault="001C46F5" w:rsidP="004D24BD">
      <w:pPr>
        <w:spacing w:line="240" w:lineRule="auto"/>
        <w:jc w:val="both"/>
        <w:rPr>
          <w:rFonts w:cs="Times New Roman"/>
          <w:szCs w:val="24"/>
        </w:rPr>
      </w:pPr>
      <w:r w:rsidRPr="006403B4">
        <w:rPr>
          <w:rFonts w:cs="Times New Roman"/>
          <w:szCs w:val="24"/>
        </w:rPr>
        <w:t>“Pyetjet   më të shpeshta”</w:t>
      </w:r>
      <w:r w:rsidR="006403B4">
        <w:rPr>
          <w:rFonts w:cs="Times New Roman"/>
          <w:szCs w:val="24"/>
        </w:rPr>
        <w:t>.</w:t>
      </w:r>
    </w:p>
    <w:p w14:paraId="7F01F687" w14:textId="35A3E6DA" w:rsidR="001C46F5" w:rsidRDefault="001C46F5" w:rsidP="006F6738">
      <w:pPr>
        <w:spacing w:line="240" w:lineRule="auto"/>
        <w:jc w:val="both"/>
        <w:rPr>
          <w:rFonts w:cs="Times New Roman"/>
          <w:szCs w:val="24"/>
        </w:rPr>
      </w:pPr>
      <w:r w:rsidRPr="00A52D91">
        <w:rPr>
          <w:rFonts w:cs="Times New Roman"/>
          <w:szCs w:val="24"/>
        </w:rPr>
        <w:t>Shqyrtimi dhe trajtimi i ankesave të konsumatorëve dhe investitorëve gjatë 4 viteve të fundit ka rezultuar si në pasqyrën e mëposhtme:</w:t>
      </w:r>
    </w:p>
    <w:p w14:paraId="1955202C" w14:textId="77777777" w:rsidR="001C46F5" w:rsidRDefault="001C46F5" w:rsidP="006F6738">
      <w:pPr>
        <w:spacing w:line="240" w:lineRule="auto"/>
        <w:ind w:left="720"/>
        <w:jc w:val="both"/>
        <w:rPr>
          <w:rFonts w:cs="Times New Roman"/>
          <w:szCs w:val="24"/>
        </w:rPr>
      </w:pPr>
    </w:p>
    <w:tbl>
      <w:tblPr>
        <w:tblStyle w:val="LightGrid"/>
        <w:tblW w:w="0" w:type="auto"/>
        <w:tblLook w:val="04A0" w:firstRow="1" w:lastRow="0" w:firstColumn="1" w:lastColumn="0" w:noHBand="0" w:noVBand="1"/>
      </w:tblPr>
      <w:tblGrid>
        <w:gridCol w:w="757"/>
        <w:gridCol w:w="1259"/>
        <w:gridCol w:w="1363"/>
        <w:gridCol w:w="1150"/>
        <w:gridCol w:w="1536"/>
        <w:gridCol w:w="1409"/>
        <w:gridCol w:w="1532"/>
      </w:tblGrid>
      <w:tr w:rsidR="001C46F5" w:rsidRPr="00CC20FC" w14:paraId="5783D922" w14:textId="77777777" w:rsidTr="000B4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vMerge w:val="restart"/>
          </w:tcPr>
          <w:p w14:paraId="71BFF56C" w14:textId="77777777" w:rsidR="001C46F5" w:rsidRPr="007A4D81" w:rsidRDefault="001C46F5" w:rsidP="00601BFD">
            <w:pPr>
              <w:jc w:val="center"/>
              <w:rPr>
                <w:rFonts w:asciiTheme="minorHAnsi" w:eastAsiaTheme="minorHAnsi" w:hAnsiTheme="minorHAnsi" w:cstheme="minorHAnsi"/>
                <w:bCs w:val="0"/>
                <w:lang w:val="sq-AL"/>
              </w:rPr>
            </w:pPr>
            <w:r w:rsidRPr="007A4D81">
              <w:rPr>
                <w:rFonts w:asciiTheme="minorHAnsi" w:eastAsiaTheme="minorHAnsi" w:hAnsiTheme="minorHAnsi" w:cstheme="minorHAnsi"/>
                <w:bCs w:val="0"/>
                <w:lang w:val="sq-AL"/>
              </w:rPr>
              <w:t>Viti</w:t>
            </w:r>
          </w:p>
          <w:p w14:paraId="6C372E56" w14:textId="77777777" w:rsidR="001C46F5" w:rsidRPr="007A4D81" w:rsidRDefault="001C46F5" w:rsidP="00601BFD">
            <w:pPr>
              <w:jc w:val="center"/>
              <w:rPr>
                <w:rFonts w:asciiTheme="minorHAnsi" w:eastAsiaTheme="minorHAnsi" w:hAnsiTheme="minorHAnsi" w:cstheme="minorHAnsi"/>
                <w:bCs w:val="0"/>
                <w:lang w:val="sq-AL"/>
              </w:rPr>
            </w:pPr>
          </w:p>
        </w:tc>
        <w:tc>
          <w:tcPr>
            <w:tcW w:w="1509" w:type="dxa"/>
            <w:vMerge w:val="restart"/>
          </w:tcPr>
          <w:p w14:paraId="1BF98E0F" w14:textId="77777777" w:rsidR="001C46F5" w:rsidRDefault="001C46F5" w:rsidP="00601BF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Cs w:val="0"/>
                <w:lang w:val="sq-AL"/>
              </w:rPr>
            </w:pPr>
            <w:r w:rsidRPr="007A4D81">
              <w:rPr>
                <w:rFonts w:asciiTheme="minorHAnsi" w:eastAsiaTheme="minorHAnsi" w:hAnsiTheme="minorHAnsi" w:cstheme="minorHAnsi"/>
                <w:bCs w:val="0"/>
                <w:lang w:val="sq-AL"/>
              </w:rPr>
              <w:lastRenderedPageBreak/>
              <w:t>Numri i ankesave</w:t>
            </w:r>
          </w:p>
          <w:p w14:paraId="4FCB8FD1" w14:textId="77777777" w:rsidR="001C46F5" w:rsidRPr="007A4D81" w:rsidRDefault="001C46F5" w:rsidP="00601BF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Cs w:val="0"/>
                <w:lang w:val="sq-AL"/>
              </w:rPr>
            </w:pPr>
            <w:r>
              <w:rPr>
                <w:rFonts w:asciiTheme="minorHAnsi" w:eastAsiaTheme="minorHAnsi" w:hAnsiTheme="minorHAnsi" w:cstheme="minorHAnsi"/>
                <w:bCs w:val="0"/>
                <w:lang w:val="sq-AL"/>
              </w:rPr>
              <w:t>gjithsej</w:t>
            </w:r>
          </w:p>
          <w:p w14:paraId="4F5931DF" w14:textId="77777777" w:rsidR="001C46F5" w:rsidRPr="007A4D81" w:rsidRDefault="001C46F5" w:rsidP="00601BF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Cs w:val="0"/>
                <w:lang w:val="sq-AL"/>
              </w:rPr>
            </w:pPr>
          </w:p>
        </w:tc>
        <w:tc>
          <w:tcPr>
            <w:tcW w:w="5314" w:type="dxa"/>
            <w:gridSpan w:val="4"/>
          </w:tcPr>
          <w:p w14:paraId="2BDB15E6" w14:textId="77777777" w:rsidR="001C46F5" w:rsidRPr="007A4D81" w:rsidRDefault="001C46F5" w:rsidP="00601BFD">
            <w:pPr>
              <w:jc w:val="center"/>
              <w:cnfStyle w:val="100000000000" w:firstRow="1" w:lastRow="0" w:firstColumn="0" w:lastColumn="0" w:oddVBand="0" w:evenVBand="0" w:oddHBand="0" w:evenHBand="0" w:firstRowFirstColumn="0" w:firstRowLastColumn="0" w:lastRowFirstColumn="0" w:lastRowLastColumn="0"/>
              <w:rPr>
                <w:rFonts w:cstheme="minorHAnsi"/>
                <w:bCs w:val="0"/>
                <w:lang w:val="sq-AL"/>
              </w:rPr>
            </w:pPr>
            <w:r>
              <w:rPr>
                <w:rFonts w:asciiTheme="minorHAnsi" w:eastAsiaTheme="minorHAnsi" w:hAnsiTheme="minorHAnsi" w:cstheme="minorHAnsi"/>
                <w:bCs w:val="0"/>
                <w:lang w:val="sq-AL"/>
              </w:rPr>
              <w:t>Zgjidhja e</w:t>
            </w:r>
            <w:r w:rsidRPr="007A4D81">
              <w:rPr>
                <w:rFonts w:asciiTheme="minorHAnsi" w:eastAsiaTheme="minorHAnsi" w:hAnsiTheme="minorHAnsi" w:cstheme="minorHAnsi"/>
                <w:bCs w:val="0"/>
                <w:lang w:val="sq-AL"/>
              </w:rPr>
              <w:t xml:space="preserve"> ankesës</w:t>
            </w:r>
          </w:p>
        </w:tc>
        <w:tc>
          <w:tcPr>
            <w:tcW w:w="1641" w:type="dxa"/>
            <w:vMerge w:val="restart"/>
          </w:tcPr>
          <w:p w14:paraId="0EE3E2E3" w14:textId="77777777" w:rsidR="001C46F5" w:rsidRPr="007A4D81" w:rsidRDefault="001C46F5" w:rsidP="00601BFD">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Cs w:val="0"/>
                <w:lang w:val="sq-AL"/>
              </w:rPr>
            </w:pPr>
            <w:r>
              <w:rPr>
                <w:rFonts w:asciiTheme="minorHAnsi" w:eastAsiaTheme="minorHAnsi" w:hAnsiTheme="minorHAnsi" w:cstheme="minorHAnsi"/>
                <w:bCs w:val="0"/>
                <w:lang w:val="sq-AL"/>
              </w:rPr>
              <w:t xml:space="preserve">Kërkesa për informacion nga konsumatori </w:t>
            </w:r>
          </w:p>
        </w:tc>
      </w:tr>
      <w:tr w:rsidR="001C46F5" w:rsidRPr="00CC20FC" w14:paraId="481A947D" w14:textId="77777777" w:rsidTr="000B4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vMerge/>
          </w:tcPr>
          <w:p w14:paraId="782DCFCE" w14:textId="77777777" w:rsidR="001C46F5" w:rsidRPr="007A4D81" w:rsidRDefault="001C46F5" w:rsidP="00601BFD">
            <w:pPr>
              <w:jc w:val="center"/>
              <w:rPr>
                <w:rFonts w:asciiTheme="minorHAnsi" w:hAnsiTheme="minorHAnsi" w:cstheme="minorHAnsi"/>
                <w:lang w:val="sq-AL"/>
              </w:rPr>
            </w:pPr>
          </w:p>
        </w:tc>
        <w:tc>
          <w:tcPr>
            <w:tcW w:w="1509" w:type="dxa"/>
            <w:vMerge/>
          </w:tcPr>
          <w:p w14:paraId="108A059A"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lang w:val="sq-AL"/>
              </w:rPr>
            </w:pPr>
          </w:p>
        </w:tc>
        <w:tc>
          <w:tcPr>
            <w:tcW w:w="1244" w:type="dxa"/>
          </w:tcPr>
          <w:p w14:paraId="1A05B0DA" w14:textId="77777777" w:rsidR="001C46F5" w:rsidRPr="007A4D81" w:rsidRDefault="001C46F5" w:rsidP="00601BFD">
            <w:pPr>
              <w:jc w:val="both"/>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 xml:space="preserve">Zgjidhur nga institucioni </w:t>
            </w:r>
          </w:p>
        </w:tc>
        <w:tc>
          <w:tcPr>
            <w:tcW w:w="1115" w:type="dxa"/>
          </w:tcPr>
          <w:p w14:paraId="675E4EBE" w14:textId="77777777" w:rsidR="001C46F5" w:rsidRPr="007A4D81" w:rsidRDefault="001C46F5" w:rsidP="00601BFD">
            <w:pPr>
              <w:jc w:val="both"/>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 xml:space="preserve">Deleguar </w:t>
            </w:r>
          </w:p>
        </w:tc>
        <w:tc>
          <w:tcPr>
            <w:tcW w:w="1444" w:type="dxa"/>
          </w:tcPr>
          <w:p w14:paraId="27FFCE07" w14:textId="77777777" w:rsidR="001C46F5" w:rsidRPr="007A4D81" w:rsidRDefault="001C46F5" w:rsidP="00601BFD">
            <w:pPr>
              <w:jc w:val="both"/>
              <w:cnfStyle w:val="000000100000" w:firstRow="0" w:lastRow="0" w:firstColumn="0" w:lastColumn="0" w:oddVBand="0" w:evenVBand="0" w:oddHBand="1" w:evenHBand="0" w:firstRowFirstColumn="0" w:firstRowLastColumn="0" w:lastRowFirstColumn="0" w:lastRowLastColumn="0"/>
              <w:rPr>
                <w:rFonts w:cstheme="minorHAnsi"/>
                <w:b/>
                <w:lang w:val="sq-AL"/>
              </w:rPr>
            </w:pPr>
            <w:r w:rsidRPr="007A4D81">
              <w:rPr>
                <w:rFonts w:cstheme="minorHAnsi"/>
                <w:b/>
                <w:lang w:val="sq-AL"/>
              </w:rPr>
              <w:t>Jashtë kompetencës</w:t>
            </w:r>
          </w:p>
        </w:tc>
        <w:tc>
          <w:tcPr>
            <w:tcW w:w="1511" w:type="dxa"/>
          </w:tcPr>
          <w:p w14:paraId="1B8FB7D0"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bCs/>
                <w:lang w:val="sq-AL"/>
              </w:rPr>
              <w:t>Nuk u konstatuan shkelje</w:t>
            </w:r>
          </w:p>
        </w:tc>
        <w:tc>
          <w:tcPr>
            <w:tcW w:w="1641" w:type="dxa"/>
            <w:vMerge/>
          </w:tcPr>
          <w:p w14:paraId="738B7529"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lang w:val="sq-AL"/>
              </w:rPr>
            </w:pPr>
          </w:p>
        </w:tc>
      </w:tr>
      <w:tr w:rsidR="001C46F5" w:rsidRPr="00CC20FC" w14:paraId="2B621F66" w14:textId="77777777" w:rsidTr="000B4C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3EBF5D25" w14:textId="77777777" w:rsidR="001C46F5" w:rsidRPr="007A4D81" w:rsidRDefault="001C46F5" w:rsidP="00601BFD">
            <w:pPr>
              <w:jc w:val="center"/>
              <w:rPr>
                <w:rFonts w:asciiTheme="minorHAnsi" w:hAnsiTheme="minorHAnsi" w:cstheme="minorHAnsi"/>
                <w:lang w:val="sq-AL"/>
              </w:rPr>
            </w:pPr>
            <w:r w:rsidRPr="007A4D81">
              <w:rPr>
                <w:rFonts w:asciiTheme="minorHAnsi" w:hAnsiTheme="minorHAnsi" w:cstheme="minorHAnsi"/>
                <w:lang w:val="sq-AL"/>
              </w:rPr>
              <w:lastRenderedPageBreak/>
              <w:t>2018</w:t>
            </w:r>
          </w:p>
        </w:tc>
        <w:tc>
          <w:tcPr>
            <w:tcW w:w="1509" w:type="dxa"/>
          </w:tcPr>
          <w:p w14:paraId="4E653732"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82</w:t>
            </w:r>
          </w:p>
        </w:tc>
        <w:tc>
          <w:tcPr>
            <w:tcW w:w="1244" w:type="dxa"/>
          </w:tcPr>
          <w:p w14:paraId="1C036271"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51</w:t>
            </w:r>
          </w:p>
        </w:tc>
        <w:tc>
          <w:tcPr>
            <w:tcW w:w="1115" w:type="dxa"/>
          </w:tcPr>
          <w:p w14:paraId="48E44465"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0</w:t>
            </w:r>
          </w:p>
        </w:tc>
        <w:tc>
          <w:tcPr>
            <w:tcW w:w="1444" w:type="dxa"/>
          </w:tcPr>
          <w:p w14:paraId="7820AB22"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2</w:t>
            </w:r>
          </w:p>
        </w:tc>
        <w:tc>
          <w:tcPr>
            <w:tcW w:w="1511" w:type="dxa"/>
          </w:tcPr>
          <w:p w14:paraId="18522C64"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29</w:t>
            </w:r>
          </w:p>
        </w:tc>
        <w:tc>
          <w:tcPr>
            <w:tcW w:w="1641" w:type="dxa"/>
          </w:tcPr>
          <w:p w14:paraId="237DC7AE"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0</w:t>
            </w:r>
          </w:p>
        </w:tc>
      </w:tr>
      <w:tr w:rsidR="001C46F5" w:rsidRPr="00CC20FC" w14:paraId="5CD56084" w14:textId="77777777" w:rsidTr="000B4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6E5B66F1" w14:textId="77777777" w:rsidR="001C46F5" w:rsidRPr="007A4D81" w:rsidRDefault="001C46F5" w:rsidP="00601BFD">
            <w:pPr>
              <w:jc w:val="center"/>
              <w:rPr>
                <w:rFonts w:asciiTheme="minorHAnsi" w:hAnsiTheme="minorHAnsi" w:cstheme="minorHAnsi"/>
                <w:lang w:val="sq-AL"/>
              </w:rPr>
            </w:pPr>
            <w:r w:rsidRPr="007A4D81">
              <w:rPr>
                <w:rFonts w:asciiTheme="minorHAnsi" w:hAnsiTheme="minorHAnsi" w:cstheme="minorHAnsi"/>
                <w:lang w:val="sq-AL"/>
              </w:rPr>
              <w:t>2019</w:t>
            </w:r>
          </w:p>
        </w:tc>
        <w:tc>
          <w:tcPr>
            <w:tcW w:w="1509" w:type="dxa"/>
          </w:tcPr>
          <w:p w14:paraId="4389120E"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94</w:t>
            </w:r>
          </w:p>
        </w:tc>
        <w:tc>
          <w:tcPr>
            <w:tcW w:w="1244" w:type="dxa"/>
          </w:tcPr>
          <w:p w14:paraId="7C866924"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47</w:t>
            </w:r>
          </w:p>
        </w:tc>
        <w:tc>
          <w:tcPr>
            <w:tcW w:w="1115" w:type="dxa"/>
          </w:tcPr>
          <w:p w14:paraId="4B7C83E9"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p>
        </w:tc>
        <w:tc>
          <w:tcPr>
            <w:tcW w:w="1444" w:type="dxa"/>
          </w:tcPr>
          <w:p w14:paraId="02DD68FA"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5</w:t>
            </w:r>
          </w:p>
        </w:tc>
        <w:tc>
          <w:tcPr>
            <w:tcW w:w="1511" w:type="dxa"/>
          </w:tcPr>
          <w:p w14:paraId="0310DE72"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30</w:t>
            </w:r>
          </w:p>
        </w:tc>
        <w:tc>
          <w:tcPr>
            <w:tcW w:w="1641" w:type="dxa"/>
          </w:tcPr>
          <w:p w14:paraId="3932618E"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12</w:t>
            </w:r>
          </w:p>
        </w:tc>
      </w:tr>
      <w:tr w:rsidR="001C46F5" w:rsidRPr="00CC20FC" w14:paraId="777D39FB" w14:textId="77777777" w:rsidTr="000B4C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00E49BA6" w14:textId="77777777" w:rsidR="001C46F5" w:rsidRPr="007A4D81" w:rsidRDefault="001C46F5" w:rsidP="00601BFD">
            <w:pPr>
              <w:jc w:val="center"/>
              <w:rPr>
                <w:rFonts w:asciiTheme="minorHAnsi" w:hAnsiTheme="minorHAnsi" w:cstheme="minorHAnsi"/>
                <w:lang w:val="sq-AL"/>
              </w:rPr>
            </w:pPr>
            <w:r w:rsidRPr="007A4D81">
              <w:rPr>
                <w:rFonts w:asciiTheme="minorHAnsi" w:hAnsiTheme="minorHAnsi" w:cstheme="minorHAnsi"/>
                <w:lang w:val="sq-AL"/>
              </w:rPr>
              <w:t>2020</w:t>
            </w:r>
          </w:p>
        </w:tc>
        <w:tc>
          <w:tcPr>
            <w:tcW w:w="1509" w:type="dxa"/>
          </w:tcPr>
          <w:p w14:paraId="5D33CDCD"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181</w:t>
            </w:r>
          </w:p>
        </w:tc>
        <w:tc>
          <w:tcPr>
            <w:tcW w:w="1244" w:type="dxa"/>
          </w:tcPr>
          <w:p w14:paraId="276B088B"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108</w:t>
            </w:r>
          </w:p>
        </w:tc>
        <w:tc>
          <w:tcPr>
            <w:tcW w:w="1115" w:type="dxa"/>
          </w:tcPr>
          <w:p w14:paraId="50337DFC"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0</w:t>
            </w:r>
          </w:p>
        </w:tc>
        <w:tc>
          <w:tcPr>
            <w:tcW w:w="1444" w:type="dxa"/>
          </w:tcPr>
          <w:p w14:paraId="6274FCF1"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14</w:t>
            </w:r>
          </w:p>
        </w:tc>
        <w:tc>
          <w:tcPr>
            <w:tcW w:w="1511" w:type="dxa"/>
          </w:tcPr>
          <w:p w14:paraId="3D18A5EF"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49</w:t>
            </w:r>
          </w:p>
        </w:tc>
        <w:tc>
          <w:tcPr>
            <w:tcW w:w="1641" w:type="dxa"/>
          </w:tcPr>
          <w:p w14:paraId="75A28961" w14:textId="77777777" w:rsidR="001C46F5" w:rsidRPr="007A4D81" w:rsidRDefault="001C46F5" w:rsidP="00601BFD">
            <w:pPr>
              <w:jc w:val="center"/>
              <w:cnfStyle w:val="000000010000" w:firstRow="0" w:lastRow="0" w:firstColumn="0" w:lastColumn="0" w:oddVBand="0" w:evenVBand="0" w:oddHBand="0" w:evenHBand="1" w:firstRowFirstColumn="0" w:firstRowLastColumn="0" w:lastRowFirstColumn="0" w:lastRowLastColumn="0"/>
              <w:rPr>
                <w:rFonts w:cstheme="minorHAnsi"/>
                <w:b/>
                <w:lang w:val="sq-AL"/>
              </w:rPr>
            </w:pPr>
            <w:r>
              <w:rPr>
                <w:rFonts w:cstheme="minorHAnsi"/>
                <w:b/>
                <w:lang w:val="sq-AL"/>
              </w:rPr>
              <w:t xml:space="preserve">10     </w:t>
            </w:r>
          </w:p>
        </w:tc>
      </w:tr>
      <w:tr w:rsidR="001C46F5" w:rsidRPr="00CC20FC" w14:paraId="58747CAF" w14:textId="77777777" w:rsidTr="000B4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1A265A2E" w14:textId="77777777" w:rsidR="001C46F5" w:rsidRPr="007A4D81" w:rsidRDefault="001C46F5" w:rsidP="00601BFD">
            <w:pPr>
              <w:jc w:val="center"/>
              <w:rPr>
                <w:rFonts w:asciiTheme="minorHAnsi" w:hAnsiTheme="minorHAnsi" w:cstheme="minorHAnsi"/>
                <w:lang w:val="sq-AL"/>
              </w:rPr>
            </w:pPr>
            <w:r w:rsidRPr="007A4D81">
              <w:rPr>
                <w:rFonts w:asciiTheme="minorHAnsi" w:hAnsiTheme="minorHAnsi" w:cstheme="minorHAnsi"/>
                <w:lang w:val="sq-AL"/>
              </w:rPr>
              <w:t>2021</w:t>
            </w:r>
          </w:p>
        </w:tc>
        <w:tc>
          <w:tcPr>
            <w:tcW w:w="1509" w:type="dxa"/>
          </w:tcPr>
          <w:p w14:paraId="4C5E6443"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221</w:t>
            </w:r>
          </w:p>
        </w:tc>
        <w:tc>
          <w:tcPr>
            <w:tcW w:w="1244" w:type="dxa"/>
          </w:tcPr>
          <w:p w14:paraId="5C39381A"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135</w:t>
            </w:r>
          </w:p>
        </w:tc>
        <w:tc>
          <w:tcPr>
            <w:tcW w:w="1115" w:type="dxa"/>
          </w:tcPr>
          <w:p w14:paraId="1A2A2E84"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0</w:t>
            </w:r>
          </w:p>
        </w:tc>
        <w:tc>
          <w:tcPr>
            <w:tcW w:w="1444" w:type="dxa"/>
          </w:tcPr>
          <w:p w14:paraId="5F473519"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9</w:t>
            </w:r>
          </w:p>
        </w:tc>
        <w:tc>
          <w:tcPr>
            <w:tcW w:w="1511" w:type="dxa"/>
          </w:tcPr>
          <w:p w14:paraId="49CCF44C"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53</w:t>
            </w:r>
          </w:p>
        </w:tc>
        <w:tc>
          <w:tcPr>
            <w:tcW w:w="1641" w:type="dxa"/>
          </w:tcPr>
          <w:p w14:paraId="56C4D6E2" w14:textId="77777777" w:rsidR="001C46F5" w:rsidRPr="007A4D81" w:rsidRDefault="001C46F5" w:rsidP="00601BFD">
            <w:pPr>
              <w:jc w:val="center"/>
              <w:cnfStyle w:val="000000100000" w:firstRow="0" w:lastRow="0" w:firstColumn="0" w:lastColumn="0" w:oddVBand="0" w:evenVBand="0" w:oddHBand="1" w:evenHBand="0" w:firstRowFirstColumn="0" w:firstRowLastColumn="0" w:lastRowFirstColumn="0" w:lastRowLastColumn="0"/>
              <w:rPr>
                <w:rFonts w:cstheme="minorHAnsi"/>
                <w:b/>
                <w:lang w:val="sq-AL"/>
              </w:rPr>
            </w:pPr>
            <w:r>
              <w:rPr>
                <w:rFonts w:cstheme="minorHAnsi"/>
                <w:b/>
                <w:lang w:val="sq-AL"/>
              </w:rPr>
              <w:t xml:space="preserve">24   </w:t>
            </w:r>
          </w:p>
        </w:tc>
      </w:tr>
    </w:tbl>
    <w:p w14:paraId="07E02496" w14:textId="77777777" w:rsidR="001C46F5" w:rsidRDefault="001C46F5" w:rsidP="00601BFD">
      <w:pPr>
        <w:spacing w:after="0" w:line="240" w:lineRule="auto"/>
        <w:ind w:left="720"/>
        <w:jc w:val="both"/>
        <w:rPr>
          <w:rFonts w:cs="Times New Roman"/>
          <w:szCs w:val="24"/>
        </w:rPr>
      </w:pPr>
    </w:p>
    <w:p w14:paraId="3CE84E42" w14:textId="03C9D90D" w:rsidR="001C46F5" w:rsidRDefault="001C46F5" w:rsidP="006F6738">
      <w:pPr>
        <w:spacing w:line="240" w:lineRule="auto"/>
        <w:jc w:val="both"/>
        <w:rPr>
          <w:rFonts w:cs="Times New Roman"/>
          <w:szCs w:val="24"/>
        </w:rPr>
      </w:pPr>
      <w:r w:rsidRPr="00A52D91">
        <w:rPr>
          <w:rFonts w:cs="Times New Roman"/>
          <w:szCs w:val="24"/>
        </w:rPr>
        <w:t>Shqyrtimi i ankesave të konsumatorit/investitorit ka synuar zgjidhjen në mënyrë profesionale, të paanshme e të shpejtë të ankesave të depozituara. Autoriteti nëpërmjet shqyrtimit të ankesave ka evident</w:t>
      </w:r>
      <w:r>
        <w:rPr>
          <w:rFonts w:cs="Times New Roman"/>
          <w:szCs w:val="24"/>
        </w:rPr>
        <w:t>uar</w:t>
      </w:r>
      <w:r w:rsidRPr="00A52D91">
        <w:rPr>
          <w:rFonts w:cs="Times New Roman"/>
          <w:szCs w:val="24"/>
        </w:rPr>
        <w:t xml:space="preserve"> problematikat</w:t>
      </w:r>
      <w:r>
        <w:rPr>
          <w:rFonts w:cs="Times New Roman"/>
          <w:szCs w:val="24"/>
        </w:rPr>
        <w:t xml:space="preserve"> </w:t>
      </w:r>
      <w:r w:rsidR="006403B4">
        <w:rPr>
          <w:rFonts w:cs="Times New Roman"/>
          <w:szCs w:val="24"/>
        </w:rPr>
        <w:t xml:space="preserve">e </w:t>
      </w:r>
      <w:r w:rsidRPr="00A52D91">
        <w:rPr>
          <w:rFonts w:cs="Times New Roman"/>
          <w:szCs w:val="24"/>
        </w:rPr>
        <w:t>subjekteve d</w:t>
      </w:r>
      <w:r>
        <w:rPr>
          <w:rFonts w:cs="Times New Roman"/>
          <w:szCs w:val="24"/>
        </w:rPr>
        <w:t>uke</w:t>
      </w:r>
      <w:r w:rsidRPr="00A52D91">
        <w:rPr>
          <w:rFonts w:cs="Times New Roman"/>
          <w:szCs w:val="24"/>
        </w:rPr>
        <w:t xml:space="preserve"> ndërhy</w:t>
      </w:r>
      <w:r>
        <w:rPr>
          <w:rFonts w:cs="Times New Roman"/>
          <w:szCs w:val="24"/>
        </w:rPr>
        <w:t>rë</w:t>
      </w:r>
      <w:r w:rsidRPr="00A52D91">
        <w:rPr>
          <w:rFonts w:cs="Times New Roman"/>
          <w:szCs w:val="24"/>
        </w:rPr>
        <w:t xml:space="preserve"> në kohë për të zgjidhur çështje konkrete</w:t>
      </w:r>
      <w:r>
        <w:rPr>
          <w:rFonts w:cs="Times New Roman"/>
          <w:szCs w:val="24"/>
        </w:rPr>
        <w:t>,</w:t>
      </w:r>
      <w:r w:rsidRPr="00A52D91">
        <w:rPr>
          <w:rFonts w:cs="Times New Roman"/>
          <w:szCs w:val="24"/>
        </w:rPr>
        <w:t xml:space="preserve"> si dhe për të marrë masat e duhura për të shmangur përsëritjen e problem</w:t>
      </w:r>
      <w:r>
        <w:rPr>
          <w:rFonts w:cs="Times New Roman"/>
          <w:szCs w:val="24"/>
        </w:rPr>
        <w:t>atikave të njëjta në të ardhmen.</w:t>
      </w:r>
      <w:r w:rsidRPr="00A52D91">
        <w:rPr>
          <w:rFonts w:cs="Times New Roman"/>
          <w:szCs w:val="24"/>
        </w:rPr>
        <w:t xml:space="preserve"> </w:t>
      </w:r>
    </w:p>
    <w:p w14:paraId="370F038F" w14:textId="264D9E0B" w:rsidR="001C46F5" w:rsidRPr="006403B4" w:rsidRDefault="001C46F5" w:rsidP="006F6738">
      <w:pPr>
        <w:spacing w:line="240" w:lineRule="auto"/>
        <w:jc w:val="both"/>
        <w:rPr>
          <w:rFonts w:cs="Times New Roman"/>
          <w:szCs w:val="24"/>
        </w:rPr>
      </w:pPr>
      <w:r w:rsidRPr="006403B4">
        <w:rPr>
          <w:rFonts w:cs="Times New Roman"/>
          <w:szCs w:val="24"/>
        </w:rPr>
        <w:t xml:space="preserve">Në funksion të verifikimit të vazhdueshëm të respektimit të afateve ligjore të trajtimit dhe pagesës së dëmshpërblimeve që rrjedhin nga kontratat e sigurimit të detyrueshëm në sektorin e transportit, shërbeu edhe përditësimi i funksionimit të regjistrit elektronik të dëmeve, duke bërë të mundur që afatet e trajtimit të dëmshpërblimeve të monitorohen në kohë reale nga Autoriteti, duke ndërhyrë në rast evidentimi të vonesave në trajtimin e kërkesave për dëmshpërblim, edhe në rastet kur konsumatori nuk ka paraqitur ankesë. </w:t>
      </w:r>
    </w:p>
    <w:p w14:paraId="560846A9" w14:textId="77777777" w:rsidR="001C46F5" w:rsidRDefault="001C46F5" w:rsidP="006F6738">
      <w:pPr>
        <w:spacing w:line="240" w:lineRule="auto"/>
        <w:jc w:val="both"/>
        <w:rPr>
          <w:rFonts w:cs="Times New Roman"/>
          <w:szCs w:val="24"/>
        </w:rPr>
      </w:pPr>
      <w:r w:rsidRPr="00A52D91">
        <w:rPr>
          <w:rFonts w:cs="Times New Roman"/>
          <w:szCs w:val="24"/>
        </w:rPr>
        <w:t xml:space="preserve">Gjatë </w:t>
      </w:r>
      <w:r>
        <w:rPr>
          <w:rFonts w:cs="Times New Roman"/>
          <w:szCs w:val="24"/>
        </w:rPr>
        <w:t>kësaj periudhe</w:t>
      </w:r>
      <w:r w:rsidRPr="00A52D91">
        <w:rPr>
          <w:rFonts w:cs="Times New Roman"/>
          <w:szCs w:val="24"/>
        </w:rPr>
        <w:t xml:space="preserve"> është punuar për të bërë të mundur depozitimin nëpërmjet sistemit online të ankesave që mund të kenë konsumatorët për shërbimet që ata përfitojnë nga subjektet të cilët ushtrojnë veprimtarinë në tregjet që mbikëqyren nga Autoriteti, i cili u finalizua dhe u vu në funksionim në muajin shkurt 2019.</w:t>
      </w:r>
    </w:p>
    <w:p w14:paraId="168BA6B3" w14:textId="77777777" w:rsidR="001C46F5" w:rsidRPr="0015326E" w:rsidRDefault="001C46F5" w:rsidP="006F6738">
      <w:pPr>
        <w:spacing w:line="240" w:lineRule="auto"/>
        <w:jc w:val="both"/>
        <w:rPr>
          <w:rFonts w:cs="Times New Roman"/>
          <w:szCs w:val="24"/>
        </w:rPr>
      </w:pPr>
      <w:r>
        <w:rPr>
          <w:rFonts w:cs="Times New Roman"/>
          <w:szCs w:val="24"/>
        </w:rPr>
        <w:t>E rëndësish</w:t>
      </w:r>
      <w:r w:rsidRPr="0015326E">
        <w:rPr>
          <w:rFonts w:cs="Times New Roman"/>
          <w:szCs w:val="24"/>
        </w:rPr>
        <w:t>m</w:t>
      </w:r>
      <w:r>
        <w:rPr>
          <w:rFonts w:cs="Times New Roman"/>
          <w:szCs w:val="24"/>
        </w:rPr>
        <w:t>e</w:t>
      </w:r>
      <w:r w:rsidRPr="0015326E">
        <w:rPr>
          <w:rFonts w:cs="Times New Roman"/>
          <w:szCs w:val="24"/>
        </w:rPr>
        <w:t xml:space="preserve"> ishte edhe </w:t>
      </w:r>
      <w:r>
        <w:rPr>
          <w:rFonts w:cs="Times New Roman"/>
          <w:szCs w:val="24"/>
        </w:rPr>
        <w:t>hartimi i “Kartës</w:t>
      </w:r>
      <w:r w:rsidRPr="0015326E">
        <w:rPr>
          <w:rFonts w:cs="Times New Roman"/>
          <w:szCs w:val="24"/>
        </w:rPr>
        <w:t xml:space="preserve"> </w:t>
      </w:r>
      <w:r>
        <w:rPr>
          <w:rFonts w:cs="Times New Roman"/>
          <w:szCs w:val="24"/>
        </w:rPr>
        <w:t>së</w:t>
      </w:r>
      <w:r w:rsidRPr="0015326E">
        <w:rPr>
          <w:rFonts w:cs="Times New Roman"/>
          <w:szCs w:val="24"/>
        </w:rPr>
        <w:t xml:space="preserve"> të drejtave të konsumatorit dhe investitorit në tregjet nën mbikëqyrje”. Karta përcakton të drejtat themelore që gëzon konsumatori dhe investitori në marrjen e shërbimeve në tregjet financiare nën mbikëqyrjen e Autoritetit, në përputhje me legjislacionin që rregullon veprimtarinë e AMF-së dhe ligjeve specifike, që rregullojnë secilin nga tregjet financiare jobankare.</w:t>
      </w:r>
    </w:p>
    <w:p w14:paraId="00E60442" w14:textId="174E95D2" w:rsidR="001C46F5" w:rsidRPr="009F1908" w:rsidRDefault="001C46F5" w:rsidP="006F6738">
      <w:pPr>
        <w:tabs>
          <w:tab w:val="left" w:pos="1080"/>
        </w:tabs>
        <w:autoSpaceDE w:val="0"/>
        <w:autoSpaceDN w:val="0"/>
        <w:adjustRightInd w:val="0"/>
        <w:spacing w:line="240" w:lineRule="auto"/>
        <w:jc w:val="both"/>
        <w:rPr>
          <w:rFonts w:eastAsia="Calibri" w:cs="Times New Roman"/>
          <w:szCs w:val="24"/>
          <w:lang w:val="sq-AL"/>
        </w:rPr>
      </w:pPr>
      <w:r w:rsidRPr="001F28B9">
        <w:rPr>
          <w:rFonts w:cs="Times New Roman"/>
          <w:szCs w:val="24"/>
        </w:rPr>
        <w:t>Sfida</w:t>
      </w:r>
      <w:r w:rsidRPr="001F28B9">
        <w:rPr>
          <w:rFonts w:cs="Times New Roman"/>
          <w:b/>
          <w:szCs w:val="24"/>
        </w:rPr>
        <w:t xml:space="preserve"> </w:t>
      </w:r>
      <w:r w:rsidRPr="00674B96">
        <w:rPr>
          <w:rFonts w:cs="Times New Roman"/>
          <w:bCs/>
          <w:szCs w:val="24"/>
        </w:rPr>
        <w:t>e</w:t>
      </w:r>
      <w:r w:rsidRPr="001F28B9">
        <w:rPr>
          <w:rFonts w:cs="Times New Roman"/>
          <w:b/>
          <w:szCs w:val="24"/>
        </w:rPr>
        <w:t xml:space="preserve"> </w:t>
      </w:r>
      <w:r w:rsidRPr="00C26860">
        <w:rPr>
          <w:rFonts w:cs="Times New Roman"/>
          <w:szCs w:val="24"/>
        </w:rPr>
        <w:t>Autoritetit</w:t>
      </w:r>
      <w:r>
        <w:rPr>
          <w:rFonts w:cs="Times New Roman"/>
          <w:b/>
          <w:szCs w:val="24"/>
        </w:rPr>
        <w:t xml:space="preserve"> </w:t>
      </w:r>
      <w:r>
        <w:rPr>
          <w:rFonts w:eastAsia="Calibri" w:cs="Times New Roman"/>
          <w:szCs w:val="24"/>
          <w:lang w:val="sq-AL"/>
        </w:rPr>
        <w:t>ë</w:t>
      </w:r>
      <w:r w:rsidRPr="009F1908">
        <w:rPr>
          <w:rFonts w:eastAsia="Calibri" w:cs="Times New Roman"/>
          <w:szCs w:val="24"/>
          <w:lang w:val="sq-AL"/>
        </w:rPr>
        <w:t>sht</w:t>
      </w:r>
      <w:r>
        <w:rPr>
          <w:rFonts w:eastAsia="Calibri" w:cs="Times New Roman"/>
          <w:szCs w:val="24"/>
          <w:lang w:val="sq-AL"/>
        </w:rPr>
        <w:t>ë</w:t>
      </w:r>
      <w:r w:rsidRPr="009F1908">
        <w:rPr>
          <w:rFonts w:eastAsia="Calibri" w:cs="Times New Roman"/>
          <w:szCs w:val="24"/>
          <w:lang w:val="sq-AL"/>
        </w:rPr>
        <w:t xml:space="preserve"> t</w:t>
      </w:r>
      <w:r>
        <w:rPr>
          <w:rFonts w:eastAsia="Calibri" w:cs="Times New Roman"/>
          <w:szCs w:val="24"/>
          <w:lang w:val="sq-AL"/>
        </w:rPr>
        <w:t>ë</w:t>
      </w:r>
      <w:r w:rsidRPr="009F1908">
        <w:rPr>
          <w:rFonts w:eastAsia="Calibri" w:cs="Times New Roman"/>
          <w:szCs w:val="24"/>
          <w:lang w:val="sq-AL"/>
        </w:rPr>
        <w:t xml:space="preserve"> siguroj</w:t>
      </w:r>
      <w:r>
        <w:rPr>
          <w:rFonts w:eastAsia="Calibri" w:cs="Times New Roman"/>
          <w:szCs w:val="24"/>
          <w:lang w:val="sq-AL"/>
        </w:rPr>
        <w:t>ë</w:t>
      </w:r>
      <w:r w:rsidRPr="009F1908">
        <w:rPr>
          <w:rFonts w:eastAsia="Calibri" w:cs="Times New Roman"/>
          <w:szCs w:val="24"/>
          <w:lang w:val="sq-AL"/>
        </w:rPr>
        <w:t xml:space="preserve"> vendosjen dhe zbatimin në vazhdimësi të rregullave të reja për mbrojtjen e konsumatorit, në linjë me zhvil</w:t>
      </w:r>
      <w:r>
        <w:rPr>
          <w:rFonts w:eastAsia="Calibri" w:cs="Times New Roman"/>
          <w:szCs w:val="24"/>
          <w:lang w:val="sq-AL"/>
        </w:rPr>
        <w:t>limet e tregut, për t</w:t>
      </w:r>
      <w:r w:rsidR="00AF1C44">
        <w:rPr>
          <w:rFonts w:eastAsia="Calibri" w:cs="Times New Roman"/>
          <w:szCs w:val="24"/>
          <w:lang w:val="sq-AL"/>
        </w:rPr>
        <w:t>’</w:t>
      </w:r>
      <w:r>
        <w:rPr>
          <w:rFonts w:eastAsia="Calibri" w:cs="Times New Roman"/>
          <w:szCs w:val="24"/>
          <w:lang w:val="sq-AL"/>
        </w:rPr>
        <w:t>i paraprirë</w:t>
      </w:r>
      <w:r w:rsidRPr="009F1908">
        <w:rPr>
          <w:rFonts w:eastAsia="Calibri" w:cs="Times New Roman"/>
          <w:szCs w:val="24"/>
          <w:lang w:val="sq-AL"/>
        </w:rPr>
        <w:t xml:space="preserve"> problemeve si:</w:t>
      </w:r>
    </w:p>
    <w:p w14:paraId="3E78B0D2" w14:textId="3559CFB7" w:rsidR="005448BF" w:rsidRPr="004D24BD" w:rsidRDefault="001C46F5" w:rsidP="00623352">
      <w:pPr>
        <w:pStyle w:val="ListParagraph"/>
        <w:numPr>
          <w:ilvl w:val="0"/>
          <w:numId w:val="55"/>
        </w:numPr>
        <w:autoSpaceDE w:val="0"/>
        <w:autoSpaceDN w:val="0"/>
        <w:adjustRightInd w:val="0"/>
        <w:spacing w:line="240" w:lineRule="auto"/>
        <w:jc w:val="both"/>
        <w:rPr>
          <w:rFonts w:eastAsia="Calibri" w:cs="Times New Roman"/>
          <w:szCs w:val="24"/>
          <w:lang w:val="sq-AL"/>
        </w:rPr>
      </w:pPr>
      <w:r w:rsidRPr="004D24BD">
        <w:rPr>
          <w:rFonts w:eastAsia="Calibri" w:cs="Times New Roman"/>
          <w:szCs w:val="24"/>
          <w:lang w:val="sq-AL"/>
        </w:rPr>
        <w:t>Garantimi i mbrojtjes së konsumatorëve nëpërmjet identifikimit paraprak dhe ndërhyrjeve në rast të produkteve të papërshtatshme ose me përshtatshmëri të ulët përsa i përket kushteve të mbulimit të produkteve të sigurimit.</w:t>
      </w:r>
    </w:p>
    <w:p w14:paraId="58559FCC" w14:textId="59C7D0CC" w:rsidR="005448BF" w:rsidRPr="004D24BD" w:rsidRDefault="001C46F5" w:rsidP="00623352">
      <w:pPr>
        <w:pStyle w:val="ListParagraph"/>
        <w:numPr>
          <w:ilvl w:val="0"/>
          <w:numId w:val="55"/>
        </w:numPr>
        <w:autoSpaceDE w:val="0"/>
        <w:autoSpaceDN w:val="0"/>
        <w:adjustRightInd w:val="0"/>
        <w:spacing w:line="240" w:lineRule="auto"/>
        <w:jc w:val="both"/>
        <w:rPr>
          <w:rFonts w:eastAsia="Calibri" w:cs="Times New Roman"/>
          <w:szCs w:val="24"/>
          <w:lang w:val="sq-AL"/>
        </w:rPr>
      </w:pPr>
      <w:r w:rsidRPr="004D24BD">
        <w:rPr>
          <w:rFonts w:eastAsia="Calibri" w:cs="Times New Roman"/>
          <w:szCs w:val="24"/>
          <w:lang w:val="sq-AL"/>
        </w:rPr>
        <w:t xml:space="preserve">Garantimi i mbrojtjes së konsumatorëve nëpërmjet ndërhyrjeve në rast të konstatimit të tarifave të larta të primeve duke </w:t>
      </w:r>
      <w:r w:rsidRPr="004D24BD">
        <w:rPr>
          <w:rFonts w:cs="Times New Roman"/>
          <w:szCs w:val="24"/>
        </w:rPr>
        <w:t>urdhëruar rishikimin e tarifave në përputhje me parimet aktuariale dhe metodologjinë e përdorur për përfshirjen e faktorëve të riskut të përcaktuara me rregullore nga Autoriteti.</w:t>
      </w:r>
    </w:p>
    <w:p w14:paraId="4F64906A" w14:textId="3F892EC5" w:rsidR="000B1D3A" w:rsidRPr="004D24BD" w:rsidRDefault="001C46F5" w:rsidP="00623352">
      <w:pPr>
        <w:pStyle w:val="ListParagraph"/>
        <w:numPr>
          <w:ilvl w:val="0"/>
          <w:numId w:val="55"/>
        </w:numPr>
        <w:autoSpaceDE w:val="0"/>
        <w:autoSpaceDN w:val="0"/>
        <w:adjustRightInd w:val="0"/>
        <w:spacing w:line="240" w:lineRule="auto"/>
        <w:jc w:val="both"/>
        <w:rPr>
          <w:rFonts w:eastAsia="MS Mincho" w:cs="Times New Roman"/>
          <w:b/>
          <w:iCs/>
          <w:sz w:val="28"/>
          <w:szCs w:val="28"/>
          <w:lang w:val="en-US"/>
        </w:rPr>
      </w:pPr>
      <w:r w:rsidRPr="004D24BD">
        <w:rPr>
          <w:rFonts w:eastAsia="Calibri" w:cs="Times New Roman"/>
          <w:szCs w:val="24"/>
          <w:lang w:val="sq-AL"/>
        </w:rPr>
        <w:t xml:space="preserve">Sigurimi i trajtimit të drejtë dhe të përshtatshëm të konsumatorëve gjatë procesit të trajtimit të ngjarjeve të siguruara. </w:t>
      </w:r>
    </w:p>
    <w:p w14:paraId="071366FC" w14:textId="05FD9821" w:rsidR="00A85315" w:rsidRPr="00BC465E" w:rsidRDefault="001C46F5" w:rsidP="00623352">
      <w:pPr>
        <w:pStyle w:val="Heading5"/>
      </w:pPr>
      <w:bookmarkStart w:id="87" w:name="_Toc132277344"/>
      <w:bookmarkStart w:id="88" w:name="_Hlk121694406"/>
      <w:bookmarkEnd w:id="86"/>
      <w:r w:rsidRPr="00BC465E">
        <w:t>B</w:t>
      </w:r>
      <w:r w:rsidR="00520426" w:rsidRPr="00BC465E">
        <w:t xml:space="preserve">anka e </w:t>
      </w:r>
      <w:r w:rsidR="00102C42" w:rsidRPr="00BC465E">
        <w:t>S</w:t>
      </w:r>
      <w:r w:rsidR="00520426" w:rsidRPr="00BC465E">
        <w:t>hqip</w:t>
      </w:r>
      <w:r w:rsidR="007F1485" w:rsidRPr="00BC465E">
        <w:t>ë</w:t>
      </w:r>
      <w:r w:rsidR="00520426" w:rsidRPr="00BC465E">
        <w:t>ris</w:t>
      </w:r>
      <w:r w:rsidR="007F1485" w:rsidRPr="00BC465E">
        <w:t>ë</w:t>
      </w:r>
      <w:bookmarkEnd w:id="87"/>
    </w:p>
    <w:bookmarkEnd w:id="88"/>
    <w:p w14:paraId="3BFE8BD0" w14:textId="45EC2B14" w:rsidR="00A85315" w:rsidRPr="009475CC" w:rsidRDefault="00A85315" w:rsidP="006F6738">
      <w:pPr>
        <w:spacing w:line="240" w:lineRule="auto"/>
        <w:jc w:val="both"/>
        <w:rPr>
          <w:rFonts w:cs="Times New Roman"/>
          <w:szCs w:val="24"/>
          <w:lang w:val="sq-AL"/>
        </w:rPr>
      </w:pPr>
      <w:r w:rsidRPr="009475CC">
        <w:rPr>
          <w:rFonts w:cs="Times New Roman"/>
          <w:szCs w:val="24"/>
          <w:lang w:val="sq-AL"/>
        </w:rPr>
        <w:t>Gjatë 5 viteve të fundit Banka e Shqipërisë renditet ndër institucionet kontribuese në përmirësimin e mbrojtjes konsumatore  në ato fusha ku është përgjegjëse. Vlen të përmendet përmirësimi i vazhdueshëm i kuadrit ligjor dhe rregullator të lidhur m</w:t>
      </w:r>
      <w:r w:rsidR="00BC465E">
        <w:rPr>
          <w:rFonts w:cs="Times New Roman"/>
          <w:szCs w:val="24"/>
          <w:lang w:val="sq-AL"/>
        </w:rPr>
        <w:t>e</w:t>
      </w:r>
      <w:r w:rsidRPr="009475CC">
        <w:rPr>
          <w:rFonts w:cs="Times New Roman"/>
          <w:szCs w:val="24"/>
          <w:lang w:val="sq-AL"/>
        </w:rPr>
        <w:t xml:space="preserve"> kredinë konsumatore dhe hipotekore, për transparencën, tarifat dhe penalitetet për shërbimet bankare dhe financiare </w:t>
      </w:r>
      <w:r w:rsidRPr="009475CC">
        <w:rPr>
          <w:rFonts w:cs="Times New Roman"/>
          <w:szCs w:val="24"/>
          <w:lang w:val="sq-AL"/>
        </w:rPr>
        <w:lastRenderedPageBreak/>
        <w:t>dhe edukimi i vazhdueshëm i publikut. Aktet nënligjore aktualisht në fuqi të Bankës së Shqipërisë kanë përafruar në një nivel të lartë direktivat respektive evropiane për kredinë konsumator</w:t>
      </w:r>
      <w:r w:rsidR="00C116E4">
        <w:rPr>
          <w:rFonts w:cs="Times New Roman"/>
          <w:szCs w:val="24"/>
          <w:lang w:val="sq-AL"/>
        </w:rPr>
        <w:t>e</w:t>
      </w:r>
      <w:r w:rsidRPr="009475CC">
        <w:rPr>
          <w:rFonts w:cs="Times New Roman"/>
          <w:szCs w:val="24"/>
          <w:lang w:val="sq-AL"/>
        </w:rPr>
        <w:t xml:space="preserve"> dhe për kredinë hipotekore. Plotësimi i këtyre kërkesave monitorohet dhe mbikëqyret në mënyrë të vazhdueshme nga Banka  e Shqipërisë.</w:t>
      </w:r>
      <w:r w:rsidR="000B1D3A">
        <w:rPr>
          <w:rFonts w:cs="Times New Roman"/>
          <w:szCs w:val="24"/>
          <w:lang w:val="sq-AL"/>
        </w:rPr>
        <w:t xml:space="preserve"> </w:t>
      </w:r>
      <w:r w:rsidRPr="009475CC">
        <w:rPr>
          <w:rFonts w:cs="Times New Roman"/>
          <w:szCs w:val="24"/>
          <w:lang w:val="sq-AL"/>
        </w:rPr>
        <w:t>Gjithashtu, prej mëse 15 vjetësh, Banka e Shqipërisë është angazhuar në zgjerimin dhe thellimin e kulturës financiare të publikut në vend. Në mënyrë të përgjithshme, programet, aktivitetet dhe botimet e veçanta edukative të përgatitura nga Banka e Shqipërisë në këtë drejtim, kanë synuar në kultivimin dhe përforcimin e një kulture financiare në shoqërinë shqiptare, si dhe në nxitjen e përfshirjes financiare.</w:t>
      </w:r>
    </w:p>
    <w:p w14:paraId="2F4691D1" w14:textId="77777777" w:rsidR="00A85315" w:rsidRPr="009475CC" w:rsidRDefault="00A85315" w:rsidP="006F6738">
      <w:pPr>
        <w:spacing w:line="240" w:lineRule="auto"/>
        <w:jc w:val="both"/>
        <w:rPr>
          <w:rFonts w:cs="Times New Roman"/>
          <w:szCs w:val="24"/>
          <w:lang w:val="sq-AL"/>
        </w:rPr>
      </w:pPr>
      <w:r w:rsidRPr="009475CC">
        <w:rPr>
          <w:rFonts w:cs="Times New Roman"/>
          <w:szCs w:val="24"/>
          <w:lang w:val="sq-AL"/>
        </w:rPr>
        <w:t xml:space="preserve">Nismat e Bankës së Shqipërisë të ndërmarra për kultivimin e kulturës financiare ndër vite kanë qenë të shumta dhe të larmishme (rreth 83 aktivitete) , ndër të cilat veçojmë botimet edukative, programet edukative për gazetarët, programet edukative dedikuar mësuesve, programet edukative dedikuar fëmijëve. programet edukative dedikuar studentëve, javën globale të parasë, fushatat ndërgjegjësuese, me qëllim informimin dhe edukimin e konsumatorit, dhe së fundi Strategjinë Kombëtare të Edukimit Financiar. Viti 2021 shënoi fillimin e përpjekjeve të BSH-së në bashkëpunim me autoritetet vendimmarrëse dhe aktorët e tjerë të tregut për hartimin e një dokumenti strategjik kombëtar për edukimin financiar, i cili do të synojë përmirësimin e kulturës dhe përfshirjes financiare të publikut të gjerë, si një ndihmë konkrete për aftësimin e konsumatorit shqiptar. </w:t>
      </w:r>
    </w:p>
    <w:p w14:paraId="4154BDF1" w14:textId="77777777" w:rsidR="00A85315" w:rsidRPr="009475CC" w:rsidRDefault="00A85315" w:rsidP="006F6738">
      <w:pPr>
        <w:spacing w:line="240" w:lineRule="auto"/>
        <w:jc w:val="both"/>
        <w:rPr>
          <w:rFonts w:cs="Times New Roman"/>
          <w:szCs w:val="24"/>
          <w:lang w:val="sq-AL"/>
        </w:rPr>
      </w:pPr>
      <w:r w:rsidRPr="009475CC">
        <w:rPr>
          <w:rFonts w:cs="Times New Roman"/>
          <w:szCs w:val="24"/>
          <w:lang w:val="sq-AL"/>
        </w:rPr>
        <w:t>Banka e Shqipërisë në bashkëpunim me aktorë të tjerë publikë dhe privatë dhe me asistencën e Bankës Botërore ka hartuar Strategjinë Kombëtare për pagesat në vlerë të vogël 2018-2023. Kjo strategji e ka vënë theksin në shërbime shërbimet e pagesave me në qendër klientin dhe të përballueshme për të, bazuar në llogari, të cilat janë përkthyer në: (i) dizenjimi i produkteve konvencionale të pagesave për individët të cilët nuk zotërojnë llogari bankare, të cilat janë të përballueshme, duke ruajtur gjithsesi tiparet thelbësore të një llogarie transaksioni; (ii) krijimin e produkteve të pagesave më të volitshme në përgjithësi, duke mundësuar ndërveprim të të gjitha llogarive të transaksioneve (domethënë midis llogarive rrjedhëse bankare dhe llogarive të parasë elektronike); (iii) përdorimin e tarifimit si nxitës për përdorimin e pagesave elektronike; dhe, (iv) rishikimin/publikimin e rregullt të bazës së të dhënave të vetë BSH-së për tarifat e shërbimeve bankare, si instrument në duart e klientëve, për të krahasuar në mënyrë efektive produktet.</w:t>
      </w:r>
    </w:p>
    <w:p w14:paraId="6B07972C" w14:textId="17AE02C2" w:rsidR="00A85315" w:rsidRPr="009475CC" w:rsidRDefault="00A85315" w:rsidP="006F6738">
      <w:pPr>
        <w:spacing w:line="240" w:lineRule="auto"/>
        <w:jc w:val="both"/>
        <w:rPr>
          <w:rFonts w:cs="Times New Roman"/>
          <w:szCs w:val="24"/>
          <w:lang w:val="sq-AL"/>
        </w:rPr>
      </w:pPr>
      <w:r w:rsidRPr="009475CC">
        <w:rPr>
          <w:rFonts w:cs="Times New Roman"/>
          <w:szCs w:val="24"/>
          <w:lang w:val="sq-AL"/>
        </w:rPr>
        <w:t>Megjithatë, në Shqipëri politikat për mbrojtjen e konsumatorit përfshirë sektorin financiar janë duke u përballur me sfida të reja ngushtësisht të lidhura me zhvillimet e kohëve të fundit, të tilla si</w:t>
      </w:r>
      <w:r w:rsidR="00214632">
        <w:rPr>
          <w:rFonts w:cs="Times New Roman"/>
          <w:szCs w:val="24"/>
          <w:lang w:val="sq-AL"/>
        </w:rPr>
        <w:t xml:space="preserve">: </w:t>
      </w:r>
      <w:r w:rsidRPr="009475CC">
        <w:rPr>
          <w:rFonts w:cs="Times New Roman"/>
          <w:szCs w:val="24"/>
          <w:lang w:val="sq-AL"/>
        </w:rPr>
        <w:t>transformimi digjital, pasojat nga pandemia Covid-19 dhe së fundi impaktet nga ndryshimi klimaterik. Sfidë mbetet rregullimi i duhur lidhur me transformimin digjital në sektorin financiar dhe bankar për të siguruar konsumatorët dhe klientët përdorues të tyre se çdo produkt i ofruar nëpërmjet këtyre platformave kryhet në përputhje me disa standarde.  Në kushtet e hartimit të një axhende të re për konsumatorët 2023-2030, Banka  e Shqipërisë   në bashkëpunim me institucion</w:t>
      </w:r>
      <w:r w:rsidR="00214632">
        <w:rPr>
          <w:rFonts w:cs="Times New Roman"/>
          <w:szCs w:val="24"/>
          <w:lang w:val="sq-AL"/>
        </w:rPr>
        <w:t>e</w:t>
      </w:r>
      <w:r w:rsidRPr="009475CC">
        <w:rPr>
          <w:rFonts w:cs="Times New Roman"/>
          <w:szCs w:val="24"/>
          <w:lang w:val="sq-AL"/>
        </w:rPr>
        <w:t xml:space="preserve"> homologe</w:t>
      </w:r>
      <w:r w:rsidR="00214632">
        <w:rPr>
          <w:rFonts w:cs="Times New Roman"/>
          <w:szCs w:val="24"/>
          <w:lang w:val="sq-AL"/>
        </w:rPr>
        <w:t xml:space="preserve"> </w:t>
      </w:r>
      <w:r w:rsidRPr="009475CC">
        <w:rPr>
          <w:rFonts w:cs="Times New Roman"/>
          <w:szCs w:val="24"/>
          <w:lang w:val="sq-AL"/>
        </w:rPr>
        <w:t xml:space="preserve">ndërkombëtare do të vijojë me përmirësimin e mëtejshëm të kuadrit ligjor dhe rregullativ për të garantuar interesat e konsumatorëve dhe rritur nivelin  e mbrojtjes së tyre së klientëve të shërbimeve financiare dhe bankare. </w:t>
      </w:r>
    </w:p>
    <w:p w14:paraId="7BD79289" w14:textId="5A92FDDA" w:rsidR="00BB2F76" w:rsidRDefault="00A85315" w:rsidP="006F6738">
      <w:pPr>
        <w:spacing w:line="240" w:lineRule="auto"/>
        <w:jc w:val="both"/>
        <w:rPr>
          <w:rFonts w:cs="Times New Roman"/>
          <w:szCs w:val="24"/>
          <w:lang w:val="sq-AL"/>
        </w:rPr>
      </w:pPr>
      <w:r w:rsidRPr="009475CC">
        <w:rPr>
          <w:rFonts w:cs="Times New Roman"/>
          <w:szCs w:val="24"/>
          <w:lang w:val="sq-AL"/>
        </w:rPr>
        <w:t>Banka  e Shqipërisë trajton me prioritet të veçantë ankesat e paraqitura në format letër  ose online nëp</w:t>
      </w:r>
      <w:r w:rsidR="00E45C0D">
        <w:rPr>
          <w:rFonts w:cs="Times New Roman"/>
          <w:szCs w:val="24"/>
          <w:lang w:val="sq-AL"/>
        </w:rPr>
        <w:t>ë</w:t>
      </w:r>
      <w:r w:rsidRPr="009475CC">
        <w:rPr>
          <w:rFonts w:cs="Times New Roman"/>
          <w:szCs w:val="24"/>
          <w:lang w:val="sq-AL"/>
        </w:rPr>
        <w:t>rmjet adresës së e-mail-it (public@bankofalbania.org), të publikuar në faqen e saj të internetit  nga individë dhe persona</w:t>
      </w:r>
      <w:r w:rsidR="0022569C">
        <w:rPr>
          <w:rFonts w:cs="Times New Roman"/>
          <w:szCs w:val="24"/>
          <w:lang w:val="sq-AL"/>
        </w:rPr>
        <w:t xml:space="preserve"> </w:t>
      </w:r>
      <w:r w:rsidRPr="009475CC">
        <w:rPr>
          <w:rFonts w:cs="Times New Roman"/>
          <w:szCs w:val="24"/>
          <w:lang w:val="sq-AL"/>
        </w:rPr>
        <w:t>fizikë.  Gjithashtu, nëpërmjet një rubrike të posaçme në faqen e internetit (https://</w:t>
      </w:r>
      <w:r w:rsidR="006D61C0">
        <w:rPr>
          <w:rFonts w:cs="Times New Roman"/>
          <w:szCs w:val="24"/>
          <w:lang w:val="sq-AL"/>
        </w:rPr>
        <w:t>ëëë</w:t>
      </w:r>
      <w:r w:rsidRPr="009475CC">
        <w:rPr>
          <w:rFonts w:cs="Times New Roman"/>
          <w:szCs w:val="24"/>
          <w:lang w:val="sq-AL"/>
        </w:rPr>
        <w:t>.bankofalbania.org/Mbikeqyrja/Trajtimi_i_ankesave/) janë dhënë udhëzimet e nevojshme për të paraqitur dhe trajtuar një ankesë nga Banka  e Shqipërisë. Gjatë pesë viteve të fundit nga Banka  e Shqipërisë janë trajtuar rastet si më poshtë</w:t>
      </w:r>
      <w:r w:rsidR="00E45C0D">
        <w:rPr>
          <w:rFonts w:cs="Times New Roman"/>
          <w:szCs w:val="24"/>
          <w:lang w:val="sq-AL"/>
        </w:rPr>
        <w:t>:</w:t>
      </w:r>
    </w:p>
    <w:p w14:paraId="542180C4" w14:textId="77777777" w:rsidR="004D24BD" w:rsidRDefault="004D24BD" w:rsidP="006F6738">
      <w:pPr>
        <w:spacing w:line="240" w:lineRule="auto"/>
        <w:jc w:val="both"/>
        <w:rPr>
          <w:rFonts w:cs="Times New Roman"/>
          <w:szCs w:val="24"/>
          <w:lang w:val="sq-AL"/>
        </w:rPr>
      </w:pPr>
    </w:p>
    <w:tbl>
      <w:tblPr>
        <w:tblW w:w="9771" w:type="dxa"/>
        <w:tblLayout w:type="fixed"/>
        <w:tblCellMar>
          <w:left w:w="0" w:type="dxa"/>
          <w:right w:w="0" w:type="dxa"/>
        </w:tblCellMar>
        <w:tblLook w:val="04A0" w:firstRow="1" w:lastRow="0" w:firstColumn="1" w:lastColumn="0" w:noHBand="0" w:noVBand="1"/>
      </w:tblPr>
      <w:tblGrid>
        <w:gridCol w:w="990"/>
        <w:gridCol w:w="1530"/>
        <w:gridCol w:w="1530"/>
        <w:gridCol w:w="1446"/>
        <w:gridCol w:w="1536"/>
        <w:gridCol w:w="993"/>
        <w:gridCol w:w="1746"/>
      </w:tblGrid>
      <w:tr w:rsidR="006F6738" w:rsidRPr="006F6738" w14:paraId="7810E0E7" w14:textId="77777777" w:rsidTr="001C7DAC">
        <w:trPr>
          <w:cantSplit/>
          <w:trHeight w:val="300"/>
        </w:trPr>
        <w:tc>
          <w:tcPr>
            <w:tcW w:w="9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514A7" w14:textId="77777777" w:rsidR="006F6738" w:rsidRPr="006F6738" w:rsidRDefault="006F6738" w:rsidP="001C7DAC">
            <w:pPr>
              <w:spacing w:after="0" w:line="240" w:lineRule="auto"/>
              <w:jc w:val="both"/>
              <w:rPr>
                <w:rFonts w:cs="Times New Roman"/>
                <w:b/>
                <w:bCs/>
                <w:color w:val="000000"/>
                <w:szCs w:val="24"/>
                <w:lang w:val="en-US"/>
              </w:rPr>
            </w:pPr>
            <w:r w:rsidRPr="006F6738">
              <w:rPr>
                <w:rFonts w:eastAsia="MS Mincho" w:cs="Times New Roman"/>
                <w:b/>
                <w:bCs/>
                <w:color w:val="000000"/>
                <w:szCs w:val="24"/>
                <w:lang w:val="en-US"/>
              </w:rPr>
              <w:lastRenderedPageBreak/>
              <w:t>Viti</w:t>
            </w:r>
          </w:p>
        </w:tc>
        <w:tc>
          <w:tcPr>
            <w:tcW w:w="15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61E23"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Numri i ankesave gjithsej</w:t>
            </w:r>
          </w:p>
        </w:tc>
        <w:tc>
          <w:tcPr>
            <w:tcW w:w="550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F0BE4"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Zgjidhja e ankesës</w:t>
            </w:r>
          </w:p>
        </w:tc>
        <w:tc>
          <w:tcPr>
            <w:tcW w:w="17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68083C"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Komente</w:t>
            </w:r>
          </w:p>
        </w:tc>
      </w:tr>
      <w:tr w:rsidR="006F6738" w:rsidRPr="006F6738" w14:paraId="34A3C9AF" w14:textId="77777777" w:rsidTr="001C7DAC">
        <w:trPr>
          <w:cantSplit/>
          <w:trHeight w:val="615"/>
        </w:trPr>
        <w:tc>
          <w:tcPr>
            <w:tcW w:w="990" w:type="dxa"/>
            <w:vMerge/>
            <w:tcBorders>
              <w:top w:val="single" w:sz="8" w:space="0" w:color="auto"/>
              <w:left w:val="single" w:sz="8" w:space="0" w:color="auto"/>
              <w:bottom w:val="single" w:sz="8" w:space="0" w:color="auto"/>
              <w:right w:val="single" w:sz="8" w:space="0" w:color="auto"/>
            </w:tcBorders>
            <w:vAlign w:val="center"/>
            <w:hideMark/>
          </w:tcPr>
          <w:p w14:paraId="3A90E88B" w14:textId="77777777" w:rsidR="006F6738" w:rsidRPr="006F6738" w:rsidRDefault="006F6738" w:rsidP="001C7DAC">
            <w:pPr>
              <w:spacing w:after="0" w:line="240" w:lineRule="auto"/>
              <w:jc w:val="both"/>
              <w:rPr>
                <w:rFonts w:cs="Times New Roman"/>
                <w:b/>
                <w:bCs/>
                <w:color w:val="000000"/>
                <w:szCs w:val="24"/>
                <w:lang w:val="en-US"/>
              </w:rPr>
            </w:pPr>
          </w:p>
        </w:tc>
        <w:tc>
          <w:tcPr>
            <w:tcW w:w="1530" w:type="dxa"/>
            <w:vMerge/>
            <w:tcBorders>
              <w:top w:val="single" w:sz="8" w:space="0" w:color="auto"/>
              <w:left w:val="nil"/>
              <w:bottom w:val="single" w:sz="8" w:space="0" w:color="auto"/>
              <w:right w:val="single" w:sz="8" w:space="0" w:color="auto"/>
            </w:tcBorders>
            <w:vAlign w:val="center"/>
            <w:hideMark/>
          </w:tcPr>
          <w:p w14:paraId="6435E241" w14:textId="77777777" w:rsidR="006F6738" w:rsidRPr="006F6738" w:rsidRDefault="006F6738" w:rsidP="001C7DAC">
            <w:pPr>
              <w:spacing w:after="0" w:line="240" w:lineRule="auto"/>
              <w:jc w:val="both"/>
              <w:rPr>
                <w:rFonts w:cs="Times New Roman"/>
                <w:b/>
                <w:bCs/>
                <w:color w:val="000000"/>
                <w:szCs w:val="24"/>
                <w:lang w:val="en-US"/>
              </w:rPr>
            </w:pPr>
          </w:p>
        </w:tc>
        <w:tc>
          <w:tcPr>
            <w:tcW w:w="153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235B594"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Zgjidhur nga institucioni</w:t>
            </w:r>
            <w:r w:rsidRPr="006F6738">
              <w:rPr>
                <w:rFonts w:eastAsia="MS Mincho" w:cs="Times New Roman"/>
                <w:b/>
                <w:bCs/>
                <w:color w:val="1F497D"/>
                <w:szCs w:val="24"/>
                <w:lang w:val="en-US"/>
              </w:rPr>
              <w:t>*</w:t>
            </w:r>
            <w:r w:rsidRPr="006F6738">
              <w:rPr>
                <w:rFonts w:eastAsia="MS Mincho" w:cs="Times New Roman"/>
                <w:b/>
                <w:bCs/>
                <w:color w:val="000000"/>
                <w:szCs w:val="24"/>
                <w:lang w:val="en-US"/>
              </w:rPr>
              <w:t xml:space="preserve"> </w:t>
            </w:r>
          </w:p>
        </w:tc>
        <w:tc>
          <w:tcPr>
            <w:tcW w:w="144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18399B3"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 xml:space="preserve">Deleguar </w:t>
            </w:r>
          </w:p>
        </w:tc>
        <w:tc>
          <w:tcPr>
            <w:tcW w:w="15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0AC44F2"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Jashtë kompetencës</w:t>
            </w:r>
          </w:p>
        </w:tc>
        <w:tc>
          <w:tcPr>
            <w:tcW w:w="9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DDA505"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Tjetër</w:t>
            </w:r>
          </w:p>
        </w:tc>
        <w:tc>
          <w:tcPr>
            <w:tcW w:w="1746" w:type="dxa"/>
            <w:vMerge/>
            <w:tcBorders>
              <w:top w:val="single" w:sz="8" w:space="0" w:color="auto"/>
              <w:left w:val="nil"/>
              <w:bottom w:val="single" w:sz="8" w:space="0" w:color="auto"/>
              <w:right w:val="single" w:sz="8" w:space="0" w:color="auto"/>
            </w:tcBorders>
            <w:vAlign w:val="center"/>
            <w:hideMark/>
          </w:tcPr>
          <w:p w14:paraId="411097FE" w14:textId="77777777" w:rsidR="006F6738" w:rsidRPr="006F6738" w:rsidRDefault="006F6738" w:rsidP="001C7DAC">
            <w:pPr>
              <w:spacing w:after="0" w:line="240" w:lineRule="auto"/>
              <w:jc w:val="both"/>
              <w:rPr>
                <w:rFonts w:cs="Times New Roman"/>
                <w:b/>
                <w:bCs/>
                <w:color w:val="000000"/>
                <w:szCs w:val="24"/>
                <w:lang w:val="en-US"/>
              </w:rPr>
            </w:pPr>
          </w:p>
        </w:tc>
      </w:tr>
      <w:tr w:rsidR="006F6738" w:rsidRPr="006F6738" w14:paraId="07C866AB" w14:textId="77777777" w:rsidTr="001C7DAC">
        <w:trPr>
          <w:cantSplit/>
          <w:trHeight w:val="87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D1352"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2017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AF4F8"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97</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4D988"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35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A37F4"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18E16"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1F497D"/>
                <w:szCs w:val="24"/>
                <w:lang w:val="en-US"/>
              </w:rPr>
              <w:t>62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4EB56"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51A22"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4 ankesa me e-mail nëpërmjet adresës së në faqen zyrtare të Bankës së Shqipërisë)</w:t>
            </w:r>
          </w:p>
        </w:tc>
      </w:tr>
      <w:tr w:rsidR="006F6738" w:rsidRPr="006F6738" w14:paraId="4F9DBE92" w14:textId="77777777" w:rsidTr="001C7DAC">
        <w:trPr>
          <w:cantSplit/>
          <w:trHeight w:val="764"/>
        </w:trPr>
        <w:tc>
          <w:tcPr>
            <w:tcW w:w="99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E175935"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2018</w:t>
            </w:r>
          </w:p>
        </w:tc>
        <w:tc>
          <w:tcPr>
            <w:tcW w:w="153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0C60ABD"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109</w:t>
            </w:r>
          </w:p>
        </w:tc>
        <w:tc>
          <w:tcPr>
            <w:tcW w:w="153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896CF3F"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30</w:t>
            </w:r>
          </w:p>
        </w:tc>
        <w:tc>
          <w:tcPr>
            <w:tcW w:w="144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C9994E1"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5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AF15248"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79</w:t>
            </w:r>
          </w:p>
        </w:tc>
        <w:tc>
          <w:tcPr>
            <w:tcW w:w="9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6EE6621"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74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2D0CEE3"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 xml:space="preserve">15 ankesa me e-mail nëpërmjet adresës së në faqen zyrtare të Bankës së Shqipërisë) </w:t>
            </w:r>
          </w:p>
        </w:tc>
      </w:tr>
      <w:tr w:rsidR="006F6738" w:rsidRPr="006F6738" w14:paraId="4BFC7998" w14:textId="77777777" w:rsidTr="001C7DAC">
        <w:trPr>
          <w:cantSplit/>
          <w:trHeight w:val="669"/>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4B44A"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2019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55F23"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98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F9D0E"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17</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8E5AC"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FCB2E"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81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2796E"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94301"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14 ankesa me e-mail nëpërmjet adresës së në faqen zyrtare të Bankës së Shqipërisë)</w:t>
            </w:r>
          </w:p>
        </w:tc>
      </w:tr>
      <w:tr w:rsidR="006F6738" w:rsidRPr="006F6738" w14:paraId="5B3BEB38" w14:textId="77777777" w:rsidTr="001C7DAC">
        <w:trPr>
          <w:cantSplit/>
          <w:trHeight w:val="1215"/>
        </w:trPr>
        <w:tc>
          <w:tcPr>
            <w:tcW w:w="99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D19C34"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2020*</w:t>
            </w:r>
            <w:r w:rsidRPr="006F6738">
              <w:rPr>
                <w:rFonts w:eastAsia="MS Mincho" w:cs="Times New Roman"/>
                <w:b/>
                <w:bCs/>
                <w:color w:val="1F497D"/>
                <w:szCs w:val="24"/>
                <w:lang w:val="en-US"/>
              </w:rPr>
              <w:t>*</w:t>
            </w:r>
          </w:p>
        </w:tc>
        <w:tc>
          <w:tcPr>
            <w:tcW w:w="153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7624485"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175</w:t>
            </w:r>
          </w:p>
        </w:tc>
        <w:tc>
          <w:tcPr>
            <w:tcW w:w="153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EB5CB0"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18</w:t>
            </w:r>
          </w:p>
        </w:tc>
        <w:tc>
          <w:tcPr>
            <w:tcW w:w="144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34F9284"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5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EB4D633"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157</w:t>
            </w:r>
          </w:p>
        </w:tc>
        <w:tc>
          <w:tcPr>
            <w:tcW w:w="9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A8A534C"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74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7AA4C3E"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52 ankesa me e-mail nëpërmjet adresës së në faqen zyrtare të Bankës së Shqipërisë)</w:t>
            </w:r>
          </w:p>
        </w:tc>
      </w:tr>
      <w:tr w:rsidR="006F6738" w:rsidRPr="006F6738" w14:paraId="555454A0" w14:textId="77777777" w:rsidTr="001C7DAC">
        <w:trPr>
          <w:cantSplit/>
          <w:trHeight w:val="1240"/>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BB78F" w14:textId="77777777" w:rsidR="006F6738" w:rsidRPr="006F6738" w:rsidRDefault="006F6738" w:rsidP="001C7DAC">
            <w:pPr>
              <w:spacing w:after="0" w:line="240" w:lineRule="auto"/>
              <w:jc w:val="both"/>
              <w:rPr>
                <w:rFonts w:eastAsia="MS Mincho" w:cs="Times New Roman"/>
                <w:b/>
                <w:bCs/>
                <w:color w:val="000000"/>
                <w:szCs w:val="24"/>
                <w:lang w:val="en-US"/>
              </w:rPr>
            </w:pPr>
            <w:r w:rsidRPr="006F6738">
              <w:rPr>
                <w:rFonts w:eastAsia="MS Mincho" w:cs="Times New Roman"/>
                <w:b/>
                <w:bCs/>
                <w:color w:val="000000"/>
                <w:szCs w:val="24"/>
                <w:lang w:val="en-US"/>
              </w:rPr>
              <w:t>2021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DB839"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158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434B"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22</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F4CE4"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ACF5"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136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91395" w14:textId="77777777" w:rsidR="006F6738" w:rsidRPr="006F6738" w:rsidRDefault="006F6738" w:rsidP="001C7DAC">
            <w:pPr>
              <w:spacing w:after="0" w:line="240" w:lineRule="auto"/>
              <w:jc w:val="both"/>
              <w:rPr>
                <w:rFonts w:eastAsia="MS Mincho" w:cs="Times New Roman"/>
                <w:color w:val="000000"/>
                <w:szCs w:val="24"/>
                <w:lang w:val="en-US"/>
              </w:rPr>
            </w:pPr>
            <w:r w:rsidRPr="006F6738">
              <w:rPr>
                <w:rFonts w:eastAsia="MS Mincho" w:cs="Times New Roman"/>
                <w:color w:val="000000"/>
                <w:szCs w:val="24"/>
                <w:lang w:val="en-US"/>
              </w:rPr>
              <w:t>n/a</w:t>
            </w:r>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14081" w14:textId="77777777" w:rsidR="006F6738" w:rsidRPr="006F6738" w:rsidRDefault="006F6738" w:rsidP="001C7DAC">
            <w:pPr>
              <w:spacing w:after="0" w:line="240" w:lineRule="auto"/>
              <w:jc w:val="both"/>
              <w:rPr>
                <w:rFonts w:eastAsia="MS Mincho" w:cs="Times New Roman"/>
                <w:b/>
                <w:color w:val="000000"/>
                <w:szCs w:val="24"/>
                <w:lang w:val="en-US"/>
              </w:rPr>
            </w:pPr>
            <w:r w:rsidRPr="006F6738">
              <w:rPr>
                <w:rFonts w:eastAsia="MS Mincho" w:cs="Times New Roman"/>
                <w:color w:val="000000"/>
                <w:szCs w:val="24"/>
                <w:lang w:val="en-US"/>
              </w:rPr>
              <w:t>62 ankesa me e-mail nëpërmjet adresës së në faqen zyrtare të Bankës së Shqipërisë)</w:t>
            </w:r>
          </w:p>
        </w:tc>
      </w:tr>
      <w:tr w:rsidR="006F6738" w:rsidRPr="006F6738" w14:paraId="79E53305" w14:textId="77777777" w:rsidTr="001C7DAC">
        <w:trPr>
          <w:cantSplit/>
          <w:trHeight w:val="1033"/>
        </w:trPr>
        <w:tc>
          <w:tcPr>
            <w:tcW w:w="9771" w:type="dxa"/>
            <w:gridSpan w:val="7"/>
            <w:tcMar>
              <w:top w:w="0" w:type="dxa"/>
              <w:left w:w="108" w:type="dxa"/>
              <w:bottom w:w="0" w:type="dxa"/>
              <w:right w:w="108" w:type="dxa"/>
            </w:tcMar>
            <w:vAlign w:val="center"/>
          </w:tcPr>
          <w:p w14:paraId="3D3D7603" w14:textId="5A959F50" w:rsidR="006F6738" w:rsidRPr="004D24BD" w:rsidRDefault="006F6738" w:rsidP="004D24BD">
            <w:pPr>
              <w:spacing w:after="0" w:line="240" w:lineRule="auto"/>
              <w:rPr>
                <w:rFonts w:eastAsia="MS Mincho" w:cs="Times New Roman"/>
                <w:i/>
                <w:iCs/>
                <w:lang w:val="en-US"/>
              </w:rPr>
            </w:pPr>
            <w:r w:rsidRPr="006F6738">
              <w:rPr>
                <w:rFonts w:eastAsia="MS Mincho" w:cs="Times New Roman"/>
                <w:i/>
                <w:iCs/>
                <w:lang w:val="en-US"/>
              </w:rPr>
              <w:t xml:space="preserve">** janë trajtuar rreth 350 kërkesa të qytetarëve (nëpërmjet adresës ne </w:t>
            </w:r>
            <w:r w:rsidR="004D24BD">
              <w:rPr>
                <w:rFonts w:eastAsia="MS Mincho" w:cs="Times New Roman"/>
                <w:i/>
                <w:iCs/>
                <w:lang w:val="en-US"/>
              </w:rPr>
              <w:t>w</w:t>
            </w:r>
            <w:r w:rsidRPr="006F6738">
              <w:rPr>
                <w:rFonts w:eastAsia="MS Mincho" w:cs="Times New Roman"/>
                <w:i/>
                <w:iCs/>
                <w:lang w:val="en-US"/>
              </w:rPr>
              <w:t>eb të Bankës së Shqipërisë), në kushtet e jashtëzakonshme të krijuara nga pandemia, lidhur me shqetësimet e tyre për riskedulimin e pagesave të kësteve të kredisë për të përfituar nga urdhri i përbashkët i nënshkruar nga Banka e Shqipërisë dhe Qeveria e Republikës së Shqipërisë datë 17.03.2020 “Për shtyrjen e afatit të pagimit të kësteve të kredisë për biznese dhe individë”.</w:t>
            </w:r>
          </w:p>
        </w:tc>
      </w:tr>
    </w:tbl>
    <w:p w14:paraId="5B80DE88" w14:textId="77777777" w:rsidR="006F6738" w:rsidRDefault="006F6738" w:rsidP="006F6738">
      <w:pPr>
        <w:spacing w:line="240" w:lineRule="auto"/>
        <w:jc w:val="both"/>
        <w:rPr>
          <w:rFonts w:cs="Times New Roman"/>
          <w:szCs w:val="24"/>
          <w:lang w:val="sq-AL"/>
        </w:rPr>
      </w:pPr>
    </w:p>
    <w:p w14:paraId="390DA2E5" w14:textId="77777777" w:rsidR="004D24BD" w:rsidRPr="006F6738" w:rsidRDefault="004D24BD" w:rsidP="00623352">
      <w:pPr>
        <w:pStyle w:val="Heading5"/>
        <w:rPr>
          <w:lang w:val="sq-AL"/>
        </w:rPr>
      </w:pPr>
      <w:bookmarkStart w:id="89" w:name="_Hlk121694612"/>
      <w:bookmarkStart w:id="90" w:name="_Toc132277345"/>
      <w:r w:rsidRPr="006F6738">
        <w:t>Autoriteti i Aviacionit Civil</w:t>
      </w:r>
      <w:bookmarkEnd w:id="89"/>
      <w:bookmarkEnd w:id="90"/>
    </w:p>
    <w:p w14:paraId="5B2EF512" w14:textId="77777777" w:rsidR="004D24BD" w:rsidRPr="006F6738" w:rsidRDefault="004D24BD" w:rsidP="004D24BD">
      <w:pPr>
        <w:spacing w:line="240" w:lineRule="auto"/>
        <w:jc w:val="both"/>
        <w:rPr>
          <w:rFonts w:eastAsia="Calibri" w:cs="Times New Roman"/>
          <w:color w:val="000000"/>
          <w:szCs w:val="24"/>
          <w:lang w:eastAsia="sq-AL" w:bidi="sq-AL"/>
        </w:rPr>
      </w:pPr>
      <w:r w:rsidRPr="006F6738">
        <w:rPr>
          <w:rFonts w:cs="Times New Roman"/>
          <w:szCs w:val="24"/>
        </w:rPr>
        <w:t xml:space="preserve">Autoriteti i Aviacionit Civil nëpërmjet </w:t>
      </w:r>
      <w:bookmarkStart w:id="91" w:name="_Hlk121694633"/>
      <w:r w:rsidRPr="006F6738">
        <w:rPr>
          <w:rFonts w:cs="Times New Roman"/>
          <w:szCs w:val="24"/>
        </w:rPr>
        <w:t>SDP (Sektori i të Drejtave të Pasagjerëve</w:t>
      </w:r>
      <w:bookmarkEnd w:id="91"/>
      <w:r w:rsidRPr="006F6738">
        <w:rPr>
          <w:rFonts w:cs="Times New Roman"/>
          <w:szCs w:val="24"/>
        </w:rPr>
        <w:t>) monitoron në mënyrë të rregullt mbrojtjen e të drejtave të pasagjerëve që udhëtojnë nga ajri. Në mënyrë të veçantë AAC tregon kujdes dhe vëmendje për rastet e</w:t>
      </w:r>
      <w:r w:rsidRPr="006F6738">
        <w:rPr>
          <w:rFonts w:eastAsia="Calibri" w:cs="Times New Roman"/>
          <w:color w:val="000000"/>
          <w:szCs w:val="24"/>
          <w:lang w:eastAsia="sq-AL" w:bidi="sq-AL"/>
        </w:rPr>
        <w:t xml:space="preserve"> vonesave apo anullimeve të fluturimeve nga operatorët ajrore, si dhe shlyerjes së detyrimeve që ata kanë për pasagjerët në mënyrë specifike. </w:t>
      </w:r>
    </w:p>
    <w:p w14:paraId="337C9120" w14:textId="77777777" w:rsidR="004D24BD" w:rsidRPr="006F6738" w:rsidRDefault="004D24BD" w:rsidP="004D24BD">
      <w:pPr>
        <w:spacing w:line="240" w:lineRule="auto"/>
        <w:jc w:val="both"/>
        <w:rPr>
          <w:rFonts w:eastAsia="Calibri" w:cs="Times New Roman"/>
          <w:color w:val="000000"/>
          <w:szCs w:val="24"/>
          <w:lang w:eastAsia="sq-AL" w:bidi="sq-AL"/>
        </w:rPr>
      </w:pPr>
      <w:r w:rsidRPr="006F6738">
        <w:rPr>
          <w:rFonts w:eastAsia="Calibri" w:cs="Times New Roman"/>
          <w:color w:val="000000"/>
          <w:szCs w:val="24"/>
          <w:lang w:eastAsia="sq-AL" w:bidi="sq-AL"/>
        </w:rPr>
        <w:t xml:space="preserve">Autoriteti zhvillon aktivitetin e tij mbikqyrës për mbrojtjen e të drejtave të pasagjerë në zbatim të kuadrit rregullator në fuqi. Autoriteti ka iniciuar dhe zbaton një procedurë të brendshme, si </w:t>
      </w:r>
      <w:r w:rsidRPr="006F6738">
        <w:rPr>
          <w:rFonts w:eastAsia="Calibri" w:cs="Times New Roman"/>
          <w:color w:val="000000"/>
          <w:szCs w:val="24"/>
          <w:lang w:eastAsia="sq-AL" w:bidi="sq-AL"/>
        </w:rPr>
        <w:lastRenderedPageBreak/>
        <w:t xml:space="preserve">dhe </w:t>
      </w:r>
      <w:r w:rsidRPr="006F6738">
        <w:rPr>
          <w:rFonts w:cs="Times New Roman"/>
          <w:szCs w:val="24"/>
        </w:rPr>
        <w:t>checklist të përcaktuara me qëllim vlerësimin e performancës së shoqërive ajrore që operojnë në Shqipëri</w:t>
      </w:r>
      <w:r w:rsidRPr="006F6738">
        <w:rPr>
          <w:rFonts w:eastAsia="Calibri" w:cs="Times New Roman"/>
          <w:color w:val="000000"/>
          <w:szCs w:val="24"/>
          <w:lang w:eastAsia="sq-AL" w:bidi="sq-AL"/>
        </w:rPr>
        <w:t xml:space="preserve"> (vendas dhe të huaj) në lidhje me të drejtat e pasagjerëve. Vitet 2018-2019 shënojnë një periudhë të rëndësishme në ndjekjen e rasteve të ankimuara dhe komunikimeve me operatorët ajrore apo dhe Autorietin Licensues kompetent në lidhje me të drejtën për kompesim të pasagjerëve. Është punuar për të bërë të mundur depozitimin e formulareve të ankimimit dhe ankesave nëpërmjet sistemit online, nëpërmjet e-mailit në adresën elektronike </w:t>
      </w:r>
      <w:hyperlink r:id="rId30" w:history="1">
        <w:r w:rsidRPr="006F6738">
          <w:rPr>
            <w:rFonts w:eastAsia="Calibri" w:cs="Times New Roman"/>
            <w:color w:val="0563C1" w:themeColor="hyperlink"/>
            <w:szCs w:val="24"/>
            <w:u w:val="single"/>
            <w:lang w:eastAsia="sq-AL" w:bidi="sq-AL"/>
          </w:rPr>
          <w:t>pax@acaa.gov.al</w:t>
        </w:r>
      </w:hyperlink>
      <w:r w:rsidRPr="006F6738">
        <w:rPr>
          <w:rFonts w:eastAsia="Calibri" w:cs="Times New Roman"/>
          <w:color w:val="000000"/>
          <w:szCs w:val="24"/>
          <w:lang w:eastAsia="sq-AL" w:bidi="sq-AL"/>
        </w:rPr>
        <w:t xml:space="preserve">. </w:t>
      </w:r>
    </w:p>
    <w:p w14:paraId="4CD84D72" w14:textId="77777777" w:rsidR="004D24BD" w:rsidRPr="006F6738" w:rsidRDefault="004D24BD" w:rsidP="004D24BD">
      <w:pPr>
        <w:spacing w:line="240" w:lineRule="auto"/>
        <w:jc w:val="both"/>
        <w:rPr>
          <w:rFonts w:eastAsia="Calibri" w:cs="Times New Roman"/>
          <w:color w:val="000000"/>
          <w:szCs w:val="24"/>
          <w:lang w:eastAsia="sq-AL" w:bidi="sq-AL"/>
        </w:rPr>
      </w:pPr>
      <w:r w:rsidRPr="006F6738">
        <w:rPr>
          <w:rFonts w:eastAsia="Calibri" w:cs="Times New Roman"/>
          <w:color w:val="000000"/>
          <w:szCs w:val="24"/>
          <w:lang w:eastAsia="sq-AL" w:bidi="sq-AL"/>
        </w:rPr>
        <w:t>Në periudhën 2018-2019 AAC ndërmjetësoi në zgjidhjen e një numri të konsiderueshëm ankesash dhe përfitimin e kompesimit për fluturime të vonuara apo anulluara kryesisht nga operatorët ajrorë, por jo vetëm. Gjatë kësaj periudhë janë trajtuar nga AAC 3200 ankesa, prej të cilave kanë marrë zgjidhje dhe janë kompesuar nga operatorët ajrorë 1634 pasagjerë.</w:t>
      </w:r>
    </w:p>
    <w:p w14:paraId="211FD992" w14:textId="77777777" w:rsidR="004D24BD" w:rsidRPr="006F6738" w:rsidRDefault="004D24BD" w:rsidP="004D24BD">
      <w:pPr>
        <w:spacing w:line="240" w:lineRule="auto"/>
        <w:jc w:val="both"/>
        <w:rPr>
          <w:rFonts w:eastAsia="Calibri" w:cs="Times New Roman"/>
          <w:color w:val="000000"/>
          <w:szCs w:val="24"/>
          <w:lang w:eastAsia="sq-AL" w:bidi="sq-AL"/>
        </w:rPr>
      </w:pPr>
      <w:r w:rsidRPr="006F6738">
        <w:rPr>
          <w:rFonts w:eastAsia="Calibri" w:cs="Times New Roman"/>
          <w:color w:val="000000"/>
          <w:szCs w:val="24"/>
          <w:lang w:eastAsia="sq-AL" w:bidi="sq-AL"/>
        </w:rPr>
        <w:t>Më tej, periudha 2020-2021 shënoi gati një mbyllje të fluturimeve në TIA për shkak të pandëmisë së Covid -19. Ato pak fluturime të kryera kishin më shumë karakter riatdhesimi, ku vonesat dhe anullimet e linjave ishin të pakta dhe për pasojë rastet e ankimimeve ishin të ulta. Asistenca ndaj pasagjerit në të shumtën e rasteve gjatë kësaj periudhe ka konsistuar në drejtimin e pasagjerëve për të marrë informacionin e duhur nga kompanitë, orientimin për mënyrën e ankimimit dhe të drejtën e kompensimit për fluturimet e anulluara për shkak të pandemisë (kompensim me voucher/rezervim i një fluturimi në një moment tjetër etj). Viti 2022 shënoi një vit rimëkëmbje për aviacionin civil në Shqipëri (si për mbarë aviacionin civil në botë). Fluksi i shtuar i operimeve në TIA mban mbi vete riskun e vonesave dhe anullimeve të fluturimeve nga operatorët ajrorë. AAC është duke mbikqyrur performancën e linjave dhe po ndjek rast pas rasti ankimimet e depozituara nga pasagjerët, për të mundësuar përfitimin e të drejtës në një kohë sa më të shpejtë.</w:t>
      </w:r>
    </w:p>
    <w:p w14:paraId="5DEA70A2"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lang w:val="sq-AL"/>
        </w:rPr>
      </w:pPr>
      <w:r w:rsidRPr="006F6738">
        <w:rPr>
          <w:rFonts w:eastAsia="Times New Roman" w:cs="Times New Roman"/>
          <w:color w:val="202124"/>
          <w:szCs w:val="24"/>
          <w:lang w:val="sq-AL"/>
        </w:rPr>
        <w:t xml:space="preserve">Autoriteti ka nisur së fundmi një </w:t>
      </w:r>
      <w:r w:rsidRPr="006F6738">
        <w:rPr>
          <w:rFonts w:eastAsia="Times New Roman" w:cs="Times New Roman"/>
          <w:i/>
          <w:color w:val="202124"/>
          <w:szCs w:val="24"/>
          <w:lang w:val="sq-AL"/>
        </w:rPr>
        <w:t>“Plan aktiviteti për performancën e sektorit të të drejtave të pasagjerëve”,</w:t>
      </w:r>
      <w:r w:rsidRPr="006F6738">
        <w:rPr>
          <w:rFonts w:eastAsia="Times New Roman" w:cs="Times New Roman"/>
          <w:color w:val="202124"/>
          <w:szCs w:val="24"/>
          <w:lang w:val="sq-AL"/>
        </w:rPr>
        <w:t xml:space="preserve"> i cili përbëhet nga një platformë e plotë hapash për identifikimin e problemeve; ngritja e një sistemi të plotë të të dhënave (baza e të dhënave elektronike); analiza, vlerësimi dhe menaxhimi i rrezikut; fushatë ndërgjegjësimi i pasagjerëve për të drejtat e tyre; monitorimin e performancës së linjave ajrore.</w:t>
      </w:r>
    </w:p>
    <w:p w14:paraId="05EFD258"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lang w:val="sq-AL"/>
        </w:rPr>
      </w:pPr>
      <w:r w:rsidRPr="006F6738">
        <w:rPr>
          <w:rFonts w:eastAsia="Times New Roman" w:cs="Times New Roman"/>
          <w:color w:val="202124"/>
          <w:szCs w:val="24"/>
          <w:lang w:val="sq-AL"/>
        </w:rPr>
        <w:t>Struktura e re e AAC-së do të kompletojë sektorin e të drejtave të pasagjerëve (SDP) me staf të kualifikuar dhe të trajnuar.</w:t>
      </w:r>
    </w:p>
    <w:p w14:paraId="5C652520"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lang w:val="sq-AL"/>
        </w:rPr>
      </w:pPr>
      <w:r w:rsidRPr="006F6738">
        <w:rPr>
          <w:rFonts w:eastAsia="Times New Roman" w:cs="Times New Roman"/>
          <w:color w:val="202124"/>
          <w:szCs w:val="24"/>
          <w:lang w:val="sq-AL"/>
        </w:rPr>
        <w:t>AAC do të bashkëpunojë me institucionet homologe për të shkëmbyer përvojat më të mira në fushën e mbrojtjes së të drejtave të pasagjerëve.</w:t>
      </w:r>
    </w:p>
    <w:p w14:paraId="2F4E2E71"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rPr>
      </w:pPr>
      <w:r w:rsidRPr="006F6738">
        <w:rPr>
          <w:rFonts w:eastAsia="Times New Roman" w:cs="Times New Roman"/>
          <w:color w:val="202124"/>
          <w:szCs w:val="24"/>
        </w:rPr>
        <w:t xml:space="preserve">- Problematikat më të shpeshta në lidhje me përmbushjen e funksionit të AAC dhe Sektorit të të Drejtave të Pasagjerit kanë të bëjnë me ndërmjetësimin me kompanitë ajrore (vendase dhe të huaja), mbi problematikat në rast të shkeljes së të drejtave të pasagjerëve, në mënyrë që kompanitë të dëmshpërblejnë dhe kompesojnë konsumatorët konform legjislacionit në fuqi. </w:t>
      </w:r>
    </w:p>
    <w:p w14:paraId="65587B84"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rPr>
      </w:pPr>
      <w:r w:rsidRPr="006F6738">
        <w:rPr>
          <w:rFonts w:eastAsia="Times New Roman" w:cs="Times New Roman"/>
          <w:color w:val="202124"/>
          <w:szCs w:val="24"/>
        </w:rPr>
        <w:t xml:space="preserve">- Mbrojta e të drejtës së pasagjerëve dhe shqyrtim i ankesave të pasagjerëve ndaj operatorëve ajrorë vendas dhe të huaj, është realizuar nëpërmjet disa hapave të cilat konsistojnë në informimin/ndergjegjësimin e pasagjerëve nëpëmjet mjeteve të informimit të shkruar (faqja zyrtare e AAC, Facebook), si dhe komunikimit verbal (inspektimeve dhe kontakteve direkte të inspektorëve të SDP me pasagjerët në aeroport). Më tej AAC dërgon formularët e ankimimit të plotësuar nga pasagjerët në zyrat e kompanive ajrore dhe për raste të përsëritur në Autoritetin përgjegjës që ka bërë licensimin e operatorit ajror. </w:t>
      </w:r>
    </w:p>
    <w:p w14:paraId="0E876853"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rPr>
      </w:pPr>
      <w:r w:rsidRPr="006F6738">
        <w:rPr>
          <w:rFonts w:eastAsia="Times New Roman" w:cs="Times New Roman"/>
          <w:color w:val="202124"/>
          <w:szCs w:val="24"/>
        </w:rPr>
        <w:t xml:space="preserve">Nga ana tjetër, shqyrtimi i ankesave të pasagjerëve sjell një informacion të vlefshëm edhe për vlerësimin e performancës dhe cilësinë e shërbimit të veprimtarisë së operatorëve ajrorë dhe evidentimin e problematikave  të subjekteve. Kjo i jep mundësinë Autoritetit të ndërhyjë  në </w:t>
      </w:r>
      <w:r w:rsidRPr="006F6738">
        <w:rPr>
          <w:rFonts w:eastAsia="Times New Roman" w:cs="Times New Roman"/>
          <w:color w:val="202124"/>
          <w:szCs w:val="24"/>
        </w:rPr>
        <w:lastRenderedPageBreak/>
        <w:t>kohë për të zgjidhur çështje konkrete dhe marrjen e masave  të nevojshme  për të shmangur përsëritjen e problematikave në të ardhmen.</w:t>
      </w:r>
    </w:p>
    <w:p w14:paraId="7BB9E4CE"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02124"/>
          <w:szCs w:val="24"/>
        </w:rPr>
      </w:pPr>
      <w:r w:rsidRPr="006F6738">
        <w:rPr>
          <w:rFonts w:eastAsia="Times New Roman" w:cs="Times New Roman"/>
          <w:color w:val="202124"/>
          <w:szCs w:val="24"/>
        </w:rPr>
        <w:t>Çdo statistikë  është  bazuar në formularët që pasagjerët që kanë plotësuar në aeroportin e Rinasit, dorëzuar në AAC dhe dërguar në zyrën qendrore të kompanive ajrore përkatëse.</w:t>
      </w:r>
    </w:p>
    <w:p w14:paraId="258BBCEE" w14:textId="77777777" w:rsidR="004D24BD" w:rsidRPr="006F6738" w:rsidRDefault="004D24BD" w:rsidP="004D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Cs w:val="24"/>
        </w:rPr>
      </w:pPr>
    </w:p>
    <w:tbl>
      <w:tblPr>
        <w:tblStyle w:val="LightGrid"/>
        <w:tblW w:w="10250" w:type="dxa"/>
        <w:tblLayout w:type="fixed"/>
        <w:tblLook w:val="04A0" w:firstRow="1" w:lastRow="0" w:firstColumn="1" w:lastColumn="0" w:noHBand="0" w:noVBand="1"/>
      </w:tblPr>
      <w:tblGrid>
        <w:gridCol w:w="814"/>
        <w:gridCol w:w="1076"/>
        <w:gridCol w:w="1361"/>
        <w:gridCol w:w="1984"/>
        <w:gridCol w:w="1426"/>
        <w:gridCol w:w="1072"/>
        <w:gridCol w:w="2517"/>
      </w:tblGrid>
      <w:tr w:rsidR="004D24BD" w:rsidRPr="006F6738" w14:paraId="346C856C" w14:textId="77777777" w:rsidTr="00975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vMerge w:val="restart"/>
          </w:tcPr>
          <w:p w14:paraId="7CDBC74E" w14:textId="77777777" w:rsidR="004D24BD" w:rsidRPr="006F6738" w:rsidRDefault="004D24BD" w:rsidP="009757FC">
            <w:pPr>
              <w:spacing w:after="160" w:line="259" w:lineRule="auto"/>
              <w:jc w:val="both"/>
              <w:rPr>
                <w:rFonts w:eastAsiaTheme="minorHAnsi" w:cs="Times New Roman"/>
                <w:b w:val="0"/>
                <w:szCs w:val="24"/>
                <w:lang w:val="sq-AL"/>
              </w:rPr>
            </w:pPr>
            <w:r w:rsidRPr="006F6738">
              <w:rPr>
                <w:rFonts w:eastAsiaTheme="minorHAnsi" w:cs="Times New Roman"/>
                <w:b w:val="0"/>
                <w:bCs w:val="0"/>
                <w:szCs w:val="24"/>
                <w:lang w:val="sq-AL"/>
              </w:rPr>
              <w:t>Viti</w:t>
            </w:r>
          </w:p>
          <w:p w14:paraId="1679FB2B" w14:textId="77777777" w:rsidR="004D24BD" w:rsidRPr="006F6738" w:rsidRDefault="004D24BD" w:rsidP="009757FC">
            <w:pPr>
              <w:spacing w:after="160" w:line="259" w:lineRule="auto"/>
              <w:jc w:val="both"/>
              <w:rPr>
                <w:rFonts w:eastAsiaTheme="minorHAnsi" w:cs="Times New Roman"/>
                <w:b w:val="0"/>
                <w:szCs w:val="24"/>
                <w:lang w:val="sq-AL"/>
              </w:rPr>
            </w:pPr>
          </w:p>
        </w:tc>
        <w:tc>
          <w:tcPr>
            <w:tcW w:w="1076" w:type="dxa"/>
            <w:vMerge w:val="restart"/>
          </w:tcPr>
          <w:p w14:paraId="60A54F99"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r w:rsidRPr="006F6738">
              <w:rPr>
                <w:rFonts w:eastAsiaTheme="minorHAnsi" w:cs="Times New Roman"/>
                <w:b w:val="0"/>
                <w:bCs w:val="0"/>
                <w:szCs w:val="24"/>
                <w:lang w:val="sq-AL"/>
              </w:rPr>
              <w:t>Numri i ankesave</w:t>
            </w:r>
          </w:p>
          <w:p w14:paraId="40EB9C84"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r w:rsidRPr="006F6738">
              <w:rPr>
                <w:rFonts w:eastAsiaTheme="minorHAnsi" w:cs="Times New Roman"/>
                <w:b w:val="0"/>
                <w:bCs w:val="0"/>
                <w:szCs w:val="24"/>
                <w:lang w:val="sq-AL"/>
              </w:rPr>
              <w:t>gjithësej</w:t>
            </w:r>
          </w:p>
          <w:p w14:paraId="29E03811"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p>
        </w:tc>
        <w:tc>
          <w:tcPr>
            <w:tcW w:w="5843" w:type="dxa"/>
            <w:gridSpan w:val="4"/>
          </w:tcPr>
          <w:p w14:paraId="19D39BED"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r w:rsidRPr="006F6738">
              <w:rPr>
                <w:rFonts w:eastAsiaTheme="minorHAnsi" w:cs="Times New Roman"/>
                <w:b w:val="0"/>
                <w:bCs w:val="0"/>
                <w:szCs w:val="24"/>
                <w:lang w:val="sq-AL"/>
              </w:rPr>
              <w:t>Zgjidhja e ankesës</w:t>
            </w:r>
          </w:p>
        </w:tc>
        <w:tc>
          <w:tcPr>
            <w:tcW w:w="2517" w:type="dxa"/>
            <w:vMerge w:val="restart"/>
          </w:tcPr>
          <w:p w14:paraId="66118BF7"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r w:rsidRPr="006F6738">
              <w:rPr>
                <w:rFonts w:eastAsiaTheme="minorHAnsi" w:cs="Times New Roman"/>
                <w:b w:val="0"/>
                <w:bCs w:val="0"/>
                <w:szCs w:val="24"/>
                <w:lang w:val="sq-AL"/>
              </w:rPr>
              <w:t>Komente</w:t>
            </w:r>
          </w:p>
          <w:p w14:paraId="4A337DC3" w14:textId="77777777" w:rsidR="004D24BD" w:rsidRPr="006F6738" w:rsidRDefault="004D24BD" w:rsidP="009757F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eastAsiaTheme="minorHAnsi" w:cs="Times New Roman"/>
                <w:b w:val="0"/>
                <w:szCs w:val="24"/>
                <w:lang w:val="sq-AL"/>
              </w:rPr>
            </w:pPr>
          </w:p>
        </w:tc>
      </w:tr>
      <w:tr w:rsidR="004D24BD" w:rsidRPr="006F6738" w14:paraId="5F4A0E92" w14:textId="77777777" w:rsidTr="00975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vMerge/>
          </w:tcPr>
          <w:p w14:paraId="42474312" w14:textId="77777777" w:rsidR="004D24BD" w:rsidRPr="006F6738" w:rsidRDefault="004D24BD" w:rsidP="009757FC">
            <w:pPr>
              <w:spacing w:after="160" w:line="259" w:lineRule="auto"/>
              <w:jc w:val="both"/>
              <w:rPr>
                <w:rFonts w:eastAsiaTheme="minorHAnsi" w:cs="Times New Roman"/>
                <w:b w:val="0"/>
                <w:bCs w:val="0"/>
                <w:szCs w:val="24"/>
                <w:lang w:val="sq-AL"/>
              </w:rPr>
            </w:pPr>
          </w:p>
        </w:tc>
        <w:tc>
          <w:tcPr>
            <w:tcW w:w="1076" w:type="dxa"/>
            <w:vMerge/>
          </w:tcPr>
          <w:p w14:paraId="42E4E447"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361" w:type="dxa"/>
          </w:tcPr>
          <w:p w14:paraId="6216505B"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b/>
                <w:szCs w:val="24"/>
                <w:lang w:val="sq-AL"/>
              </w:rPr>
            </w:pPr>
            <w:r w:rsidRPr="006F6738">
              <w:rPr>
                <w:rFonts w:eastAsiaTheme="minorHAnsi" w:cs="Times New Roman"/>
                <w:b/>
                <w:szCs w:val="24"/>
                <w:lang w:val="sq-AL"/>
              </w:rPr>
              <w:t xml:space="preserve">Zgjidhur nga institucioni </w:t>
            </w:r>
          </w:p>
        </w:tc>
        <w:tc>
          <w:tcPr>
            <w:tcW w:w="1984" w:type="dxa"/>
          </w:tcPr>
          <w:p w14:paraId="0D15A7BA"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b/>
                <w:szCs w:val="24"/>
                <w:lang w:val="sq-AL"/>
              </w:rPr>
            </w:pPr>
            <w:r w:rsidRPr="006F6738">
              <w:rPr>
                <w:rFonts w:eastAsiaTheme="minorHAnsi" w:cs="Times New Roman"/>
                <w:b/>
                <w:szCs w:val="24"/>
                <w:lang w:val="sq-AL"/>
              </w:rPr>
              <w:t xml:space="preserve">Deleguar/zgjidhur </w:t>
            </w:r>
          </w:p>
        </w:tc>
        <w:tc>
          <w:tcPr>
            <w:tcW w:w="1426" w:type="dxa"/>
          </w:tcPr>
          <w:p w14:paraId="12D036EE"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b/>
                <w:szCs w:val="24"/>
                <w:lang w:val="sq-AL"/>
              </w:rPr>
            </w:pPr>
            <w:r w:rsidRPr="006F6738">
              <w:rPr>
                <w:rFonts w:eastAsiaTheme="minorHAnsi" w:cs="Times New Roman"/>
                <w:b/>
                <w:szCs w:val="24"/>
                <w:lang w:val="sq-AL"/>
              </w:rPr>
              <w:t>Jashtë kompetencës</w:t>
            </w:r>
          </w:p>
        </w:tc>
        <w:tc>
          <w:tcPr>
            <w:tcW w:w="1072" w:type="dxa"/>
          </w:tcPr>
          <w:p w14:paraId="58D81051"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b/>
                <w:szCs w:val="24"/>
                <w:lang w:val="sq-AL"/>
              </w:rPr>
            </w:pPr>
            <w:r w:rsidRPr="006F6738">
              <w:rPr>
                <w:rFonts w:eastAsiaTheme="minorHAnsi" w:cs="Times New Roman"/>
                <w:b/>
                <w:szCs w:val="24"/>
                <w:lang w:val="sq-AL"/>
              </w:rPr>
              <w:t>Tjet</w:t>
            </w:r>
            <w:r w:rsidRPr="006F6738">
              <w:rPr>
                <w:rFonts w:eastAsiaTheme="minorHAnsi" w:cs="Times New Roman"/>
                <w:b/>
                <w:bCs/>
                <w:szCs w:val="24"/>
                <w:lang w:val="sq-AL"/>
              </w:rPr>
              <w:t>ër</w:t>
            </w:r>
          </w:p>
        </w:tc>
        <w:tc>
          <w:tcPr>
            <w:tcW w:w="2517" w:type="dxa"/>
            <w:vMerge/>
          </w:tcPr>
          <w:p w14:paraId="73F6D4AE"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r>
      <w:tr w:rsidR="004D24BD" w:rsidRPr="006F6738" w14:paraId="697CAEDE" w14:textId="77777777" w:rsidTr="00975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Pr>
          <w:p w14:paraId="371DDE84" w14:textId="77777777" w:rsidR="004D24BD" w:rsidRPr="006F6738" w:rsidRDefault="004D24BD" w:rsidP="009757FC">
            <w:pPr>
              <w:spacing w:after="160" w:line="259" w:lineRule="auto"/>
              <w:jc w:val="both"/>
              <w:rPr>
                <w:rFonts w:eastAsiaTheme="minorHAnsi" w:cs="Times New Roman"/>
                <w:b w:val="0"/>
                <w:bCs w:val="0"/>
                <w:szCs w:val="24"/>
                <w:lang w:val="sq-AL"/>
              </w:rPr>
            </w:pPr>
            <w:r w:rsidRPr="006F6738">
              <w:rPr>
                <w:rFonts w:eastAsiaTheme="minorHAnsi" w:cs="Times New Roman"/>
                <w:b w:val="0"/>
                <w:bCs w:val="0"/>
                <w:szCs w:val="24"/>
                <w:lang w:val="sq-AL"/>
              </w:rPr>
              <w:t>2017</w:t>
            </w:r>
          </w:p>
        </w:tc>
        <w:tc>
          <w:tcPr>
            <w:tcW w:w="1076" w:type="dxa"/>
          </w:tcPr>
          <w:p w14:paraId="0FEE41E0" w14:textId="77777777" w:rsidR="004D24BD" w:rsidRPr="006F6738" w:rsidRDefault="004D24BD" w:rsidP="009757FC">
            <w:pPr>
              <w:tabs>
                <w:tab w:val="left" w:pos="330"/>
              </w:tabs>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94</w:t>
            </w:r>
          </w:p>
        </w:tc>
        <w:tc>
          <w:tcPr>
            <w:tcW w:w="1361" w:type="dxa"/>
          </w:tcPr>
          <w:p w14:paraId="4261F2A3"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984" w:type="dxa"/>
          </w:tcPr>
          <w:p w14:paraId="42A61CE6"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77</w:t>
            </w:r>
          </w:p>
        </w:tc>
        <w:tc>
          <w:tcPr>
            <w:tcW w:w="1426" w:type="dxa"/>
          </w:tcPr>
          <w:p w14:paraId="79AF7A8B"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072" w:type="dxa"/>
          </w:tcPr>
          <w:p w14:paraId="5BFD2247"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b/>
                <w:szCs w:val="24"/>
                <w:lang w:val="sq-AL"/>
              </w:rPr>
            </w:pPr>
          </w:p>
        </w:tc>
        <w:tc>
          <w:tcPr>
            <w:tcW w:w="2517" w:type="dxa"/>
          </w:tcPr>
          <w:p w14:paraId="1918DA55"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b/>
                <w:szCs w:val="24"/>
                <w:lang w:val="sq-AL"/>
              </w:rPr>
            </w:pPr>
            <w:r w:rsidRPr="006F6738">
              <w:rPr>
                <w:rFonts w:eastAsiaTheme="minorHAnsi" w:cs="Times New Roman"/>
                <w:szCs w:val="24"/>
                <w:lang w:val="sq-AL"/>
              </w:rPr>
              <w:t>Zgjidhur nga operatorët ajrorë</w:t>
            </w:r>
          </w:p>
        </w:tc>
      </w:tr>
      <w:tr w:rsidR="004D24BD" w:rsidRPr="006F6738" w14:paraId="7E75FAE5" w14:textId="77777777" w:rsidTr="00975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Pr>
          <w:p w14:paraId="6F4D5921" w14:textId="77777777" w:rsidR="004D24BD" w:rsidRPr="006F6738" w:rsidRDefault="004D24BD" w:rsidP="009757FC">
            <w:pPr>
              <w:spacing w:after="160" w:line="259" w:lineRule="auto"/>
              <w:jc w:val="both"/>
              <w:rPr>
                <w:rFonts w:eastAsiaTheme="minorHAnsi" w:cs="Times New Roman"/>
                <w:b w:val="0"/>
                <w:bCs w:val="0"/>
                <w:szCs w:val="24"/>
                <w:lang w:val="sq-AL"/>
              </w:rPr>
            </w:pPr>
            <w:r w:rsidRPr="006F6738">
              <w:rPr>
                <w:rFonts w:eastAsiaTheme="minorHAnsi" w:cs="Times New Roman"/>
                <w:b w:val="0"/>
                <w:bCs w:val="0"/>
                <w:szCs w:val="24"/>
                <w:lang w:val="sq-AL"/>
              </w:rPr>
              <w:t>2018</w:t>
            </w:r>
          </w:p>
        </w:tc>
        <w:tc>
          <w:tcPr>
            <w:tcW w:w="1076" w:type="dxa"/>
          </w:tcPr>
          <w:p w14:paraId="05614911"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1136</w:t>
            </w:r>
          </w:p>
        </w:tc>
        <w:tc>
          <w:tcPr>
            <w:tcW w:w="1361" w:type="dxa"/>
          </w:tcPr>
          <w:p w14:paraId="003CD13E"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984" w:type="dxa"/>
          </w:tcPr>
          <w:p w14:paraId="3833F69D"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500</w:t>
            </w:r>
          </w:p>
        </w:tc>
        <w:tc>
          <w:tcPr>
            <w:tcW w:w="1426" w:type="dxa"/>
          </w:tcPr>
          <w:p w14:paraId="3C88BCA1"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072" w:type="dxa"/>
          </w:tcPr>
          <w:p w14:paraId="64B93B50"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2517" w:type="dxa"/>
          </w:tcPr>
          <w:p w14:paraId="31254933"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Zgjidhur nga operatorët ajrorë</w:t>
            </w:r>
          </w:p>
        </w:tc>
      </w:tr>
      <w:tr w:rsidR="004D24BD" w:rsidRPr="006F6738" w14:paraId="50DB838A" w14:textId="77777777" w:rsidTr="00975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Pr>
          <w:p w14:paraId="0F272D70" w14:textId="77777777" w:rsidR="004D24BD" w:rsidRPr="006F6738" w:rsidRDefault="004D24BD" w:rsidP="009757FC">
            <w:pPr>
              <w:spacing w:after="160" w:line="259" w:lineRule="auto"/>
              <w:jc w:val="both"/>
              <w:rPr>
                <w:rFonts w:eastAsiaTheme="minorHAnsi" w:cs="Times New Roman"/>
                <w:b w:val="0"/>
                <w:bCs w:val="0"/>
                <w:szCs w:val="24"/>
                <w:lang w:val="sq-AL"/>
              </w:rPr>
            </w:pPr>
            <w:r w:rsidRPr="006F6738">
              <w:rPr>
                <w:rFonts w:eastAsiaTheme="minorHAnsi" w:cs="Times New Roman"/>
                <w:b w:val="0"/>
                <w:bCs w:val="0"/>
                <w:szCs w:val="24"/>
                <w:lang w:val="sq-AL"/>
              </w:rPr>
              <w:t>2019</w:t>
            </w:r>
          </w:p>
        </w:tc>
        <w:tc>
          <w:tcPr>
            <w:tcW w:w="1076" w:type="dxa"/>
          </w:tcPr>
          <w:p w14:paraId="6D06DA1B"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2064</w:t>
            </w:r>
          </w:p>
        </w:tc>
        <w:tc>
          <w:tcPr>
            <w:tcW w:w="1361" w:type="dxa"/>
          </w:tcPr>
          <w:p w14:paraId="3AEA3565"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984" w:type="dxa"/>
          </w:tcPr>
          <w:p w14:paraId="460F39A2"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1134</w:t>
            </w:r>
          </w:p>
        </w:tc>
        <w:tc>
          <w:tcPr>
            <w:tcW w:w="1426" w:type="dxa"/>
          </w:tcPr>
          <w:p w14:paraId="5122E2CD"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072" w:type="dxa"/>
          </w:tcPr>
          <w:p w14:paraId="4263C257"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2517" w:type="dxa"/>
          </w:tcPr>
          <w:p w14:paraId="082364B7"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Zgjidhur nga operatorët ajrorë</w:t>
            </w:r>
          </w:p>
        </w:tc>
      </w:tr>
      <w:tr w:rsidR="004D24BD" w:rsidRPr="006F6738" w14:paraId="388D1F75" w14:textId="77777777" w:rsidTr="00975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Pr>
          <w:p w14:paraId="105234C7" w14:textId="77777777" w:rsidR="004D24BD" w:rsidRPr="006F6738" w:rsidRDefault="004D24BD" w:rsidP="009757FC">
            <w:pPr>
              <w:spacing w:after="160" w:line="259" w:lineRule="auto"/>
              <w:jc w:val="both"/>
              <w:rPr>
                <w:rFonts w:eastAsiaTheme="minorHAnsi" w:cs="Times New Roman"/>
                <w:b w:val="0"/>
                <w:bCs w:val="0"/>
                <w:szCs w:val="24"/>
                <w:lang w:val="sq-AL"/>
              </w:rPr>
            </w:pPr>
            <w:r w:rsidRPr="006F6738">
              <w:rPr>
                <w:rFonts w:eastAsiaTheme="minorHAnsi" w:cs="Times New Roman"/>
                <w:b w:val="0"/>
                <w:bCs w:val="0"/>
                <w:szCs w:val="24"/>
                <w:lang w:val="sq-AL"/>
              </w:rPr>
              <w:t>2020</w:t>
            </w:r>
          </w:p>
        </w:tc>
        <w:tc>
          <w:tcPr>
            <w:tcW w:w="1076" w:type="dxa"/>
          </w:tcPr>
          <w:p w14:paraId="3CBF827F"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47</w:t>
            </w:r>
          </w:p>
        </w:tc>
        <w:tc>
          <w:tcPr>
            <w:tcW w:w="1361" w:type="dxa"/>
          </w:tcPr>
          <w:p w14:paraId="19FE1190"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984" w:type="dxa"/>
          </w:tcPr>
          <w:p w14:paraId="42F48978"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426" w:type="dxa"/>
          </w:tcPr>
          <w:p w14:paraId="3A4A975D"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1072" w:type="dxa"/>
          </w:tcPr>
          <w:p w14:paraId="5A9D8B4C"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p>
        </w:tc>
        <w:tc>
          <w:tcPr>
            <w:tcW w:w="2517" w:type="dxa"/>
          </w:tcPr>
          <w:p w14:paraId="68F5CB82" w14:textId="77777777" w:rsidR="004D24BD" w:rsidRPr="006F6738" w:rsidRDefault="004D24BD" w:rsidP="009757F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 xml:space="preserve">Janë adresuar dhe janë në proces shqyrtimi </w:t>
            </w:r>
          </w:p>
        </w:tc>
      </w:tr>
      <w:tr w:rsidR="004D24BD" w:rsidRPr="006F6738" w14:paraId="0B107C98" w14:textId="77777777" w:rsidTr="00975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Pr>
          <w:p w14:paraId="18FC8E31" w14:textId="77777777" w:rsidR="004D24BD" w:rsidRPr="006F6738" w:rsidRDefault="004D24BD" w:rsidP="009757FC">
            <w:pPr>
              <w:spacing w:after="160" w:line="259" w:lineRule="auto"/>
              <w:jc w:val="both"/>
              <w:rPr>
                <w:rFonts w:eastAsiaTheme="minorHAnsi" w:cs="Times New Roman"/>
                <w:b w:val="0"/>
                <w:bCs w:val="0"/>
                <w:szCs w:val="24"/>
                <w:lang w:val="sq-AL"/>
              </w:rPr>
            </w:pPr>
            <w:r w:rsidRPr="006F6738">
              <w:rPr>
                <w:rFonts w:eastAsiaTheme="minorHAnsi" w:cs="Times New Roman"/>
                <w:b w:val="0"/>
                <w:bCs w:val="0"/>
                <w:szCs w:val="24"/>
                <w:lang w:val="sq-AL"/>
              </w:rPr>
              <w:t>2021</w:t>
            </w:r>
          </w:p>
        </w:tc>
        <w:tc>
          <w:tcPr>
            <w:tcW w:w="1076" w:type="dxa"/>
          </w:tcPr>
          <w:p w14:paraId="2BE7BA9B"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80</w:t>
            </w:r>
          </w:p>
        </w:tc>
        <w:tc>
          <w:tcPr>
            <w:tcW w:w="1361" w:type="dxa"/>
          </w:tcPr>
          <w:p w14:paraId="73EE86C0"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984" w:type="dxa"/>
          </w:tcPr>
          <w:p w14:paraId="20B467AB"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426" w:type="dxa"/>
          </w:tcPr>
          <w:p w14:paraId="43F9BE99"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1072" w:type="dxa"/>
          </w:tcPr>
          <w:p w14:paraId="5F11C541"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p>
        </w:tc>
        <w:tc>
          <w:tcPr>
            <w:tcW w:w="2517" w:type="dxa"/>
          </w:tcPr>
          <w:p w14:paraId="47C92801" w14:textId="77777777" w:rsidR="004D24BD" w:rsidRPr="006F6738" w:rsidRDefault="004D24BD" w:rsidP="009757FC">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eastAsiaTheme="minorHAnsi" w:cs="Times New Roman"/>
                <w:szCs w:val="24"/>
                <w:lang w:val="sq-AL"/>
              </w:rPr>
            </w:pPr>
            <w:r w:rsidRPr="006F6738">
              <w:rPr>
                <w:rFonts w:eastAsiaTheme="minorHAnsi" w:cs="Times New Roman"/>
                <w:szCs w:val="24"/>
                <w:lang w:val="sq-AL"/>
              </w:rPr>
              <w:t>Janë adresuar dhe janë në proces shqyrtimi</w:t>
            </w:r>
          </w:p>
        </w:tc>
      </w:tr>
    </w:tbl>
    <w:p w14:paraId="02556731" w14:textId="77777777" w:rsidR="006F6738" w:rsidRPr="009475CC" w:rsidRDefault="006F6738" w:rsidP="006F6738">
      <w:pPr>
        <w:spacing w:line="240" w:lineRule="auto"/>
        <w:jc w:val="both"/>
        <w:rPr>
          <w:rFonts w:cs="Times New Roman"/>
          <w:szCs w:val="24"/>
          <w:lang w:val="sq-AL"/>
        </w:rPr>
      </w:pPr>
    </w:p>
    <w:p w14:paraId="7F1717ED" w14:textId="1083285D" w:rsidR="006C3F60" w:rsidRPr="002F2034" w:rsidRDefault="001166A9" w:rsidP="00623352">
      <w:pPr>
        <w:pStyle w:val="Heading3"/>
      </w:pPr>
      <w:bookmarkStart w:id="92" w:name="_Toc130994981"/>
      <w:bookmarkStart w:id="93" w:name="_Toc132277346"/>
      <w:r w:rsidRPr="002F2034">
        <w:t xml:space="preserve">Kuadri ligjor mbi </w:t>
      </w:r>
      <w:r w:rsidR="00972736" w:rsidRPr="002F2034">
        <w:t xml:space="preserve">çështjet </w:t>
      </w:r>
      <w:r w:rsidR="00446B07" w:rsidRPr="002F2034">
        <w:t>e</w:t>
      </w:r>
      <w:r w:rsidRPr="002F2034">
        <w:t xml:space="preserve"> mbrojtjes së konsumatorëve </w:t>
      </w:r>
      <w:r w:rsidR="00957AD4" w:rsidRPr="002F2034">
        <w:t xml:space="preserve">që nuk lidhen me </w:t>
      </w:r>
      <w:r w:rsidRPr="002F2034">
        <w:t>aspektet e sigurisë</w:t>
      </w:r>
      <w:bookmarkEnd w:id="92"/>
      <w:bookmarkEnd w:id="93"/>
    </w:p>
    <w:p w14:paraId="13D598F1" w14:textId="1E14499D" w:rsidR="006C3F60" w:rsidRDefault="00AE0AB4" w:rsidP="00623352">
      <w:pPr>
        <w:pStyle w:val="Heading5"/>
      </w:pPr>
      <w:bookmarkStart w:id="94" w:name="_Toc132277347"/>
      <w:r>
        <w:t>M</w:t>
      </w:r>
      <w:r w:rsidR="006C3F60" w:rsidRPr="002F2034">
        <w:t>inistria e Financave dhe Ekonomisë</w:t>
      </w:r>
      <w:bookmarkEnd w:id="94"/>
    </w:p>
    <w:p w14:paraId="20F1A069" w14:textId="02DBCE08" w:rsidR="00972736" w:rsidRPr="009475CC" w:rsidRDefault="00972736" w:rsidP="00AE0AB4">
      <w:pPr>
        <w:spacing w:line="240" w:lineRule="auto"/>
        <w:jc w:val="both"/>
        <w:rPr>
          <w:rFonts w:cs="Times New Roman"/>
          <w:szCs w:val="24"/>
          <w:lang w:val="sq-AL"/>
        </w:rPr>
      </w:pPr>
      <w:r w:rsidRPr="009475CC">
        <w:rPr>
          <w:rFonts w:cs="Times New Roman"/>
          <w:szCs w:val="24"/>
          <w:lang w:val="sq-AL"/>
        </w:rPr>
        <w:t xml:space="preserve">Në lidhje me aspektet që nuk lidhen me sigurinë, për çështjet e mbrojtjes së interesave </w:t>
      </w:r>
      <w:r w:rsidR="00F40014">
        <w:rPr>
          <w:rFonts w:cs="Times New Roman"/>
          <w:szCs w:val="24"/>
          <w:lang w:val="sq-AL"/>
        </w:rPr>
        <w:t>e</w:t>
      </w:r>
      <w:r w:rsidRPr="009475CC">
        <w:rPr>
          <w:rFonts w:cs="Times New Roman"/>
          <w:szCs w:val="24"/>
          <w:lang w:val="sq-AL"/>
        </w:rPr>
        <w:t>konomike dhe të drejtave të tjera të konsumatorëve, vepron legjislacioni, respektivisht sipas fushave, si vijon:</w:t>
      </w:r>
    </w:p>
    <w:p w14:paraId="02BAD9B0" w14:textId="77777777" w:rsidR="00F40014" w:rsidRDefault="00972736" w:rsidP="00623352">
      <w:pPr>
        <w:pStyle w:val="ListParagraph"/>
        <w:numPr>
          <w:ilvl w:val="0"/>
          <w:numId w:val="19"/>
        </w:numPr>
        <w:spacing w:line="240" w:lineRule="auto"/>
        <w:jc w:val="both"/>
        <w:rPr>
          <w:rFonts w:cs="Times New Roman"/>
          <w:szCs w:val="24"/>
          <w:lang w:val="sq-AL"/>
        </w:rPr>
      </w:pPr>
      <w:r w:rsidRPr="00F40014">
        <w:rPr>
          <w:rFonts w:cs="Times New Roman"/>
          <w:szCs w:val="24"/>
          <w:lang w:val="sq-AL"/>
        </w:rPr>
        <w:t>Ligji nr. 9902, datë 17.04.2008 “Për mbrojtjen e konsumatorëve”, i ndryshuar</w:t>
      </w:r>
      <w:r w:rsidRPr="009475CC">
        <w:rPr>
          <w:rStyle w:val="FootnoteReference"/>
          <w:rFonts w:cs="Times New Roman"/>
          <w:szCs w:val="24"/>
        </w:rPr>
        <w:footnoteReference w:id="12"/>
      </w:r>
    </w:p>
    <w:p w14:paraId="3605FA8E" w14:textId="78494447" w:rsidR="00F40014" w:rsidRPr="00F40014" w:rsidRDefault="00972736" w:rsidP="00AE0AB4">
      <w:pPr>
        <w:spacing w:line="240" w:lineRule="auto"/>
        <w:jc w:val="both"/>
        <w:rPr>
          <w:rFonts w:cs="Times New Roman"/>
          <w:szCs w:val="24"/>
          <w:lang w:val="sq-AL"/>
        </w:rPr>
      </w:pPr>
      <w:r w:rsidRPr="00F40014">
        <w:rPr>
          <w:rFonts w:cs="Times New Roman"/>
          <w:szCs w:val="24"/>
          <w:lang w:val="sq-AL"/>
        </w:rPr>
        <w:t>sëbashku me aktet nënligjore, kanë krijuar një bazë të fortë në mbrojtje të të drejtave të konsumatorëve përkundrejt praktikave të padrejta tregtare, kushteve të padrejta në kontrata, të drejtave të konsumatorit në kontratat në largësi, mungesën e transparencës për informim, etj., me të cilat konsumatorët ndeshen vazhdimisht në treg. Ky kuadër ligjor ka karakter horizontal zbatohet mbi të gjitha llojet e marrëdhënieve ndërmjet tregtarëve dhe konsumatorëve e që kan</w:t>
      </w:r>
      <w:r w:rsidR="00F40014">
        <w:rPr>
          <w:rFonts w:cs="Times New Roman"/>
          <w:szCs w:val="24"/>
          <w:lang w:val="sq-AL"/>
        </w:rPr>
        <w:t>ë</w:t>
      </w:r>
      <w:r w:rsidRPr="00F40014">
        <w:rPr>
          <w:rFonts w:cs="Times New Roman"/>
          <w:szCs w:val="24"/>
          <w:lang w:val="sq-AL"/>
        </w:rPr>
        <w:t xml:space="preserve"> </w:t>
      </w:r>
      <w:r w:rsidRPr="00F40014">
        <w:rPr>
          <w:rFonts w:cs="Times New Roman"/>
          <w:szCs w:val="24"/>
          <w:lang w:val="sq-AL"/>
        </w:rPr>
        <w:lastRenderedPageBreak/>
        <w:t xml:space="preserve">të bëjnë me mallrat apo shërbimet e konsumatorëve, me përjashtim kur fusha të veçanta kanë legjislcionin e tyre specifik. </w:t>
      </w:r>
    </w:p>
    <w:p w14:paraId="59F0A9ED" w14:textId="383FDA75" w:rsidR="00282A23" w:rsidRDefault="009D102B" w:rsidP="00623352">
      <w:pPr>
        <w:pStyle w:val="Heading5"/>
      </w:pPr>
      <w:bookmarkStart w:id="95" w:name="_Toc132277348"/>
      <w:r w:rsidRPr="00F40014">
        <w:t>Ministria e Turizmi dhe M</w:t>
      </w:r>
      <w:r w:rsidR="00282A23" w:rsidRPr="00F40014">
        <w:t>jedisit</w:t>
      </w:r>
      <w:bookmarkEnd w:id="95"/>
    </w:p>
    <w:p w14:paraId="0295F17F" w14:textId="08C0EA30" w:rsidR="00282A23" w:rsidRPr="00F40014" w:rsidRDefault="00282A23" w:rsidP="00AE0AB4">
      <w:pPr>
        <w:spacing w:line="240" w:lineRule="auto"/>
        <w:jc w:val="both"/>
        <w:rPr>
          <w:rFonts w:cs="Times New Roman"/>
          <w:szCs w:val="24"/>
          <w:lang w:val="sq-AL"/>
        </w:rPr>
      </w:pPr>
      <w:r w:rsidRPr="007B7A75">
        <w:rPr>
          <w:rFonts w:cs="Times New Roman"/>
          <w:szCs w:val="24"/>
          <w:lang w:val="sq-AL"/>
        </w:rPr>
        <w:t>Ligji</w:t>
      </w:r>
      <w:r w:rsidR="006C3F60" w:rsidRPr="007B7A75">
        <w:rPr>
          <w:rFonts w:cs="Times New Roman"/>
          <w:szCs w:val="24"/>
          <w:lang w:val="sq-AL"/>
        </w:rPr>
        <w:t xml:space="preserve"> nr.</w:t>
      </w:r>
      <w:r w:rsidRPr="007B7A75">
        <w:rPr>
          <w:rFonts w:cs="Times New Roman"/>
          <w:szCs w:val="24"/>
          <w:lang w:val="sq-AL"/>
        </w:rPr>
        <w:t xml:space="preserve"> 93/2015 “P</w:t>
      </w:r>
      <w:r w:rsidR="006C3F60" w:rsidRPr="007B7A75">
        <w:rPr>
          <w:rFonts w:cs="Times New Roman"/>
          <w:szCs w:val="24"/>
          <w:lang w:val="sq-AL"/>
        </w:rPr>
        <w:t>ë</w:t>
      </w:r>
      <w:r w:rsidRPr="007B7A75">
        <w:rPr>
          <w:rFonts w:cs="Times New Roman"/>
          <w:szCs w:val="24"/>
          <w:lang w:val="sq-AL"/>
        </w:rPr>
        <w:t xml:space="preserve">r turizmin” e prek </w:t>
      </w:r>
      <w:r w:rsidR="006C3F60" w:rsidRPr="007B7A75">
        <w:rPr>
          <w:rFonts w:cs="Times New Roman"/>
          <w:szCs w:val="24"/>
          <w:lang w:val="sq-AL"/>
        </w:rPr>
        <w:t>çë</w:t>
      </w:r>
      <w:r w:rsidRPr="007B7A75">
        <w:rPr>
          <w:rFonts w:cs="Times New Roman"/>
          <w:szCs w:val="24"/>
          <w:lang w:val="sq-AL"/>
        </w:rPr>
        <w:t>shtjen e mbrojtjes s</w:t>
      </w:r>
      <w:r w:rsidR="006C3F60" w:rsidRPr="007B7A75">
        <w:rPr>
          <w:rFonts w:cs="Times New Roman"/>
          <w:szCs w:val="24"/>
          <w:lang w:val="sq-AL"/>
        </w:rPr>
        <w:t>ë</w:t>
      </w:r>
      <w:r w:rsidRPr="007B7A75">
        <w:rPr>
          <w:rFonts w:cs="Times New Roman"/>
          <w:szCs w:val="24"/>
          <w:lang w:val="sq-AL"/>
        </w:rPr>
        <w:t xml:space="preserve"> konsumatorit (turistit)</w:t>
      </w:r>
      <w:r w:rsidR="007B7A75">
        <w:rPr>
          <w:rFonts w:cs="Times New Roman"/>
          <w:szCs w:val="24"/>
          <w:lang w:val="sq-AL"/>
        </w:rPr>
        <w:t xml:space="preserve"> </w:t>
      </w:r>
      <w:r w:rsidRPr="00F40014">
        <w:rPr>
          <w:rFonts w:cs="Times New Roman"/>
          <w:szCs w:val="24"/>
          <w:lang w:val="sq-AL"/>
        </w:rPr>
        <w:t>sa i takon hartimit t</w:t>
      </w:r>
      <w:r w:rsidR="006C3F60" w:rsidRPr="00F40014">
        <w:rPr>
          <w:rFonts w:cs="Times New Roman"/>
          <w:szCs w:val="24"/>
          <w:lang w:val="sq-AL"/>
        </w:rPr>
        <w:t>ë</w:t>
      </w:r>
      <w:r w:rsidRPr="00F40014">
        <w:rPr>
          <w:rFonts w:cs="Times New Roman"/>
          <w:szCs w:val="24"/>
          <w:lang w:val="sq-AL"/>
        </w:rPr>
        <w:t xml:space="preserve"> paketave t</w:t>
      </w:r>
      <w:r w:rsidR="006C3F60" w:rsidRPr="00F40014">
        <w:rPr>
          <w:rFonts w:cs="Times New Roman"/>
          <w:szCs w:val="24"/>
          <w:lang w:val="sq-AL"/>
        </w:rPr>
        <w:t>ë</w:t>
      </w:r>
      <w:r w:rsidRPr="00F40014">
        <w:rPr>
          <w:rFonts w:cs="Times New Roman"/>
          <w:szCs w:val="24"/>
          <w:lang w:val="sq-AL"/>
        </w:rPr>
        <w:t xml:space="preserve"> udh</w:t>
      </w:r>
      <w:r w:rsidR="006C3F60" w:rsidRPr="00F40014">
        <w:rPr>
          <w:rFonts w:cs="Times New Roman"/>
          <w:szCs w:val="24"/>
          <w:lang w:val="sq-AL"/>
        </w:rPr>
        <w:t>ë</w:t>
      </w:r>
      <w:r w:rsidRPr="00F40014">
        <w:rPr>
          <w:rFonts w:cs="Times New Roman"/>
          <w:szCs w:val="24"/>
          <w:lang w:val="sq-AL"/>
        </w:rPr>
        <w:t>timit duke p</w:t>
      </w:r>
      <w:r w:rsidR="00F40014">
        <w:rPr>
          <w:rFonts w:cs="Times New Roman"/>
          <w:szCs w:val="24"/>
          <w:lang w:val="sq-AL"/>
        </w:rPr>
        <w:t>ë</w:t>
      </w:r>
      <w:r w:rsidRPr="00F40014">
        <w:rPr>
          <w:rFonts w:cs="Times New Roman"/>
          <w:szCs w:val="24"/>
          <w:lang w:val="sq-AL"/>
        </w:rPr>
        <w:t>rcaktuar nd</w:t>
      </w:r>
      <w:r w:rsidR="00F40014">
        <w:rPr>
          <w:rFonts w:cs="Times New Roman"/>
          <w:szCs w:val="24"/>
          <w:lang w:val="sq-AL"/>
        </w:rPr>
        <w:t>ë</w:t>
      </w:r>
      <w:r w:rsidRPr="00F40014">
        <w:rPr>
          <w:rFonts w:cs="Times New Roman"/>
          <w:szCs w:val="24"/>
          <w:lang w:val="sq-AL"/>
        </w:rPr>
        <w:t>r t</w:t>
      </w:r>
      <w:r w:rsidR="00F40014">
        <w:rPr>
          <w:rFonts w:cs="Times New Roman"/>
          <w:szCs w:val="24"/>
          <w:lang w:val="sq-AL"/>
        </w:rPr>
        <w:t>ë</w:t>
      </w:r>
      <w:r w:rsidRPr="00F40014">
        <w:rPr>
          <w:rFonts w:cs="Times New Roman"/>
          <w:szCs w:val="24"/>
          <w:lang w:val="sq-AL"/>
        </w:rPr>
        <w:t xml:space="preserve"> tjera, detyrimin p</w:t>
      </w:r>
      <w:r w:rsidR="00F40014">
        <w:rPr>
          <w:rFonts w:cs="Times New Roman"/>
          <w:szCs w:val="24"/>
          <w:lang w:val="sq-AL"/>
        </w:rPr>
        <w:t>ë</w:t>
      </w:r>
      <w:r w:rsidRPr="00F40014">
        <w:rPr>
          <w:rFonts w:cs="Times New Roman"/>
          <w:szCs w:val="24"/>
          <w:lang w:val="sq-AL"/>
        </w:rPr>
        <w:t>r zbatimin e kuadrit ligjor p</w:t>
      </w:r>
      <w:r w:rsidR="006C3F60" w:rsidRPr="00F40014">
        <w:rPr>
          <w:rFonts w:cs="Times New Roman"/>
          <w:szCs w:val="24"/>
          <w:lang w:val="sq-AL"/>
        </w:rPr>
        <w:t>ë</w:t>
      </w:r>
      <w:r w:rsidRPr="00F40014">
        <w:rPr>
          <w:rFonts w:cs="Times New Roman"/>
          <w:szCs w:val="24"/>
          <w:lang w:val="sq-AL"/>
        </w:rPr>
        <w:t xml:space="preserve">r mbrojtjen e konsumatorit.  </w:t>
      </w:r>
    </w:p>
    <w:p w14:paraId="4D5E5161" w14:textId="533D7CBB" w:rsidR="00282A23" w:rsidRPr="009475CC" w:rsidRDefault="00282A23" w:rsidP="00AE0AB4">
      <w:pPr>
        <w:spacing w:line="240" w:lineRule="auto"/>
        <w:jc w:val="both"/>
        <w:rPr>
          <w:rFonts w:cs="Times New Roman"/>
          <w:szCs w:val="24"/>
          <w:lang w:val="sq-AL"/>
        </w:rPr>
      </w:pPr>
      <w:r w:rsidRPr="009475CC">
        <w:rPr>
          <w:rFonts w:cs="Times New Roman"/>
          <w:szCs w:val="24"/>
          <w:lang w:val="sq-AL"/>
        </w:rPr>
        <w:t>Konkretisht, nenet 54 dhe 55 t</w:t>
      </w:r>
      <w:r w:rsidR="00F40014">
        <w:rPr>
          <w:rFonts w:cs="Times New Roman"/>
          <w:szCs w:val="24"/>
          <w:lang w:val="sq-AL"/>
        </w:rPr>
        <w:t>ë</w:t>
      </w:r>
      <w:r w:rsidRPr="009475CC">
        <w:rPr>
          <w:rFonts w:cs="Times New Roman"/>
          <w:szCs w:val="24"/>
          <w:lang w:val="sq-AL"/>
        </w:rPr>
        <w:t xml:space="preserve"> ligjit </w:t>
      </w:r>
      <w:r w:rsidR="00F40014">
        <w:rPr>
          <w:rFonts w:cs="Times New Roman"/>
          <w:szCs w:val="24"/>
          <w:lang w:val="sq-AL"/>
        </w:rPr>
        <w:t xml:space="preserve">nr. </w:t>
      </w:r>
      <w:r w:rsidRPr="009475CC">
        <w:rPr>
          <w:rFonts w:cs="Times New Roman"/>
          <w:szCs w:val="24"/>
          <w:lang w:val="sq-AL"/>
        </w:rPr>
        <w:t>93/2015 “P</w:t>
      </w:r>
      <w:r w:rsidR="00F40014">
        <w:rPr>
          <w:rFonts w:cs="Times New Roman"/>
          <w:szCs w:val="24"/>
          <w:lang w:val="sq-AL"/>
        </w:rPr>
        <w:t>ë</w:t>
      </w:r>
      <w:r w:rsidRPr="009475CC">
        <w:rPr>
          <w:rFonts w:cs="Times New Roman"/>
          <w:szCs w:val="24"/>
          <w:lang w:val="sq-AL"/>
        </w:rPr>
        <w:t>r turizmin” p</w:t>
      </w:r>
      <w:r w:rsidR="00F40014">
        <w:rPr>
          <w:rFonts w:cs="Times New Roman"/>
          <w:szCs w:val="24"/>
          <w:lang w:val="sq-AL"/>
        </w:rPr>
        <w:t>ë</w:t>
      </w:r>
      <w:r w:rsidRPr="009475CC">
        <w:rPr>
          <w:rFonts w:cs="Times New Roman"/>
          <w:szCs w:val="24"/>
          <w:lang w:val="sq-AL"/>
        </w:rPr>
        <w:t>rcaktojn</w:t>
      </w:r>
      <w:r w:rsidR="00F40014">
        <w:rPr>
          <w:rFonts w:cs="Times New Roman"/>
          <w:szCs w:val="24"/>
          <w:lang w:val="sq-AL"/>
        </w:rPr>
        <w:t>ë</w:t>
      </w:r>
      <w:r w:rsidRPr="009475CC">
        <w:rPr>
          <w:rFonts w:cs="Times New Roman"/>
          <w:szCs w:val="24"/>
          <w:lang w:val="sq-AL"/>
        </w:rPr>
        <w:t xml:space="preserve"> t</w:t>
      </w:r>
      <w:r w:rsidR="00F40014">
        <w:rPr>
          <w:rFonts w:cs="Times New Roman"/>
          <w:szCs w:val="24"/>
          <w:lang w:val="sq-AL"/>
        </w:rPr>
        <w:t>ë</w:t>
      </w:r>
      <w:r w:rsidRPr="009475CC">
        <w:rPr>
          <w:rFonts w:cs="Times New Roman"/>
          <w:szCs w:val="24"/>
          <w:lang w:val="sq-AL"/>
        </w:rPr>
        <w:t xml:space="preserve"> dh</w:t>
      </w:r>
      <w:r w:rsidR="00F40014">
        <w:rPr>
          <w:rFonts w:cs="Times New Roman"/>
          <w:szCs w:val="24"/>
          <w:lang w:val="sq-AL"/>
        </w:rPr>
        <w:t>ë</w:t>
      </w:r>
      <w:r w:rsidRPr="009475CC">
        <w:rPr>
          <w:rFonts w:cs="Times New Roman"/>
          <w:szCs w:val="24"/>
          <w:lang w:val="sq-AL"/>
        </w:rPr>
        <w:t>nat baz</w:t>
      </w:r>
      <w:r w:rsidR="00F40014">
        <w:rPr>
          <w:rFonts w:cs="Times New Roman"/>
          <w:szCs w:val="24"/>
          <w:lang w:val="sq-AL"/>
        </w:rPr>
        <w:t>ë</w:t>
      </w:r>
      <w:r w:rsidRPr="009475CC">
        <w:rPr>
          <w:rFonts w:cs="Times New Roman"/>
          <w:szCs w:val="24"/>
          <w:lang w:val="sq-AL"/>
        </w:rPr>
        <w:t xml:space="preserve"> q</w:t>
      </w:r>
      <w:r w:rsidR="00F40014">
        <w:rPr>
          <w:rFonts w:cs="Times New Roman"/>
          <w:szCs w:val="24"/>
          <w:lang w:val="sq-AL"/>
        </w:rPr>
        <w:t>ë</w:t>
      </w:r>
      <w:r w:rsidRPr="009475CC">
        <w:rPr>
          <w:rFonts w:cs="Times New Roman"/>
          <w:szCs w:val="24"/>
          <w:lang w:val="sq-AL"/>
        </w:rPr>
        <w:t xml:space="preserve"> duhet t</w:t>
      </w:r>
      <w:r w:rsidR="00F40014">
        <w:rPr>
          <w:rFonts w:cs="Times New Roman"/>
          <w:szCs w:val="24"/>
          <w:lang w:val="sq-AL"/>
        </w:rPr>
        <w:t>ë</w:t>
      </w:r>
      <w:r w:rsidRPr="009475CC">
        <w:rPr>
          <w:rFonts w:cs="Times New Roman"/>
          <w:szCs w:val="24"/>
          <w:lang w:val="sq-AL"/>
        </w:rPr>
        <w:t xml:space="preserve"> p</w:t>
      </w:r>
      <w:r w:rsidR="00F40014">
        <w:rPr>
          <w:rFonts w:cs="Times New Roman"/>
          <w:szCs w:val="24"/>
          <w:lang w:val="sq-AL"/>
        </w:rPr>
        <w:t>ë</w:t>
      </w:r>
      <w:r w:rsidRPr="009475CC">
        <w:rPr>
          <w:rFonts w:cs="Times New Roman"/>
          <w:szCs w:val="24"/>
          <w:lang w:val="sq-AL"/>
        </w:rPr>
        <w:t>rmbaj</w:t>
      </w:r>
      <w:r w:rsidR="00F40014">
        <w:rPr>
          <w:rFonts w:cs="Times New Roman"/>
          <w:szCs w:val="24"/>
          <w:lang w:val="sq-AL"/>
        </w:rPr>
        <w:t>ë</w:t>
      </w:r>
      <w:r w:rsidRPr="009475CC">
        <w:rPr>
          <w:rFonts w:cs="Times New Roman"/>
          <w:szCs w:val="24"/>
          <w:lang w:val="sq-AL"/>
        </w:rPr>
        <w:t xml:space="preserve"> kontrata mes konsumatorit/turistit dhe operatorit turistik apo agjencis</w:t>
      </w:r>
      <w:r w:rsidR="00F40014">
        <w:rPr>
          <w:rFonts w:cs="Times New Roman"/>
          <w:szCs w:val="24"/>
          <w:lang w:val="sq-AL"/>
        </w:rPr>
        <w:t>ë</w:t>
      </w:r>
      <w:r w:rsidRPr="009475CC">
        <w:rPr>
          <w:rFonts w:cs="Times New Roman"/>
          <w:szCs w:val="24"/>
          <w:lang w:val="sq-AL"/>
        </w:rPr>
        <w:t xml:space="preserve"> s</w:t>
      </w:r>
      <w:r w:rsidR="00F40014">
        <w:rPr>
          <w:rFonts w:cs="Times New Roman"/>
          <w:szCs w:val="24"/>
          <w:lang w:val="sq-AL"/>
        </w:rPr>
        <w:t>ë</w:t>
      </w:r>
      <w:r w:rsidRPr="009475CC">
        <w:rPr>
          <w:rFonts w:cs="Times New Roman"/>
          <w:szCs w:val="24"/>
          <w:lang w:val="sq-AL"/>
        </w:rPr>
        <w:t xml:space="preserve"> udh</w:t>
      </w:r>
      <w:r w:rsidR="00F40014">
        <w:rPr>
          <w:rFonts w:cs="Times New Roman"/>
          <w:szCs w:val="24"/>
          <w:lang w:val="sq-AL"/>
        </w:rPr>
        <w:t>ë</w:t>
      </w:r>
      <w:r w:rsidRPr="009475CC">
        <w:rPr>
          <w:rFonts w:cs="Times New Roman"/>
          <w:szCs w:val="24"/>
          <w:lang w:val="sq-AL"/>
        </w:rPr>
        <w:t>timit, si dhe garancit</w:t>
      </w:r>
      <w:r w:rsidR="00F40014">
        <w:rPr>
          <w:rFonts w:cs="Times New Roman"/>
          <w:szCs w:val="24"/>
          <w:lang w:val="sq-AL"/>
        </w:rPr>
        <w:t>ë</w:t>
      </w:r>
      <w:r w:rsidRPr="009475CC">
        <w:rPr>
          <w:rFonts w:cs="Times New Roman"/>
          <w:szCs w:val="24"/>
          <w:lang w:val="sq-AL"/>
        </w:rPr>
        <w:t xml:space="preserve"> e operatorit turistik me q</w:t>
      </w:r>
      <w:r w:rsidR="00F40014">
        <w:rPr>
          <w:rFonts w:cs="Times New Roman"/>
          <w:szCs w:val="24"/>
          <w:lang w:val="sq-AL"/>
        </w:rPr>
        <w:t>ë</w:t>
      </w:r>
      <w:r w:rsidRPr="009475CC">
        <w:rPr>
          <w:rFonts w:cs="Times New Roman"/>
          <w:szCs w:val="24"/>
          <w:lang w:val="sq-AL"/>
        </w:rPr>
        <w:t>llim mbrojtjen e konsumatorit n</w:t>
      </w:r>
      <w:r w:rsidR="00F40014">
        <w:rPr>
          <w:rFonts w:cs="Times New Roman"/>
          <w:szCs w:val="24"/>
          <w:lang w:val="sq-AL"/>
        </w:rPr>
        <w:t>ë</w:t>
      </w:r>
      <w:r w:rsidRPr="009475CC">
        <w:rPr>
          <w:rFonts w:cs="Times New Roman"/>
          <w:szCs w:val="24"/>
          <w:lang w:val="sq-AL"/>
        </w:rPr>
        <w:t xml:space="preserve"> situat</w:t>
      </w:r>
      <w:r w:rsidR="00F40014">
        <w:rPr>
          <w:rFonts w:cs="Times New Roman"/>
          <w:szCs w:val="24"/>
          <w:lang w:val="sq-AL"/>
        </w:rPr>
        <w:t>ë</w:t>
      </w:r>
      <w:r w:rsidRPr="009475CC">
        <w:rPr>
          <w:rFonts w:cs="Times New Roman"/>
          <w:szCs w:val="24"/>
          <w:lang w:val="sq-AL"/>
        </w:rPr>
        <w:t>n e mosp</w:t>
      </w:r>
      <w:r w:rsidR="00F40014">
        <w:rPr>
          <w:rFonts w:cs="Times New Roman"/>
          <w:szCs w:val="24"/>
          <w:lang w:val="sq-AL"/>
        </w:rPr>
        <w:t>ë</w:t>
      </w:r>
      <w:r w:rsidRPr="009475CC">
        <w:rPr>
          <w:rFonts w:cs="Times New Roman"/>
          <w:szCs w:val="24"/>
          <w:lang w:val="sq-AL"/>
        </w:rPr>
        <w:t>rmbushjes s</w:t>
      </w:r>
      <w:r w:rsidR="00F40014">
        <w:rPr>
          <w:rFonts w:cs="Times New Roman"/>
          <w:szCs w:val="24"/>
          <w:lang w:val="sq-AL"/>
        </w:rPr>
        <w:t>ë</w:t>
      </w:r>
      <w:r w:rsidRPr="009475CC">
        <w:rPr>
          <w:rFonts w:cs="Times New Roman"/>
          <w:szCs w:val="24"/>
          <w:lang w:val="sq-AL"/>
        </w:rPr>
        <w:t xml:space="preserve"> detyrimeve si rezultat </w:t>
      </w:r>
      <w:r w:rsidR="00F40014">
        <w:rPr>
          <w:rFonts w:cs="Times New Roman"/>
          <w:szCs w:val="24"/>
          <w:lang w:val="sq-AL"/>
        </w:rPr>
        <w:t>i</w:t>
      </w:r>
      <w:r w:rsidRPr="009475CC">
        <w:rPr>
          <w:rFonts w:cs="Times New Roman"/>
          <w:szCs w:val="24"/>
          <w:lang w:val="sq-AL"/>
        </w:rPr>
        <w:t xml:space="preserve"> falimenti</w:t>
      </w:r>
      <w:r w:rsidR="00F40014">
        <w:rPr>
          <w:rFonts w:cs="Times New Roman"/>
          <w:szCs w:val="24"/>
          <w:lang w:val="sq-AL"/>
        </w:rPr>
        <w:t>mi</w:t>
      </w:r>
      <w:r w:rsidRPr="009475CC">
        <w:rPr>
          <w:rFonts w:cs="Times New Roman"/>
          <w:szCs w:val="24"/>
          <w:lang w:val="sq-AL"/>
        </w:rPr>
        <w:t>t dhe paaft</w:t>
      </w:r>
      <w:r w:rsidR="00F40014">
        <w:rPr>
          <w:rFonts w:cs="Times New Roman"/>
          <w:szCs w:val="24"/>
          <w:lang w:val="sq-AL"/>
        </w:rPr>
        <w:t>ë</w:t>
      </w:r>
      <w:r w:rsidRPr="009475CC">
        <w:rPr>
          <w:rFonts w:cs="Times New Roman"/>
          <w:szCs w:val="24"/>
          <w:lang w:val="sq-AL"/>
        </w:rPr>
        <w:t>sis</w:t>
      </w:r>
      <w:r w:rsidR="00F40014">
        <w:rPr>
          <w:rFonts w:cs="Times New Roman"/>
          <w:szCs w:val="24"/>
          <w:lang w:val="sq-AL"/>
        </w:rPr>
        <w:t>ë</w:t>
      </w:r>
      <w:r w:rsidRPr="009475CC">
        <w:rPr>
          <w:rFonts w:cs="Times New Roman"/>
          <w:szCs w:val="24"/>
          <w:lang w:val="sq-AL"/>
        </w:rPr>
        <w:t xml:space="preserve"> paguese. </w:t>
      </w:r>
    </w:p>
    <w:p w14:paraId="3664D194" w14:textId="05906DF4" w:rsidR="00282A23" w:rsidRPr="009475CC" w:rsidRDefault="00282A23" w:rsidP="00AE0AB4">
      <w:pPr>
        <w:spacing w:line="240" w:lineRule="auto"/>
        <w:jc w:val="both"/>
        <w:rPr>
          <w:rFonts w:cs="Times New Roman"/>
          <w:szCs w:val="24"/>
          <w:lang w:val="sq-AL"/>
        </w:rPr>
      </w:pPr>
      <w:r w:rsidRPr="009475CC">
        <w:rPr>
          <w:rFonts w:cs="Times New Roman"/>
          <w:szCs w:val="24"/>
          <w:lang w:val="sq-AL"/>
        </w:rPr>
        <w:t xml:space="preserve">Gjithashtu, nenet 15, 16 dhe 17 </w:t>
      </w:r>
      <w:r w:rsidR="00F40014">
        <w:rPr>
          <w:rFonts w:cs="Times New Roman"/>
          <w:szCs w:val="24"/>
          <w:lang w:val="sq-AL"/>
        </w:rPr>
        <w:t>të</w:t>
      </w:r>
      <w:r w:rsidRPr="009475CC">
        <w:rPr>
          <w:rFonts w:cs="Times New Roman"/>
          <w:szCs w:val="24"/>
          <w:lang w:val="sq-AL"/>
        </w:rPr>
        <w:t xml:space="preserve"> ligjit “P</w:t>
      </w:r>
      <w:r w:rsidR="00F40014">
        <w:rPr>
          <w:rFonts w:cs="Times New Roman"/>
          <w:szCs w:val="24"/>
          <w:lang w:val="sq-AL"/>
        </w:rPr>
        <w:t>ë</w:t>
      </w:r>
      <w:r w:rsidRPr="009475CC">
        <w:rPr>
          <w:rFonts w:cs="Times New Roman"/>
          <w:szCs w:val="24"/>
          <w:lang w:val="sq-AL"/>
        </w:rPr>
        <w:t>r turizmin” p</w:t>
      </w:r>
      <w:r w:rsidR="00F40014">
        <w:rPr>
          <w:rFonts w:cs="Times New Roman"/>
          <w:szCs w:val="24"/>
          <w:lang w:val="sq-AL"/>
        </w:rPr>
        <w:t>ë</w:t>
      </w:r>
      <w:r w:rsidRPr="009475CC">
        <w:rPr>
          <w:rFonts w:cs="Times New Roman"/>
          <w:szCs w:val="24"/>
          <w:lang w:val="sq-AL"/>
        </w:rPr>
        <w:t>rcaktojn</w:t>
      </w:r>
      <w:r w:rsidR="00F40014">
        <w:rPr>
          <w:rFonts w:cs="Times New Roman"/>
          <w:szCs w:val="24"/>
          <w:lang w:val="sq-AL"/>
        </w:rPr>
        <w:t>ë</w:t>
      </w:r>
      <w:r w:rsidRPr="009475CC">
        <w:rPr>
          <w:rFonts w:cs="Times New Roman"/>
          <w:szCs w:val="24"/>
          <w:lang w:val="sq-AL"/>
        </w:rPr>
        <w:t xml:space="preserve"> kompetencat dhe detyrat e Agjencis</w:t>
      </w:r>
      <w:r w:rsidR="00F40014">
        <w:rPr>
          <w:rFonts w:cs="Times New Roman"/>
          <w:szCs w:val="24"/>
          <w:lang w:val="sq-AL"/>
        </w:rPr>
        <w:t>ë</w:t>
      </w:r>
      <w:r w:rsidRPr="009475CC">
        <w:rPr>
          <w:rFonts w:cs="Times New Roman"/>
          <w:szCs w:val="24"/>
          <w:lang w:val="sq-AL"/>
        </w:rPr>
        <w:t xml:space="preserve"> Komb</w:t>
      </w:r>
      <w:r w:rsidR="006C3F60">
        <w:rPr>
          <w:rFonts w:cs="Times New Roman"/>
          <w:szCs w:val="24"/>
          <w:lang w:val="sq-AL"/>
        </w:rPr>
        <w:t>ë</w:t>
      </w:r>
      <w:r w:rsidRPr="009475CC">
        <w:rPr>
          <w:rFonts w:cs="Times New Roman"/>
          <w:szCs w:val="24"/>
          <w:lang w:val="sq-AL"/>
        </w:rPr>
        <w:t>tare t</w:t>
      </w:r>
      <w:r w:rsidR="006C3F60">
        <w:rPr>
          <w:rFonts w:cs="Times New Roman"/>
          <w:szCs w:val="24"/>
          <w:lang w:val="sq-AL"/>
        </w:rPr>
        <w:t>ë</w:t>
      </w:r>
      <w:r w:rsidRPr="009475CC">
        <w:rPr>
          <w:rFonts w:cs="Times New Roman"/>
          <w:szCs w:val="24"/>
          <w:lang w:val="sq-AL"/>
        </w:rPr>
        <w:t xml:space="preserve"> Bregdetit dhe Inspektoriatit t</w:t>
      </w:r>
      <w:r w:rsidR="006C3F60">
        <w:rPr>
          <w:rFonts w:cs="Times New Roman"/>
          <w:szCs w:val="24"/>
          <w:lang w:val="sq-AL"/>
        </w:rPr>
        <w:t>ë</w:t>
      </w:r>
      <w:r w:rsidRPr="009475CC">
        <w:rPr>
          <w:rFonts w:cs="Times New Roman"/>
          <w:szCs w:val="24"/>
          <w:lang w:val="sq-AL"/>
        </w:rPr>
        <w:t xml:space="preserve"> </w:t>
      </w:r>
      <w:r w:rsidR="006C3F60">
        <w:rPr>
          <w:rFonts w:cs="Times New Roman"/>
          <w:szCs w:val="24"/>
          <w:lang w:val="sq-AL"/>
        </w:rPr>
        <w:t>T</w:t>
      </w:r>
      <w:r w:rsidRPr="009475CC">
        <w:rPr>
          <w:rFonts w:cs="Times New Roman"/>
          <w:szCs w:val="24"/>
          <w:lang w:val="sq-AL"/>
        </w:rPr>
        <w:t>urizmit (aktualisht i perfshire n</w:t>
      </w:r>
      <w:r w:rsidR="006C3F60">
        <w:rPr>
          <w:rFonts w:cs="Times New Roman"/>
          <w:szCs w:val="24"/>
          <w:lang w:val="sq-AL"/>
        </w:rPr>
        <w:t>ë</w:t>
      </w:r>
      <w:r w:rsidRPr="009475CC">
        <w:rPr>
          <w:rFonts w:cs="Times New Roman"/>
          <w:szCs w:val="24"/>
          <w:lang w:val="sq-AL"/>
        </w:rPr>
        <w:t>n strukturen e AKB-s</w:t>
      </w:r>
      <w:r w:rsidR="00F40014">
        <w:rPr>
          <w:rFonts w:cs="Times New Roman"/>
          <w:szCs w:val="24"/>
          <w:lang w:val="sq-AL"/>
        </w:rPr>
        <w:t>ë</w:t>
      </w:r>
      <w:r w:rsidRPr="009475CC">
        <w:rPr>
          <w:rFonts w:cs="Times New Roman"/>
          <w:szCs w:val="24"/>
          <w:lang w:val="sq-AL"/>
        </w:rPr>
        <w:t>) si struktura p</w:t>
      </w:r>
      <w:r w:rsidR="006C3F60">
        <w:rPr>
          <w:rFonts w:cs="Times New Roman"/>
          <w:szCs w:val="24"/>
          <w:lang w:val="sq-AL"/>
        </w:rPr>
        <w:t>ë</w:t>
      </w:r>
      <w:r w:rsidRPr="009475CC">
        <w:rPr>
          <w:rFonts w:cs="Times New Roman"/>
          <w:szCs w:val="24"/>
          <w:lang w:val="sq-AL"/>
        </w:rPr>
        <w:t>rgjegj</w:t>
      </w:r>
      <w:r w:rsidR="006C3F60">
        <w:rPr>
          <w:rFonts w:cs="Times New Roman"/>
          <w:szCs w:val="24"/>
          <w:lang w:val="sq-AL"/>
        </w:rPr>
        <w:t>ë</w:t>
      </w:r>
      <w:r w:rsidRPr="009475CC">
        <w:rPr>
          <w:rFonts w:cs="Times New Roman"/>
          <w:szCs w:val="24"/>
          <w:lang w:val="sq-AL"/>
        </w:rPr>
        <w:t>se p</w:t>
      </w:r>
      <w:r w:rsidR="00B853C6">
        <w:rPr>
          <w:rFonts w:cs="Times New Roman"/>
          <w:szCs w:val="24"/>
          <w:lang w:val="sq-AL"/>
        </w:rPr>
        <w:t>ë</w:t>
      </w:r>
      <w:r w:rsidRPr="009475CC">
        <w:rPr>
          <w:rFonts w:cs="Times New Roman"/>
          <w:szCs w:val="24"/>
          <w:lang w:val="sq-AL"/>
        </w:rPr>
        <w:t>r garantimin e zbatimit t</w:t>
      </w:r>
      <w:r w:rsidR="00B853C6">
        <w:rPr>
          <w:rFonts w:cs="Times New Roman"/>
          <w:szCs w:val="24"/>
          <w:lang w:val="sq-AL"/>
        </w:rPr>
        <w:t>ë</w:t>
      </w:r>
      <w:r w:rsidRPr="009475CC">
        <w:rPr>
          <w:rFonts w:cs="Times New Roman"/>
          <w:szCs w:val="24"/>
          <w:lang w:val="sq-AL"/>
        </w:rPr>
        <w:t xml:space="preserve"> legjislacionit t</w:t>
      </w:r>
      <w:r w:rsidR="00F40014">
        <w:rPr>
          <w:rFonts w:cs="Times New Roman"/>
          <w:szCs w:val="24"/>
          <w:lang w:val="sq-AL"/>
        </w:rPr>
        <w:t>ë</w:t>
      </w:r>
      <w:r w:rsidRPr="009475CC">
        <w:rPr>
          <w:rFonts w:cs="Times New Roman"/>
          <w:szCs w:val="24"/>
          <w:lang w:val="sq-AL"/>
        </w:rPr>
        <w:t xml:space="preserve"> turizmit gjat</w:t>
      </w:r>
      <w:r w:rsidR="00B853C6">
        <w:rPr>
          <w:rFonts w:cs="Times New Roman"/>
          <w:szCs w:val="24"/>
          <w:lang w:val="sq-AL"/>
        </w:rPr>
        <w:t>ë</w:t>
      </w:r>
      <w:r w:rsidRPr="009475CC">
        <w:rPr>
          <w:rFonts w:cs="Times New Roman"/>
          <w:szCs w:val="24"/>
          <w:lang w:val="sq-AL"/>
        </w:rPr>
        <w:t xml:space="preserve"> ushtrimit t</w:t>
      </w:r>
      <w:r w:rsidR="00B853C6">
        <w:rPr>
          <w:rFonts w:cs="Times New Roman"/>
          <w:szCs w:val="24"/>
          <w:lang w:val="sq-AL"/>
        </w:rPr>
        <w:t>ë</w:t>
      </w:r>
      <w:r w:rsidRPr="009475CC">
        <w:rPr>
          <w:rFonts w:cs="Times New Roman"/>
          <w:szCs w:val="24"/>
          <w:lang w:val="sq-AL"/>
        </w:rPr>
        <w:t xml:space="preserve"> veprimtarive turistike nga subjektet private dhe shqyrtimin e ankesave t</w:t>
      </w:r>
      <w:r w:rsidR="00B853C6">
        <w:rPr>
          <w:rFonts w:cs="Times New Roman"/>
          <w:szCs w:val="24"/>
          <w:lang w:val="sq-AL"/>
        </w:rPr>
        <w:t>ë</w:t>
      </w:r>
      <w:r w:rsidRPr="009475CC">
        <w:rPr>
          <w:rFonts w:cs="Times New Roman"/>
          <w:szCs w:val="24"/>
          <w:lang w:val="sq-AL"/>
        </w:rPr>
        <w:t xml:space="preserve"> ardhura nga konsumator</w:t>
      </w:r>
      <w:r w:rsidR="00B853C6">
        <w:rPr>
          <w:rFonts w:cs="Times New Roman"/>
          <w:szCs w:val="24"/>
          <w:lang w:val="sq-AL"/>
        </w:rPr>
        <w:t>ë</w:t>
      </w:r>
      <w:r w:rsidRPr="009475CC">
        <w:rPr>
          <w:rFonts w:cs="Times New Roman"/>
          <w:szCs w:val="24"/>
          <w:lang w:val="sq-AL"/>
        </w:rPr>
        <w:t>t dhe ndjekjen e tyre.</w:t>
      </w:r>
    </w:p>
    <w:p w14:paraId="20B60709" w14:textId="3CC64EE2" w:rsidR="006C3F60" w:rsidRPr="00AE0AB4" w:rsidRDefault="00282A23" w:rsidP="00AE0AB4">
      <w:pPr>
        <w:spacing w:line="240" w:lineRule="auto"/>
        <w:jc w:val="both"/>
        <w:rPr>
          <w:rFonts w:cs="Times New Roman"/>
          <w:szCs w:val="24"/>
          <w:lang w:val="sq-AL"/>
        </w:rPr>
      </w:pPr>
      <w:r w:rsidRPr="009475CC">
        <w:rPr>
          <w:rFonts w:cs="Times New Roman"/>
          <w:szCs w:val="24"/>
          <w:lang w:val="sq-AL"/>
        </w:rPr>
        <w:t>Pika (dh) dhe (e) e nenit 10 t</w:t>
      </w:r>
      <w:r w:rsidR="00B853C6">
        <w:rPr>
          <w:rFonts w:cs="Times New Roman"/>
          <w:szCs w:val="24"/>
          <w:lang w:val="sq-AL"/>
        </w:rPr>
        <w:t>ë</w:t>
      </w:r>
      <w:r w:rsidRPr="009475CC">
        <w:rPr>
          <w:rFonts w:cs="Times New Roman"/>
          <w:szCs w:val="24"/>
          <w:lang w:val="sq-AL"/>
        </w:rPr>
        <w:t xml:space="preserve"> ligjit “P</w:t>
      </w:r>
      <w:r w:rsidR="00B853C6">
        <w:rPr>
          <w:rFonts w:cs="Times New Roman"/>
          <w:szCs w:val="24"/>
          <w:lang w:val="sq-AL"/>
        </w:rPr>
        <w:t>ë</w:t>
      </w:r>
      <w:r w:rsidRPr="009475CC">
        <w:rPr>
          <w:rFonts w:cs="Times New Roman"/>
          <w:szCs w:val="24"/>
          <w:lang w:val="sq-AL"/>
        </w:rPr>
        <w:t>r turizmin” p</w:t>
      </w:r>
      <w:r w:rsidR="00B853C6">
        <w:rPr>
          <w:rFonts w:cs="Times New Roman"/>
          <w:szCs w:val="24"/>
          <w:lang w:val="sq-AL"/>
        </w:rPr>
        <w:t>ë</w:t>
      </w:r>
      <w:r w:rsidRPr="009475CC">
        <w:rPr>
          <w:rFonts w:cs="Times New Roman"/>
          <w:szCs w:val="24"/>
          <w:lang w:val="sq-AL"/>
        </w:rPr>
        <w:t>rcakton detyrimin e Deg</w:t>
      </w:r>
      <w:r w:rsidR="00B853C6">
        <w:rPr>
          <w:rFonts w:cs="Times New Roman"/>
          <w:szCs w:val="24"/>
          <w:lang w:val="sq-AL"/>
        </w:rPr>
        <w:t>ë</w:t>
      </w:r>
      <w:r w:rsidRPr="009475CC">
        <w:rPr>
          <w:rFonts w:cs="Times New Roman"/>
          <w:szCs w:val="24"/>
          <w:lang w:val="sq-AL"/>
        </w:rPr>
        <w:t>ve Territoriale t</w:t>
      </w:r>
      <w:r w:rsidR="00B853C6">
        <w:rPr>
          <w:rFonts w:cs="Times New Roman"/>
          <w:szCs w:val="24"/>
          <w:lang w:val="sq-AL"/>
        </w:rPr>
        <w:t xml:space="preserve">ë </w:t>
      </w:r>
      <w:r w:rsidRPr="009475CC">
        <w:rPr>
          <w:rFonts w:cs="Times New Roman"/>
          <w:szCs w:val="24"/>
          <w:lang w:val="sq-AL"/>
        </w:rPr>
        <w:t>Sh</w:t>
      </w:r>
      <w:r w:rsidR="00B853C6">
        <w:rPr>
          <w:rFonts w:cs="Times New Roman"/>
          <w:szCs w:val="24"/>
          <w:lang w:val="sq-AL"/>
        </w:rPr>
        <w:t>ë</w:t>
      </w:r>
      <w:r w:rsidRPr="009475CC">
        <w:rPr>
          <w:rFonts w:cs="Times New Roman"/>
          <w:szCs w:val="24"/>
          <w:lang w:val="sq-AL"/>
        </w:rPr>
        <w:t>rbimit te Turizmit sa i takon mbrojtjes s</w:t>
      </w:r>
      <w:r w:rsidR="00F40014">
        <w:rPr>
          <w:rFonts w:cs="Times New Roman"/>
          <w:szCs w:val="24"/>
          <w:lang w:val="sq-AL"/>
        </w:rPr>
        <w:t>ë</w:t>
      </w:r>
      <w:r w:rsidRPr="009475CC">
        <w:rPr>
          <w:rFonts w:cs="Times New Roman"/>
          <w:szCs w:val="24"/>
          <w:lang w:val="sq-AL"/>
        </w:rPr>
        <w:t xml:space="preserve"> konsumatorit.</w:t>
      </w:r>
    </w:p>
    <w:p w14:paraId="2E490EFB" w14:textId="38D6B30C" w:rsidR="006257B9" w:rsidRPr="00F40014" w:rsidRDefault="006257B9" w:rsidP="00623352">
      <w:pPr>
        <w:pStyle w:val="Heading5"/>
      </w:pPr>
      <w:bookmarkStart w:id="96" w:name="_Toc132277349"/>
      <w:r w:rsidRPr="00F40014">
        <w:t>Enti Rregullator i Energjisë</w:t>
      </w:r>
      <w:bookmarkEnd w:id="96"/>
      <w:r w:rsidRPr="00F40014" w:rsidDel="006257B9">
        <w:t xml:space="preserve"> </w:t>
      </w:r>
    </w:p>
    <w:p w14:paraId="1041B70E" w14:textId="77777777" w:rsidR="00F40014" w:rsidRDefault="006257B9" w:rsidP="00AE0AB4">
      <w:pPr>
        <w:spacing w:line="240" w:lineRule="auto"/>
        <w:jc w:val="both"/>
        <w:rPr>
          <w:rFonts w:cs="Times New Roman"/>
          <w:szCs w:val="24"/>
          <w:lang w:val="sq-AL"/>
        </w:rPr>
      </w:pPr>
      <w:r w:rsidRPr="00F32E3B">
        <w:rPr>
          <w:rFonts w:cs="Times New Roman"/>
          <w:szCs w:val="24"/>
          <w:lang w:val="sq-AL"/>
        </w:rPr>
        <w:t>Ligjet bazë mbi të cilat mbështetet veprimtaria e ERE janë</w:t>
      </w:r>
      <w:r w:rsidR="00F40014">
        <w:rPr>
          <w:rFonts w:cs="Times New Roman"/>
          <w:szCs w:val="24"/>
          <w:lang w:val="sq-AL"/>
        </w:rPr>
        <w:t>:</w:t>
      </w:r>
    </w:p>
    <w:p w14:paraId="0B7844F3" w14:textId="2416DE2A" w:rsidR="00F40014" w:rsidRDefault="00F40014" w:rsidP="00623352">
      <w:pPr>
        <w:pStyle w:val="ListParagraph"/>
        <w:numPr>
          <w:ilvl w:val="0"/>
          <w:numId w:val="60"/>
        </w:numPr>
        <w:spacing w:line="240" w:lineRule="auto"/>
        <w:jc w:val="both"/>
        <w:rPr>
          <w:rFonts w:cs="Times New Roman"/>
          <w:szCs w:val="24"/>
          <w:lang w:val="sq-AL"/>
        </w:rPr>
      </w:pPr>
      <w:r w:rsidRPr="00F40014">
        <w:rPr>
          <w:rFonts w:cs="Times New Roman"/>
          <w:szCs w:val="24"/>
          <w:lang w:val="sq-AL"/>
        </w:rPr>
        <w:t>L</w:t>
      </w:r>
      <w:r w:rsidR="006257B9" w:rsidRPr="00F40014">
        <w:rPr>
          <w:rFonts w:cs="Times New Roman"/>
          <w:szCs w:val="24"/>
          <w:lang w:val="sq-AL"/>
        </w:rPr>
        <w:t xml:space="preserve">igji nr. 43/2015 “Për Sektorin e energjisë elektrike”, i ndryshuar  </w:t>
      </w:r>
    </w:p>
    <w:p w14:paraId="21D635D6" w14:textId="77777777" w:rsidR="00F40014" w:rsidRDefault="00F40014" w:rsidP="00623352">
      <w:pPr>
        <w:pStyle w:val="ListParagraph"/>
        <w:numPr>
          <w:ilvl w:val="0"/>
          <w:numId w:val="60"/>
        </w:numPr>
        <w:spacing w:line="240" w:lineRule="auto"/>
        <w:jc w:val="both"/>
        <w:rPr>
          <w:rFonts w:cs="Times New Roman"/>
          <w:szCs w:val="24"/>
          <w:lang w:val="sq-AL"/>
        </w:rPr>
      </w:pPr>
      <w:r>
        <w:rPr>
          <w:rFonts w:cs="Times New Roman"/>
          <w:szCs w:val="24"/>
          <w:lang w:val="sq-AL"/>
        </w:rPr>
        <w:t>L</w:t>
      </w:r>
      <w:r w:rsidR="006257B9" w:rsidRPr="00F40014">
        <w:rPr>
          <w:rFonts w:cs="Times New Roman"/>
          <w:szCs w:val="24"/>
          <w:lang w:val="sq-AL"/>
        </w:rPr>
        <w:t xml:space="preserve">igji nr. 102/2015 “Për sektorin e gazit natyror”, i ndryshuar </w:t>
      </w:r>
    </w:p>
    <w:p w14:paraId="07D9DEDF" w14:textId="4CFF66B9" w:rsidR="006257B9" w:rsidRPr="00F40014" w:rsidRDefault="006257B9" w:rsidP="00623352">
      <w:pPr>
        <w:pStyle w:val="ListParagraph"/>
        <w:numPr>
          <w:ilvl w:val="0"/>
          <w:numId w:val="60"/>
        </w:numPr>
        <w:spacing w:line="240" w:lineRule="auto"/>
        <w:jc w:val="both"/>
        <w:rPr>
          <w:rFonts w:cs="Times New Roman"/>
          <w:szCs w:val="24"/>
          <w:lang w:val="sq-AL"/>
        </w:rPr>
      </w:pPr>
      <w:r w:rsidRPr="00F40014">
        <w:rPr>
          <w:rFonts w:cs="Times New Roman"/>
          <w:szCs w:val="24"/>
          <w:lang w:val="sq-AL"/>
        </w:rPr>
        <w:t xml:space="preserve">Ligji  nr.7/2017 Për përdorimin e energjisë nga burimet e rinovueshme.” </w:t>
      </w:r>
    </w:p>
    <w:p w14:paraId="14861B7E" w14:textId="49DA272A" w:rsidR="00381980" w:rsidRPr="00D13857" w:rsidRDefault="006257B9" w:rsidP="00D13857">
      <w:pPr>
        <w:spacing w:line="240" w:lineRule="auto"/>
        <w:jc w:val="both"/>
        <w:rPr>
          <w:rFonts w:cs="Times New Roman"/>
          <w:b/>
          <w:szCs w:val="24"/>
          <w:lang w:val="sq-AL"/>
        </w:rPr>
      </w:pPr>
      <w:r w:rsidRPr="00F32E3B">
        <w:rPr>
          <w:rFonts w:cs="Times New Roman"/>
          <w:szCs w:val="24"/>
          <w:lang w:val="sq-AL"/>
        </w:rPr>
        <w:t>Në zbatim të ligjeve të mësipërme, në cilësinë e institucionit përgjegjës për miratimin e kuadrit rregullator, ERE ka miratuar një sërë aktesh rregullatore me impakt të drejtëpërdrejtë në adresimin e të drejtave të konsumatorit, tutelimin e këtyre të drejtave por edhe garantimin e një shërbimi më cilësi të konsumatorit sa i përket këtij malli kaq të rëndësishëm siç është energjia elektrike</w:t>
      </w:r>
      <w:r w:rsidR="00381980">
        <w:rPr>
          <w:rStyle w:val="FootnoteReference"/>
          <w:rFonts w:cs="Times New Roman"/>
          <w:szCs w:val="24"/>
          <w:lang w:val="sq-AL"/>
        </w:rPr>
        <w:footnoteReference w:id="13"/>
      </w:r>
      <w:r w:rsidR="00381980">
        <w:rPr>
          <w:rFonts w:cs="Times New Roman"/>
          <w:szCs w:val="24"/>
          <w:lang w:val="sq-AL"/>
        </w:rPr>
        <w:t>.</w:t>
      </w:r>
      <w:r w:rsidRPr="00F32E3B">
        <w:rPr>
          <w:rFonts w:cs="Times New Roman"/>
          <w:szCs w:val="24"/>
          <w:lang w:val="sq-AL"/>
        </w:rPr>
        <w:t xml:space="preserve">   </w:t>
      </w:r>
    </w:p>
    <w:p w14:paraId="77B447CE" w14:textId="22B1E8E9" w:rsidR="006257B9" w:rsidRDefault="006257B9" w:rsidP="00623352">
      <w:pPr>
        <w:pStyle w:val="Heading5"/>
      </w:pPr>
      <w:bookmarkStart w:id="97" w:name="_Toc132277350"/>
      <w:r w:rsidRPr="00F40014">
        <w:t>E</w:t>
      </w:r>
      <w:r w:rsidR="00381980" w:rsidRPr="00F40014">
        <w:t xml:space="preserve">nti </w:t>
      </w:r>
      <w:r w:rsidRPr="00F40014">
        <w:t>R</w:t>
      </w:r>
      <w:r w:rsidR="00381980" w:rsidRPr="00F40014">
        <w:t xml:space="preserve">regullator i </w:t>
      </w:r>
      <w:r w:rsidRPr="00F40014">
        <w:t>U</w:t>
      </w:r>
      <w:r w:rsidR="00381980" w:rsidRPr="00F40014">
        <w:t>jit</w:t>
      </w:r>
      <w:bookmarkEnd w:id="97"/>
    </w:p>
    <w:p w14:paraId="1E410704" w14:textId="572DCDB2" w:rsidR="00F260E2" w:rsidRPr="00F260E2" w:rsidRDefault="00F260E2" w:rsidP="00F260E2">
      <w:pPr>
        <w:rPr>
          <w:lang w:val="en-ZA" w:eastAsia="zh-TW"/>
        </w:rPr>
      </w:pPr>
      <w:r>
        <w:rPr>
          <w:lang w:val="en-ZA" w:eastAsia="zh-TW"/>
        </w:rPr>
        <w:t>Fusha e shërbimeve të ujësjellës kanalizime rregullohet nga kuadri i mëposhtëm ligjor:</w:t>
      </w:r>
    </w:p>
    <w:p w14:paraId="5A3399B4" w14:textId="77777777" w:rsidR="006257B9" w:rsidRPr="00C753E2" w:rsidRDefault="006257B9" w:rsidP="00623352">
      <w:pPr>
        <w:pStyle w:val="ListParagraph"/>
        <w:numPr>
          <w:ilvl w:val="0"/>
          <w:numId w:val="56"/>
        </w:numPr>
        <w:spacing w:after="0" w:line="240" w:lineRule="auto"/>
        <w:jc w:val="both"/>
        <w:rPr>
          <w:rFonts w:cs="Times New Roman"/>
          <w:szCs w:val="24"/>
          <w:lang w:val="sq-AL"/>
        </w:rPr>
      </w:pPr>
      <w:r w:rsidRPr="00C753E2">
        <w:rPr>
          <w:rFonts w:cs="Times New Roman"/>
          <w:szCs w:val="24"/>
          <w:lang w:val="sq-AL"/>
        </w:rPr>
        <w:t xml:space="preserve">Strategjia Kombëtare e Sektorit të Furnizimit me Ujë dhe Kanalizimeve, 2020-2030 </w:t>
      </w:r>
    </w:p>
    <w:p w14:paraId="7E6D3056" w14:textId="77777777" w:rsidR="00C753E2" w:rsidRDefault="006257B9" w:rsidP="00623352">
      <w:pPr>
        <w:pStyle w:val="ListParagraph"/>
        <w:numPr>
          <w:ilvl w:val="0"/>
          <w:numId w:val="56"/>
        </w:numPr>
        <w:spacing w:after="0" w:line="240" w:lineRule="auto"/>
        <w:jc w:val="both"/>
        <w:rPr>
          <w:rFonts w:cs="Times New Roman"/>
          <w:szCs w:val="24"/>
          <w:lang w:val="sq-AL"/>
        </w:rPr>
      </w:pPr>
      <w:r w:rsidRPr="00C753E2">
        <w:rPr>
          <w:rFonts w:cs="Times New Roman"/>
          <w:szCs w:val="24"/>
          <w:lang w:val="sq-AL"/>
        </w:rPr>
        <w:t xml:space="preserve">Enti Rregullator i Ujit është krijuar dhe funksionon në bazë të ligjit nr. 8102, datë </w:t>
      </w:r>
    </w:p>
    <w:p w14:paraId="089C6F94" w14:textId="6DE828AC" w:rsidR="006257B9" w:rsidRPr="00F260E2" w:rsidRDefault="006257B9" w:rsidP="00623352">
      <w:pPr>
        <w:pStyle w:val="ListParagraph"/>
        <w:numPr>
          <w:ilvl w:val="0"/>
          <w:numId w:val="56"/>
        </w:numPr>
        <w:spacing w:after="0" w:line="240" w:lineRule="auto"/>
        <w:jc w:val="both"/>
        <w:rPr>
          <w:rFonts w:cs="Times New Roman"/>
          <w:szCs w:val="24"/>
          <w:lang w:val="sq-AL"/>
        </w:rPr>
      </w:pPr>
      <w:r w:rsidRPr="00F260E2">
        <w:rPr>
          <w:rFonts w:cs="Times New Roman"/>
          <w:szCs w:val="24"/>
          <w:lang w:val="sq-AL"/>
        </w:rPr>
        <w:t>28.03.1996, "Për Kuadrin Rregullator të Sektorit të Furnizimit me Ujë dhe të Largimit dhe Përpunimit të Ujërave të Ndotura", i ndryshuar.</w:t>
      </w:r>
    </w:p>
    <w:p w14:paraId="7471246E" w14:textId="36146465" w:rsidR="006257B9" w:rsidRPr="00D13857" w:rsidRDefault="006257B9" w:rsidP="00623352">
      <w:pPr>
        <w:pStyle w:val="ListParagraph"/>
        <w:numPr>
          <w:ilvl w:val="0"/>
          <w:numId w:val="56"/>
        </w:numPr>
        <w:spacing w:after="0" w:line="240" w:lineRule="auto"/>
        <w:jc w:val="both"/>
        <w:rPr>
          <w:rFonts w:cs="Times New Roman"/>
          <w:szCs w:val="24"/>
          <w:lang w:val="sq-AL"/>
        </w:rPr>
      </w:pPr>
      <w:r w:rsidRPr="00C753E2">
        <w:rPr>
          <w:rFonts w:cs="Times New Roman"/>
          <w:szCs w:val="24"/>
          <w:lang w:val="sq-AL"/>
        </w:rPr>
        <w:t xml:space="preserve">Ligji </w:t>
      </w:r>
      <w:r w:rsidR="00381980" w:rsidRPr="00C753E2">
        <w:rPr>
          <w:rFonts w:cs="Times New Roman"/>
          <w:szCs w:val="24"/>
          <w:lang w:val="sq-AL"/>
        </w:rPr>
        <w:t>n</w:t>
      </w:r>
      <w:r w:rsidRPr="00C753E2">
        <w:rPr>
          <w:rFonts w:cs="Times New Roman"/>
          <w:szCs w:val="24"/>
          <w:lang w:val="sq-AL"/>
        </w:rPr>
        <w:t>r. 11/2012 "Për menaxhimin e integruar të burimeve ujore"</w:t>
      </w:r>
      <w:r w:rsidR="00381980" w:rsidRPr="00C753E2">
        <w:rPr>
          <w:rFonts w:cs="Times New Roman"/>
          <w:szCs w:val="24"/>
          <w:lang w:val="sq-AL"/>
        </w:rPr>
        <w:t xml:space="preserve"> </w:t>
      </w:r>
    </w:p>
    <w:p w14:paraId="276B446C" w14:textId="77777777" w:rsidR="009409B4" w:rsidRPr="00C753E2" w:rsidRDefault="006257B9" w:rsidP="00623352">
      <w:pPr>
        <w:pStyle w:val="Heading5"/>
      </w:pPr>
      <w:bookmarkStart w:id="98" w:name="_Toc132277351"/>
      <w:r w:rsidRPr="00C753E2">
        <w:t>A</w:t>
      </w:r>
      <w:r w:rsidR="009409B4" w:rsidRPr="00C753E2">
        <w:t xml:space="preserve">utoriteti i </w:t>
      </w:r>
      <w:r w:rsidRPr="00C753E2">
        <w:t>K</w:t>
      </w:r>
      <w:r w:rsidR="009409B4" w:rsidRPr="00C753E2">
        <w:t xml:space="preserve">omunikimeve </w:t>
      </w:r>
      <w:r w:rsidRPr="00C753E2">
        <w:t>E</w:t>
      </w:r>
      <w:r w:rsidR="009409B4" w:rsidRPr="00C753E2">
        <w:t xml:space="preserve">lektronike dhe </w:t>
      </w:r>
      <w:r w:rsidRPr="00C753E2">
        <w:t>P</w:t>
      </w:r>
      <w:r w:rsidR="009409B4" w:rsidRPr="00C753E2">
        <w:t>ostare</w:t>
      </w:r>
      <w:bookmarkEnd w:id="98"/>
    </w:p>
    <w:p w14:paraId="1030990C" w14:textId="08B645AB" w:rsidR="00F260E2" w:rsidRDefault="00F260E2" w:rsidP="00F260E2">
      <w:pPr>
        <w:spacing w:line="240" w:lineRule="auto"/>
        <w:rPr>
          <w:rFonts w:cs="Times New Roman"/>
          <w:szCs w:val="24"/>
          <w:lang w:val="sq-AL"/>
        </w:rPr>
      </w:pPr>
      <w:r>
        <w:rPr>
          <w:rFonts w:cs="Times New Roman"/>
          <w:szCs w:val="24"/>
          <w:lang w:val="sq-AL"/>
        </w:rPr>
        <w:t>Fusha e shërbimeve të komunikimeve elektronike dhe postare rregullohet nga kuadri i mëposhtëm ligjor:</w:t>
      </w:r>
    </w:p>
    <w:p w14:paraId="3F62483B" w14:textId="7FF90B39" w:rsidR="006257B9" w:rsidRPr="00C753E2" w:rsidRDefault="006257B9" w:rsidP="00F260E2">
      <w:pPr>
        <w:spacing w:line="240" w:lineRule="auto"/>
        <w:rPr>
          <w:rFonts w:cs="Times New Roman"/>
          <w:szCs w:val="24"/>
          <w:lang w:val="sq-AL"/>
        </w:rPr>
      </w:pPr>
      <w:r w:rsidRPr="00C753E2">
        <w:rPr>
          <w:rFonts w:cs="Times New Roman"/>
          <w:szCs w:val="24"/>
          <w:lang w:val="sq-AL"/>
        </w:rPr>
        <w:lastRenderedPageBreak/>
        <w:t>Ligji nr. 9918 datë 19.05.2008 “Për  Komunikimet Elektronike në Republikën  e  Shqipërisë”, i ndryshuar me Ligjin nr. 102/2012 datë 24.10.2012, “Për disa ndryshime dhe shtesa në ligjin nr. 9918, datë 19.05.2008 “Për komunikimet elektronike në Republikën e Shqipërisë”</w:t>
      </w:r>
    </w:p>
    <w:p w14:paraId="3879CB90" w14:textId="77777777" w:rsidR="006257B9" w:rsidRPr="00F32E3B" w:rsidRDefault="006257B9" w:rsidP="00D13857">
      <w:pPr>
        <w:spacing w:line="240" w:lineRule="auto"/>
        <w:jc w:val="both"/>
        <w:rPr>
          <w:rFonts w:cs="Times New Roman"/>
          <w:szCs w:val="24"/>
          <w:lang w:val="sq-AL"/>
        </w:rPr>
      </w:pPr>
      <w:r w:rsidRPr="00F32E3B">
        <w:rPr>
          <w:rFonts w:cs="Times New Roman"/>
          <w:szCs w:val="24"/>
          <w:lang w:val="sq-AL"/>
        </w:rPr>
        <w:t xml:space="preserve">Ndryshimi kryesor ligjor në vitin 2012 për sa i përket mbrojtjes së konsumatorit ishte përfshirja në kompetencën e AKEP e zgjidhjes së mosmarrëveshjeve midis pajtimtarëve dhe sipërmarrëseve të rrjeteve dhe shërbimeve të komunikimeve elektronike publike. </w:t>
      </w:r>
    </w:p>
    <w:p w14:paraId="33831BC5" w14:textId="74BB7D62" w:rsidR="006257B9" w:rsidRPr="00F32E3B" w:rsidRDefault="006257B9" w:rsidP="00D13857">
      <w:pPr>
        <w:spacing w:line="240" w:lineRule="auto"/>
        <w:jc w:val="both"/>
        <w:rPr>
          <w:rFonts w:cs="Times New Roman"/>
          <w:szCs w:val="24"/>
          <w:lang w:val="sq-AL"/>
        </w:rPr>
      </w:pPr>
      <w:r w:rsidRPr="00F32E3B">
        <w:rPr>
          <w:rFonts w:cs="Times New Roman"/>
          <w:szCs w:val="24"/>
          <w:lang w:val="sq-AL"/>
        </w:rPr>
        <w:t xml:space="preserve">Ligji </w:t>
      </w:r>
      <w:r w:rsidR="00C753E2">
        <w:rPr>
          <w:rFonts w:cs="Times New Roman"/>
          <w:szCs w:val="24"/>
          <w:lang w:val="sq-AL"/>
        </w:rPr>
        <w:t xml:space="preserve">nr. </w:t>
      </w:r>
      <w:r w:rsidRPr="00F32E3B">
        <w:rPr>
          <w:rFonts w:cs="Times New Roman"/>
          <w:szCs w:val="24"/>
          <w:lang w:val="sq-AL"/>
        </w:rPr>
        <w:t xml:space="preserve">9918/2008 është i përafruar me kuadrin rregullator të BE-së për komunikimet elektronike të vitit 2002 (Directives 2002/19/EC, 2002/20/EC, 2002/21/EC dhe 2002/22/EC) të amenduara në vitin 2009. </w:t>
      </w:r>
    </w:p>
    <w:p w14:paraId="47CD20D8" w14:textId="54EB6573" w:rsidR="006257B9" w:rsidRPr="00F32E3B" w:rsidRDefault="006257B9" w:rsidP="00D13857">
      <w:pPr>
        <w:spacing w:line="240" w:lineRule="auto"/>
        <w:jc w:val="both"/>
        <w:rPr>
          <w:rFonts w:cs="Times New Roman"/>
          <w:szCs w:val="24"/>
          <w:lang w:val="sq-AL"/>
        </w:rPr>
      </w:pPr>
      <w:r w:rsidRPr="00F32E3B">
        <w:rPr>
          <w:rFonts w:cs="Times New Roman"/>
          <w:szCs w:val="24"/>
          <w:lang w:val="sq-AL"/>
        </w:rPr>
        <w:t>M</w:t>
      </w:r>
      <w:r w:rsidR="00957E7D">
        <w:rPr>
          <w:rFonts w:cs="Times New Roman"/>
          <w:szCs w:val="24"/>
          <w:lang w:val="sq-AL"/>
        </w:rPr>
        <w:t>ë</w:t>
      </w:r>
      <w:r w:rsidRPr="00F32E3B">
        <w:rPr>
          <w:rFonts w:cs="Times New Roman"/>
          <w:szCs w:val="24"/>
          <w:lang w:val="sq-AL"/>
        </w:rPr>
        <w:t xml:space="preserve"> dat</w:t>
      </w:r>
      <w:r w:rsidR="00957E7D">
        <w:rPr>
          <w:rFonts w:cs="Times New Roman"/>
          <w:szCs w:val="24"/>
          <w:lang w:val="sq-AL"/>
        </w:rPr>
        <w:t>ë</w:t>
      </w:r>
      <w:r w:rsidRPr="00F32E3B">
        <w:rPr>
          <w:rFonts w:cs="Times New Roman"/>
          <w:szCs w:val="24"/>
          <w:lang w:val="sq-AL"/>
        </w:rPr>
        <w:t xml:space="preserve"> 31.10.2022, MIE ka nxjerrë në këshillim publik Projektligjin “Për komunikimet elektronike në Republikën e Shqipërisë”, i cili synon transpozimin e Direktivës (EU) 2018/1972 të parlamentit Evropian dhe të Këshillit “Për krijimin e Kodit Evropian të Komunikimeve Elektronike”  (në vijim EECC) .  Periudha e këshillimit publik përfundon më 30.11.2022.</w:t>
      </w:r>
    </w:p>
    <w:p w14:paraId="2371D4DD" w14:textId="77777777" w:rsidR="006257B9" w:rsidRPr="00F32E3B" w:rsidRDefault="006257B9" w:rsidP="00D13857">
      <w:pPr>
        <w:spacing w:line="240" w:lineRule="auto"/>
        <w:jc w:val="both"/>
        <w:rPr>
          <w:rFonts w:cs="Times New Roman"/>
          <w:szCs w:val="24"/>
          <w:lang w:val="sq-AL"/>
        </w:rPr>
      </w:pPr>
      <w:r w:rsidRPr="00F32E3B">
        <w:rPr>
          <w:rFonts w:cs="Times New Roman"/>
          <w:szCs w:val="24"/>
          <w:lang w:val="sq-AL"/>
        </w:rPr>
        <w:t xml:space="preserve">Transpozimi i EECC nëpërmjet projektligjit pritet të sjellë një sërë përmirësimesh në drejtim të mbrojtjes së konsumatorëve/përdoruesve të rrjeteve dhe/ose shërbimeve të komunikimeve elektronike, të tilla si: </w:t>
      </w:r>
    </w:p>
    <w:p w14:paraId="60FFE652" w14:textId="77777777" w:rsidR="006257B9" w:rsidRPr="00F32E3B" w:rsidRDefault="006257B9" w:rsidP="007B7A75">
      <w:pPr>
        <w:tabs>
          <w:tab w:val="left" w:pos="284"/>
        </w:tabs>
        <w:spacing w:line="240" w:lineRule="auto"/>
        <w:jc w:val="both"/>
        <w:rPr>
          <w:rFonts w:cs="Times New Roman"/>
          <w:szCs w:val="24"/>
          <w:lang w:val="sq-AL"/>
        </w:rPr>
      </w:pPr>
      <w:r w:rsidRPr="00F32E3B">
        <w:rPr>
          <w:rFonts w:cs="Times New Roman"/>
          <w:szCs w:val="24"/>
          <w:lang w:val="sq-AL"/>
        </w:rPr>
        <w:t>-</w:t>
      </w:r>
      <w:r w:rsidRPr="00F32E3B">
        <w:rPr>
          <w:rFonts w:cs="Times New Roman"/>
          <w:szCs w:val="24"/>
          <w:lang w:val="sq-AL"/>
        </w:rPr>
        <w:tab/>
        <w:t>Përcaktime më të qarta për përmbajtjen e kontratave të pajtimit në lidhje me kohëzgjatjen, rinovimin dhe përfundimin e kontratës, ofrimin e përmbledhjes së kontratës, informacionin për cilësinë e shërbimit dhe tarifat, etj.;</w:t>
      </w:r>
    </w:p>
    <w:p w14:paraId="5433AEEE" w14:textId="77777777" w:rsidR="006257B9" w:rsidRPr="00F32E3B" w:rsidRDefault="006257B9" w:rsidP="007B7A75">
      <w:pPr>
        <w:tabs>
          <w:tab w:val="left" w:pos="284"/>
        </w:tabs>
        <w:spacing w:line="240" w:lineRule="auto"/>
        <w:jc w:val="both"/>
        <w:rPr>
          <w:rFonts w:cs="Times New Roman"/>
          <w:szCs w:val="24"/>
          <w:lang w:val="sq-AL"/>
        </w:rPr>
      </w:pPr>
      <w:r w:rsidRPr="00F32E3B">
        <w:rPr>
          <w:rFonts w:cs="Times New Roman"/>
          <w:szCs w:val="24"/>
          <w:lang w:val="sq-AL"/>
        </w:rPr>
        <w:t>-</w:t>
      </w:r>
      <w:r w:rsidRPr="00F32E3B">
        <w:rPr>
          <w:rFonts w:cs="Times New Roman"/>
          <w:szCs w:val="24"/>
          <w:lang w:val="sq-AL"/>
        </w:rPr>
        <w:tab/>
        <w:t>Masa për të përmirësuar transparencën, krahasimin e ofertave/tarifave dhe publikimin e informacionit nga operatorët;</w:t>
      </w:r>
    </w:p>
    <w:p w14:paraId="5DCAC3D0" w14:textId="77777777" w:rsidR="006257B9" w:rsidRPr="00F32E3B" w:rsidRDefault="006257B9" w:rsidP="007B7A75">
      <w:pPr>
        <w:tabs>
          <w:tab w:val="left" w:pos="284"/>
        </w:tabs>
        <w:spacing w:line="240" w:lineRule="auto"/>
        <w:jc w:val="both"/>
        <w:rPr>
          <w:rFonts w:cs="Times New Roman"/>
          <w:szCs w:val="24"/>
          <w:lang w:val="sq-AL"/>
        </w:rPr>
      </w:pPr>
      <w:r w:rsidRPr="00F32E3B">
        <w:rPr>
          <w:rFonts w:cs="Times New Roman"/>
          <w:szCs w:val="24"/>
          <w:lang w:val="sq-AL"/>
        </w:rPr>
        <w:t>-</w:t>
      </w:r>
      <w:r w:rsidRPr="00F32E3B">
        <w:rPr>
          <w:rFonts w:cs="Times New Roman"/>
          <w:szCs w:val="24"/>
          <w:lang w:val="sq-AL"/>
        </w:rPr>
        <w:tab/>
        <w:t>Masa për të garantuar cilësinë e shërbimit të aksesit në internet, përfshirë një kapitull të veçantë për transpozimin e Rregullores 2015/2120 të BE-së për aksesin e hapur në internet (masa për transparencë për shpejtësinë e internetit);</w:t>
      </w:r>
    </w:p>
    <w:p w14:paraId="46C6FD38" w14:textId="77777777" w:rsidR="006257B9" w:rsidRPr="00F32E3B" w:rsidRDefault="006257B9" w:rsidP="007B7A75">
      <w:pPr>
        <w:tabs>
          <w:tab w:val="left" w:pos="284"/>
        </w:tabs>
        <w:spacing w:line="240" w:lineRule="auto"/>
        <w:jc w:val="both"/>
        <w:rPr>
          <w:rFonts w:cs="Times New Roman"/>
          <w:szCs w:val="24"/>
          <w:lang w:val="sq-AL"/>
        </w:rPr>
      </w:pPr>
      <w:r w:rsidRPr="00F32E3B">
        <w:rPr>
          <w:rFonts w:cs="Times New Roman"/>
          <w:szCs w:val="24"/>
          <w:lang w:val="sq-AL"/>
        </w:rPr>
        <w:t>-</w:t>
      </w:r>
      <w:r w:rsidRPr="00F32E3B">
        <w:rPr>
          <w:rFonts w:cs="Times New Roman"/>
          <w:szCs w:val="24"/>
          <w:lang w:val="sq-AL"/>
        </w:rPr>
        <w:tab/>
        <w:t>Të drejta të konsumatorëve/pajtimtarëve për kompensim dhe/ose për të përfunduar kontratën në ofrimit të shërbimit jo në përputhe me treguesit e cilësisë së përfshirë në kontratë;</w:t>
      </w:r>
    </w:p>
    <w:p w14:paraId="5901D0DB" w14:textId="3F70979A" w:rsidR="006257B9" w:rsidRPr="00F260E2" w:rsidRDefault="006257B9" w:rsidP="00F260E2">
      <w:pPr>
        <w:spacing w:line="240" w:lineRule="auto"/>
        <w:rPr>
          <w:rFonts w:cs="Times New Roman"/>
          <w:szCs w:val="24"/>
          <w:lang w:val="sq-AL"/>
        </w:rPr>
      </w:pPr>
      <w:r w:rsidRPr="00F260E2">
        <w:rPr>
          <w:rFonts w:cs="Times New Roman"/>
          <w:szCs w:val="24"/>
          <w:lang w:val="sq-AL"/>
        </w:rPr>
        <w:t xml:space="preserve">Ligji </w:t>
      </w:r>
      <w:r w:rsidR="00957E7D" w:rsidRPr="00F260E2">
        <w:rPr>
          <w:rFonts w:cs="Times New Roman"/>
          <w:szCs w:val="24"/>
          <w:lang w:val="sq-AL"/>
        </w:rPr>
        <w:t>n</w:t>
      </w:r>
      <w:r w:rsidRPr="00F260E2">
        <w:rPr>
          <w:rFonts w:cs="Times New Roman"/>
          <w:szCs w:val="24"/>
          <w:lang w:val="sq-AL"/>
        </w:rPr>
        <w:t>r. 46/2015 “Për shërbimet postare në Republikën e Shqipërisë”.</w:t>
      </w:r>
    </w:p>
    <w:p w14:paraId="6E39D983" w14:textId="7603780A" w:rsidR="006E16A2" w:rsidRPr="00C753E2" w:rsidRDefault="006E16A2" w:rsidP="00623352">
      <w:pPr>
        <w:pStyle w:val="Heading5"/>
      </w:pPr>
      <w:bookmarkStart w:id="99" w:name="_Toc132277352"/>
      <w:r w:rsidRPr="00C753E2">
        <w:t>A</w:t>
      </w:r>
      <w:r w:rsidR="00957E7D" w:rsidRPr="00C753E2">
        <w:t xml:space="preserve">utoriteti i </w:t>
      </w:r>
      <w:r w:rsidRPr="00C753E2">
        <w:t>M</w:t>
      </w:r>
      <w:r w:rsidR="00957E7D" w:rsidRPr="00C753E2">
        <w:t xml:space="preserve">bikëqyrjes </w:t>
      </w:r>
      <w:r w:rsidRPr="00C753E2">
        <w:t>F</w:t>
      </w:r>
      <w:r w:rsidR="00957E7D" w:rsidRPr="00C753E2">
        <w:t>inanciare</w:t>
      </w:r>
      <w:bookmarkEnd w:id="99"/>
    </w:p>
    <w:p w14:paraId="35E36708" w14:textId="252F8715" w:rsidR="00F260E2" w:rsidRPr="00F260E2" w:rsidRDefault="00F260E2" w:rsidP="00F260E2">
      <w:pPr>
        <w:jc w:val="both"/>
        <w:rPr>
          <w:rFonts w:eastAsia="Calibri" w:cs="Times New Roman"/>
          <w:szCs w:val="24"/>
          <w:lang w:val="sq-AL"/>
        </w:rPr>
      </w:pPr>
      <w:r w:rsidRPr="00F260E2">
        <w:rPr>
          <w:rFonts w:eastAsia="Calibri" w:cs="Times New Roman"/>
          <w:szCs w:val="24"/>
          <w:lang w:val="sq-AL"/>
        </w:rPr>
        <w:t>Fusha e shërbimeve financiare rregullohet nha kuadri ligjor si më poshtë:</w:t>
      </w:r>
    </w:p>
    <w:p w14:paraId="528BF796" w14:textId="3AC86BFC"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Times New Roman" w:cs="Times New Roman"/>
          <w:spacing w:val="-12"/>
          <w:szCs w:val="24"/>
        </w:rPr>
        <w:t>Ligji nr. 9572, datë 03.07.2006 "Për Autoritetin e Mbikëqyrjes Financiare"</w:t>
      </w:r>
      <w:r>
        <w:rPr>
          <w:rFonts w:eastAsia="Times New Roman" w:cs="Times New Roman"/>
          <w:spacing w:val="-12"/>
          <w:szCs w:val="24"/>
        </w:rPr>
        <w:t>, i n</w:t>
      </w:r>
      <w:r w:rsidRPr="00C753E2">
        <w:rPr>
          <w:rFonts w:eastAsia="Times New Roman" w:cs="Times New Roman"/>
          <w:spacing w:val="-12"/>
          <w:szCs w:val="24"/>
        </w:rPr>
        <w:t>dryshuar</w:t>
      </w:r>
      <w:r>
        <w:rPr>
          <w:rStyle w:val="FootnoteReference"/>
          <w:rFonts w:eastAsia="Times New Roman" w:cs="Times New Roman"/>
          <w:spacing w:val="-12"/>
          <w:szCs w:val="24"/>
        </w:rPr>
        <w:footnoteReference w:id="14"/>
      </w:r>
    </w:p>
    <w:p w14:paraId="5EA618FF" w14:textId="77777777"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Times New Roman" w:cs="Times New Roman"/>
          <w:spacing w:val="-12"/>
          <w:szCs w:val="24"/>
        </w:rPr>
        <w:t>Ligji nr. 52, datë 22.05.2014 "Për veprimtarinë e sigurimit dhe risigurimit"</w:t>
      </w:r>
    </w:p>
    <w:p w14:paraId="2519D0DF" w14:textId="77777777"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Times New Roman" w:cs="Times New Roman"/>
          <w:spacing w:val="-12"/>
          <w:szCs w:val="24"/>
        </w:rPr>
        <w:t>Ligji nr. 32/2021, datë 16.03.2021 “Për sigurimin e detyrueshëm në sektorin e transportit”</w:t>
      </w:r>
    </w:p>
    <w:p w14:paraId="6A6EB381" w14:textId="77777777" w:rsidR="00C753E2" w:rsidRPr="00C753E2" w:rsidRDefault="009B18B8" w:rsidP="00623352">
      <w:pPr>
        <w:pStyle w:val="ListParagraph"/>
        <w:numPr>
          <w:ilvl w:val="0"/>
          <w:numId w:val="57"/>
        </w:numPr>
        <w:jc w:val="both"/>
        <w:rPr>
          <w:rFonts w:eastAsia="Calibri" w:cs="Times New Roman"/>
          <w:szCs w:val="24"/>
          <w:lang w:val="sq-AL"/>
        </w:rPr>
      </w:pPr>
      <w:hyperlink r:id="rId31" w:history="1">
        <w:r w:rsidR="00C753E2" w:rsidRPr="00C753E2">
          <w:rPr>
            <w:rFonts w:eastAsia="Times New Roman" w:cs="Times New Roman"/>
            <w:spacing w:val="-12"/>
            <w:szCs w:val="24"/>
          </w:rPr>
          <w:t>Ligji nr. 66/2020, datë 21.05.2020 "Për tregjet financiare të bazuara në teknologjinë e regjistrave të shpërndarë"</w:t>
        </w:r>
      </w:hyperlink>
    </w:p>
    <w:p w14:paraId="33E95A6B" w14:textId="77777777" w:rsidR="00C753E2" w:rsidRPr="00C753E2" w:rsidRDefault="009B18B8" w:rsidP="00623352">
      <w:pPr>
        <w:pStyle w:val="ListParagraph"/>
        <w:numPr>
          <w:ilvl w:val="0"/>
          <w:numId w:val="57"/>
        </w:numPr>
        <w:jc w:val="both"/>
        <w:rPr>
          <w:rFonts w:eastAsia="Calibri" w:cs="Times New Roman"/>
          <w:szCs w:val="24"/>
          <w:lang w:val="sq-AL"/>
        </w:rPr>
      </w:pPr>
      <w:hyperlink r:id="rId32" w:history="1">
        <w:r w:rsidR="00C753E2" w:rsidRPr="00C753E2">
          <w:rPr>
            <w:rFonts w:eastAsia="Times New Roman" w:cs="Times New Roman"/>
            <w:spacing w:val="-12"/>
            <w:szCs w:val="24"/>
          </w:rPr>
          <w:t>Ligji nr. 62/2020, datë 14.05.2020 “Për Tregjet e Kapitalit”</w:t>
        </w:r>
      </w:hyperlink>
    </w:p>
    <w:p w14:paraId="1A3E8CB2" w14:textId="77777777"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Calibri" w:cs="Times New Roman"/>
          <w:szCs w:val="24"/>
          <w:lang w:val="sq-AL"/>
        </w:rPr>
        <w:t>Ligji nr. 10 158, datë 15.10.2009 "Për obligacionet e shoqërive aksionare dhe të qeverisë vendore"</w:t>
      </w:r>
    </w:p>
    <w:p w14:paraId="6CA849A0" w14:textId="77777777"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Calibri" w:cs="Times New Roman"/>
          <w:szCs w:val="24"/>
          <w:lang w:val="sq-AL"/>
        </w:rPr>
        <w:t>Ligji nr. 9879, datë 21.02.2008 "Për Titujt"</w:t>
      </w:r>
    </w:p>
    <w:p w14:paraId="0F1D6B7A" w14:textId="77777777" w:rsidR="00C753E2" w:rsidRPr="00C753E2" w:rsidRDefault="00C753E2" w:rsidP="00623352">
      <w:pPr>
        <w:pStyle w:val="ListParagraph"/>
        <w:numPr>
          <w:ilvl w:val="0"/>
          <w:numId w:val="57"/>
        </w:numPr>
        <w:jc w:val="both"/>
        <w:rPr>
          <w:rFonts w:eastAsia="Calibri" w:cs="Times New Roman"/>
          <w:szCs w:val="24"/>
          <w:lang w:val="sq-AL"/>
        </w:rPr>
      </w:pPr>
      <w:r w:rsidRPr="00C753E2">
        <w:rPr>
          <w:rFonts w:eastAsia="Calibri" w:cs="Times New Roman"/>
          <w:szCs w:val="24"/>
          <w:lang w:val="sq-AL"/>
        </w:rPr>
        <w:t>Ligji nr. 10 197, datë 10.12.2009 "Për fondet e pensionit vullnetar"</w:t>
      </w:r>
    </w:p>
    <w:p w14:paraId="04BC803D" w14:textId="617A481A" w:rsidR="003619C2" w:rsidRPr="00D13857" w:rsidRDefault="00C753E2" w:rsidP="00623352">
      <w:pPr>
        <w:pStyle w:val="ListParagraph"/>
        <w:numPr>
          <w:ilvl w:val="0"/>
          <w:numId w:val="57"/>
        </w:numPr>
        <w:jc w:val="both"/>
        <w:rPr>
          <w:rFonts w:eastAsia="Calibri" w:cs="Times New Roman"/>
          <w:szCs w:val="24"/>
          <w:lang w:val="sq-AL"/>
        </w:rPr>
      </w:pPr>
      <w:r w:rsidRPr="00C753E2">
        <w:rPr>
          <w:rFonts w:eastAsia="Calibri" w:cs="Times New Roman"/>
          <w:szCs w:val="24"/>
          <w:lang w:val="sq-AL"/>
        </w:rPr>
        <w:lastRenderedPageBreak/>
        <w:t>Ligji nr. 56/2020, datë 30.04.2020 "Për sipërmarrjet e investimeve kolektive"</w:t>
      </w:r>
    </w:p>
    <w:p w14:paraId="3CA7D1DD" w14:textId="5EFD654C" w:rsidR="007B29DC" w:rsidRDefault="007B29DC" w:rsidP="00623352">
      <w:pPr>
        <w:pStyle w:val="Heading5"/>
      </w:pPr>
      <w:bookmarkStart w:id="100" w:name="_Toc132277353"/>
      <w:r w:rsidRPr="003619C2">
        <w:t>Banka e Shqipërisë</w:t>
      </w:r>
      <w:bookmarkEnd w:id="100"/>
    </w:p>
    <w:p w14:paraId="10E3CC62" w14:textId="77777777" w:rsidR="003619C2" w:rsidRDefault="007B29DC" w:rsidP="003619C2">
      <w:pPr>
        <w:spacing w:after="0" w:line="240" w:lineRule="auto"/>
        <w:jc w:val="both"/>
        <w:rPr>
          <w:rFonts w:cs="Times New Roman"/>
          <w:szCs w:val="24"/>
          <w:lang w:val="sq-AL"/>
        </w:rPr>
      </w:pPr>
      <w:r w:rsidRPr="00F32E3B">
        <w:rPr>
          <w:rFonts w:cs="Times New Roman"/>
          <w:szCs w:val="24"/>
          <w:lang w:val="sq-AL"/>
        </w:rPr>
        <w:t>Banka  e Shqipërisë mbron dhe promovon interesat e konsumatorëve bazuar në një kuadër ligjor dhe rregullativ të përshtatshëm</w:t>
      </w:r>
      <w:r>
        <w:rPr>
          <w:rFonts w:cs="Times New Roman"/>
          <w:szCs w:val="24"/>
          <w:lang w:val="sq-AL"/>
        </w:rPr>
        <w:t>:</w:t>
      </w:r>
      <w:r w:rsidRPr="00F32E3B">
        <w:rPr>
          <w:rFonts w:cs="Times New Roman"/>
          <w:szCs w:val="24"/>
          <w:lang w:val="sq-AL"/>
        </w:rPr>
        <w:t xml:space="preserve"> </w:t>
      </w:r>
    </w:p>
    <w:p w14:paraId="2B2E7CCA" w14:textId="77777777" w:rsidR="003619C2" w:rsidRPr="003619C2" w:rsidRDefault="007B29DC" w:rsidP="00623352">
      <w:pPr>
        <w:pStyle w:val="ListParagraph"/>
        <w:numPr>
          <w:ilvl w:val="0"/>
          <w:numId w:val="58"/>
        </w:numPr>
        <w:spacing w:after="0" w:line="240" w:lineRule="auto"/>
        <w:jc w:val="both"/>
        <w:rPr>
          <w:rFonts w:cs="Times New Roman"/>
          <w:szCs w:val="24"/>
          <w:lang w:val="sq-AL"/>
        </w:rPr>
      </w:pPr>
      <w:r w:rsidRPr="003619C2">
        <w:rPr>
          <w:rFonts w:cs="Times New Roman"/>
          <w:szCs w:val="24"/>
          <w:lang w:val="sq-AL"/>
        </w:rPr>
        <w:t>Ligji nr. 9662, datë 18.12.2006 "Për Bankat në Republikën  e Shqipërisë” , i ndryshuar;</w:t>
      </w:r>
    </w:p>
    <w:p w14:paraId="1C036B4A" w14:textId="1092276D" w:rsidR="003619C2" w:rsidRPr="003619C2" w:rsidRDefault="007B29DC" w:rsidP="00623352">
      <w:pPr>
        <w:pStyle w:val="ListParagraph"/>
        <w:numPr>
          <w:ilvl w:val="0"/>
          <w:numId w:val="58"/>
        </w:numPr>
        <w:spacing w:after="0" w:line="240" w:lineRule="auto"/>
        <w:jc w:val="both"/>
        <w:rPr>
          <w:rFonts w:cs="Times New Roman"/>
          <w:szCs w:val="24"/>
          <w:lang w:val="sq-AL"/>
        </w:rPr>
      </w:pPr>
      <w:r w:rsidRPr="003619C2">
        <w:rPr>
          <w:rFonts w:cs="Times New Roman"/>
          <w:szCs w:val="24"/>
          <w:lang w:val="sq-AL"/>
        </w:rPr>
        <w:t xml:space="preserve">Ligji nr. 8269, datë 23.12.1997 "Për Bankën e Shqipërisë", i ndryshuar; </w:t>
      </w:r>
    </w:p>
    <w:p w14:paraId="559112C6" w14:textId="77777777" w:rsidR="003619C2" w:rsidRPr="003619C2" w:rsidRDefault="007B29DC" w:rsidP="00623352">
      <w:pPr>
        <w:pStyle w:val="ListParagraph"/>
        <w:numPr>
          <w:ilvl w:val="0"/>
          <w:numId w:val="58"/>
        </w:numPr>
        <w:spacing w:after="0" w:line="240" w:lineRule="auto"/>
        <w:jc w:val="both"/>
        <w:rPr>
          <w:rFonts w:cs="Times New Roman"/>
          <w:szCs w:val="24"/>
          <w:lang w:val="sq-AL"/>
        </w:rPr>
      </w:pPr>
      <w:r w:rsidRPr="003619C2">
        <w:rPr>
          <w:rFonts w:cs="Times New Roman"/>
          <w:szCs w:val="24"/>
          <w:lang w:val="sq-AL"/>
        </w:rPr>
        <w:t xml:space="preserve">Ligji nr.55/2020 “Për shërbimet e pagesave” </w:t>
      </w:r>
    </w:p>
    <w:p w14:paraId="613E7DC0" w14:textId="39D52044" w:rsidR="007B29DC" w:rsidRDefault="007B29DC" w:rsidP="003619C2">
      <w:pPr>
        <w:spacing w:after="0" w:line="240" w:lineRule="auto"/>
        <w:jc w:val="both"/>
        <w:rPr>
          <w:rFonts w:cs="Times New Roman"/>
          <w:szCs w:val="24"/>
          <w:lang w:val="sq-AL"/>
        </w:rPr>
      </w:pPr>
      <w:r w:rsidRPr="00F32E3B">
        <w:rPr>
          <w:rFonts w:cs="Times New Roman"/>
          <w:szCs w:val="24"/>
          <w:lang w:val="sq-AL"/>
        </w:rPr>
        <w:t>si dhe në aktet nënligjore  të publikuara në faqen në internet të Bankës së Shqipërisë</w:t>
      </w:r>
      <w:r>
        <w:rPr>
          <w:rStyle w:val="FootnoteReference"/>
          <w:rFonts w:cs="Times New Roman"/>
          <w:szCs w:val="24"/>
          <w:lang w:val="sq-AL"/>
        </w:rPr>
        <w:footnoteReference w:id="15"/>
      </w:r>
      <w:r>
        <w:rPr>
          <w:rFonts w:cs="Times New Roman"/>
          <w:szCs w:val="24"/>
          <w:lang w:val="sq-AL"/>
        </w:rPr>
        <w:t xml:space="preserve">. </w:t>
      </w:r>
    </w:p>
    <w:p w14:paraId="5677ABE3" w14:textId="77777777" w:rsidR="007B29DC" w:rsidRPr="003619C2" w:rsidRDefault="007B29DC" w:rsidP="00623352">
      <w:pPr>
        <w:pStyle w:val="Heading5"/>
        <w:rPr>
          <w:lang w:val="sq-AL"/>
        </w:rPr>
      </w:pPr>
      <w:bookmarkStart w:id="101" w:name="_Toc132277354"/>
      <w:r w:rsidRPr="003619C2">
        <w:t>Autoriteti i Aviacionit Civil</w:t>
      </w:r>
      <w:bookmarkEnd w:id="101"/>
    </w:p>
    <w:p w14:paraId="2E5F3CBD" w14:textId="43C99920" w:rsidR="00F260E2" w:rsidRPr="00F260E2" w:rsidRDefault="00F260E2" w:rsidP="00F260E2">
      <w:pPr>
        <w:spacing w:after="0" w:line="240" w:lineRule="auto"/>
        <w:jc w:val="both"/>
        <w:rPr>
          <w:rFonts w:cs="Times New Roman"/>
          <w:bCs/>
          <w:szCs w:val="24"/>
          <w:lang w:val="sq-AL"/>
        </w:rPr>
      </w:pPr>
      <w:r>
        <w:rPr>
          <w:rFonts w:cs="Times New Roman"/>
          <w:bCs/>
          <w:szCs w:val="24"/>
          <w:lang w:val="sq-AL"/>
        </w:rPr>
        <w:t>Në fushën e aviacionit civil, kuadri i mëposhtëm ligjor rregullon shërbimet në këtë fushë:</w:t>
      </w:r>
    </w:p>
    <w:p w14:paraId="1850C116" w14:textId="457ED932" w:rsidR="000448B9" w:rsidRPr="003619C2" w:rsidRDefault="000448B9" w:rsidP="00623352">
      <w:pPr>
        <w:pStyle w:val="ListParagraph"/>
        <w:numPr>
          <w:ilvl w:val="0"/>
          <w:numId w:val="59"/>
        </w:numPr>
        <w:spacing w:after="0" w:line="240" w:lineRule="auto"/>
        <w:jc w:val="both"/>
        <w:rPr>
          <w:rFonts w:cs="Times New Roman"/>
          <w:bCs/>
          <w:szCs w:val="24"/>
          <w:lang w:val="sq-AL"/>
        </w:rPr>
      </w:pPr>
      <w:r w:rsidRPr="003619C2">
        <w:rPr>
          <w:rFonts w:cs="Times New Roman"/>
          <w:bCs/>
          <w:szCs w:val="24"/>
          <w:lang w:val="sq-AL"/>
        </w:rPr>
        <w:t xml:space="preserve">Ligji </w:t>
      </w:r>
      <w:r w:rsidR="007B29DC" w:rsidRPr="003619C2">
        <w:rPr>
          <w:rFonts w:cs="Times New Roman"/>
          <w:bCs/>
          <w:szCs w:val="24"/>
          <w:lang w:val="sq-AL"/>
        </w:rPr>
        <w:t>n</w:t>
      </w:r>
      <w:r w:rsidRPr="003619C2">
        <w:rPr>
          <w:rFonts w:cs="Times New Roman"/>
          <w:bCs/>
          <w:szCs w:val="24"/>
          <w:lang w:val="sq-AL"/>
        </w:rPr>
        <w:t>r. 96/2020</w:t>
      </w:r>
      <w:r w:rsidR="003619C2">
        <w:rPr>
          <w:rFonts w:cs="Times New Roman"/>
          <w:bCs/>
          <w:szCs w:val="24"/>
          <w:lang w:val="sq-AL"/>
        </w:rPr>
        <w:t xml:space="preserve"> “</w:t>
      </w:r>
      <w:r w:rsidRPr="003619C2">
        <w:rPr>
          <w:rFonts w:cs="Times New Roman"/>
          <w:bCs/>
          <w:szCs w:val="24"/>
          <w:lang w:val="sq-AL"/>
        </w:rPr>
        <w:t>Kodi Ajror i Republikës së Shqipërisë</w:t>
      </w:r>
      <w:r w:rsidR="003619C2">
        <w:rPr>
          <w:rFonts w:cs="Times New Roman"/>
          <w:bCs/>
          <w:szCs w:val="24"/>
          <w:lang w:val="sq-AL"/>
        </w:rPr>
        <w:t>”</w:t>
      </w:r>
      <w:r w:rsidRPr="003619C2">
        <w:rPr>
          <w:rFonts w:cs="Times New Roman"/>
          <w:bCs/>
          <w:szCs w:val="24"/>
          <w:lang w:val="sq-AL"/>
        </w:rPr>
        <w:t xml:space="preserve">; </w:t>
      </w:r>
    </w:p>
    <w:p w14:paraId="0CFE8D8C" w14:textId="7559ADBE" w:rsidR="000448B9" w:rsidRPr="00F260E2" w:rsidRDefault="000448B9" w:rsidP="00623352">
      <w:pPr>
        <w:pStyle w:val="ListParagraph"/>
        <w:numPr>
          <w:ilvl w:val="0"/>
          <w:numId w:val="59"/>
        </w:numPr>
        <w:spacing w:after="0" w:line="240" w:lineRule="auto"/>
        <w:jc w:val="both"/>
        <w:rPr>
          <w:rFonts w:cs="Times New Roman"/>
          <w:bCs/>
          <w:szCs w:val="24"/>
          <w:lang w:val="sq-AL"/>
        </w:rPr>
      </w:pPr>
      <w:r w:rsidRPr="003619C2">
        <w:rPr>
          <w:rFonts w:eastAsia="Calibri" w:cs="Times New Roman"/>
          <w:szCs w:val="24"/>
          <w:lang w:eastAsia="sq-AL" w:bidi="sq-AL"/>
        </w:rPr>
        <w:t>Udhëzimin e Ministrit të Transportit dhe Infrastrukturës</w:t>
      </w:r>
      <w:r w:rsidRPr="003619C2">
        <w:rPr>
          <w:rFonts w:cs="Times New Roman"/>
          <w:bCs/>
          <w:szCs w:val="24"/>
          <w:lang w:val="sq-AL"/>
        </w:rPr>
        <w:t xml:space="preserve"> </w:t>
      </w:r>
      <w:r w:rsidRPr="003619C2">
        <w:rPr>
          <w:rFonts w:eastAsia="Calibri" w:cs="Times New Roman"/>
          <w:szCs w:val="24"/>
          <w:lang w:eastAsia="sq-AL" w:bidi="sq-AL"/>
        </w:rPr>
        <w:t xml:space="preserve">Nr.1, datë 26.02.2013 “Për </w:t>
      </w:r>
      <w:r w:rsidRPr="00F260E2">
        <w:rPr>
          <w:rFonts w:eastAsia="Calibri" w:cs="Times New Roman"/>
          <w:szCs w:val="24"/>
          <w:lang w:eastAsia="sq-AL" w:bidi="sq-AL"/>
        </w:rPr>
        <w:t xml:space="preserve">kompensimin dhe asistencën e pasagjerëve në rastin e mospranimit në bord të avionit dhe anulimit ose vonesës gjatë fluturimeve”, që transpozon Rregulloren Europiane </w:t>
      </w:r>
      <w:r w:rsidRPr="00F260E2">
        <w:rPr>
          <w:rFonts w:cs="Times New Roman"/>
          <w:bCs/>
          <w:szCs w:val="24"/>
          <w:lang w:val="sq-AL"/>
        </w:rPr>
        <w:t>(CE) 261/2004;</w:t>
      </w:r>
    </w:p>
    <w:p w14:paraId="23D4F680" w14:textId="34687A42" w:rsidR="000448B9" w:rsidRPr="00F260E2" w:rsidRDefault="000448B9" w:rsidP="00623352">
      <w:pPr>
        <w:pStyle w:val="ListParagraph"/>
        <w:numPr>
          <w:ilvl w:val="0"/>
          <w:numId w:val="59"/>
        </w:numPr>
        <w:spacing w:after="0" w:line="240" w:lineRule="auto"/>
        <w:jc w:val="both"/>
        <w:rPr>
          <w:rFonts w:cs="Times New Roman"/>
          <w:bCs/>
          <w:szCs w:val="24"/>
          <w:lang w:val="sq-AL"/>
        </w:rPr>
      </w:pPr>
      <w:r w:rsidRPr="003619C2">
        <w:rPr>
          <w:rFonts w:eastAsia="Times New Roman" w:cs="Times New Roman"/>
          <w:szCs w:val="24"/>
        </w:rPr>
        <w:t>Udhëzim i Ministrit të Transportit dhe Infrastrukturës</w:t>
      </w:r>
      <w:r w:rsidR="003619C2">
        <w:rPr>
          <w:rFonts w:eastAsia="Times New Roman" w:cs="Times New Roman"/>
          <w:szCs w:val="24"/>
        </w:rPr>
        <w:t xml:space="preserve"> n</w:t>
      </w:r>
      <w:r w:rsidRPr="003619C2">
        <w:rPr>
          <w:rFonts w:eastAsia="Times New Roman" w:cs="Times New Roman"/>
          <w:szCs w:val="24"/>
        </w:rPr>
        <w:t>r. 329 dat</w:t>
      </w:r>
      <w:r w:rsidR="003C2EDE">
        <w:rPr>
          <w:rFonts w:eastAsia="Times New Roman" w:cs="Times New Roman"/>
          <w:szCs w:val="24"/>
        </w:rPr>
        <w:t>ë</w:t>
      </w:r>
      <w:r w:rsidRPr="003619C2">
        <w:rPr>
          <w:rFonts w:eastAsia="Times New Roman" w:cs="Times New Roman"/>
          <w:szCs w:val="24"/>
        </w:rPr>
        <w:t xml:space="preserve"> 22.12.2014 “Të </w:t>
      </w:r>
      <w:r w:rsidRPr="00F260E2">
        <w:rPr>
          <w:rFonts w:eastAsia="Times New Roman" w:cs="Times New Roman"/>
          <w:szCs w:val="24"/>
        </w:rPr>
        <w:t>drejtat e invalidëve dhe personave me aftësi të kufizuara lëvizëse kur udhëtojnë nëpërmjet ajrit”;</w:t>
      </w:r>
    </w:p>
    <w:p w14:paraId="3C0149B8" w14:textId="47075094" w:rsidR="000448B9" w:rsidRPr="00BD5B8A" w:rsidRDefault="000448B9" w:rsidP="00623352">
      <w:pPr>
        <w:pStyle w:val="ListParagraph"/>
        <w:numPr>
          <w:ilvl w:val="0"/>
          <w:numId w:val="59"/>
        </w:numPr>
        <w:spacing w:after="0" w:line="240" w:lineRule="auto"/>
        <w:jc w:val="both"/>
        <w:rPr>
          <w:rFonts w:cs="Times New Roman"/>
          <w:bCs/>
          <w:szCs w:val="24"/>
          <w:lang w:val="sq-AL"/>
        </w:rPr>
      </w:pPr>
      <w:r w:rsidRPr="003619C2">
        <w:rPr>
          <w:rFonts w:eastAsia="Times New Roman" w:cs="Times New Roman"/>
          <w:szCs w:val="24"/>
        </w:rPr>
        <w:t>Udhëzim Ministrit të Transportit dhe Infrastrukturës</w:t>
      </w:r>
      <w:r w:rsidR="003619C2">
        <w:rPr>
          <w:rFonts w:eastAsia="Times New Roman" w:cs="Times New Roman"/>
          <w:szCs w:val="24"/>
        </w:rPr>
        <w:t xml:space="preserve"> n</w:t>
      </w:r>
      <w:r w:rsidRPr="003619C2">
        <w:rPr>
          <w:rFonts w:eastAsia="Times New Roman" w:cs="Times New Roman"/>
          <w:szCs w:val="24"/>
        </w:rPr>
        <w:t xml:space="preserve">r.85 date 09.09.2011 “Për </w:t>
      </w:r>
      <w:r w:rsidRPr="00BD5B8A">
        <w:rPr>
          <w:rFonts w:eastAsia="Times New Roman" w:cs="Times New Roman"/>
          <w:szCs w:val="24"/>
        </w:rPr>
        <w:t>përgjegjësinë e transportueseve ajror në lidhje me pasagjerët që udhëtojnë nga ajri dhe bagazhet e tyre”.</w:t>
      </w:r>
    </w:p>
    <w:p w14:paraId="3C2B81CE" w14:textId="77777777" w:rsidR="000448B9" w:rsidRPr="003619C2" w:rsidRDefault="000448B9" w:rsidP="003619C2">
      <w:pPr>
        <w:spacing w:after="0"/>
        <w:jc w:val="both"/>
        <w:rPr>
          <w:rFonts w:eastAsia="Calibri" w:cs="Times New Roman"/>
          <w:sz w:val="28"/>
          <w:szCs w:val="28"/>
          <w:lang w:val="sq-AL"/>
        </w:rPr>
      </w:pPr>
    </w:p>
    <w:p w14:paraId="48B7F496" w14:textId="0D42C816" w:rsidR="00C63851" w:rsidRPr="003619C2" w:rsidRDefault="00167C81" w:rsidP="00CD6F88">
      <w:pPr>
        <w:pStyle w:val="Heading2"/>
      </w:pPr>
      <w:bookmarkStart w:id="102" w:name="_Toc130994982"/>
      <w:bookmarkStart w:id="103" w:name="_Toc132277355"/>
      <w:bookmarkStart w:id="104" w:name="_Hlk121695611"/>
      <w:r>
        <w:t>I.</w:t>
      </w:r>
      <w:r w:rsidR="00BA5462">
        <w:t>3</w:t>
      </w:r>
      <w:r>
        <w:t xml:space="preserve"> </w:t>
      </w:r>
      <w:r w:rsidR="003C771A">
        <w:t xml:space="preserve">Shtylla III: </w:t>
      </w:r>
      <w:r w:rsidR="00645B78" w:rsidRPr="003619C2">
        <w:t xml:space="preserve">Informimi dhe ndërgjegjësimi </w:t>
      </w:r>
      <w:bookmarkEnd w:id="102"/>
      <w:bookmarkEnd w:id="103"/>
    </w:p>
    <w:p w14:paraId="2A9FEE60" w14:textId="77777777" w:rsidR="00BC41ED" w:rsidRPr="00BC41ED" w:rsidRDefault="00BC41ED" w:rsidP="00623352">
      <w:pPr>
        <w:pStyle w:val="ListParagraph"/>
        <w:numPr>
          <w:ilvl w:val="0"/>
          <w:numId w:val="10"/>
        </w:numPr>
        <w:spacing w:before="240" w:after="120" w:line="240" w:lineRule="auto"/>
        <w:contextualSpacing w:val="0"/>
        <w:rPr>
          <w:rFonts w:asciiTheme="majorHAnsi" w:eastAsia="PMingLiU" w:hAnsiTheme="majorHAnsi" w:cs="Book Antiqua"/>
          <w:vanish/>
          <w:color w:val="5B9BD5" w:themeColor="accent1"/>
          <w:sz w:val="48"/>
          <w:szCs w:val="48"/>
          <w:lang w:val="en-ZA" w:eastAsia="zh-TW"/>
        </w:rPr>
      </w:pPr>
      <w:bookmarkStart w:id="105" w:name="_Hlk121696057"/>
      <w:bookmarkEnd w:id="104"/>
    </w:p>
    <w:p w14:paraId="542EEAEB" w14:textId="4744849A" w:rsidR="00C63851" w:rsidRDefault="005B22B4" w:rsidP="00623352">
      <w:pPr>
        <w:pStyle w:val="Heading3"/>
      </w:pPr>
      <w:bookmarkStart w:id="106" w:name="_Toc130994983"/>
      <w:bookmarkStart w:id="107" w:name="_Toc132277356"/>
      <w:r w:rsidRPr="003619C2">
        <w:t>Aktivitet nd</w:t>
      </w:r>
      <w:r w:rsidR="003619C2">
        <w:t>ë</w:t>
      </w:r>
      <w:r w:rsidRPr="003619C2">
        <w:t>rgjegj</w:t>
      </w:r>
      <w:r w:rsidR="003619C2">
        <w:t>ë</w:t>
      </w:r>
      <w:r w:rsidRPr="003619C2">
        <w:t>suese</w:t>
      </w:r>
      <w:bookmarkEnd w:id="106"/>
      <w:bookmarkEnd w:id="107"/>
      <w:r w:rsidRPr="003619C2">
        <w:t xml:space="preserve"> </w:t>
      </w:r>
    </w:p>
    <w:p w14:paraId="3D743018" w14:textId="7B2B3A20" w:rsidR="007969D8" w:rsidRDefault="00C90EC8" w:rsidP="00623352">
      <w:pPr>
        <w:pStyle w:val="Heading5"/>
      </w:pPr>
      <w:bookmarkStart w:id="108" w:name="_Toc132277357"/>
      <w:r w:rsidRPr="003619C2">
        <w:t>M</w:t>
      </w:r>
      <w:r w:rsidR="006A76FA" w:rsidRPr="003619C2">
        <w:t xml:space="preserve">inistria e </w:t>
      </w:r>
      <w:r w:rsidRPr="003619C2">
        <w:t>F</w:t>
      </w:r>
      <w:r w:rsidR="006A76FA" w:rsidRPr="003619C2">
        <w:t xml:space="preserve">inancave dhe </w:t>
      </w:r>
      <w:r w:rsidRPr="003619C2">
        <w:t>E</w:t>
      </w:r>
      <w:r w:rsidR="006A76FA" w:rsidRPr="003619C2">
        <w:t>konomisë</w:t>
      </w:r>
      <w:bookmarkEnd w:id="108"/>
    </w:p>
    <w:bookmarkEnd w:id="105"/>
    <w:p w14:paraId="7BCF7945" w14:textId="19229874" w:rsidR="007969D8" w:rsidRDefault="007969D8" w:rsidP="009475CC">
      <w:pPr>
        <w:spacing w:after="0" w:line="240" w:lineRule="auto"/>
        <w:jc w:val="both"/>
        <w:rPr>
          <w:rFonts w:cs="Times New Roman"/>
          <w:szCs w:val="24"/>
          <w:lang w:val="sq-AL"/>
        </w:rPr>
      </w:pPr>
      <w:r w:rsidRPr="009475CC">
        <w:rPr>
          <w:rFonts w:cs="Times New Roman"/>
          <w:szCs w:val="24"/>
          <w:lang w:val="sq-AL"/>
        </w:rPr>
        <w:t>Ndërgjegjësimi dhe informimi i operatorëve ekonomikë që ofrojnë produkte joushqimore, përmes zhvillimit të aktiviteteve të ndryshme informuese e ndërgjegjësuese ka qenë pjesë e rëndësishme e punës së institucioneve që kanë në fushën e përgjegjësisë hartimin dhe zbatimin e legjislacionit përkatës në fushën e produkteve joushqimore. Këto aktivitete kanë pasur në thelb njohjen e operatorëve ekonomikë dhe konsumatorëve me detyrimet/</w:t>
      </w:r>
      <w:r w:rsidR="00D85E73">
        <w:rPr>
          <w:rFonts w:cs="Times New Roman"/>
          <w:szCs w:val="24"/>
          <w:lang w:val="sq-AL"/>
        </w:rPr>
        <w:t xml:space="preserve"> </w:t>
      </w:r>
      <w:r w:rsidRPr="009475CC">
        <w:rPr>
          <w:rFonts w:cs="Times New Roman"/>
          <w:szCs w:val="24"/>
          <w:lang w:val="sq-AL"/>
        </w:rPr>
        <w:t xml:space="preserve">të drejtat përkatëse dhe parashikimet e legjislacionit që i mundësojnë mbrojtjen e këtyre të drejtave në transaksionet e blerjes së mallrave dhe shërbimeve. </w:t>
      </w:r>
    </w:p>
    <w:p w14:paraId="5F3F50FA" w14:textId="77777777" w:rsidR="00BD5B8A" w:rsidRPr="009475CC" w:rsidRDefault="00BD5B8A" w:rsidP="009475CC">
      <w:pPr>
        <w:spacing w:after="0" w:line="240" w:lineRule="auto"/>
        <w:jc w:val="both"/>
        <w:rPr>
          <w:rFonts w:cs="Times New Roman"/>
          <w:szCs w:val="24"/>
          <w:lang w:val="sq-AL"/>
        </w:rPr>
      </w:pPr>
    </w:p>
    <w:p w14:paraId="6A78DDA2" w14:textId="1775C587" w:rsidR="00972736" w:rsidRDefault="00972736" w:rsidP="009475CC">
      <w:pPr>
        <w:spacing w:after="0" w:line="240" w:lineRule="auto"/>
        <w:jc w:val="both"/>
        <w:rPr>
          <w:rFonts w:cs="Times New Roman"/>
          <w:szCs w:val="24"/>
          <w:lang w:val="sq-AL"/>
        </w:rPr>
      </w:pPr>
      <w:r w:rsidRPr="009475CC">
        <w:rPr>
          <w:rFonts w:cs="Times New Roman"/>
          <w:szCs w:val="24"/>
          <w:lang w:val="sq-AL"/>
        </w:rPr>
        <w:t xml:space="preserve">Ndërgjegjësimi i konsumatorëve, i subjekteve tregtare apo operatorëve ekonomikë, nëpërmjet realizimit të aktiviteteve të ndryshme informuese e ndërgjegjësuese ka zënë një vend të rëndësishëm në punën e institucioneve shtetërore, sipas fushës së tyre të përgjegjësisë. Ky aspekt është ngushtësisht i lidhur me edukimin e konsumatorëve, aktivitetet e informimit, përfshirjen aktive </w:t>
      </w:r>
      <w:r w:rsidR="00D85E73">
        <w:rPr>
          <w:rFonts w:cs="Times New Roman"/>
          <w:szCs w:val="24"/>
          <w:lang w:val="sq-AL"/>
        </w:rPr>
        <w:t xml:space="preserve">të </w:t>
      </w:r>
      <w:r w:rsidRPr="009475CC">
        <w:rPr>
          <w:rFonts w:cs="Times New Roman"/>
          <w:szCs w:val="24"/>
          <w:lang w:val="sq-AL"/>
        </w:rPr>
        <w:t>organizatave të konsumatorëve në hartimin dhe zbatimin e politikave në mbrojtje të konsumatorëve,  përfshirjen e tyre aktive në proceset integruese duke rritur më tej rolin e tyre të rënd</w:t>
      </w:r>
      <w:r w:rsidR="00D85E73">
        <w:rPr>
          <w:rFonts w:cs="Times New Roman"/>
          <w:szCs w:val="24"/>
          <w:lang w:val="sq-AL"/>
        </w:rPr>
        <w:t>ë</w:t>
      </w:r>
      <w:r w:rsidRPr="009475CC">
        <w:rPr>
          <w:rFonts w:cs="Times New Roman"/>
          <w:szCs w:val="24"/>
          <w:lang w:val="sq-AL"/>
        </w:rPr>
        <w:t xml:space="preserve">sishëm. </w:t>
      </w:r>
    </w:p>
    <w:p w14:paraId="1C27884A" w14:textId="77777777" w:rsidR="00BD5B8A" w:rsidRPr="009475CC" w:rsidRDefault="00BD5B8A" w:rsidP="009475CC">
      <w:pPr>
        <w:spacing w:after="0" w:line="240" w:lineRule="auto"/>
        <w:jc w:val="both"/>
        <w:rPr>
          <w:rFonts w:cs="Times New Roman"/>
          <w:szCs w:val="24"/>
          <w:lang w:val="sq-AL"/>
        </w:rPr>
      </w:pPr>
    </w:p>
    <w:p w14:paraId="33A5E3A0" w14:textId="77B5432F" w:rsidR="00972736" w:rsidRDefault="00972736" w:rsidP="009475CC">
      <w:pPr>
        <w:spacing w:after="0" w:line="240" w:lineRule="auto"/>
        <w:jc w:val="both"/>
        <w:rPr>
          <w:rFonts w:cs="Times New Roman"/>
          <w:szCs w:val="24"/>
          <w:lang w:val="sq-AL"/>
        </w:rPr>
      </w:pPr>
      <w:r w:rsidRPr="009475CC">
        <w:rPr>
          <w:rFonts w:cs="Times New Roman"/>
          <w:szCs w:val="24"/>
          <w:lang w:val="sq-AL"/>
        </w:rPr>
        <w:t xml:space="preserve">Përgjatë periudhës 2017-2021 janë zhvilluar 8 fushata ndërgjegjësuese për konsumatorë e biznese. Këto fushata janë zhvilluar kryesisht në periudhën e fundvitit si dhe me rastin e 15 </w:t>
      </w:r>
      <w:r w:rsidRPr="009475CC">
        <w:rPr>
          <w:rFonts w:cs="Times New Roman"/>
          <w:szCs w:val="24"/>
          <w:lang w:val="sq-AL"/>
        </w:rPr>
        <w:lastRenderedPageBreak/>
        <w:t>Marsit – Ditës Ndërkombëtare të Konsumatorëve, në bashkëpunim me organizatat</w:t>
      </w:r>
      <w:r w:rsidR="00D85E73">
        <w:rPr>
          <w:rFonts w:cs="Times New Roman"/>
          <w:szCs w:val="24"/>
          <w:lang w:val="sq-AL"/>
        </w:rPr>
        <w:t xml:space="preserve"> </w:t>
      </w:r>
      <w:r w:rsidRPr="009475CC">
        <w:rPr>
          <w:rFonts w:cs="Times New Roman"/>
          <w:szCs w:val="24"/>
          <w:lang w:val="sq-AL"/>
        </w:rPr>
        <w:t>e konsumatorëve dhe aktorë të tjerë, nëpërmjet disa aktivitete kryesore, si në vijim:</w:t>
      </w:r>
    </w:p>
    <w:p w14:paraId="7FDF5E4D" w14:textId="77777777" w:rsidR="00BD5B8A" w:rsidRPr="009475CC" w:rsidRDefault="00BD5B8A" w:rsidP="009475CC">
      <w:pPr>
        <w:spacing w:after="0" w:line="240" w:lineRule="auto"/>
        <w:jc w:val="both"/>
        <w:rPr>
          <w:rFonts w:cs="Times New Roman"/>
          <w:szCs w:val="24"/>
          <w:lang w:val="sq-AL"/>
        </w:rPr>
      </w:pPr>
    </w:p>
    <w:p w14:paraId="4DE5E794" w14:textId="56DDF653" w:rsidR="006A76FA" w:rsidRDefault="006A76FA" w:rsidP="00623352">
      <w:pPr>
        <w:pStyle w:val="ListParagraph"/>
        <w:numPr>
          <w:ilvl w:val="0"/>
          <w:numId w:val="14"/>
        </w:numPr>
        <w:spacing w:after="0" w:line="240" w:lineRule="auto"/>
        <w:jc w:val="both"/>
        <w:rPr>
          <w:rFonts w:cs="Times New Roman"/>
          <w:szCs w:val="24"/>
          <w:lang w:val="sq-AL"/>
        </w:rPr>
      </w:pPr>
      <w:r>
        <w:rPr>
          <w:rFonts w:cs="Times New Roman"/>
          <w:szCs w:val="24"/>
          <w:lang w:val="sq-AL"/>
        </w:rPr>
        <w:t xml:space="preserve">3 </w:t>
      </w:r>
      <w:r w:rsidR="00972736" w:rsidRPr="009475CC">
        <w:rPr>
          <w:rFonts w:cs="Times New Roman"/>
          <w:szCs w:val="24"/>
          <w:lang w:val="sq-AL"/>
        </w:rPr>
        <w:t>sondazhe/</w:t>
      </w:r>
      <w:r w:rsidR="00D85E73">
        <w:rPr>
          <w:rFonts w:cs="Times New Roman"/>
          <w:szCs w:val="24"/>
          <w:lang w:val="sq-AL"/>
        </w:rPr>
        <w:t xml:space="preserve"> </w:t>
      </w:r>
      <w:r w:rsidR="00972736" w:rsidRPr="009475CC">
        <w:rPr>
          <w:rFonts w:cs="Times New Roman"/>
          <w:szCs w:val="24"/>
          <w:lang w:val="sq-AL"/>
        </w:rPr>
        <w:t xml:space="preserve">anketime me konsumatorët lidhur me perceptimin e tyre për produktet dhe </w:t>
      </w:r>
    </w:p>
    <w:p w14:paraId="7E1A486A" w14:textId="31FA39A3" w:rsidR="00972736" w:rsidRDefault="00972736" w:rsidP="009475CC">
      <w:pPr>
        <w:spacing w:after="0" w:line="240" w:lineRule="auto"/>
        <w:jc w:val="both"/>
        <w:rPr>
          <w:rFonts w:cs="Times New Roman"/>
          <w:szCs w:val="24"/>
          <w:lang w:val="sq-AL"/>
        </w:rPr>
      </w:pPr>
      <w:r w:rsidRPr="009475CC">
        <w:rPr>
          <w:rFonts w:cs="Times New Roman"/>
          <w:szCs w:val="24"/>
          <w:lang w:val="sq-AL"/>
        </w:rPr>
        <w:t>shërbimet e ofruara në treg, legjislacionin që vepron për sigurinë e produkteve dhe të mbrojtjes së konsumatorëve etj. Anketimet janë kryer në bashkëpunim me organizatat e konsumatorëve, Agjencinë për Mbrojtjen e Konsumatorit, Bashkia Tiranë, staf akademik të universiteteve. Rezultatet</w:t>
      </w:r>
      <w:r w:rsidR="00D85E73">
        <w:rPr>
          <w:rFonts w:cs="Times New Roman"/>
          <w:szCs w:val="24"/>
          <w:lang w:val="sq-AL"/>
        </w:rPr>
        <w:t xml:space="preserve"> e</w:t>
      </w:r>
      <w:r w:rsidRPr="009475CC">
        <w:rPr>
          <w:rFonts w:cs="Times New Roman"/>
          <w:szCs w:val="24"/>
          <w:lang w:val="sq-AL"/>
        </w:rPr>
        <w:t xml:space="preserve"> anketime</w:t>
      </w:r>
      <w:r w:rsidR="00D85E73">
        <w:rPr>
          <w:rFonts w:cs="Times New Roman"/>
          <w:szCs w:val="24"/>
          <w:lang w:val="sq-AL"/>
        </w:rPr>
        <w:t>ve</w:t>
      </w:r>
      <w:r w:rsidRPr="009475CC">
        <w:rPr>
          <w:rFonts w:cs="Times New Roman"/>
          <w:szCs w:val="24"/>
          <w:lang w:val="sq-AL"/>
        </w:rPr>
        <w:t xml:space="preserve"> janë shoqëruar me rekomandime të cilat janë bërë prezente në aktivitetet e ndryshme ndërgjegjësuese.</w:t>
      </w:r>
    </w:p>
    <w:p w14:paraId="6781E62C" w14:textId="77777777" w:rsidR="00BD5B8A" w:rsidRPr="009475CC" w:rsidRDefault="00BD5B8A" w:rsidP="009475CC">
      <w:pPr>
        <w:spacing w:after="0" w:line="240" w:lineRule="auto"/>
        <w:jc w:val="both"/>
        <w:rPr>
          <w:rFonts w:cs="Times New Roman"/>
          <w:szCs w:val="24"/>
          <w:lang w:val="sq-AL"/>
        </w:rPr>
      </w:pPr>
    </w:p>
    <w:p w14:paraId="365841A5" w14:textId="7EA42C7E" w:rsidR="006A76FA" w:rsidRDefault="006A76FA"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O</w:t>
      </w:r>
      <w:r w:rsidR="00972736" w:rsidRPr="009475CC">
        <w:rPr>
          <w:rFonts w:cs="Times New Roman"/>
          <w:szCs w:val="24"/>
          <w:lang w:val="sq-AL"/>
        </w:rPr>
        <w:t xml:space="preserve">rganizimi i 12 tryezave informuese për konsumatorët dhe për operatorët, duke </w:t>
      </w:r>
    </w:p>
    <w:p w14:paraId="5158FBCC" w14:textId="5EF2AF2D" w:rsidR="00972736" w:rsidRDefault="00972736" w:rsidP="009475CC">
      <w:pPr>
        <w:spacing w:after="0" w:line="240" w:lineRule="auto"/>
        <w:jc w:val="both"/>
        <w:rPr>
          <w:rFonts w:cs="Times New Roman"/>
          <w:szCs w:val="24"/>
          <w:lang w:val="sq-AL"/>
        </w:rPr>
      </w:pPr>
      <w:r w:rsidRPr="009475CC">
        <w:rPr>
          <w:rFonts w:cs="Times New Roman"/>
          <w:szCs w:val="24"/>
          <w:lang w:val="sq-AL"/>
        </w:rPr>
        <w:t xml:space="preserve">kontribuar në rritjen e ndërgjegjësimit dhe përmirësimit </w:t>
      </w:r>
      <w:r w:rsidR="00D85E73">
        <w:rPr>
          <w:rFonts w:cs="Times New Roman"/>
          <w:szCs w:val="24"/>
          <w:lang w:val="sq-AL"/>
        </w:rPr>
        <w:t>të</w:t>
      </w:r>
      <w:r w:rsidRPr="009475CC">
        <w:rPr>
          <w:rFonts w:cs="Times New Roman"/>
          <w:szCs w:val="24"/>
          <w:lang w:val="sq-AL"/>
        </w:rPr>
        <w:t xml:space="preserve"> njohurive të konsumatorëve mbi të drejtat e tyre, si dhe të operatorëve mbi detyrimet që ata kanë. Këto tryeza kanë qenë pjesë e procesit të hartimit të akteve të reja ligjore duke shërbyer kështu edhe për përmbushjen e objektivave të lidhura me këtë proces, fuqizimit të kompetenca të strukturave shtetërore etj.</w:t>
      </w:r>
    </w:p>
    <w:p w14:paraId="1F3728B7" w14:textId="77777777" w:rsidR="00BD5B8A" w:rsidRPr="009475CC" w:rsidRDefault="00BD5B8A" w:rsidP="009475CC">
      <w:pPr>
        <w:spacing w:after="0" w:line="240" w:lineRule="auto"/>
        <w:jc w:val="both"/>
        <w:rPr>
          <w:rFonts w:cs="Times New Roman"/>
          <w:szCs w:val="24"/>
          <w:lang w:val="sq-AL"/>
        </w:rPr>
      </w:pPr>
    </w:p>
    <w:p w14:paraId="1FDCEEA6" w14:textId="7B4BEAC9" w:rsidR="006A76FA" w:rsidRDefault="00972736"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 xml:space="preserve">Realizimi i 10 takimeve me përfaqësuesit e 61 bashkive të vendit, me qëllim përfshirjen  </w:t>
      </w:r>
    </w:p>
    <w:p w14:paraId="5DC0B386" w14:textId="7C9790AD" w:rsidR="00972736" w:rsidRDefault="00972736" w:rsidP="009475CC">
      <w:pPr>
        <w:spacing w:after="0" w:line="240" w:lineRule="auto"/>
        <w:jc w:val="both"/>
        <w:rPr>
          <w:rFonts w:cs="Times New Roman"/>
          <w:szCs w:val="24"/>
          <w:lang w:val="sq-AL"/>
        </w:rPr>
      </w:pPr>
      <w:r w:rsidRPr="009475CC">
        <w:rPr>
          <w:rFonts w:cs="Times New Roman"/>
          <w:szCs w:val="24"/>
          <w:lang w:val="sq-AL"/>
        </w:rPr>
        <w:t>e njësive të qeverisjes vendore në fushën e mbrojtjes së konsumatorëve në nivel vendor. Nëpërmjet k</w:t>
      </w:r>
      <w:r w:rsidR="00D85E73">
        <w:rPr>
          <w:rFonts w:cs="Times New Roman"/>
          <w:szCs w:val="24"/>
          <w:lang w:val="sq-AL"/>
        </w:rPr>
        <w:t>ë</w:t>
      </w:r>
      <w:r w:rsidRPr="009475CC">
        <w:rPr>
          <w:rFonts w:cs="Times New Roman"/>
          <w:szCs w:val="24"/>
          <w:lang w:val="sq-AL"/>
        </w:rPr>
        <w:t xml:space="preserve">tyre takimeve u synua ndërgjegjësimi </w:t>
      </w:r>
      <w:r w:rsidR="00D85E73">
        <w:rPr>
          <w:rFonts w:cs="Times New Roman"/>
          <w:szCs w:val="24"/>
          <w:lang w:val="sq-AL"/>
        </w:rPr>
        <w:t>i</w:t>
      </w:r>
      <w:r w:rsidRPr="009475CC">
        <w:rPr>
          <w:rFonts w:cs="Times New Roman"/>
          <w:szCs w:val="24"/>
          <w:lang w:val="sq-AL"/>
        </w:rPr>
        <w:t xml:space="preserve"> tyre,  trajnimet e nënpunësve të bashkisë në lidhje me ndryshimet e ligjit “Për  mbrojtjen e konsumatorëve”,  për sa i takon delegimit të disa kompetencave tek pushtetit vendor kryesisht për informimin, ndërgjegjësimin, procesin e ankimit etj. </w:t>
      </w:r>
    </w:p>
    <w:p w14:paraId="5D963AA7" w14:textId="77777777" w:rsidR="00BD5B8A" w:rsidRPr="009475CC" w:rsidRDefault="00BD5B8A" w:rsidP="009475CC">
      <w:pPr>
        <w:spacing w:after="0" w:line="240" w:lineRule="auto"/>
        <w:jc w:val="both"/>
        <w:rPr>
          <w:rFonts w:cs="Times New Roman"/>
          <w:szCs w:val="24"/>
          <w:lang w:val="sq-AL"/>
        </w:rPr>
      </w:pPr>
    </w:p>
    <w:p w14:paraId="45FC1E43" w14:textId="77777777" w:rsidR="00D85E73" w:rsidRDefault="00972736" w:rsidP="00623352">
      <w:pPr>
        <w:pStyle w:val="ListParagraph"/>
        <w:numPr>
          <w:ilvl w:val="0"/>
          <w:numId w:val="14"/>
        </w:numPr>
        <w:spacing w:after="0" w:line="240" w:lineRule="auto"/>
        <w:jc w:val="both"/>
        <w:rPr>
          <w:rFonts w:cs="Times New Roman"/>
          <w:szCs w:val="24"/>
          <w:lang w:val="sq-AL"/>
        </w:rPr>
      </w:pPr>
      <w:r w:rsidRPr="00D85E73">
        <w:rPr>
          <w:rFonts w:cs="Times New Roman"/>
          <w:szCs w:val="24"/>
          <w:lang w:val="sq-AL"/>
        </w:rPr>
        <w:t xml:space="preserve">Përgatitja e materialeve informuese si: fletëpalosje, broshura, spote publicitare, </w:t>
      </w:r>
    </w:p>
    <w:p w14:paraId="44B40388" w14:textId="7745A5F2" w:rsidR="00972736" w:rsidRPr="00D85E73" w:rsidRDefault="00972736" w:rsidP="00D85E73">
      <w:pPr>
        <w:spacing w:after="0" w:line="240" w:lineRule="auto"/>
        <w:jc w:val="both"/>
        <w:rPr>
          <w:rFonts w:cs="Times New Roman"/>
          <w:szCs w:val="24"/>
          <w:lang w:val="sq-AL"/>
        </w:rPr>
      </w:pPr>
      <w:r w:rsidRPr="00D85E73">
        <w:rPr>
          <w:rFonts w:cs="Times New Roman"/>
          <w:szCs w:val="24"/>
          <w:lang w:val="sq-AL"/>
        </w:rPr>
        <w:t>intervista në media televizive, përditësimi i përmbajtjes së faqes së internetit etj. Në total janë përgatitur dhe shpërndarë rreth 10,000 fletëpalosje e broshura informuese. Përmbajtja e tyre konsiston në dhënien e informacionit në lidhje me të drejtat e konsumatorëve si: e drejta për të hequr dorë brenda 14 ditëve kalendarike nga kontrata e kredisë konsumatore, kontratat në largësi apo nga shitja jashtë qendrave të tregtimit, si dhe në lidhje me të drejtat e tyre në kontratat e shitjes së mallrave konsumatore, praktikat e padrejta tregtare etj. Fletëpalosjet janë shpërndarë në aktivitete të konsumatorëve, si dhe në qendrat e biznesit apo vende të tjera të arritshme nga konsumatorët, si dhe dërguara në të gjitha bashkitë,  nëpërmjet Postës Shqiptare.</w:t>
      </w:r>
    </w:p>
    <w:p w14:paraId="5121F962" w14:textId="1BF68068" w:rsidR="00713F2A" w:rsidRDefault="00972736"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Në fushën e sigurisë së produkteve joushqimore, ndërgjegjësimi i konsumatorëve dhe</w:t>
      </w:r>
      <w:r w:rsidR="00713F2A" w:rsidRPr="009475CC">
        <w:rPr>
          <w:rFonts w:cs="Times New Roman"/>
          <w:szCs w:val="24"/>
          <w:lang w:val="sq-AL"/>
        </w:rPr>
        <w:t xml:space="preserve"> </w:t>
      </w:r>
    </w:p>
    <w:p w14:paraId="5AA8CC7A" w14:textId="77777777" w:rsidR="00BD5B8A" w:rsidRDefault="00BD5B8A" w:rsidP="00BD5B8A">
      <w:pPr>
        <w:pStyle w:val="ListParagraph"/>
        <w:spacing w:after="0" w:line="240" w:lineRule="auto"/>
        <w:jc w:val="both"/>
        <w:rPr>
          <w:rFonts w:cs="Times New Roman"/>
          <w:szCs w:val="24"/>
          <w:lang w:val="sq-AL"/>
        </w:rPr>
      </w:pPr>
    </w:p>
    <w:p w14:paraId="780DDCDA" w14:textId="631A84BC" w:rsidR="00972736" w:rsidRDefault="00972736" w:rsidP="009475CC">
      <w:pPr>
        <w:spacing w:after="0" w:line="240" w:lineRule="auto"/>
        <w:jc w:val="both"/>
        <w:rPr>
          <w:rFonts w:cs="Times New Roman"/>
          <w:szCs w:val="24"/>
          <w:lang w:val="sq-AL"/>
        </w:rPr>
      </w:pPr>
      <w:r w:rsidRPr="009475CC">
        <w:rPr>
          <w:rFonts w:cs="Times New Roman"/>
          <w:szCs w:val="24"/>
          <w:lang w:val="sq-AL"/>
        </w:rPr>
        <w:t>operatorëve  ka konsistuar në përgatitjen dhe shpërndarjen e fletëpalosjeve informative për biçikletat e fëmijëve, lodrat, detergjentët, ashensorët, si dhe janë organizuar 2 aktivitete në kuadër të 1 Qershorit, festës së fëmijëve, në bashkëpunim me ISHMT për zbatimin e legjislacionit mbi lodrat dhe me organizatat e konsumatorëve.</w:t>
      </w:r>
    </w:p>
    <w:p w14:paraId="0B63006F" w14:textId="77777777" w:rsidR="00BD5B8A" w:rsidRPr="009475CC" w:rsidRDefault="00BD5B8A" w:rsidP="009475CC">
      <w:pPr>
        <w:spacing w:after="0" w:line="240" w:lineRule="auto"/>
        <w:jc w:val="both"/>
        <w:rPr>
          <w:rFonts w:cs="Times New Roman"/>
          <w:szCs w:val="24"/>
          <w:lang w:val="sq-AL"/>
        </w:rPr>
      </w:pPr>
    </w:p>
    <w:p w14:paraId="1CBC587F" w14:textId="77777777" w:rsidR="00713F2A" w:rsidRDefault="00972736"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 xml:space="preserve">Nga Shtatori 2015 faqja e internetit të Komisionit të Mbrojtjes së Konsumatorëve </w:t>
      </w:r>
    </w:p>
    <w:p w14:paraId="46DE851D" w14:textId="2E4D9971" w:rsidR="00972736" w:rsidRDefault="009B18B8" w:rsidP="009475CC">
      <w:pPr>
        <w:spacing w:after="0" w:line="240" w:lineRule="auto"/>
        <w:jc w:val="both"/>
        <w:rPr>
          <w:rFonts w:cs="Times New Roman"/>
          <w:szCs w:val="24"/>
          <w:lang w:val="sq-AL"/>
        </w:rPr>
      </w:pPr>
      <w:hyperlink r:id="rId33" w:history="1">
        <w:r w:rsidR="00713F2A" w:rsidRPr="009475CC">
          <w:rPr>
            <w:rStyle w:val="Hyperlink"/>
            <w:rFonts w:cs="Times New Roman"/>
            <w:szCs w:val="24"/>
            <w:lang w:val="sq-AL"/>
          </w:rPr>
          <w:t>http://kmk.financa.gov.al/</w:t>
        </w:r>
      </w:hyperlink>
      <w:r w:rsidR="00972736" w:rsidRPr="009475CC">
        <w:rPr>
          <w:rFonts w:cs="Times New Roman"/>
          <w:color w:val="3333CC"/>
          <w:szCs w:val="24"/>
          <w:lang w:val="sq-AL"/>
        </w:rPr>
        <w:t xml:space="preserve"> </w:t>
      </w:r>
      <w:r w:rsidR="00972736" w:rsidRPr="009475CC">
        <w:rPr>
          <w:rFonts w:cs="Times New Roman"/>
          <w:szCs w:val="24"/>
          <w:lang w:val="sq-AL"/>
        </w:rPr>
        <w:t>është aktive dhe e përditësuar. Faqja është përmirësuar në vitin 2020, duke mundësuar një prezantim më të mirë të informacionit për konsumatorët, lehtësim të paraqitjes së ankesave të tyre, publikimit të vendimeve të KMK</w:t>
      </w:r>
      <w:r w:rsidR="008624E7">
        <w:rPr>
          <w:rFonts w:cs="Times New Roman"/>
          <w:szCs w:val="24"/>
          <w:lang w:val="sq-AL"/>
        </w:rPr>
        <w:t>-së</w:t>
      </w:r>
      <w:r w:rsidR="00972736" w:rsidRPr="009475CC">
        <w:rPr>
          <w:rFonts w:cs="Times New Roman"/>
          <w:szCs w:val="24"/>
          <w:lang w:val="sq-AL"/>
        </w:rPr>
        <w:t>, materialeve informuese, spoteve publicitare etj. Këto materiale gjenden të publikuara sipas rubrikave që p</w:t>
      </w:r>
      <w:r w:rsidR="008624E7">
        <w:rPr>
          <w:rFonts w:cs="Times New Roman"/>
          <w:szCs w:val="24"/>
          <w:lang w:val="sq-AL"/>
        </w:rPr>
        <w:t>ë</w:t>
      </w:r>
      <w:r w:rsidR="00972736" w:rsidRPr="009475CC">
        <w:rPr>
          <w:rFonts w:cs="Times New Roman"/>
          <w:szCs w:val="24"/>
          <w:lang w:val="sq-AL"/>
        </w:rPr>
        <w:t>rmban faqja.</w:t>
      </w:r>
    </w:p>
    <w:p w14:paraId="720442D7" w14:textId="77777777" w:rsidR="00BD5B8A" w:rsidRPr="009475CC" w:rsidRDefault="00BD5B8A" w:rsidP="009475CC">
      <w:pPr>
        <w:spacing w:after="0" w:line="240" w:lineRule="auto"/>
        <w:jc w:val="both"/>
        <w:rPr>
          <w:rFonts w:cs="Times New Roman"/>
          <w:szCs w:val="24"/>
          <w:lang w:val="sq-AL"/>
        </w:rPr>
      </w:pPr>
    </w:p>
    <w:p w14:paraId="776EC66D" w14:textId="77777777" w:rsidR="00713F2A" w:rsidRDefault="00972736"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 xml:space="preserve">Mbrojtja e konsumatorëve gjatë situatës së emergjencës së krijuar në vend nga virusi </w:t>
      </w:r>
    </w:p>
    <w:p w14:paraId="61A5955B" w14:textId="406A4810" w:rsidR="00972736" w:rsidRDefault="00972736" w:rsidP="009475CC">
      <w:pPr>
        <w:spacing w:after="0" w:line="240" w:lineRule="auto"/>
        <w:jc w:val="both"/>
        <w:rPr>
          <w:rFonts w:cs="Times New Roman"/>
          <w:szCs w:val="24"/>
          <w:lang w:val="sq-AL"/>
        </w:rPr>
      </w:pPr>
      <w:r w:rsidRPr="009475CC">
        <w:rPr>
          <w:rFonts w:cs="Times New Roman"/>
          <w:szCs w:val="24"/>
          <w:lang w:val="sq-AL"/>
        </w:rPr>
        <w:t xml:space="preserve">COVID 19 ka qenë një ndër sfidat krysore të kësaj periudhe. Situata e pandemisë u shoqërua me një rritje të dukshme të blerjeve online nga ana e konsumatorëve. Kjo solli domosdoshmërinë e ndërgjegjësimit për çështjen e të drejtave të konsumatorëve në këtë fushë. Në këtë kontekst, u publikuan në faqen </w:t>
      </w:r>
      <w:r w:rsidR="006D61C0">
        <w:rPr>
          <w:rFonts w:cs="Times New Roman"/>
          <w:szCs w:val="24"/>
          <w:lang w:val="sq-AL"/>
        </w:rPr>
        <w:t>ë</w:t>
      </w:r>
      <w:r w:rsidRPr="009475CC">
        <w:rPr>
          <w:rFonts w:cs="Times New Roman"/>
          <w:szCs w:val="24"/>
          <w:lang w:val="sq-AL"/>
        </w:rPr>
        <w:t xml:space="preserve">eb të KMK, informacioni i duhur në lidhje me të drejtat </w:t>
      </w:r>
      <w:r w:rsidRPr="009475CC">
        <w:rPr>
          <w:rFonts w:cs="Times New Roman"/>
          <w:szCs w:val="24"/>
          <w:lang w:val="sq-AL"/>
        </w:rPr>
        <w:lastRenderedPageBreak/>
        <w:t xml:space="preserve">e konsumatorëve dhe detyrimet e tregtarëve në kontratat në largësi dhe jashtë qendrave të tregtimit, në përputhje me dispozitat e legjislacionit për mbrojtjen e konsumatorëve. </w:t>
      </w:r>
    </w:p>
    <w:p w14:paraId="485B531F" w14:textId="77777777" w:rsidR="00BD5B8A" w:rsidRPr="009475CC" w:rsidRDefault="00BD5B8A" w:rsidP="009475CC">
      <w:pPr>
        <w:spacing w:after="0" w:line="240" w:lineRule="auto"/>
        <w:jc w:val="both"/>
        <w:rPr>
          <w:rFonts w:cs="Times New Roman"/>
          <w:szCs w:val="24"/>
          <w:lang w:val="sq-AL"/>
        </w:rPr>
      </w:pPr>
    </w:p>
    <w:p w14:paraId="1967AAC9" w14:textId="77777777" w:rsidR="004E1146" w:rsidRDefault="00972736" w:rsidP="00623352">
      <w:pPr>
        <w:pStyle w:val="ListParagraph"/>
        <w:numPr>
          <w:ilvl w:val="0"/>
          <w:numId w:val="14"/>
        </w:numPr>
        <w:spacing w:after="0" w:line="240" w:lineRule="auto"/>
        <w:jc w:val="both"/>
        <w:rPr>
          <w:rFonts w:cs="Times New Roman"/>
          <w:szCs w:val="24"/>
          <w:lang w:val="sq-AL"/>
        </w:rPr>
      </w:pPr>
      <w:r w:rsidRPr="009475CC">
        <w:rPr>
          <w:rFonts w:cs="Times New Roman"/>
          <w:szCs w:val="24"/>
          <w:lang w:val="sq-AL"/>
        </w:rPr>
        <w:t xml:space="preserve">Gjithashtu, MFE në bashkëpunim me studentë të Fakultetit të Ekonomisë, Universiteti </w:t>
      </w:r>
    </w:p>
    <w:p w14:paraId="285FAC83" w14:textId="456E5C23" w:rsidR="00972736" w:rsidRDefault="00972736" w:rsidP="009475CC">
      <w:pPr>
        <w:spacing w:after="0" w:line="240" w:lineRule="auto"/>
        <w:jc w:val="both"/>
        <w:rPr>
          <w:rFonts w:cs="Times New Roman"/>
          <w:szCs w:val="24"/>
          <w:lang w:val="sq-AL"/>
        </w:rPr>
      </w:pPr>
      <w:r w:rsidRPr="009475CC">
        <w:rPr>
          <w:rFonts w:cs="Times New Roman"/>
          <w:szCs w:val="24"/>
          <w:lang w:val="sq-AL"/>
        </w:rPr>
        <w:t xml:space="preserve">i Tiranës ndërmorën iniciativën për të bërë monitorimin e </w:t>
      </w:r>
      <w:r w:rsidR="006D61C0">
        <w:rPr>
          <w:rFonts w:cs="Times New Roman"/>
          <w:szCs w:val="24"/>
          <w:lang w:val="sq-AL"/>
        </w:rPr>
        <w:t>ë</w:t>
      </w:r>
      <w:r w:rsidRPr="009475CC">
        <w:rPr>
          <w:rFonts w:cs="Times New Roman"/>
          <w:szCs w:val="24"/>
          <w:lang w:val="sq-AL"/>
        </w:rPr>
        <w:t>ebsite-ve zyrtare apo/dhe faqeve të  rrjeteve sociale të subjekteve, që ofrojnë produkte dhe shërbime në largësi, në zbatim të legjislacionit shqiptar për  sa i takon kësaj mënyre tregtimi. Ky monitorim pati për qëllim përmirësimin e transparencës së informacionit, që ju ofrohet  konsumatorëve, duke kontribuar kështu në rritjen e nivelit të mbrojtjes së të drejtave të tyre, veçanërisht të interesave të tyre ekonomike si dhe në funksionimin më të mirë të tregut. Raporti përkatës mbi gjetjet dhe rekomandimet u publikua në faqen e KMK (</w:t>
      </w:r>
      <w:hyperlink r:id="rId34" w:history="1">
        <w:r w:rsidRPr="009475CC">
          <w:rPr>
            <w:rStyle w:val="Hyperlink"/>
            <w:rFonts w:cs="Times New Roman"/>
            <w:i/>
            <w:szCs w:val="24"/>
            <w:lang w:val="sq-AL"/>
          </w:rPr>
          <w:t>http://kmk.financa.gov.al/publikimet/</w:t>
        </w:r>
      </w:hyperlink>
      <w:r w:rsidRPr="009475CC">
        <w:rPr>
          <w:rFonts w:cs="Times New Roman"/>
          <w:szCs w:val="24"/>
          <w:lang w:val="sq-AL"/>
        </w:rPr>
        <w:t>)</w:t>
      </w:r>
    </w:p>
    <w:p w14:paraId="35D17D70" w14:textId="77777777" w:rsidR="00BD5B8A" w:rsidRPr="009475CC" w:rsidRDefault="00BD5B8A" w:rsidP="009475CC">
      <w:pPr>
        <w:spacing w:after="0" w:line="240" w:lineRule="auto"/>
        <w:jc w:val="both"/>
        <w:rPr>
          <w:rFonts w:cs="Times New Roman"/>
          <w:szCs w:val="24"/>
          <w:lang w:val="sq-AL"/>
        </w:rPr>
      </w:pPr>
    </w:p>
    <w:p w14:paraId="6CB6FD23" w14:textId="563D205A" w:rsidR="00972736" w:rsidRDefault="00972736" w:rsidP="009475CC">
      <w:pPr>
        <w:spacing w:after="0" w:line="240" w:lineRule="auto"/>
        <w:jc w:val="both"/>
        <w:rPr>
          <w:rFonts w:cs="Times New Roman"/>
          <w:szCs w:val="24"/>
          <w:lang w:val="sq-AL"/>
        </w:rPr>
      </w:pPr>
      <w:r w:rsidRPr="009475CC">
        <w:rPr>
          <w:rFonts w:cs="Times New Roman"/>
          <w:szCs w:val="24"/>
          <w:lang w:val="sq-AL"/>
        </w:rPr>
        <w:t>Zhvillimi i fushatave ndërgjegjësuese ka pasur edhe mbështetjen e  projekteve si: GIZ me Qeverine Gjermane, IPA 2014 i  Binjakëzimit me Lituaninë.</w:t>
      </w:r>
    </w:p>
    <w:p w14:paraId="020F0B72" w14:textId="77777777" w:rsidR="00BD5B8A" w:rsidRPr="009475CC" w:rsidRDefault="00BD5B8A" w:rsidP="009475CC">
      <w:pPr>
        <w:spacing w:after="0" w:line="240" w:lineRule="auto"/>
        <w:jc w:val="both"/>
        <w:rPr>
          <w:rFonts w:cs="Times New Roman"/>
          <w:szCs w:val="24"/>
          <w:lang w:val="sq-AL"/>
        </w:rPr>
      </w:pPr>
    </w:p>
    <w:p w14:paraId="146B12E5" w14:textId="62D8AEEE" w:rsidR="004E1146" w:rsidRDefault="00972736" w:rsidP="006A76FA">
      <w:pPr>
        <w:spacing w:after="0" w:line="240" w:lineRule="auto"/>
        <w:jc w:val="both"/>
        <w:rPr>
          <w:rFonts w:eastAsia="MS Mincho" w:cs="Times New Roman"/>
          <w:szCs w:val="24"/>
          <w:lang w:val="sq-AL"/>
        </w:rPr>
      </w:pPr>
      <w:r w:rsidRPr="009475CC">
        <w:rPr>
          <w:rFonts w:cs="Times New Roman"/>
          <w:szCs w:val="24"/>
          <w:lang w:val="sq-AL"/>
        </w:rPr>
        <w:t xml:space="preserve">Sfidë për të ardhme vazhdon të jetë edukimi i mëtejshëm i konsumatorëve dhe biznesit përmes aktiviteteve ndërgjegjësuese apo informuese, mbi të drejtat e tij dhe parashikimet e legjislacionit që i mundësojnë mbrojtjen e këtyre të drejtave në transaksionet e blerjes së mallrave dhe shërbimeve, sidomos </w:t>
      </w:r>
      <w:r w:rsidRPr="009475CC">
        <w:rPr>
          <w:rFonts w:eastAsia="MS Mincho" w:cs="Times New Roman"/>
          <w:szCs w:val="24"/>
          <w:lang w:val="sq-AL"/>
        </w:rPr>
        <w:t xml:space="preserve">në  tregun në largësi/online, nëpërmjet mjeteve digjitale në përdorim nga konsumatorët. </w:t>
      </w:r>
    </w:p>
    <w:p w14:paraId="60D04075" w14:textId="251D4BC4" w:rsidR="00C90EC8" w:rsidRPr="00BF0ED8" w:rsidRDefault="00C90EC8" w:rsidP="00623352">
      <w:pPr>
        <w:pStyle w:val="Heading5"/>
        <w:rPr>
          <w:rFonts w:eastAsia="MS Mincho"/>
        </w:rPr>
      </w:pPr>
      <w:bookmarkStart w:id="109" w:name="_Toc132277358"/>
      <w:bookmarkStart w:id="110" w:name="_Hlk121696332"/>
      <w:r w:rsidRPr="00BF0ED8">
        <w:rPr>
          <w:rFonts w:eastAsia="MS Mincho"/>
        </w:rPr>
        <w:t>M</w:t>
      </w:r>
      <w:r w:rsidR="004E1146" w:rsidRPr="00BF0ED8">
        <w:rPr>
          <w:rFonts w:eastAsia="MS Mincho"/>
        </w:rPr>
        <w:t xml:space="preserve">inistria e </w:t>
      </w:r>
      <w:r w:rsidRPr="00BF0ED8">
        <w:rPr>
          <w:rFonts w:eastAsia="MS Mincho"/>
        </w:rPr>
        <w:t>T</w:t>
      </w:r>
      <w:r w:rsidR="004E1146" w:rsidRPr="00BF0ED8">
        <w:rPr>
          <w:rFonts w:eastAsia="MS Mincho"/>
        </w:rPr>
        <w:t xml:space="preserve">urizmit dhe </w:t>
      </w:r>
      <w:r w:rsidRPr="00BF0ED8">
        <w:rPr>
          <w:rFonts w:eastAsia="MS Mincho"/>
        </w:rPr>
        <w:t>M</w:t>
      </w:r>
      <w:r w:rsidR="004E1146" w:rsidRPr="00BF0ED8">
        <w:rPr>
          <w:rFonts w:eastAsia="MS Mincho"/>
        </w:rPr>
        <w:t>jedisit</w:t>
      </w:r>
      <w:bookmarkEnd w:id="109"/>
    </w:p>
    <w:bookmarkEnd w:id="110"/>
    <w:p w14:paraId="49A63E5C" w14:textId="4244B52B" w:rsidR="00C90EC8" w:rsidRDefault="00C90EC8" w:rsidP="009475CC">
      <w:pPr>
        <w:pStyle w:val="HTMLPreformatted"/>
        <w:jc w:val="both"/>
        <w:rPr>
          <w:rStyle w:val="y2iqfc"/>
          <w:rFonts w:ascii="Times New Roman" w:hAnsi="Times New Roman" w:cs="Times New Roman"/>
          <w:sz w:val="24"/>
          <w:szCs w:val="24"/>
        </w:rPr>
      </w:pPr>
      <w:r w:rsidRPr="00FB36DA">
        <w:rPr>
          <w:rStyle w:val="y2iqfc"/>
          <w:rFonts w:ascii="Times New Roman" w:hAnsi="Times New Roman" w:cs="Times New Roman"/>
          <w:sz w:val="24"/>
          <w:szCs w:val="24"/>
        </w:rPr>
        <w:t xml:space="preserve">Me qëllim rritjen e ndërgjegjësimit të publikut dhe grupeve të interesit mbi efektet negative që vijnë nga ekspozimi ndaj plumbit, Ministria e Turizmit dhe Mjedisit </w:t>
      </w:r>
      <w:r w:rsidR="00BF0ED8">
        <w:rPr>
          <w:rStyle w:val="y2iqfc"/>
          <w:rFonts w:ascii="Times New Roman" w:hAnsi="Times New Roman" w:cs="Times New Roman"/>
          <w:sz w:val="24"/>
          <w:szCs w:val="24"/>
        </w:rPr>
        <w:t>i</w:t>
      </w:r>
      <w:r w:rsidRPr="00FB36DA">
        <w:rPr>
          <w:rStyle w:val="y2iqfc"/>
          <w:rFonts w:ascii="Times New Roman" w:hAnsi="Times New Roman" w:cs="Times New Roman"/>
          <w:sz w:val="24"/>
          <w:szCs w:val="24"/>
        </w:rPr>
        <w:t xml:space="preserve">u bashkua fushatës ndërgjegjësuese që u zhvillua në vend, në datat 25-29 Tetor 2021, në kuadër të Javës Ndërkombëtare të Parandalimit të Helmimit nga Plumbi. </w:t>
      </w:r>
    </w:p>
    <w:p w14:paraId="60E704F7" w14:textId="77777777" w:rsidR="00BD5B8A" w:rsidRPr="00FB36DA" w:rsidRDefault="00BD5B8A" w:rsidP="009475CC">
      <w:pPr>
        <w:pStyle w:val="HTMLPreformatted"/>
        <w:jc w:val="both"/>
        <w:rPr>
          <w:rStyle w:val="y2iqfc"/>
          <w:rFonts w:ascii="Times New Roman" w:hAnsi="Times New Roman" w:cs="Times New Roman"/>
          <w:sz w:val="24"/>
          <w:szCs w:val="24"/>
        </w:rPr>
      </w:pPr>
    </w:p>
    <w:p w14:paraId="2B304519" w14:textId="16047F35" w:rsidR="00D81181" w:rsidRDefault="00C90EC8" w:rsidP="006A76FA">
      <w:pPr>
        <w:pStyle w:val="HTMLPreformatted"/>
        <w:jc w:val="both"/>
        <w:rPr>
          <w:rStyle w:val="y2iqfc"/>
          <w:rFonts w:ascii="Times New Roman" w:hAnsi="Times New Roman" w:cs="Times New Roman"/>
          <w:sz w:val="24"/>
          <w:szCs w:val="24"/>
        </w:rPr>
      </w:pPr>
      <w:r w:rsidRPr="0022797D">
        <w:rPr>
          <w:rStyle w:val="y2iqfc"/>
          <w:rFonts w:ascii="Times New Roman" w:hAnsi="Times New Roman" w:cs="Times New Roman"/>
          <w:sz w:val="24"/>
          <w:szCs w:val="24"/>
        </w:rPr>
        <w:t>Gjatë kësaj jave MTM, dha mesazhin e saj mbi ndikimin që ka plumbi në mjedis, nëpërmjet një video-mesazhi, që u përgatit nga shoqat</w:t>
      </w:r>
      <w:r w:rsidRPr="0093142A">
        <w:rPr>
          <w:rStyle w:val="y2iqfc"/>
          <w:rFonts w:ascii="Times New Roman" w:hAnsi="Times New Roman" w:cs="Times New Roman"/>
          <w:sz w:val="24"/>
          <w:szCs w:val="24"/>
        </w:rPr>
        <w:t xml:space="preserve">a mjedisore Qendra “EDEN”. </w:t>
      </w:r>
    </w:p>
    <w:p w14:paraId="52754012" w14:textId="071E5382" w:rsidR="00D81181" w:rsidRPr="008C5FE3" w:rsidRDefault="00D81181" w:rsidP="00623352">
      <w:pPr>
        <w:pStyle w:val="Heading5"/>
      </w:pPr>
      <w:bookmarkStart w:id="111" w:name="_Toc132277359"/>
      <w:bookmarkStart w:id="112" w:name="_Hlk121696839"/>
      <w:r w:rsidRPr="008C5FE3">
        <w:t>Akreditimi</w:t>
      </w:r>
      <w:bookmarkEnd w:id="111"/>
    </w:p>
    <w:bookmarkEnd w:id="112"/>
    <w:p w14:paraId="49B61079" w14:textId="77777777" w:rsidR="00BD5B8A" w:rsidRDefault="00D81181" w:rsidP="00D81181">
      <w:pPr>
        <w:jc w:val="both"/>
        <w:rPr>
          <w:rFonts w:cs="Times New Roman"/>
          <w:szCs w:val="24"/>
          <w:lang w:val="sq-AL"/>
        </w:rPr>
      </w:pPr>
      <w:r w:rsidRPr="0022797D">
        <w:rPr>
          <w:rFonts w:cs="Times New Roman"/>
          <w:szCs w:val="24"/>
          <w:lang w:val="sq-AL"/>
        </w:rPr>
        <w:t>DPA është përpjekur të promovojë në mënyrë të vazhdueshme rolin, avantazhet dhe përfitimet nga akreditimi tek të gjithë aktorët. Si rezultat i tërmetit dhe pandemisë, numri i aplikimeve për akreditim nuk ka qënë proporcional me kërkesat e tregut. Numri i produkteve/shërbimeve në treg është shumë i madh dhe kërkesa për mbrojtjen e kons</w:t>
      </w:r>
      <w:r w:rsidRPr="0093142A">
        <w:rPr>
          <w:rFonts w:cs="Times New Roman"/>
          <w:szCs w:val="24"/>
          <w:lang w:val="sq-AL"/>
        </w:rPr>
        <w:t xml:space="preserve">umatorëve është shumë e madhe. </w:t>
      </w:r>
    </w:p>
    <w:p w14:paraId="7727C914" w14:textId="66AB039A" w:rsidR="00D81181" w:rsidRDefault="00D81181" w:rsidP="00D81181">
      <w:pPr>
        <w:jc w:val="both"/>
        <w:rPr>
          <w:rFonts w:cs="Times New Roman"/>
          <w:szCs w:val="24"/>
          <w:lang w:val="sq-AL"/>
        </w:rPr>
      </w:pPr>
      <w:r w:rsidRPr="0093142A">
        <w:rPr>
          <w:rFonts w:cs="Times New Roman"/>
          <w:szCs w:val="24"/>
          <w:lang w:val="sq-AL"/>
        </w:rPr>
        <w:t>Sfida e DPA</w:t>
      </w:r>
      <w:r w:rsidR="008C5FE3">
        <w:rPr>
          <w:rFonts w:cs="Times New Roman"/>
          <w:szCs w:val="24"/>
          <w:lang w:val="sq-AL"/>
        </w:rPr>
        <w:t>-së</w:t>
      </w:r>
      <w:r w:rsidRPr="0093142A">
        <w:rPr>
          <w:rFonts w:cs="Times New Roman"/>
          <w:szCs w:val="24"/>
          <w:lang w:val="sq-AL"/>
        </w:rPr>
        <w:t xml:space="preserve"> është promovimi sistematik dhe i programuar i rolit të akreditimit në mbrojtjen e konsumatorëve dhe në tregtinë e lirë. Përvec promovimit të akreditimit tek biznesi në të gjithë vendin,</w:t>
      </w:r>
      <w:r w:rsidR="008C5FE3">
        <w:rPr>
          <w:rFonts w:cs="Times New Roman"/>
          <w:szCs w:val="24"/>
          <w:lang w:val="sq-AL"/>
        </w:rPr>
        <w:t xml:space="preserve"> </w:t>
      </w:r>
      <w:r w:rsidRPr="0093142A">
        <w:rPr>
          <w:rFonts w:cs="Times New Roman"/>
          <w:szCs w:val="24"/>
          <w:lang w:val="sq-AL"/>
        </w:rPr>
        <w:t>organet e vlerësimit të kon</w:t>
      </w:r>
      <w:r w:rsidRPr="008B3DCF">
        <w:rPr>
          <w:rFonts w:cs="Times New Roman"/>
          <w:szCs w:val="24"/>
          <w:lang w:val="sq-AL"/>
        </w:rPr>
        <w:t>formitetit, studentët që studiojnë në universitete të ndryshme, DPA do të bashkëpunojë ngushtë me rregullatorët. Përfshirja e kërkesës për organe të vlerësimit të konformitetit të akredituara në legjislacionin vendas në përputhje me atë evropian në shumë fusha do të sjell</w:t>
      </w:r>
      <w:r w:rsidR="008C5FE3">
        <w:rPr>
          <w:rFonts w:cs="Times New Roman"/>
          <w:szCs w:val="24"/>
          <w:lang w:val="sq-AL"/>
        </w:rPr>
        <w:t>ë</w:t>
      </w:r>
      <w:r w:rsidRPr="008B3DCF">
        <w:rPr>
          <w:rFonts w:cs="Times New Roman"/>
          <w:szCs w:val="24"/>
          <w:lang w:val="sq-AL"/>
        </w:rPr>
        <w:t xml:space="preserve"> rritjen e numrit të aplikimeve për akreditim. Në të njëjtën kohë, DPA do të zgjerojë edhe fushën e aktivitetit të saj në përputhje me nevojat e legjislacionit dhe politikave të rregullatorëve.</w:t>
      </w:r>
      <w:r w:rsidRPr="00E2223C">
        <w:rPr>
          <w:rFonts w:cs="Times New Roman"/>
          <w:szCs w:val="24"/>
          <w:lang w:val="sq-AL"/>
        </w:rPr>
        <w:t xml:space="preserve">  </w:t>
      </w:r>
    </w:p>
    <w:p w14:paraId="68CA15D3" w14:textId="304F77E6" w:rsidR="00D81181" w:rsidRDefault="00D81181" w:rsidP="00623352">
      <w:pPr>
        <w:pStyle w:val="Heading5"/>
      </w:pPr>
      <w:bookmarkStart w:id="113" w:name="_Toc132277360"/>
      <w:bookmarkStart w:id="114" w:name="_Hlk121696995"/>
      <w:r w:rsidRPr="008C5FE3">
        <w:t>Metrologjia</w:t>
      </w:r>
      <w:bookmarkEnd w:id="113"/>
    </w:p>
    <w:bookmarkEnd w:id="114"/>
    <w:p w14:paraId="2BB42F4C" w14:textId="259CE6C0" w:rsidR="00D81181" w:rsidRDefault="00D81181" w:rsidP="009475CC">
      <w:pPr>
        <w:spacing w:after="0" w:line="240" w:lineRule="auto"/>
        <w:jc w:val="both"/>
        <w:rPr>
          <w:rFonts w:cs="Times New Roman"/>
          <w:szCs w:val="24"/>
        </w:rPr>
      </w:pPr>
      <w:r w:rsidRPr="0093142A">
        <w:rPr>
          <w:rFonts w:cs="Times New Roman"/>
          <w:szCs w:val="24"/>
        </w:rPr>
        <w:t>N</w:t>
      </w:r>
      <w:r>
        <w:rPr>
          <w:rFonts w:cs="Times New Roman"/>
          <w:szCs w:val="24"/>
        </w:rPr>
        <w:t>ë</w:t>
      </w:r>
      <w:r w:rsidRPr="0093142A">
        <w:rPr>
          <w:rFonts w:cs="Times New Roman"/>
          <w:szCs w:val="24"/>
        </w:rPr>
        <w:t xml:space="preserve"> fush</w:t>
      </w:r>
      <w:r>
        <w:rPr>
          <w:rFonts w:cs="Times New Roman"/>
          <w:szCs w:val="24"/>
        </w:rPr>
        <w:t>ë</w:t>
      </w:r>
      <w:r w:rsidRPr="0093142A">
        <w:rPr>
          <w:rFonts w:cs="Times New Roman"/>
          <w:szCs w:val="24"/>
        </w:rPr>
        <w:t>n e metrologjis</w:t>
      </w:r>
      <w:r w:rsidR="008C5FE3">
        <w:rPr>
          <w:rFonts w:cs="Times New Roman"/>
          <w:szCs w:val="24"/>
        </w:rPr>
        <w:t>ë</w:t>
      </w:r>
      <w:r w:rsidRPr="0093142A">
        <w:rPr>
          <w:rFonts w:cs="Times New Roman"/>
          <w:szCs w:val="24"/>
        </w:rPr>
        <w:t xml:space="preserve"> jane bërë përpjekje të vazhdueshme për të rritur vizibilitetin institucional. N</w:t>
      </w:r>
      <w:r w:rsidR="003C7560">
        <w:rPr>
          <w:rFonts w:cs="Times New Roman"/>
          <w:szCs w:val="24"/>
        </w:rPr>
        <w:t xml:space="preserve">ë </w:t>
      </w:r>
      <w:r w:rsidRPr="0093142A">
        <w:rPr>
          <w:rFonts w:cs="Times New Roman"/>
          <w:szCs w:val="24"/>
        </w:rPr>
        <w:t>drejtorin</w:t>
      </w:r>
      <w:r w:rsidR="003C7560">
        <w:rPr>
          <w:rFonts w:cs="Times New Roman"/>
          <w:szCs w:val="24"/>
        </w:rPr>
        <w:t>ë</w:t>
      </w:r>
      <w:r w:rsidRPr="0093142A">
        <w:rPr>
          <w:rFonts w:cs="Times New Roman"/>
          <w:szCs w:val="24"/>
        </w:rPr>
        <w:t xml:space="preserve"> e Burimeve Mb</w:t>
      </w:r>
      <w:r w:rsidR="003C7560">
        <w:rPr>
          <w:rFonts w:cs="Times New Roman"/>
          <w:szCs w:val="24"/>
        </w:rPr>
        <w:t>ë</w:t>
      </w:r>
      <w:r w:rsidRPr="0093142A">
        <w:rPr>
          <w:rFonts w:cs="Times New Roman"/>
          <w:szCs w:val="24"/>
        </w:rPr>
        <w:t>shtet</w:t>
      </w:r>
      <w:r w:rsidR="003C7560">
        <w:rPr>
          <w:rFonts w:cs="Times New Roman"/>
          <w:szCs w:val="24"/>
        </w:rPr>
        <w:t>ë</w:t>
      </w:r>
      <w:r w:rsidRPr="0093142A">
        <w:rPr>
          <w:rFonts w:cs="Times New Roman"/>
          <w:szCs w:val="24"/>
        </w:rPr>
        <w:t xml:space="preserve">se ushtron detyrat Sektori </w:t>
      </w:r>
      <w:r w:rsidRPr="008B3DCF">
        <w:rPr>
          <w:rFonts w:cs="Times New Roman"/>
          <w:szCs w:val="24"/>
        </w:rPr>
        <w:t>Juridik, Integrimit dhe Komunikimit, ku nj</w:t>
      </w:r>
      <w:r w:rsidR="003C7560">
        <w:rPr>
          <w:rFonts w:cs="Times New Roman"/>
          <w:szCs w:val="24"/>
        </w:rPr>
        <w:t>ë</w:t>
      </w:r>
      <w:r w:rsidRPr="008B3DCF">
        <w:rPr>
          <w:rFonts w:cs="Times New Roman"/>
          <w:szCs w:val="24"/>
        </w:rPr>
        <w:t xml:space="preserve"> punonj</w:t>
      </w:r>
      <w:r w:rsidR="003C7560">
        <w:rPr>
          <w:rFonts w:cs="Times New Roman"/>
          <w:szCs w:val="24"/>
        </w:rPr>
        <w:t>ë</w:t>
      </w:r>
      <w:r w:rsidRPr="008B3DCF">
        <w:rPr>
          <w:rFonts w:cs="Times New Roman"/>
          <w:szCs w:val="24"/>
        </w:rPr>
        <w:t xml:space="preserve">s është përgjegjës për aktivitetet e komunikimit.  Struktura </w:t>
      </w:r>
      <w:r w:rsidRPr="008B3DCF">
        <w:rPr>
          <w:rFonts w:cs="Times New Roman"/>
          <w:szCs w:val="24"/>
        </w:rPr>
        <w:lastRenderedPageBreak/>
        <w:t>ka nj</w:t>
      </w:r>
      <w:r w:rsidR="003C7560">
        <w:rPr>
          <w:rFonts w:cs="Times New Roman"/>
          <w:szCs w:val="24"/>
        </w:rPr>
        <w:t>ë</w:t>
      </w:r>
      <w:r w:rsidRPr="008B3DCF">
        <w:rPr>
          <w:rFonts w:cs="Times New Roman"/>
          <w:szCs w:val="24"/>
        </w:rPr>
        <w:t xml:space="preserve"> faqe interneti </w:t>
      </w:r>
      <w:hyperlink r:id="rId35" w:history="1">
        <w:r w:rsidR="004665C9" w:rsidRPr="00C27E36">
          <w:rPr>
            <w:rStyle w:val="Hyperlink"/>
            <w:rFonts w:cs="Times New Roman"/>
            <w:szCs w:val="24"/>
          </w:rPr>
          <w:t>www.dpm.gov.al</w:t>
        </w:r>
      </w:hyperlink>
      <w:r w:rsidR="008C5FE3">
        <w:rPr>
          <w:rFonts w:cs="Times New Roman"/>
          <w:szCs w:val="24"/>
        </w:rPr>
        <w:t>)</w:t>
      </w:r>
      <w:r w:rsidRPr="008B3DCF">
        <w:rPr>
          <w:rFonts w:cs="Times New Roman"/>
          <w:szCs w:val="24"/>
        </w:rPr>
        <w:t xml:space="preserve"> për veprimtarinë institucionale. Gjat</w:t>
      </w:r>
      <w:r w:rsidR="008C5FE3">
        <w:rPr>
          <w:rFonts w:cs="Times New Roman"/>
          <w:szCs w:val="24"/>
        </w:rPr>
        <w:t>ë</w:t>
      </w:r>
      <w:r w:rsidRPr="008B3DCF">
        <w:rPr>
          <w:rFonts w:cs="Times New Roman"/>
          <w:szCs w:val="24"/>
        </w:rPr>
        <w:t xml:space="preserve"> periudh</w:t>
      </w:r>
      <w:r w:rsidR="003C7560">
        <w:rPr>
          <w:rFonts w:cs="Times New Roman"/>
          <w:szCs w:val="24"/>
        </w:rPr>
        <w:t>ë</w:t>
      </w:r>
      <w:r w:rsidRPr="008B3DCF">
        <w:rPr>
          <w:rFonts w:cs="Times New Roman"/>
          <w:szCs w:val="24"/>
        </w:rPr>
        <w:t>s 2017-2021 janë organizuar disa seminare, konferenca dhe ditë të hapura për industrinë (Dita Bot</w:t>
      </w:r>
      <w:r w:rsidR="008C5FE3">
        <w:rPr>
          <w:rFonts w:cs="Times New Roman"/>
          <w:szCs w:val="24"/>
        </w:rPr>
        <w:t>ë</w:t>
      </w:r>
      <w:r w:rsidRPr="008B3DCF">
        <w:rPr>
          <w:rFonts w:cs="Times New Roman"/>
          <w:szCs w:val="24"/>
        </w:rPr>
        <w:t>rore e Metrologjis</w:t>
      </w:r>
      <w:r w:rsidR="008C5FE3">
        <w:rPr>
          <w:rFonts w:cs="Times New Roman"/>
          <w:szCs w:val="24"/>
        </w:rPr>
        <w:t>ë</w:t>
      </w:r>
      <w:r w:rsidRPr="008B3DCF">
        <w:rPr>
          <w:rFonts w:cs="Times New Roman"/>
          <w:szCs w:val="24"/>
        </w:rPr>
        <w:t xml:space="preserve"> 20 </w:t>
      </w:r>
      <w:r w:rsidR="008C5FE3">
        <w:rPr>
          <w:rFonts w:cs="Times New Roman"/>
          <w:szCs w:val="24"/>
        </w:rPr>
        <w:t>M</w:t>
      </w:r>
      <w:r w:rsidRPr="008B3DCF">
        <w:rPr>
          <w:rFonts w:cs="Times New Roman"/>
          <w:szCs w:val="24"/>
        </w:rPr>
        <w:t>aj). Në Tiranë dhe në sektoret e sh</w:t>
      </w:r>
      <w:r w:rsidR="003C7560">
        <w:rPr>
          <w:rFonts w:cs="Times New Roman"/>
          <w:szCs w:val="24"/>
        </w:rPr>
        <w:t>ë</w:t>
      </w:r>
      <w:r w:rsidRPr="008B3DCF">
        <w:rPr>
          <w:rFonts w:cs="Times New Roman"/>
          <w:szCs w:val="24"/>
        </w:rPr>
        <w:t>rbimit janë organizuar aktivitete sensibilizuese në fushën e mbrojtjes së konsumatorit. Janë publikuar materiale promovuese, raportet vjetore te DPM-së s</w:t>
      </w:r>
      <w:r w:rsidRPr="00E2223C">
        <w:rPr>
          <w:rFonts w:cs="Times New Roman"/>
          <w:szCs w:val="24"/>
        </w:rPr>
        <w:t>i dhe buletini zyrtar “Metrologjia”. Bashkëpunimi me median ka qen</w:t>
      </w:r>
      <w:r w:rsidR="008C5FE3">
        <w:rPr>
          <w:rFonts w:cs="Times New Roman"/>
          <w:szCs w:val="24"/>
        </w:rPr>
        <w:t>ë</w:t>
      </w:r>
      <w:r w:rsidRPr="00E2223C">
        <w:rPr>
          <w:rFonts w:cs="Times New Roman"/>
          <w:szCs w:val="24"/>
        </w:rPr>
        <w:t xml:space="preserve"> i vazhdueshm dhe i p</w:t>
      </w:r>
      <w:r w:rsidR="008C5FE3">
        <w:rPr>
          <w:rFonts w:cs="Times New Roman"/>
          <w:szCs w:val="24"/>
        </w:rPr>
        <w:t>ë</w:t>
      </w:r>
      <w:r w:rsidRPr="00E2223C">
        <w:rPr>
          <w:rFonts w:cs="Times New Roman"/>
          <w:szCs w:val="24"/>
        </w:rPr>
        <w:t>rq</w:t>
      </w:r>
      <w:r w:rsidR="008C5FE3">
        <w:rPr>
          <w:rFonts w:cs="Times New Roman"/>
          <w:szCs w:val="24"/>
        </w:rPr>
        <w:t>ë</w:t>
      </w:r>
      <w:r w:rsidRPr="00E2223C">
        <w:rPr>
          <w:rFonts w:cs="Times New Roman"/>
          <w:szCs w:val="24"/>
        </w:rPr>
        <w:t>ndruar n</w:t>
      </w:r>
      <w:r w:rsidR="008C5FE3">
        <w:rPr>
          <w:rFonts w:cs="Times New Roman"/>
          <w:szCs w:val="24"/>
        </w:rPr>
        <w:t>ë</w:t>
      </w:r>
      <w:r w:rsidRPr="00E2223C">
        <w:rPr>
          <w:rFonts w:cs="Times New Roman"/>
          <w:szCs w:val="24"/>
        </w:rPr>
        <w:t xml:space="preserve"> pjesëmarrjen në programe të veçanta televizive dhe organizimin e eventeve me prezencë mediatike.</w:t>
      </w:r>
    </w:p>
    <w:p w14:paraId="6B8EE7F8" w14:textId="77777777" w:rsidR="00BD5B8A" w:rsidRPr="00ED6C63" w:rsidRDefault="00BD5B8A" w:rsidP="009475CC">
      <w:pPr>
        <w:spacing w:after="0" w:line="240" w:lineRule="auto"/>
        <w:jc w:val="both"/>
        <w:rPr>
          <w:rFonts w:cs="Times New Roman"/>
          <w:szCs w:val="24"/>
        </w:rPr>
      </w:pPr>
    </w:p>
    <w:p w14:paraId="3A8742D0" w14:textId="1D151851" w:rsidR="00D81181" w:rsidRPr="004E1146" w:rsidRDefault="00D81181" w:rsidP="009475CC">
      <w:pPr>
        <w:spacing w:after="0" w:line="240" w:lineRule="auto"/>
        <w:jc w:val="both"/>
        <w:rPr>
          <w:rFonts w:cs="Times New Roman"/>
          <w:szCs w:val="24"/>
        </w:rPr>
      </w:pPr>
      <w:r w:rsidRPr="00E45C0D">
        <w:rPr>
          <w:rFonts w:cs="Times New Roman"/>
          <w:szCs w:val="24"/>
        </w:rPr>
        <w:t>Institucioni gjat</w:t>
      </w:r>
      <w:r w:rsidR="003C7560">
        <w:rPr>
          <w:rFonts w:cs="Times New Roman"/>
          <w:szCs w:val="24"/>
        </w:rPr>
        <w:t xml:space="preserve">ë </w:t>
      </w:r>
      <w:r w:rsidRPr="00E45C0D">
        <w:rPr>
          <w:rFonts w:cs="Times New Roman"/>
          <w:szCs w:val="24"/>
        </w:rPr>
        <w:t>vitit t</w:t>
      </w:r>
      <w:r w:rsidR="003C7560">
        <w:rPr>
          <w:rFonts w:cs="Times New Roman"/>
          <w:szCs w:val="24"/>
        </w:rPr>
        <w:t>ë</w:t>
      </w:r>
      <w:r w:rsidRPr="00E45C0D">
        <w:rPr>
          <w:rFonts w:cs="Times New Roman"/>
          <w:szCs w:val="24"/>
        </w:rPr>
        <w:t xml:space="preserve"> fundit ka nd</w:t>
      </w:r>
      <w:r w:rsidR="003C7560">
        <w:rPr>
          <w:rFonts w:cs="Times New Roman"/>
          <w:szCs w:val="24"/>
        </w:rPr>
        <w:t>ë</w:t>
      </w:r>
      <w:r w:rsidRPr="00E45C0D">
        <w:rPr>
          <w:rFonts w:cs="Times New Roman"/>
          <w:szCs w:val="24"/>
        </w:rPr>
        <w:t>rmarr</w:t>
      </w:r>
      <w:r w:rsidR="003C7560">
        <w:rPr>
          <w:rFonts w:cs="Times New Roman"/>
          <w:szCs w:val="24"/>
        </w:rPr>
        <w:t>ë</w:t>
      </w:r>
      <w:r w:rsidRPr="00E45C0D">
        <w:rPr>
          <w:rFonts w:cs="Times New Roman"/>
          <w:szCs w:val="24"/>
        </w:rPr>
        <w:t xml:space="preserve"> di</w:t>
      </w:r>
      <w:r w:rsidRPr="003F476D">
        <w:rPr>
          <w:rFonts w:cs="Times New Roman"/>
          <w:szCs w:val="24"/>
        </w:rPr>
        <w:t>sa fushata ndërgjegjësuese duke ju drejtuar konsumatorëve, studentëve, operatorëve ekonomikë. Në kuadër t</w:t>
      </w:r>
      <w:r w:rsidR="008C5FE3">
        <w:rPr>
          <w:rFonts w:cs="Times New Roman"/>
          <w:szCs w:val="24"/>
        </w:rPr>
        <w:t>ë</w:t>
      </w:r>
      <w:r w:rsidRPr="003F476D">
        <w:rPr>
          <w:rFonts w:cs="Times New Roman"/>
          <w:szCs w:val="24"/>
        </w:rPr>
        <w:t xml:space="preserve"> këtyre fushatave janë zhvilluar:</w:t>
      </w:r>
    </w:p>
    <w:p w14:paraId="351BF31C" w14:textId="77777777" w:rsidR="008C5FE3" w:rsidRDefault="00D81181" w:rsidP="00623352">
      <w:pPr>
        <w:pStyle w:val="ListParagraph"/>
        <w:numPr>
          <w:ilvl w:val="0"/>
          <w:numId w:val="20"/>
        </w:numPr>
        <w:spacing w:after="0" w:line="240" w:lineRule="auto"/>
        <w:jc w:val="both"/>
        <w:rPr>
          <w:rFonts w:cs="Times New Roman"/>
          <w:szCs w:val="24"/>
        </w:rPr>
      </w:pPr>
      <w:r w:rsidRPr="008C5FE3">
        <w:rPr>
          <w:rFonts w:cs="Times New Roman"/>
          <w:szCs w:val="24"/>
        </w:rPr>
        <w:t xml:space="preserve">Konferenca “Rëndësia e Infrastrukturës së Cilësisë dhe Pronësisë Industriale në Tregun </w:t>
      </w:r>
    </w:p>
    <w:p w14:paraId="721AF4FC" w14:textId="7098DA7B" w:rsidR="00D81181" w:rsidRPr="008C5FE3" w:rsidRDefault="00D81181" w:rsidP="008C5FE3">
      <w:pPr>
        <w:spacing w:after="0" w:line="240" w:lineRule="auto"/>
        <w:jc w:val="both"/>
        <w:rPr>
          <w:rFonts w:cs="Times New Roman"/>
          <w:szCs w:val="24"/>
        </w:rPr>
      </w:pPr>
      <w:r w:rsidRPr="008C5FE3">
        <w:rPr>
          <w:rFonts w:cs="Times New Roman"/>
          <w:szCs w:val="24"/>
        </w:rPr>
        <w:t>e Brendshëm dhe Ndërkombëtar” në bashkëpunim me MFE dhe institucionet e infrastrukturës së cilësisë</w:t>
      </w:r>
      <w:r w:rsidR="008C5FE3">
        <w:rPr>
          <w:rFonts w:cs="Times New Roman"/>
          <w:szCs w:val="24"/>
        </w:rPr>
        <w:t>;</w:t>
      </w:r>
    </w:p>
    <w:p w14:paraId="7DAD6BC8" w14:textId="77777777" w:rsidR="008C5FE3" w:rsidRDefault="00D81181" w:rsidP="00623352">
      <w:pPr>
        <w:pStyle w:val="ListParagraph"/>
        <w:numPr>
          <w:ilvl w:val="0"/>
          <w:numId w:val="20"/>
        </w:numPr>
        <w:spacing w:after="0" w:line="240" w:lineRule="auto"/>
        <w:jc w:val="both"/>
        <w:rPr>
          <w:rFonts w:cs="Times New Roman"/>
          <w:szCs w:val="24"/>
        </w:rPr>
      </w:pPr>
      <w:r w:rsidRPr="008C5FE3">
        <w:rPr>
          <w:rFonts w:cs="Times New Roman"/>
          <w:szCs w:val="24"/>
        </w:rPr>
        <w:t>Takime në disa prej qyteteve kryesore të vendit (Korçë, Gjirokast</w:t>
      </w:r>
      <w:r w:rsidR="008C5FE3">
        <w:rPr>
          <w:rFonts w:cs="Times New Roman"/>
          <w:szCs w:val="24"/>
        </w:rPr>
        <w:t>ë</w:t>
      </w:r>
      <w:r w:rsidRPr="008C5FE3">
        <w:rPr>
          <w:rFonts w:cs="Times New Roman"/>
          <w:szCs w:val="24"/>
        </w:rPr>
        <w:t xml:space="preserve">r etj), me </w:t>
      </w:r>
    </w:p>
    <w:p w14:paraId="0F355612" w14:textId="4F533A64" w:rsidR="00D81181" w:rsidRPr="008C5FE3" w:rsidRDefault="00D81181" w:rsidP="008C5FE3">
      <w:pPr>
        <w:spacing w:after="0" w:line="240" w:lineRule="auto"/>
        <w:jc w:val="both"/>
        <w:rPr>
          <w:rFonts w:cs="Times New Roman"/>
          <w:szCs w:val="24"/>
        </w:rPr>
      </w:pPr>
      <w:r w:rsidRPr="008C5FE3">
        <w:rPr>
          <w:rFonts w:cs="Times New Roman"/>
          <w:szCs w:val="24"/>
        </w:rPr>
        <w:t>mbështetjen e Dhomave të Tregtisë dhe Industrisë të këtyre qyteteve, ku dhe janë shpërndarë materiale informuese për biznesin dhe fletëpalosje për student</w:t>
      </w:r>
      <w:r w:rsidR="008C5FE3">
        <w:rPr>
          <w:rFonts w:cs="Times New Roman"/>
          <w:szCs w:val="24"/>
        </w:rPr>
        <w:t>ë</w:t>
      </w:r>
      <w:r w:rsidRPr="008C5FE3">
        <w:rPr>
          <w:rFonts w:cs="Times New Roman"/>
          <w:szCs w:val="24"/>
        </w:rPr>
        <w:t>t e fakulteteve n</w:t>
      </w:r>
      <w:r w:rsidR="008C5FE3">
        <w:rPr>
          <w:rFonts w:cs="Times New Roman"/>
          <w:szCs w:val="24"/>
        </w:rPr>
        <w:t>ë</w:t>
      </w:r>
      <w:r w:rsidRPr="008C5FE3">
        <w:rPr>
          <w:rFonts w:cs="Times New Roman"/>
          <w:szCs w:val="24"/>
        </w:rPr>
        <w:t xml:space="preserve"> k</w:t>
      </w:r>
      <w:r w:rsidR="008C5FE3">
        <w:rPr>
          <w:rFonts w:cs="Times New Roman"/>
          <w:szCs w:val="24"/>
        </w:rPr>
        <w:t>ë</w:t>
      </w:r>
      <w:r w:rsidRPr="008C5FE3">
        <w:rPr>
          <w:rFonts w:cs="Times New Roman"/>
          <w:szCs w:val="24"/>
        </w:rPr>
        <w:t>to qytete.</w:t>
      </w:r>
    </w:p>
    <w:p w14:paraId="2A321D18" w14:textId="77777777" w:rsidR="008C5FE3" w:rsidRDefault="00D81181" w:rsidP="00623352">
      <w:pPr>
        <w:pStyle w:val="ListParagraph"/>
        <w:numPr>
          <w:ilvl w:val="0"/>
          <w:numId w:val="20"/>
        </w:numPr>
        <w:spacing w:after="0" w:line="240" w:lineRule="auto"/>
        <w:jc w:val="both"/>
        <w:rPr>
          <w:rFonts w:cs="Times New Roman"/>
          <w:szCs w:val="24"/>
        </w:rPr>
      </w:pPr>
      <w:r w:rsidRPr="008C5FE3">
        <w:rPr>
          <w:rFonts w:cs="Times New Roman"/>
          <w:szCs w:val="24"/>
        </w:rPr>
        <w:t>Sesion informimi p</w:t>
      </w:r>
      <w:r w:rsidR="008C5FE3">
        <w:rPr>
          <w:rFonts w:cs="Times New Roman"/>
          <w:szCs w:val="24"/>
        </w:rPr>
        <w:t>ë</w:t>
      </w:r>
      <w:r w:rsidRPr="008C5FE3">
        <w:rPr>
          <w:rFonts w:cs="Times New Roman"/>
          <w:szCs w:val="24"/>
        </w:rPr>
        <w:t>r operator</w:t>
      </w:r>
      <w:r w:rsidR="008C5FE3">
        <w:rPr>
          <w:rFonts w:cs="Times New Roman"/>
          <w:szCs w:val="24"/>
        </w:rPr>
        <w:t>ë</w:t>
      </w:r>
      <w:r w:rsidRPr="008C5FE3">
        <w:rPr>
          <w:rFonts w:cs="Times New Roman"/>
          <w:szCs w:val="24"/>
        </w:rPr>
        <w:t>t ekonomik</w:t>
      </w:r>
      <w:r w:rsidR="008C5FE3">
        <w:rPr>
          <w:rFonts w:cs="Times New Roman"/>
          <w:szCs w:val="24"/>
        </w:rPr>
        <w:t>ë</w:t>
      </w:r>
      <w:r w:rsidRPr="008C5FE3">
        <w:rPr>
          <w:rFonts w:cs="Times New Roman"/>
          <w:szCs w:val="24"/>
        </w:rPr>
        <w:t xml:space="preserve"> mbi rregulloret teknike “Parapaketimet dhe </w:t>
      </w:r>
    </w:p>
    <w:p w14:paraId="0C33A105" w14:textId="27F2D716" w:rsidR="00D81181" w:rsidRPr="008C5FE3" w:rsidRDefault="00D81181" w:rsidP="008C5FE3">
      <w:pPr>
        <w:spacing w:after="0" w:line="240" w:lineRule="auto"/>
        <w:jc w:val="both"/>
        <w:rPr>
          <w:rFonts w:cs="Times New Roman"/>
          <w:szCs w:val="24"/>
        </w:rPr>
      </w:pPr>
      <w:r w:rsidRPr="008C5FE3">
        <w:rPr>
          <w:rFonts w:cs="Times New Roman"/>
          <w:szCs w:val="24"/>
        </w:rPr>
        <w:t>shishet enëmatëse”, aktivitet në bashkëpunim me MFE, ISHMT, GIZ.</w:t>
      </w:r>
    </w:p>
    <w:p w14:paraId="202232AF" w14:textId="62530AD3" w:rsidR="006C7ACC" w:rsidRDefault="00D81181" w:rsidP="00757D50">
      <w:pPr>
        <w:spacing w:after="0" w:line="240" w:lineRule="auto"/>
        <w:jc w:val="both"/>
        <w:rPr>
          <w:rFonts w:cs="Times New Roman"/>
          <w:szCs w:val="24"/>
        </w:rPr>
      </w:pPr>
      <w:r w:rsidRPr="00F32E3B">
        <w:rPr>
          <w:rFonts w:cs="Times New Roman"/>
          <w:szCs w:val="24"/>
        </w:rPr>
        <w:t>N</w:t>
      </w:r>
      <w:r w:rsidR="003C7560">
        <w:rPr>
          <w:rFonts w:cs="Times New Roman"/>
          <w:szCs w:val="24"/>
        </w:rPr>
        <w:t>ë</w:t>
      </w:r>
      <w:r w:rsidRPr="00F32E3B">
        <w:rPr>
          <w:rFonts w:cs="Times New Roman"/>
          <w:szCs w:val="24"/>
        </w:rPr>
        <w:t xml:space="preserve"> fush</w:t>
      </w:r>
      <w:r w:rsidR="003C7560">
        <w:rPr>
          <w:rFonts w:cs="Times New Roman"/>
          <w:szCs w:val="24"/>
        </w:rPr>
        <w:t>ë</w:t>
      </w:r>
      <w:r w:rsidRPr="00F32E3B">
        <w:rPr>
          <w:rFonts w:cs="Times New Roman"/>
          <w:szCs w:val="24"/>
        </w:rPr>
        <w:t>n e metrologjis</w:t>
      </w:r>
      <w:r w:rsidR="003C7560">
        <w:rPr>
          <w:rFonts w:cs="Times New Roman"/>
          <w:szCs w:val="24"/>
        </w:rPr>
        <w:t>ë</w:t>
      </w:r>
      <w:r w:rsidRPr="00F32E3B">
        <w:rPr>
          <w:rFonts w:cs="Times New Roman"/>
          <w:szCs w:val="24"/>
        </w:rPr>
        <w:t xml:space="preserve"> në kuadër të dixhitalizimit të proçedurave dhe përmirësimit të shërbimeve metrologjike </w:t>
      </w:r>
      <w:r w:rsidR="008C5FE3">
        <w:rPr>
          <w:rFonts w:cs="Times New Roman"/>
          <w:szCs w:val="24"/>
        </w:rPr>
        <w:t>ë</w:t>
      </w:r>
      <w:r w:rsidRPr="00F32E3B">
        <w:rPr>
          <w:rFonts w:cs="Times New Roman"/>
          <w:szCs w:val="24"/>
        </w:rPr>
        <w:t>sht</w:t>
      </w:r>
      <w:r w:rsidR="008C5FE3">
        <w:rPr>
          <w:rFonts w:cs="Times New Roman"/>
          <w:szCs w:val="24"/>
        </w:rPr>
        <w:t>ë</w:t>
      </w:r>
      <w:r w:rsidRPr="00F32E3B">
        <w:rPr>
          <w:rFonts w:cs="Times New Roman"/>
          <w:szCs w:val="24"/>
        </w:rPr>
        <w:t xml:space="preserve"> punuar për evidentimin e gjith</w:t>
      </w:r>
      <w:r w:rsidR="008C5FE3">
        <w:rPr>
          <w:rFonts w:cs="Times New Roman"/>
          <w:szCs w:val="24"/>
        </w:rPr>
        <w:t>ë</w:t>
      </w:r>
      <w:r w:rsidRPr="00F32E3B">
        <w:rPr>
          <w:rFonts w:cs="Times New Roman"/>
          <w:szCs w:val="24"/>
        </w:rPr>
        <w:t xml:space="preserve"> shërbimeve q</w:t>
      </w:r>
      <w:r w:rsidR="008C5FE3">
        <w:rPr>
          <w:rFonts w:cs="Times New Roman"/>
          <w:szCs w:val="24"/>
        </w:rPr>
        <w:t>ë</w:t>
      </w:r>
      <w:r w:rsidRPr="00F32E3B">
        <w:rPr>
          <w:rFonts w:cs="Times New Roman"/>
          <w:szCs w:val="24"/>
        </w:rPr>
        <w:t xml:space="preserve"> kryhen. Për këtë qëllim janë përgatitur kartelat shoqëruese t</w:t>
      </w:r>
      <w:r w:rsidR="008C5FE3">
        <w:rPr>
          <w:rFonts w:cs="Times New Roman"/>
          <w:szCs w:val="24"/>
        </w:rPr>
        <w:t>ë</w:t>
      </w:r>
      <w:r w:rsidRPr="00F32E3B">
        <w:rPr>
          <w:rFonts w:cs="Times New Roman"/>
          <w:szCs w:val="24"/>
        </w:rPr>
        <w:t xml:space="preserve"> sh</w:t>
      </w:r>
      <w:r w:rsidR="008C5FE3">
        <w:rPr>
          <w:rFonts w:cs="Times New Roman"/>
          <w:szCs w:val="24"/>
        </w:rPr>
        <w:t>ë</w:t>
      </w:r>
      <w:r w:rsidRPr="00F32E3B">
        <w:rPr>
          <w:rFonts w:cs="Times New Roman"/>
          <w:szCs w:val="24"/>
        </w:rPr>
        <w:t>rbimeve në platformën ADISA dhe regjistrimi i tyre në portalin e-albania. Gjithashtu në kuadër të nenit 51 t</w:t>
      </w:r>
      <w:r w:rsidR="008C5FE3">
        <w:rPr>
          <w:rFonts w:cs="Times New Roman"/>
          <w:szCs w:val="24"/>
        </w:rPr>
        <w:t>ë</w:t>
      </w:r>
      <w:r w:rsidRPr="00F32E3B">
        <w:rPr>
          <w:rFonts w:cs="Times New Roman"/>
          <w:szCs w:val="24"/>
        </w:rPr>
        <w:t xml:space="preserve"> ligjit nr. 126/2020 </w:t>
      </w:r>
      <w:r w:rsidR="008C5FE3">
        <w:rPr>
          <w:rFonts w:cs="Times New Roman"/>
          <w:szCs w:val="24"/>
        </w:rPr>
        <w:t>“</w:t>
      </w:r>
      <w:r w:rsidRPr="00F32E3B">
        <w:rPr>
          <w:rFonts w:cs="Times New Roman"/>
          <w:szCs w:val="24"/>
        </w:rPr>
        <w:t>Për Metrologjin</w:t>
      </w:r>
      <w:r w:rsidR="008C5FE3">
        <w:rPr>
          <w:rFonts w:cs="Times New Roman"/>
          <w:szCs w:val="24"/>
        </w:rPr>
        <w:t>ë”</w:t>
      </w:r>
      <w:r w:rsidRPr="00F32E3B">
        <w:rPr>
          <w:rFonts w:cs="Times New Roman"/>
          <w:szCs w:val="24"/>
        </w:rPr>
        <w:t xml:space="preserve"> dhe VKM nr. 217, dat</w:t>
      </w:r>
      <w:r w:rsidR="008C5FE3">
        <w:rPr>
          <w:rFonts w:cs="Times New Roman"/>
          <w:szCs w:val="24"/>
        </w:rPr>
        <w:t>ë</w:t>
      </w:r>
      <w:r w:rsidRPr="00F32E3B">
        <w:rPr>
          <w:rFonts w:cs="Times New Roman"/>
          <w:szCs w:val="24"/>
        </w:rPr>
        <w:t xml:space="preserve"> 13.04.2022</w:t>
      </w:r>
      <w:r w:rsidR="003C7560">
        <w:rPr>
          <w:rFonts w:cs="Times New Roman"/>
          <w:szCs w:val="24"/>
        </w:rPr>
        <w:t xml:space="preserve"> “Pë</w:t>
      </w:r>
      <w:r w:rsidRPr="00F32E3B">
        <w:rPr>
          <w:rFonts w:cs="Times New Roman"/>
          <w:szCs w:val="24"/>
        </w:rPr>
        <w:t>r krijimin, administrimin dhe përdorimin e bazës së të dhënave të regjistrit elektronik të Drejtorisë së Përgjithshme të Metrologjisë’’, institucioni do ket</w:t>
      </w:r>
      <w:r w:rsidR="003C7560">
        <w:rPr>
          <w:rFonts w:cs="Times New Roman"/>
          <w:szCs w:val="24"/>
        </w:rPr>
        <w:t>ë</w:t>
      </w:r>
      <w:r w:rsidRPr="00F32E3B">
        <w:rPr>
          <w:rFonts w:cs="Times New Roman"/>
          <w:szCs w:val="24"/>
        </w:rPr>
        <w:t xml:space="preserve"> regjistrin elektronik të tij, i cili do ofroj</w:t>
      </w:r>
      <w:r w:rsidR="003C7560">
        <w:rPr>
          <w:rFonts w:cs="Times New Roman"/>
          <w:szCs w:val="24"/>
        </w:rPr>
        <w:t>ë</w:t>
      </w:r>
      <w:r w:rsidRPr="00F32E3B">
        <w:rPr>
          <w:rFonts w:cs="Times New Roman"/>
          <w:szCs w:val="24"/>
        </w:rPr>
        <w:t xml:space="preserve"> informacione n</w:t>
      </w:r>
      <w:r w:rsidR="008C5FE3">
        <w:rPr>
          <w:rFonts w:cs="Times New Roman"/>
          <w:szCs w:val="24"/>
        </w:rPr>
        <w:t>ë</w:t>
      </w:r>
      <w:r w:rsidRPr="00F32E3B">
        <w:rPr>
          <w:rFonts w:cs="Times New Roman"/>
          <w:szCs w:val="24"/>
        </w:rPr>
        <w:t xml:space="preserve"> lidhje me instrument</w:t>
      </w:r>
      <w:r w:rsidR="008C5FE3">
        <w:rPr>
          <w:rFonts w:cs="Times New Roman"/>
          <w:szCs w:val="24"/>
        </w:rPr>
        <w:t>ë</w:t>
      </w:r>
      <w:r w:rsidRPr="00F32E3B">
        <w:rPr>
          <w:rFonts w:cs="Times New Roman"/>
          <w:szCs w:val="24"/>
        </w:rPr>
        <w:t>t mat</w:t>
      </w:r>
      <w:r w:rsidR="003C7560">
        <w:rPr>
          <w:rFonts w:cs="Times New Roman"/>
          <w:szCs w:val="24"/>
        </w:rPr>
        <w:t>ë</w:t>
      </w:r>
      <w:r w:rsidRPr="00F32E3B">
        <w:rPr>
          <w:rFonts w:cs="Times New Roman"/>
          <w:szCs w:val="24"/>
        </w:rPr>
        <w:t>s p</w:t>
      </w:r>
      <w:r w:rsidR="003C7560">
        <w:rPr>
          <w:rFonts w:cs="Times New Roman"/>
          <w:szCs w:val="24"/>
        </w:rPr>
        <w:t>ë</w:t>
      </w:r>
      <w:r w:rsidRPr="00F32E3B">
        <w:rPr>
          <w:rFonts w:cs="Times New Roman"/>
          <w:szCs w:val="24"/>
        </w:rPr>
        <w:t>r konsumatorët, institucionet publike dhe operatorët ekonomikë.</w:t>
      </w:r>
    </w:p>
    <w:p w14:paraId="2D174AAF" w14:textId="264FB922" w:rsidR="006C7ACC" w:rsidRDefault="006C7ACC" w:rsidP="00623352">
      <w:pPr>
        <w:pStyle w:val="Heading5"/>
      </w:pPr>
      <w:bookmarkStart w:id="115" w:name="_Toc132277361"/>
      <w:bookmarkStart w:id="116" w:name="_Hlk121697216"/>
      <w:r w:rsidRPr="008C5FE3">
        <w:t>Autoriteti Kombëtar i Ushqimit</w:t>
      </w:r>
      <w:bookmarkEnd w:id="115"/>
    </w:p>
    <w:bookmarkEnd w:id="116"/>
    <w:p w14:paraId="7198D544" w14:textId="78079BFE" w:rsidR="006C7ACC" w:rsidRDefault="006C7ACC" w:rsidP="009475CC">
      <w:pPr>
        <w:spacing w:after="0" w:line="240" w:lineRule="auto"/>
        <w:jc w:val="both"/>
        <w:rPr>
          <w:rFonts w:eastAsia="Times New Roman" w:cs="Times New Roman"/>
          <w:color w:val="000000"/>
          <w:szCs w:val="24"/>
          <w:lang w:val="sq-AL"/>
        </w:rPr>
      </w:pPr>
      <w:r w:rsidRPr="00F32E3B">
        <w:rPr>
          <w:rFonts w:eastAsia="Times New Roman" w:cs="Times New Roman"/>
          <w:color w:val="000000"/>
          <w:szCs w:val="24"/>
          <w:lang w:val="sq-AL"/>
        </w:rPr>
        <w:t xml:space="preserve">Edukimi dhe ndërgjegjësimi i konsumatorëve dhe </w:t>
      </w:r>
      <w:r w:rsidRPr="00F32E3B">
        <w:rPr>
          <w:rFonts w:eastAsia="Times New Roman" w:cs="Times New Roman"/>
          <w:szCs w:val="24"/>
          <w:lang w:val="sq-AL"/>
        </w:rPr>
        <w:t>operatoreve të biznesit</w:t>
      </w:r>
      <w:r w:rsidRPr="00F32E3B">
        <w:rPr>
          <w:rFonts w:eastAsia="Times New Roman" w:cs="Times New Roman"/>
          <w:color w:val="000000"/>
          <w:szCs w:val="24"/>
          <w:lang w:val="sq-AL"/>
        </w:rPr>
        <w:t xml:space="preserve"> është pa dyshim një nga elementët që kontribuojnë në rritjen e sigurisë ushqimore si dhe rritjen e transparencës së praktikave tregtare.</w:t>
      </w:r>
    </w:p>
    <w:p w14:paraId="56F85835" w14:textId="77777777" w:rsidR="00BD5B8A" w:rsidRPr="00F32E3B" w:rsidRDefault="00BD5B8A" w:rsidP="009475CC">
      <w:pPr>
        <w:spacing w:after="0" w:line="240" w:lineRule="auto"/>
        <w:jc w:val="both"/>
        <w:rPr>
          <w:rFonts w:eastAsia="Times New Roman" w:cs="Times New Roman"/>
          <w:color w:val="000000"/>
          <w:szCs w:val="24"/>
          <w:lang w:val="sq-AL"/>
        </w:rPr>
      </w:pPr>
    </w:p>
    <w:p w14:paraId="0F3A8CAA" w14:textId="1ACE2D6F" w:rsidR="006C7ACC" w:rsidRPr="00F32E3B" w:rsidRDefault="006C7ACC" w:rsidP="009475CC">
      <w:pPr>
        <w:spacing w:after="0" w:line="240" w:lineRule="auto"/>
        <w:jc w:val="both"/>
        <w:rPr>
          <w:rFonts w:eastAsia="Times New Roman" w:cs="Times New Roman"/>
          <w:color w:val="000000"/>
          <w:szCs w:val="24"/>
          <w:lang w:val="sq-AL"/>
        </w:rPr>
      </w:pPr>
      <w:r w:rsidRPr="00F32E3B">
        <w:rPr>
          <w:rFonts w:eastAsia="Calibri" w:cs="Times New Roman"/>
          <w:szCs w:val="24"/>
          <w:lang w:val="sq-AL"/>
        </w:rPr>
        <w:t>N</w:t>
      </w:r>
      <w:r w:rsidR="005D4962">
        <w:rPr>
          <w:rFonts w:eastAsia="Calibri" w:cs="Times New Roman"/>
          <w:szCs w:val="24"/>
          <w:lang w:val="sq-AL"/>
        </w:rPr>
        <w:t>ë</w:t>
      </w:r>
      <w:r w:rsidRPr="00F32E3B">
        <w:rPr>
          <w:rFonts w:eastAsia="Calibri" w:cs="Times New Roman"/>
          <w:szCs w:val="24"/>
          <w:lang w:val="sq-AL"/>
        </w:rPr>
        <w:t xml:space="preserve"> kuadër  t</w:t>
      </w:r>
      <w:r w:rsidR="008C5FE3">
        <w:rPr>
          <w:rFonts w:eastAsia="Calibri" w:cs="Times New Roman"/>
          <w:szCs w:val="24"/>
          <w:lang w:val="sq-AL"/>
        </w:rPr>
        <w:t>ë</w:t>
      </w:r>
      <w:r w:rsidRPr="00F32E3B">
        <w:rPr>
          <w:rFonts w:eastAsia="Calibri" w:cs="Times New Roman"/>
          <w:szCs w:val="24"/>
          <w:lang w:val="sq-AL"/>
        </w:rPr>
        <w:t xml:space="preserve"> nd</w:t>
      </w:r>
      <w:r w:rsidRPr="00F32E3B">
        <w:rPr>
          <w:rFonts w:eastAsia="Calibri" w:cs="Times New Roman"/>
          <w:szCs w:val="24"/>
          <w:lang w:val="sq-AL" w:eastAsia="sq-AL"/>
        </w:rPr>
        <w:t>ë</w:t>
      </w:r>
      <w:r w:rsidRPr="00F32E3B">
        <w:rPr>
          <w:rFonts w:eastAsia="Calibri" w:cs="Times New Roman"/>
          <w:szCs w:val="24"/>
          <w:lang w:val="sq-AL"/>
        </w:rPr>
        <w:t>rgjegj</w:t>
      </w:r>
      <w:r w:rsidRPr="00F32E3B">
        <w:rPr>
          <w:rFonts w:eastAsia="Calibri" w:cs="Times New Roman"/>
          <w:szCs w:val="24"/>
          <w:lang w:val="sq-AL" w:eastAsia="sq-AL"/>
        </w:rPr>
        <w:t>ë</w:t>
      </w:r>
      <w:r w:rsidRPr="00F32E3B">
        <w:rPr>
          <w:rFonts w:eastAsia="Calibri" w:cs="Times New Roman"/>
          <w:szCs w:val="24"/>
          <w:lang w:val="sq-AL"/>
        </w:rPr>
        <w:t>simit publik mbi sigurin</w:t>
      </w:r>
      <w:r w:rsidRPr="00F32E3B">
        <w:rPr>
          <w:rFonts w:eastAsia="Calibri" w:cs="Times New Roman"/>
          <w:szCs w:val="24"/>
          <w:lang w:val="sq-AL" w:eastAsia="sq-AL"/>
        </w:rPr>
        <w:t>ë</w:t>
      </w:r>
      <w:r w:rsidRPr="00F32E3B">
        <w:rPr>
          <w:rFonts w:eastAsia="Calibri" w:cs="Times New Roman"/>
          <w:szCs w:val="24"/>
          <w:lang w:val="sq-AL"/>
        </w:rPr>
        <w:t xml:space="preserve"> ushqimore AKU n</w:t>
      </w:r>
      <w:r w:rsidR="008C5FE3">
        <w:rPr>
          <w:rFonts w:eastAsia="Calibri" w:cs="Times New Roman"/>
          <w:szCs w:val="24"/>
          <w:lang w:val="sq-AL"/>
        </w:rPr>
        <w:t>ë</w:t>
      </w:r>
      <w:r w:rsidRPr="00F32E3B">
        <w:rPr>
          <w:rFonts w:eastAsia="Calibri" w:cs="Times New Roman"/>
          <w:szCs w:val="24"/>
          <w:lang w:val="sq-AL"/>
        </w:rPr>
        <w:t xml:space="preserve"> bashkëpunim me projektin Irlandez t</w:t>
      </w:r>
      <w:r w:rsidR="008C5FE3">
        <w:rPr>
          <w:rFonts w:eastAsia="Calibri" w:cs="Times New Roman"/>
          <w:szCs w:val="24"/>
          <w:lang w:val="sq-AL"/>
        </w:rPr>
        <w:t>ë</w:t>
      </w:r>
      <w:r w:rsidRPr="00F32E3B">
        <w:rPr>
          <w:rFonts w:eastAsia="Calibri" w:cs="Times New Roman"/>
          <w:szCs w:val="24"/>
          <w:lang w:val="sq-AL"/>
        </w:rPr>
        <w:t xml:space="preserve"> sigurisë ushqimore dhe veterinarisë  ka mundësuar realizimin e disa publikimeve dhe aktivitete p</w:t>
      </w:r>
      <w:r w:rsidRPr="00F32E3B">
        <w:rPr>
          <w:rFonts w:eastAsia="Calibri" w:cs="Times New Roman"/>
          <w:szCs w:val="24"/>
          <w:lang w:val="sq-AL" w:eastAsia="sq-AL"/>
        </w:rPr>
        <w:t>ë</w:t>
      </w:r>
      <w:r w:rsidRPr="00F32E3B">
        <w:rPr>
          <w:rFonts w:eastAsia="Calibri" w:cs="Times New Roman"/>
          <w:szCs w:val="24"/>
          <w:lang w:val="sq-AL"/>
        </w:rPr>
        <w:t>r orientime t</w:t>
      </w:r>
      <w:r w:rsidRPr="00F32E3B">
        <w:rPr>
          <w:rFonts w:eastAsia="Calibri" w:cs="Times New Roman"/>
          <w:szCs w:val="24"/>
          <w:lang w:val="sq-AL" w:eastAsia="sq-AL"/>
        </w:rPr>
        <w:t>ë</w:t>
      </w:r>
      <w:r w:rsidRPr="00F32E3B">
        <w:rPr>
          <w:rFonts w:eastAsia="Calibri" w:cs="Times New Roman"/>
          <w:szCs w:val="24"/>
          <w:lang w:val="sq-AL"/>
        </w:rPr>
        <w:t xml:space="preserve"> biznesit, konsumator</w:t>
      </w:r>
      <w:r w:rsidRPr="00F32E3B">
        <w:rPr>
          <w:rFonts w:eastAsia="Calibri" w:cs="Times New Roman"/>
          <w:szCs w:val="24"/>
          <w:lang w:val="sq-AL" w:eastAsia="sq-AL"/>
        </w:rPr>
        <w:t>ë</w:t>
      </w:r>
      <w:r w:rsidRPr="00F32E3B">
        <w:rPr>
          <w:rFonts w:eastAsia="Calibri" w:cs="Times New Roman"/>
          <w:szCs w:val="24"/>
          <w:lang w:val="sq-AL"/>
        </w:rPr>
        <w:t>ve dhe publikut t</w:t>
      </w:r>
      <w:r w:rsidRPr="00F32E3B">
        <w:rPr>
          <w:rFonts w:eastAsia="Calibri" w:cs="Times New Roman"/>
          <w:szCs w:val="24"/>
          <w:lang w:val="sq-AL" w:eastAsia="sq-AL"/>
        </w:rPr>
        <w:t>ë</w:t>
      </w:r>
      <w:r w:rsidRPr="00F32E3B">
        <w:rPr>
          <w:rFonts w:eastAsia="Calibri" w:cs="Times New Roman"/>
          <w:szCs w:val="24"/>
          <w:lang w:val="sq-AL"/>
        </w:rPr>
        <w:t xml:space="preserve"> gjer</w:t>
      </w:r>
      <w:r w:rsidRPr="00F32E3B">
        <w:rPr>
          <w:rFonts w:eastAsia="Calibri" w:cs="Times New Roman"/>
          <w:szCs w:val="24"/>
          <w:lang w:val="sq-AL" w:eastAsia="sq-AL"/>
        </w:rPr>
        <w:t>ë</w:t>
      </w:r>
      <w:r w:rsidRPr="00F32E3B">
        <w:rPr>
          <w:rFonts w:eastAsia="Calibri" w:cs="Times New Roman"/>
          <w:szCs w:val="24"/>
          <w:lang w:val="sq-AL"/>
        </w:rPr>
        <w:t xml:space="preserve"> dhe konkretisht:</w:t>
      </w:r>
    </w:p>
    <w:p w14:paraId="54330C14" w14:textId="77777777" w:rsidR="006C7ACC" w:rsidRPr="008C5FE3" w:rsidRDefault="006C7ACC" w:rsidP="00623352">
      <w:pPr>
        <w:pStyle w:val="ListParagraph"/>
        <w:numPr>
          <w:ilvl w:val="0"/>
          <w:numId w:val="20"/>
        </w:numPr>
        <w:spacing w:line="240" w:lineRule="auto"/>
        <w:ind w:left="360"/>
        <w:jc w:val="both"/>
        <w:rPr>
          <w:rFonts w:eastAsia="Times New Roman" w:cs="Times New Roman"/>
          <w:szCs w:val="24"/>
          <w:lang w:val="sq-AL"/>
        </w:rPr>
      </w:pPr>
      <w:r w:rsidRPr="008C5FE3">
        <w:rPr>
          <w:rFonts w:eastAsia="Calibri" w:cs="Times New Roman"/>
          <w:szCs w:val="24"/>
          <w:lang w:val="sq-AL"/>
        </w:rPr>
        <w:t xml:space="preserve">Udhëzuesi - </w:t>
      </w:r>
      <w:r w:rsidRPr="008C5FE3">
        <w:rPr>
          <w:rFonts w:eastAsia="Times New Roman" w:cs="Times New Roman"/>
          <w:szCs w:val="24"/>
          <w:lang w:val="sq-AL"/>
        </w:rPr>
        <w:t xml:space="preserve">Udhëzues për sigurinë ushqimore Broshura “Ushqim i Sigurt në Lëvizje”. </w:t>
      </w:r>
    </w:p>
    <w:p w14:paraId="45634F8E" w14:textId="28CA7AC5" w:rsidR="006C7ACC" w:rsidRPr="008C5FE3" w:rsidRDefault="008C5FE3" w:rsidP="00623352">
      <w:pPr>
        <w:pStyle w:val="ListParagraph"/>
        <w:numPr>
          <w:ilvl w:val="0"/>
          <w:numId w:val="20"/>
        </w:numPr>
        <w:spacing w:line="240" w:lineRule="auto"/>
        <w:ind w:left="360"/>
        <w:jc w:val="both"/>
        <w:rPr>
          <w:rFonts w:eastAsia="Times New Roman" w:cs="Times New Roman"/>
          <w:szCs w:val="24"/>
          <w:lang w:val="sq-AL"/>
        </w:rPr>
      </w:pPr>
      <w:r w:rsidRPr="008C5FE3">
        <w:rPr>
          <w:rFonts w:eastAsia="Times New Roman" w:cs="Times New Roman"/>
          <w:bCs/>
          <w:szCs w:val="24"/>
          <w:lang w:val="sq-AL" w:eastAsia="en-GB"/>
        </w:rPr>
        <w:t>B</w:t>
      </w:r>
      <w:r w:rsidR="006C7ACC" w:rsidRPr="008C5FE3">
        <w:rPr>
          <w:rFonts w:eastAsia="Times New Roman" w:cs="Times New Roman"/>
          <w:bCs/>
          <w:szCs w:val="24"/>
          <w:lang w:val="sq-AL" w:eastAsia="en-GB"/>
        </w:rPr>
        <w:t>roshura</w:t>
      </w:r>
      <w:r w:rsidR="006C7ACC" w:rsidRPr="008C5FE3">
        <w:rPr>
          <w:rFonts w:eastAsia="Times New Roman" w:cs="Times New Roman"/>
          <w:b/>
          <w:bCs/>
          <w:szCs w:val="24"/>
          <w:lang w:val="sq-AL" w:eastAsia="en-GB"/>
        </w:rPr>
        <w:t xml:space="preserve"> “</w:t>
      </w:r>
      <w:r w:rsidR="006C7ACC" w:rsidRPr="008C5FE3">
        <w:rPr>
          <w:rFonts w:eastAsia="Times New Roman" w:cs="Times New Roman"/>
          <w:bCs/>
          <w:szCs w:val="24"/>
          <w:lang w:val="sq-AL" w:eastAsia="en-GB"/>
        </w:rPr>
        <w:t>Trajtimi dhe Shërbimi i Sigurt i Akullores”.</w:t>
      </w:r>
    </w:p>
    <w:p w14:paraId="0DEFD0D5" w14:textId="77777777" w:rsidR="006C7ACC" w:rsidRPr="008C5FE3" w:rsidRDefault="006C7ACC" w:rsidP="00623352">
      <w:pPr>
        <w:pStyle w:val="ListParagraph"/>
        <w:numPr>
          <w:ilvl w:val="0"/>
          <w:numId w:val="20"/>
        </w:numPr>
        <w:spacing w:line="240" w:lineRule="auto"/>
        <w:ind w:left="360"/>
        <w:jc w:val="both"/>
        <w:rPr>
          <w:rFonts w:eastAsia="Times New Roman" w:cs="Times New Roman"/>
          <w:szCs w:val="24"/>
          <w:lang w:val="sq-AL"/>
        </w:rPr>
      </w:pPr>
      <w:r w:rsidRPr="008C5FE3">
        <w:rPr>
          <w:rFonts w:eastAsia="Calibri" w:cs="Times New Roman"/>
          <w:szCs w:val="24"/>
          <w:lang w:val="sq-AL"/>
        </w:rPr>
        <w:t>Publikimin e Pyetjeve më të Shpeshta për etiketimin e produkteve ushqimore.</w:t>
      </w:r>
    </w:p>
    <w:p w14:paraId="442B317A" w14:textId="32DD01DD" w:rsidR="006C7ACC" w:rsidRPr="00BD5B8A" w:rsidRDefault="006C7ACC" w:rsidP="00623352">
      <w:pPr>
        <w:pStyle w:val="ListParagraph"/>
        <w:numPr>
          <w:ilvl w:val="0"/>
          <w:numId w:val="20"/>
        </w:numPr>
        <w:spacing w:line="240" w:lineRule="auto"/>
        <w:ind w:left="360"/>
        <w:jc w:val="both"/>
        <w:rPr>
          <w:rFonts w:eastAsia="Times New Roman" w:cs="Times New Roman"/>
          <w:szCs w:val="24"/>
          <w:lang w:val="sq-AL"/>
        </w:rPr>
      </w:pPr>
      <w:r w:rsidRPr="00BD5B8A">
        <w:rPr>
          <w:rFonts w:eastAsia="Calibri" w:cs="Times New Roman"/>
          <w:szCs w:val="24"/>
          <w:lang w:val="sq-AL"/>
        </w:rPr>
        <w:t>Fushat</w:t>
      </w:r>
      <w:r w:rsidRPr="00BD5B8A">
        <w:rPr>
          <w:rFonts w:eastAsia="Times New Roman" w:cs="Times New Roman"/>
          <w:szCs w:val="24"/>
          <w:lang w:val="sq-AL"/>
        </w:rPr>
        <w:t>ë ndërgjegjësimi n</w:t>
      </w:r>
      <w:r w:rsidRPr="00BD5B8A">
        <w:rPr>
          <w:rFonts w:eastAsia="Calibri" w:cs="Times New Roman"/>
          <w:szCs w:val="24"/>
          <w:lang w:val="sq-AL"/>
        </w:rPr>
        <w:t>ë</w:t>
      </w:r>
      <w:r w:rsidRPr="00BD5B8A">
        <w:rPr>
          <w:rFonts w:eastAsia="Times New Roman" w:cs="Times New Roman"/>
          <w:szCs w:val="24"/>
          <w:lang w:val="sq-AL"/>
        </w:rPr>
        <w:t>p</w:t>
      </w:r>
      <w:r w:rsidRPr="00BD5B8A">
        <w:rPr>
          <w:rFonts w:eastAsia="Calibri" w:cs="Times New Roman"/>
          <w:szCs w:val="24"/>
          <w:lang w:val="sq-AL"/>
        </w:rPr>
        <w:t>ë</w:t>
      </w:r>
      <w:r w:rsidRPr="00BD5B8A">
        <w:rPr>
          <w:rFonts w:eastAsia="Times New Roman" w:cs="Times New Roman"/>
          <w:szCs w:val="24"/>
          <w:lang w:val="sq-AL"/>
        </w:rPr>
        <w:t>rmjet realizimit t</w:t>
      </w:r>
      <w:r w:rsidRPr="00BD5B8A">
        <w:rPr>
          <w:rFonts w:eastAsia="Calibri" w:cs="Times New Roman"/>
          <w:szCs w:val="24"/>
          <w:lang w:val="sq-AL"/>
        </w:rPr>
        <w:t>ë</w:t>
      </w:r>
      <w:r w:rsidRPr="00BD5B8A">
        <w:rPr>
          <w:rFonts w:eastAsia="Times New Roman" w:cs="Times New Roman"/>
          <w:szCs w:val="24"/>
          <w:lang w:val="sq-AL"/>
        </w:rPr>
        <w:t xml:space="preserve"> broshurës “Etiketimi i produkteve t</w:t>
      </w:r>
      <w:r w:rsidRPr="00BD5B8A">
        <w:rPr>
          <w:rFonts w:eastAsia="Calibri" w:cs="Times New Roman"/>
          <w:szCs w:val="24"/>
          <w:lang w:val="sq-AL"/>
        </w:rPr>
        <w:t>ë</w:t>
      </w:r>
      <w:r w:rsidR="00BD5B8A" w:rsidRPr="00BD5B8A">
        <w:rPr>
          <w:rFonts w:eastAsia="Calibri" w:cs="Times New Roman"/>
          <w:szCs w:val="24"/>
          <w:lang w:val="sq-AL"/>
        </w:rPr>
        <w:t xml:space="preserve"> </w:t>
      </w:r>
      <w:r w:rsidRPr="00BD5B8A">
        <w:rPr>
          <w:rFonts w:eastAsia="Times New Roman" w:cs="Times New Roman"/>
          <w:szCs w:val="24"/>
          <w:lang w:val="sq-AL"/>
        </w:rPr>
        <w:t>paketuara”, fushatë e ndar</w:t>
      </w:r>
      <w:r w:rsidRPr="00BD5B8A">
        <w:rPr>
          <w:rFonts w:eastAsia="Calibri" w:cs="Times New Roman"/>
          <w:szCs w:val="24"/>
          <w:lang w:val="sq-AL"/>
        </w:rPr>
        <w:t>ë</w:t>
      </w:r>
      <w:r w:rsidRPr="00BD5B8A">
        <w:rPr>
          <w:rFonts w:eastAsia="Times New Roman" w:cs="Times New Roman"/>
          <w:szCs w:val="24"/>
          <w:lang w:val="sq-AL"/>
        </w:rPr>
        <w:t xml:space="preserve"> n</w:t>
      </w:r>
      <w:r w:rsidRPr="00BD5B8A">
        <w:rPr>
          <w:rFonts w:eastAsia="Calibri" w:cs="Times New Roman"/>
          <w:szCs w:val="24"/>
          <w:lang w:val="sq-AL"/>
        </w:rPr>
        <w:t>ë</w:t>
      </w:r>
      <w:r w:rsidRPr="00BD5B8A">
        <w:rPr>
          <w:rFonts w:eastAsia="Times New Roman" w:cs="Times New Roman"/>
          <w:szCs w:val="24"/>
          <w:lang w:val="sq-AL"/>
        </w:rPr>
        <w:t xml:space="preserve"> disa faza</w:t>
      </w:r>
      <w:r w:rsidR="008C5FE3" w:rsidRPr="00BD5B8A">
        <w:rPr>
          <w:rFonts w:eastAsia="Times New Roman" w:cs="Times New Roman"/>
          <w:szCs w:val="24"/>
          <w:lang w:val="sq-AL"/>
        </w:rPr>
        <w:t>.</w:t>
      </w:r>
    </w:p>
    <w:p w14:paraId="4815F4B4" w14:textId="49B06883" w:rsidR="006C7ACC" w:rsidRPr="00BD5B8A" w:rsidRDefault="006C7ACC" w:rsidP="00623352">
      <w:pPr>
        <w:pStyle w:val="ListParagraph"/>
        <w:numPr>
          <w:ilvl w:val="0"/>
          <w:numId w:val="21"/>
        </w:numPr>
        <w:spacing w:after="0" w:line="240" w:lineRule="auto"/>
        <w:ind w:left="360"/>
        <w:jc w:val="both"/>
        <w:rPr>
          <w:rFonts w:cs="Times New Roman"/>
          <w:bCs/>
          <w:szCs w:val="24"/>
          <w:lang w:val="sq-AL"/>
        </w:rPr>
      </w:pPr>
      <w:r w:rsidRPr="00BD5B8A">
        <w:rPr>
          <w:rFonts w:eastAsia="Calibri" w:cs="Times New Roman"/>
          <w:szCs w:val="24"/>
          <w:lang w:val="sq-AL"/>
        </w:rPr>
        <w:t>Gjithashtu</w:t>
      </w:r>
      <w:r w:rsidR="00BD5B8A" w:rsidRPr="00BD5B8A">
        <w:rPr>
          <w:rFonts w:eastAsia="Calibri" w:cs="Times New Roman"/>
          <w:szCs w:val="24"/>
          <w:lang w:val="sq-AL"/>
        </w:rPr>
        <w:t>,</w:t>
      </w:r>
      <w:r w:rsidRPr="00BD5B8A">
        <w:rPr>
          <w:rFonts w:eastAsia="Calibri" w:cs="Times New Roman"/>
          <w:szCs w:val="24"/>
          <w:lang w:val="sq-AL"/>
        </w:rPr>
        <w:t xml:space="preserve"> është mund</w:t>
      </w:r>
      <w:r w:rsidRPr="00BD5B8A">
        <w:rPr>
          <w:rFonts w:eastAsia="Calibri" w:cs="Times New Roman"/>
          <w:szCs w:val="24"/>
          <w:lang w:val="sq-AL" w:eastAsia="sq-AL"/>
        </w:rPr>
        <w:t>ë</w:t>
      </w:r>
      <w:r w:rsidRPr="00BD5B8A">
        <w:rPr>
          <w:rFonts w:eastAsia="Calibri" w:cs="Times New Roman"/>
          <w:szCs w:val="24"/>
          <w:lang w:val="sq-AL"/>
        </w:rPr>
        <w:t>suar fushata e ndërgjegjësimit</w:t>
      </w:r>
      <w:r w:rsidRPr="00BD5B8A">
        <w:rPr>
          <w:rFonts w:cs="Times New Roman"/>
          <w:bCs/>
          <w:szCs w:val="24"/>
          <w:lang w:val="sq-AL"/>
        </w:rPr>
        <w:t xml:space="preserve"> për konsumatorin me sloganin:</w:t>
      </w:r>
      <w:r w:rsidR="00BD5B8A" w:rsidRPr="00BD5B8A">
        <w:rPr>
          <w:rFonts w:cs="Times New Roman"/>
          <w:bCs/>
          <w:szCs w:val="24"/>
          <w:lang w:val="sq-AL"/>
        </w:rPr>
        <w:t xml:space="preserve"> </w:t>
      </w:r>
      <w:r w:rsidRPr="00BD5B8A">
        <w:rPr>
          <w:rFonts w:cs="Times New Roman"/>
          <w:b/>
          <w:bCs/>
          <w:i/>
          <w:szCs w:val="24"/>
          <w:lang w:val="sq-AL"/>
        </w:rPr>
        <w:t>“Mëso të Lexosh Ushqimin Tënd”</w:t>
      </w:r>
      <w:r w:rsidRPr="00BD5B8A">
        <w:rPr>
          <w:rFonts w:cs="Times New Roman"/>
          <w:bCs/>
          <w:szCs w:val="24"/>
          <w:lang w:val="sq-AL"/>
        </w:rPr>
        <w:t>, në bashkëpunim me Ministrinë e Bujqësisë dhe Zhvillimit Rural dhe Projektit për Sigurinë Ushqimore. P</w:t>
      </w:r>
      <w:r w:rsidRPr="00BD5B8A">
        <w:rPr>
          <w:rFonts w:eastAsia="Calibri" w:cs="Times New Roman"/>
          <w:szCs w:val="24"/>
          <w:lang w:val="sq-AL"/>
        </w:rPr>
        <w:t>ë</w:t>
      </w:r>
      <w:r w:rsidRPr="00BD5B8A">
        <w:rPr>
          <w:rFonts w:cs="Times New Roman"/>
          <w:bCs/>
          <w:szCs w:val="24"/>
          <w:lang w:val="sq-AL"/>
        </w:rPr>
        <w:t>r k</w:t>
      </w:r>
      <w:r w:rsidRPr="00BD5B8A">
        <w:rPr>
          <w:rFonts w:eastAsia="Calibri" w:cs="Times New Roman"/>
          <w:szCs w:val="24"/>
          <w:lang w:val="sq-AL"/>
        </w:rPr>
        <w:t>ë</w:t>
      </w:r>
      <w:r w:rsidRPr="00BD5B8A">
        <w:rPr>
          <w:rFonts w:cs="Times New Roman"/>
          <w:bCs/>
          <w:szCs w:val="24"/>
          <w:lang w:val="sq-AL"/>
        </w:rPr>
        <w:t>t</w:t>
      </w:r>
      <w:r w:rsidRPr="00BD5B8A">
        <w:rPr>
          <w:rFonts w:eastAsia="Calibri" w:cs="Times New Roman"/>
          <w:szCs w:val="24"/>
          <w:lang w:val="sq-AL"/>
        </w:rPr>
        <w:t>ë</w:t>
      </w:r>
      <w:r w:rsidRPr="00BD5B8A">
        <w:rPr>
          <w:rFonts w:cs="Times New Roman"/>
          <w:bCs/>
          <w:szCs w:val="24"/>
          <w:lang w:val="sq-AL"/>
        </w:rPr>
        <w:t xml:space="preserve"> fushat</w:t>
      </w:r>
      <w:r w:rsidRPr="00BD5B8A">
        <w:rPr>
          <w:rFonts w:eastAsia="Calibri" w:cs="Times New Roman"/>
          <w:szCs w:val="24"/>
          <w:lang w:val="sq-AL"/>
        </w:rPr>
        <w:t xml:space="preserve">ë </w:t>
      </w:r>
      <w:r w:rsidRPr="00BD5B8A">
        <w:rPr>
          <w:rFonts w:cs="Times New Roman"/>
          <w:bCs/>
          <w:szCs w:val="24"/>
          <w:lang w:val="sq-AL"/>
        </w:rPr>
        <w:t>nd</w:t>
      </w:r>
      <w:r w:rsidRPr="00BD5B8A">
        <w:rPr>
          <w:rFonts w:eastAsia="Calibri" w:cs="Times New Roman"/>
          <w:szCs w:val="24"/>
          <w:lang w:val="sq-AL"/>
        </w:rPr>
        <w:t>ë</w:t>
      </w:r>
      <w:r w:rsidRPr="00BD5B8A">
        <w:rPr>
          <w:rFonts w:cs="Times New Roman"/>
          <w:bCs/>
          <w:szCs w:val="24"/>
          <w:lang w:val="sq-AL"/>
        </w:rPr>
        <w:t>rgjegj</w:t>
      </w:r>
      <w:r w:rsidRPr="00BD5B8A">
        <w:rPr>
          <w:rFonts w:eastAsia="Calibri" w:cs="Times New Roman"/>
          <w:szCs w:val="24"/>
          <w:lang w:val="sq-AL"/>
        </w:rPr>
        <w:t>ë</w:t>
      </w:r>
      <w:r w:rsidRPr="00BD5B8A">
        <w:rPr>
          <w:rFonts w:cs="Times New Roman"/>
          <w:bCs/>
          <w:szCs w:val="24"/>
          <w:lang w:val="sq-AL"/>
        </w:rPr>
        <w:t>suese u realizua edhe nj</w:t>
      </w:r>
      <w:r w:rsidR="008C5FE3" w:rsidRPr="00BD5B8A">
        <w:rPr>
          <w:rFonts w:cs="Times New Roman"/>
          <w:bCs/>
          <w:szCs w:val="24"/>
          <w:lang w:val="sq-AL"/>
        </w:rPr>
        <w:t>ë</w:t>
      </w:r>
      <w:r w:rsidRPr="00BD5B8A">
        <w:rPr>
          <w:rFonts w:cs="Times New Roman"/>
          <w:bCs/>
          <w:szCs w:val="24"/>
          <w:lang w:val="sq-AL"/>
        </w:rPr>
        <w:t xml:space="preserve"> </w:t>
      </w:r>
      <w:r w:rsidRPr="00BD5B8A">
        <w:rPr>
          <w:rFonts w:eastAsia="Calibri" w:cs="Times New Roman"/>
          <w:szCs w:val="24"/>
          <w:lang w:val="sq-AL"/>
        </w:rPr>
        <w:t xml:space="preserve">spot televiziv dhe postera informues.  </w:t>
      </w:r>
      <w:r w:rsidRPr="00BD5B8A">
        <w:rPr>
          <w:rFonts w:cs="Times New Roman"/>
          <w:bCs/>
          <w:szCs w:val="24"/>
          <w:lang w:val="sq-AL"/>
        </w:rPr>
        <w:t>Fushata përfshiu një partneritet edhe më të gjerë me rrjetet e mirënjohura të supermarketeve shqiptare, përmes afishimit të posterave, me informacion të detajuar për t’i dhënë konsumatorëve informacionin e duhur mbi elementët kryesor</w:t>
      </w:r>
      <w:r w:rsidR="008C5FE3" w:rsidRPr="00BD5B8A">
        <w:rPr>
          <w:rFonts w:cs="Times New Roman"/>
          <w:bCs/>
          <w:szCs w:val="24"/>
          <w:lang w:val="sq-AL"/>
        </w:rPr>
        <w:t>ë</w:t>
      </w:r>
      <w:r w:rsidRPr="00BD5B8A">
        <w:rPr>
          <w:rFonts w:cs="Times New Roman"/>
          <w:bCs/>
          <w:szCs w:val="24"/>
          <w:lang w:val="sq-AL"/>
        </w:rPr>
        <w:t xml:space="preserve"> të etiketave, duke i ndihmuar ata të bëjnë zgjedhjet e duhura të produkteve ushqimore.</w:t>
      </w:r>
    </w:p>
    <w:p w14:paraId="0D598000" w14:textId="25EDC88B" w:rsidR="006C7ACC" w:rsidRDefault="006C7ACC" w:rsidP="009475CC">
      <w:pPr>
        <w:spacing w:after="0" w:line="240" w:lineRule="auto"/>
        <w:jc w:val="both"/>
        <w:rPr>
          <w:rFonts w:cs="Times New Roman"/>
          <w:i/>
          <w:szCs w:val="24"/>
        </w:rPr>
      </w:pPr>
      <w:r w:rsidRPr="00F32E3B">
        <w:rPr>
          <w:rFonts w:cs="Times New Roman"/>
          <w:bCs/>
          <w:szCs w:val="24"/>
          <w:lang w:val="sq-AL"/>
        </w:rPr>
        <w:lastRenderedPageBreak/>
        <w:t>N</w:t>
      </w:r>
      <w:r w:rsidRPr="00F32E3B">
        <w:rPr>
          <w:rFonts w:eastAsia="Calibri" w:cs="Times New Roman"/>
          <w:szCs w:val="24"/>
          <w:lang w:val="sq-AL"/>
        </w:rPr>
        <w:t>ë</w:t>
      </w:r>
      <w:r w:rsidRPr="00F32E3B">
        <w:rPr>
          <w:rFonts w:cs="Times New Roman"/>
          <w:bCs/>
          <w:szCs w:val="24"/>
          <w:lang w:val="sq-AL"/>
        </w:rPr>
        <w:t xml:space="preserve"> vijim t</w:t>
      </w:r>
      <w:r w:rsidRPr="00F32E3B">
        <w:rPr>
          <w:rFonts w:eastAsia="Calibri" w:cs="Times New Roman"/>
          <w:szCs w:val="24"/>
          <w:lang w:val="sq-AL"/>
        </w:rPr>
        <w:t>ë</w:t>
      </w:r>
      <w:r w:rsidRPr="00F32E3B">
        <w:rPr>
          <w:rFonts w:cs="Times New Roman"/>
          <w:bCs/>
          <w:szCs w:val="24"/>
          <w:lang w:val="sq-AL"/>
        </w:rPr>
        <w:t xml:space="preserve"> fushat</w:t>
      </w:r>
      <w:r w:rsidRPr="00F32E3B">
        <w:rPr>
          <w:rFonts w:eastAsia="Calibri" w:cs="Times New Roman"/>
          <w:szCs w:val="24"/>
          <w:lang w:val="sq-AL"/>
        </w:rPr>
        <w:t>ë</w:t>
      </w:r>
      <w:r w:rsidRPr="00F32E3B">
        <w:rPr>
          <w:rFonts w:cs="Times New Roman"/>
          <w:bCs/>
          <w:szCs w:val="24"/>
          <w:lang w:val="sq-AL"/>
        </w:rPr>
        <w:t>s nd</w:t>
      </w:r>
      <w:r w:rsidRPr="00F32E3B">
        <w:rPr>
          <w:rFonts w:eastAsia="Calibri" w:cs="Times New Roman"/>
          <w:szCs w:val="24"/>
          <w:lang w:val="sq-AL"/>
        </w:rPr>
        <w:t>ë</w:t>
      </w:r>
      <w:r w:rsidRPr="00F32E3B">
        <w:rPr>
          <w:rFonts w:cs="Times New Roman"/>
          <w:bCs/>
          <w:szCs w:val="24"/>
          <w:lang w:val="sq-AL"/>
        </w:rPr>
        <w:t>rgjegj</w:t>
      </w:r>
      <w:r w:rsidRPr="00F32E3B">
        <w:rPr>
          <w:rFonts w:eastAsia="Calibri" w:cs="Times New Roman"/>
          <w:szCs w:val="24"/>
          <w:lang w:val="sq-AL"/>
        </w:rPr>
        <w:t>ë</w:t>
      </w:r>
      <w:r w:rsidRPr="00F32E3B">
        <w:rPr>
          <w:rFonts w:cs="Times New Roman"/>
          <w:bCs/>
          <w:szCs w:val="24"/>
          <w:lang w:val="sq-AL"/>
        </w:rPr>
        <w:t>suese, u realizua aktiviteti n</w:t>
      </w:r>
      <w:r w:rsidRPr="00F32E3B">
        <w:rPr>
          <w:rFonts w:eastAsia="Calibri" w:cs="Times New Roman"/>
          <w:szCs w:val="24"/>
          <w:lang w:val="sq-AL"/>
        </w:rPr>
        <w:t>ë</w:t>
      </w:r>
      <w:r w:rsidRPr="00F32E3B">
        <w:rPr>
          <w:rFonts w:cs="Times New Roman"/>
          <w:bCs/>
          <w:szCs w:val="24"/>
          <w:lang w:val="sq-AL"/>
        </w:rPr>
        <w:t xml:space="preserve"> bashk</w:t>
      </w:r>
      <w:r w:rsidRPr="00F32E3B">
        <w:rPr>
          <w:rFonts w:eastAsia="Calibri" w:cs="Times New Roman"/>
          <w:szCs w:val="24"/>
          <w:lang w:val="sq-AL"/>
        </w:rPr>
        <w:t>ë</w:t>
      </w:r>
      <w:r w:rsidRPr="00F32E3B">
        <w:rPr>
          <w:rFonts w:cs="Times New Roman"/>
          <w:bCs/>
          <w:szCs w:val="24"/>
          <w:lang w:val="sq-AL"/>
        </w:rPr>
        <w:t xml:space="preserve">punim me </w:t>
      </w:r>
      <w:r w:rsidRPr="00F32E3B">
        <w:rPr>
          <w:rFonts w:cs="Times New Roman"/>
          <w:szCs w:val="24"/>
          <w:lang w:val="sq-AL"/>
        </w:rPr>
        <w:t>organizat</w:t>
      </w:r>
      <w:r w:rsidRPr="00F32E3B">
        <w:rPr>
          <w:rFonts w:eastAsia="Calibri" w:cs="Times New Roman"/>
          <w:szCs w:val="24"/>
          <w:lang w:val="sq-AL"/>
        </w:rPr>
        <w:t>ë</w:t>
      </w:r>
      <w:r w:rsidRPr="00F32E3B">
        <w:rPr>
          <w:rFonts w:cs="Times New Roman"/>
          <w:szCs w:val="24"/>
          <w:lang w:val="sq-AL"/>
        </w:rPr>
        <w:t>n Albanian Skills (e mund</w:t>
      </w:r>
      <w:r w:rsidRPr="00F32E3B">
        <w:rPr>
          <w:rFonts w:eastAsia="Calibri" w:cs="Times New Roman"/>
          <w:szCs w:val="24"/>
          <w:lang w:val="sq-AL"/>
        </w:rPr>
        <w:t>ë</w:t>
      </w:r>
      <w:r w:rsidRPr="00F32E3B">
        <w:rPr>
          <w:rFonts w:cs="Times New Roman"/>
          <w:szCs w:val="24"/>
          <w:lang w:val="sq-AL"/>
        </w:rPr>
        <w:t>suar nga Projekti i Siguris</w:t>
      </w:r>
      <w:r w:rsidRPr="00F32E3B">
        <w:rPr>
          <w:rFonts w:eastAsia="Calibri" w:cs="Times New Roman"/>
          <w:szCs w:val="24"/>
          <w:lang w:val="sq-AL"/>
        </w:rPr>
        <w:t>ë</w:t>
      </w:r>
      <w:r w:rsidRPr="00F32E3B">
        <w:rPr>
          <w:rFonts w:cs="Times New Roman"/>
          <w:szCs w:val="24"/>
          <w:lang w:val="sq-AL"/>
        </w:rPr>
        <w:t xml:space="preserve"> Ushqimore dhe Veterinaris</w:t>
      </w:r>
      <w:r w:rsidRPr="00F32E3B">
        <w:rPr>
          <w:rFonts w:eastAsia="Calibri" w:cs="Times New Roman"/>
          <w:szCs w:val="24"/>
          <w:lang w:val="sq-AL"/>
        </w:rPr>
        <w:t>ë</w:t>
      </w:r>
      <w:r w:rsidRPr="00F32E3B">
        <w:rPr>
          <w:rFonts w:cs="Times New Roman"/>
          <w:szCs w:val="24"/>
          <w:lang w:val="sq-AL"/>
        </w:rPr>
        <w:t xml:space="preserve">). </w:t>
      </w:r>
      <w:r w:rsidRPr="00F32E3B">
        <w:rPr>
          <w:rFonts w:cs="Times New Roman"/>
          <w:i/>
          <w:szCs w:val="24"/>
          <w:lang w:val="sq-AL"/>
        </w:rPr>
        <w:t>Sfid</w:t>
      </w:r>
      <w:r w:rsidR="008C5FE3">
        <w:rPr>
          <w:rFonts w:cs="Times New Roman"/>
          <w:i/>
          <w:szCs w:val="24"/>
          <w:lang w:val="sq-AL"/>
        </w:rPr>
        <w:t>ë</w:t>
      </w:r>
      <w:r w:rsidRPr="00F32E3B">
        <w:rPr>
          <w:rFonts w:cs="Times New Roman"/>
          <w:i/>
          <w:szCs w:val="24"/>
          <w:lang w:val="sq-AL"/>
        </w:rPr>
        <w:t xml:space="preserve"> p</w:t>
      </w:r>
      <w:r w:rsidR="008C5FE3">
        <w:rPr>
          <w:rFonts w:cs="Times New Roman"/>
          <w:i/>
          <w:szCs w:val="24"/>
          <w:lang w:val="sq-AL"/>
        </w:rPr>
        <w:t>ë</w:t>
      </w:r>
      <w:r w:rsidRPr="00F32E3B">
        <w:rPr>
          <w:rFonts w:cs="Times New Roman"/>
          <w:i/>
          <w:szCs w:val="24"/>
          <w:lang w:val="sq-AL"/>
        </w:rPr>
        <w:t>r AKU mbetet përcaktimi i nivelit t</w:t>
      </w:r>
      <w:r w:rsidR="008C5FE3">
        <w:rPr>
          <w:rFonts w:cs="Times New Roman"/>
          <w:i/>
          <w:szCs w:val="24"/>
          <w:lang w:val="sq-AL"/>
        </w:rPr>
        <w:t>ë</w:t>
      </w:r>
      <w:r w:rsidRPr="00F32E3B">
        <w:rPr>
          <w:rFonts w:cs="Times New Roman"/>
          <w:i/>
          <w:szCs w:val="24"/>
          <w:lang w:val="sq-AL"/>
        </w:rPr>
        <w:t xml:space="preserve"> p</w:t>
      </w:r>
      <w:r w:rsidRPr="00F32E3B">
        <w:rPr>
          <w:rFonts w:cs="Times New Roman"/>
          <w:i/>
          <w:szCs w:val="24"/>
        </w:rPr>
        <w:t>erceptimit t</w:t>
      </w:r>
      <w:r w:rsidR="008C5FE3">
        <w:rPr>
          <w:rFonts w:cs="Times New Roman"/>
          <w:i/>
          <w:szCs w:val="24"/>
        </w:rPr>
        <w:t>ë</w:t>
      </w:r>
      <w:r w:rsidRPr="00F32E3B">
        <w:rPr>
          <w:rFonts w:cs="Times New Roman"/>
          <w:i/>
          <w:szCs w:val="24"/>
        </w:rPr>
        <w:t xml:space="preserve"> publikut ndaj riskut, reagimet e konsumatorëve ndaj rreziqeve të mundshme dhe gadishmërinë për të pranuar pasiguritë shkencore në vlerësimin e riskut.</w:t>
      </w:r>
    </w:p>
    <w:p w14:paraId="2E3346AE" w14:textId="77777777" w:rsidR="00BD5B8A" w:rsidRPr="00F32E3B" w:rsidRDefault="00BD5B8A" w:rsidP="009475CC">
      <w:pPr>
        <w:spacing w:after="0" w:line="240" w:lineRule="auto"/>
        <w:jc w:val="both"/>
        <w:rPr>
          <w:rFonts w:cs="Times New Roman"/>
          <w:i/>
          <w:szCs w:val="24"/>
          <w:lang w:val="sq-AL"/>
        </w:rPr>
      </w:pPr>
    </w:p>
    <w:p w14:paraId="53365F18" w14:textId="77777777" w:rsidR="00BD5B8A" w:rsidRDefault="006C7ACC" w:rsidP="003F0FA9">
      <w:pPr>
        <w:spacing w:after="0" w:line="240" w:lineRule="auto"/>
        <w:jc w:val="both"/>
        <w:rPr>
          <w:rFonts w:cs="Times New Roman"/>
          <w:szCs w:val="24"/>
          <w:lang w:eastAsia="en-GB"/>
        </w:rPr>
      </w:pPr>
      <w:r w:rsidRPr="00F32E3B">
        <w:rPr>
          <w:rFonts w:cs="Times New Roman"/>
          <w:szCs w:val="24"/>
          <w:lang w:eastAsia="en-GB"/>
        </w:rPr>
        <w:t>Për të kuptuar më mirë sa më sipër, AKU rregullisht duhet të kryejë anketime, duke mbledhur informacion mbi ndërgjegj</w:t>
      </w:r>
      <w:r w:rsidR="005D4962">
        <w:rPr>
          <w:rFonts w:cs="Times New Roman"/>
          <w:szCs w:val="24"/>
          <w:lang w:eastAsia="en-GB"/>
        </w:rPr>
        <w:t>ë</w:t>
      </w:r>
      <w:r w:rsidRPr="00F32E3B">
        <w:rPr>
          <w:rFonts w:cs="Times New Roman"/>
          <w:szCs w:val="24"/>
          <w:lang w:eastAsia="en-GB"/>
        </w:rPr>
        <w:t>simin e konsumatorëve/OBU p</w:t>
      </w:r>
      <w:r w:rsidR="005D4962">
        <w:rPr>
          <w:rFonts w:cs="Times New Roman"/>
          <w:szCs w:val="24"/>
          <w:lang w:eastAsia="en-GB"/>
        </w:rPr>
        <w:t>ë</w:t>
      </w:r>
      <w:r w:rsidRPr="00F32E3B">
        <w:rPr>
          <w:rFonts w:cs="Times New Roman"/>
          <w:szCs w:val="24"/>
          <w:lang w:eastAsia="en-GB"/>
        </w:rPr>
        <w:t>r aspektet e sigurisë ushqimore dhe sjelljes së përshtatshme me qëllim rritjen e mbrojtjes së konsumatorit dhe të ndërgjegj</w:t>
      </w:r>
      <w:r w:rsidR="005D4962">
        <w:rPr>
          <w:rFonts w:cs="Times New Roman"/>
          <w:szCs w:val="24"/>
          <w:lang w:eastAsia="en-GB"/>
        </w:rPr>
        <w:t>ë</w:t>
      </w:r>
      <w:r w:rsidRPr="00F32E3B">
        <w:rPr>
          <w:rFonts w:cs="Times New Roman"/>
          <w:szCs w:val="24"/>
          <w:lang w:eastAsia="en-GB"/>
        </w:rPr>
        <w:t>simit t</w:t>
      </w:r>
      <w:r w:rsidR="005D4962">
        <w:rPr>
          <w:rFonts w:cs="Times New Roman"/>
          <w:szCs w:val="24"/>
          <w:lang w:eastAsia="en-GB"/>
        </w:rPr>
        <w:t>ë</w:t>
      </w:r>
      <w:r w:rsidRPr="00F32E3B">
        <w:rPr>
          <w:rFonts w:cs="Times New Roman"/>
          <w:szCs w:val="24"/>
          <w:lang w:eastAsia="en-GB"/>
        </w:rPr>
        <w:t xml:space="preserve"> tyre p</w:t>
      </w:r>
      <w:r w:rsidR="005D4962">
        <w:rPr>
          <w:rFonts w:cs="Times New Roman"/>
          <w:szCs w:val="24"/>
          <w:lang w:eastAsia="en-GB"/>
        </w:rPr>
        <w:t>ë</w:t>
      </w:r>
      <w:r w:rsidRPr="00F32E3B">
        <w:rPr>
          <w:rFonts w:cs="Times New Roman"/>
          <w:szCs w:val="24"/>
          <w:lang w:eastAsia="en-GB"/>
        </w:rPr>
        <w:t xml:space="preserve">r rolin të AKU-së, në lidhje me sigurinë ushqimore në Shqipëri.                                                                                      </w:t>
      </w:r>
    </w:p>
    <w:p w14:paraId="19122AD1" w14:textId="77777777" w:rsidR="00BD5B8A" w:rsidRDefault="00BD5B8A" w:rsidP="003F0FA9">
      <w:pPr>
        <w:spacing w:after="0" w:line="240" w:lineRule="auto"/>
        <w:jc w:val="both"/>
        <w:rPr>
          <w:rFonts w:cs="Times New Roman"/>
          <w:szCs w:val="24"/>
          <w:lang w:eastAsia="en-GB"/>
        </w:rPr>
      </w:pPr>
    </w:p>
    <w:p w14:paraId="6E481130" w14:textId="67A7526E" w:rsidR="003F0FA9" w:rsidRDefault="006C7ACC" w:rsidP="003F0FA9">
      <w:pPr>
        <w:spacing w:after="0" w:line="240" w:lineRule="auto"/>
        <w:jc w:val="both"/>
        <w:rPr>
          <w:rFonts w:cs="Times New Roman"/>
          <w:szCs w:val="24"/>
        </w:rPr>
      </w:pPr>
      <w:r w:rsidRPr="00F32E3B">
        <w:rPr>
          <w:rFonts w:cs="Times New Roman"/>
          <w:szCs w:val="24"/>
        </w:rPr>
        <w:t xml:space="preserve">Globalizimi i zinxhirit të prodhimit e bën më të vështirë identifikimin e produkteve të pasigurta dhe nga ana tjetër, krizat ekonomike mund të çojnë në fokusimin e konsumatorëve dhe bizneseve në çmimet më të ulëta, me riskun që aspektet e sigurisë të humbin rëndësinë dhe në këtë mënyrë rritet hapësira për produkte false dhe të pasigurta. </w:t>
      </w:r>
    </w:p>
    <w:p w14:paraId="3799832D" w14:textId="77777777" w:rsidR="00BD5B8A" w:rsidRDefault="00BD5B8A" w:rsidP="003F0FA9">
      <w:pPr>
        <w:spacing w:after="0" w:line="240" w:lineRule="auto"/>
        <w:jc w:val="both"/>
        <w:rPr>
          <w:rFonts w:cs="Times New Roman"/>
          <w:szCs w:val="24"/>
        </w:rPr>
      </w:pPr>
    </w:p>
    <w:p w14:paraId="5AB7F83B" w14:textId="6A2335C9" w:rsidR="003F0FA9" w:rsidRPr="00F32E3B" w:rsidRDefault="006C7ACC" w:rsidP="003F0FA9">
      <w:pPr>
        <w:spacing w:after="0" w:line="240" w:lineRule="auto"/>
        <w:jc w:val="both"/>
        <w:rPr>
          <w:rFonts w:eastAsia="Times New Roman" w:cs="Times New Roman"/>
          <w:szCs w:val="24"/>
        </w:rPr>
      </w:pPr>
      <w:r w:rsidRPr="00F32E3B">
        <w:rPr>
          <w:rFonts w:cs="Times New Roman"/>
          <w:szCs w:val="24"/>
        </w:rPr>
        <w:t>P</w:t>
      </w:r>
      <w:r w:rsidR="005D4962">
        <w:rPr>
          <w:rFonts w:cs="Times New Roman"/>
          <w:szCs w:val="24"/>
        </w:rPr>
        <w:t>ë</w:t>
      </w:r>
      <w:r w:rsidRPr="00F32E3B">
        <w:rPr>
          <w:rFonts w:cs="Times New Roman"/>
          <w:szCs w:val="24"/>
        </w:rPr>
        <w:t>r k</w:t>
      </w:r>
      <w:r w:rsidR="005D4962">
        <w:rPr>
          <w:rFonts w:cs="Times New Roman"/>
          <w:szCs w:val="24"/>
        </w:rPr>
        <w:t>ë</w:t>
      </w:r>
      <w:r w:rsidRPr="00F32E3B">
        <w:rPr>
          <w:rFonts w:cs="Times New Roman"/>
          <w:szCs w:val="24"/>
        </w:rPr>
        <w:t>t</w:t>
      </w:r>
      <w:r w:rsidR="005D4962">
        <w:rPr>
          <w:rFonts w:cs="Times New Roman"/>
          <w:szCs w:val="24"/>
        </w:rPr>
        <w:t>ë</w:t>
      </w:r>
      <w:r w:rsidRPr="00F32E3B">
        <w:rPr>
          <w:rFonts w:cs="Times New Roman"/>
          <w:szCs w:val="24"/>
        </w:rPr>
        <w:t xml:space="preserve"> arsye AKU do t</w:t>
      </w:r>
      <w:r w:rsidR="005D4962">
        <w:rPr>
          <w:rFonts w:cs="Times New Roman"/>
          <w:szCs w:val="24"/>
        </w:rPr>
        <w:t>’</w:t>
      </w:r>
      <w:r w:rsidRPr="00F32E3B">
        <w:rPr>
          <w:rFonts w:cs="Times New Roman"/>
          <w:szCs w:val="24"/>
        </w:rPr>
        <w:t>i kushtoj</w:t>
      </w:r>
      <w:r w:rsidR="005D4962">
        <w:rPr>
          <w:rFonts w:cs="Times New Roman"/>
          <w:szCs w:val="24"/>
        </w:rPr>
        <w:t>ë</w:t>
      </w:r>
      <w:r w:rsidRPr="00F32E3B">
        <w:rPr>
          <w:rFonts w:cs="Times New Roman"/>
          <w:szCs w:val="24"/>
        </w:rPr>
        <w:t xml:space="preserve"> nj</w:t>
      </w:r>
      <w:r w:rsidR="005D4962">
        <w:rPr>
          <w:rFonts w:cs="Times New Roman"/>
          <w:szCs w:val="24"/>
        </w:rPr>
        <w:t>ë</w:t>
      </w:r>
      <w:r w:rsidRPr="00F32E3B">
        <w:rPr>
          <w:rFonts w:cs="Times New Roman"/>
          <w:szCs w:val="24"/>
        </w:rPr>
        <w:t xml:space="preserve"> r</w:t>
      </w:r>
      <w:r w:rsidR="005D4962">
        <w:rPr>
          <w:rFonts w:cs="Times New Roman"/>
          <w:szCs w:val="24"/>
        </w:rPr>
        <w:t>ë</w:t>
      </w:r>
      <w:r w:rsidRPr="00F32E3B">
        <w:rPr>
          <w:rFonts w:cs="Times New Roman"/>
          <w:szCs w:val="24"/>
        </w:rPr>
        <w:t>nd</w:t>
      </w:r>
      <w:r w:rsidR="005D4962">
        <w:rPr>
          <w:rFonts w:cs="Times New Roman"/>
          <w:szCs w:val="24"/>
        </w:rPr>
        <w:t>ë</w:t>
      </w:r>
      <w:r w:rsidRPr="00F32E3B">
        <w:rPr>
          <w:rFonts w:cs="Times New Roman"/>
          <w:szCs w:val="24"/>
        </w:rPr>
        <w:t>si t</w:t>
      </w:r>
      <w:r w:rsidR="003F0FA9">
        <w:rPr>
          <w:rFonts w:cs="Times New Roman"/>
          <w:szCs w:val="24"/>
        </w:rPr>
        <w:t>ë</w:t>
      </w:r>
      <w:r w:rsidRPr="00F32E3B">
        <w:rPr>
          <w:rFonts w:cs="Times New Roman"/>
          <w:szCs w:val="24"/>
        </w:rPr>
        <w:t xml:space="preserve"> vecant</w:t>
      </w:r>
      <w:r w:rsidR="003F0FA9">
        <w:rPr>
          <w:rFonts w:cs="Times New Roman"/>
          <w:szCs w:val="24"/>
        </w:rPr>
        <w:t>ë</w:t>
      </w:r>
      <w:r w:rsidRPr="00F32E3B">
        <w:rPr>
          <w:rFonts w:cs="Times New Roman"/>
          <w:szCs w:val="24"/>
        </w:rPr>
        <w:t xml:space="preserve"> jo vet</w:t>
      </w:r>
      <w:r w:rsidR="003F0FA9">
        <w:rPr>
          <w:rFonts w:cs="Times New Roman"/>
          <w:szCs w:val="24"/>
        </w:rPr>
        <w:t>ë</w:t>
      </w:r>
      <w:r w:rsidRPr="00F32E3B">
        <w:rPr>
          <w:rFonts w:cs="Times New Roman"/>
          <w:szCs w:val="24"/>
        </w:rPr>
        <w:t>m nd</w:t>
      </w:r>
      <w:r w:rsidR="003F0FA9">
        <w:rPr>
          <w:rFonts w:cs="Times New Roman"/>
          <w:szCs w:val="24"/>
        </w:rPr>
        <w:t>ë</w:t>
      </w:r>
      <w:r w:rsidRPr="00F32E3B">
        <w:rPr>
          <w:rFonts w:cs="Times New Roman"/>
          <w:szCs w:val="24"/>
        </w:rPr>
        <w:t>rgjegj</w:t>
      </w:r>
      <w:r w:rsidR="003F0FA9">
        <w:rPr>
          <w:rFonts w:cs="Times New Roman"/>
          <w:szCs w:val="24"/>
        </w:rPr>
        <w:t>ë</w:t>
      </w:r>
      <w:r w:rsidRPr="00F32E3B">
        <w:rPr>
          <w:rFonts w:cs="Times New Roman"/>
          <w:szCs w:val="24"/>
        </w:rPr>
        <w:t>simit t</w:t>
      </w:r>
      <w:r w:rsidR="003F0FA9">
        <w:rPr>
          <w:rFonts w:cs="Times New Roman"/>
          <w:szCs w:val="24"/>
        </w:rPr>
        <w:t>ë</w:t>
      </w:r>
      <w:r w:rsidRPr="00F32E3B">
        <w:rPr>
          <w:rFonts w:cs="Times New Roman"/>
          <w:szCs w:val="24"/>
        </w:rPr>
        <w:t xml:space="preserve"> konsumatorit por edhe nd</w:t>
      </w:r>
      <w:r w:rsidR="003F0FA9">
        <w:rPr>
          <w:rFonts w:cs="Times New Roman"/>
          <w:szCs w:val="24"/>
        </w:rPr>
        <w:t>ë</w:t>
      </w:r>
      <w:r w:rsidRPr="00F32E3B">
        <w:rPr>
          <w:rFonts w:cs="Times New Roman"/>
          <w:szCs w:val="24"/>
        </w:rPr>
        <w:t>rgjegj</w:t>
      </w:r>
      <w:r w:rsidR="003F0FA9">
        <w:rPr>
          <w:rFonts w:cs="Times New Roman"/>
          <w:szCs w:val="24"/>
        </w:rPr>
        <w:t>ë</w:t>
      </w:r>
      <w:r w:rsidRPr="00F32E3B">
        <w:rPr>
          <w:rFonts w:cs="Times New Roman"/>
          <w:szCs w:val="24"/>
        </w:rPr>
        <w:t>simit t</w:t>
      </w:r>
      <w:r w:rsidR="003F0FA9">
        <w:rPr>
          <w:rFonts w:cs="Times New Roman"/>
          <w:szCs w:val="24"/>
        </w:rPr>
        <w:t>ë</w:t>
      </w:r>
      <w:r w:rsidRPr="00F32E3B">
        <w:rPr>
          <w:rFonts w:cs="Times New Roman"/>
          <w:szCs w:val="24"/>
        </w:rPr>
        <w:t xml:space="preserve"> </w:t>
      </w:r>
      <w:r w:rsidRPr="00F32E3B">
        <w:rPr>
          <w:rFonts w:eastAsia="Times New Roman" w:cs="Times New Roman"/>
          <w:szCs w:val="24"/>
        </w:rPr>
        <w:t>OBU p</w:t>
      </w:r>
      <w:r w:rsidR="003F0FA9">
        <w:rPr>
          <w:rFonts w:eastAsia="Times New Roman" w:cs="Times New Roman"/>
          <w:szCs w:val="24"/>
        </w:rPr>
        <w:t>ë</w:t>
      </w:r>
      <w:r w:rsidRPr="00F32E3B">
        <w:rPr>
          <w:rFonts w:eastAsia="Times New Roman" w:cs="Times New Roman"/>
          <w:szCs w:val="24"/>
        </w:rPr>
        <w:t>r zbatimin e k</w:t>
      </w:r>
      <w:r w:rsidR="003F0FA9">
        <w:rPr>
          <w:rFonts w:eastAsia="Times New Roman" w:cs="Times New Roman"/>
          <w:szCs w:val="24"/>
        </w:rPr>
        <w:t>ë</w:t>
      </w:r>
      <w:r w:rsidRPr="00F32E3B">
        <w:rPr>
          <w:rFonts w:eastAsia="Times New Roman" w:cs="Times New Roman"/>
          <w:szCs w:val="24"/>
        </w:rPr>
        <w:t>rkesave ligjore n</w:t>
      </w:r>
      <w:r w:rsidR="003F0FA9">
        <w:rPr>
          <w:rFonts w:eastAsia="Times New Roman" w:cs="Times New Roman"/>
          <w:szCs w:val="24"/>
        </w:rPr>
        <w:t>ë</w:t>
      </w:r>
      <w:r w:rsidRPr="00F32E3B">
        <w:rPr>
          <w:rFonts w:eastAsia="Times New Roman" w:cs="Times New Roman"/>
          <w:szCs w:val="24"/>
        </w:rPr>
        <w:t>p</w:t>
      </w:r>
      <w:r w:rsidR="003F0FA9">
        <w:rPr>
          <w:rFonts w:eastAsia="Times New Roman" w:cs="Times New Roman"/>
          <w:szCs w:val="24"/>
        </w:rPr>
        <w:t>ë</w:t>
      </w:r>
      <w:r w:rsidRPr="00F32E3B">
        <w:rPr>
          <w:rFonts w:eastAsia="Times New Roman" w:cs="Times New Roman"/>
          <w:szCs w:val="24"/>
        </w:rPr>
        <w:t>rmjet k</w:t>
      </w:r>
      <w:r w:rsidR="003F0FA9">
        <w:rPr>
          <w:rFonts w:eastAsia="Times New Roman" w:cs="Times New Roman"/>
          <w:szCs w:val="24"/>
        </w:rPr>
        <w:t>ë</w:t>
      </w:r>
      <w:r w:rsidRPr="00F32E3B">
        <w:rPr>
          <w:rFonts w:eastAsia="Times New Roman" w:cs="Times New Roman"/>
          <w:szCs w:val="24"/>
        </w:rPr>
        <w:t>shillimit t</w:t>
      </w:r>
      <w:r w:rsidR="003F0FA9">
        <w:rPr>
          <w:rFonts w:eastAsia="Times New Roman" w:cs="Times New Roman"/>
          <w:szCs w:val="24"/>
        </w:rPr>
        <w:t>ë</w:t>
      </w:r>
      <w:r w:rsidRPr="00F32E3B">
        <w:rPr>
          <w:rFonts w:eastAsia="Times New Roman" w:cs="Times New Roman"/>
          <w:szCs w:val="24"/>
        </w:rPr>
        <w:t xml:space="preserve"> vazhdueshem dhe organizimit t</w:t>
      </w:r>
      <w:r w:rsidR="003F0FA9">
        <w:rPr>
          <w:rFonts w:eastAsia="Times New Roman" w:cs="Times New Roman"/>
          <w:szCs w:val="24"/>
        </w:rPr>
        <w:t>ë</w:t>
      </w:r>
      <w:r w:rsidRPr="00F32E3B">
        <w:rPr>
          <w:rFonts w:eastAsia="Times New Roman" w:cs="Times New Roman"/>
          <w:szCs w:val="24"/>
        </w:rPr>
        <w:t xml:space="preserve"> trajnimeve me tematika specifike p</w:t>
      </w:r>
      <w:r w:rsidR="003F0FA9">
        <w:rPr>
          <w:rFonts w:eastAsia="Times New Roman" w:cs="Times New Roman"/>
          <w:szCs w:val="24"/>
        </w:rPr>
        <w:t>ë</w:t>
      </w:r>
      <w:r w:rsidRPr="00F32E3B">
        <w:rPr>
          <w:rFonts w:eastAsia="Times New Roman" w:cs="Times New Roman"/>
          <w:szCs w:val="24"/>
        </w:rPr>
        <w:t>r k</w:t>
      </w:r>
      <w:r w:rsidR="003F0FA9">
        <w:rPr>
          <w:rFonts w:eastAsia="Times New Roman" w:cs="Times New Roman"/>
          <w:szCs w:val="24"/>
        </w:rPr>
        <w:t>ë</w:t>
      </w:r>
      <w:r w:rsidRPr="00F32E3B">
        <w:rPr>
          <w:rFonts w:eastAsia="Times New Roman" w:cs="Times New Roman"/>
          <w:szCs w:val="24"/>
        </w:rPr>
        <w:t>ta t</w:t>
      </w:r>
      <w:r w:rsidR="003F0FA9">
        <w:rPr>
          <w:rFonts w:eastAsia="Times New Roman" w:cs="Times New Roman"/>
          <w:szCs w:val="24"/>
        </w:rPr>
        <w:t>ë</w:t>
      </w:r>
      <w:r w:rsidRPr="00F32E3B">
        <w:rPr>
          <w:rFonts w:eastAsia="Times New Roman" w:cs="Times New Roman"/>
          <w:szCs w:val="24"/>
        </w:rPr>
        <w:t xml:space="preserve"> fundit kryesisht n</w:t>
      </w:r>
      <w:r w:rsidR="003F0FA9">
        <w:rPr>
          <w:rFonts w:eastAsia="Times New Roman" w:cs="Times New Roman"/>
          <w:szCs w:val="24"/>
        </w:rPr>
        <w:t>ë</w:t>
      </w:r>
      <w:r w:rsidRPr="00F32E3B">
        <w:rPr>
          <w:rFonts w:eastAsia="Times New Roman" w:cs="Times New Roman"/>
          <w:szCs w:val="24"/>
        </w:rPr>
        <w:t xml:space="preserve"> fush</w:t>
      </w:r>
      <w:r w:rsidR="003F0FA9">
        <w:rPr>
          <w:rFonts w:eastAsia="Times New Roman" w:cs="Times New Roman"/>
          <w:szCs w:val="24"/>
        </w:rPr>
        <w:t>ë</w:t>
      </w:r>
      <w:r w:rsidRPr="00F32E3B">
        <w:rPr>
          <w:rFonts w:eastAsia="Times New Roman" w:cs="Times New Roman"/>
          <w:szCs w:val="24"/>
        </w:rPr>
        <w:t>n e implementimit t</w:t>
      </w:r>
      <w:r w:rsidR="003F0FA9">
        <w:rPr>
          <w:rFonts w:eastAsia="Times New Roman" w:cs="Times New Roman"/>
          <w:szCs w:val="24"/>
        </w:rPr>
        <w:t>ë</w:t>
      </w:r>
      <w:r w:rsidRPr="00F32E3B">
        <w:rPr>
          <w:rFonts w:eastAsia="Times New Roman" w:cs="Times New Roman"/>
          <w:szCs w:val="24"/>
        </w:rPr>
        <w:t xml:space="preserve"> sistemit t</w:t>
      </w:r>
      <w:r w:rsidR="003F0FA9">
        <w:rPr>
          <w:rFonts w:eastAsia="Times New Roman" w:cs="Times New Roman"/>
          <w:szCs w:val="24"/>
        </w:rPr>
        <w:t>ë</w:t>
      </w:r>
      <w:r w:rsidRPr="00F32E3B">
        <w:rPr>
          <w:rFonts w:eastAsia="Times New Roman" w:cs="Times New Roman"/>
          <w:szCs w:val="24"/>
        </w:rPr>
        <w:t xml:space="preserve"> vetkontrollit (HACCP)</w:t>
      </w:r>
      <w:r w:rsidR="003F0FA9">
        <w:rPr>
          <w:rFonts w:eastAsia="Times New Roman" w:cs="Times New Roman"/>
          <w:szCs w:val="24"/>
        </w:rPr>
        <w:t xml:space="preserve"> </w:t>
      </w:r>
      <w:r w:rsidRPr="00F32E3B">
        <w:rPr>
          <w:rFonts w:eastAsia="Times New Roman" w:cs="Times New Roman"/>
          <w:szCs w:val="24"/>
        </w:rPr>
        <w:t>dhe sistemit t</w:t>
      </w:r>
      <w:r w:rsidR="005D4962">
        <w:rPr>
          <w:rFonts w:eastAsia="Times New Roman" w:cs="Times New Roman"/>
          <w:szCs w:val="24"/>
        </w:rPr>
        <w:t>ë</w:t>
      </w:r>
      <w:r w:rsidRPr="00F32E3B">
        <w:rPr>
          <w:rFonts w:eastAsia="Times New Roman" w:cs="Times New Roman"/>
          <w:szCs w:val="24"/>
        </w:rPr>
        <w:t xml:space="preserve"> gjurmueshm</w:t>
      </w:r>
      <w:r w:rsidR="005D4962">
        <w:rPr>
          <w:rFonts w:eastAsia="Times New Roman" w:cs="Times New Roman"/>
          <w:szCs w:val="24"/>
        </w:rPr>
        <w:t>ë</w:t>
      </w:r>
      <w:r w:rsidRPr="00F32E3B">
        <w:rPr>
          <w:rFonts w:eastAsia="Times New Roman" w:cs="Times New Roman"/>
          <w:szCs w:val="24"/>
        </w:rPr>
        <w:t>ris</w:t>
      </w:r>
      <w:r w:rsidR="005D4962">
        <w:rPr>
          <w:rFonts w:eastAsia="Times New Roman" w:cs="Times New Roman"/>
          <w:szCs w:val="24"/>
        </w:rPr>
        <w:t>ë</w:t>
      </w:r>
      <w:r w:rsidRPr="00F32E3B">
        <w:rPr>
          <w:rFonts w:eastAsia="Times New Roman" w:cs="Times New Roman"/>
          <w:szCs w:val="24"/>
        </w:rPr>
        <w:t>.</w:t>
      </w:r>
    </w:p>
    <w:p w14:paraId="2E53A8B7" w14:textId="317666F0" w:rsidR="002B2A47" w:rsidRPr="003F0FA9" w:rsidRDefault="002B2A47" w:rsidP="00623352">
      <w:pPr>
        <w:pStyle w:val="Heading5"/>
      </w:pPr>
      <w:bookmarkStart w:id="117" w:name="_Toc132277362"/>
      <w:bookmarkStart w:id="118" w:name="_Hlk121696686"/>
      <w:r w:rsidRPr="003F0FA9">
        <w:t>Inspektorati Shtetëror i Mbikqyrjes së Tregut</w:t>
      </w:r>
      <w:bookmarkEnd w:id="117"/>
    </w:p>
    <w:bookmarkEnd w:id="118"/>
    <w:p w14:paraId="552073DC" w14:textId="77777777" w:rsidR="00BD5B8A" w:rsidRDefault="00D81181" w:rsidP="003F0FA9">
      <w:pPr>
        <w:spacing w:after="0" w:line="240" w:lineRule="auto"/>
        <w:jc w:val="both"/>
        <w:rPr>
          <w:rFonts w:cs="Times New Roman"/>
          <w:szCs w:val="24"/>
        </w:rPr>
      </w:pPr>
      <w:r>
        <w:rPr>
          <w:rFonts w:cs="Times New Roman"/>
          <w:szCs w:val="24"/>
        </w:rPr>
        <w:t>J</w:t>
      </w:r>
      <w:r w:rsidR="002B2A47" w:rsidRPr="0022797D">
        <w:rPr>
          <w:rFonts w:cs="Times New Roman"/>
          <w:szCs w:val="24"/>
        </w:rPr>
        <w:t xml:space="preserve">anë informuar në mënyrë të vazhdueshme operatorët ekonomikë mbi kriteret ligjore që duhet të plotësojnë për të ofruar produkte e pajisje/instalime të sigurta për konsumatorin. Gjatë vitit 2019 janë realizuar 5 takime për informimin e operatorëve ekonomikë, disa emisione televizive, </w:t>
      </w:r>
      <w:r w:rsidR="002B2A47" w:rsidRPr="0093142A">
        <w:rPr>
          <w:rFonts w:cs="Times New Roman"/>
          <w:szCs w:val="24"/>
        </w:rPr>
        <w:t>botimi dhe shpërndarja e 1 fletëpalosje (tirazhi 1000 copë) dhe 1 poster (tirazhi 150 copë) me fokus sigurinë e ashensorëve, lodrave, instrumentave matëse ligjërisht të kontrolluara, LVD</w:t>
      </w:r>
      <w:r w:rsidR="003F0FA9">
        <w:rPr>
          <w:rFonts w:cs="Times New Roman"/>
          <w:szCs w:val="24"/>
        </w:rPr>
        <w:t xml:space="preserve"> </w:t>
      </w:r>
      <w:r w:rsidR="002B2A47" w:rsidRPr="0093142A">
        <w:rPr>
          <w:rFonts w:cs="Times New Roman"/>
          <w:szCs w:val="24"/>
        </w:rPr>
        <w:t>etj. Në vitin 2020 janë realizuar 5 takime me operatorët ekonomikë,</w:t>
      </w:r>
      <w:r w:rsidR="002B2A47" w:rsidRPr="008B3DCF">
        <w:rPr>
          <w:rFonts w:cs="Times New Roman"/>
          <w:szCs w:val="24"/>
        </w:rPr>
        <w:t xml:space="preserve"> në 2021 janë realizuar 7 aktivitete informuese e sensibilizuese për operatorët ekonomike dhe në vitin 2022 janë realizuar 4 aktivitete informuese (LVD, parapaketimi dhe shishet enëmatëse, mbrojtja e konsumatorit për nenin 8 të LMK dhe kontrata e shitjes konsumatore). </w:t>
      </w:r>
    </w:p>
    <w:p w14:paraId="28DE093A" w14:textId="77777777" w:rsidR="00BD5B8A" w:rsidRDefault="00BD5B8A" w:rsidP="003F0FA9">
      <w:pPr>
        <w:spacing w:after="0" w:line="240" w:lineRule="auto"/>
        <w:jc w:val="both"/>
        <w:rPr>
          <w:rFonts w:cs="Times New Roman"/>
          <w:szCs w:val="24"/>
        </w:rPr>
      </w:pPr>
    </w:p>
    <w:p w14:paraId="69118BA0" w14:textId="4E695137" w:rsidR="003F0FA9" w:rsidRPr="00EC7FD0" w:rsidRDefault="002B2A47" w:rsidP="003F0FA9">
      <w:pPr>
        <w:spacing w:after="0" w:line="240" w:lineRule="auto"/>
        <w:jc w:val="both"/>
        <w:rPr>
          <w:rFonts w:cs="Times New Roman"/>
          <w:szCs w:val="24"/>
        </w:rPr>
      </w:pPr>
      <w:r w:rsidRPr="008B3DCF">
        <w:rPr>
          <w:rFonts w:cs="Times New Roman"/>
          <w:szCs w:val="24"/>
        </w:rPr>
        <w:t>Në kuadrin e projekteve të ndryshme të mbështetura nga GIZ, Projekte IPA janë realizuar botime të fletëpalosjeve/broshurave informative për operatorët ekonomikë në lidhje me: sigurinë e ashensorëv</w:t>
      </w:r>
      <w:r w:rsidR="005D4962">
        <w:rPr>
          <w:rFonts w:cs="Times New Roman"/>
          <w:szCs w:val="24"/>
        </w:rPr>
        <w:t>e</w:t>
      </w:r>
      <w:r w:rsidRPr="008B3DCF">
        <w:rPr>
          <w:rFonts w:cs="Times New Roman"/>
          <w:szCs w:val="24"/>
        </w:rPr>
        <w:t>, lodrave, LVD, parapaketimi, instrumenta</w:t>
      </w:r>
      <w:r w:rsidRPr="00E2223C">
        <w:rPr>
          <w:rFonts w:cs="Times New Roman"/>
          <w:szCs w:val="24"/>
        </w:rPr>
        <w:t xml:space="preserve">t matëse ligjërisht të kontrolluara, detergjentët, kimikatet, etj. të cilët janë publikuar edhe në </w:t>
      </w:r>
      <w:r w:rsidR="006D61C0">
        <w:rPr>
          <w:rFonts w:cs="Times New Roman"/>
          <w:szCs w:val="24"/>
        </w:rPr>
        <w:t>ë</w:t>
      </w:r>
      <w:r w:rsidRPr="00E2223C">
        <w:rPr>
          <w:rFonts w:cs="Times New Roman"/>
          <w:szCs w:val="24"/>
        </w:rPr>
        <w:t xml:space="preserve">eb-site e ISHMT </w:t>
      </w:r>
      <w:hyperlink r:id="rId36" w:history="1">
        <w:r w:rsidR="00BD5B8A" w:rsidRPr="00771338">
          <w:rPr>
            <w:rStyle w:val="Hyperlink"/>
            <w:rFonts w:cs="Times New Roman"/>
            <w:szCs w:val="24"/>
          </w:rPr>
          <w:t>www.ishmt.gov.al</w:t>
        </w:r>
      </w:hyperlink>
      <w:r w:rsidR="003F0FA9">
        <w:rPr>
          <w:rFonts w:cs="Times New Roman"/>
          <w:szCs w:val="24"/>
        </w:rPr>
        <w:t xml:space="preserve">. </w:t>
      </w:r>
      <w:r w:rsidRPr="00E2223C">
        <w:rPr>
          <w:rFonts w:cs="Times New Roman"/>
          <w:szCs w:val="24"/>
        </w:rPr>
        <w:t>Në mënyrë të vazhduesh</w:t>
      </w:r>
      <w:r w:rsidR="003F0FA9">
        <w:rPr>
          <w:rFonts w:cs="Times New Roman"/>
          <w:szCs w:val="24"/>
        </w:rPr>
        <w:t>m</w:t>
      </w:r>
      <w:r w:rsidRPr="00E2223C">
        <w:rPr>
          <w:rFonts w:cs="Times New Roman"/>
          <w:szCs w:val="24"/>
        </w:rPr>
        <w:t>e është përditësuar informacioni për sigurinë e produkteve dhe kriteret që duhet të plotësojnë kon</w:t>
      </w:r>
      <w:r w:rsidRPr="00ED6C63">
        <w:rPr>
          <w:rFonts w:cs="Times New Roman"/>
          <w:szCs w:val="24"/>
        </w:rPr>
        <w:t xml:space="preserve">form legjislacionit shqiptar të harmonizuar me atë të BE në </w:t>
      </w:r>
      <w:r w:rsidR="006D61C0">
        <w:rPr>
          <w:rFonts w:cs="Times New Roman"/>
          <w:szCs w:val="24"/>
        </w:rPr>
        <w:t>ë</w:t>
      </w:r>
      <w:r w:rsidRPr="00ED6C63">
        <w:rPr>
          <w:rFonts w:cs="Times New Roman"/>
          <w:szCs w:val="24"/>
        </w:rPr>
        <w:t>eb-sit</w:t>
      </w:r>
      <w:r>
        <w:rPr>
          <w:rFonts w:cs="Times New Roman"/>
          <w:szCs w:val="24"/>
        </w:rPr>
        <w:t>e</w:t>
      </w:r>
      <w:r w:rsidRPr="00ED6C63">
        <w:rPr>
          <w:rFonts w:cs="Times New Roman"/>
          <w:szCs w:val="24"/>
        </w:rPr>
        <w:t xml:space="preserve"> e </w:t>
      </w:r>
      <w:r w:rsidRPr="003F0FA9">
        <w:rPr>
          <w:rFonts w:cs="Times New Roman"/>
          <w:szCs w:val="24"/>
        </w:rPr>
        <w:t xml:space="preserve">ISHMT dhe në rrjetet sociale. </w:t>
      </w:r>
    </w:p>
    <w:p w14:paraId="5C6B43AF" w14:textId="5E5822CD" w:rsidR="00195872" w:rsidRPr="003F0FA9" w:rsidRDefault="004E1146" w:rsidP="00623352">
      <w:pPr>
        <w:pStyle w:val="Heading5"/>
      </w:pPr>
      <w:bookmarkStart w:id="119" w:name="_Hlk121696461"/>
      <w:bookmarkStart w:id="120" w:name="_Toc132277363"/>
      <w:r w:rsidRPr="003F0FA9">
        <w:t xml:space="preserve">Enti Rregullator </w:t>
      </w:r>
      <w:r w:rsidR="002B2A47" w:rsidRPr="003F0FA9">
        <w:t>i</w:t>
      </w:r>
      <w:r w:rsidRPr="003F0FA9">
        <w:t xml:space="preserve"> Energjisë</w:t>
      </w:r>
      <w:bookmarkEnd w:id="119"/>
      <w:bookmarkEnd w:id="120"/>
    </w:p>
    <w:p w14:paraId="21DDCEBD" w14:textId="77777777" w:rsidR="00BD5B8A" w:rsidRDefault="00195872" w:rsidP="00334CD4">
      <w:pPr>
        <w:spacing w:line="240" w:lineRule="auto"/>
        <w:jc w:val="both"/>
        <w:rPr>
          <w:rFonts w:cs="Times New Roman"/>
          <w:szCs w:val="24"/>
        </w:rPr>
      </w:pPr>
      <w:r w:rsidRPr="00FB36DA">
        <w:rPr>
          <w:rFonts w:cs="Times New Roman"/>
          <w:szCs w:val="24"/>
        </w:rPr>
        <w:t>Inovacioni dhe zhvillimi teknologjik (nga të cilat di</w:t>
      </w:r>
      <w:r w:rsidR="0091527C">
        <w:rPr>
          <w:rFonts w:cs="Times New Roman"/>
          <w:szCs w:val="24"/>
        </w:rPr>
        <w:t>gj</w:t>
      </w:r>
      <w:r w:rsidRPr="00FB36DA">
        <w:rPr>
          <w:rFonts w:cs="Times New Roman"/>
          <w:szCs w:val="24"/>
        </w:rPr>
        <w:t xml:space="preserve">italizimi përfaqëson një ndër elementët kyç) përbëjnë faktorë të rëndësishëm të </w:t>
      </w:r>
      <w:r w:rsidRPr="0022797D">
        <w:rPr>
          <w:rFonts w:cs="Times New Roman"/>
          <w:szCs w:val="24"/>
        </w:rPr>
        <w:t>evolucionit, i lidhur ngushtë me benefitet që vijnë nga përdorimi i teknologjisë, por i shoqëruar paralelisht edhe me rrezikun e mundshëm të kostove ekstra të krijuara nga ky përdorim teknologjie, çka kërkon vëmendje të vazhdueshme ndaj kostove të shërbime</w:t>
      </w:r>
      <w:r w:rsidRPr="0093142A">
        <w:rPr>
          <w:rFonts w:cs="Times New Roman"/>
          <w:szCs w:val="24"/>
        </w:rPr>
        <w:t xml:space="preserve">ve. </w:t>
      </w:r>
    </w:p>
    <w:p w14:paraId="1A106D30" w14:textId="695CA2C8" w:rsidR="00195872" w:rsidRPr="00E45C0D" w:rsidRDefault="00195872" w:rsidP="00334CD4">
      <w:pPr>
        <w:spacing w:line="240" w:lineRule="auto"/>
        <w:jc w:val="both"/>
        <w:rPr>
          <w:rFonts w:cs="Times New Roman"/>
          <w:szCs w:val="24"/>
          <w:lang w:val="it-IT"/>
        </w:rPr>
      </w:pPr>
      <w:r w:rsidRPr="0093142A">
        <w:rPr>
          <w:rFonts w:cs="Times New Roman"/>
          <w:szCs w:val="24"/>
        </w:rPr>
        <w:t xml:space="preserve">Në aspektin e kuadrit rregullator ERE është angazhuar për të konsoliduar koherencën e mekanizmave rregullatorë në aktivitete të ndryshme të fushës së përgjegjësisë së tij. </w:t>
      </w:r>
      <w:r w:rsidRPr="008B3DCF">
        <w:rPr>
          <w:rFonts w:cs="Times New Roman"/>
          <w:szCs w:val="24"/>
          <w:lang w:val="it-IT"/>
        </w:rPr>
        <w:t xml:space="preserve">Brenda </w:t>
      </w:r>
      <w:r w:rsidRPr="008B3DCF">
        <w:rPr>
          <w:rFonts w:cs="Times New Roman"/>
          <w:szCs w:val="24"/>
          <w:lang w:val="it-IT"/>
        </w:rPr>
        <w:lastRenderedPageBreak/>
        <w:t>këtij kuadri, konsumatori merr një rol vendimtar e në rritje. Në këtë kontekst, ndërgjegjësimi i konsumatorit për t’u bërë klient i aftë në vlerësimin e ofertave, kuptimin e drejtë të mekanizmave të tregut, deri në mundësinë për të marrë pjesë në mënyrë aktive në shërbimet e lidhura me furnizimin, siç është rasti i Vetprodhuesv</w:t>
      </w:r>
      <w:r w:rsidRPr="00E2223C">
        <w:rPr>
          <w:rFonts w:cs="Times New Roman"/>
          <w:szCs w:val="24"/>
          <w:lang w:val="it-IT"/>
        </w:rPr>
        <w:t>e që prodhojnë dhe konsumojnë vetë energji, merr një rëndësi të veçantë.  Nëpërmjet seancave dëgjimore ERE është investuar me qëllim përfshirjen e përfaqësuesve të konsumatorit në cilësinë e palës së interesit me qëllim dhënien zë këtyre të fundit në harti</w:t>
      </w:r>
      <w:r w:rsidRPr="00ED6C63">
        <w:rPr>
          <w:rFonts w:cs="Times New Roman"/>
          <w:szCs w:val="24"/>
          <w:lang w:val="it-IT"/>
        </w:rPr>
        <w:t>min e politikave rregullatore që adresojnë çështje të konsumatorit siç janë rregulloret e miratuara në zbatim të ligjeve në fuqi.</w:t>
      </w:r>
    </w:p>
    <w:p w14:paraId="03399166" w14:textId="77777777" w:rsidR="00195872" w:rsidRPr="009475CC" w:rsidRDefault="00195872" w:rsidP="00334CD4">
      <w:pPr>
        <w:spacing w:line="240" w:lineRule="auto"/>
        <w:jc w:val="both"/>
        <w:rPr>
          <w:rFonts w:cs="Times New Roman"/>
          <w:szCs w:val="24"/>
          <w:lang w:val="it-IT"/>
        </w:rPr>
      </w:pPr>
      <w:r w:rsidRPr="004E1146">
        <w:rPr>
          <w:rFonts w:cs="Times New Roman"/>
          <w:szCs w:val="24"/>
          <w:lang w:val="it-IT"/>
        </w:rPr>
        <w:t>Viti 2020, falë edhe rrethanave të veçanta në të cilat u vendos mbarë bota për shkak të pandemisë, bëri që ERE të fokusohet me</w:t>
      </w:r>
      <w:r w:rsidRPr="005D4962">
        <w:rPr>
          <w:rFonts w:cs="Times New Roman"/>
          <w:szCs w:val="24"/>
          <w:lang w:val="it-IT"/>
        </w:rPr>
        <w:t xml:space="preserve"> shumë drejt metodave alternative të komunikimit me konsumatorin nëpërmjet mjeteve të komunikimit online. Kështu për këtë qëllim, janë përgatitur broshura informative të cilat adresojnë çështjet me ndjeshmëri më të lartë për konsumatorin, si kushtet e lidh</w:t>
      </w:r>
      <w:r w:rsidRPr="009475CC">
        <w:rPr>
          <w:rFonts w:cs="Times New Roman"/>
          <w:szCs w:val="24"/>
          <w:lang w:val="it-IT"/>
        </w:rPr>
        <w:t>jes, pezullimit apo ndërprerjes së një kontrate furnizimi, e drejta për të zgjedhur apo ndryshuar furnizuesin, kushtet për sigurimin e një lidhje me rrjetin e shpërndarjes, standardet e cilësisë së shërbimit, e drejta për t’u ankuar etj. Broshurat e sipërcituara gjenden të publikuara në ambjentet e ERE por edhe në faqen zyrtare apo rrjetet sociale të ERE, me qëllim arritjen në një numër sa më të madh konsumatorësh të informacionit të nevojshëm.</w:t>
      </w:r>
    </w:p>
    <w:p w14:paraId="23A28CFD" w14:textId="6B8F074A" w:rsidR="00072048" w:rsidRPr="00EC7FD0" w:rsidRDefault="00195872" w:rsidP="00334CD4">
      <w:pPr>
        <w:spacing w:line="240" w:lineRule="auto"/>
        <w:jc w:val="both"/>
        <w:rPr>
          <w:rFonts w:cs="Times New Roman"/>
          <w:szCs w:val="24"/>
          <w:lang w:val="it-IT"/>
        </w:rPr>
      </w:pPr>
      <w:r w:rsidRPr="009475CC">
        <w:rPr>
          <w:rFonts w:cs="Times New Roman"/>
          <w:szCs w:val="24"/>
          <w:lang w:val="it-IT"/>
        </w:rPr>
        <w:t>Gjatë vitit 2021, ERE është angazhuar në realizimin e një rubrike të dedikuar informimit të konsumatorit publikuar në faqen e ERE (</w:t>
      </w:r>
      <w:hyperlink r:id="rId37" w:history="1">
        <w:r w:rsidR="003F0FA9" w:rsidRPr="004A7A18">
          <w:rPr>
            <w:rStyle w:val="Hyperlink"/>
            <w:rFonts w:cs="Times New Roman"/>
            <w:szCs w:val="24"/>
            <w:lang w:val="it-IT"/>
          </w:rPr>
          <w:t>https://ere.gov.al/sq</w:t>
        </w:r>
      </w:hyperlink>
      <w:r w:rsidRPr="009475CC">
        <w:rPr>
          <w:rFonts w:cs="Times New Roman"/>
          <w:szCs w:val="24"/>
          <w:lang w:val="it-IT"/>
        </w:rPr>
        <w:t>) nën zërin Shërbime Konsumatori. Rubrika jep një informacion të detajuar për konsumatorin dhe vendos në dispozicion të tij legjislacionin në fuqi dhe mekanizmat e ankesës që konsumatori disponon. Për të marrë një vlerësim më të mirë të punës që kryen apo mund të përmirësojë në shërbimet e saj, ERE ka organizuar dhe një anketë mbi nivelin e kënaqësisë së konsumatorit.</w:t>
      </w:r>
    </w:p>
    <w:p w14:paraId="2E078287" w14:textId="1193E201" w:rsidR="00072048" w:rsidRDefault="00072048" w:rsidP="00623352">
      <w:pPr>
        <w:pStyle w:val="Heading5"/>
      </w:pPr>
      <w:bookmarkStart w:id="121" w:name="_Toc132277364"/>
      <w:bookmarkStart w:id="122" w:name="_Hlk121696553"/>
      <w:r w:rsidRPr="00D02601">
        <w:t>E</w:t>
      </w:r>
      <w:r w:rsidR="0091527C" w:rsidRPr="00D02601">
        <w:t xml:space="preserve">nti </w:t>
      </w:r>
      <w:r w:rsidRPr="00D02601">
        <w:t>R</w:t>
      </w:r>
      <w:r w:rsidR="0091527C" w:rsidRPr="00D02601">
        <w:t xml:space="preserve">regullator i </w:t>
      </w:r>
      <w:r w:rsidRPr="00D02601">
        <w:t>U</w:t>
      </w:r>
      <w:r w:rsidR="0091527C" w:rsidRPr="00D02601">
        <w:t>jit</w:t>
      </w:r>
      <w:bookmarkEnd w:id="121"/>
    </w:p>
    <w:bookmarkEnd w:id="122"/>
    <w:p w14:paraId="5CE3B5C1" w14:textId="77777777" w:rsidR="00072048" w:rsidRPr="009475CC" w:rsidRDefault="00072048" w:rsidP="00334CD4">
      <w:pPr>
        <w:spacing w:line="240" w:lineRule="auto"/>
        <w:jc w:val="both"/>
        <w:rPr>
          <w:rFonts w:cs="Times New Roman"/>
          <w:szCs w:val="24"/>
        </w:rPr>
      </w:pPr>
      <w:r w:rsidRPr="009475CC">
        <w:rPr>
          <w:rFonts w:cs="Times New Roman"/>
          <w:szCs w:val="24"/>
        </w:rPr>
        <w:t>Mbrojtja e konsumatorit ka të bëjë me krijimin e një ambienti të sigurt, rrjedhimisht të një garancie shoqërore, se përdorimi i ujit nga rrjeti është i sigurt. Rregullimi i kësaj fushe mbështetet në tri shtylla kryesore që janë: - shëndeti i konsumatorit, - siguria e konsumatorit, - mbrojtja e të drejtave të konsumatorit. Një rol të rëndësishëm në mbrojtjen e të drejtave të konsumatorit ka edhe zëri i shoqatave të konsumatorëve, si dhe informimi, edukimi dhe ngritja e vet ndërgjegjësimit të konsumatorëve përmes mekanizmave të ndryshëm.</w:t>
      </w:r>
    </w:p>
    <w:p w14:paraId="25B7CF39" w14:textId="750AA28A" w:rsidR="00D81181" w:rsidRPr="00EC7FD0" w:rsidRDefault="00072048" w:rsidP="00334CD4">
      <w:pPr>
        <w:spacing w:line="240" w:lineRule="auto"/>
        <w:jc w:val="both"/>
        <w:rPr>
          <w:rFonts w:cs="Times New Roman"/>
          <w:szCs w:val="24"/>
        </w:rPr>
      </w:pPr>
      <w:r w:rsidRPr="009475CC">
        <w:rPr>
          <w:rFonts w:cs="Times New Roman"/>
          <w:szCs w:val="24"/>
        </w:rPr>
        <w:t>Ndërgjegjësimi i konsumatorëve që të jenë të kujdesshëm mbi mënyrën se si e përdorin ujin e pijshëm, të mos e shpërdorojnë atë, të mos ndërtojnë objekte mbi sistemet e furnizimit me ujë të pijshëm dhe kanalizimeve, të mos instalojnë lidhje të tjera jashtë sistemit të furnizimit me ujë, të njoftojnë dhe bashkëpunojnë me shoqërinë UK në rastet e rrjedhjeve apo çarjeve të tubacioneve.</w:t>
      </w:r>
    </w:p>
    <w:p w14:paraId="58B6ABB0" w14:textId="71143E5F" w:rsidR="005D4962" w:rsidRPr="00AA7A4C" w:rsidRDefault="005D4962" w:rsidP="00623352">
      <w:pPr>
        <w:pStyle w:val="Heading5"/>
      </w:pPr>
      <w:bookmarkStart w:id="123" w:name="_Toc132277365"/>
      <w:r w:rsidRPr="00AA7A4C">
        <w:t>Autoriteti i Aviacionit Civil</w:t>
      </w:r>
      <w:bookmarkEnd w:id="123"/>
    </w:p>
    <w:p w14:paraId="51003E42" w14:textId="40416A99" w:rsidR="00DE29F6" w:rsidRPr="00E2223C" w:rsidRDefault="00DE29F6" w:rsidP="00DE29F6">
      <w:pPr>
        <w:jc w:val="both"/>
        <w:rPr>
          <w:rFonts w:cs="Times New Roman"/>
          <w:szCs w:val="24"/>
          <w:lang w:val="sq-AL"/>
        </w:rPr>
      </w:pPr>
      <w:r w:rsidRPr="0093142A">
        <w:rPr>
          <w:rFonts w:cs="Times New Roman"/>
          <w:szCs w:val="24"/>
          <w:lang w:val="sq-AL"/>
        </w:rPr>
        <w:t>Informimi i pasagjerëve nëpërmjet komunikimit të vazhdueshëm të shkruar dhe verbal p</w:t>
      </w:r>
      <w:r w:rsidR="00AA7A4C">
        <w:rPr>
          <w:rFonts w:cs="Times New Roman"/>
          <w:szCs w:val="24"/>
          <w:lang w:val="sq-AL"/>
        </w:rPr>
        <w:t>ë</w:t>
      </w:r>
      <w:r w:rsidRPr="0093142A">
        <w:rPr>
          <w:rFonts w:cs="Times New Roman"/>
          <w:szCs w:val="24"/>
          <w:lang w:val="sq-AL"/>
        </w:rPr>
        <w:t>r të drejtën e kompesimit në rast të vonesave apo anullimit të fluturimit; dëmtimit apo humbjes së bagazheve, shoqërimit dhe kujdesit për personat me aftësi të kufizuar, r</w:t>
      </w:r>
      <w:r w:rsidRPr="008B3DCF">
        <w:rPr>
          <w:rFonts w:cs="Times New Roman"/>
          <w:szCs w:val="24"/>
          <w:lang w:val="sq-AL"/>
        </w:rPr>
        <w:t xml:space="preserve">eferuar kuadrit rregullator në fuqi. </w:t>
      </w:r>
      <w:r w:rsidRPr="008B3DCF">
        <w:rPr>
          <w:rFonts w:cs="Times New Roman"/>
          <w:bCs/>
          <w:szCs w:val="24"/>
          <w:lang w:val="sq-AL"/>
        </w:rPr>
        <w:t xml:space="preserve"> Janë publikuar broshure/fletëpalosje informuese cdo vit si dhe  janë vendosur  tabela informueset në aeropoirt vendet e chek in dhe pranë gate-ve. </w:t>
      </w:r>
    </w:p>
    <w:p w14:paraId="4B40A81E" w14:textId="44613CF5" w:rsidR="00126667" w:rsidRPr="00AA48F4" w:rsidRDefault="00AA48F4" w:rsidP="00623352">
      <w:pPr>
        <w:pStyle w:val="Heading1"/>
      </w:pPr>
      <w:bookmarkStart w:id="124" w:name="_Toc132277366"/>
      <w:bookmarkStart w:id="125" w:name="_Hlk121697683"/>
      <w:r w:rsidRPr="00AA48F4">
        <w:t>KAPITULLI II: VIZIONI, POLITIKAT, QËLLIMET E POLITIKAVE DHE OBJEKTIVAT</w:t>
      </w:r>
      <w:bookmarkEnd w:id="124"/>
      <w:r w:rsidRPr="00AA48F4">
        <w:t xml:space="preserve"> </w:t>
      </w:r>
    </w:p>
    <w:p w14:paraId="0A7E5F51" w14:textId="56CCAB60" w:rsidR="00126667" w:rsidRPr="00DE7423" w:rsidRDefault="00126667" w:rsidP="00BD5B8A">
      <w:pPr>
        <w:pStyle w:val="Heading2"/>
      </w:pPr>
      <w:bookmarkStart w:id="126" w:name="_Toc132277367"/>
      <w:r w:rsidRPr="00DE7423">
        <w:lastRenderedPageBreak/>
        <w:t>Vizioni i strategjisë</w:t>
      </w:r>
      <w:bookmarkEnd w:id="126"/>
      <w:r w:rsidRPr="00DE7423">
        <w:t xml:space="preserve"> </w:t>
      </w:r>
    </w:p>
    <w:bookmarkEnd w:id="125"/>
    <w:p w14:paraId="0740A930" w14:textId="031A6FE8" w:rsidR="00793D1A" w:rsidRPr="009475CC" w:rsidRDefault="00793D1A" w:rsidP="00793D1A">
      <w:pPr>
        <w:jc w:val="both"/>
        <w:rPr>
          <w:rFonts w:cs="Times New Roman"/>
          <w:szCs w:val="24"/>
          <w:lang w:val="sq-AL"/>
        </w:rPr>
      </w:pPr>
      <w:r w:rsidRPr="009475CC">
        <w:rPr>
          <w:rFonts w:cs="Times New Roman"/>
          <w:szCs w:val="24"/>
          <w:lang w:val="sq-AL"/>
        </w:rPr>
        <w:t xml:space="preserve">Vizioni i strategjisë </w:t>
      </w:r>
      <w:r w:rsidR="00AA7A4C">
        <w:rPr>
          <w:rFonts w:cs="Times New Roman"/>
          <w:szCs w:val="24"/>
          <w:lang w:val="sq-AL"/>
        </w:rPr>
        <w:t>është:</w:t>
      </w:r>
      <w:r w:rsidRPr="009475CC">
        <w:rPr>
          <w:rFonts w:cs="Times New Roman"/>
          <w:szCs w:val="24"/>
          <w:lang w:val="sq-AL"/>
        </w:rPr>
        <w:t xml:space="preserve"> </w:t>
      </w:r>
      <w:r w:rsidRPr="00AA7A4C">
        <w:rPr>
          <w:rFonts w:cs="Times New Roman"/>
          <w:b/>
          <w:bCs/>
          <w:i/>
          <w:iCs/>
          <w:szCs w:val="24"/>
          <w:lang w:val="sq-AL"/>
        </w:rPr>
        <w:t>“Konsumatorë të mbrojtur, të fuqizuar dhe me besim në një treg të drejtë, të sigurtë, ku ata ushtrojnë të drejtat e tyre, si dhe luajnë një rol aktiv në tranformimin digjital dhe në mbrojtjen e mjedisit</w:t>
      </w:r>
      <w:r w:rsidRPr="009475CC">
        <w:rPr>
          <w:rFonts w:cs="Times New Roman"/>
          <w:szCs w:val="24"/>
          <w:lang w:val="sq-AL"/>
        </w:rPr>
        <w:t>.</w:t>
      </w:r>
      <w:r w:rsidR="005D4962">
        <w:rPr>
          <w:rFonts w:cs="Times New Roman"/>
          <w:szCs w:val="24"/>
          <w:lang w:val="sq-AL"/>
        </w:rPr>
        <w:t>”</w:t>
      </w:r>
    </w:p>
    <w:p w14:paraId="469419E6" w14:textId="3AD6A406" w:rsidR="00037C60" w:rsidRPr="00AA7A4C" w:rsidRDefault="00126667" w:rsidP="00CD6F88">
      <w:pPr>
        <w:pStyle w:val="Heading2"/>
      </w:pPr>
      <w:bookmarkStart w:id="127" w:name="_Toc132277368"/>
      <w:bookmarkStart w:id="128" w:name="_Hlk121697717"/>
      <w:r w:rsidRPr="00AA7A4C">
        <w:t>Qëllimet e politikave</w:t>
      </w:r>
      <w:bookmarkEnd w:id="127"/>
      <w:r w:rsidRPr="00AA7A4C">
        <w:t xml:space="preserve"> </w:t>
      </w:r>
      <w:bookmarkEnd w:id="128"/>
    </w:p>
    <w:p w14:paraId="20072C4A" w14:textId="1ED70358" w:rsidR="00793D1A" w:rsidRPr="009475CC" w:rsidRDefault="00793D1A" w:rsidP="008B40CC">
      <w:pPr>
        <w:spacing w:line="240" w:lineRule="auto"/>
        <w:jc w:val="both"/>
        <w:rPr>
          <w:rFonts w:cs="Times New Roman"/>
          <w:szCs w:val="24"/>
          <w:lang w:val="sq-AL"/>
        </w:rPr>
      </w:pPr>
      <w:r w:rsidRPr="009475CC">
        <w:rPr>
          <w:rFonts w:cs="Times New Roman"/>
          <w:szCs w:val="24"/>
          <w:lang w:val="sq-AL"/>
        </w:rPr>
        <w:t>Qëllim i strategjisë është:</w:t>
      </w:r>
      <w:r w:rsidR="00037C60">
        <w:rPr>
          <w:rFonts w:cs="Times New Roman"/>
          <w:szCs w:val="24"/>
          <w:lang w:val="sq-AL"/>
        </w:rPr>
        <w:t xml:space="preserve"> </w:t>
      </w:r>
      <w:r w:rsidRPr="009475CC">
        <w:rPr>
          <w:rFonts w:cs="Times New Roman"/>
          <w:szCs w:val="24"/>
          <w:lang w:val="sq-AL"/>
        </w:rPr>
        <w:t>“</w:t>
      </w:r>
      <w:r w:rsidRPr="009475CC">
        <w:rPr>
          <w:rFonts w:cs="Times New Roman"/>
          <w:b/>
          <w:bCs/>
          <w:i/>
          <w:iCs/>
          <w:szCs w:val="24"/>
          <w:lang w:val="sq-AL"/>
        </w:rPr>
        <w:t>Garantimi i funksionimit efektiv të një tregu konkurrues, ku  mbrojtja dhe fuqizimi i konsumatorëve, si dhe i operatorëve ekonomikë,  sigurohet nëpërmjet përmirësimit dhe zbatimit të kuadrit ligjor, vendosjes së standardeve në çdo fushë, respektimit të parimeve të zhvillimit të qëndrueshëm, edukimit të konsumatorëve e përfaqësuesve të shoqërisë civile në veçanti, bizneseve, në lidhje me të drejtat e konsumatorëve, si dhe rritjes së bashkëpunimit ndërmjet strukturave kompetente dhe aktorëve të tjerë kryesorë.”</w:t>
      </w:r>
    </w:p>
    <w:p w14:paraId="2E0E10E2" w14:textId="1BFE6F30" w:rsidR="007969D8" w:rsidRPr="00AA7A4C" w:rsidRDefault="007969D8" w:rsidP="008B40CC">
      <w:pPr>
        <w:spacing w:line="240" w:lineRule="auto"/>
        <w:jc w:val="both"/>
        <w:rPr>
          <w:rFonts w:cs="Times New Roman"/>
          <w:b/>
          <w:i/>
          <w:iCs/>
          <w:szCs w:val="24"/>
          <w:lang w:val="sq-AL"/>
        </w:rPr>
      </w:pPr>
      <w:r w:rsidRPr="009475CC">
        <w:rPr>
          <w:rFonts w:cs="Times New Roman"/>
          <w:bCs/>
          <w:szCs w:val="24"/>
          <w:lang w:val="sq-AL"/>
        </w:rPr>
        <w:t xml:space="preserve">Në përputhje me shtyllën I të strategjisë ndërsektoriale për mbrojtjen e konsumatorëve dhe mbikëqyrjen e tregut, qëllimi i politikës 1 lidhet me: </w:t>
      </w:r>
      <w:r w:rsidRPr="00AA7A4C">
        <w:rPr>
          <w:rFonts w:cs="Times New Roman"/>
          <w:b/>
          <w:i/>
          <w:iCs/>
          <w:szCs w:val="24"/>
          <w:lang w:val="sq-AL"/>
        </w:rPr>
        <w:t xml:space="preserve">Përmirësimin e sigurisë së produkteve për konsumatorë  mbështetur në një infrastrukturë efektive të cilësisë sipas praktikave më të mira evropiane. </w:t>
      </w:r>
    </w:p>
    <w:p w14:paraId="2E7ABEA3" w14:textId="5FF60ED4" w:rsidR="00AA7A4C" w:rsidRPr="008B40CC" w:rsidRDefault="007969D8" w:rsidP="008B40CC">
      <w:pPr>
        <w:spacing w:line="240" w:lineRule="auto"/>
        <w:jc w:val="both"/>
        <w:rPr>
          <w:rFonts w:cs="Times New Roman"/>
          <w:szCs w:val="24"/>
          <w:lang w:val="sq-AL"/>
        </w:rPr>
      </w:pPr>
      <w:r w:rsidRPr="009475CC">
        <w:rPr>
          <w:rFonts w:cs="Times New Roman"/>
          <w:szCs w:val="24"/>
          <w:lang w:val="sq-AL"/>
        </w:rPr>
        <w:t>Çështja e sigurisë së konsumatorëve përbën një nga shtyllat e strategjisë, që materializohet në një spektër të gjerë, referuar këtu si sigurisë ushqimore, ashtu edhe sigurisë së produkteve jo ushqimore, fushave të tilla si</w:t>
      </w:r>
      <w:r w:rsidR="00AA7A4C">
        <w:rPr>
          <w:rFonts w:cs="Times New Roman"/>
          <w:szCs w:val="24"/>
          <w:lang w:val="sq-AL"/>
        </w:rPr>
        <w:t>:</w:t>
      </w:r>
      <w:r w:rsidRPr="009475CC">
        <w:rPr>
          <w:rFonts w:cs="Times New Roman"/>
          <w:szCs w:val="24"/>
          <w:lang w:val="sq-AL"/>
        </w:rPr>
        <w:t xml:space="preserve"> barnat për përdorim njerëzor; kozmetika; fusha e infrastrukturës së cilësisë; apo aspekteve që kanë të bëjnë me mbikëqyrjen e tregut. Angazhimet në lidhje me çështjet e sigurisë janë në përputhje me detyrimet që rrjedhin nga nenet 70 dhe 76 të Marrëveshjes së Stabilizim-Asociimit, si dhe të dispozitave përkatëse të acquis së BE-së. Detyrimi për të përafruar ligjin shqiptar me atë të Bashkimit Evropian buron nga neni 70 i MSA-së dhe Kriteret e Kopenhagës. Më konkretisht, ky qëllim i politikës lidhet ngushtësisht edhe me kapitujt 1 “Lëvizja e Lirë e mallrave” dhe 28 “Mbrojtja e konsumatorit dhe shëndetit publik” të acquis të BE-së. Garantimi i përputhshmërisë me politikat europiane në fushën e sigurisë i shërben qëllimit të përgjithshëm të strategjisë për mbrojtjen dhe fuqizimin e konsumatorëve, si dhe operatorëve ekonomikë, nëpërmjet përmirësimit dhe zbatimit të kuadrit ligjor, vendosjes së standardeve në çdo fushë. </w:t>
      </w:r>
      <w:bookmarkStart w:id="129" w:name="_Hlk121697792"/>
    </w:p>
    <w:p w14:paraId="5D88A706" w14:textId="0DFE3F7E" w:rsidR="007969D8" w:rsidRPr="006E2E8F" w:rsidRDefault="00126667" w:rsidP="00CD6F88">
      <w:pPr>
        <w:pStyle w:val="Heading2"/>
      </w:pPr>
      <w:bookmarkStart w:id="130" w:name="_Toc132277369"/>
      <w:r w:rsidRPr="006E2E8F">
        <w:t>Objektivat</w:t>
      </w:r>
      <w:r w:rsidR="007969D8" w:rsidRPr="006E2E8F">
        <w:t>, masat dhe indikatorët sipas fushave</w:t>
      </w:r>
      <w:bookmarkEnd w:id="130"/>
    </w:p>
    <w:p w14:paraId="2A338B3C" w14:textId="6A5D7384" w:rsidR="0095013B" w:rsidRPr="0095013B" w:rsidRDefault="00C5350C" w:rsidP="00CD6F88">
      <w:pPr>
        <w:pStyle w:val="Heading2"/>
      </w:pPr>
      <w:bookmarkStart w:id="131" w:name="_Toc132277370"/>
      <w:bookmarkEnd w:id="129"/>
      <w:r>
        <w:t>II.</w:t>
      </w:r>
      <w:r w:rsidR="00630CCF">
        <w:t>1</w:t>
      </w:r>
      <w:r w:rsidR="0015346E">
        <w:t xml:space="preserve"> </w:t>
      </w:r>
      <w:r w:rsidR="002A7330" w:rsidRPr="006E2E8F">
        <w:t>Shtylla I</w:t>
      </w:r>
      <w:r w:rsidR="005560D2">
        <w:t>:</w:t>
      </w:r>
      <w:r w:rsidR="002A7330" w:rsidRPr="006E2E8F">
        <w:t xml:space="preserve"> Siguria e produkteve ushqimore dhe e produkteve jo-ushqimore</w:t>
      </w:r>
      <w:bookmarkEnd w:id="131"/>
    </w:p>
    <w:tbl>
      <w:tblPr>
        <w:tblStyle w:val="TableGrid"/>
        <w:tblW w:w="0" w:type="auto"/>
        <w:tblLook w:val="04A0" w:firstRow="1" w:lastRow="0" w:firstColumn="1" w:lastColumn="0" w:noHBand="0" w:noVBand="1"/>
      </w:tblPr>
      <w:tblGrid>
        <w:gridCol w:w="9016"/>
      </w:tblGrid>
      <w:tr w:rsidR="00EF4620" w14:paraId="270A1E67" w14:textId="77777777" w:rsidTr="00EF4620">
        <w:tc>
          <w:tcPr>
            <w:tcW w:w="9016" w:type="dxa"/>
          </w:tcPr>
          <w:p w14:paraId="686E3506" w14:textId="77777777" w:rsidR="0018774C" w:rsidRDefault="00EF4620" w:rsidP="00EF4620">
            <w:pPr>
              <w:rPr>
                <w:rFonts w:cs="Times New Roman"/>
                <w:b/>
                <w:szCs w:val="24"/>
                <w:lang w:val="sq-AL"/>
              </w:rPr>
            </w:pPr>
            <w:r w:rsidRPr="009475CC">
              <w:rPr>
                <w:rFonts w:cs="Times New Roman"/>
                <w:b/>
                <w:szCs w:val="24"/>
                <w:lang w:val="sq-AL"/>
              </w:rPr>
              <w:t>Objektiv</w:t>
            </w:r>
            <w:r w:rsidR="002B2F53">
              <w:rPr>
                <w:rFonts w:cs="Times New Roman"/>
                <w:b/>
                <w:szCs w:val="24"/>
                <w:lang w:val="sq-AL"/>
              </w:rPr>
              <w:t>i</w:t>
            </w:r>
            <w:r w:rsidRPr="009475CC">
              <w:rPr>
                <w:rFonts w:cs="Times New Roman"/>
                <w:b/>
                <w:szCs w:val="24"/>
                <w:lang w:val="sq-AL"/>
              </w:rPr>
              <w:t xml:space="preserve"> i përgjithshëm: </w:t>
            </w:r>
          </w:p>
          <w:p w14:paraId="1BEDC652" w14:textId="536BC4EA" w:rsidR="00EF4620" w:rsidRPr="009475CC" w:rsidRDefault="00EF4620" w:rsidP="00EF4620">
            <w:pPr>
              <w:rPr>
                <w:rFonts w:cs="Times New Roman"/>
                <w:i/>
                <w:szCs w:val="24"/>
                <w:lang w:val="sq-AL"/>
              </w:rPr>
            </w:pPr>
            <w:r w:rsidRPr="009475CC">
              <w:rPr>
                <w:rFonts w:cs="Times New Roman"/>
                <w:bCs/>
                <w:i/>
                <w:szCs w:val="24"/>
                <w:lang w:val="sq-AL"/>
              </w:rPr>
              <w:t>Vendosja në treg vetëm e produkteve të sigurta dhe në konformitet me kërkesat e legjislacionit të aplikueshëm, duke përfshirë edhe produktet e shitura/tregtuara online, për të siguruar një nivel të lartë sigurie të mbrojtjes së konsumatorëve, mbështetur në mbikëqyrjen efektive të tregut, si dhe në një infrastrukturë efektive të cilësisë, sipas praktikave më të mira evropiane.</w:t>
            </w:r>
          </w:p>
          <w:p w14:paraId="3A9FFF18" w14:textId="77777777" w:rsidR="00EF4620" w:rsidRDefault="00EF4620" w:rsidP="00126667">
            <w:pPr>
              <w:rPr>
                <w:rFonts w:cs="Times New Roman"/>
                <w:sz w:val="28"/>
                <w:szCs w:val="28"/>
                <w:lang w:val="sq-AL"/>
              </w:rPr>
            </w:pPr>
          </w:p>
        </w:tc>
      </w:tr>
    </w:tbl>
    <w:p w14:paraId="6CE1FBD0" w14:textId="77777777" w:rsidR="00EF4620" w:rsidRDefault="00EF4620" w:rsidP="00126667">
      <w:pPr>
        <w:rPr>
          <w:rFonts w:cs="Times New Roman"/>
          <w:sz w:val="28"/>
          <w:szCs w:val="28"/>
          <w:lang w:val="sq-AL"/>
        </w:rPr>
      </w:pPr>
    </w:p>
    <w:p w14:paraId="3A9D57FD" w14:textId="60FAF047" w:rsidR="00886DF9" w:rsidRPr="006E2E8F" w:rsidRDefault="00911B5A" w:rsidP="0018774C">
      <w:pPr>
        <w:pStyle w:val="Heading3"/>
        <w:numPr>
          <w:ilvl w:val="0"/>
          <w:numId w:val="0"/>
        </w:numPr>
        <w:ind w:left="431" w:hanging="431"/>
      </w:pPr>
      <w:bookmarkStart w:id="132" w:name="_Toc132277371"/>
      <w:bookmarkStart w:id="133" w:name="_Hlk121698063"/>
      <w:r>
        <w:lastRenderedPageBreak/>
        <w:t xml:space="preserve">II.1.1 </w:t>
      </w:r>
      <w:r w:rsidR="007969D8" w:rsidRPr="006E2E8F">
        <w:t>Objektivat, masat dhe indikatorët për sigurinë e produkteve ushqimore</w:t>
      </w:r>
      <w:bookmarkEnd w:id="132"/>
      <w:r w:rsidR="007969D8" w:rsidRPr="006E2E8F">
        <w:t xml:space="preserve"> </w:t>
      </w:r>
    </w:p>
    <w:p w14:paraId="5DA82C54" w14:textId="77777777" w:rsidR="006E2E8F" w:rsidRPr="007A35A8" w:rsidRDefault="002A7330" w:rsidP="00FB63B4">
      <w:pPr>
        <w:pStyle w:val="Heading4"/>
        <w:rPr>
          <w:lang w:val="sq-AL"/>
        </w:rPr>
      </w:pPr>
      <w:bookmarkStart w:id="134" w:name="_Toc132277372"/>
      <w:r w:rsidRPr="007A35A8">
        <w:rPr>
          <w:lang w:val="sq-AL"/>
        </w:rPr>
        <w:t>Ministria e Bujqësisë dhe Zhvillimit Rural</w:t>
      </w:r>
      <w:bookmarkEnd w:id="133"/>
      <w:bookmarkEnd w:id="134"/>
    </w:p>
    <w:p w14:paraId="1B7E3371" w14:textId="1D584051" w:rsidR="006E3071" w:rsidRPr="006E2E8F" w:rsidRDefault="006E3071" w:rsidP="007A35A8">
      <w:pPr>
        <w:rPr>
          <w:rFonts w:cs="Times New Roman"/>
          <w:b/>
          <w:bCs/>
          <w:sz w:val="28"/>
          <w:szCs w:val="28"/>
          <w:lang w:val="sq-AL"/>
        </w:rPr>
      </w:pPr>
      <w:r w:rsidRPr="007A35A8">
        <w:rPr>
          <w:rFonts w:eastAsia="Arial" w:cs="Times New Roman"/>
          <w:bCs/>
          <w:iCs/>
          <w:szCs w:val="24"/>
          <w:lang w:val="sq-AL"/>
        </w:rPr>
        <w:t>Në kuadër të këtij qëllimi përcaktohen objektivat e mëposhtëm:</w:t>
      </w:r>
      <w:r w:rsidRPr="006E2E8F">
        <w:rPr>
          <w:rFonts w:eastAsia="Arial" w:cs="Times New Roman"/>
          <w:bCs/>
          <w:iCs/>
          <w:szCs w:val="24"/>
          <w:lang w:val="sq-AL"/>
        </w:rPr>
        <w:t xml:space="preserve"> </w:t>
      </w:r>
    </w:p>
    <w:p w14:paraId="20AB1983" w14:textId="77777777" w:rsidR="0018774C" w:rsidRDefault="0018774C" w:rsidP="00A11F9E">
      <w:pPr>
        <w:spacing w:after="0"/>
        <w:rPr>
          <w:rFonts w:cs="Times New Roman"/>
          <w:b/>
          <w:szCs w:val="24"/>
          <w:lang w:val="sq-AL"/>
        </w:rPr>
      </w:pPr>
    </w:p>
    <w:tbl>
      <w:tblPr>
        <w:tblStyle w:val="TableGrid"/>
        <w:tblW w:w="0" w:type="auto"/>
        <w:tblLook w:val="04A0" w:firstRow="1" w:lastRow="0" w:firstColumn="1" w:lastColumn="0" w:noHBand="0" w:noVBand="1"/>
      </w:tblPr>
      <w:tblGrid>
        <w:gridCol w:w="9016"/>
      </w:tblGrid>
      <w:tr w:rsidR="0018774C" w14:paraId="465318F5" w14:textId="77777777" w:rsidTr="0018774C">
        <w:tc>
          <w:tcPr>
            <w:tcW w:w="9016" w:type="dxa"/>
          </w:tcPr>
          <w:p w14:paraId="636269E3" w14:textId="59134345" w:rsidR="0018774C" w:rsidRDefault="0018774C" w:rsidP="0018774C">
            <w:pPr>
              <w:rPr>
                <w:rFonts w:cs="Times New Roman"/>
                <w:b/>
                <w:szCs w:val="24"/>
                <w:lang w:val="sq-AL"/>
              </w:rPr>
            </w:pPr>
            <w:r w:rsidRPr="0022797D">
              <w:rPr>
                <w:rFonts w:cs="Times New Roman"/>
                <w:b/>
                <w:szCs w:val="24"/>
                <w:lang w:val="sq-AL"/>
              </w:rPr>
              <w:t xml:space="preserve">Objektivi </w:t>
            </w:r>
            <w:r w:rsidR="00AC7156">
              <w:rPr>
                <w:rFonts w:cs="Times New Roman"/>
                <w:b/>
                <w:szCs w:val="24"/>
                <w:lang w:val="sq-AL"/>
              </w:rPr>
              <w:t>1</w:t>
            </w:r>
            <w:r w:rsidRPr="0022797D">
              <w:rPr>
                <w:rFonts w:cs="Times New Roman"/>
                <w:b/>
                <w:szCs w:val="24"/>
                <w:lang w:val="sq-AL"/>
              </w:rPr>
              <w:t xml:space="preserve">: </w:t>
            </w:r>
          </w:p>
          <w:p w14:paraId="49D38A41" w14:textId="518519DB" w:rsidR="0018774C" w:rsidRPr="004017E3" w:rsidRDefault="0018774C" w:rsidP="0018774C">
            <w:pPr>
              <w:rPr>
                <w:rFonts w:cs="Times New Roman"/>
                <w:b/>
                <w:szCs w:val="24"/>
                <w:lang w:val="sq-AL"/>
              </w:rPr>
            </w:pPr>
            <w:r w:rsidRPr="004017E3">
              <w:rPr>
                <w:rFonts w:cs="Times New Roman"/>
                <w:b/>
                <w:szCs w:val="24"/>
                <w:lang w:val="sq-AL"/>
              </w:rPr>
              <w:t xml:space="preserve">Përmirësimi  i legjislacionit shqiptar duke përafruar legjislacionin shqiptar me acquis-in e BE-së dhe kërkesat ndërkombëtare të produketeve ushqimore. </w:t>
            </w:r>
          </w:p>
          <w:p w14:paraId="40743CF3" w14:textId="77777777" w:rsidR="0018774C" w:rsidRDefault="0018774C" w:rsidP="00A11F9E">
            <w:pPr>
              <w:rPr>
                <w:rFonts w:cs="Times New Roman"/>
                <w:b/>
                <w:szCs w:val="24"/>
                <w:lang w:val="sq-AL"/>
              </w:rPr>
            </w:pPr>
          </w:p>
        </w:tc>
      </w:tr>
    </w:tbl>
    <w:p w14:paraId="6556D062" w14:textId="77777777" w:rsidR="0018774C" w:rsidRDefault="0018774C" w:rsidP="00A11F9E">
      <w:pPr>
        <w:spacing w:after="0"/>
        <w:rPr>
          <w:rFonts w:cs="Times New Roman"/>
          <w:b/>
          <w:szCs w:val="24"/>
          <w:lang w:val="sq-AL"/>
        </w:rPr>
      </w:pPr>
    </w:p>
    <w:p w14:paraId="33BCA53E" w14:textId="0DCD9AFE" w:rsidR="00A11F9E" w:rsidRDefault="004017E3" w:rsidP="00A11F9E">
      <w:pPr>
        <w:spacing w:after="0"/>
        <w:jc w:val="both"/>
        <w:rPr>
          <w:rFonts w:cs="Times New Roman"/>
          <w:szCs w:val="24"/>
          <w:lang w:val="sq-AL"/>
        </w:rPr>
      </w:pPr>
      <w:r>
        <w:rPr>
          <w:rFonts w:cs="Times New Roman"/>
          <w:szCs w:val="24"/>
          <w:lang w:val="sq-AL"/>
        </w:rPr>
        <w:t>Arritja e këtij objektivi do të realizohet përmes p</w:t>
      </w:r>
      <w:r w:rsidR="006E3071" w:rsidRPr="009475CC">
        <w:rPr>
          <w:rFonts w:cs="Times New Roman"/>
          <w:szCs w:val="24"/>
          <w:lang w:val="sq-AL"/>
        </w:rPr>
        <w:t>ërditësimi</w:t>
      </w:r>
      <w:r>
        <w:rPr>
          <w:rFonts w:cs="Times New Roman"/>
          <w:szCs w:val="24"/>
          <w:lang w:val="sq-AL"/>
        </w:rPr>
        <w:t>t</w:t>
      </w:r>
      <w:r w:rsidR="006E3071" w:rsidRPr="009475CC">
        <w:rPr>
          <w:rFonts w:cs="Times New Roman"/>
          <w:szCs w:val="24"/>
          <w:lang w:val="sq-AL"/>
        </w:rPr>
        <w:t xml:space="preserve"> </w:t>
      </w:r>
      <w:r>
        <w:rPr>
          <w:rFonts w:cs="Times New Roman"/>
          <w:szCs w:val="24"/>
          <w:lang w:val="sq-AL"/>
        </w:rPr>
        <w:t>të</w:t>
      </w:r>
      <w:r w:rsidRPr="009475CC">
        <w:rPr>
          <w:rFonts w:cs="Times New Roman"/>
          <w:szCs w:val="24"/>
          <w:lang w:val="sq-AL"/>
        </w:rPr>
        <w:t xml:space="preserve"> </w:t>
      </w:r>
      <w:r w:rsidR="006E3071" w:rsidRPr="009475CC">
        <w:rPr>
          <w:rFonts w:cs="Times New Roman"/>
          <w:szCs w:val="24"/>
          <w:lang w:val="sq-AL"/>
        </w:rPr>
        <w:t>Plani</w:t>
      </w:r>
      <w:r>
        <w:rPr>
          <w:rFonts w:cs="Times New Roman"/>
          <w:szCs w:val="24"/>
          <w:lang w:val="sq-AL"/>
        </w:rPr>
        <w:t>t</w:t>
      </w:r>
      <w:r w:rsidR="006E3071" w:rsidRPr="009475CC">
        <w:rPr>
          <w:rFonts w:cs="Times New Roman"/>
          <w:szCs w:val="24"/>
          <w:lang w:val="sq-AL"/>
        </w:rPr>
        <w:t xml:space="preserve"> Kombëtar të Shqipërisë për Integrimin në BE dhe analiza e mangësive</w:t>
      </w:r>
      <w:r w:rsidR="00A11F9E">
        <w:rPr>
          <w:rFonts w:cs="Times New Roman"/>
          <w:szCs w:val="24"/>
          <w:lang w:val="sq-AL"/>
        </w:rPr>
        <w:t xml:space="preserve"> </w:t>
      </w:r>
      <w:r w:rsidR="006E3071" w:rsidRPr="009475CC">
        <w:rPr>
          <w:rFonts w:cs="Times New Roman"/>
          <w:szCs w:val="24"/>
          <w:lang w:val="sq-AL"/>
        </w:rPr>
        <w:t>legjislative për të monitoruar dhe për t'i dhënë prioritet zhvillimit të legjislacionit shqiptar në</w:t>
      </w:r>
      <w:r w:rsidR="00A11F9E">
        <w:rPr>
          <w:rFonts w:cs="Times New Roman"/>
          <w:szCs w:val="24"/>
          <w:lang w:val="sq-AL"/>
        </w:rPr>
        <w:t xml:space="preserve"> </w:t>
      </w:r>
      <w:r w:rsidR="006E3071" w:rsidRPr="009475CC">
        <w:rPr>
          <w:rFonts w:cs="Times New Roman"/>
          <w:szCs w:val="24"/>
          <w:lang w:val="sq-AL"/>
        </w:rPr>
        <w:t>përputhje me kërkesat e acquis të BE-së. Transpozimi i legjislacionit kryesor horizontal të BE</w:t>
      </w:r>
      <w:r w:rsidR="00A11F9E">
        <w:rPr>
          <w:rFonts w:cs="Times New Roman"/>
          <w:szCs w:val="24"/>
          <w:lang w:val="sq-AL"/>
        </w:rPr>
        <w:t>-</w:t>
      </w:r>
      <w:r w:rsidR="006E3071" w:rsidRPr="009475CC">
        <w:rPr>
          <w:rFonts w:cs="Times New Roman"/>
          <w:szCs w:val="24"/>
          <w:lang w:val="sq-AL"/>
        </w:rPr>
        <w:t>së po bën përparim të dukshëm në lidhje me hartimin e ligjeve të reja për kontrollet zyrtare,</w:t>
      </w:r>
      <w:r w:rsidR="00A11F9E">
        <w:rPr>
          <w:rFonts w:cs="Times New Roman"/>
          <w:szCs w:val="24"/>
          <w:lang w:val="sq-AL"/>
        </w:rPr>
        <w:t xml:space="preserve"> </w:t>
      </w:r>
      <w:r w:rsidR="006E3071" w:rsidRPr="009475CC">
        <w:rPr>
          <w:rFonts w:cs="Times New Roman"/>
          <w:szCs w:val="24"/>
          <w:lang w:val="sq-AL"/>
        </w:rPr>
        <w:t>sigurinë ushqimore, shëndetin e kafshëve dhe shëndetin e bimëve. Ky hap hedh bazat për të</w:t>
      </w:r>
      <w:r w:rsidR="00A11F9E">
        <w:rPr>
          <w:rFonts w:cs="Times New Roman"/>
          <w:szCs w:val="24"/>
          <w:lang w:val="sq-AL"/>
        </w:rPr>
        <w:t xml:space="preserve"> </w:t>
      </w:r>
      <w:r w:rsidR="006E3071" w:rsidRPr="009475CC">
        <w:rPr>
          <w:rFonts w:cs="Times New Roman"/>
          <w:szCs w:val="24"/>
          <w:lang w:val="sq-AL"/>
        </w:rPr>
        <w:t>transpozuar në mënyrë të vazhdueshme legjislacionin horizontal dhe vertikal, i cili do të mbështesë besimin në standardet dhe sistemin rregullator të Shqipërisë dhe do të rrisë potencialin për të zgjeruar eksportet në tregjet ekzistuese</w:t>
      </w:r>
      <w:r w:rsidR="006E3071" w:rsidRPr="005D4962">
        <w:rPr>
          <w:rFonts w:cs="Times New Roman"/>
          <w:szCs w:val="24"/>
          <w:lang w:val="sq-AL"/>
        </w:rPr>
        <w:t xml:space="preserve"> dhe në tregjet e reja.</w:t>
      </w:r>
    </w:p>
    <w:p w14:paraId="38FC9E85" w14:textId="77777777" w:rsidR="00A11F9E" w:rsidRDefault="00A11F9E" w:rsidP="00A11F9E">
      <w:pPr>
        <w:spacing w:after="0"/>
        <w:ind w:hanging="90"/>
        <w:rPr>
          <w:rFonts w:cs="Times New Roman"/>
          <w:szCs w:val="24"/>
          <w:lang w:val="sq-AL"/>
        </w:rPr>
      </w:pPr>
    </w:p>
    <w:p w14:paraId="01E338D0" w14:textId="77777777" w:rsidR="00A11F9E" w:rsidRDefault="006E3071" w:rsidP="00A11F9E">
      <w:pPr>
        <w:spacing w:after="0"/>
        <w:rPr>
          <w:rFonts w:cs="Times New Roman"/>
          <w:szCs w:val="24"/>
          <w:lang w:val="sq-AL" w:eastAsia="zh-TW"/>
        </w:rPr>
      </w:pPr>
      <w:r w:rsidRPr="009475CC">
        <w:rPr>
          <w:rFonts w:cs="Times New Roman"/>
          <w:b/>
          <w:szCs w:val="24"/>
          <w:lang w:val="sq-AL" w:eastAsia="zh-TW"/>
        </w:rPr>
        <w:t>Masa 1.1</w:t>
      </w:r>
      <w:r w:rsidRPr="009475CC">
        <w:rPr>
          <w:rFonts w:cs="Times New Roman"/>
          <w:szCs w:val="24"/>
          <w:lang w:val="sq-AL" w:eastAsia="zh-TW"/>
        </w:rPr>
        <w:t xml:space="preserve"> Përafrimi i legjis</w:t>
      </w:r>
      <w:r w:rsidR="002A7330">
        <w:rPr>
          <w:rFonts w:cs="Times New Roman"/>
          <w:szCs w:val="24"/>
          <w:lang w:val="sq-AL" w:eastAsia="zh-TW"/>
        </w:rPr>
        <w:t>la</w:t>
      </w:r>
      <w:r w:rsidRPr="009475CC">
        <w:rPr>
          <w:rFonts w:cs="Times New Roman"/>
          <w:szCs w:val="24"/>
          <w:lang w:val="sq-AL" w:eastAsia="zh-TW"/>
        </w:rPr>
        <w:t xml:space="preserve">cionit </w:t>
      </w:r>
      <w:r w:rsidR="002A7330" w:rsidRPr="004C6E60">
        <w:rPr>
          <w:rFonts w:cs="Times New Roman"/>
          <w:szCs w:val="24"/>
          <w:lang w:val="sq-AL" w:eastAsia="zh-TW"/>
        </w:rPr>
        <w:t>shqiptar</w:t>
      </w:r>
      <w:r w:rsidR="002A7330" w:rsidRPr="009475CC">
        <w:rPr>
          <w:rFonts w:cs="Times New Roman"/>
          <w:szCs w:val="24"/>
          <w:lang w:val="sq-AL" w:eastAsia="zh-TW"/>
        </w:rPr>
        <w:t xml:space="preserve"> </w:t>
      </w:r>
      <w:r w:rsidRPr="009475CC">
        <w:rPr>
          <w:rFonts w:cs="Times New Roman"/>
          <w:szCs w:val="24"/>
          <w:lang w:val="sq-AL" w:eastAsia="zh-TW"/>
        </w:rPr>
        <w:t>me at</w:t>
      </w:r>
      <w:r w:rsidR="002A7330">
        <w:rPr>
          <w:rFonts w:cs="Times New Roman"/>
          <w:szCs w:val="24"/>
          <w:lang w:val="sq-AL" w:eastAsia="zh-TW"/>
        </w:rPr>
        <w:t>ë</w:t>
      </w:r>
      <w:r w:rsidRPr="009475CC">
        <w:rPr>
          <w:rFonts w:cs="Times New Roman"/>
          <w:szCs w:val="24"/>
          <w:lang w:val="sq-AL" w:eastAsia="zh-TW"/>
        </w:rPr>
        <w:t xml:space="preserve"> </w:t>
      </w:r>
      <w:r w:rsidR="002A7330" w:rsidRPr="00954AEF">
        <w:rPr>
          <w:rFonts w:cs="Times New Roman"/>
          <w:szCs w:val="24"/>
          <w:lang w:val="sq-AL" w:eastAsia="zh-TW"/>
        </w:rPr>
        <w:t>europian</w:t>
      </w:r>
      <w:r w:rsidR="002A7330" w:rsidRPr="009475CC" w:rsidDel="002A7330">
        <w:rPr>
          <w:rFonts w:cs="Times New Roman"/>
          <w:szCs w:val="24"/>
          <w:lang w:val="sq-AL" w:eastAsia="zh-TW"/>
        </w:rPr>
        <w:t xml:space="preserve"> </w:t>
      </w:r>
      <w:r w:rsidRPr="009475CC">
        <w:rPr>
          <w:rFonts w:cs="Times New Roman"/>
          <w:szCs w:val="24"/>
          <w:lang w:val="sq-AL" w:eastAsia="zh-TW"/>
        </w:rPr>
        <w:t>në përputhje me kapitullin 12 të</w:t>
      </w:r>
      <w:r w:rsidR="00A11F9E">
        <w:rPr>
          <w:rFonts w:cs="Times New Roman"/>
          <w:szCs w:val="24"/>
          <w:lang w:val="sq-AL" w:eastAsia="zh-TW"/>
        </w:rPr>
        <w:t xml:space="preserve"> </w:t>
      </w:r>
      <w:r w:rsidRPr="009475CC">
        <w:rPr>
          <w:rFonts w:cs="Times New Roman"/>
          <w:szCs w:val="24"/>
          <w:lang w:val="sq-AL" w:eastAsia="zh-TW"/>
        </w:rPr>
        <w:t>acquis të BE</w:t>
      </w:r>
      <w:r w:rsidR="002A7330">
        <w:rPr>
          <w:rFonts w:cs="Times New Roman"/>
          <w:szCs w:val="24"/>
          <w:lang w:val="sq-AL" w:eastAsia="zh-TW"/>
        </w:rPr>
        <w:t>.</w:t>
      </w:r>
      <w:r w:rsidRPr="009475CC">
        <w:rPr>
          <w:rFonts w:cs="Times New Roman"/>
          <w:szCs w:val="24"/>
          <w:lang w:val="sq-AL" w:eastAsia="zh-TW"/>
        </w:rPr>
        <w:t xml:space="preserve"> </w:t>
      </w:r>
      <w:r w:rsidR="001479CD" w:rsidRPr="009475CC">
        <w:rPr>
          <w:rFonts w:cs="Times New Roman"/>
          <w:szCs w:val="24"/>
          <w:lang w:val="sq-AL" w:eastAsia="zh-TW"/>
        </w:rPr>
        <w:t>Gjate periudhes 2023-2030 do t</w:t>
      </w:r>
      <w:r w:rsidR="002A7330">
        <w:rPr>
          <w:rFonts w:cs="Times New Roman"/>
          <w:szCs w:val="24"/>
          <w:lang w:val="sq-AL" w:eastAsia="zh-TW"/>
        </w:rPr>
        <w:t>ë</w:t>
      </w:r>
      <w:r w:rsidR="001479CD" w:rsidRPr="009475CC">
        <w:rPr>
          <w:rFonts w:cs="Times New Roman"/>
          <w:szCs w:val="24"/>
          <w:lang w:val="sq-AL" w:eastAsia="zh-TW"/>
        </w:rPr>
        <w:t xml:space="preserve"> miratohen rreth 140 akteve ligjore dhe n</w:t>
      </w:r>
      <w:r w:rsidR="002A7330">
        <w:rPr>
          <w:rFonts w:cs="Times New Roman"/>
          <w:szCs w:val="24"/>
          <w:lang w:val="sq-AL" w:eastAsia="zh-TW"/>
        </w:rPr>
        <w:t>ë</w:t>
      </w:r>
      <w:r w:rsidR="001479CD" w:rsidRPr="009475CC">
        <w:rPr>
          <w:rFonts w:cs="Times New Roman"/>
          <w:szCs w:val="24"/>
          <w:lang w:val="sq-AL" w:eastAsia="zh-TW"/>
        </w:rPr>
        <w:t>nligjore</w:t>
      </w:r>
      <w:r w:rsidR="002A7330">
        <w:rPr>
          <w:rFonts w:cs="Times New Roman"/>
          <w:szCs w:val="24"/>
          <w:lang w:val="sq-AL" w:eastAsia="zh-TW"/>
        </w:rPr>
        <w:t>.</w:t>
      </w:r>
    </w:p>
    <w:p w14:paraId="7C83B8E3" w14:textId="25B09224" w:rsidR="001479CD" w:rsidRPr="009475CC" w:rsidRDefault="001479CD" w:rsidP="00A11F9E">
      <w:pPr>
        <w:spacing w:after="0"/>
        <w:rPr>
          <w:rFonts w:cs="Times New Roman"/>
          <w:szCs w:val="24"/>
          <w:lang w:val="sq-AL"/>
        </w:rPr>
      </w:pPr>
      <w:r w:rsidRPr="009475CC">
        <w:rPr>
          <w:rFonts w:cs="Times New Roman"/>
          <w:szCs w:val="24"/>
          <w:lang w:val="sq-AL" w:eastAsia="zh-TW"/>
        </w:rPr>
        <w:t xml:space="preserve"> </w:t>
      </w:r>
    </w:p>
    <w:p w14:paraId="35CE1C58" w14:textId="0DBD6C24" w:rsidR="006E3071" w:rsidRPr="009475CC" w:rsidRDefault="001479CD" w:rsidP="00A11F9E">
      <w:pPr>
        <w:spacing w:after="0"/>
        <w:rPr>
          <w:rFonts w:cs="Times New Roman"/>
          <w:szCs w:val="24"/>
          <w:highlight w:val="yellow"/>
          <w:lang w:val="sq-AL"/>
        </w:rPr>
      </w:pPr>
      <w:r w:rsidRPr="009475CC">
        <w:rPr>
          <w:rFonts w:cs="Times New Roman"/>
          <w:b/>
          <w:szCs w:val="24"/>
          <w:lang w:val="sq-AL" w:eastAsia="zh-TW"/>
        </w:rPr>
        <w:t xml:space="preserve">Masa </w:t>
      </w:r>
      <w:r w:rsidR="004017E3" w:rsidRPr="004017E3">
        <w:rPr>
          <w:rFonts w:cs="Times New Roman"/>
          <w:b/>
          <w:bCs/>
          <w:szCs w:val="24"/>
          <w:lang w:val="sq-AL" w:eastAsia="zh-TW"/>
        </w:rPr>
        <w:t>1.2</w:t>
      </w:r>
      <w:r w:rsidR="004017E3">
        <w:rPr>
          <w:rFonts w:cs="Times New Roman"/>
          <w:szCs w:val="24"/>
          <w:lang w:val="sq-AL" w:eastAsia="zh-TW"/>
        </w:rPr>
        <w:t xml:space="preserve"> </w:t>
      </w:r>
      <w:r w:rsidRPr="009475CC">
        <w:rPr>
          <w:rFonts w:cs="Times New Roman"/>
          <w:szCs w:val="24"/>
          <w:lang w:val="sq-AL" w:eastAsia="zh-TW"/>
        </w:rPr>
        <w:t xml:space="preserve">Rritja e burimeve njerëzore për përafrimin e legjislacionit shqiptar me acquis-in e BE-së dhe kërkesat ndërkombëtare. Legjislacioni i kapitullit 12 të BE-se amendohet në mënyrë të vazhdueshme dhe kërkon burime njerëzore në rritje si dhe të rriten kapacitet e tyre nëpërmjet trajnimit të vazhdueshëm të stafit. </w:t>
      </w:r>
    </w:p>
    <w:p w14:paraId="3CCD2927" w14:textId="77777777" w:rsidR="00A11F9E" w:rsidRDefault="00A11F9E" w:rsidP="009475CC">
      <w:pPr>
        <w:spacing w:after="0"/>
        <w:jc w:val="both"/>
        <w:rPr>
          <w:rFonts w:cs="Times New Roman"/>
          <w:b/>
          <w:i/>
          <w:szCs w:val="24"/>
          <w:lang w:val="sq-AL" w:eastAsia="zh-TW"/>
        </w:rPr>
      </w:pPr>
    </w:p>
    <w:p w14:paraId="648C7A99" w14:textId="3E44090E" w:rsidR="006E3071" w:rsidRPr="009475CC" w:rsidRDefault="004017E3" w:rsidP="009475CC">
      <w:pPr>
        <w:spacing w:after="0" w:line="240" w:lineRule="auto"/>
        <w:jc w:val="both"/>
        <w:rPr>
          <w:rFonts w:eastAsia="ヒラギノ角ゴ Pro W3" w:cs="Times New Roman"/>
          <w:szCs w:val="24"/>
          <w:lang w:val="sq-AL"/>
        </w:rPr>
      </w:pPr>
      <w:r w:rsidRPr="009475CC">
        <w:rPr>
          <w:rFonts w:cs="Times New Roman"/>
          <w:b/>
          <w:bCs/>
          <w:szCs w:val="24"/>
          <w:lang w:val="sq-AL" w:eastAsia="zh-TW"/>
        </w:rPr>
        <w:t>Indikatorët</w:t>
      </w:r>
      <w:r>
        <w:rPr>
          <w:rFonts w:cs="Times New Roman"/>
          <w:b/>
          <w:bCs/>
          <w:szCs w:val="24"/>
          <w:lang w:val="sq-AL" w:eastAsia="zh-TW"/>
        </w:rPr>
        <w:t xml:space="preserve">: </w:t>
      </w:r>
      <w:r w:rsidR="006E3071" w:rsidRPr="009475CC">
        <w:rPr>
          <w:rFonts w:cs="Times New Roman"/>
          <w:szCs w:val="24"/>
          <w:lang w:val="sq-AL" w:eastAsia="zh-TW"/>
        </w:rPr>
        <w:t>Gjat</w:t>
      </w:r>
      <w:r w:rsidR="002A7330">
        <w:rPr>
          <w:rFonts w:cs="Times New Roman"/>
          <w:szCs w:val="24"/>
          <w:lang w:val="sq-AL" w:eastAsia="zh-TW"/>
        </w:rPr>
        <w:t>ë</w:t>
      </w:r>
      <w:r w:rsidR="006E3071" w:rsidRPr="009475CC">
        <w:rPr>
          <w:rFonts w:cs="Times New Roman"/>
          <w:szCs w:val="24"/>
          <w:lang w:val="sq-AL" w:eastAsia="zh-TW"/>
        </w:rPr>
        <w:t xml:space="preserve"> periudhes 2023-2030 do t</w:t>
      </w:r>
      <w:r w:rsidR="008F7A24">
        <w:rPr>
          <w:rFonts w:cs="Times New Roman"/>
          <w:szCs w:val="24"/>
          <w:lang w:val="sq-AL" w:eastAsia="zh-TW"/>
        </w:rPr>
        <w:t>ë</w:t>
      </w:r>
      <w:r w:rsidR="006E3071" w:rsidRPr="009475CC">
        <w:rPr>
          <w:rFonts w:cs="Times New Roman"/>
          <w:szCs w:val="24"/>
          <w:lang w:val="sq-AL" w:eastAsia="zh-TW"/>
        </w:rPr>
        <w:t xml:space="preserve"> </w:t>
      </w:r>
      <w:r w:rsidR="006E3071" w:rsidRPr="009475CC">
        <w:rPr>
          <w:rFonts w:cs="Times New Roman"/>
          <w:b/>
          <w:szCs w:val="24"/>
          <w:lang w:val="sq-AL" w:eastAsia="zh-TW"/>
        </w:rPr>
        <w:t>miratohen rreth 140 akteve ligjore</w:t>
      </w:r>
      <w:r w:rsidR="006E3071" w:rsidRPr="009475CC">
        <w:rPr>
          <w:rFonts w:cs="Times New Roman"/>
          <w:szCs w:val="24"/>
          <w:lang w:val="sq-AL" w:eastAsia="zh-TW"/>
        </w:rPr>
        <w:t xml:space="preserve"> dhe n</w:t>
      </w:r>
      <w:r w:rsidR="008F7A24">
        <w:rPr>
          <w:rFonts w:cs="Times New Roman"/>
          <w:szCs w:val="24"/>
          <w:lang w:val="sq-AL" w:eastAsia="zh-TW"/>
        </w:rPr>
        <w:t>ë</w:t>
      </w:r>
      <w:r w:rsidR="006E3071" w:rsidRPr="009475CC">
        <w:rPr>
          <w:rFonts w:cs="Times New Roman"/>
          <w:szCs w:val="24"/>
          <w:lang w:val="sq-AL" w:eastAsia="zh-TW"/>
        </w:rPr>
        <w:t>nligjore  që do ndikoj</w:t>
      </w:r>
      <w:r w:rsidR="008F7A24">
        <w:rPr>
          <w:rFonts w:cs="Times New Roman"/>
          <w:szCs w:val="24"/>
          <w:lang w:val="sq-AL" w:eastAsia="zh-TW"/>
        </w:rPr>
        <w:t>në</w:t>
      </w:r>
      <w:r w:rsidR="006E3071" w:rsidRPr="009475CC">
        <w:rPr>
          <w:rFonts w:cs="Times New Roman"/>
          <w:szCs w:val="24"/>
          <w:lang w:val="sq-AL" w:eastAsia="zh-TW"/>
        </w:rPr>
        <w:t xml:space="preserve"> në p</w:t>
      </w:r>
      <w:r w:rsidR="008F7A24">
        <w:rPr>
          <w:rFonts w:cs="Times New Roman"/>
          <w:szCs w:val="24"/>
          <w:lang w:val="sq-AL" w:eastAsia="zh-TW"/>
        </w:rPr>
        <w:t>ë</w:t>
      </w:r>
      <w:r w:rsidR="006E3071" w:rsidRPr="009475CC">
        <w:rPr>
          <w:rFonts w:cs="Times New Roman"/>
          <w:szCs w:val="24"/>
          <w:lang w:val="sq-AL" w:eastAsia="zh-TW"/>
        </w:rPr>
        <w:t>rmir</w:t>
      </w:r>
      <w:r w:rsidR="008F7A24">
        <w:rPr>
          <w:rFonts w:cs="Times New Roman"/>
          <w:szCs w:val="24"/>
          <w:lang w:val="sq-AL" w:eastAsia="zh-TW"/>
        </w:rPr>
        <w:t>ë</w:t>
      </w:r>
      <w:r w:rsidR="006E3071" w:rsidRPr="009475CC">
        <w:rPr>
          <w:rFonts w:cs="Times New Roman"/>
          <w:szCs w:val="24"/>
          <w:lang w:val="sq-AL" w:eastAsia="zh-TW"/>
        </w:rPr>
        <w:t>simin e siguris</w:t>
      </w:r>
      <w:r w:rsidR="008F7A24">
        <w:rPr>
          <w:rFonts w:cs="Times New Roman"/>
          <w:szCs w:val="24"/>
          <w:lang w:val="sq-AL" w:eastAsia="zh-TW"/>
        </w:rPr>
        <w:t>ë</w:t>
      </w:r>
      <w:r w:rsidR="006E3071" w:rsidRPr="009475CC">
        <w:rPr>
          <w:rFonts w:cs="Times New Roman"/>
          <w:szCs w:val="24"/>
          <w:lang w:val="sq-AL" w:eastAsia="zh-TW"/>
        </w:rPr>
        <w:t xml:space="preserve"> ushqimore dhe  </w:t>
      </w:r>
      <w:r w:rsidR="006E3071" w:rsidRPr="009475CC">
        <w:rPr>
          <w:rFonts w:eastAsia="Times New Roman" w:cs="Times New Roman"/>
          <w:szCs w:val="24"/>
          <w:lang w:val="sq-AL"/>
        </w:rPr>
        <w:t xml:space="preserve">sigurimin e një niveli të lartë të mbrojtjes së shëndetit të njerëzve dhe interesave të konsumatorit është një nga prioritetet kryesore në programin politik të qeverisë shqiptare. </w:t>
      </w:r>
      <w:r w:rsidR="006E3071" w:rsidRPr="009475CC">
        <w:rPr>
          <w:rFonts w:eastAsia="ヒラギノ角ゴ Pro W3" w:cs="Times New Roman"/>
          <w:szCs w:val="24"/>
          <w:lang w:val="sq-AL"/>
        </w:rPr>
        <w:t>Lëvizja e lirë e ushqimeve të sigurta dhe të shëndetshme është një aspekt thelbësor i tregut të brendshëm dhe kontribuon ndjeshëm në shëndetin, mirëqenien dhe në interesat ekonomike dhe sociale të konsumatorëve.</w:t>
      </w:r>
    </w:p>
    <w:p w14:paraId="191F7331" w14:textId="716D4D95" w:rsidR="001479CD" w:rsidRDefault="001479CD" w:rsidP="004017E3">
      <w:pPr>
        <w:spacing w:line="240" w:lineRule="auto"/>
        <w:jc w:val="both"/>
        <w:rPr>
          <w:rFonts w:eastAsia="ヒラギノ角ゴ Pro W3" w:cs="Times New Roman"/>
          <w:color w:val="000000"/>
          <w:szCs w:val="24"/>
          <w:lang w:val="sq-AL"/>
        </w:rPr>
      </w:pPr>
      <w:r w:rsidRPr="00FB36DA">
        <w:rPr>
          <w:rFonts w:eastAsia="ヒラギノ角ゴ Pro W3" w:cs="Times New Roman"/>
          <w:color w:val="000000"/>
          <w:szCs w:val="24"/>
          <w:lang w:val="sq-AL"/>
        </w:rPr>
        <w:t>Staf i shtuar për angzhimin e për përafrimin e legjislacionit shqiptar me acquis-in e BE-së dhe kërkesat ndërkombëtare.</w:t>
      </w:r>
    </w:p>
    <w:p w14:paraId="201498AC" w14:textId="77777777" w:rsidR="00630CCF" w:rsidRPr="00FB36DA" w:rsidRDefault="00630CCF" w:rsidP="009475CC">
      <w:pPr>
        <w:spacing w:after="0" w:line="240" w:lineRule="auto"/>
        <w:jc w:val="both"/>
        <w:rPr>
          <w:rFonts w:eastAsia="Times New Roman" w:cs="Times New Roman"/>
          <w:b/>
          <w:szCs w:val="24"/>
          <w:lang w:val="sq-AL"/>
        </w:rPr>
      </w:pPr>
    </w:p>
    <w:tbl>
      <w:tblPr>
        <w:tblStyle w:val="TableGrid"/>
        <w:tblW w:w="0" w:type="auto"/>
        <w:tblLook w:val="04A0" w:firstRow="1" w:lastRow="0" w:firstColumn="1" w:lastColumn="0" w:noHBand="0" w:noVBand="1"/>
      </w:tblPr>
      <w:tblGrid>
        <w:gridCol w:w="9016"/>
      </w:tblGrid>
      <w:tr w:rsidR="004017E3" w14:paraId="3852D76C" w14:textId="77777777" w:rsidTr="004017E3">
        <w:tc>
          <w:tcPr>
            <w:tcW w:w="9016" w:type="dxa"/>
          </w:tcPr>
          <w:p w14:paraId="36EA8CC1" w14:textId="36EA4C3D" w:rsidR="004017E3" w:rsidRDefault="004017E3" w:rsidP="004017E3">
            <w:pPr>
              <w:pStyle w:val="NumberedHeading3"/>
              <w:numPr>
                <w:ilvl w:val="0"/>
                <w:numId w:val="0"/>
              </w:numPr>
              <w:spacing w:before="0" w:after="0"/>
              <w:jc w:val="both"/>
              <w:rPr>
                <w:rFonts w:cs="Times New Roman"/>
                <w:color w:val="000000" w:themeColor="text1"/>
                <w:sz w:val="24"/>
                <w:szCs w:val="24"/>
                <w:lang w:val="sq-AL"/>
              </w:rPr>
            </w:pPr>
            <w:r w:rsidRPr="0022797D">
              <w:rPr>
                <w:rFonts w:cs="Times New Roman"/>
                <w:color w:val="000000" w:themeColor="text1"/>
                <w:sz w:val="24"/>
                <w:szCs w:val="24"/>
                <w:lang w:val="sq-AL"/>
              </w:rPr>
              <w:t>O</w:t>
            </w:r>
            <w:r w:rsidRPr="0022797D">
              <w:rPr>
                <w:rFonts w:cs="Times New Roman"/>
                <w:caps w:val="0"/>
                <w:color w:val="000000" w:themeColor="text1"/>
                <w:sz w:val="24"/>
                <w:szCs w:val="24"/>
                <w:lang w:val="sq-AL"/>
              </w:rPr>
              <w:t>bjektivi</w:t>
            </w:r>
            <w:r w:rsidRPr="0022797D">
              <w:rPr>
                <w:rFonts w:cs="Times New Roman"/>
                <w:color w:val="000000" w:themeColor="text1"/>
                <w:sz w:val="24"/>
                <w:szCs w:val="24"/>
                <w:lang w:val="sq-AL"/>
              </w:rPr>
              <w:t xml:space="preserve"> </w:t>
            </w:r>
            <w:r w:rsidR="00AC7156">
              <w:rPr>
                <w:rFonts w:cs="Times New Roman"/>
                <w:color w:val="000000" w:themeColor="text1"/>
                <w:sz w:val="24"/>
                <w:szCs w:val="24"/>
                <w:lang w:val="sq-AL"/>
              </w:rPr>
              <w:t>2</w:t>
            </w:r>
            <w:r w:rsidRPr="008B3DCF">
              <w:rPr>
                <w:rFonts w:cs="Times New Roman"/>
                <w:color w:val="000000" w:themeColor="text1"/>
                <w:sz w:val="24"/>
                <w:szCs w:val="24"/>
                <w:lang w:val="sq-AL"/>
              </w:rPr>
              <w:t xml:space="preserve">: </w:t>
            </w:r>
          </w:p>
          <w:p w14:paraId="0E0BD5A8" w14:textId="1BA8D470" w:rsidR="004017E3" w:rsidRPr="00A11F9E" w:rsidRDefault="004017E3" w:rsidP="004017E3">
            <w:pPr>
              <w:pStyle w:val="NumberedHeading3"/>
              <w:numPr>
                <w:ilvl w:val="0"/>
                <w:numId w:val="0"/>
              </w:numPr>
              <w:spacing w:before="0" w:after="0"/>
              <w:jc w:val="both"/>
              <w:rPr>
                <w:rFonts w:cs="Times New Roman"/>
                <w:caps w:val="0"/>
                <w:color w:val="000000" w:themeColor="text1"/>
                <w:sz w:val="24"/>
                <w:szCs w:val="24"/>
                <w:lang w:val="sq-AL"/>
              </w:rPr>
            </w:pPr>
            <w:r w:rsidRPr="00A11F9E">
              <w:rPr>
                <w:rFonts w:cs="Times New Roman"/>
                <w:caps w:val="0"/>
                <w:color w:val="000000" w:themeColor="text1"/>
                <w:sz w:val="24"/>
                <w:szCs w:val="24"/>
                <w:lang w:val="sq-AL"/>
              </w:rPr>
              <w:t>Përmirësimi i vlerësimit dhe efikasitet të kontrolleve zyrtare ndërmjet monoitorimit.</w:t>
            </w:r>
          </w:p>
          <w:p w14:paraId="47CDAC2B" w14:textId="77777777" w:rsidR="004017E3" w:rsidRDefault="004017E3" w:rsidP="009475CC">
            <w:pPr>
              <w:pStyle w:val="NumberedHeading3"/>
              <w:numPr>
                <w:ilvl w:val="0"/>
                <w:numId w:val="0"/>
              </w:numPr>
              <w:spacing w:before="0" w:after="0"/>
              <w:jc w:val="both"/>
              <w:rPr>
                <w:rFonts w:cs="Times New Roman"/>
                <w:color w:val="000000" w:themeColor="text1"/>
                <w:sz w:val="24"/>
                <w:szCs w:val="24"/>
                <w:lang w:val="sq-AL"/>
              </w:rPr>
            </w:pPr>
          </w:p>
        </w:tc>
      </w:tr>
    </w:tbl>
    <w:p w14:paraId="4B37D112" w14:textId="77777777" w:rsidR="004017E3" w:rsidRDefault="004017E3" w:rsidP="009475CC">
      <w:pPr>
        <w:pStyle w:val="NumberedHeading3"/>
        <w:numPr>
          <w:ilvl w:val="0"/>
          <w:numId w:val="0"/>
        </w:numPr>
        <w:spacing w:before="0" w:after="0"/>
        <w:jc w:val="both"/>
        <w:rPr>
          <w:rFonts w:cs="Times New Roman"/>
          <w:color w:val="000000" w:themeColor="text1"/>
          <w:sz w:val="24"/>
          <w:szCs w:val="24"/>
          <w:lang w:val="sq-AL"/>
        </w:rPr>
      </w:pPr>
    </w:p>
    <w:p w14:paraId="5CACB391" w14:textId="754AC154" w:rsidR="006E3071" w:rsidRDefault="006E3071" w:rsidP="009475CC">
      <w:pPr>
        <w:spacing w:after="0" w:line="240" w:lineRule="auto"/>
        <w:jc w:val="both"/>
        <w:rPr>
          <w:rFonts w:eastAsia="Arial" w:cs="Times New Roman"/>
          <w:szCs w:val="24"/>
          <w:lang w:val="sq-AL"/>
        </w:rPr>
      </w:pPr>
      <w:bookmarkStart w:id="135" w:name="_Hlk139874048"/>
      <w:r w:rsidRPr="00ED6C63">
        <w:rPr>
          <w:rFonts w:eastAsia="Arial" w:cs="Times New Roman"/>
          <w:szCs w:val="24"/>
          <w:lang w:val="sq-AL"/>
        </w:rPr>
        <w:t xml:space="preserve">Sistemi kombëtar i kontrollit zyrtar duhet të ketë kapacitetin dhe aftësinë për të </w:t>
      </w:r>
      <w:r w:rsidRPr="00E45C0D">
        <w:rPr>
          <w:rFonts w:eastAsia="Arial" w:cs="Times New Roman"/>
          <w:szCs w:val="24"/>
          <w:lang w:val="sq-AL"/>
        </w:rPr>
        <w:t>monitoruar dhe raportuar mbi performancën e tij në arritjen e objektivit të përcaktuar dhe t'i nënshtrohet përmirësimeve të vazhdueshme aty ku është e nevojshme.</w:t>
      </w:r>
    </w:p>
    <w:p w14:paraId="4FE7A5EE" w14:textId="77777777" w:rsidR="00A11F9E" w:rsidRPr="004E1146" w:rsidRDefault="00A11F9E" w:rsidP="009475CC">
      <w:pPr>
        <w:spacing w:after="0" w:line="240" w:lineRule="auto"/>
        <w:jc w:val="both"/>
        <w:rPr>
          <w:rFonts w:eastAsia="Arial" w:cs="Times New Roman"/>
          <w:szCs w:val="24"/>
          <w:lang w:val="sq-AL"/>
        </w:rPr>
      </w:pPr>
    </w:p>
    <w:p w14:paraId="68719C90" w14:textId="04D58364" w:rsidR="006E3071" w:rsidRDefault="006E3071" w:rsidP="009475CC">
      <w:pPr>
        <w:spacing w:after="0" w:line="240" w:lineRule="auto"/>
        <w:jc w:val="both"/>
        <w:rPr>
          <w:rFonts w:eastAsia="Arial" w:cs="Times New Roman"/>
          <w:szCs w:val="24"/>
          <w:lang w:val="sq-AL"/>
        </w:rPr>
      </w:pPr>
      <w:bookmarkStart w:id="136" w:name="_Hlk139874008"/>
      <w:bookmarkEnd w:id="135"/>
      <w:r w:rsidRPr="005D4962">
        <w:rPr>
          <w:rFonts w:eastAsia="Arial" w:cs="Times New Roman"/>
          <w:szCs w:val="24"/>
          <w:lang w:val="sq-AL"/>
        </w:rPr>
        <w:lastRenderedPageBreak/>
        <w:t xml:space="preserve">Monitorimi dhe rishikimi i performancës i mundëson rregullatorit të kuptojë pikat e forta dhe </w:t>
      </w:r>
      <w:r w:rsidRPr="009475CC">
        <w:rPr>
          <w:rFonts w:eastAsia="Arial" w:cs="Times New Roman"/>
          <w:szCs w:val="24"/>
          <w:lang w:val="sq-AL"/>
        </w:rPr>
        <w:t>të dobëta brenda sistemeve. Përveç kësaj, duhet të rishikohen ndryshimet në mënyrën se si kryhen kontrollet zyrtare duke marrë parasysh përparimet në shkencë dhe teknologji. Është e rëndësishme që sistemi kombëtar i kontrollit ushqimor të demonstrojë aftësinë e tij për t'u përshtatur sipas rrethanave.</w:t>
      </w:r>
    </w:p>
    <w:bookmarkEnd w:id="136"/>
    <w:p w14:paraId="0E1E4456" w14:textId="77777777" w:rsidR="00A11F9E" w:rsidRPr="009475CC" w:rsidRDefault="00A11F9E" w:rsidP="009475CC">
      <w:pPr>
        <w:spacing w:after="0" w:line="240" w:lineRule="auto"/>
        <w:jc w:val="both"/>
        <w:rPr>
          <w:rFonts w:eastAsia="Arial" w:cs="Times New Roman"/>
          <w:szCs w:val="24"/>
          <w:lang w:val="sq-AL"/>
        </w:rPr>
      </w:pPr>
    </w:p>
    <w:p w14:paraId="699026D0" w14:textId="77777777" w:rsidR="006E3071" w:rsidRPr="009475CC" w:rsidRDefault="006E3071" w:rsidP="009475CC">
      <w:pPr>
        <w:spacing w:after="0" w:line="240" w:lineRule="auto"/>
        <w:jc w:val="both"/>
        <w:rPr>
          <w:rFonts w:eastAsia="Arial" w:cs="Times New Roman"/>
          <w:szCs w:val="24"/>
          <w:lang w:val="sq-AL"/>
        </w:rPr>
      </w:pPr>
      <w:r w:rsidRPr="009475CC">
        <w:rPr>
          <w:rFonts w:eastAsia="Arial" w:cs="Times New Roman"/>
          <w:szCs w:val="24"/>
          <w:lang w:val="sq-AL"/>
        </w:rPr>
        <w:t>Një sistem efektiv kombëtar i kontrollit ushqimor mund të përdorë qasje të ndryshme, elementë thelbësorë dhe komponentë të ndryshëm, sipas rrethanave kombëtare dhe siç përshkruhet në Parimet dhe Udhëzimet për Sistemet Kombëtare të Kontrollit të Ushqimit.</w:t>
      </w:r>
    </w:p>
    <w:p w14:paraId="2DDCC805" w14:textId="3A3042C7" w:rsidR="006E3071" w:rsidRDefault="006E3071" w:rsidP="009475CC">
      <w:pPr>
        <w:tabs>
          <w:tab w:val="left" w:pos="720"/>
        </w:tabs>
        <w:spacing w:after="0"/>
        <w:jc w:val="both"/>
        <w:rPr>
          <w:rFonts w:eastAsia="Arial" w:cs="Times New Roman"/>
          <w:szCs w:val="24"/>
          <w:lang w:val="sq-AL"/>
        </w:rPr>
      </w:pPr>
      <w:r w:rsidRPr="009475CC">
        <w:rPr>
          <w:rFonts w:eastAsia="Arial" w:cs="Times New Roman"/>
          <w:szCs w:val="24"/>
          <w:lang w:val="sq-AL"/>
        </w:rPr>
        <w:t>Një sistem efektiv i Sigurisë  Ushqimore mund të arrihet vetëm nëpërmjet kontrolleve zyrtare të bazuara në shkencë, shpërndarjes së burimeve të mjaftueshme dhe bashkëpunimit ndërmjet të gjitha palëve të interesuara.</w:t>
      </w:r>
    </w:p>
    <w:p w14:paraId="687E9439" w14:textId="77777777" w:rsidR="00A11F9E" w:rsidRPr="009475CC" w:rsidRDefault="00A11F9E" w:rsidP="009475CC">
      <w:pPr>
        <w:tabs>
          <w:tab w:val="left" w:pos="720"/>
        </w:tabs>
        <w:spacing w:after="0"/>
        <w:jc w:val="both"/>
        <w:rPr>
          <w:rFonts w:eastAsia="Arial" w:cs="Times New Roman"/>
          <w:szCs w:val="24"/>
          <w:lang w:val="sq-AL"/>
        </w:rPr>
      </w:pPr>
    </w:p>
    <w:p w14:paraId="047E4B8D" w14:textId="5B0936EE" w:rsidR="006E3071" w:rsidRDefault="006E3071" w:rsidP="009475CC">
      <w:pPr>
        <w:tabs>
          <w:tab w:val="left" w:pos="720"/>
        </w:tabs>
        <w:spacing w:after="0"/>
        <w:jc w:val="both"/>
        <w:rPr>
          <w:rFonts w:eastAsia="Arial" w:cs="Times New Roman"/>
          <w:szCs w:val="24"/>
          <w:lang w:val="sq-AL"/>
        </w:rPr>
      </w:pPr>
      <w:r w:rsidRPr="009475CC">
        <w:rPr>
          <w:rFonts w:eastAsia="Arial" w:cs="Times New Roman"/>
          <w:szCs w:val="24"/>
          <w:lang w:val="sq-AL"/>
        </w:rPr>
        <w:t>Investimi për zhvillimin e burimeve njerëzore të Shqipërisë dhe trajnimi i stafit zyrtar të kontrollit për t'u siguruar që kanë njohuritë për zbatimin e legjislacionit , do të ndihmojë në përmbushjen e objektivave për të ndërtuar dhe zbatuar një sistem kombëtar kontrolli të bazuar në shkencë, përmirësimin e kontrolleve zyrtare në fushën e sigurisë ushqimore me qëllim mbrojtjen e konsumatorit.</w:t>
      </w:r>
    </w:p>
    <w:p w14:paraId="0B8D3BB4" w14:textId="77777777" w:rsidR="00A11F9E" w:rsidRPr="009475CC" w:rsidRDefault="00A11F9E" w:rsidP="009475CC">
      <w:pPr>
        <w:tabs>
          <w:tab w:val="left" w:pos="720"/>
        </w:tabs>
        <w:spacing w:after="0"/>
        <w:jc w:val="both"/>
        <w:rPr>
          <w:rFonts w:eastAsia="Arial" w:cs="Times New Roman"/>
          <w:szCs w:val="24"/>
          <w:lang w:val="sq-AL"/>
        </w:rPr>
      </w:pPr>
    </w:p>
    <w:p w14:paraId="7B1B2027" w14:textId="443829CE" w:rsidR="006E3071" w:rsidRDefault="006E3071" w:rsidP="009475CC">
      <w:pPr>
        <w:tabs>
          <w:tab w:val="left" w:pos="720"/>
        </w:tabs>
        <w:spacing w:after="0" w:line="240" w:lineRule="auto"/>
        <w:jc w:val="both"/>
        <w:rPr>
          <w:rFonts w:eastAsia="Arial" w:cs="Times New Roman"/>
          <w:b/>
          <w:caps/>
          <w:szCs w:val="24"/>
          <w:lang w:val="sq-AL"/>
        </w:rPr>
      </w:pPr>
      <w:r w:rsidRPr="009475CC">
        <w:rPr>
          <w:rFonts w:cs="Times New Roman"/>
          <w:b/>
          <w:bCs/>
          <w:szCs w:val="24"/>
          <w:lang w:val="sq-AL"/>
        </w:rPr>
        <w:t xml:space="preserve">Masa </w:t>
      </w:r>
      <w:r w:rsidR="008F7A24" w:rsidRPr="009475CC">
        <w:rPr>
          <w:rFonts w:cs="Times New Roman"/>
          <w:b/>
          <w:bCs/>
          <w:szCs w:val="24"/>
          <w:lang w:val="sq-AL"/>
        </w:rPr>
        <w:t>2</w:t>
      </w:r>
      <w:r w:rsidRPr="009475CC">
        <w:rPr>
          <w:rFonts w:cs="Times New Roman"/>
          <w:b/>
          <w:bCs/>
          <w:szCs w:val="24"/>
          <w:lang w:val="sq-AL"/>
        </w:rPr>
        <w:t>.1</w:t>
      </w:r>
      <w:r w:rsidR="008F7A24" w:rsidRPr="009475CC">
        <w:rPr>
          <w:rFonts w:cs="Times New Roman"/>
          <w:b/>
          <w:bCs/>
          <w:szCs w:val="24"/>
          <w:lang w:val="sq-AL"/>
        </w:rPr>
        <w:t>:</w:t>
      </w:r>
      <w:r w:rsidRPr="009475CC">
        <w:rPr>
          <w:rFonts w:cs="Times New Roman"/>
          <w:szCs w:val="24"/>
          <w:lang w:val="sq-AL"/>
        </w:rPr>
        <w:t xml:space="preserve"> </w:t>
      </w:r>
      <w:r w:rsidRPr="009475CC">
        <w:rPr>
          <w:rFonts w:cs="Times New Roman"/>
          <w:color w:val="ED7D31" w:themeColor="accent2"/>
          <w:szCs w:val="24"/>
        </w:rPr>
        <w:t xml:space="preserve"> </w:t>
      </w:r>
      <w:r w:rsidR="008F7A24">
        <w:rPr>
          <w:rFonts w:cs="Times New Roman"/>
          <w:szCs w:val="24"/>
          <w:lang w:val="sq-AL"/>
        </w:rPr>
        <w:t>K</w:t>
      </w:r>
      <w:r w:rsidR="008F7A24" w:rsidRPr="00FB36DA">
        <w:rPr>
          <w:rFonts w:cs="Times New Roman"/>
          <w:szCs w:val="24"/>
          <w:lang w:val="sq-AL"/>
        </w:rPr>
        <w:t>rijimi i një sistem monitorimi efektiv për kontrollet zyrtare n</w:t>
      </w:r>
      <w:r w:rsidR="007A35A8">
        <w:rPr>
          <w:rFonts w:cs="Times New Roman"/>
          <w:szCs w:val="24"/>
          <w:lang w:val="sq-AL"/>
        </w:rPr>
        <w:t>ë</w:t>
      </w:r>
      <w:r w:rsidR="008F7A24" w:rsidRPr="00FB36DA">
        <w:rPr>
          <w:rFonts w:cs="Times New Roman"/>
          <w:szCs w:val="24"/>
          <w:lang w:val="sq-AL"/>
        </w:rPr>
        <w:t>p</w:t>
      </w:r>
      <w:r w:rsidR="007A35A8">
        <w:rPr>
          <w:rFonts w:cs="Times New Roman"/>
          <w:szCs w:val="24"/>
          <w:lang w:val="sq-AL"/>
        </w:rPr>
        <w:t>ë</w:t>
      </w:r>
      <w:r w:rsidR="008F7A24" w:rsidRPr="00FB36DA">
        <w:rPr>
          <w:rFonts w:cs="Times New Roman"/>
          <w:szCs w:val="24"/>
          <w:lang w:val="sq-AL"/>
        </w:rPr>
        <w:t>rmjet nj</w:t>
      </w:r>
      <w:r w:rsidR="007A35A8">
        <w:rPr>
          <w:rFonts w:cs="Times New Roman"/>
          <w:szCs w:val="24"/>
          <w:lang w:val="sq-AL"/>
        </w:rPr>
        <w:t>ë</w:t>
      </w:r>
      <w:r w:rsidR="008F7A24" w:rsidRPr="00FB36DA">
        <w:rPr>
          <w:rFonts w:cs="Times New Roman"/>
          <w:szCs w:val="24"/>
          <w:lang w:val="sq-AL"/>
        </w:rPr>
        <w:t xml:space="preserve"> strukture t</w:t>
      </w:r>
      <w:r w:rsidR="007A35A8">
        <w:rPr>
          <w:rFonts w:cs="Times New Roman"/>
          <w:szCs w:val="24"/>
          <w:lang w:val="sq-AL"/>
        </w:rPr>
        <w:t>ë</w:t>
      </w:r>
      <w:r w:rsidR="008F7A24" w:rsidRPr="00FB36DA">
        <w:rPr>
          <w:rFonts w:cs="Times New Roman"/>
          <w:szCs w:val="24"/>
          <w:lang w:val="sq-AL"/>
        </w:rPr>
        <w:t xml:space="preserve"> vecant</w:t>
      </w:r>
      <w:r w:rsidR="007A35A8">
        <w:rPr>
          <w:rFonts w:cs="Times New Roman"/>
          <w:szCs w:val="24"/>
          <w:lang w:val="sq-AL"/>
        </w:rPr>
        <w:t>ë</w:t>
      </w:r>
      <w:r w:rsidR="008F7A24" w:rsidRPr="00FB36DA">
        <w:rPr>
          <w:rFonts w:cs="Times New Roman"/>
          <w:szCs w:val="24"/>
          <w:lang w:val="sq-AL"/>
        </w:rPr>
        <w:t xml:space="preserve"> q</w:t>
      </w:r>
      <w:r w:rsidR="007A35A8">
        <w:rPr>
          <w:rFonts w:cs="Times New Roman"/>
          <w:szCs w:val="24"/>
          <w:lang w:val="sq-AL"/>
        </w:rPr>
        <w:t>ë</w:t>
      </w:r>
      <w:r w:rsidR="008F7A24" w:rsidRPr="00FB36DA">
        <w:rPr>
          <w:rFonts w:cs="Times New Roman"/>
          <w:szCs w:val="24"/>
          <w:lang w:val="sq-AL"/>
        </w:rPr>
        <w:t xml:space="preserve"> do ta b</w:t>
      </w:r>
      <w:r w:rsidR="007A35A8">
        <w:rPr>
          <w:rFonts w:cs="Times New Roman"/>
          <w:szCs w:val="24"/>
          <w:lang w:val="sq-AL"/>
        </w:rPr>
        <w:t>ë</w:t>
      </w:r>
      <w:r w:rsidR="008F7A24" w:rsidRPr="00FB36DA">
        <w:rPr>
          <w:rFonts w:cs="Times New Roman"/>
          <w:szCs w:val="24"/>
          <w:lang w:val="sq-AL"/>
        </w:rPr>
        <w:t>j</w:t>
      </w:r>
      <w:r w:rsidR="007A35A8">
        <w:rPr>
          <w:rFonts w:cs="Times New Roman"/>
          <w:szCs w:val="24"/>
          <w:lang w:val="sq-AL"/>
        </w:rPr>
        <w:t>ë</w:t>
      </w:r>
      <w:r w:rsidR="008F7A24" w:rsidRPr="00FB36DA">
        <w:rPr>
          <w:rFonts w:cs="Times New Roman"/>
          <w:szCs w:val="24"/>
          <w:lang w:val="sq-AL"/>
        </w:rPr>
        <w:t xml:space="preserve"> me efektiv </w:t>
      </w:r>
      <w:r w:rsidR="008F7A24" w:rsidRPr="00FB36DA">
        <w:rPr>
          <w:rFonts w:eastAsia="Arial" w:cs="Times New Roman"/>
          <w:szCs w:val="24"/>
          <w:lang w:val="sq-AL"/>
        </w:rPr>
        <w:t xml:space="preserve">sistemin  kombëtar </w:t>
      </w:r>
      <w:r w:rsidR="007A35A8">
        <w:rPr>
          <w:rFonts w:eastAsia="Arial" w:cs="Times New Roman"/>
          <w:szCs w:val="24"/>
          <w:lang w:val="sq-AL"/>
        </w:rPr>
        <w:t>të</w:t>
      </w:r>
      <w:r w:rsidR="008F7A24" w:rsidRPr="00FB36DA">
        <w:rPr>
          <w:rFonts w:eastAsia="Arial" w:cs="Times New Roman"/>
          <w:szCs w:val="24"/>
          <w:lang w:val="sq-AL"/>
        </w:rPr>
        <w:t xml:space="preserve"> kontrollit ushqimor i cili mund të përdorë qasje të ndryshme, elementë thelbësorë dhe komponentë të ndryshëm, sipas rrethanave kombëtare</w:t>
      </w:r>
      <w:r w:rsidRPr="0022797D">
        <w:rPr>
          <w:rFonts w:eastAsia="Arial" w:cs="Times New Roman"/>
          <w:b/>
          <w:caps/>
          <w:szCs w:val="24"/>
          <w:lang w:val="sq-AL"/>
        </w:rPr>
        <w:t>.</w:t>
      </w:r>
    </w:p>
    <w:p w14:paraId="39A88D44" w14:textId="77777777" w:rsidR="00A11F9E" w:rsidRPr="0022797D" w:rsidRDefault="00A11F9E" w:rsidP="009475CC">
      <w:pPr>
        <w:tabs>
          <w:tab w:val="left" w:pos="720"/>
        </w:tabs>
        <w:spacing w:after="0" w:line="240" w:lineRule="auto"/>
        <w:jc w:val="both"/>
        <w:rPr>
          <w:rFonts w:eastAsia="Arial" w:cs="Times New Roman"/>
          <w:b/>
          <w:szCs w:val="24"/>
          <w:lang w:val="sq-AL"/>
        </w:rPr>
      </w:pPr>
    </w:p>
    <w:p w14:paraId="7C4C4ECE" w14:textId="14DA079E" w:rsidR="006E3071" w:rsidRPr="00FB36DA" w:rsidRDefault="006E3071" w:rsidP="009475CC">
      <w:pPr>
        <w:spacing w:after="0" w:line="240" w:lineRule="auto"/>
        <w:jc w:val="both"/>
        <w:rPr>
          <w:rFonts w:eastAsia="Arial" w:cs="Times New Roman"/>
          <w:szCs w:val="24"/>
          <w:lang w:val="sq-AL"/>
        </w:rPr>
      </w:pPr>
      <w:r w:rsidRPr="009475CC">
        <w:rPr>
          <w:rFonts w:cs="Times New Roman"/>
          <w:b/>
          <w:bCs/>
          <w:szCs w:val="24"/>
          <w:lang w:val="sq-AL" w:eastAsia="zh-TW"/>
        </w:rPr>
        <w:t>Indikator</w:t>
      </w:r>
      <w:r w:rsidR="008F7A24" w:rsidRPr="009475CC">
        <w:rPr>
          <w:rFonts w:cs="Times New Roman"/>
          <w:b/>
          <w:bCs/>
          <w:szCs w:val="24"/>
          <w:lang w:val="sq-AL" w:eastAsia="zh-TW"/>
        </w:rPr>
        <w:t>ë</w:t>
      </w:r>
      <w:r w:rsidRPr="009475CC">
        <w:rPr>
          <w:rFonts w:cs="Times New Roman"/>
          <w:b/>
          <w:bCs/>
          <w:szCs w:val="24"/>
          <w:lang w:val="sq-AL" w:eastAsia="zh-TW"/>
        </w:rPr>
        <w:t>t</w:t>
      </w:r>
      <w:r w:rsidR="007C57F5">
        <w:rPr>
          <w:rFonts w:cs="Times New Roman"/>
          <w:b/>
          <w:bCs/>
          <w:szCs w:val="24"/>
          <w:lang w:val="sq-AL" w:eastAsia="zh-TW"/>
        </w:rPr>
        <w:t>:</w:t>
      </w:r>
      <w:r w:rsidR="007C57F5">
        <w:rPr>
          <w:rFonts w:cs="Times New Roman"/>
          <w:szCs w:val="24"/>
          <w:lang w:val="sq-AL" w:eastAsia="zh-TW"/>
        </w:rPr>
        <w:t xml:space="preserve"> </w:t>
      </w:r>
      <w:r w:rsidRPr="00FB36DA">
        <w:rPr>
          <w:rFonts w:cs="Times New Roman"/>
          <w:szCs w:val="24"/>
          <w:lang w:val="sq-AL" w:eastAsia="zh-TW"/>
        </w:rPr>
        <w:t>Sistemi</w:t>
      </w:r>
      <w:r w:rsidR="00A43E82" w:rsidRPr="00FB36DA">
        <w:rPr>
          <w:rFonts w:cs="Times New Roman"/>
          <w:szCs w:val="24"/>
          <w:lang w:val="sq-AL" w:eastAsia="zh-TW"/>
        </w:rPr>
        <w:t xml:space="preserve"> funksional </w:t>
      </w:r>
      <w:r w:rsidRPr="00FB36DA">
        <w:rPr>
          <w:rFonts w:cs="Times New Roman"/>
          <w:szCs w:val="24"/>
          <w:lang w:val="sq-AL" w:eastAsia="zh-TW"/>
        </w:rPr>
        <w:t xml:space="preserve"> për monitorimit ( sipas modelit te auditit te DG-SANTE) ,</w:t>
      </w:r>
      <w:r w:rsidRPr="009475CC">
        <w:rPr>
          <w:rFonts w:cs="Times New Roman"/>
          <w:szCs w:val="24"/>
          <w:lang w:val="sq-AL" w:eastAsia="zh-TW"/>
        </w:rPr>
        <w:t xml:space="preserve"> e cila </w:t>
      </w:r>
      <w:r w:rsidRPr="00FB36DA">
        <w:rPr>
          <w:rFonts w:eastAsia="Arial" w:cs="Times New Roman"/>
          <w:szCs w:val="24"/>
          <w:lang w:val="sq-AL"/>
        </w:rPr>
        <w:t>do të ketë kapacitetin dhe aftësinë për të monitoruar sistemin e kontrollit n</w:t>
      </w:r>
      <w:r w:rsidR="00786E3C">
        <w:rPr>
          <w:rFonts w:eastAsia="Arial" w:cs="Times New Roman"/>
          <w:szCs w:val="24"/>
          <w:lang w:val="sq-AL"/>
        </w:rPr>
        <w:t>ë</w:t>
      </w:r>
      <w:r w:rsidRPr="00FB36DA">
        <w:rPr>
          <w:rFonts w:eastAsia="Arial" w:cs="Times New Roman"/>
          <w:szCs w:val="24"/>
          <w:lang w:val="sq-AL"/>
        </w:rPr>
        <w:t xml:space="preserve"> nivele rajonale, </w:t>
      </w:r>
    </w:p>
    <w:p w14:paraId="1678344B" w14:textId="7BB1D02D" w:rsidR="006E3071" w:rsidRDefault="006E3071" w:rsidP="008F7A24">
      <w:pPr>
        <w:spacing w:after="0" w:line="240" w:lineRule="auto"/>
        <w:jc w:val="both"/>
        <w:rPr>
          <w:rFonts w:eastAsia="Arial" w:cs="Times New Roman"/>
          <w:szCs w:val="24"/>
          <w:lang w:val="sq-AL"/>
        </w:rPr>
      </w:pPr>
      <w:r w:rsidRPr="00FB36DA">
        <w:rPr>
          <w:rFonts w:eastAsia="Arial" w:cs="Times New Roman"/>
          <w:szCs w:val="24"/>
          <w:lang w:val="sq-AL"/>
        </w:rPr>
        <w:t xml:space="preserve">Monitorimi dhe rishikimi i </w:t>
      </w:r>
      <w:r w:rsidRPr="0022797D">
        <w:rPr>
          <w:rFonts w:eastAsia="Arial" w:cs="Times New Roman"/>
          <w:szCs w:val="24"/>
          <w:lang w:val="sq-AL"/>
        </w:rPr>
        <w:t xml:space="preserve">performancës imundëson të kuptojmë pikat e forta dhe të dobëta brenda sistemeve, si per te kuptuar si kryhen kontrollet zyrtare duke marrë parasysh përparimet në shkencë dhe teknologji. Është e </w:t>
      </w:r>
      <w:r w:rsidRPr="009475CC">
        <w:rPr>
          <w:rFonts w:eastAsia="Arial" w:cs="Times New Roman"/>
          <w:szCs w:val="24"/>
          <w:lang w:val="sq-AL"/>
        </w:rPr>
        <w:t>rëndësishme që sistemi kombëtar i kontrollit ushqimor të demonstrojë aftësinë e tij për t'u përshtatur sipas rrethanave.</w:t>
      </w:r>
    </w:p>
    <w:p w14:paraId="6F8C59A3" w14:textId="77777777" w:rsidR="008F7A24" w:rsidRPr="008B3DCF" w:rsidRDefault="008F7A24" w:rsidP="009475CC">
      <w:pPr>
        <w:spacing w:after="0" w:line="240" w:lineRule="auto"/>
        <w:jc w:val="both"/>
        <w:rPr>
          <w:rFonts w:eastAsia="Arial" w:cs="Times New Roman"/>
          <w:szCs w:val="24"/>
          <w:highlight w:val="yellow"/>
          <w:lang w:val="sq-AL"/>
        </w:rPr>
      </w:pPr>
    </w:p>
    <w:p w14:paraId="6D45111B" w14:textId="7EC90D1F" w:rsidR="007969D8" w:rsidRPr="007A35A8" w:rsidRDefault="00A11F9E" w:rsidP="004017E3">
      <w:pPr>
        <w:pStyle w:val="Heading3"/>
        <w:numPr>
          <w:ilvl w:val="0"/>
          <w:numId w:val="0"/>
        </w:numPr>
        <w:ind w:left="431" w:hanging="431"/>
      </w:pPr>
      <w:bookmarkStart w:id="137" w:name="_Toc132277373"/>
      <w:bookmarkStart w:id="138" w:name="_Hlk121698444"/>
      <w:r>
        <w:t xml:space="preserve">II.1.2 </w:t>
      </w:r>
      <w:r w:rsidR="007969D8" w:rsidRPr="007A35A8">
        <w:t>Objektivat, masat dhe indikatorët për sigurinë e produkteve jo-ushqimore</w:t>
      </w:r>
      <w:r w:rsidR="008F7A24" w:rsidRPr="007A35A8">
        <w:t>.</w:t>
      </w:r>
      <w:bookmarkEnd w:id="137"/>
    </w:p>
    <w:p w14:paraId="0C964153" w14:textId="77777777" w:rsidR="008F7A24" w:rsidRPr="007A35A8" w:rsidRDefault="008F7A24" w:rsidP="00FB63B4">
      <w:pPr>
        <w:pStyle w:val="Heading4"/>
        <w:rPr>
          <w:lang w:val="sq-AL"/>
        </w:rPr>
      </w:pPr>
      <w:bookmarkStart w:id="139" w:name="_Toc132277374"/>
      <w:r w:rsidRPr="007A35A8">
        <w:rPr>
          <w:lang w:val="sq-AL"/>
        </w:rPr>
        <w:t>Ministria e Financave dhe Ekonomisë</w:t>
      </w:r>
      <w:bookmarkEnd w:id="139"/>
    </w:p>
    <w:tbl>
      <w:tblPr>
        <w:tblStyle w:val="TableGrid"/>
        <w:tblW w:w="0" w:type="auto"/>
        <w:tblLook w:val="04A0" w:firstRow="1" w:lastRow="0" w:firstColumn="1" w:lastColumn="0" w:noHBand="0" w:noVBand="1"/>
      </w:tblPr>
      <w:tblGrid>
        <w:gridCol w:w="9016"/>
      </w:tblGrid>
      <w:tr w:rsidR="004017E3" w14:paraId="53F79ECD" w14:textId="77777777" w:rsidTr="004017E3">
        <w:tc>
          <w:tcPr>
            <w:tcW w:w="9016" w:type="dxa"/>
          </w:tcPr>
          <w:p w14:paraId="0595B79F" w14:textId="557B8B9D" w:rsidR="004017E3" w:rsidRDefault="004017E3" w:rsidP="004017E3">
            <w:pPr>
              <w:contextualSpacing/>
              <w:jc w:val="both"/>
              <w:rPr>
                <w:rFonts w:cs="Times New Roman"/>
                <w:b/>
                <w:i/>
                <w:szCs w:val="24"/>
                <w:lang w:val="sq-AL"/>
              </w:rPr>
            </w:pPr>
            <w:bookmarkStart w:id="140" w:name="_Hlk117243976"/>
            <w:bookmarkEnd w:id="138"/>
            <w:r w:rsidRPr="009475CC">
              <w:rPr>
                <w:rFonts w:cs="Times New Roman"/>
                <w:b/>
                <w:iCs/>
                <w:szCs w:val="24"/>
                <w:lang w:val="sq-AL"/>
              </w:rPr>
              <w:t>Objektivi</w:t>
            </w:r>
            <w:r>
              <w:rPr>
                <w:rFonts w:cs="Times New Roman"/>
                <w:b/>
                <w:iCs/>
                <w:szCs w:val="24"/>
                <w:lang w:val="sq-AL"/>
              </w:rPr>
              <w:t xml:space="preserve"> </w:t>
            </w:r>
            <w:r w:rsidR="00AC7156">
              <w:rPr>
                <w:rFonts w:cs="Times New Roman"/>
                <w:b/>
                <w:iCs/>
                <w:szCs w:val="24"/>
                <w:lang w:val="sq-AL"/>
              </w:rPr>
              <w:t>3</w:t>
            </w:r>
            <w:r>
              <w:rPr>
                <w:rFonts w:cs="Times New Roman"/>
                <w:b/>
                <w:iCs/>
                <w:szCs w:val="24"/>
                <w:lang w:val="sq-AL"/>
              </w:rPr>
              <w:t>:</w:t>
            </w:r>
            <w:r w:rsidRPr="009475CC">
              <w:rPr>
                <w:rFonts w:cs="Times New Roman"/>
                <w:b/>
                <w:i/>
                <w:szCs w:val="24"/>
                <w:lang w:val="sq-AL"/>
              </w:rPr>
              <w:t xml:space="preserve"> </w:t>
            </w:r>
          </w:p>
          <w:p w14:paraId="7B231CA3" w14:textId="5BB1FE31" w:rsidR="004017E3" w:rsidRPr="004017E3" w:rsidRDefault="004017E3" w:rsidP="004017E3">
            <w:pPr>
              <w:contextualSpacing/>
              <w:jc w:val="both"/>
              <w:rPr>
                <w:rFonts w:cs="Times New Roman"/>
                <w:b/>
                <w:i/>
                <w:szCs w:val="24"/>
                <w:lang w:val="sq-AL"/>
              </w:rPr>
            </w:pPr>
            <w:r w:rsidRPr="004017E3">
              <w:rPr>
                <w:rFonts w:cs="Times New Roman"/>
                <w:b/>
                <w:iCs/>
                <w:szCs w:val="24"/>
                <w:lang w:val="sq-AL"/>
              </w:rPr>
              <w:t>Përmirësimi i kuadrit ligjor për sigurinë e produkteve/ grup produkteve / pajisjeve/ instalimeve jo ushqimore</w:t>
            </w:r>
            <w:r w:rsidRPr="004017E3">
              <w:rPr>
                <w:rFonts w:cs="Times New Roman"/>
                <w:b/>
                <w:i/>
                <w:szCs w:val="24"/>
                <w:lang w:val="sq-AL"/>
              </w:rPr>
              <w:t>.</w:t>
            </w:r>
          </w:p>
          <w:p w14:paraId="1C2509DA" w14:textId="77777777" w:rsidR="004017E3" w:rsidRDefault="004017E3" w:rsidP="007969D8">
            <w:pPr>
              <w:contextualSpacing/>
              <w:jc w:val="both"/>
              <w:rPr>
                <w:rFonts w:cs="Times New Roman"/>
                <w:b/>
                <w:iCs/>
                <w:szCs w:val="24"/>
                <w:lang w:val="sq-AL"/>
              </w:rPr>
            </w:pPr>
          </w:p>
        </w:tc>
      </w:tr>
    </w:tbl>
    <w:p w14:paraId="4CE87EA6" w14:textId="77777777" w:rsidR="004017E3" w:rsidRDefault="004017E3" w:rsidP="007969D8">
      <w:pPr>
        <w:contextualSpacing/>
        <w:jc w:val="both"/>
        <w:rPr>
          <w:rFonts w:cs="Times New Roman"/>
          <w:b/>
          <w:iCs/>
          <w:szCs w:val="24"/>
          <w:lang w:val="sq-AL"/>
        </w:rPr>
      </w:pPr>
    </w:p>
    <w:bookmarkEnd w:id="140"/>
    <w:p w14:paraId="705F82C9" w14:textId="77777777" w:rsidR="004017E3" w:rsidRDefault="007969D8" w:rsidP="009475CC">
      <w:pPr>
        <w:spacing w:after="0"/>
        <w:jc w:val="both"/>
        <w:rPr>
          <w:rFonts w:cs="Times New Roman"/>
          <w:szCs w:val="24"/>
          <w:lang w:val="sq-AL"/>
        </w:rPr>
      </w:pPr>
      <w:r w:rsidRPr="009475CC">
        <w:rPr>
          <w:rFonts w:cs="Times New Roman"/>
          <w:szCs w:val="24"/>
          <w:lang w:val="sq-AL"/>
        </w:rPr>
        <w:t xml:space="preserve">Legjislacioni lidhur me kërkesat e sigurisë së produkteve/grup produkteve/pajisjeve/instalimeve jo ushqimore përbën një pjesë të konsiderueshme të acquis dhe në vijim të progresit të arritur për transpozimin e tij duke filluar që nga viti 2007, është i nevojshëm vijimi i procesit të transpozimit të plotë të legjislacionit teknik të produkteve dhe ndjekja e zhvillimeve në nivel evropian për përditësimin e legjislacionit duke u bazuar edhe në prioritetet apo problematikat e vendit. </w:t>
      </w:r>
    </w:p>
    <w:p w14:paraId="42E196CF" w14:textId="517E2BB4" w:rsidR="007969D8" w:rsidRPr="009475CC" w:rsidRDefault="007969D8" w:rsidP="009475CC">
      <w:pPr>
        <w:spacing w:after="0"/>
        <w:jc w:val="both"/>
        <w:rPr>
          <w:rFonts w:cs="Times New Roman"/>
          <w:szCs w:val="24"/>
          <w:lang w:val="sq-AL"/>
        </w:rPr>
      </w:pPr>
      <w:r w:rsidRPr="009475CC">
        <w:rPr>
          <w:rFonts w:cs="Times New Roman"/>
          <w:szCs w:val="24"/>
          <w:lang w:val="sq-AL"/>
        </w:rPr>
        <w:t xml:space="preserve">   </w:t>
      </w:r>
    </w:p>
    <w:p w14:paraId="63635133" w14:textId="77777777" w:rsidR="007969D8" w:rsidRPr="009475CC" w:rsidRDefault="007969D8" w:rsidP="009475CC">
      <w:pPr>
        <w:spacing w:after="0"/>
        <w:jc w:val="both"/>
        <w:rPr>
          <w:rFonts w:cs="Times New Roman"/>
          <w:szCs w:val="24"/>
          <w:lang w:val="sq-AL"/>
        </w:rPr>
      </w:pPr>
      <w:r w:rsidRPr="009475CC">
        <w:rPr>
          <w:rFonts w:cs="Times New Roman"/>
          <w:szCs w:val="24"/>
          <w:lang w:val="sq-AL"/>
        </w:rPr>
        <w:t xml:space="preserve">Mbikëqyrja efektive dhe efiçente e zbatimit të kërkesave të sigurisë synon të garantojë që produktet në treg janë në përputhje me kërkesat teknike të sigurisë në lidhje me to. Ky objektiv </w:t>
      </w:r>
      <w:r w:rsidRPr="009475CC">
        <w:rPr>
          <w:rFonts w:cs="Times New Roman"/>
          <w:szCs w:val="24"/>
          <w:lang w:val="sq-AL"/>
        </w:rPr>
        <w:lastRenderedPageBreak/>
        <w:t>i politikës për përmirësimin e mëtejshëm të legjislacionit dhe mbikëqyrjes, mbetet një nga prioritetet e ministrive përkatëse të linjës, sipas fushave përkatëse të përgjegjësisë, me qëllim rritjen e nivelit të sigurisë së produkteve që ofrohen në treg dhe rritjen e nivelit të besimit të konsumatorëve.</w:t>
      </w:r>
    </w:p>
    <w:p w14:paraId="1BE9361D" w14:textId="77777777" w:rsidR="004017E3" w:rsidRDefault="007969D8" w:rsidP="009475CC">
      <w:pPr>
        <w:spacing w:after="0"/>
        <w:jc w:val="both"/>
        <w:rPr>
          <w:rFonts w:cs="Times New Roman"/>
          <w:szCs w:val="24"/>
          <w:lang w:val="sq-AL"/>
        </w:rPr>
      </w:pPr>
      <w:r w:rsidRPr="009475CC">
        <w:rPr>
          <w:rFonts w:cs="Times New Roman"/>
          <w:szCs w:val="24"/>
          <w:lang w:val="sq-AL"/>
        </w:rPr>
        <w:t>Një aspekt tejet i rëndësishëm në kuadër të këtij objektivi është edhe funksionimi efektiv i institucioneve të infrastrukturës së cilësisë sipas praktikave më të mira evropiane, duke përbërë një mbështetje të rëndësishme për një treg të sigurt për konsumatorët.</w:t>
      </w:r>
    </w:p>
    <w:p w14:paraId="742EEEBC" w14:textId="1B295687" w:rsidR="007969D8" w:rsidRPr="009475CC" w:rsidRDefault="007969D8" w:rsidP="009475CC">
      <w:pPr>
        <w:spacing w:after="0"/>
        <w:jc w:val="both"/>
        <w:rPr>
          <w:rFonts w:cs="Times New Roman"/>
          <w:szCs w:val="24"/>
          <w:lang w:val="sq-AL"/>
        </w:rPr>
      </w:pPr>
      <w:r w:rsidRPr="009475CC">
        <w:rPr>
          <w:rFonts w:cs="Times New Roman"/>
          <w:szCs w:val="24"/>
          <w:lang w:val="sq-AL"/>
        </w:rPr>
        <w:t xml:space="preserve"> </w:t>
      </w:r>
    </w:p>
    <w:p w14:paraId="4789A100" w14:textId="60CD13D0" w:rsidR="007969D8" w:rsidRPr="009475CC" w:rsidRDefault="007969D8" w:rsidP="009475CC">
      <w:pPr>
        <w:spacing w:after="0"/>
        <w:jc w:val="both"/>
        <w:rPr>
          <w:rFonts w:cs="Times New Roman"/>
          <w:b/>
          <w:i/>
          <w:szCs w:val="24"/>
          <w:lang w:val="sq-AL"/>
        </w:rPr>
      </w:pPr>
      <w:r w:rsidRPr="009475CC">
        <w:rPr>
          <w:rFonts w:cs="Times New Roman"/>
          <w:b/>
          <w:iCs/>
          <w:szCs w:val="24"/>
          <w:lang w:val="sq-AL"/>
        </w:rPr>
        <w:t xml:space="preserve">Masa </w:t>
      </w:r>
      <w:r w:rsidR="004017E3">
        <w:rPr>
          <w:rFonts w:cs="Times New Roman"/>
          <w:b/>
          <w:iCs/>
          <w:szCs w:val="24"/>
          <w:lang w:val="sq-AL"/>
        </w:rPr>
        <w:t>3.</w:t>
      </w:r>
      <w:r w:rsidRPr="009475CC">
        <w:rPr>
          <w:rFonts w:cs="Times New Roman"/>
          <w:b/>
          <w:iCs/>
          <w:szCs w:val="24"/>
          <w:lang w:val="sq-AL"/>
        </w:rPr>
        <w:t>1:</w:t>
      </w:r>
      <w:r w:rsidRPr="009475CC">
        <w:rPr>
          <w:rFonts w:cs="Times New Roman"/>
          <w:b/>
          <w:i/>
          <w:szCs w:val="24"/>
          <w:lang w:val="sq-AL"/>
        </w:rPr>
        <w:t xml:space="preserve"> </w:t>
      </w:r>
      <w:r w:rsidRPr="009475CC">
        <w:rPr>
          <w:rFonts w:cs="Times New Roman"/>
          <w:bCs/>
          <w:iCs/>
          <w:szCs w:val="24"/>
          <w:lang w:val="sq-AL"/>
        </w:rPr>
        <w:t>Harmonizimi i legjislacionit shqiptar në përputhje me legjislacionin Europian</w:t>
      </w:r>
      <w:r w:rsidRPr="009475CC">
        <w:rPr>
          <w:rFonts w:cs="Times New Roman"/>
          <w:b/>
          <w:i/>
          <w:szCs w:val="24"/>
          <w:lang w:val="sq-AL"/>
        </w:rPr>
        <w:t>.</w:t>
      </w:r>
    </w:p>
    <w:p w14:paraId="05F25CD6" w14:textId="77777777" w:rsidR="007969D8" w:rsidRPr="009475CC" w:rsidRDefault="007969D8" w:rsidP="009475CC">
      <w:pPr>
        <w:spacing w:after="0"/>
        <w:jc w:val="both"/>
        <w:rPr>
          <w:rFonts w:cs="Times New Roman"/>
          <w:szCs w:val="24"/>
          <w:lang w:val="sq-AL"/>
        </w:rPr>
      </w:pPr>
      <w:bookmarkStart w:id="141" w:name="_Hlk117247245"/>
      <w:r w:rsidRPr="009475CC">
        <w:rPr>
          <w:rFonts w:cs="Times New Roman"/>
          <w:szCs w:val="24"/>
          <w:lang w:val="sq-AL"/>
        </w:rPr>
        <w:t xml:space="preserve">Masa për përmirësimin e legjislacionit do të synojë arritjen e një shkalle më të lartë të përafrimit/harmonizimit me acquis e BE, duke qenë në përputhje me zhvillimet në nivel europian dhe në përmbushje të nevojave/boshllëqeve që ekzistojnë në legjislacionin aktual vendas, sa i takon fushës së sigurisë së produkteve. </w:t>
      </w:r>
    </w:p>
    <w:p w14:paraId="5936A44E" w14:textId="77777777" w:rsidR="004017E3" w:rsidRDefault="004017E3" w:rsidP="009475CC">
      <w:pPr>
        <w:contextualSpacing/>
        <w:rPr>
          <w:rFonts w:cs="Times New Roman"/>
          <w:b/>
          <w:bCs/>
          <w:szCs w:val="24"/>
          <w:lang w:val="sq-AL"/>
        </w:rPr>
      </w:pPr>
    </w:p>
    <w:p w14:paraId="0CCDE9A3" w14:textId="77777777" w:rsidR="004017E3" w:rsidRDefault="007969D8" w:rsidP="009475CC">
      <w:pPr>
        <w:contextualSpacing/>
        <w:rPr>
          <w:rFonts w:cs="Times New Roman"/>
          <w:szCs w:val="24"/>
          <w:lang w:val="sq-AL"/>
        </w:rPr>
      </w:pPr>
      <w:r w:rsidRPr="009475CC">
        <w:rPr>
          <w:rFonts w:cs="Times New Roman"/>
          <w:b/>
          <w:bCs/>
          <w:szCs w:val="24"/>
          <w:lang w:val="sq-AL"/>
        </w:rPr>
        <w:t>Treguesit /Indikatorët</w:t>
      </w:r>
      <w:r w:rsidR="00FC25EE">
        <w:rPr>
          <w:rFonts w:cs="Times New Roman"/>
          <w:b/>
          <w:bCs/>
          <w:szCs w:val="24"/>
          <w:lang w:val="sq-AL"/>
        </w:rPr>
        <w:t xml:space="preserve">: </w:t>
      </w:r>
      <w:r w:rsidRPr="009475CC">
        <w:rPr>
          <w:rFonts w:cs="Times New Roman"/>
          <w:szCs w:val="24"/>
          <w:lang w:val="sq-AL"/>
        </w:rPr>
        <w:t>Kjo masë do të ketë si tregues të drejtpërdrejtë aktet ligjore/</w:t>
      </w:r>
      <w:r w:rsidR="00FC25EE">
        <w:rPr>
          <w:rFonts w:cs="Times New Roman"/>
          <w:szCs w:val="24"/>
          <w:lang w:val="sq-AL"/>
        </w:rPr>
        <w:t xml:space="preserve"> </w:t>
      </w:r>
      <w:r w:rsidRPr="009475CC">
        <w:rPr>
          <w:rFonts w:cs="Times New Roman"/>
          <w:szCs w:val="24"/>
          <w:lang w:val="sq-AL"/>
        </w:rPr>
        <w:t>nënligjore të miratuara, sipas fushës së përgjegjësisë së çdo ministrie, që do t’i nënshtrohen një procesi konsultimi jo vetëm me ministritë dhe institucionet përkatëse shtetërore por edhe me komunitetin e biznesit, organizatat e konsumatorëve. Konkretisht, do të miratohen 16 akte ligjore të fushës së sigurisë së produkteve që bien nën përgjegjësinë e Ministrisë së Financave dhe Ekonomisë.</w:t>
      </w:r>
    </w:p>
    <w:p w14:paraId="76CEF605" w14:textId="664C00F7" w:rsidR="007969D8" w:rsidRPr="009475CC" w:rsidRDefault="007969D8" w:rsidP="009475CC">
      <w:pPr>
        <w:contextualSpacing/>
        <w:rPr>
          <w:rFonts w:cs="Times New Roman"/>
          <w:szCs w:val="24"/>
          <w:lang w:val="sq-AL"/>
        </w:rPr>
      </w:pPr>
      <w:r w:rsidRPr="009475CC">
        <w:rPr>
          <w:rFonts w:cs="Times New Roman"/>
          <w:szCs w:val="24"/>
          <w:lang w:val="sq-AL"/>
        </w:rPr>
        <w:t xml:space="preserve"> </w:t>
      </w:r>
      <w:bookmarkEnd w:id="141"/>
    </w:p>
    <w:p w14:paraId="7CC102BE" w14:textId="517DA704" w:rsidR="007969D8" w:rsidRDefault="007969D8" w:rsidP="009475CC">
      <w:pPr>
        <w:spacing w:after="0" w:line="240" w:lineRule="auto"/>
        <w:jc w:val="both"/>
        <w:rPr>
          <w:rFonts w:cs="Times New Roman"/>
          <w:bCs/>
          <w:iCs/>
          <w:szCs w:val="24"/>
          <w:lang w:val="sq-AL"/>
        </w:rPr>
      </w:pPr>
      <w:r w:rsidRPr="009475CC">
        <w:rPr>
          <w:rFonts w:cs="Times New Roman"/>
          <w:b/>
          <w:iCs/>
          <w:szCs w:val="24"/>
          <w:lang w:val="sq-AL"/>
        </w:rPr>
        <w:t xml:space="preserve">Masa </w:t>
      </w:r>
      <w:r w:rsidR="004017E3">
        <w:rPr>
          <w:rFonts w:cs="Times New Roman"/>
          <w:b/>
          <w:iCs/>
          <w:szCs w:val="24"/>
          <w:lang w:val="sq-AL"/>
        </w:rPr>
        <w:t>3.</w:t>
      </w:r>
      <w:r w:rsidRPr="009475CC">
        <w:rPr>
          <w:rFonts w:cs="Times New Roman"/>
          <w:b/>
          <w:iCs/>
          <w:szCs w:val="24"/>
          <w:lang w:val="sq-AL"/>
        </w:rPr>
        <w:t>2:</w:t>
      </w:r>
      <w:r w:rsidR="007A35A8">
        <w:rPr>
          <w:rFonts w:cs="Times New Roman"/>
          <w:bCs/>
          <w:iCs/>
          <w:szCs w:val="24"/>
          <w:lang w:val="sq-AL"/>
        </w:rPr>
        <w:t xml:space="preserve"> </w:t>
      </w:r>
      <w:r w:rsidRPr="009475CC">
        <w:rPr>
          <w:rFonts w:cs="Times New Roman"/>
          <w:bCs/>
          <w:iCs/>
          <w:szCs w:val="24"/>
          <w:lang w:val="sq-AL"/>
        </w:rPr>
        <w:t>Përditësimi i Planit të Veprimit për Përputhshmërinë me nenet 34 – 36 të Traktatit të Funksionimit të Bashkimit Europian (TFBE).</w:t>
      </w:r>
    </w:p>
    <w:p w14:paraId="5C7D282F" w14:textId="77777777" w:rsidR="004017E3" w:rsidRPr="009475CC" w:rsidRDefault="004017E3" w:rsidP="009475CC">
      <w:pPr>
        <w:spacing w:after="0" w:line="240" w:lineRule="auto"/>
        <w:jc w:val="both"/>
        <w:rPr>
          <w:rFonts w:cs="Times New Roman"/>
          <w:b/>
          <w:i/>
          <w:szCs w:val="24"/>
          <w:lang w:val="sq-AL"/>
        </w:rPr>
      </w:pPr>
    </w:p>
    <w:p w14:paraId="7888D009" w14:textId="77777777" w:rsidR="004017E3" w:rsidRDefault="007969D8" w:rsidP="009475CC">
      <w:pPr>
        <w:spacing w:after="0" w:line="240" w:lineRule="auto"/>
        <w:jc w:val="both"/>
        <w:rPr>
          <w:rFonts w:cs="Times New Roman"/>
          <w:szCs w:val="24"/>
          <w:lang w:val="sq-AL"/>
        </w:rPr>
      </w:pPr>
      <w:r w:rsidRPr="009475CC">
        <w:rPr>
          <w:rFonts w:cs="Times New Roman"/>
          <w:szCs w:val="24"/>
          <w:lang w:val="sq-AL"/>
        </w:rPr>
        <w:t>Masa për përditësimin e Planit të Veprimit për Përputhshmërinë me nenet 34 – 36 të TFBE synon vijim e procesit të identifikimit të pengesave ekzistuese të panevojshme për tregtinë e mallrave në Shqipëri dhe heqjes ose ndryshimit të tyre në përputhje me parimin e njohjes reciproke. Plani i Veprimit i përditësuar me sektorët/produktet e pashqyrtuara ende, do të mundësojë harmonizimin sistematik dhe gradual të legjislacionit dhe praktikave administrative shqiptare me kërkesat e legjislacionit të BE në përputhje me parimin e lëvizjes së lirë të mallrave.</w:t>
      </w:r>
    </w:p>
    <w:p w14:paraId="139326A4" w14:textId="196FFEA5" w:rsidR="007969D8" w:rsidRPr="009475CC" w:rsidRDefault="007969D8" w:rsidP="009475CC">
      <w:pPr>
        <w:spacing w:after="0" w:line="240" w:lineRule="auto"/>
        <w:jc w:val="both"/>
        <w:rPr>
          <w:rFonts w:cs="Times New Roman"/>
          <w:szCs w:val="24"/>
          <w:lang w:val="sq-AL"/>
        </w:rPr>
      </w:pPr>
      <w:r w:rsidRPr="009475CC">
        <w:rPr>
          <w:rFonts w:cs="Times New Roman"/>
          <w:szCs w:val="24"/>
          <w:lang w:val="sq-AL"/>
        </w:rPr>
        <w:t xml:space="preserve"> </w:t>
      </w:r>
    </w:p>
    <w:p w14:paraId="64FC90CA" w14:textId="5B8779B6" w:rsidR="009D6DB4" w:rsidRPr="009475CC" w:rsidRDefault="007969D8" w:rsidP="007969D8">
      <w:pPr>
        <w:contextualSpacing/>
        <w:jc w:val="both"/>
        <w:rPr>
          <w:rFonts w:cs="Times New Roman"/>
          <w:szCs w:val="24"/>
          <w:lang w:val="sq-AL"/>
        </w:rPr>
      </w:pPr>
      <w:r w:rsidRPr="009475CC">
        <w:rPr>
          <w:rFonts w:cs="Times New Roman"/>
          <w:b/>
          <w:bCs/>
          <w:szCs w:val="24"/>
          <w:lang w:val="sq-AL"/>
        </w:rPr>
        <w:t>Treguesit /Indikatorët</w:t>
      </w:r>
      <w:r w:rsidR="00FC25EE">
        <w:rPr>
          <w:rFonts w:cs="Times New Roman"/>
          <w:b/>
          <w:bCs/>
          <w:szCs w:val="24"/>
          <w:lang w:val="sq-AL"/>
        </w:rPr>
        <w:t>:</w:t>
      </w:r>
      <w:r w:rsidR="00FC25EE">
        <w:rPr>
          <w:rFonts w:cs="Times New Roman"/>
          <w:szCs w:val="24"/>
          <w:lang w:val="sq-AL"/>
        </w:rPr>
        <w:t xml:space="preserve"> </w:t>
      </w:r>
      <w:r w:rsidR="0057178C" w:rsidRPr="009475CC">
        <w:rPr>
          <w:rFonts w:cs="Times New Roman"/>
          <w:szCs w:val="24"/>
          <w:lang w:val="sq-AL"/>
        </w:rPr>
        <w:t xml:space="preserve">Kjo masë do të ketë si tregues të drejtpërdrejtë miratimin e një Plani Veprimi për Përputhshmërinë me nenet 34 – 36 të TFBE, për identifikimin e pengesave ekzistuese të panevojshme për tregtinë e mallrave për sektorët/produktet që nuk janë analizuar gjatë fazës së parë të përgatitjes së dokumentit (kryer gjatë periudhës 2020-2022). </w:t>
      </w:r>
    </w:p>
    <w:p w14:paraId="11284D61" w14:textId="1BDB6531" w:rsidR="00A108DA" w:rsidRPr="007A35A8" w:rsidRDefault="00A108DA" w:rsidP="00FB63B4">
      <w:pPr>
        <w:pStyle w:val="Heading4"/>
        <w:rPr>
          <w:lang w:val="sq-AL"/>
        </w:rPr>
      </w:pPr>
      <w:bookmarkStart w:id="142" w:name="_Toc132277375"/>
      <w:bookmarkStart w:id="143" w:name="_Hlk121698635"/>
      <w:r w:rsidRPr="007A35A8">
        <w:rPr>
          <w:lang w:val="sq-AL"/>
        </w:rPr>
        <w:t>M</w:t>
      </w:r>
      <w:r w:rsidR="00596A31" w:rsidRPr="007A35A8">
        <w:rPr>
          <w:lang w:val="sq-AL"/>
        </w:rPr>
        <w:t xml:space="preserve">inistria e </w:t>
      </w:r>
      <w:r w:rsidRPr="007A35A8">
        <w:rPr>
          <w:lang w:val="sq-AL"/>
        </w:rPr>
        <w:t>T</w:t>
      </w:r>
      <w:r w:rsidR="00596A31" w:rsidRPr="007A35A8">
        <w:rPr>
          <w:lang w:val="sq-AL"/>
        </w:rPr>
        <w:t>urizmit dhe Mjedisit</w:t>
      </w:r>
      <w:bookmarkEnd w:id="142"/>
    </w:p>
    <w:tbl>
      <w:tblPr>
        <w:tblStyle w:val="TableGrid"/>
        <w:tblW w:w="0" w:type="auto"/>
        <w:tblLook w:val="04A0" w:firstRow="1" w:lastRow="0" w:firstColumn="1" w:lastColumn="0" w:noHBand="0" w:noVBand="1"/>
      </w:tblPr>
      <w:tblGrid>
        <w:gridCol w:w="9016"/>
      </w:tblGrid>
      <w:tr w:rsidR="00785AAF" w14:paraId="748B6C83" w14:textId="77777777" w:rsidTr="00785AAF">
        <w:tc>
          <w:tcPr>
            <w:tcW w:w="9016" w:type="dxa"/>
          </w:tcPr>
          <w:bookmarkEnd w:id="143"/>
          <w:p w14:paraId="58B5B10F" w14:textId="1580F7E5" w:rsidR="00785AAF" w:rsidRDefault="00785AAF" w:rsidP="00785AAF">
            <w:pPr>
              <w:contextualSpacing/>
              <w:jc w:val="both"/>
              <w:rPr>
                <w:rFonts w:cs="Times New Roman"/>
                <w:szCs w:val="24"/>
                <w:lang w:val="sq-AL"/>
              </w:rPr>
            </w:pPr>
            <w:r w:rsidRPr="009475CC">
              <w:rPr>
                <w:rFonts w:cs="Times New Roman"/>
                <w:b/>
                <w:szCs w:val="24"/>
                <w:lang w:val="sq-AL"/>
              </w:rPr>
              <w:t>Objekti</w:t>
            </w:r>
            <w:r>
              <w:rPr>
                <w:rFonts w:cs="Times New Roman"/>
                <w:b/>
                <w:szCs w:val="24"/>
                <w:lang w:val="sq-AL"/>
              </w:rPr>
              <w:t xml:space="preserve">vi </w:t>
            </w:r>
            <w:r w:rsidR="00AC7156">
              <w:rPr>
                <w:rFonts w:cs="Times New Roman"/>
                <w:b/>
                <w:szCs w:val="24"/>
                <w:lang w:val="sq-AL"/>
              </w:rPr>
              <w:t>4</w:t>
            </w:r>
            <w:r w:rsidRPr="009475CC">
              <w:rPr>
                <w:rFonts w:cs="Times New Roman"/>
                <w:szCs w:val="24"/>
                <w:lang w:val="sq-AL"/>
              </w:rPr>
              <w:t>:</w:t>
            </w:r>
            <w:r>
              <w:rPr>
                <w:rFonts w:cs="Times New Roman"/>
                <w:szCs w:val="24"/>
                <w:lang w:val="sq-AL"/>
              </w:rPr>
              <w:t xml:space="preserve"> </w:t>
            </w:r>
          </w:p>
          <w:p w14:paraId="05AE7F7B" w14:textId="4FB7C963" w:rsidR="00785AAF" w:rsidRPr="009475CC" w:rsidRDefault="00785AAF" w:rsidP="00785AAF">
            <w:pPr>
              <w:contextualSpacing/>
              <w:jc w:val="both"/>
              <w:rPr>
                <w:rFonts w:cs="Times New Roman"/>
                <w:szCs w:val="24"/>
                <w:lang w:val="sq-AL"/>
              </w:rPr>
            </w:pPr>
            <w:r w:rsidRPr="009475CC">
              <w:rPr>
                <w:rFonts w:cs="Times New Roman"/>
                <w:szCs w:val="24"/>
                <w:lang w:val="sq-AL"/>
              </w:rPr>
              <w:t>Përmirësimi i  politikave në menaxhimit të kimikateve në vend në Republikën e S</w:t>
            </w:r>
            <w:r>
              <w:rPr>
                <w:rFonts w:cs="Times New Roman"/>
                <w:szCs w:val="24"/>
                <w:lang w:val="sq-AL"/>
              </w:rPr>
              <w:t>h</w:t>
            </w:r>
            <w:r w:rsidRPr="009475CC">
              <w:rPr>
                <w:rFonts w:cs="Times New Roman"/>
                <w:szCs w:val="24"/>
                <w:lang w:val="sq-AL"/>
              </w:rPr>
              <w:t>qipërisë</w:t>
            </w:r>
            <w:r>
              <w:rPr>
                <w:rFonts w:cs="Times New Roman"/>
                <w:szCs w:val="24"/>
                <w:lang w:val="sq-AL"/>
              </w:rPr>
              <w:t>.</w:t>
            </w:r>
            <w:r w:rsidRPr="009475CC">
              <w:rPr>
                <w:rFonts w:cs="Times New Roman"/>
                <w:szCs w:val="24"/>
                <w:lang w:val="sq-AL"/>
              </w:rPr>
              <w:t xml:space="preserve"> </w:t>
            </w:r>
          </w:p>
          <w:p w14:paraId="3AA2044A" w14:textId="125D4A68" w:rsidR="00785AAF" w:rsidRDefault="00785AAF" w:rsidP="00A108DA">
            <w:pPr>
              <w:contextualSpacing/>
              <w:jc w:val="both"/>
              <w:rPr>
                <w:rFonts w:cs="Times New Roman"/>
                <w:szCs w:val="24"/>
                <w:lang w:val="sq-AL"/>
              </w:rPr>
            </w:pPr>
          </w:p>
        </w:tc>
      </w:tr>
    </w:tbl>
    <w:p w14:paraId="17F1D715" w14:textId="77777777" w:rsidR="00785AAF" w:rsidRDefault="00785AAF" w:rsidP="00A108DA">
      <w:pPr>
        <w:contextualSpacing/>
        <w:jc w:val="both"/>
        <w:rPr>
          <w:rFonts w:cs="Times New Roman"/>
          <w:b/>
          <w:szCs w:val="24"/>
          <w:lang w:val="sq-AL"/>
        </w:rPr>
      </w:pPr>
    </w:p>
    <w:p w14:paraId="1FEA194F" w14:textId="0E4278BE" w:rsidR="00A108DA" w:rsidRPr="009475CC" w:rsidRDefault="00A108DA" w:rsidP="00A108DA">
      <w:pPr>
        <w:contextualSpacing/>
        <w:jc w:val="both"/>
        <w:rPr>
          <w:rFonts w:cs="Times New Roman"/>
          <w:szCs w:val="24"/>
          <w:lang w:val="sq-AL"/>
        </w:rPr>
      </w:pPr>
      <w:r w:rsidRPr="009475CC">
        <w:rPr>
          <w:rFonts w:cs="Times New Roman"/>
          <w:b/>
          <w:szCs w:val="24"/>
          <w:lang w:val="sq-AL"/>
        </w:rPr>
        <w:t xml:space="preserve">Masa </w:t>
      </w:r>
      <w:r w:rsidR="00785AAF">
        <w:rPr>
          <w:rFonts w:cs="Times New Roman"/>
          <w:b/>
          <w:szCs w:val="24"/>
          <w:lang w:val="sq-AL"/>
        </w:rPr>
        <w:t>4.</w:t>
      </w:r>
      <w:r w:rsidRPr="009475CC">
        <w:rPr>
          <w:rFonts w:cs="Times New Roman"/>
          <w:b/>
          <w:szCs w:val="24"/>
          <w:lang w:val="sq-AL"/>
        </w:rPr>
        <w:t>1</w:t>
      </w:r>
      <w:r w:rsidR="00534E70">
        <w:rPr>
          <w:rFonts w:cs="Times New Roman"/>
          <w:szCs w:val="24"/>
          <w:lang w:val="sq-AL"/>
        </w:rPr>
        <w:t>:</w:t>
      </w:r>
      <w:r w:rsidRPr="009475CC">
        <w:rPr>
          <w:rFonts w:cs="Times New Roman"/>
          <w:szCs w:val="24"/>
          <w:lang w:val="sq-AL"/>
        </w:rPr>
        <w:t xml:space="preserve"> Hartimi i planit të menaxhimi t e sigurt të kimikateve i cili do percaktojë vizionin ttë qarte ku do behet indentifikimi kuadrit ligjor , zbatimi i tj dhe administrative.  </w:t>
      </w:r>
    </w:p>
    <w:p w14:paraId="0BF03E1F" w14:textId="77777777" w:rsidR="00785AAF" w:rsidRDefault="00785AAF" w:rsidP="00A108DA">
      <w:pPr>
        <w:contextualSpacing/>
        <w:jc w:val="both"/>
        <w:rPr>
          <w:rFonts w:cs="Times New Roman"/>
          <w:b/>
          <w:szCs w:val="24"/>
          <w:lang w:val="sq-AL"/>
        </w:rPr>
      </w:pPr>
    </w:p>
    <w:p w14:paraId="72D9BDAB" w14:textId="0CA80840" w:rsidR="00A108DA" w:rsidRPr="009475CC" w:rsidRDefault="00A108DA" w:rsidP="00A108DA">
      <w:pPr>
        <w:contextualSpacing/>
        <w:jc w:val="both"/>
        <w:rPr>
          <w:rFonts w:cs="Times New Roman"/>
          <w:szCs w:val="24"/>
          <w:lang w:val="sq-AL"/>
        </w:rPr>
      </w:pPr>
      <w:r w:rsidRPr="009475CC">
        <w:rPr>
          <w:rFonts w:cs="Times New Roman"/>
          <w:b/>
          <w:szCs w:val="24"/>
          <w:lang w:val="sq-AL"/>
        </w:rPr>
        <w:t>Masa</w:t>
      </w:r>
      <w:r w:rsidR="00534E70">
        <w:rPr>
          <w:rFonts w:cs="Times New Roman"/>
          <w:b/>
          <w:szCs w:val="24"/>
          <w:lang w:val="sq-AL"/>
        </w:rPr>
        <w:t xml:space="preserve"> </w:t>
      </w:r>
      <w:r w:rsidR="00785AAF">
        <w:rPr>
          <w:rFonts w:cs="Times New Roman"/>
          <w:b/>
          <w:szCs w:val="24"/>
          <w:lang w:val="sq-AL"/>
        </w:rPr>
        <w:t>4.</w:t>
      </w:r>
      <w:r w:rsidRPr="009475CC">
        <w:rPr>
          <w:rFonts w:cs="Times New Roman"/>
          <w:b/>
          <w:szCs w:val="24"/>
          <w:lang w:val="sq-AL"/>
        </w:rPr>
        <w:t>2</w:t>
      </w:r>
      <w:r w:rsidR="00534E70">
        <w:rPr>
          <w:rFonts w:cs="Times New Roman"/>
          <w:szCs w:val="24"/>
          <w:lang w:val="sq-AL"/>
        </w:rPr>
        <w:t>:</w:t>
      </w:r>
      <w:r w:rsidRPr="009475CC">
        <w:rPr>
          <w:rFonts w:cs="Times New Roman"/>
          <w:szCs w:val="24"/>
          <w:lang w:val="sq-AL"/>
        </w:rPr>
        <w:t xml:space="preserve"> Krijimi i rregjistrit kombetar të kimikateve i cili do të përcaktoje një databazë me të dhena mbi subjekete të cilat operojneë në treg  udke perfshire imaport eksportin. </w:t>
      </w:r>
    </w:p>
    <w:p w14:paraId="040C3D67" w14:textId="77777777" w:rsidR="00785AAF" w:rsidRDefault="00785AAF" w:rsidP="00A108DA">
      <w:pPr>
        <w:contextualSpacing/>
        <w:jc w:val="both"/>
        <w:rPr>
          <w:rFonts w:cs="Times New Roman"/>
          <w:b/>
          <w:szCs w:val="24"/>
          <w:lang w:val="sq-AL"/>
        </w:rPr>
      </w:pPr>
    </w:p>
    <w:p w14:paraId="2535E1E1" w14:textId="1A8BE63C" w:rsidR="00A108DA" w:rsidRPr="009475CC" w:rsidRDefault="00A108DA" w:rsidP="00A108DA">
      <w:pPr>
        <w:contextualSpacing/>
        <w:jc w:val="both"/>
        <w:rPr>
          <w:rFonts w:cs="Times New Roman"/>
          <w:szCs w:val="24"/>
          <w:lang w:val="sq-AL"/>
        </w:rPr>
      </w:pPr>
      <w:r w:rsidRPr="009475CC">
        <w:rPr>
          <w:rFonts w:cs="Times New Roman"/>
          <w:b/>
          <w:szCs w:val="24"/>
          <w:lang w:val="sq-AL"/>
        </w:rPr>
        <w:lastRenderedPageBreak/>
        <w:t>Indikatorët</w:t>
      </w:r>
      <w:r w:rsidR="00534E70">
        <w:rPr>
          <w:rFonts w:cs="Times New Roman"/>
          <w:b/>
          <w:szCs w:val="24"/>
          <w:lang w:val="sq-AL"/>
        </w:rPr>
        <w:t xml:space="preserve">: </w:t>
      </w:r>
      <w:r w:rsidRPr="009475CC">
        <w:rPr>
          <w:rFonts w:cs="Times New Roman"/>
          <w:szCs w:val="24"/>
          <w:lang w:val="sq-AL"/>
        </w:rPr>
        <w:t>P</w:t>
      </w:r>
      <w:r w:rsidR="00534E70">
        <w:rPr>
          <w:rFonts w:cs="Times New Roman"/>
          <w:szCs w:val="24"/>
          <w:lang w:val="sq-AL"/>
        </w:rPr>
        <w:t>ër</w:t>
      </w:r>
      <w:r w:rsidRPr="009475CC">
        <w:rPr>
          <w:rFonts w:cs="Times New Roman"/>
          <w:szCs w:val="24"/>
          <w:lang w:val="sq-AL"/>
        </w:rPr>
        <w:t>gatitja dhe miratimi i planit komb</w:t>
      </w:r>
      <w:r w:rsidR="00534E70">
        <w:rPr>
          <w:rFonts w:cs="Times New Roman"/>
          <w:szCs w:val="24"/>
          <w:lang w:val="sq-AL"/>
        </w:rPr>
        <w:t>ë</w:t>
      </w:r>
      <w:r w:rsidRPr="009475CC">
        <w:rPr>
          <w:rFonts w:cs="Times New Roman"/>
          <w:szCs w:val="24"/>
          <w:lang w:val="sq-AL"/>
        </w:rPr>
        <w:t>tar mbi menaxhimin e sigurt</w:t>
      </w:r>
      <w:r w:rsidR="00534E70">
        <w:rPr>
          <w:rFonts w:cs="Times New Roman"/>
          <w:szCs w:val="24"/>
          <w:lang w:val="sq-AL"/>
        </w:rPr>
        <w:t>ë</w:t>
      </w:r>
      <w:r w:rsidRPr="009475CC">
        <w:rPr>
          <w:rFonts w:cs="Times New Roman"/>
          <w:szCs w:val="24"/>
          <w:lang w:val="sq-AL"/>
        </w:rPr>
        <w:t xml:space="preserve"> t</w:t>
      </w:r>
      <w:r w:rsidR="00534E70">
        <w:rPr>
          <w:rFonts w:cs="Times New Roman"/>
          <w:szCs w:val="24"/>
          <w:lang w:val="sq-AL"/>
        </w:rPr>
        <w:t>ë</w:t>
      </w:r>
      <w:r w:rsidRPr="009475CC">
        <w:rPr>
          <w:rFonts w:cs="Times New Roman"/>
          <w:szCs w:val="24"/>
          <w:lang w:val="sq-AL"/>
        </w:rPr>
        <w:t xml:space="preserve"> kimikateve   2024 -2027</w:t>
      </w:r>
      <w:r w:rsidR="00534E70">
        <w:rPr>
          <w:rFonts w:cs="Times New Roman"/>
          <w:szCs w:val="24"/>
          <w:lang w:val="sq-AL"/>
        </w:rPr>
        <w:t>.</w:t>
      </w:r>
      <w:r w:rsidRPr="009475CC">
        <w:rPr>
          <w:rFonts w:cs="Times New Roman"/>
          <w:szCs w:val="24"/>
          <w:lang w:val="sq-AL"/>
        </w:rPr>
        <w:t xml:space="preserve"> </w:t>
      </w:r>
    </w:p>
    <w:p w14:paraId="1F272E83" w14:textId="41E66980" w:rsidR="00A108DA" w:rsidRPr="009475CC" w:rsidRDefault="00A108DA" w:rsidP="00A108DA">
      <w:pPr>
        <w:contextualSpacing/>
        <w:jc w:val="both"/>
        <w:rPr>
          <w:rFonts w:cs="Times New Roman"/>
          <w:szCs w:val="24"/>
          <w:lang w:val="sq-AL"/>
        </w:rPr>
      </w:pPr>
      <w:r w:rsidRPr="009475CC">
        <w:rPr>
          <w:rFonts w:cs="Times New Roman"/>
          <w:szCs w:val="24"/>
          <w:lang w:val="sq-AL"/>
        </w:rPr>
        <w:t>Rregjist</w:t>
      </w:r>
      <w:r w:rsidR="00534E70">
        <w:rPr>
          <w:rFonts w:cs="Times New Roman"/>
          <w:szCs w:val="24"/>
          <w:lang w:val="sq-AL"/>
        </w:rPr>
        <w:t>ë</w:t>
      </w:r>
      <w:r w:rsidRPr="009475CC">
        <w:rPr>
          <w:rFonts w:cs="Times New Roman"/>
          <w:szCs w:val="24"/>
          <w:lang w:val="sq-AL"/>
        </w:rPr>
        <w:t>r funksional mbi rregjistrimin e  kimikateve</w:t>
      </w:r>
      <w:r w:rsidR="00534E70">
        <w:rPr>
          <w:rFonts w:cs="Times New Roman"/>
          <w:szCs w:val="24"/>
          <w:lang w:val="sq-AL"/>
        </w:rPr>
        <w:t>.</w:t>
      </w:r>
    </w:p>
    <w:tbl>
      <w:tblPr>
        <w:tblStyle w:val="TableGrid"/>
        <w:tblW w:w="0" w:type="auto"/>
        <w:tblLook w:val="04A0" w:firstRow="1" w:lastRow="0" w:firstColumn="1" w:lastColumn="0" w:noHBand="0" w:noVBand="1"/>
      </w:tblPr>
      <w:tblGrid>
        <w:gridCol w:w="9016"/>
      </w:tblGrid>
      <w:tr w:rsidR="00785AAF" w14:paraId="4BFDA0C0" w14:textId="77777777" w:rsidTr="00785AAF">
        <w:tc>
          <w:tcPr>
            <w:tcW w:w="9016" w:type="dxa"/>
          </w:tcPr>
          <w:p w14:paraId="541590F4" w14:textId="0FB2C909" w:rsidR="00785AAF" w:rsidRPr="009475CC" w:rsidRDefault="00785AAF" w:rsidP="00785AAF">
            <w:pPr>
              <w:contextualSpacing/>
              <w:jc w:val="both"/>
              <w:rPr>
                <w:rFonts w:cs="Times New Roman"/>
                <w:szCs w:val="24"/>
                <w:lang w:val="sq-AL"/>
              </w:rPr>
            </w:pPr>
            <w:r w:rsidRPr="009475CC">
              <w:rPr>
                <w:rFonts w:cs="Times New Roman"/>
                <w:b/>
                <w:szCs w:val="24"/>
                <w:lang w:val="sq-AL"/>
              </w:rPr>
              <w:t>Objektiv</w:t>
            </w:r>
            <w:r>
              <w:rPr>
                <w:rFonts w:cs="Times New Roman"/>
                <w:b/>
                <w:szCs w:val="24"/>
                <w:lang w:val="sq-AL"/>
              </w:rPr>
              <w:t xml:space="preserve">i </w:t>
            </w:r>
            <w:r w:rsidR="00AC7156">
              <w:rPr>
                <w:rFonts w:cs="Times New Roman"/>
                <w:b/>
                <w:szCs w:val="24"/>
                <w:lang w:val="sq-AL"/>
              </w:rPr>
              <w:t>5</w:t>
            </w:r>
            <w:r>
              <w:rPr>
                <w:rFonts w:cs="Times New Roman"/>
                <w:b/>
                <w:szCs w:val="24"/>
                <w:lang w:val="sq-AL"/>
              </w:rPr>
              <w:t>:</w:t>
            </w:r>
            <w:r w:rsidRPr="009475CC">
              <w:rPr>
                <w:rFonts w:cs="Times New Roman"/>
                <w:szCs w:val="24"/>
                <w:lang w:val="sq-AL"/>
              </w:rPr>
              <w:t xml:space="preserve"> Për</w:t>
            </w:r>
            <w:r>
              <w:rPr>
                <w:rFonts w:cs="Times New Roman"/>
                <w:szCs w:val="24"/>
                <w:lang w:val="sq-AL"/>
              </w:rPr>
              <w:t>ditës</w:t>
            </w:r>
            <w:r w:rsidRPr="009475CC">
              <w:rPr>
                <w:rFonts w:cs="Times New Roman"/>
                <w:szCs w:val="24"/>
                <w:lang w:val="sq-AL"/>
              </w:rPr>
              <w:t>imi i kuadrit ligjor mbi menaxhimin e kimikateve në RSH si dhe forcimi i kapaciteteve administrative</w:t>
            </w:r>
            <w:r>
              <w:rPr>
                <w:rFonts w:cs="Times New Roman"/>
                <w:szCs w:val="24"/>
                <w:lang w:val="sq-AL"/>
              </w:rPr>
              <w:t>.</w:t>
            </w:r>
          </w:p>
          <w:p w14:paraId="018E5272" w14:textId="77777777" w:rsidR="00785AAF" w:rsidRDefault="00785AAF" w:rsidP="00A108DA">
            <w:pPr>
              <w:contextualSpacing/>
              <w:jc w:val="both"/>
              <w:rPr>
                <w:rFonts w:cs="Times New Roman"/>
                <w:b/>
                <w:szCs w:val="24"/>
                <w:lang w:val="sq-AL"/>
              </w:rPr>
            </w:pPr>
          </w:p>
        </w:tc>
      </w:tr>
    </w:tbl>
    <w:p w14:paraId="70E033E1" w14:textId="77777777" w:rsidR="00785AAF" w:rsidRDefault="00785AAF" w:rsidP="00A108DA">
      <w:pPr>
        <w:contextualSpacing/>
        <w:jc w:val="both"/>
        <w:rPr>
          <w:rFonts w:cs="Times New Roman"/>
          <w:b/>
          <w:szCs w:val="24"/>
          <w:lang w:val="sq-AL"/>
        </w:rPr>
      </w:pPr>
    </w:p>
    <w:p w14:paraId="29274E33" w14:textId="77777777" w:rsidR="00785AAF" w:rsidRDefault="00A108DA" w:rsidP="00A108DA">
      <w:pPr>
        <w:contextualSpacing/>
        <w:jc w:val="both"/>
        <w:rPr>
          <w:rFonts w:cs="Times New Roman"/>
          <w:szCs w:val="24"/>
          <w:lang w:val="sq-AL"/>
        </w:rPr>
      </w:pPr>
      <w:r w:rsidRPr="009475CC">
        <w:rPr>
          <w:rFonts w:cs="Times New Roman"/>
          <w:b/>
          <w:szCs w:val="24"/>
          <w:lang w:val="sq-AL"/>
        </w:rPr>
        <w:t xml:space="preserve">Masa </w:t>
      </w:r>
      <w:r w:rsidR="00785AAF">
        <w:rPr>
          <w:rFonts w:cs="Times New Roman"/>
          <w:b/>
          <w:szCs w:val="24"/>
          <w:lang w:val="sq-AL"/>
        </w:rPr>
        <w:t>5.</w:t>
      </w:r>
      <w:r w:rsidR="00534E70">
        <w:rPr>
          <w:rFonts w:cs="Times New Roman"/>
          <w:b/>
          <w:szCs w:val="24"/>
          <w:lang w:val="sq-AL"/>
        </w:rPr>
        <w:t>1</w:t>
      </w:r>
      <w:r w:rsidRPr="009475CC">
        <w:rPr>
          <w:rFonts w:cs="Times New Roman"/>
          <w:szCs w:val="24"/>
          <w:lang w:val="sq-AL"/>
        </w:rPr>
        <w:t>: Hartimi i kuadrit ligjor sekondar në zbatim të ligjit të kimikateve</w:t>
      </w:r>
      <w:r w:rsidR="00765806">
        <w:rPr>
          <w:rFonts w:cs="Times New Roman"/>
          <w:szCs w:val="24"/>
          <w:lang w:val="sq-AL"/>
        </w:rPr>
        <w:t>.</w:t>
      </w:r>
      <w:r w:rsidRPr="009475CC">
        <w:rPr>
          <w:rFonts w:cs="Times New Roman"/>
          <w:szCs w:val="24"/>
          <w:lang w:val="sq-AL"/>
        </w:rPr>
        <w:t xml:space="preserve"> </w:t>
      </w:r>
    </w:p>
    <w:p w14:paraId="47A0EF98" w14:textId="4765D849" w:rsidR="00A108DA" w:rsidRPr="009475CC" w:rsidRDefault="00A108DA" w:rsidP="00A108DA">
      <w:pPr>
        <w:contextualSpacing/>
        <w:jc w:val="both"/>
        <w:rPr>
          <w:rFonts w:cs="Times New Roman"/>
          <w:szCs w:val="24"/>
          <w:lang w:val="sq-AL"/>
        </w:rPr>
      </w:pPr>
      <w:r w:rsidRPr="009475CC">
        <w:rPr>
          <w:rFonts w:cs="Times New Roman"/>
          <w:szCs w:val="24"/>
          <w:lang w:val="sq-AL"/>
        </w:rPr>
        <w:t xml:space="preserve"> </w:t>
      </w:r>
    </w:p>
    <w:p w14:paraId="1BE85D49" w14:textId="77777777" w:rsidR="00785AAF" w:rsidRDefault="00A108DA" w:rsidP="00A108DA">
      <w:pPr>
        <w:contextualSpacing/>
        <w:jc w:val="both"/>
        <w:rPr>
          <w:rFonts w:cs="Times New Roman"/>
          <w:szCs w:val="24"/>
          <w:lang w:val="sq-AL"/>
        </w:rPr>
      </w:pPr>
      <w:r w:rsidRPr="009475CC">
        <w:rPr>
          <w:rFonts w:cs="Times New Roman"/>
          <w:b/>
          <w:szCs w:val="24"/>
          <w:lang w:val="sq-AL"/>
        </w:rPr>
        <w:t xml:space="preserve">Masa </w:t>
      </w:r>
      <w:r w:rsidR="00785AAF">
        <w:rPr>
          <w:rFonts w:cs="Times New Roman"/>
          <w:b/>
          <w:szCs w:val="24"/>
          <w:lang w:val="sq-AL"/>
        </w:rPr>
        <w:t>5.</w:t>
      </w:r>
      <w:r w:rsidRPr="009475CC">
        <w:rPr>
          <w:rFonts w:cs="Times New Roman"/>
          <w:b/>
          <w:szCs w:val="24"/>
          <w:lang w:val="sq-AL"/>
        </w:rPr>
        <w:t>2</w:t>
      </w:r>
      <w:r w:rsidR="00534E70">
        <w:rPr>
          <w:rFonts w:cs="Times New Roman"/>
          <w:b/>
          <w:szCs w:val="24"/>
          <w:lang w:val="sq-AL"/>
        </w:rPr>
        <w:t>:</w:t>
      </w:r>
      <w:r w:rsidRPr="009475CC">
        <w:rPr>
          <w:rFonts w:cs="Times New Roman"/>
          <w:szCs w:val="24"/>
          <w:lang w:val="sq-AL"/>
        </w:rPr>
        <w:t xml:space="preserve"> Z</w:t>
      </w:r>
      <w:r w:rsidR="00BE00F7" w:rsidRPr="009475CC">
        <w:rPr>
          <w:rFonts w:cs="Times New Roman"/>
          <w:szCs w:val="24"/>
          <w:lang w:val="sq-AL"/>
        </w:rPr>
        <w:t>h</w:t>
      </w:r>
      <w:r w:rsidRPr="009475CC">
        <w:rPr>
          <w:rFonts w:cs="Times New Roman"/>
          <w:szCs w:val="24"/>
          <w:lang w:val="sq-AL"/>
        </w:rPr>
        <w:t>v</w:t>
      </w:r>
      <w:r w:rsidR="00BE00F7" w:rsidRPr="009475CC">
        <w:rPr>
          <w:rFonts w:cs="Times New Roman"/>
          <w:szCs w:val="24"/>
          <w:lang w:val="sq-AL"/>
        </w:rPr>
        <w:t>i</w:t>
      </w:r>
      <w:r w:rsidRPr="009475CC">
        <w:rPr>
          <w:rFonts w:cs="Times New Roman"/>
          <w:szCs w:val="24"/>
          <w:lang w:val="sq-AL"/>
        </w:rPr>
        <w:t>lli</w:t>
      </w:r>
      <w:r w:rsidR="00765806">
        <w:rPr>
          <w:rFonts w:cs="Times New Roman"/>
          <w:szCs w:val="24"/>
          <w:lang w:val="sq-AL"/>
        </w:rPr>
        <w:t>mi</w:t>
      </w:r>
      <w:r w:rsidRPr="009475CC">
        <w:rPr>
          <w:rFonts w:cs="Times New Roman"/>
          <w:szCs w:val="24"/>
          <w:lang w:val="sq-AL"/>
        </w:rPr>
        <w:t xml:space="preserve"> i trajnime</w:t>
      </w:r>
      <w:r w:rsidR="00BE00F7" w:rsidRPr="009475CC">
        <w:rPr>
          <w:rFonts w:cs="Times New Roman"/>
          <w:szCs w:val="24"/>
          <w:lang w:val="sq-AL"/>
        </w:rPr>
        <w:t>ve</w:t>
      </w:r>
      <w:r w:rsidRPr="009475CC">
        <w:rPr>
          <w:rFonts w:cs="Times New Roman"/>
          <w:szCs w:val="24"/>
          <w:lang w:val="sq-AL"/>
        </w:rPr>
        <w:t xml:space="preserve"> të stafi mbi legjislacionin</w:t>
      </w:r>
      <w:r w:rsidR="00765806">
        <w:rPr>
          <w:rFonts w:cs="Times New Roman"/>
          <w:szCs w:val="24"/>
          <w:lang w:val="sq-AL"/>
        </w:rPr>
        <w:t>.</w:t>
      </w:r>
    </w:p>
    <w:p w14:paraId="04148811" w14:textId="33BAAF6B" w:rsidR="00A108DA" w:rsidRPr="009475CC" w:rsidRDefault="00A108DA" w:rsidP="00A108DA">
      <w:pPr>
        <w:contextualSpacing/>
        <w:jc w:val="both"/>
        <w:rPr>
          <w:rFonts w:cs="Times New Roman"/>
          <w:szCs w:val="24"/>
          <w:lang w:val="sq-AL"/>
        </w:rPr>
      </w:pPr>
      <w:r w:rsidRPr="009475CC">
        <w:rPr>
          <w:rFonts w:cs="Times New Roman"/>
          <w:szCs w:val="24"/>
          <w:lang w:val="sq-AL"/>
        </w:rPr>
        <w:t xml:space="preserve">  </w:t>
      </w:r>
    </w:p>
    <w:p w14:paraId="4B5ECA7A" w14:textId="77777777" w:rsidR="00785AAF" w:rsidRDefault="0059020B" w:rsidP="00A108DA">
      <w:pPr>
        <w:contextualSpacing/>
        <w:jc w:val="both"/>
        <w:rPr>
          <w:rFonts w:cs="Times New Roman"/>
          <w:b/>
          <w:szCs w:val="24"/>
          <w:lang w:val="sq-AL"/>
        </w:rPr>
      </w:pPr>
      <w:r w:rsidRPr="009475CC">
        <w:rPr>
          <w:rFonts w:cs="Times New Roman"/>
          <w:b/>
          <w:szCs w:val="24"/>
          <w:lang w:val="sq-AL"/>
        </w:rPr>
        <w:t>Indikator</w:t>
      </w:r>
      <w:r w:rsidR="00534E70">
        <w:rPr>
          <w:rFonts w:cs="Times New Roman"/>
          <w:b/>
          <w:szCs w:val="24"/>
          <w:lang w:val="sq-AL"/>
        </w:rPr>
        <w:t>ë</w:t>
      </w:r>
      <w:r w:rsidR="00A108DA" w:rsidRPr="009475CC">
        <w:rPr>
          <w:rFonts w:cs="Times New Roman"/>
          <w:b/>
          <w:szCs w:val="24"/>
          <w:lang w:val="sq-AL"/>
        </w:rPr>
        <w:t>t</w:t>
      </w:r>
      <w:r w:rsidR="00534E70">
        <w:rPr>
          <w:rFonts w:cs="Times New Roman"/>
          <w:b/>
          <w:szCs w:val="24"/>
          <w:lang w:val="sq-AL"/>
        </w:rPr>
        <w:t xml:space="preserve">: </w:t>
      </w:r>
    </w:p>
    <w:p w14:paraId="3233DE08" w14:textId="384BB4AB" w:rsidR="00A108DA" w:rsidRPr="009475CC" w:rsidRDefault="00A108DA" w:rsidP="00A108DA">
      <w:pPr>
        <w:contextualSpacing/>
        <w:jc w:val="both"/>
        <w:rPr>
          <w:rFonts w:cs="Times New Roman"/>
          <w:szCs w:val="24"/>
          <w:lang w:val="sq-AL"/>
        </w:rPr>
      </w:pPr>
      <w:r w:rsidRPr="009475CC">
        <w:rPr>
          <w:rFonts w:cs="Times New Roman"/>
          <w:szCs w:val="24"/>
          <w:lang w:val="sq-AL"/>
        </w:rPr>
        <w:t>Hartimi i 5 akteve nenligjore mbi fushën e kimikateve</w:t>
      </w:r>
      <w:r w:rsidR="00534E70">
        <w:rPr>
          <w:rFonts w:cs="Times New Roman"/>
          <w:szCs w:val="24"/>
          <w:lang w:val="sq-AL"/>
        </w:rPr>
        <w:t>.</w:t>
      </w:r>
    </w:p>
    <w:p w14:paraId="29A0FF12" w14:textId="16D1A162" w:rsidR="009D6DB4" w:rsidRPr="009475CC" w:rsidRDefault="00A108DA" w:rsidP="009D6DB4">
      <w:pPr>
        <w:contextualSpacing/>
        <w:jc w:val="both"/>
        <w:rPr>
          <w:rFonts w:cs="Times New Roman"/>
          <w:szCs w:val="24"/>
          <w:lang w:val="sq-AL"/>
        </w:rPr>
      </w:pPr>
      <w:r w:rsidRPr="009475CC">
        <w:rPr>
          <w:rFonts w:cs="Times New Roman"/>
          <w:szCs w:val="24"/>
          <w:lang w:val="sq-AL"/>
        </w:rPr>
        <w:t>Zhvillimi i 3 trajnimeve në vit p</w:t>
      </w:r>
      <w:r w:rsidR="00534E70">
        <w:rPr>
          <w:rFonts w:cs="Times New Roman"/>
          <w:szCs w:val="24"/>
          <w:lang w:val="sq-AL"/>
        </w:rPr>
        <w:t>ë</w:t>
      </w:r>
      <w:r w:rsidRPr="009475CC">
        <w:rPr>
          <w:rFonts w:cs="Times New Roman"/>
          <w:szCs w:val="24"/>
          <w:lang w:val="sq-AL"/>
        </w:rPr>
        <w:t>r forcimin e kapaciteteve teknike t</w:t>
      </w:r>
      <w:r w:rsidR="00534E70">
        <w:rPr>
          <w:rFonts w:cs="Times New Roman"/>
          <w:szCs w:val="24"/>
          <w:lang w:val="sq-AL"/>
        </w:rPr>
        <w:t>ë</w:t>
      </w:r>
      <w:r w:rsidRPr="009475CC">
        <w:rPr>
          <w:rFonts w:cs="Times New Roman"/>
          <w:szCs w:val="24"/>
          <w:lang w:val="sq-AL"/>
        </w:rPr>
        <w:t xml:space="preserve"> stafit</w:t>
      </w:r>
      <w:r w:rsidR="00534E70">
        <w:rPr>
          <w:rFonts w:cs="Times New Roman"/>
          <w:szCs w:val="24"/>
          <w:lang w:val="sq-AL"/>
        </w:rPr>
        <w:t xml:space="preserve"> </w:t>
      </w:r>
      <w:r w:rsidRPr="009475CC">
        <w:rPr>
          <w:rFonts w:cs="Times New Roman"/>
          <w:szCs w:val="24"/>
          <w:lang w:val="sq-AL"/>
        </w:rPr>
        <w:t>të ministris</w:t>
      </w:r>
      <w:r w:rsidR="00534E70">
        <w:rPr>
          <w:rFonts w:cs="Times New Roman"/>
          <w:szCs w:val="24"/>
          <w:lang w:val="sq-AL"/>
        </w:rPr>
        <w:t>ë</w:t>
      </w:r>
      <w:r w:rsidRPr="009475CC">
        <w:rPr>
          <w:rFonts w:cs="Times New Roman"/>
          <w:szCs w:val="24"/>
          <w:lang w:val="sq-AL"/>
        </w:rPr>
        <w:t xml:space="preserve"> dhe Angjencis</w:t>
      </w:r>
      <w:r w:rsidR="00534E70">
        <w:rPr>
          <w:rFonts w:cs="Times New Roman"/>
          <w:szCs w:val="24"/>
          <w:lang w:val="sq-AL"/>
        </w:rPr>
        <w:t>ë</w:t>
      </w:r>
      <w:r w:rsidRPr="009475CC">
        <w:rPr>
          <w:rFonts w:cs="Times New Roman"/>
          <w:szCs w:val="24"/>
          <w:lang w:val="sq-AL"/>
        </w:rPr>
        <w:t xml:space="preserve"> Komb</w:t>
      </w:r>
      <w:r w:rsidR="00534E70">
        <w:rPr>
          <w:rFonts w:cs="Times New Roman"/>
          <w:szCs w:val="24"/>
          <w:lang w:val="sq-AL"/>
        </w:rPr>
        <w:t>ë</w:t>
      </w:r>
      <w:r w:rsidRPr="009475CC">
        <w:rPr>
          <w:rFonts w:cs="Times New Roman"/>
          <w:szCs w:val="24"/>
          <w:lang w:val="sq-AL"/>
        </w:rPr>
        <w:t>tare t</w:t>
      </w:r>
      <w:r w:rsidR="00534E70">
        <w:rPr>
          <w:rFonts w:cs="Times New Roman"/>
          <w:szCs w:val="24"/>
          <w:lang w:val="sq-AL"/>
        </w:rPr>
        <w:t>ë</w:t>
      </w:r>
      <w:r w:rsidRPr="009475CC">
        <w:rPr>
          <w:rFonts w:cs="Times New Roman"/>
          <w:szCs w:val="24"/>
          <w:lang w:val="sq-AL"/>
        </w:rPr>
        <w:t xml:space="preserve"> Mjedisit</w:t>
      </w:r>
      <w:r w:rsidR="00534E70">
        <w:rPr>
          <w:rFonts w:cs="Times New Roman"/>
          <w:szCs w:val="24"/>
          <w:lang w:val="sq-AL"/>
        </w:rPr>
        <w:t>.</w:t>
      </w:r>
    </w:p>
    <w:p w14:paraId="6D8C4EB3" w14:textId="0328ED45" w:rsidR="00765806" w:rsidRPr="00785AAF" w:rsidRDefault="00E06A2E" w:rsidP="00FB63B4">
      <w:pPr>
        <w:pStyle w:val="Heading4"/>
        <w:rPr>
          <w:lang w:val="sq-AL"/>
        </w:rPr>
      </w:pPr>
      <w:bookmarkStart w:id="144" w:name="_Toc132277376"/>
      <w:bookmarkStart w:id="145" w:name="_Hlk121698831"/>
      <w:r w:rsidRPr="00765806">
        <w:rPr>
          <w:lang w:val="sq-AL"/>
        </w:rPr>
        <w:t>Ministria e Sh</w:t>
      </w:r>
      <w:r w:rsidR="00534E70" w:rsidRPr="00765806">
        <w:rPr>
          <w:lang w:val="sq-AL"/>
        </w:rPr>
        <w:t>ë</w:t>
      </w:r>
      <w:r w:rsidRPr="00765806">
        <w:rPr>
          <w:lang w:val="sq-AL"/>
        </w:rPr>
        <w:t>ndet</w:t>
      </w:r>
      <w:r w:rsidR="00534E70" w:rsidRPr="00765806">
        <w:rPr>
          <w:lang w:val="sq-AL"/>
        </w:rPr>
        <w:t>ë</w:t>
      </w:r>
      <w:r w:rsidRPr="00765806">
        <w:rPr>
          <w:lang w:val="sq-AL"/>
        </w:rPr>
        <w:t>s</w:t>
      </w:r>
      <w:r w:rsidR="00534E70" w:rsidRPr="00765806">
        <w:rPr>
          <w:lang w:val="sq-AL"/>
        </w:rPr>
        <w:t>isë dhe Mbrojtjes Sociale</w:t>
      </w:r>
      <w:bookmarkEnd w:id="144"/>
    </w:p>
    <w:tbl>
      <w:tblPr>
        <w:tblStyle w:val="TableGrid"/>
        <w:tblW w:w="0" w:type="auto"/>
        <w:tblLook w:val="04A0" w:firstRow="1" w:lastRow="0" w:firstColumn="1" w:lastColumn="0" w:noHBand="0" w:noVBand="1"/>
      </w:tblPr>
      <w:tblGrid>
        <w:gridCol w:w="9016"/>
      </w:tblGrid>
      <w:tr w:rsidR="00785AAF" w14:paraId="58D8F4E8" w14:textId="77777777" w:rsidTr="00785AAF">
        <w:tc>
          <w:tcPr>
            <w:tcW w:w="9016" w:type="dxa"/>
          </w:tcPr>
          <w:bookmarkEnd w:id="145"/>
          <w:p w14:paraId="299D314B" w14:textId="58D724A0" w:rsidR="00785AAF" w:rsidRDefault="00785AAF" w:rsidP="00785AAF">
            <w:pPr>
              <w:contextualSpacing/>
              <w:jc w:val="both"/>
              <w:rPr>
                <w:rFonts w:cs="Times New Roman"/>
                <w:szCs w:val="24"/>
                <w:lang w:val="sq-AL"/>
              </w:rPr>
            </w:pPr>
            <w:r w:rsidRPr="009475CC">
              <w:rPr>
                <w:rFonts w:cs="Times New Roman"/>
                <w:b/>
                <w:bCs/>
                <w:szCs w:val="24"/>
                <w:lang w:val="sq-AL"/>
              </w:rPr>
              <w:t>Objektivi</w:t>
            </w:r>
            <w:r>
              <w:rPr>
                <w:rFonts w:cs="Times New Roman"/>
                <w:b/>
                <w:bCs/>
                <w:szCs w:val="24"/>
                <w:lang w:val="sq-AL"/>
              </w:rPr>
              <w:t xml:space="preserve"> </w:t>
            </w:r>
            <w:r w:rsidR="00AC7156">
              <w:rPr>
                <w:rFonts w:cs="Times New Roman"/>
                <w:b/>
                <w:bCs/>
                <w:szCs w:val="24"/>
                <w:lang w:val="sq-AL"/>
              </w:rPr>
              <w:t>6</w:t>
            </w:r>
            <w:r>
              <w:rPr>
                <w:rFonts w:cs="Times New Roman"/>
                <w:szCs w:val="24"/>
                <w:lang w:val="sq-AL"/>
              </w:rPr>
              <w:t>:</w:t>
            </w:r>
            <w:r w:rsidRPr="009475CC">
              <w:rPr>
                <w:rFonts w:cs="Times New Roman"/>
                <w:szCs w:val="24"/>
                <w:lang w:val="sq-AL"/>
              </w:rPr>
              <w:t xml:space="preserve"> </w:t>
            </w:r>
          </w:p>
          <w:p w14:paraId="051ADD86" w14:textId="7C5D7D4F" w:rsidR="00785AAF" w:rsidRPr="009475CC" w:rsidRDefault="00785AAF" w:rsidP="00785AAF">
            <w:pPr>
              <w:contextualSpacing/>
              <w:jc w:val="both"/>
              <w:rPr>
                <w:rFonts w:cs="Times New Roman"/>
                <w:szCs w:val="24"/>
                <w:lang w:val="sq-AL"/>
              </w:rPr>
            </w:pPr>
            <w:r w:rsidRPr="009475CC">
              <w:rPr>
                <w:rFonts w:cs="Times New Roman"/>
                <w:szCs w:val="24"/>
                <w:lang w:val="sq-AL"/>
              </w:rPr>
              <w:t>Garantimi i plotësimit të standardeve të pajisjeve mjekësore që prodhohen dhe tregtohen në Republikën e Shqipërisë</w:t>
            </w:r>
            <w:r>
              <w:rPr>
                <w:rFonts w:cs="Times New Roman"/>
                <w:szCs w:val="24"/>
                <w:lang w:val="sq-AL"/>
              </w:rPr>
              <w:t>.</w:t>
            </w:r>
          </w:p>
          <w:p w14:paraId="3EDA5418" w14:textId="77777777" w:rsidR="00785AAF" w:rsidRDefault="00785AAF" w:rsidP="00E06A2E">
            <w:pPr>
              <w:contextualSpacing/>
              <w:jc w:val="both"/>
              <w:rPr>
                <w:rFonts w:cs="Times New Roman"/>
                <w:b/>
                <w:bCs/>
                <w:szCs w:val="24"/>
                <w:lang w:val="sq-AL"/>
              </w:rPr>
            </w:pPr>
          </w:p>
        </w:tc>
      </w:tr>
    </w:tbl>
    <w:p w14:paraId="44A6EE04" w14:textId="77777777" w:rsidR="00785AAF" w:rsidRDefault="00785AAF" w:rsidP="00E06A2E">
      <w:pPr>
        <w:contextualSpacing/>
        <w:jc w:val="both"/>
        <w:rPr>
          <w:rFonts w:cs="Times New Roman"/>
          <w:b/>
          <w:bCs/>
          <w:szCs w:val="24"/>
          <w:lang w:val="sq-AL"/>
        </w:rPr>
      </w:pPr>
    </w:p>
    <w:p w14:paraId="4919EF5E" w14:textId="756A3E96" w:rsidR="00E06A2E" w:rsidRPr="009475CC" w:rsidRDefault="00E06A2E" w:rsidP="00E06A2E">
      <w:pPr>
        <w:contextualSpacing/>
        <w:jc w:val="both"/>
        <w:rPr>
          <w:rFonts w:cs="Times New Roman"/>
          <w:szCs w:val="24"/>
          <w:lang w:val="sq-AL"/>
        </w:rPr>
      </w:pPr>
      <w:r w:rsidRPr="009475CC">
        <w:rPr>
          <w:rFonts w:cs="Times New Roman"/>
          <w:b/>
          <w:bCs/>
          <w:szCs w:val="24"/>
          <w:lang w:val="sq-AL"/>
        </w:rPr>
        <w:t>Masa</w:t>
      </w:r>
      <w:r w:rsidR="00593CA5">
        <w:rPr>
          <w:rFonts w:cs="Times New Roman"/>
          <w:b/>
          <w:bCs/>
          <w:szCs w:val="24"/>
          <w:lang w:val="sq-AL"/>
        </w:rPr>
        <w:t xml:space="preserve"> </w:t>
      </w:r>
      <w:r w:rsidR="00785AAF">
        <w:rPr>
          <w:rFonts w:cs="Times New Roman"/>
          <w:b/>
          <w:bCs/>
          <w:szCs w:val="24"/>
          <w:lang w:val="sq-AL"/>
        </w:rPr>
        <w:t>6.</w:t>
      </w:r>
      <w:r w:rsidRPr="009475CC">
        <w:rPr>
          <w:rFonts w:cs="Times New Roman"/>
          <w:b/>
          <w:bCs/>
          <w:szCs w:val="24"/>
          <w:lang w:val="sq-AL"/>
        </w:rPr>
        <w:t>1</w:t>
      </w:r>
      <w:r w:rsidR="00593CA5">
        <w:rPr>
          <w:rFonts w:cs="Times New Roman"/>
          <w:b/>
          <w:bCs/>
          <w:szCs w:val="24"/>
          <w:lang w:val="sq-AL"/>
        </w:rPr>
        <w:t>:</w:t>
      </w:r>
      <w:r w:rsidRPr="009475CC">
        <w:rPr>
          <w:rFonts w:cs="Times New Roman"/>
          <w:szCs w:val="24"/>
          <w:lang w:val="sq-AL"/>
        </w:rPr>
        <w:t xml:space="preserve"> Licensimi i prodhuesve të pajisjeve mjekësore</w:t>
      </w:r>
      <w:r w:rsidR="00765806">
        <w:rPr>
          <w:rFonts w:cs="Times New Roman"/>
          <w:szCs w:val="24"/>
          <w:lang w:val="sq-AL"/>
        </w:rPr>
        <w:t>.</w:t>
      </w:r>
    </w:p>
    <w:p w14:paraId="0300CB9C" w14:textId="0B7E2A93" w:rsidR="00E06A2E" w:rsidRPr="009475CC" w:rsidRDefault="00E06A2E" w:rsidP="00E06A2E">
      <w:pPr>
        <w:contextualSpacing/>
        <w:jc w:val="both"/>
        <w:rPr>
          <w:rFonts w:cs="Times New Roman"/>
          <w:szCs w:val="24"/>
          <w:lang w:val="sq-AL"/>
        </w:rPr>
      </w:pPr>
      <w:r w:rsidRPr="009475CC">
        <w:rPr>
          <w:rFonts w:cs="Times New Roman"/>
          <w:b/>
          <w:bCs/>
          <w:szCs w:val="24"/>
          <w:lang w:val="sq-AL"/>
        </w:rPr>
        <w:t xml:space="preserve">Masa </w:t>
      </w:r>
      <w:r w:rsidR="00785AAF">
        <w:rPr>
          <w:rFonts w:cs="Times New Roman"/>
          <w:b/>
          <w:bCs/>
          <w:szCs w:val="24"/>
          <w:lang w:val="sq-AL"/>
        </w:rPr>
        <w:t>6.</w:t>
      </w:r>
      <w:r w:rsidRPr="009475CC">
        <w:rPr>
          <w:rFonts w:cs="Times New Roman"/>
          <w:b/>
          <w:bCs/>
          <w:szCs w:val="24"/>
          <w:lang w:val="sq-AL"/>
        </w:rPr>
        <w:t>2</w:t>
      </w:r>
      <w:r w:rsidR="00593CA5" w:rsidRPr="009475CC">
        <w:rPr>
          <w:rFonts w:cs="Times New Roman"/>
          <w:b/>
          <w:bCs/>
          <w:szCs w:val="24"/>
          <w:lang w:val="sq-AL"/>
        </w:rPr>
        <w:t>:</w:t>
      </w:r>
      <w:r w:rsidRPr="009475CC">
        <w:rPr>
          <w:rFonts w:cs="Times New Roman"/>
          <w:szCs w:val="24"/>
          <w:lang w:val="sq-AL"/>
        </w:rPr>
        <w:t xml:space="preserve"> Licensimi i tregtuesve të pajisjeve mjekësore</w:t>
      </w:r>
      <w:r w:rsidR="00765806">
        <w:rPr>
          <w:rFonts w:cs="Times New Roman"/>
          <w:szCs w:val="24"/>
          <w:lang w:val="sq-AL"/>
        </w:rPr>
        <w:t>.</w:t>
      </w:r>
    </w:p>
    <w:p w14:paraId="4B2F9B91" w14:textId="28491BAF" w:rsidR="00785AAF" w:rsidRDefault="00785AAF" w:rsidP="00E06A2E">
      <w:pPr>
        <w:contextualSpacing/>
        <w:jc w:val="both"/>
        <w:rPr>
          <w:rFonts w:cs="Times New Roman"/>
          <w:b/>
          <w:bCs/>
          <w:szCs w:val="24"/>
          <w:lang w:val="sq-AL"/>
        </w:rPr>
      </w:pPr>
    </w:p>
    <w:p w14:paraId="037319D3" w14:textId="63500F44" w:rsidR="00785AAF" w:rsidRDefault="00785AAF" w:rsidP="00785AAF">
      <w:pPr>
        <w:contextualSpacing/>
        <w:jc w:val="both"/>
        <w:rPr>
          <w:rFonts w:cs="Times New Roman"/>
          <w:b/>
          <w:bCs/>
          <w:szCs w:val="24"/>
          <w:lang w:val="sq-AL"/>
        </w:rPr>
      </w:pPr>
      <w:r>
        <w:rPr>
          <w:rFonts w:cs="Times New Roman"/>
          <w:b/>
          <w:bCs/>
          <w:szCs w:val="24"/>
          <w:lang w:val="sq-AL"/>
        </w:rPr>
        <w:t>Indikatorët</w:t>
      </w:r>
    </w:p>
    <w:p w14:paraId="17B7DBAC" w14:textId="0904D2EA" w:rsidR="00785AAF" w:rsidRPr="004665C9" w:rsidRDefault="004665C9" w:rsidP="00E06A2E">
      <w:pPr>
        <w:contextualSpacing/>
        <w:jc w:val="both"/>
        <w:rPr>
          <w:rFonts w:cs="Times New Roman"/>
          <w:szCs w:val="24"/>
          <w:lang w:val="sq-AL"/>
        </w:rPr>
      </w:pPr>
      <w:r w:rsidRPr="004665C9">
        <w:rPr>
          <w:rFonts w:cs="Times New Roman"/>
          <w:szCs w:val="24"/>
          <w:lang w:val="sq-AL"/>
        </w:rPr>
        <w:t>Autorizimii (7) shtatë licencave për operim ne treg t</w:t>
      </w:r>
      <w:r>
        <w:rPr>
          <w:rFonts w:cs="Times New Roman"/>
          <w:szCs w:val="24"/>
          <w:lang w:val="sq-AL"/>
        </w:rPr>
        <w:t>ë</w:t>
      </w:r>
      <w:r w:rsidRPr="004665C9">
        <w:rPr>
          <w:rFonts w:cs="Times New Roman"/>
          <w:szCs w:val="24"/>
          <w:lang w:val="sq-AL"/>
        </w:rPr>
        <w:t xml:space="preserve"> prodhues</w:t>
      </w:r>
      <w:r w:rsidR="0018352A">
        <w:rPr>
          <w:rFonts w:cs="Times New Roman"/>
          <w:szCs w:val="24"/>
          <w:lang w:val="sq-AL"/>
        </w:rPr>
        <w:t xml:space="preserve">ve </w:t>
      </w:r>
      <w:r w:rsidRPr="004665C9">
        <w:rPr>
          <w:rFonts w:cs="Times New Roman"/>
          <w:szCs w:val="24"/>
          <w:lang w:val="sq-AL"/>
        </w:rPr>
        <w:t>dhe tregëtimit tw paisjeve mjeksore.</w:t>
      </w:r>
    </w:p>
    <w:p w14:paraId="6F2EA917" w14:textId="25DDBC1A" w:rsidR="00785AAF" w:rsidRDefault="00785AAF" w:rsidP="00E06A2E">
      <w:pPr>
        <w:contextualSpacing/>
        <w:jc w:val="both"/>
        <w:rPr>
          <w:rFonts w:cs="Times New Roman"/>
          <w:b/>
          <w:bCs/>
          <w:szCs w:val="24"/>
          <w:lang w:val="sq-AL"/>
        </w:rPr>
      </w:pPr>
    </w:p>
    <w:tbl>
      <w:tblPr>
        <w:tblStyle w:val="TableGrid"/>
        <w:tblW w:w="0" w:type="auto"/>
        <w:tblLook w:val="04A0" w:firstRow="1" w:lastRow="0" w:firstColumn="1" w:lastColumn="0" w:noHBand="0" w:noVBand="1"/>
      </w:tblPr>
      <w:tblGrid>
        <w:gridCol w:w="9016"/>
      </w:tblGrid>
      <w:tr w:rsidR="00785AAF" w14:paraId="04E82C9D" w14:textId="77777777" w:rsidTr="00785AAF">
        <w:tc>
          <w:tcPr>
            <w:tcW w:w="9016" w:type="dxa"/>
          </w:tcPr>
          <w:p w14:paraId="0153BF8D" w14:textId="2E4FEA7B" w:rsidR="00785AAF" w:rsidRDefault="00785AAF" w:rsidP="00E06A2E">
            <w:pPr>
              <w:contextualSpacing/>
              <w:jc w:val="both"/>
              <w:rPr>
                <w:rFonts w:cs="Times New Roman"/>
                <w:b/>
                <w:bCs/>
                <w:szCs w:val="24"/>
                <w:lang w:val="sq-AL"/>
              </w:rPr>
            </w:pPr>
            <w:r w:rsidRPr="009475CC">
              <w:rPr>
                <w:rFonts w:cs="Times New Roman"/>
                <w:b/>
                <w:bCs/>
                <w:szCs w:val="24"/>
                <w:lang w:val="sq-AL"/>
              </w:rPr>
              <w:t>Objektiv</w:t>
            </w:r>
            <w:r>
              <w:rPr>
                <w:rFonts w:cs="Times New Roman"/>
                <w:b/>
                <w:bCs/>
                <w:szCs w:val="24"/>
                <w:lang w:val="sq-AL"/>
              </w:rPr>
              <w:t>i</w:t>
            </w:r>
            <w:r w:rsidRPr="009475CC">
              <w:rPr>
                <w:rFonts w:cs="Times New Roman"/>
                <w:b/>
                <w:bCs/>
                <w:szCs w:val="24"/>
                <w:lang w:val="sq-AL"/>
              </w:rPr>
              <w:t xml:space="preserve"> </w:t>
            </w:r>
            <w:r w:rsidR="00AC7156">
              <w:rPr>
                <w:rFonts w:cs="Times New Roman"/>
                <w:b/>
                <w:bCs/>
                <w:szCs w:val="24"/>
                <w:lang w:val="sq-AL"/>
              </w:rPr>
              <w:t>7</w:t>
            </w:r>
            <w:r>
              <w:rPr>
                <w:rFonts w:cs="Times New Roman"/>
                <w:b/>
                <w:bCs/>
                <w:szCs w:val="24"/>
                <w:lang w:val="sq-AL"/>
              </w:rPr>
              <w:t>:</w:t>
            </w:r>
            <w:r w:rsidRPr="009475CC">
              <w:rPr>
                <w:rFonts w:cs="Times New Roman"/>
                <w:szCs w:val="24"/>
                <w:lang w:val="sq-AL"/>
              </w:rPr>
              <w:t xml:space="preserve"> Forcimi i sistemit të mbikqyrjes së tregut</w:t>
            </w:r>
            <w:r>
              <w:rPr>
                <w:rFonts w:cs="Times New Roman"/>
                <w:szCs w:val="24"/>
                <w:lang w:val="sq-AL"/>
              </w:rPr>
              <w:t xml:space="preserve"> p</w:t>
            </w:r>
            <w:r w:rsidR="002207EC">
              <w:rPr>
                <w:rFonts w:cs="Times New Roman"/>
                <w:szCs w:val="24"/>
                <w:lang w:val="sq-AL"/>
              </w:rPr>
              <w:t>ë</w:t>
            </w:r>
            <w:r>
              <w:rPr>
                <w:rFonts w:cs="Times New Roman"/>
                <w:szCs w:val="24"/>
                <w:lang w:val="sq-AL"/>
              </w:rPr>
              <w:t>r pajisjet mjeksore.</w:t>
            </w:r>
          </w:p>
        </w:tc>
      </w:tr>
    </w:tbl>
    <w:p w14:paraId="508FC6B5" w14:textId="061887D6" w:rsidR="00E06A2E" w:rsidRPr="009475CC" w:rsidRDefault="00E06A2E" w:rsidP="00E06A2E">
      <w:pPr>
        <w:contextualSpacing/>
        <w:jc w:val="both"/>
        <w:rPr>
          <w:rFonts w:cs="Times New Roman"/>
          <w:szCs w:val="24"/>
          <w:lang w:val="sq-AL"/>
        </w:rPr>
      </w:pPr>
    </w:p>
    <w:p w14:paraId="36C6FFF3" w14:textId="6D0BBEBD" w:rsidR="00E06A2E" w:rsidRPr="009475CC" w:rsidRDefault="00E06A2E" w:rsidP="00E06A2E">
      <w:pPr>
        <w:contextualSpacing/>
        <w:jc w:val="both"/>
        <w:rPr>
          <w:rFonts w:cs="Times New Roman"/>
          <w:szCs w:val="24"/>
          <w:lang w:val="sq-AL"/>
        </w:rPr>
      </w:pPr>
      <w:r w:rsidRPr="009475CC">
        <w:rPr>
          <w:rFonts w:cs="Times New Roman"/>
          <w:b/>
          <w:bCs/>
          <w:szCs w:val="24"/>
          <w:lang w:val="sq-AL"/>
        </w:rPr>
        <w:t>Masa</w:t>
      </w:r>
      <w:r w:rsidR="000B5F89">
        <w:rPr>
          <w:rFonts w:cs="Times New Roman"/>
          <w:b/>
          <w:bCs/>
          <w:szCs w:val="24"/>
          <w:lang w:val="sq-AL"/>
        </w:rPr>
        <w:t xml:space="preserve"> </w:t>
      </w:r>
      <w:r w:rsidR="00785AAF">
        <w:rPr>
          <w:rFonts w:cs="Times New Roman"/>
          <w:b/>
          <w:bCs/>
          <w:szCs w:val="24"/>
          <w:lang w:val="sq-AL"/>
        </w:rPr>
        <w:t>7.</w:t>
      </w:r>
      <w:r w:rsidRPr="009475CC">
        <w:rPr>
          <w:rFonts w:cs="Times New Roman"/>
          <w:b/>
          <w:bCs/>
          <w:szCs w:val="24"/>
          <w:lang w:val="sq-AL"/>
        </w:rPr>
        <w:t>1</w:t>
      </w:r>
      <w:r w:rsidR="000B5F89">
        <w:rPr>
          <w:rFonts w:cs="Times New Roman"/>
          <w:b/>
          <w:bCs/>
          <w:szCs w:val="24"/>
          <w:lang w:val="sq-AL"/>
        </w:rPr>
        <w:t>:</w:t>
      </w:r>
      <w:r w:rsidRPr="009475CC">
        <w:rPr>
          <w:rFonts w:cs="Times New Roman"/>
          <w:szCs w:val="24"/>
          <w:lang w:val="sq-AL"/>
        </w:rPr>
        <w:t xml:space="preserve"> Kryerja e inspektimeve për zbatimin e kërkesave ligjore nga ana e operatorëve    ekonomikë për sigurinë e pajisjeve mjekësore</w:t>
      </w:r>
      <w:r w:rsidR="00765806">
        <w:rPr>
          <w:rFonts w:cs="Times New Roman"/>
          <w:szCs w:val="24"/>
          <w:lang w:val="sq-AL"/>
        </w:rPr>
        <w:t>.</w:t>
      </w:r>
    </w:p>
    <w:p w14:paraId="0B55D0DE" w14:textId="13C7CA7D" w:rsidR="00E06A2E" w:rsidRPr="009475CC" w:rsidRDefault="00E06A2E" w:rsidP="00E06A2E">
      <w:pPr>
        <w:contextualSpacing/>
        <w:jc w:val="both"/>
        <w:rPr>
          <w:rFonts w:cs="Times New Roman"/>
          <w:szCs w:val="24"/>
          <w:lang w:val="sq-AL"/>
        </w:rPr>
      </w:pPr>
      <w:r w:rsidRPr="009475CC">
        <w:rPr>
          <w:rFonts w:cs="Times New Roman"/>
          <w:b/>
          <w:bCs/>
          <w:szCs w:val="24"/>
          <w:lang w:val="sq-AL"/>
        </w:rPr>
        <w:t>Masa</w:t>
      </w:r>
      <w:r w:rsidR="000B5F89" w:rsidRPr="009475CC">
        <w:rPr>
          <w:rFonts w:cs="Times New Roman"/>
          <w:b/>
          <w:bCs/>
          <w:szCs w:val="24"/>
          <w:lang w:val="sq-AL"/>
        </w:rPr>
        <w:t xml:space="preserve"> </w:t>
      </w:r>
      <w:r w:rsidR="00785AAF">
        <w:rPr>
          <w:rFonts w:cs="Times New Roman"/>
          <w:b/>
          <w:bCs/>
          <w:szCs w:val="24"/>
          <w:lang w:val="sq-AL"/>
        </w:rPr>
        <w:t>7.</w:t>
      </w:r>
      <w:r w:rsidRPr="009475CC">
        <w:rPr>
          <w:rFonts w:cs="Times New Roman"/>
          <w:b/>
          <w:bCs/>
          <w:szCs w:val="24"/>
          <w:lang w:val="sq-AL"/>
        </w:rPr>
        <w:t>2</w:t>
      </w:r>
      <w:r w:rsidR="000B5F89" w:rsidRPr="009475CC">
        <w:rPr>
          <w:rFonts w:cs="Times New Roman"/>
          <w:b/>
          <w:bCs/>
          <w:szCs w:val="24"/>
          <w:lang w:val="sq-AL"/>
        </w:rPr>
        <w:t>:</w:t>
      </w:r>
      <w:r w:rsidRPr="009475CC">
        <w:rPr>
          <w:rFonts w:cs="Times New Roman"/>
          <w:szCs w:val="24"/>
          <w:lang w:val="sq-AL"/>
        </w:rPr>
        <w:t xml:space="preserve"> Monitorimi i publicitetit të pajisjeve mjekësore</w:t>
      </w:r>
      <w:r w:rsidR="00765806">
        <w:rPr>
          <w:rFonts w:cs="Times New Roman"/>
          <w:szCs w:val="24"/>
          <w:lang w:val="sq-AL"/>
        </w:rPr>
        <w:t>.</w:t>
      </w:r>
    </w:p>
    <w:p w14:paraId="763A81FA" w14:textId="07BA2223" w:rsidR="00E06A2E" w:rsidRDefault="00E06A2E" w:rsidP="00E06A2E">
      <w:pPr>
        <w:contextualSpacing/>
        <w:jc w:val="both"/>
        <w:rPr>
          <w:rFonts w:cs="Times New Roman"/>
          <w:szCs w:val="24"/>
          <w:lang w:val="sq-AL"/>
        </w:rPr>
      </w:pPr>
      <w:r w:rsidRPr="009475CC">
        <w:rPr>
          <w:rFonts w:cs="Times New Roman"/>
          <w:b/>
          <w:bCs/>
          <w:szCs w:val="24"/>
          <w:lang w:val="sq-AL"/>
        </w:rPr>
        <w:t>Masa</w:t>
      </w:r>
      <w:r w:rsidR="000B5F89" w:rsidRPr="009475CC">
        <w:rPr>
          <w:rFonts w:cs="Times New Roman"/>
          <w:b/>
          <w:bCs/>
          <w:szCs w:val="24"/>
          <w:lang w:val="sq-AL"/>
        </w:rPr>
        <w:t xml:space="preserve"> </w:t>
      </w:r>
      <w:r w:rsidR="00785AAF">
        <w:rPr>
          <w:rFonts w:cs="Times New Roman"/>
          <w:b/>
          <w:bCs/>
          <w:szCs w:val="24"/>
          <w:lang w:val="sq-AL"/>
        </w:rPr>
        <w:t>7.</w:t>
      </w:r>
      <w:r w:rsidRPr="009475CC">
        <w:rPr>
          <w:rFonts w:cs="Times New Roman"/>
          <w:b/>
          <w:bCs/>
          <w:szCs w:val="24"/>
          <w:lang w:val="sq-AL"/>
        </w:rPr>
        <w:t>3</w:t>
      </w:r>
      <w:r w:rsidR="000B5F89" w:rsidRPr="009475CC">
        <w:rPr>
          <w:rFonts w:cs="Times New Roman"/>
          <w:b/>
          <w:bCs/>
          <w:szCs w:val="24"/>
          <w:lang w:val="sq-AL"/>
        </w:rPr>
        <w:t>:</w:t>
      </w:r>
      <w:r w:rsidRPr="009475CC">
        <w:rPr>
          <w:rFonts w:cs="Times New Roman"/>
          <w:szCs w:val="24"/>
          <w:lang w:val="sq-AL"/>
        </w:rPr>
        <w:t xml:space="preserve"> Monitorimi i shitjeve online të pajisjeve mjekësore</w:t>
      </w:r>
      <w:r w:rsidR="00765806">
        <w:rPr>
          <w:rFonts w:cs="Times New Roman"/>
          <w:szCs w:val="24"/>
          <w:lang w:val="sq-AL"/>
        </w:rPr>
        <w:t>.</w:t>
      </w:r>
    </w:p>
    <w:p w14:paraId="5E3E86DA" w14:textId="77777777" w:rsidR="00785AAF" w:rsidRDefault="00785AAF" w:rsidP="00785AAF">
      <w:pPr>
        <w:contextualSpacing/>
        <w:jc w:val="both"/>
        <w:rPr>
          <w:rFonts w:cs="Times New Roman"/>
          <w:b/>
          <w:bCs/>
          <w:szCs w:val="24"/>
          <w:lang w:val="sq-AL"/>
        </w:rPr>
      </w:pPr>
    </w:p>
    <w:p w14:paraId="7FED75CE" w14:textId="3C27CF0A" w:rsidR="00785AAF" w:rsidRPr="00602554" w:rsidRDefault="00785AAF" w:rsidP="00785AAF">
      <w:pPr>
        <w:contextualSpacing/>
        <w:jc w:val="both"/>
        <w:rPr>
          <w:rFonts w:cs="Times New Roman"/>
          <w:b/>
          <w:bCs/>
          <w:szCs w:val="24"/>
          <w:highlight w:val="yellow"/>
          <w:lang w:val="sq-AL"/>
        </w:rPr>
      </w:pPr>
      <w:r w:rsidRPr="00602554">
        <w:rPr>
          <w:rFonts w:cs="Times New Roman"/>
          <w:b/>
          <w:bCs/>
          <w:szCs w:val="24"/>
          <w:highlight w:val="yellow"/>
          <w:lang w:val="sq-AL"/>
        </w:rPr>
        <w:t>Indikatorët</w:t>
      </w:r>
    </w:p>
    <w:p w14:paraId="6CEF5105" w14:textId="02DCC069" w:rsidR="00ED5CD4" w:rsidRPr="00ED5CD4" w:rsidRDefault="00ED5CD4" w:rsidP="00785AAF">
      <w:pPr>
        <w:contextualSpacing/>
        <w:jc w:val="both"/>
        <w:rPr>
          <w:rFonts w:cs="Times New Roman"/>
          <w:szCs w:val="24"/>
          <w:lang w:val="sq-AL"/>
        </w:rPr>
      </w:pPr>
      <w:r w:rsidRPr="00602554">
        <w:rPr>
          <w:rFonts w:cs="Times New Roman"/>
          <w:szCs w:val="24"/>
          <w:highlight w:val="yellow"/>
          <w:lang w:val="sq-AL"/>
        </w:rPr>
        <w:t>Nr i i inspektimeve për konstatimin e prodhuesve të palicensuar</w:t>
      </w:r>
      <w:r>
        <w:rPr>
          <w:rFonts w:cs="Times New Roman"/>
          <w:szCs w:val="24"/>
          <w:lang w:val="sq-AL"/>
        </w:rPr>
        <w:t>.</w:t>
      </w:r>
    </w:p>
    <w:p w14:paraId="7901231C" w14:textId="77777777" w:rsidR="00ED5CD4" w:rsidRPr="00ED5CD4" w:rsidRDefault="00ED5CD4" w:rsidP="00ED5CD4">
      <w:pPr>
        <w:contextualSpacing/>
        <w:jc w:val="both"/>
        <w:rPr>
          <w:rFonts w:cs="Times New Roman"/>
          <w:szCs w:val="24"/>
          <w:lang w:val="sq-AL"/>
        </w:rPr>
      </w:pPr>
      <w:r w:rsidRPr="00ED5CD4">
        <w:rPr>
          <w:rFonts w:cs="Times New Roman"/>
          <w:szCs w:val="24"/>
          <w:lang w:val="sq-AL"/>
        </w:rPr>
        <w:t>Numri i inspektimeve të subjekteve që kryejnë publicitet të pajisjeve mjekësore.</w:t>
      </w:r>
    </w:p>
    <w:p w14:paraId="7BBB0788" w14:textId="69CE3EFA" w:rsidR="00ED5CD4" w:rsidRDefault="00ED5CD4" w:rsidP="00ED5CD4">
      <w:pPr>
        <w:contextualSpacing/>
        <w:jc w:val="both"/>
        <w:rPr>
          <w:rFonts w:cs="Times New Roman"/>
          <w:szCs w:val="24"/>
          <w:lang w:val="sq-AL"/>
        </w:rPr>
      </w:pPr>
      <w:r w:rsidRPr="00ED5CD4">
        <w:rPr>
          <w:rFonts w:cs="Times New Roman"/>
          <w:szCs w:val="24"/>
          <w:lang w:val="sq-AL"/>
        </w:rPr>
        <w:t>Numri i subjekteve të penalizuar për publicitet të paligjshëm të pajisjeve mjekësore</w:t>
      </w:r>
      <w:r>
        <w:rPr>
          <w:rFonts w:cs="Times New Roman"/>
          <w:szCs w:val="24"/>
          <w:lang w:val="sq-AL"/>
        </w:rPr>
        <w:t>.</w:t>
      </w:r>
    </w:p>
    <w:p w14:paraId="145515A8" w14:textId="1DE55AE5" w:rsidR="00ED5CD4" w:rsidRPr="00ED5CD4" w:rsidRDefault="00ED5CD4" w:rsidP="00ED5CD4">
      <w:pPr>
        <w:contextualSpacing/>
        <w:jc w:val="both"/>
        <w:rPr>
          <w:rFonts w:cs="Times New Roman"/>
          <w:szCs w:val="24"/>
          <w:lang w:val="sq-AL"/>
        </w:rPr>
      </w:pPr>
      <w:r w:rsidRPr="00ED5CD4">
        <w:rPr>
          <w:rFonts w:cs="Times New Roman"/>
          <w:szCs w:val="24"/>
          <w:lang w:val="sq-AL"/>
        </w:rPr>
        <w:t>Numri i subjekteve të penalizuar për shitjen online të pajisjeve mjekësore në kundërshtim me legjislacionin</w:t>
      </w:r>
      <w:r>
        <w:rPr>
          <w:rFonts w:cs="Times New Roman"/>
          <w:szCs w:val="24"/>
          <w:lang w:val="sq-AL"/>
        </w:rPr>
        <w:t>.</w:t>
      </w:r>
    </w:p>
    <w:p w14:paraId="53CD6848" w14:textId="46B231F1" w:rsidR="00785AAF" w:rsidRDefault="00785AAF" w:rsidP="00785AAF">
      <w:pPr>
        <w:contextualSpacing/>
        <w:jc w:val="both"/>
        <w:rPr>
          <w:rFonts w:cs="Times New Roman"/>
          <w:b/>
          <w:bCs/>
          <w:szCs w:val="24"/>
          <w:lang w:val="sq-AL"/>
        </w:rPr>
      </w:pPr>
    </w:p>
    <w:p w14:paraId="0ABC52A3" w14:textId="33D82685" w:rsidR="00785AAF" w:rsidRDefault="00785AAF" w:rsidP="00E06A2E">
      <w:pPr>
        <w:contextualSpacing/>
        <w:jc w:val="both"/>
        <w:rPr>
          <w:rFonts w:cs="Times New Roman"/>
          <w:szCs w:val="24"/>
          <w:lang w:val="sq-AL"/>
        </w:rPr>
      </w:pPr>
    </w:p>
    <w:tbl>
      <w:tblPr>
        <w:tblStyle w:val="TableGrid"/>
        <w:tblW w:w="0" w:type="auto"/>
        <w:tblLook w:val="04A0" w:firstRow="1" w:lastRow="0" w:firstColumn="1" w:lastColumn="0" w:noHBand="0" w:noVBand="1"/>
      </w:tblPr>
      <w:tblGrid>
        <w:gridCol w:w="9016"/>
      </w:tblGrid>
      <w:tr w:rsidR="00785AAF" w14:paraId="5B77BFD0" w14:textId="77777777" w:rsidTr="00785AAF">
        <w:tc>
          <w:tcPr>
            <w:tcW w:w="9016" w:type="dxa"/>
          </w:tcPr>
          <w:p w14:paraId="614627F5" w14:textId="649CBB49" w:rsidR="00785AAF" w:rsidRDefault="00785AAF" w:rsidP="00E06A2E">
            <w:pPr>
              <w:contextualSpacing/>
              <w:jc w:val="both"/>
              <w:rPr>
                <w:rFonts w:cs="Times New Roman"/>
                <w:szCs w:val="24"/>
                <w:lang w:val="sq-AL"/>
              </w:rPr>
            </w:pPr>
            <w:r w:rsidRPr="009475CC">
              <w:rPr>
                <w:rFonts w:cs="Times New Roman"/>
                <w:b/>
                <w:bCs/>
                <w:szCs w:val="24"/>
                <w:lang w:val="sq-AL"/>
              </w:rPr>
              <w:t>Objektiv</w:t>
            </w:r>
            <w:r>
              <w:rPr>
                <w:rFonts w:cs="Times New Roman"/>
                <w:b/>
                <w:bCs/>
                <w:szCs w:val="24"/>
                <w:lang w:val="sq-AL"/>
              </w:rPr>
              <w:t>i</w:t>
            </w:r>
            <w:r w:rsidRPr="009475CC">
              <w:rPr>
                <w:rFonts w:cs="Times New Roman"/>
                <w:b/>
                <w:bCs/>
                <w:szCs w:val="24"/>
                <w:lang w:val="sq-AL"/>
              </w:rPr>
              <w:t xml:space="preserve"> </w:t>
            </w:r>
            <w:r w:rsidR="00AC7156">
              <w:rPr>
                <w:rFonts w:cs="Times New Roman"/>
                <w:b/>
                <w:bCs/>
                <w:szCs w:val="24"/>
                <w:lang w:val="sq-AL"/>
              </w:rPr>
              <w:t>8</w:t>
            </w:r>
            <w:r>
              <w:rPr>
                <w:rFonts w:cs="Times New Roman"/>
                <w:b/>
                <w:bCs/>
                <w:szCs w:val="24"/>
                <w:lang w:val="sq-AL"/>
              </w:rPr>
              <w:t>:</w:t>
            </w:r>
            <w:r w:rsidRPr="009475CC">
              <w:rPr>
                <w:rFonts w:cs="Times New Roman"/>
                <w:szCs w:val="24"/>
                <w:lang w:val="sq-AL"/>
              </w:rPr>
              <w:t xml:space="preserve"> Përmirësimi i kuadrit rregullator për përdorim të sigurtë të teknologjisë mjekësore dhe monitorimin e tij</w:t>
            </w:r>
            <w:r>
              <w:rPr>
                <w:rFonts w:cs="Times New Roman"/>
                <w:szCs w:val="24"/>
                <w:lang w:val="sq-AL"/>
              </w:rPr>
              <w:t>.</w:t>
            </w:r>
          </w:p>
        </w:tc>
      </w:tr>
    </w:tbl>
    <w:p w14:paraId="064A7B2F" w14:textId="77777777" w:rsidR="00785AAF" w:rsidRPr="009475CC" w:rsidRDefault="00785AAF" w:rsidP="00E06A2E">
      <w:pPr>
        <w:contextualSpacing/>
        <w:jc w:val="both"/>
        <w:rPr>
          <w:rFonts w:cs="Times New Roman"/>
          <w:szCs w:val="24"/>
          <w:lang w:val="sq-AL"/>
        </w:rPr>
      </w:pPr>
    </w:p>
    <w:p w14:paraId="1C6B15F9" w14:textId="61F8283B" w:rsidR="000B5F89" w:rsidRDefault="00E06A2E" w:rsidP="00E06A2E">
      <w:pPr>
        <w:contextualSpacing/>
        <w:jc w:val="both"/>
        <w:rPr>
          <w:rFonts w:cs="Times New Roman"/>
          <w:szCs w:val="24"/>
          <w:lang w:val="sq-AL"/>
        </w:rPr>
      </w:pPr>
      <w:r w:rsidRPr="009475CC">
        <w:rPr>
          <w:rFonts w:cs="Times New Roman"/>
          <w:b/>
          <w:bCs/>
          <w:szCs w:val="24"/>
          <w:lang w:val="sq-AL"/>
        </w:rPr>
        <w:lastRenderedPageBreak/>
        <w:t>Masa</w:t>
      </w:r>
      <w:r w:rsidR="000B5F89">
        <w:rPr>
          <w:rFonts w:cs="Times New Roman"/>
          <w:b/>
          <w:bCs/>
          <w:szCs w:val="24"/>
          <w:lang w:val="sq-AL"/>
        </w:rPr>
        <w:t xml:space="preserve"> </w:t>
      </w:r>
      <w:r w:rsidR="00785AAF">
        <w:rPr>
          <w:rFonts w:cs="Times New Roman"/>
          <w:b/>
          <w:bCs/>
          <w:szCs w:val="24"/>
          <w:lang w:val="sq-AL"/>
        </w:rPr>
        <w:t>8.</w:t>
      </w:r>
      <w:r w:rsidRPr="009475CC">
        <w:rPr>
          <w:rFonts w:cs="Times New Roman"/>
          <w:b/>
          <w:bCs/>
          <w:szCs w:val="24"/>
          <w:lang w:val="sq-AL"/>
        </w:rPr>
        <w:t>1</w:t>
      </w:r>
      <w:r w:rsidR="000B5F89">
        <w:rPr>
          <w:rFonts w:cs="Times New Roman"/>
          <w:b/>
          <w:bCs/>
          <w:szCs w:val="24"/>
          <w:lang w:val="sq-AL"/>
        </w:rPr>
        <w:t>:</w:t>
      </w:r>
      <w:r w:rsidR="000B5F89">
        <w:rPr>
          <w:rFonts w:cs="Times New Roman"/>
          <w:szCs w:val="24"/>
          <w:lang w:val="sq-AL"/>
        </w:rPr>
        <w:t xml:space="preserve"> </w:t>
      </w:r>
      <w:r w:rsidRPr="009475CC">
        <w:rPr>
          <w:rFonts w:cs="Times New Roman"/>
          <w:szCs w:val="24"/>
          <w:lang w:val="sq-AL"/>
        </w:rPr>
        <w:t>Hartimi i akteve rregullore për përafrimin e mëtejshëm të legjislacionit me legjislacionin europian</w:t>
      </w:r>
      <w:r w:rsidR="000B5F89">
        <w:rPr>
          <w:rFonts w:cs="Times New Roman"/>
          <w:szCs w:val="24"/>
          <w:lang w:val="sq-AL"/>
        </w:rPr>
        <w:t>.</w:t>
      </w:r>
    </w:p>
    <w:p w14:paraId="082C50BB" w14:textId="77777777" w:rsidR="00785AAF" w:rsidRDefault="00785AAF" w:rsidP="00E06A2E">
      <w:pPr>
        <w:contextualSpacing/>
        <w:jc w:val="both"/>
        <w:rPr>
          <w:rFonts w:cs="Times New Roman"/>
          <w:szCs w:val="24"/>
          <w:lang w:val="sq-AL"/>
        </w:rPr>
      </w:pPr>
    </w:p>
    <w:p w14:paraId="3D9B22F7" w14:textId="20F83087" w:rsidR="00E06A2E" w:rsidRDefault="00E06A2E" w:rsidP="00E06A2E">
      <w:pPr>
        <w:contextualSpacing/>
        <w:jc w:val="both"/>
        <w:rPr>
          <w:rFonts w:cs="Times New Roman"/>
          <w:szCs w:val="24"/>
          <w:lang w:val="sq-AL"/>
        </w:rPr>
      </w:pPr>
      <w:r w:rsidRPr="009475CC">
        <w:rPr>
          <w:rFonts w:cs="Times New Roman"/>
          <w:b/>
          <w:bCs/>
          <w:szCs w:val="24"/>
          <w:lang w:val="sq-AL"/>
        </w:rPr>
        <w:t>Masa</w:t>
      </w:r>
      <w:r w:rsidR="000B5F89">
        <w:rPr>
          <w:rFonts w:cs="Times New Roman"/>
          <w:szCs w:val="24"/>
          <w:lang w:val="sq-AL"/>
        </w:rPr>
        <w:t xml:space="preserve"> </w:t>
      </w:r>
      <w:r w:rsidR="00785AAF" w:rsidRPr="00785AAF">
        <w:rPr>
          <w:rFonts w:cs="Times New Roman"/>
          <w:b/>
          <w:bCs/>
          <w:szCs w:val="24"/>
          <w:lang w:val="sq-AL"/>
        </w:rPr>
        <w:t>8.</w:t>
      </w:r>
      <w:r w:rsidR="000B5F89" w:rsidRPr="00785AAF">
        <w:rPr>
          <w:rFonts w:cs="Times New Roman"/>
          <w:b/>
          <w:bCs/>
          <w:szCs w:val="24"/>
          <w:lang w:val="sq-AL"/>
        </w:rPr>
        <w:t>2</w:t>
      </w:r>
      <w:r w:rsidR="000B5F89">
        <w:rPr>
          <w:rFonts w:cs="Times New Roman"/>
          <w:szCs w:val="24"/>
          <w:lang w:val="sq-AL"/>
        </w:rPr>
        <w:t>:</w:t>
      </w:r>
      <w:r w:rsidRPr="009475CC">
        <w:rPr>
          <w:rFonts w:cs="Times New Roman"/>
          <w:szCs w:val="24"/>
          <w:lang w:val="sq-AL"/>
        </w:rPr>
        <w:t xml:space="preserve"> Garantimi i mirëmbajtjes së vazhdueshme të pajisjeve mjekësore në institucionet shëndetësore publike dhe private</w:t>
      </w:r>
      <w:r w:rsidR="00765806">
        <w:rPr>
          <w:rFonts w:cs="Times New Roman"/>
          <w:szCs w:val="24"/>
          <w:lang w:val="sq-AL"/>
        </w:rPr>
        <w:t>.</w:t>
      </w:r>
    </w:p>
    <w:p w14:paraId="6C6A706D" w14:textId="77777777" w:rsidR="00785AAF" w:rsidRPr="009475CC" w:rsidRDefault="00785AAF" w:rsidP="00E06A2E">
      <w:pPr>
        <w:contextualSpacing/>
        <w:jc w:val="both"/>
        <w:rPr>
          <w:rFonts w:cs="Times New Roman"/>
          <w:szCs w:val="24"/>
          <w:lang w:val="sq-AL"/>
        </w:rPr>
      </w:pPr>
    </w:p>
    <w:p w14:paraId="0399339A" w14:textId="4D061415" w:rsidR="00E06A2E" w:rsidRPr="009475CC" w:rsidRDefault="00E06A2E" w:rsidP="00E06A2E">
      <w:pPr>
        <w:contextualSpacing/>
        <w:jc w:val="both"/>
        <w:rPr>
          <w:rFonts w:cs="Times New Roman"/>
          <w:szCs w:val="24"/>
          <w:lang w:val="sq-AL"/>
        </w:rPr>
      </w:pPr>
      <w:r w:rsidRPr="009475CC">
        <w:rPr>
          <w:rFonts w:cs="Times New Roman"/>
          <w:b/>
          <w:bCs/>
          <w:szCs w:val="24"/>
          <w:lang w:val="sq-AL"/>
        </w:rPr>
        <w:t>Masa</w:t>
      </w:r>
      <w:r w:rsidR="000B5F89">
        <w:rPr>
          <w:rFonts w:cs="Times New Roman"/>
          <w:b/>
          <w:bCs/>
          <w:szCs w:val="24"/>
          <w:lang w:val="sq-AL"/>
        </w:rPr>
        <w:t xml:space="preserve"> </w:t>
      </w:r>
      <w:r w:rsidR="00785AAF">
        <w:rPr>
          <w:rFonts w:cs="Times New Roman"/>
          <w:b/>
          <w:bCs/>
          <w:szCs w:val="24"/>
          <w:lang w:val="sq-AL"/>
        </w:rPr>
        <w:t>8.</w:t>
      </w:r>
      <w:r w:rsidRPr="009475CC">
        <w:rPr>
          <w:rFonts w:cs="Times New Roman"/>
          <w:b/>
          <w:bCs/>
          <w:szCs w:val="24"/>
          <w:lang w:val="sq-AL"/>
        </w:rPr>
        <w:t>3</w:t>
      </w:r>
      <w:r w:rsidR="000B5F89">
        <w:rPr>
          <w:rFonts w:cs="Times New Roman"/>
          <w:b/>
          <w:bCs/>
          <w:szCs w:val="24"/>
          <w:lang w:val="sq-AL"/>
        </w:rPr>
        <w:t>:</w:t>
      </w:r>
      <w:r w:rsidRPr="009475CC">
        <w:rPr>
          <w:rFonts w:cs="Times New Roman"/>
          <w:szCs w:val="24"/>
          <w:lang w:val="sq-AL"/>
        </w:rPr>
        <w:t xml:space="preserve"> Trajnimi i përdoruesve të pajisjeve mjekësore në strukturat shëndetësore me qëllim rritjen e kapaciteteve </w:t>
      </w:r>
      <w:r w:rsidR="00765806">
        <w:rPr>
          <w:rFonts w:cs="Times New Roman"/>
          <w:szCs w:val="24"/>
          <w:lang w:val="sq-AL"/>
        </w:rPr>
        <w:t xml:space="preserve">të </w:t>
      </w:r>
      <w:r w:rsidRPr="009475CC">
        <w:rPr>
          <w:rFonts w:cs="Times New Roman"/>
          <w:szCs w:val="24"/>
          <w:lang w:val="sq-AL"/>
        </w:rPr>
        <w:t>stafit që mirëmban dhe kontrollon pajisjet mjekësore në spital</w:t>
      </w:r>
      <w:r w:rsidR="00765806">
        <w:rPr>
          <w:rFonts w:cs="Times New Roman"/>
          <w:szCs w:val="24"/>
          <w:lang w:val="sq-AL"/>
        </w:rPr>
        <w:t>e.</w:t>
      </w:r>
    </w:p>
    <w:p w14:paraId="0F18D03F" w14:textId="77777777" w:rsidR="00785AAF" w:rsidRDefault="00785AAF" w:rsidP="00E06A2E">
      <w:pPr>
        <w:contextualSpacing/>
        <w:jc w:val="both"/>
        <w:rPr>
          <w:rFonts w:cs="Times New Roman"/>
          <w:b/>
          <w:bCs/>
          <w:szCs w:val="24"/>
          <w:lang w:val="sq-AL"/>
        </w:rPr>
      </w:pPr>
    </w:p>
    <w:p w14:paraId="18C2775D" w14:textId="77777777" w:rsidR="00785AAF" w:rsidRPr="00602554" w:rsidRDefault="00E06A2E" w:rsidP="00E06A2E">
      <w:pPr>
        <w:contextualSpacing/>
        <w:jc w:val="both"/>
        <w:rPr>
          <w:rFonts w:cs="Times New Roman"/>
          <w:b/>
          <w:bCs/>
          <w:szCs w:val="24"/>
          <w:highlight w:val="yellow"/>
          <w:lang w:val="sq-AL"/>
        </w:rPr>
      </w:pPr>
      <w:r w:rsidRPr="00602554">
        <w:rPr>
          <w:rFonts w:cs="Times New Roman"/>
          <w:b/>
          <w:bCs/>
          <w:szCs w:val="24"/>
          <w:highlight w:val="yellow"/>
          <w:lang w:val="sq-AL"/>
        </w:rPr>
        <w:t>Indikator</w:t>
      </w:r>
      <w:r w:rsidR="000B5F89" w:rsidRPr="00602554">
        <w:rPr>
          <w:rFonts w:cs="Times New Roman"/>
          <w:b/>
          <w:bCs/>
          <w:szCs w:val="24"/>
          <w:highlight w:val="yellow"/>
          <w:lang w:val="sq-AL"/>
        </w:rPr>
        <w:t>ë</w:t>
      </w:r>
      <w:r w:rsidRPr="00602554">
        <w:rPr>
          <w:rFonts w:cs="Times New Roman"/>
          <w:b/>
          <w:bCs/>
          <w:szCs w:val="24"/>
          <w:highlight w:val="yellow"/>
          <w:lang w:val="sq-AL"/>
        </w:rPr>
        <w:t>t</w:t>
      </w:r>
      <w:r w:rsidR="000B5F89" w:rsidRPr="00602554">
        <w:rPr>
          <w:rFonts w:cs="Times New Roman"/>
          <w:b/>
          <w:bCs/>
          <w:szCs w:val="24"/>
          <w:highlight w:val="yellow"/>
          <w:lang w:val="sq-AL"/>
        </w:rPr>
        <w:t>:</w:t>
      </w:r>
    </w:p>
    <w:p w14:paraId="65EE5B81" w14:textId="6B8B51C6" w:rsidR="00E06A2E" w:rsidRPr="009475CC" w:rsidRDefault="00E06A2E" w:rsidP="00E06A2E">
      <w:pPr>
        <w:contextualSpacing/>
        <w:jc w:val="both"/>
        <w:rPr>
          <w:rFonts w:cs="Times New Roman"/>
          <w:szCs w:val="24"/>
          <w:lang w:val="sq-AL"/>
        </w:rPr>
      </w:pPr>
      <w:r w:rsidRPr="00602554">
        <w:rPr>
          <w:rFonts w:cs="Times New Roman"/>
          <w:szCs w:val="24"/>
          <w:highlight w:val="yellow"/>
          <w:lang w:val="sq-AL"/>
        </w:rPr>
        <w:t>Numri i akteve të përafruara</w:t>
      </w:r>
      <w:r w:rsidR="001839ED" w:rsidRPr="00602554">
        <w:rPr>
          <w:rFonts w:cs="Times New Roman"/>
          <w:szCs w:val="24"/>
          <w:highlight w:val="yellow"/>
          <w:lang w:val="sq-AL"/>
        </w:rPr>
        <w:t>.</w:t>
      </w:r>
    </w:p>
    <w:p w14:paraId="043962DF" w14:textId="44E561DB" w:rsidR="00E06A2E" w:rsidRPr="009475CC" w:rsidRDefault="00E06A2E" w:rsidP="00E06A2E">
      <w:pPr>
        <w:contextualSpacing/>
        <w:jc w:val="both"/>
        <w:rPr>
          <w:rFonts w:cs="Times New Roman"/>
          <w:szCs w:val="24"/>
          <w:lang w:val="sq-AL"/>
        </w:rPr>
      </w:pPr>
      <w:r w:rsidRPr="009475CC">
        <w:rPr>
          <w:rFonts w:cs="Times New Roman"/>
          <w:szCs w:val="24"/>
          <w:lang w:val="sq-AL"/>
        </w:rPr>
        <w:t>Rritja e numri i pajisjeve që mirëmbahen rregullisht vit pas viti</w:t>
      </w:r>
      <w:r w:rsidR="001839ED">
        <w:rPr>
          <w:rFonts w:cs="Times New Roman"/>
          <w:szCs w:val="24"/>
          <w:lang w:val="sq-AL"/>
        </w:rPr>
        <w:t>.</w:t>
      </w:r>
    </w:p>
    <w:p w14:paraId="2892B3EB" w14:textId="1CA35AE3" w:rsidR="00E06A2E" w:rsidRPr="009475CC" w:rsidRDefault="00E06A2E" w:rsidP="00E06A2E">
      <w:pPr>
        <w:contextualSpacing/>
        <w:jc w:val="both"/>
        <w:rPr>
          <w:rFonts w:cs="Times New Roman"/>
          <w:szCs w:val="24"/>
          <w:lang w:val="sq-AL"/>
        </w:rPr>
      </w:pPr>
      <w:r w:rsidRPr="009475CC">
        <w:rPr>
          <w:rFonts w:cs="Times New Roman"/>
          <w:szCs w:val="24"/>
          <w:lang w:val="sq-AL"/>
        </w:rPr>
        <w:t>Numri i trajnimeve të përdoruesve dhe mirëmbajtësve të pajisjeve mjekësore</w:t>
      </w:r>
      <w:r w:rsidR="001839ED">
        <w:rPr>
          <w:rFonts w:cs="Times New Roman"/>
          <w:szCs w:val="24"/>
          <w:lang w:val="sq-AL"/>
        </w:rPr>
        <w:t>.</w:t>
      </w:r>
    </w:p>
    <w:p w14:paraId="0909A6E0" w14:textId="1967F4E8" w:rsidR="009D6DB4" w:rsidRPr="009475CC" w:rsidRDefault="00E06A2E" w:rsidP="00785AAF">
      <w:pPr>
        <w:contextualSpacing/>
        <w:jc w:val="both"/>
        <w:rPr>
          <w:rFonts w:cs="Times New Roman"/>
          <w:szCs w:val="24"/>
          <w:lang w:val="sq-AL"/>
        </w:rPr>
      </w:pPr>
      <w:r w:rsidRPr="009475CC">
        <w:rPr>
          <w:rFonts w:cs="Times New Roman"/>
          <w:szCs w:val="24"/>
          <w:lang w:val="sq-AL"/>
        </w:rPr>
        <w:t>Numri i dokumentave të hartuar për informim</w:t>
      </w:r>
      <w:r w:rsidR="000B5F89">
        <w:rPr>
          <w:rFonts w:cs="Times New Roman"/>
          <w:szCs w:val="24"/>
          <w:lang w:val="sq-AL"/>
        </w:rPr>
        <w:t>.</w:t>
      </w:r>
      <w:bookmarkStart w:id="146" w:name="_Hlk121699081"/>
    </w:p>
    <w:p w14:paraId="01DE02A6" w14:textId="6BC9BF6D" w:rsidR="00785AAF" w:rsidRDefault="00785AAF" w:rsidP="00FB63B4">
      <w:pPr>
        <w:pStyle w:val="Heading4"/>
        <w:rPr>
          <w:lang w:val="sq-AL"/>
        </w:rPr>
      </w:pPr>
    </w:p>
    <w:p w14:paraId="5C7A6AEA" w14:textId="5041A82F" w:rsidR="006A2D01" w:rsidRPr="00785AAF" w:rsidRDefault="006A2D01" w:rsidP="00FB63B4">
      <w:pPr>
        <w:pStyle w:val="Heading4"/>
        <w:rPr>
          <w:highlight w:val="yellow"/>
          <w:lang w:val="sq-AL"/>
        </w:rPr>
      </w:pPr>
      <w:bookmarkStart w:id="147" w:name="_Toc132277377"/>
      <w:r w:rsidRPr="00785AAF">
        <w:rPr>
          <w:lang w:val="sq-AL"/>
        </w:rPr>
        <w:t>Infrastruktura e Cilësisë</w:t>
      </w:r>
      <w:bookmarkEnd w:id="147"/>
    </w:p>
    <w:p w14:paraId="5F6478FC" w14:textId="5774621E" w:rsidR="006A2D01" w:rsidRPr="001839ED" w:rsidRDefault="002740C2" w:rsidP="00FB63B4">
      <w:pPr>
        <w:pStyle w:val="Heading4"/>
        <w:rPr>
          <w:lang w:val="sq-AL"/>
        </w:rPr>
      </w:pPr>
      <w:bookmarkStart w:id="148" w:name="_Toc132277378"/>
      <w:bookmarkEnd w:id="146"/>
      <w:r w:rsidRPr="001839ED">
        <w:rPr>
          <w:lang w:val="sq-AL"/>
        </w:rPr>
        <w:t>S</w:t>
      </w:r>
      <w:r w:rsidR="006A2D01" w:rsidRPr="001839ED">
        <w:rPr>
          <w:lang w:val="sq-AL"/>
        </w:rPr>
        <w:t>tandardizimi</w:t>
      </w:r>
      <w:bookmarkEnd w:id="148"/>
    </w:p>
    <w:tbl>
      <w:tblPr>
        <w:tblStyle w:val="TableGrid"/>
        <w:tblW w:w="0" w:type="auto"/>
        <w:tblLook w:val="04A0" w:firstRow="1" w:lastRow="0" w:firstColumn="1" w:lastColumn="0" w:noHBand="0" w:noVBand="1"/>
      </w:tblPr>
      <w:tblGrid>
        <w:gridCol w:w="9016"/>
      </w:tblGrid>
      <w:tr w:rsidR="00785AAF" w14:paraId="0E49F659" w14:textId="77777777" w:rsidTr="00785AAF">
        <w:tc>
          <w:tcPr>
            <w:tcW w:w="9016" w:type="dxa"/>
          </w:tcPr>
          <w:p w14:paraId="6ABD88BB" w14:textId="379497C8" w:rsidR="00785AAF" w:rsidRDefault="00785AAF" w:rsidP="00785AAF">
            <w:pPr>
              <w:jc w:val="both"/>
              <w:rPr>
                <w:rFonts w:cs="Times New Roman"/>
                <w:b/>
                <w:szCs w:val="24"/>
                <w:lang w:val="sq-AL"/>
              </w:rPr>
            </w:pPr>
            <w:r w:rsidRPr="009475CC">
              <w:rPr>
                <w:rFonts w:cs="Times New Roman"/>
                <w:b/>
                <w:szCs w:val="24"/>
                <w:lang w:val="sq-AL"/>
              </w:rPr>
              <w:t>Objektiv</w:t>
            </w:r>
            <w:r>
              <w:rPr>
                <w:rFonts w:cs="Times New Roman"/>
                <w:b/>
                <w:szCs w:val="24"/>
                <w:lang w:val="sq-AL"/>
              </w:rPr>
              <w:t>i</w:t>
            </w:r>
            <w:r w:rsidRPr="009475CC">
              <w:rPr>
                <w:rFonts w:cs="Times New Roman"/>
                <w:b/>
                <w:szCs w:val="24"/>
                <w:lang w:val="sq-AL"/>
              </w:rPr>
              <w:t xml:space="preserve"> </w:t>
            </w:r>
            <w:r w:rsidR="00AC7156">
              <w:rPr>
                <w:rFonts w:cs="Times New Roman"/>
                <w:b/>
                <w:szCs w:val="24"/>
                <w:lang w:val="sq-AL"/>
              </w:rPr>
              <w:t>9</w:t>
            </w:r>
            <w:r>
              <w:rPr>
                <w:rFonts w:cs="Times New Roman"/>
                <w:b/>
                <w:szCs w:val="24"/>
                <w:lang w:val="sq-AL"/>
              </w:rPr>
              <w:t>:</w:t>
            </w:r>
            <w:r w:rsidRPr="009475CC">
              <w:rPr>
                <w:rFonts w:cs="Times New Roman"/>
                <w:b/>
                <w:szCs w:val="24"/>
                <w:lang w:val="sq-AL"/>
              </w:rPr>
              <w:t xml:space="preserve"> </w:t>
            </w:r>
          </w:p>
          <w:p w14:paraId="3CAD88B6" w14:textId="584F069D" w:rsidR="00785AAF" w:rsidRDefault="00785AAF" w:rsidP="00785AAF">
            <w:pPr>
              <w:jc w:val="both"/>
              <w:rPr>
                <w:rFonts w:cs="Times New Roman"/>
                <w:szCs w:val="24"/>
                <w:lang w:val="sq-AL"/>
              </w:rPr>
            </w:pPr>
            <w:r w:rsidRPr="009475CC">
              <w:rPr>
                <w:rFonts w:cs="Times New Roman"/>
                <w:bCs/>
                <w:szCs w:val="24"/>
                <w:lang w:val="sq-AL"/>
              </w:rPr>
              <w:t xml:space="preserve">Anëtarësimi i DPS me të drejta të plota në dy organizmat evropiane të standardizimit CEN dhe CENELEC dhe në Njësinë Ndërkombëtare të Standardeve të Telekomunikacionit (ITU-T), si dhe fillimi i adoptimit të standardeve të publikuara nga ITU-T. </w:t>
            </w:r>
          </w:p>
          <w:p w14:paraId="21F9FC1F" w14:textId="77777777" w:rsidR="00785AAF" w:rsidRDefault="00785AAF" w:rsidP="009475CC">
            <w:pPr>
              <w:jc w:val="both"/>
              <w:rPr>
                <w:rFonts w:cs="Times New Roman"/>
                <w:b/>
                <w:szCs w:val="24"/>
                <w:lang w:val="sq-AL"/>
              </w:rPr>
            </w:pPr>
          </w:p>
        </w:tc>
      </w:tr>
    </w:tbl>
    <w:p w14:paraId="23EA6D89" w14:textId="77777777" w:rsidR="00785AAF" w:rsidRDefault="00785AAF" w:rsidP="009475CC">
      <w:pPr>
        <w:spacing w:after="0" w:line="240" w:lineRule="auto"/>
        <w:jc w:val="both"/>
        <w:rPr>
          <w:rFonts w:cs="Times New Roman"/>
          <w:b/>
          <w:szCs w:val="24"/>
          <w:lang w:val="sq-AL"/>
        </w:rPr>
      </w:pPr>
    </w:p>
    <w:p w14:paraId="3FA5D326" w14:textId="167A6C98" w:rsidR="0043305B" w:rsidRDefault="0043305B" w:rsidP="009475CC">
      <w:pPr>
        <w:spacing w:after="0" w:line="240" w:lineRule="auto"/>
        <w:jc w:val="both"/>
        <w:rPr>
          <w:rFonts w:cs="Times New Roman"/>
          <w:szCs w:val="24"/>
          <w:lang w:val="sq-AL"/>
        </w:rPr>
      </w:pPr>
      <w:r w:rsidRPr="009475CC">
        <w:rPr>
          <w:rFonts w:cs="Times New Roman"/>
          <w:szCs w:val="24"/>
          <w:lang w:val="sq-AL"/>
        </w:rPr>
        <w:t xml:space="preserve">Anëtarësimi në këto organizma është detyrim që vjen nga neni 75 i Marrëveshjes së Stabilizim Asociimit, ku Drejtoria e Përgjithshme e Standardizimit është përgjegjëse për organizimin e gjithë aktiviteteve të standardizimit dhe ngritjen e funksionimin e një sistemi kombëtar standardizimi në vend në përputhje me atë evropian (CEN, CENELEC dhe ETSI) dhe ndërkombëtar (ISO, IEC dhe ITU-T). </w:t>
      </w:r>
    </w:p>
    <w:p w14:paraId="71A4D08B" w14:textId="77777777" w:rsidR="00A94EAD" w:rsidRPr="009475CC" w:rsidRDefault="00A94EAD" w:rsidP="009475CC">
      <w:pPr>
        <w:spacing w:after="0" w:line="240" w:lineRule="auto"/>
        <w:jc w:val="both"/>
        <w:rPr>
          <w:rFonts w:cs="Times New Roman"/>
          <w:szCs w:val="24"/>
          <w:lang w:val="sq-AL"/>
        </w:rPr>
      </w:pPr>
    </w:p>
    <w:p w14:paraId="57A21E90" w14:textId="1BB0D2E8" w:rsidR="0043305B" w:rsidRDefault="0043305B" w:rsidP="00A94EAD">
      <w:pPr>
        <w:spacing w:after="0" w:line="240" w:lineRule="auto"/>
        <w:jc w:val="both"/>
        <w:rPr>
          <w:rFonts w:cs="Times New Roman"/>
          <w:szCs w:val="24"/>
          <w:lang w:val="sq-AL"/>
        </w:rPr>
      </w:pPr>
      <w:r w:rsidRPr="009475CC">
        <w:rPr>
          <w:rFonts w:cs="Times New Roman"/>
          <w:szCs w:val="24"/>
          <w:lang w:val="sq-AL"/>
        </w:rPr>
        <w:t>Anëtarësimi me të drejta të plota i DPS-së në këto organizma kërkon që DPS të veprojë në përputhje me rregulloret/</w:t>
      </w:r>
      <w:r w:rsidR="001839ED">
        <w:rPr>
          <w:rFonts w:cs="Times New Roman"/>
          <w:szCs w:val="24"/>
          <w:lang w:val="sq-AL"/>
        </w:rPr>
        <w:t xml:space="preserve"> </w:t>
      </w:r>
      <w:r w:rsidRPr="009475CC">
        <w:rPr>
          <w:rFonts w:cs="Times New Roman"/>
          <w:szCs w:val="24"/>
          <w:lang w:val="sq-AL"/>
        </w:rPr>
        <w:t>legjislacionin dhe parimet e standardizimit dhe do të sjellë pjesëmarrjen aktive (me të drejtë vote) të saj në punën europiane e ndërkombëtare të standardizimit, duke mbrojtur interesat e biznesit vendas dhe jo vetëm në fushat me interes për të dhe ku njëri nga përfituesit nga përdorimi i standardeve është edhe konsumatori, i cili do të marrë produkte e shërbime të sigurta dhe me cilësi për jetën, shëndetin dhe mjedisin.</w:t>
      </w:r>
    </w:p>
    <w:p w14:paraId="6997BC36" w14:textId="77777777" w:rsidR="00A94EAD" w:rsidRPr="009475CC" w:rsidRDefault="00A94EAD" w:rsidP="00A94EAD">
      <w:pPr>
        <w:spacing w:after="0" w:line="240" w:lineRule="auto"/>
        <w:jc w:val="both"/>
        <w:rPr>
          <w:rFonts w:cs="Times New Roman"/>
          <w:b/>
          <w:szCs w:val="24"/>
          <w:lang w:val="sq-AL"/>
        </w:rPr>
      </w:pPr>
    </w:p>
    <w:p w14:paraId="73F646B9" w14:textId="65C5F6E7" w:rsidR="0043305B" w:rsidRPr="009475CC" w:rsidRDefault="0043305B" w:rsidP="00A94EAD">
      <w:pPr>
        <w:spacing w:line="240" w:lineRule="auto"/>
        <w:jc w:val="both"/>
        <w:rPr>
          <w:rFonts w:cs="Times New Roman"/>
          <w:szCs w:val="24"/>
          <w:lang w:val="sq-AL"/>
        </w:rPr>
      </w:pPr>
      <w:r w:rsidRPr="009475CC">
        <w:rPr>
          <w:rFonts w:cs="Times New Roman"/>
          <w:b/>
          <w:szCs w:val="24"/>
          <w:lang w:val="sq-AL"/>
        </w:rPr>
        <w:t>Masa</w:t>
      </w:r>
      <w:r w:rsidR="002740C2">
        <w:rPr>
          <w:rFonts w:cs="Times New Roman"/>
          <w:b/>
          <w:szCs w:val="24"/>
          <w:lang w:val="sq-AL"/>
        </w:rPr>
        <w:t xml:space="preserve"> </w:t>
      </w:r>
      <w:r w:rsidR="00A94EAD">
        <w:rPr>
          <w:rFonts w:cs="Times New Roman"/>
          <w:b/>
          <w:szCs w:val="24"/>
          <w:lang w:val="sq-AL"/>
        </w:rPr>
        <w:t>9.</w:t>
      </w:r>
      <w:r w:rsidR="002740C2">
        <w:rPr>
          <w:rFonts w:cs="Times New Roman"/>
          <w:b/>
          <w:szCs w:val="24"/>
          <w:lang w:val="sq-AL"/>
        </w:rPr>
        <w:t>1:</w:t>
      </w:r>
      <w:r w:rsidR="002740C2">
        <w:rPr>
          <w:rFonts w:cs="Times New Roman"/>
          <w:szCs w:val="24"/>
          <w:lang w:val="sq-AL"/>
        </w:rPr>
        <w:t xml:space="preserve"> </w:t>
      </w:r>
      <w:r w:rsidRPr="009475CC">
        <w:rPr>
          <w:rFonts w:cs="Times New Roman"/>
          <w:szCs w:val="24"/>
          <w:lang w:val="sq-AL"/>
        </w:rPr>
        <w:t>Marrja e veprimeve korrigjuese/</w:t>
      </w:r>
      <w:r w:rsidR="001839ED">
        <w:rPr>
          <w:rFonts w:cs="Times New Roman"/>
          <w:szCs w:val="24"/>
          <w:lang w:val="sq-AL"/>
        </w:rPr>
        <w:t xml:space="preserve"> </w:t>
      </w:r>
      <w:r w:rsidRPr="009475CC">
        <w:rPr>
          <w:rFonts w:cs="Times New Roman"/>
          <w:szCs w:val="24"/>
          <w:lang w:val="sq-AL"/>
        </w:rPr>
        <w:t xml:space="preserve">adresimi i moskonformiteteve nga vizitat vlerësuese në DPS të CEN&amp;CENELEC sipas plan-veprimit të lënë nga ekspertët e CEN&amp;CENELEC - evidentimi i plotësimit të kritereve të anëtarësimit në CEN&amp;CENELEC dhe ITU-T. </w:t>
      </w:r>
    </w:p>
    <w:p w14:paraId="4A042A7B" w14:textId="3732FD82" w:rsidR="0043305B" w:rsidRPr="009475CC" w:rsidRDefault="00ED1618" w:rsidP="009475CC">
      <w:pPr>
        <w:spacing w:after="0" w:line="240" w:lineRule="auto"/>
        <w:jc w:val="both"/>
        <w:rPr>
          <w:rFonts w:cs="Times New Roman"/>
          <w:szCs w:val="24"/>
          <w:lang w:val="sq-AL"/>
        </w:rPr>
      </w:pPr>
      <w:r w:rsidRPr="00F32E3B">
        <w:rPr>
          <w:rFonts w:cs="Times New Roman"/>
          <w:b/>
          <w:szCs w:val="24"/>
          <w:lang w:val="sq-AL"/>
        </w:rPr>
        <w:t>Masa</w:t>
      </w:r>
      <w:r w:rsidRPr="009475CC" w:rsidDel="00ED1618">
        <w:rPr>
          <w:rFonts w:cs="Times New Roman"/>
          <w:szCs w:val="24"/>
          <w:lang w:val="sq-AL"/>
        </w:rPr>
        <w:t xml:space="preserve"> </w:t>
      </w:r>
      <w:r w:rsidR="00A94EAD" w:rsidRPr="00A94EAD">
        <w:rPr>
          <w:rFonts w:cs="Times New Roman"/>
          <w:b/>
          <w:bCs/>
          <w:szCs w:val="24"/>
          <w:lang w:val="sq-AL"/>
        </w:rPr>
        <w:t>9.</w:t>
      </w:r>
      <w:r>
        <w:rPr>
          <w:rFonts w:cs="Times New Roman"/>
          <w:b/>
          <w:bCs/>
          <w:szCs w:val="24"/>
          <w:lang w:val="sq-AL"/>
        </w:rPr>
        <w:t xml:space="preserve">2: </w:t>
      </w:r>
      <w:r w:rsidR="0043305B" w:rsidRPr="009475CC">
        <w:rPr>
          <w:rFonts w:cs="Times New Roman"/>
          <w:szCs w:val="24"/>
          <w:lang w:val="sq-AL"/>
        </w:rPr>
        <w:t>Rritja e numrit të stafit të DPS për menaxhimin efikas të shkëmbimit të të dhënave brenda sistemeve përkatëse të organizmave europiane e ndërkombëtare të standardizimit dhe menaxhimi i databazës kombëtare të standardeve (SMS)</w:t>
      </w:r>
      <w:r w:rsidR="001839ED">
        <w:rPr>
          <w:rFonts w:cs="Times New Roman"/>
          <w:szCs w:val="24"/>
          <w:lang w:val="sq-AL"/>
        </w:rPr>
        <w:t>.</w:t>
      </w:r>
    </w:p>
    <w:p w14:paraId="1CDE9F0E" w14:textId="2900809B" w:rsidR="0043305B" w:rsidRPr="009475CC" w:rsidRDefault="00ED1618" w:rsidP="009475CC">
      <w:pPr>
        <w:spacing w:after="0" w:line="240" w:lineRule="auto"/>
        <w:jc w:val="both"/>
        <w:rPr>
          <w:rFonts w:cs="Times New Roman"/>
          <w:szCs w:val="24"/>
          <w:lang w:val="sq-AL"/>
        </w:rPr>
      </w:pPr>
      <w:r w:rsidRPr="009475CC">
        <w:rPr>
          <w:rFonts w:cs="Times New Roman"/>
          <w:b/>
          <w:szCs w:val="24"/>
          <w:lang w:val="sq-AL"/>
        </w:rPr>
        <w:t>Masa</w:t>
      </w:r>
      <w:r w:rsidRPr="009475CC" w:rsidDel="00ED1618">
        <w:rPr>
          <w:rFonts w:cs="Times New Roman"/>
          <w:b/>
          <w:szCs w:val="24"/>
          <w:lang w:val="sq-AL"/>
        </w:rPr>
        <w:t xml:space="preserve"> </w:t>
      </w:r>
      <w:r w:rsidR="00A94EAD">
        <w:rPr>
          <w:rFonts w:cs="Times New Roman"/>
          <w:b/>
          <w:szCs w:val="24"/>
          <w:lang w:val="sq-AL"/>
        </w:rPr>
        <w:t>9.</w:t>
      </w:r>
      <w:r w:rsidRPr="009475CC">
        <w:rPr>
          <w:rFonts w:cs="Times New Roman"/>
          <w:b/>
          <w:szCs w:val="24"/>
          <w:lang w:val="sq-AL"/>
        </w:rPr>
        <w:t>3</w:t>
      </w:r>
      <w:r>
        <w:rPr>
          <w:rFonts w:cs="Times New Roman"/>
          <w:szCs w:val="24"/>
          <w:lang w:val="sq-AL"/>
        </w:rPr>
        <w:t xml:space="preserve">: </w:t>
      </w:r>
      <w:r w:rsidR="0043305B" w:rsidRPr="009475CC">
        <w:rPr>
          <w:rFonts w:cs="Times New Roman"/>
          <w:szCs w:val="24"/>
          <w:lang w:val="sq-AL"/>
        </w:rPr>
        <w:t>Adoptimi në vazhdimësi i standardeve evropiane (CEN &amp; CENELEC) dhe adoptimi me përkthim të plotë të tekstit të standardeve më të rëndësishme për konsumatorin dhe biznesin vendas (kryesisht standardet e harmonizuara nën direktivat e Qasjes së Re), por jo vetëm.</w:t>
      </w:r>
    </w:p>
    <w:p w14:paraId="2DBC55E8" w14:textId="77777777" w:rsidR="00A94EAD" w:rsidRDefault="0043305B" w:rsidP="009475CC">
      <w:pPr>
        <w:spacing w:after="0" w:line="240" w:lineRule="auto"/>
        <w:rPr>
          <w:rFonts w:cs="Times New Roman"/>
          <w:szCs w:val="24"/>
          <w:lang w:val="sq-AL"/>
        </w:rPr>
      </w:pPr>
      <w:r w:rsidRPr="009475CC">
        <w:rPr>
          <w:rFonts w:cs="Times New Roman"/>
          <w:szCs w:val="24"/>
          <w:lang w:val="sq-AL"/>
        </w:rPr>
        <w:lastRenderedPageBreak/>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r w:rsidRPr="009475CC">
        <w:rPr>
          <w:rFonts w:cs="Times New Roman"/>
          <w:szCs w:val="24"/>
          <w:lang w:val="sq-AL"/>
        </w:rPr>
        <w:softHyphen/>
      </w:r>
    </w:p>
    <w:p w14:paraId="2FA4376D" w14:textId="3F6F5929" w:rsidR="0043305B" w:rsidRPr="009475CC" w:rsidRDefault="0043305B" w:rsidP="009475CC">
      <w:pPr>
        <w:spacing w:after="0" w:line="240" w:lineRule="auto"/>
        <w:rPr>
          <w:rFonts w:cs="Times New Roman"/>
          <w:b/>
          <w:szCs w:val="24"/>
          <w:lang w:val="sq-AL"/>
        </w:rPr>
      </w:pPr>
      <w:r w:rsidRPr="009475CC">
        <w:rPr>
          <w:rFonts w:cs="Times New Roman"/>
          <w:b/>
          <w:szCs w:val="24"/>
          <w:lang w:val="sq-AL"/>
        </w:rPr>
        <w:t>Treguesit /Indikatorët</w:t>
      </w:r>
      <w:r w:rsidR="00ED1618">
        <w:rPr>
          <w:rFonts w:cs="Times New Roman"/>
          <w:b/>
          <w:szCs w:val="24"/>
          <w:lang w:val="sq-AL"/>
        </w:rPr>
        <w:t>:</w:t>
      </w:r>
    </w:p>
    <w:p w14:paraId="49EF19A7" w14:textId="77777777" w:rsidR="0043305B" w:rsidRPr="009475CC" w:rsidRDefault="0043305B" w:rsidP="00623352">
      <w:pPr>
        <w:pStyle w:val="ListParagraph"/>
        <w:numPr>
          <w:ilvl w:val="0"/>
          <w:numId w:val="5"/>
        </w:numPr>
        <w:spacing w:after="0" w:line="240" w:lineRule="auto"/>
        <w:jc w:val="both"/>
        <w:rPr>
          <w:rFonts w:cs="Times New Roman"/>
          <w:szCs w:val="24"/>
          <w:lang w:val="sq-AL"/>
        </w:rPr>
      </w:pPr>
      <w:r w:rsidRPr="009475CC">
        <w:rPr>
          <w:rFonts w:cs="Times New Roman"/>
          <w:szCs w:val="24"/>
          <w:lang w:val="sq-AL"/>
        </w:rPr>
        <w:t xml:space="preserve">Funksionimi i sistemit të standardizimit në vend në përputhje me kërkesat dhe </w:t>
      </w:r>
      <w:r w:rsidRPr="009475CC">
        <w:rPr>
          <w:rFonts w:cs="Times New Roman"/>
          <w:i/>
          <w:szCs w:val="24"/>
          <w:lang w:val="sq-AL"/>
        </w:rPr>
        <w:t>acquis</w:t>
      </w:r>
      <w:r w:rsidRPr="009475CC">
        <w:rPr>
          <w:rFonts w:cs="Times New Roman"/>
          <w:szCs w:val="24"/>
          <w:lang w:val="sq-AL"/>
        </w:rPr>
        <w:t xml:space="preserve"> në këtë fushë – plotësim i detyrimeve që vijnë nga neni 75 i MSA; </w:t>
      </w:r>
    </w:p>
    <w:p w14:paraId="74B7F953" w14:textId="77777777" w:rsidR="0043305B" w:rsidRPr="009475CC" w:rsidRDefault="0043305B" w:rsidP="00623352">
      <w:pPr>
        <w:pStyle w:val="ListParagraph"/>
        <w:numPr>
          <w:ilvl w:val="0"/>
          <w:numId w:val="5"/>
        </w:numPr>
        <w:spacing w:after="0" w:line="240" w:lineRule="auto"/>
        <w:jc w:val="both"/>
        <w:rPr>
          <w:rFonts w:cs="Times New Roman"/>
          <w:szCs w:val="24"/>
          <w:lang w:val="sq-AL"/>
        </w:rPr>
      </w:pPr>
      <w:r w:rsidRPr="009475CC">
        <w:rPr>
          <w:rFonts w:cs="Times New Roman"/>
          <w:szCs w:val="24"/>
          <w:lang w:val="sq-AL"/>
        </w:rPr>
        <w:t>Realizimi i numrit dhe përqindjes së standardeve të planifikuara për adoptimin e standardeve europiane e ndërkombëtare si Standarde Shqiptare – 90% e standardeve të CEN&amp;CENELEC të adoptuara si Standarde Shqiptare;</w:t>
      </w:r>
    </w:p>
    <w:p w14:paraId="50E4E74D" w14:textId="77777777" w:rsidR="0043305B" w:rsidRPr="009475CC" w:rsidRDefault="0043305B" w:rsidP="00623352">
      <w:pPr>
        <w:pStyle w:val="ListParagraph"/>
        <w:numPr>
          <w:ilvl w:val="0"/>
          <w:numId w:val="5"/>
        </w:numPr>
        <w:spacing w:after="0" w:line="240" w:lineRule="auto"/>
        <w:jc w:val="both"/>
        <w:rPr>
          <w:rFonts w:cs="Times New Roman"/>
          <w:szCs w:val="24"/>
          <w:lang w:val="sq-AL"/>
        </w:rPr>
      </w:pPr>
      <w:r w:rsidRPr="009475CC">
        <w:rPr>
          <w:rFonts w:cs="Times New Roman"/>
          <w:szCs w:val="24"/>
          <w:lang w:val="sq-AL"/>
        </w:rPr>
        <w:t>Staf i mjaftueshëm për kryerjen e detyrave dhe përballimin e volumit të madh të punës së standardizimit në nivel kombëtar e evropian;</w:t>
      </w:r>
    </w:p>
    <w:p w14:paraId="788A6271" w14:textId="578C23F9" w:rsidR="0043305B" w:rsidRDefault="0043305B" w:rsidP="00623352">
      <w:pPr>
        <w:pStyle w:val="ListParagraph"/>
        <w:numPr>
          <w:ilvl w:val="0"/>
          <w:numId w:val="5"/>
        </w:numPr>
        <w:spacing w:after="0" w:line="240" w:lineRule="auto"/>
        <w:jc w:val="both"/>
        <w:rPr>
          <w:rFonts w:cs="Times New Roman"/>
          <w:szCs w:val="24"/>
          <w:lang w:val="sq-AL"/>
        </w:rPr>
      </w:pPr>
      <w:r w:rsidRPr="009475CC">
        <w:rPr>
          <w:rFonts w:cs="Times New Roman"/>
          <w:szCs w:val="24"/>
          <w:lang w:val="sq-AL"/>
        </w:rPr>
        <w:t>Ecuria drejt pranimit të DPS si anëtar me të drejta të plota në CEN&amp;CENELEC dhe ITU-T.</w:t>
      </w:r>
    </w:p>
    <w:p w14:paraId="364CF6CD" w14:textId="77777777" w:rsidR="00A94EAD" w:rsidRPr="009475CC" w:rsidRDefault="00A94EAD" w:rsidP="00A94EAD">
      <w:pPr>
        <w:pStyle w:val="ListParagraph"/>
        <w:spacing w:after="0" w:line="240" w:lineRule="auto"/>
        <w:jc w:val="both"/>
        <w:rPr>
          <w:rFonts w:cs="Times New Roman"/>
          <w:szCs w:val="24"/>
          <w:lang w:val="sq-AL"/>
        </w:rPr>
      </w:pPr>
    </w:p>
    <w:tbl>
      <w:tblPr>
        <w:tblStyle w:val="TableGrid"/>
        <w:tblW w:w="0" w:type="auto"/>
        <w:tblLook w:val="04A0" w:firstRow="1" w:lastRow="0" w:firstColumn="1" w:lastColumn="0" w:noHBand="0" w:noVBand="1"/>
      </w:tblPr>
      <w:tblGrid>
        <w:gridCol w:w="9016"/>
      </w:tblGrid>
      <w:tr w:rsidR="00A94EAD" w14:paraId="68501F3A" w14:textId="77777777" w:rsidTr="00A94EAD">
        <w:tc>
          <w:tcPr>
            <w:tcW w:w="9016" w:type="dxa"/>
          </w:tcPr>
          <w:p w14:paraId="0EDA5D03" w14:textId="5A8FA8B3" w:rsidR="003769CD" w:rsidRDefault="00A94EAD" w:rsidP="00A94EAD">
            <w:pPr>
              <w:rPr>
                <w:rFonts w:cs="Times New Roman"/>
                <w:szCs w:val="24"/>
                <w:lang w:val="sq-AL"/>
              </w:rPr>
            </w:pPr>
            <w:r>
              <w:rPr>
                <w:rFonts w:cs="Times New Roman"/>
                <w:b/>
                <w:szCs w:val="24"/>
                <w:lang w:val="sq-AL"/>
              </w:rPr>
              <w:t xml:space="preserve">Objektivi </w:t>
            </w:r>
            <w:r w:rsidR="00AC7156">
              <w:rPr>
                <w:rFonts w:cs="Times New Roman"/>
                <w:b/>
                <w:szCs w:val="24"/>
                <w:lang w:val="sq-AL"/>
              </w:rPr>
              <w:t>10</w:t>
            </w:r>
            <w:r>
              <w:rPr>
                <w:rFonts w:cs="Times New Roman"/>
                <w:b/>
                <w:szCs w:val="24"/>
                <w:lang w:val="sq-AL"/>
              </w:rPr>
              <w:t xml:space="preserve">: </w:t>
            </w:r>
            <w:r w:rsidRPr="009475CC">
              <w:rPr>
                <w:rFonts w:cs="Times New Roman"/>
                <w:szCs w:val="24"/>
                <w:lang w:val="sq-AL"/>
              </w:rPr>
              <w:t xml:space="preserve"> </w:t>
            </w:r>
          </w:p>
          <w:p w14:paraId="58501E59" w14:textId="7FEEFFDA" w:rsidR="00A94EAD" w:rsidRPr="009475CC" w:rsidRDefault="00A94EAD" w:rsidP="00A94EAD">
            <w:pPr>
              <w:rPr>
                <w:rFonts w:cs="Times New Roman"/>
                <w:b/>
                <w:szCs w:val="24"/>
                <w:lang w:val="sq-AL"/>
              </w:rPr>
            </w:pPr>
            <w:r w:rsidRPr="009475CC">
              <w:rPr>
                <w:rFonts w:cs="Times New Roman"/>
                <w:bCs/>
                <w:szCs w:val="24"/>
                <w:lang w:val="sq-AL"/>
              </w:rPr>
              <w:t>Rritja e kapaciteteve të stafit të DPS në lidhje me legjislacionin dhe praktikat europiane për fushën e standardizimit</w:t>
            </w:r>
            <w:r>
              <w:rPr>
                <w:rFonts w:cs="Times New Roman"/>
                <w:bCs/>
                <w:szCs w:val="24"/>
                <w:lang w:val="sq-AL"/>
              </w:rPr>
              <w:t>.</w:t>
            </w:r>
          </w:p>
          <w:p w14:paraId="72B01630" w14:textId="77777777" w:rsidR="00A94EAD" w:rsidRDefault="00A94EAD" w:rsidP="001839ED">
            <w:pPr>
              <w:rPr>
                <w:rFonts w:cs="Times New Roman"/>
                <w:b/>
                <w:szCs w:val="24"/>
                <w:lang w:val="sq-AL"/>
              </w:rPr>
            </w:pPr>
          </w:p>
        </w:tc>
      </w:tr>
    </w:tbl>
    <w:p w14:paraId="009D2B4E" w14:textId="77777777" w:rsidR="00A94EAD" w:rsidRDefault="00A94EAD" w:rsidP="001839ED">
      <w:pPr>
        <w:spacing w:after="0"/>
        <w:rPr>
          <w:rFonts w:cs="Times New Roman"/>
          <w:b/>
          <w:szCs w:val="24"/>
          <w:lang w:val="sq-AL"/>
        </w:rPr>
      </w:pPr>
    </w:p>
    <w:p w14:paraId="3993A10F" w14:textId="3B03E670" w:rsidR="0043305B" w:rsidRPr="009475CC" w:rsidRDefault="0043305B" w:rsidP="001839ED">
      <w:pPr>
        <w:spacing w:after="0" w:line="240" w:lineRule="auto"/>
        <w:jc w:val="both"/>
        <w:rPr>
          <w:rFonts w:cs="Times New Roman"/>
          <w:szCs w:val="24"/>
          <w:lang w:val="sq-AL"/>
        </w:rPr>
      </w:pPr>
      <w:r w:rsidRPr="009475CC">
        <w:rPr>
          <w:rFonts w:cs="Times New Roman"/>
          <w:b/>
          <w:szCs w:val="24"/>
          <w:lang w:val="sq-AL"/>
        </w:rPr>
        <w:t>Masa</w:t>
      </w:r>
      <w:r w:rsidR="00ED1618">
        <w:rPr>
          <w:rFonts w:cs="Times New Roman"/>
          <w:b/>
          <w:szCs w:val="24"/>
          <w:lang w:val="sq-AL"/>
        </w:rPr>
        <w:t xml:space="preserve"> </w:t>
      </w:r>
      <w:r w:rsidR="00A94EAD">
        <w:rPr>
          <w:rFonts w:cs="Times New Roman"/>
          <w:b/>
          <w:szCs w:val="24"/>
          <w:lang w:val="sq-AL"/>
        </w:rPr>
        <w:t>10.</w:t>
      </w:r>
      <w:r w:rsidR="00ED1618">
        <w:rPr>
          <w:rFonts w:cs="Times New Roman"/>
          <w:b/>
          <w:szCs w:val="24"/>
          <w:lang w:val="sq-AL"/>
        </w:rPr>
        <w:t xml:space="preserve">1: </w:t>
      </w:r>
      <w:r w:rsidR="00A94EAD">
        <w:rPr>
          <w:rFonts w:cs="Times New Roman"/>
          <w:szCs w:val="24"/>
          <w:lang w:val="sq-AL"/>
        </w:rPr>
        <w:t xml:space="preserve">Trajnimi në vazhdimësi </w:t>
      </w:r>
      <w:r w:rsidRPr="009475CC">
        <w:rPr>
          <w:rFonts w:cs="Times New Roman"/>
          <w:szCs w:val="24"/>
          <w:lang w:val="sq-AL"/>
        </w:rPr>
        <w:t>stafit</w:t>
      </w:r>
      <w:r w:rsidR="00A94EAD">
        <w:rPr>
          <w:rFonts w:cs="Times New Roman"/>
          <w:szCs w:val="24"/>
          <w:lang w:val="sq-AL"/>
        </w:rPr>
        <w:t xml:space="preserve"> të DPS</w:t>
      </w:r>
      <w:r w:rsidRPr="009475CC">
        <w:rPr>
          <w:rFonts w:cs="Times New Roman"/>
          <w:szCs w:val="24"/>
          <w:lang w:val="sq-AL"/>
        </w:rPr>
        <w:t xml:space="preserve"> dhe vlerësimi i tyre </w:t>
      </w:r>
    </w:p>
    <w:p w14:paraId="11C25C56" w14:textId="77777777" w:rsidR="00A94EAD" w:rsidRDefault="00A94EAD" w:rsidP="009475CC">
      <w:pPr>
        <w:spacing w:after="0" w:line="240" w:lineRule="auto"/>
        <w:jc w:val="both"/>
        <w:rPr>
          <w:rFonts w:cs="Times New Roman"/>
          <w:b/>
          <w:szCs w:val="24"/>
          <w:lang w:val="sq-AL"/>
        </w:rPr>
      </w:pPr>
    </w:p>
    <w:p w14:paraId="3E4FE774" w14:textId="0854EE13" w:rsidR="0043305B" w:rsidRDefault="0043305B" w:rsidP="009475CC">
      <w:pPr>
        <w:spacing w:after="0" w:line="240" w:lineRule="auto"/>
        <w:jc w:val="both"/>
        <w:rPr>
          <w:rFonts w:cs="Times New Roman"/>
          <w:szCs w:val="24"/>
          <w:lang w:val="sq-AL"/>
        </w:rPr>
      </w:pPr>
      <w:r w:rsidRPr="009475CC">
        <w:rPr>
          <w:rFonts w:cs="Times New Roman"/>
          <w:b/>
          <w:szCs w:val="24"/>
          <w:lang w:val="sq-AL"/>
        </w:rPr>
        <w:t>Indikatorët</w:t>
      </w:r>
      <w:r w:rsidRPr="009475CC">
        <w:rPr>
          <w:rFonts w:cs="Times New Roman"/>
          <w:szCs w:val="24"/>
          <w:lang w:val="sq-AL"/>
        </w:rPr>
        <w:t>:</w:t>
      </w:r>
    </w:p>
    <w:p w14:paraId="24B8E4B6" w14:textId="50BC0060" w:rsidR="00A94EAD" w:rsidRDefault="00603FD0" w:rsidP="009475CC">
      <w:pPr>
        <w:spacing w:after="0" w:line="240" w:lineRule="auto"/>
        <w:jc w:val="both"/>
        <w:rPr>
          <w:rFonts w:cs="Times New Roman"/>
          <w:szCs w:val="24"/>
          <w:lang w:val="sq-AL"/>
        </w:rPr>
      </w:pPr>
      <w:r>
        <w:rPr>
          <w:rFonts w:cs="Times New Roman"/>
          <w:szCs w:val="24"/>
          <w:lang w:val="sq-AL"/>
        </w:rPr>
        <w:t>Fushat dhe numri i trajnimeve t</w:t>
      </w:r>
      <w:r w:rsidR="003769CD">
        <w:rPr>
          <w:rFonts w:cs="Times New Roman"/>
          <w:szCs w:val="24"/>
          <w:lang w:val="sq-AL"/>
        </w:rPr>
        <w:t>ë</w:t>
      </w:r>
      <w:r>
        <w:rPr>
          <w:rFonts w:cs="Times New Roman"/>
          <w:szCs w:val="24"/>
          <w:lang w:val="sq-AL"/>
        </w:rPr>
        <w:t xml:space="preserve"> realizuara sipas tabelës në vijim:</w:t>
      </w:r>
    </w:p>
    <w:p w14:paraId="5B24CBC8" w14:textId="77777777" w:rsidR="00603FD0" w:rsidRDefault="00603FD0" w:rsidP="009475CC">
      <w:pPr>
        <w:spacing w:after="0" w:line="240" w:lineRule="auto"/>
        <w:jc w:val="both"/>
        <w:rPr>
          <w:rFonts w:cs="Times New Roman"/>
          <w:szCs w:val="24"/>
          <w:lang w:val="sq-AL"/>
        </w:rPr>
      </w:pPr>
    </w:p>
    <w:tbl>
      <w:tblPr>
        <w:tblStyle w:val="TableGrid"/>
        <w:tblW w:w="0" w:type="auto"/>
        <w:tblInd w:w="720" w:type="dxa"/>
        <w:tblLook w:val="04A0" w:firstRow="1" w:lastRow="0" w:firstColumn="1" w:lastColumn="0" w:noHBand="0" w:noVBand="1"/>
      </w:tblPr>
      <w:tblGrid>
        <w:gridCol w:w="3775"/>
        <w:gridCol w:w="1800"/>
        <w:gridCol w:w="1710"/>
      </w:tblGrid>
      <w:tr w:rsidR="00603FD0" w:rsidRPr="009475CC" w14:paraId="0B1E61F5" w14:textId="77777777" w:rsidTr="009757FC">
        <w:tc>
          <w:tcPr>
            <w:tcW w:w="3775" w:type="dxa"/>
          </w:tcPr>
          <w:p w14:paraId="58D5709B" w14:textId="77777777" w:rsidR="00603FD0" w:rsidRPr="009475CC" w:rsidRDefault="00603FD0" w:rsidP="009757FC">
            <w:pPr>
              <w:pStyle w:val="ListParagraph"/>
              <w:ind w:left="0"/>
              <w:jc w:val="center"/>
              <w:rPr>
                <w:rFonts w:cs="Times New Roman"/>
                <w:b/>
                <w:szCs w:val="24"/>
                <w:lang w:val="sq-AL"/>
              </w:rPr>
            </w:pPr>
            <w:r w:rsidRPr="009475CC">
              <w:rPr>
                <w:rFonts w:cs="Times New Roman"/>
                <w:b/>
                <w:szCs w:val="24"/>
                <w:lang w:val="sq-AL"/>
              </w:rPr>
              <w:t>Fushat e trajnimit</w:t>
            </w:r>
          </w:p>
        </w:tc>
        <w:tc>
          <w:tcPr>
            <w:tcW w:w="1800" w:type="dxa"/>
          </w:tcPr>
          <w:p w14:paraId="0F4DC0B5" w14:textId="77777777" w:rsidR="00603FD0" w:rsidRPr="009475CC" w:rsidRDefault="00603FD0" w:rsidP="009757FC">
            <w:pPr>
              <w:pStyle w:val="ListParagraph"/>
              <w:ind w:left="0"/>
              <w:jc w:val="center"/>
              <w:rPr>
                <w:rFonts w:cs="Times New Roman"/>
                <w:b/>
                <w:szCs w:val="24"/>
                <w:lang w:val="sq-AL"/>
              </w:rPr>
            </w:pPr>
            <w:r w:rsidRPr="009475CC">
              <w:rPr>
                <w:rFonts w:cs="Times New Roman"/>
                <w:b/>
                <w:szCs w:val="24"/>
                <w:lang w:val="sq-AL"/>
              </w:rPr>
              <w:t>Vitet 2023-2025</w:t>
            </w:r>
          </w:p>
        </w:tc>
        <w:tc>
          <w:tcPr>
            <w:tcW w:w="1710" w:type="dxa"/>
          </w:tcPr>
          <w:p w14:paraId="34E688E4" w14:textId="77777777" w:rsidR="00603FD0" w:rsidRPr="009475CC" w:rsidRDefault="00603FD0" w:rsidP="009757FC">
            <w:pPr>
              <w:pStyle w:val="ListParagraph"/>
              <w:ind w:left="0"/>
              <w:jc w:val="center"/>
              <w:rPr>
                <w:rFonts w:cs="Times New Roman"/>
                <w:b/>
                <w:szCs w:val="24"/>
                <w:lang w:val="sq-AL"/>
              </w:rPr>
            </w:pPr>
            <w:r w:rsidRPr="009475CC">
              <w:rPr>
                <w:rFonts w:cs="Times New Roman"/>
                <w:b/>
                <w:szCs w:val="24"/>
                <w:lang w:val="sq-AL"/>
              </w:rPr>
              <w:t>Vitet 2025-2030</w:t>
            </w:r>
          </w:p>
        </w:tc>
      </w:tr>
      <w:tr w:rsidR="00603FD0" w:rsidRPr="009475CC" w14:paraId="1866BFEF" w14:textId="77777777" w:rsidTr="009757FC">
        <w:tc>
          <w:tcPr>
            <w:tcW w:w="3775" w:type="dxa"/>
          </w:tcPr>
          <w:p w14:paraId="27A0A04A" w14:textId="77777777" w:rsidR="00603FD0" w:rsidRPr="009475CC" w:rsidRDefault="00603FD0" w:rsidP="009757FC">
            <w:pPr>
              <w:pStyle w:val="ListParagraph"/>
              <w:ind w:left="0"/>
              <w:jc w:val="both"/>
              <w:rPr>
                <w:rFonts w:cs="Times New Roman"/>
                <w:szCs w:val="24"/>
                <w:lang w:val="sq-AL"/>
              </w:rPr>
            </w:pPr>
            <w:r w:rsidRPr="009475CC">
              <w:rPr>
                <w:rFonts w:cs="Times New Roman"/>
                <w:szCs w:val="24"/>
                <w:lang w:val="sq-AL"/>
              </w:rPr>
              <w:t>Legjislacioni/ rregulloret dhe praktikat më të mira europiane e ndërkombëtare dhe standardi ISO 9001</w:t>
            </w:r>
          </w:p>
        </w:tc>
        <w:tc>
          <w:tcPr>
            <w:tcW w:w="1800" w:type="dxa"/>
            <w:vMerge w:val="restart"/>
          </w:tcPr>
          <w:p w14:paraId="5831F7C5" w14:textId="77777777" w:rsidR="00603FD0" w:rsidRPr="009475CC" w:rsidRDefault="00603FD0" w:rsidP="009757FC">
            <w:pPr>
              <w:pStyle w:val="ListParagraph"/>
              <w:ind w:left="0"/>
              <w:jc w:val="both"/>
              <w:rPr>
                <w:rFonts w:cs="Times New Roman"/>
                <w:szCs w:val="24"/>
                <w:lang w:val="sq-AL"/>
              </w:rPr>
            </w:pPr>
          </w:p>
          <w:p w14:paraId="0FFB25F3" w14:textId="77777777" w:rsidR="00603FD0" w:rsidRPr="009475CC" w:rsidRDefault="00603FD0" w:rsidP="009757FC">
            <w:pPr>
              <w:pStyle w:val="ListParagraph"/>
              <w:ind w:left="0"/>
              <w:jc w:val="both"/>
              <w:rPr>
                <w:rFonts w:cs="Times New Roman"/>
                <w:szCs w:val="24"/>
                <w:lang w:val="sq-AL"/>
              </w:rPr>
            </w:pPr>
          </w:p>
          <w:p w14:paraId="30EB858A" w14:textId="77777777" w:rsidR="00603FD0" w:rsidRPr="009475CC" w:rsidRDefault="00603FD0" w:rsidP="009757FC">
            <w:pPr>
              <w:pStyle w:val="ListParagraph"/>
              <w:ind w:left="0"/>
              <w:jc w:val="both"/>
              <w:rPr>
                <w:rFonts w:cs="Times New Roman"/>
                <w:szCs w:val="24"/>
                <w:lang w:val="sq-AL"/>
              </w:rPr>
            </w:pPr>
          </w:p>
          <w:p w14:paraId="566EC3B1" w14:textId="77777777" w:rsidR="00603FD0" w:rsidRPr="009475CC" w:rsidRDefault="00603FD0" w:rsidP="009757FC">
            <w:pPr>
              <w:pStyle w:val="ListParagraph"/>
              <w:ind w:left="0"/>
              <w:jc w:val="both"/>
              <w:rPr>
                <w:rFonts w:cs="Times New Roman"/>
                <w:szCs w:val="24"/>
                <w:lang w:val="sq-AL"/>
              </w:rPr>
            </w:pPr>
            <w:r w:rsidRPr="009475CC">
              <w:rPr>
                <w:rFonts w:cs="Times New Roman"/>
                <w:szCs w:val="24"/>
                <w:lang w:val="sq-AL"/>
              </w:rPr>
              <w:t xml:space="preserve">            15</w:t>
            </w:r>
          </w:p>
        </w:tc>
        <w:tc>
          <w:tcPr>
            <w:tcW w:w="1710" w:type="dxa"/>
            <w:vMerge w:val="restart"/>
          </w:tcPr>
          <w:p w14:paraId="72563EDB" w14:textId="77777777" w:rsidR="00603FD0" w:rsidRPr="009475CC" w:rsidRDefault="00603FD0" w:rsidP="009757FC">
            <w:pPr>
              <w:pStyle w:val="ListParagraph"/>
              <w:ind w:left="0"/>
              <w:jc w:val="both"/>
              <w:rPr>
                <w:rFonts w:cs="Times New Roman"/>
                <w:szCs w:val="24"/>
                <w:lang w:val="sq-AL"/>
              </w:rPr>
            </w:pPr>
          </w:p>
          <w:p w14:paraId="71B6446D" w14:textId="77777777" w:rsidR="00603FD0" w:rsidRPr="009475CC" w:rsidRDefault="00603FD0" w:rsidP="009757FC">
            <w:pPr>
              <w:pStyle w:val="ListParagraph"/>
              <w:ind w:left="0"/>
              <w:jc w:val="both"/>
              <w:rPr>
                <w:rFonts w:cs="Times New Roman"/>
                <w:szCs w:val="24"/>
                <w:lang w:val="sq-AL"/>
              </w:rPr>
            </w:pPr>
          </w:p>
          <w:p w14:paraId="786C06F3" w14:textId="77777777" w:rsidR="00603FD0" w:rsidRPr="009475CC" w:rsidRDefault="00603FD0" w:rsidP="009757FC">
            <w:pPr>
              <w:pStyle w:val="ListParagraph"/>
              <w:ind w:left="0"/>
              <w:jc w:val="both"/>
              <w:rPr>
                <w:rFonts w:cs="Times New Roman"/>
                <w:szCs w:val="24"/>
                <w:lang w:val="sq-AL"/>
              </w:rPr>
            </w:pPr>
          </w:p>
          <w:p w14:paraId="63539422" w14:textId="77777777" w:rsidR="00603FD0" w:rsidRPr="009475CC" w:rsidRDefault="00603FD0" w:rsidP="009757FC">
            <w:pPr>
              <w:pStyle w:val="ListParagraph"/>
              <w:ind w:left="0"/>
              <w:jc w:val="both"/>
              <w:rPr>
                <w:rFonts w:cs="Times New Roman"/>
                <w:szCs w:val="24"/>
                <w:lang w:val="sq-AL"/>
              </w:rPr>
            </w:pPr>
            <w:r w:rsidRPr="009475CC">
              <w:rPr>
                <w:rFonts w:cs="Times New Roman"/>
                <w:szCs w:val="24"/>
                <w:lang w:val="sq-AL"/>
              </w:rPr>
              <w:t xml:space="preserve">         20</w:t>
            </w:r>
          </w:p>
        </w:tc>
      </w:tr>
      <w:tr w:rsidR="00603FD0" w:rsidRPr="009475CC" w14:paraId="33CA21AC" w14:textId="77777777" w:rsidTr="009757FC">
        <w:tc>
          <w:tcPr>
            <w:tcW w:w="3775" w:type="dxa"/>
          </w:tcPr>
          <w:p w14:paraId="38DDF6A9" w14:textId="77777777" w:rsidR="00603FD0" w:rsidRPr="009475CC" w:rsidRDefault="00603FD0" w:rsidP="009757FC">
            <w:pPr>
              <w:pStyle w:val="ListParagraph"/>
              <w:ind w:left="0"/>
              <w:jc w:val="both"/>
              <w:rPr>
                <w:rFonts w:cs="Times New Roman"/>
                <w:szCs w:val="24"/>
                <w:lang w:val="sq-AL"/>
              </w:rPr>
            </w:pPr>
            <w:r w:rsidRPr="009475CC">
              <w:rPr>
                <w:rFonts w:cs="Times New Roman"/>
                <w:szCs w:val="24"/>
                <w:lang w:val="sq-AL"/>
              </w:rPr>
              <w:t>Databaza e standardeve, ndërveprimi me databazat e org.europiane e ndërkomb.të st.</w:t>
            </w:r>
          </w:p>
        </w:tc>
        <w:tc>
          <w:tcPr>
            <w:tcW w:w="1800" w:type="dxa"/>
            <w:vMerge/>
          </w:tcPr>
          <w:p w14:paraId="364C8C22" w14:textId="77777777" w:rsidR="00603FD0" w:rsidRPr="009475CC" w:rsidRDefault="00603FD0" w:rsidP="009757FC">
            <w:pPr>
              <w:pStyle w:val="ListParagraph"/>
              <w:ind w:left="0"/>
              <w:jc w:val="both"/>
              <w:rPr>
                <w:rFonts w:cs="Times New Roman"/>
                <w:szCs w:val="24"/>
                <w:lang w:val="sq-AL"/>
              </w:rPr>
            </w:pPr>
          </w:p>
        </w:tc>
        <w:tc>
          <w:tcPr>
            <w:tcW w:w="1710" w:type="dxa"/>
            <w:vMerge/>
          </w:tcPr>
          <w:p w14:paraId="31A8CCEB" w14:textId="77777777" w:rsidR="00603FD0" w:rsidRPr="009475CC" w:rsidRDefault="00603FD0" w:rsidP="009757FC">
            <w:pPr>
              <w:pStyle w:val="ListParagraph"/>
              <w:ind w:left="0"/>
              <w:jc w:val="both"/>
              <w:rPr>
                <w:rFonts w:cs="Times New Roman"/>
                <w:szCs w:val="24"/>
                <w:lang w:val="sq-AL"/>
              </w:rPr>
            </w:pPr>
          </w:p>
        </w:tc>
      </w:tr>
      <w:tr w:rsidR="00603FD0" w:rsidRPr="009475CC" w14:paraId="159542D5" w14:textId="77777777" w:rsidTr="009757FC">
        <w:tc>
          <w:tcPr>
            <w:tcW w:w="3775" w:type="dxa"/>
          </w:tcPr>
          <w:p w14:paraId="6C7A9634" w14:textId="77777777" w:rsidR="00603FD0" w:rsidRPr="009475CC" w:rsidRDefault="00603FD0" w:rsidP="009757FC">
            <w:pPr>
              <w:pStyle w:val="ListParagraph"/>
              <w:ind w:left="0"/>
              <w:jc w:val="both"/>
              <w:rPr>
                <w:rFonts w:cs="Times New Roman"/>
                <w:szCs w:val="24"/>
                <w:lang w:val="sq-AL"/>
              </w:rPr>
            </w:pPr>
            <w:r w:rsidRPr="009475CC">
              <w:rPr>
                <w:rFonts w:cs="Times New Roman"/>
                <w:szCs w:val="24"/>
                <w:lang w:val="sq-AL"/>
              </w:rPr>
              <w:t>Promovimi – Roli dhe rëndësia e standardeve për grupet e interesit dhe vecanërisht për konsumatorin</w:t>
            </w:r>
          </w:p>
        </w:tc>
        <w:tc>
          <w:tcPr>
            <w:tcW w:w="1800" w:type="dxa"/>
            <w:vMerge/>
          </w:tcPr>
          <w:p w14:paraId="35E1371C" w14:textId="77777777" w:rsidR="00603FD0" w:rsidRPr="009475CC" w:rsidRDefault="00603FD0" w:rsidP="009757FC">
            <w:pPr>
              <w:pStyle w:val="ListParagraph"/>
              <w:ind w:left="0"/>
              <w:jc w:val="both"/>
              <w:rPr>
                <w:rFonts w:cs="Times New Roman"/>
                <w:szCs w:val="24"/>
                <w:lang w:val="sq-AL"/>
              </w:rPr>
            </w:pPr>
          </w:p>
        </w:tc>
        <w:tc>
          <w:tcPr>
            <w:tcW w:w="1710" w:type="dxa"/>
            <w:vMerge/>
          </w:tcPr>
          <w:p w14:paraId="1C0C0E82" w14:textId="77777777" w:rsidR="00603FD0" w:rsidRPr="009475CC" w:rsidRDefault="00603FD0" w:rsidP="009757FC">
            <w:pPr>
              <w:pStyle w:val="ListParagraph"/>
              <w:ind w:left="0"/>
              <w:jc w:val="both"/>
              <w:rPr>
                <w:rFonts w:cs="Times New Roman"/>
                <w:szCs w:val="24"/>
                <w:lang w:val="sq-AL"/>
              </w:rPr>
            </w:pPr>
          </w:p>
        </w:tc>
      </w:tr>
    </w:tbl>
    <w:p w14:paraId="59405D83" w14:textId="77777777" w:rsidR="00603FD0" w:rsidRDefault="00603FD0" w:rsidP="009475CC">
      <w:pPr>
        <w:spacing w:after="0" w:line="240" w:lineRule="auto"/>
        <w:jc w:val="both"/>
        <w:rPr>
          <w:rFonts w:cs="Times New Roman"/>
          <w:szCs w:val="24"/>
          <w:lang w:val="sq-AL"/>
        </w:rPr>
      </w:pPr>
    </w:p>
    <w:p w14:paraId="31FEC93A" w14:textId="77777777" w:rsidR="00A94EAD" w:rsidRPr="009475CC" w:rsidRDefault="00A94EAD" w:rsidP="009475CC">
      <w:pPr>
        <w:spacing w:after="0" w:line="240" w:lineRule="auto"/>
        <w:jc w:val="both"/>
        <w:rPr>
          <w:rFonts w:cs="Times New Roman"/>
          <w:szCs w:val="24"/>
          <w:lang w:val="sq-AL"/>
        </w:rPr>
      </w:pPr>
    </w:p>
    <w:p w14:paraId="24BFFF0A" w14:textId="302B5395" w:rsidR="0043305B" w:rsidRDefault="0043305B" w:rsidP="009475CC">
      <w:pPr>
        <w:spacing w:after="0" w:line="240" w:lineRule="auto"/>
        <w:rPr>
          <w:rFonts w:cs="Times New Roman"/>
          <w:bCs/>
          <w:szCs w:val="24"/>
          <w:lang w:val="sq-AL"/>
        </w:rPr>
      </w:pPr>
    </w:p>
    <w:tbl>
      <w:tblPr>
        <w:tblStyle w:val="TableGrid"/>
        <w:tblW w:w="0" w:type="auto"/>
        <w:tblLook w:val="04A0" w:firstRow="1" w:lastRow="0" w:firstColumn="1" w:lastColumn="0" w:noHBand="0" w:noVBand="1"/>
      </w:tblPr>
      <w:tblGrid>
        <w:gridCol w:w="9016"/>
      </w:tblGrid>
      <w:tr w:rsidR="00603FD0" w14:paraId="0C887D69" w14:textId="77777777" w:rsidTr="00603FD0">
        <w:tc>
          <w:tcPr>
            <w:tcW w:w="9016" w:type="dxa"/>
          </w:tcPr>
          <w:p w14:paraId="664E1BE7" w14:textId="4AAE3BC5" w:rsidR="00603FD0" w:rsidRDefault="00603FD0" w:rsidP="009475CC">
            <w:pPr>
              <w:rPr>
                <w:rFonts w:cs="Times New Roman"/>
                <w:b/>
                <w:szCs w:val="24"/>
                <w:lang w:val="sq-AL"/>
              </w:rPr>
            </w:pPr>
            <w:r>
              <w:rPr>
                <w:rFonts w:cs="Times New Roman"/>
                <w:b/>
                <w:szCs w:val="24"/>
                <w:lang w:val="sq-AL"/>
              </w:rPr>
              <w:t xml:space="preserve">Objektivi </w:t>
            </w:r>
            <w:r w:rsidR="00AC7156">
              <w:rPr>
                <w:rFonts w:cs="Times New Roman"/>
                <w:b/>
                <w:szCs w:val="24"/>
                <w:lang w:val="sq-AL"/>
              </w:rPr>
              <w:t>11</w:t>
            </w:r>
            <w:r>
              <w:rPr>
                <w:rFonts w:cs="Times New Roman"/>
                <w:b/>
                <w:szCs w:val="24"/>
                <w:lang w:val="sq-AL"/>
              </w:rPr>
              <w:t>:</w:t>
            </w:r>
            <w:r w:rsidRPr="009475CC">
              <w:rPr>
                <w:rFonts w:cs="Times New Roman"/>
                <w:b/>
                <w:szCs w:val="24"/>
                <w:lang w:val="sq-AL"/>
              </w:rPr>
              <w:t xml:space="preserve"> </w:t>
            </w:r>
          </w:p>
          <w:p w14:paraId="1B6F0110" w14:textId="0AC2D6CE" w:rsidR="00603FD0" w:rsidRDefault="003769CD" w:rsidP="009475CC">
            <w:pPr>
              <w:rPr>
                <w:rFonts w:cs="Times New Roman"/>
                <w:b/>
                <w:szCs w:val="24"/>
                <w:lang w:val="sq-AL"/>
              </w:rPr>
            </w:pPr>
            <w:r>
              <w:rPr>
                <w:rFonts w:cs="Times New Roman"/>
                <w:bCs/>
                <w:szCs w:val="24"/>
                <w:lang w:val="sq-AL"/>
              </w:rPr>
              <w:t>Sigurimi i p</w:t>
            </w:r>
            <w:r w:rsidR="00603FD0" w:rsidRPr="009475CC">
              <w:rPr>
                <w:rFonts w:cs="Times New Roman"/>
                <w:bCs/>
                <w:szCs w:val="24"/>
                <w:lang w:val="sq-AL"/>
              </w:rPr>
              <w:t xml:space="preserve">ërputhshmërisë </w:t>
            </w:r>
            <w:r>
              <w:rPr>
                <w:rFonts w:cs="Times New Roman"/>
                <w:bCs/>
                <w:szCs w:val="24"/>
                <w:lang w:val="sq-AL"/>
              </w:rPr>
              <w:t>së vazhdueshme t</w:t>
            </w:r>
            <w:r w:rsidR="00603FD0" w:rsidRPr="009475CC">
              <w:rPr>
                <w:rFonts w:cs="Times New Roman"/>
                <w:bCs/>
                <w:szCs w:val="24"/>
                <w:lang w:val="sq-AL"/>
              </w:rPr>
              <w:t>ë databazës së standardeve të DPS me ato të organizmave europiane e ndërkombëtare të standardizimit</w:t>
            </w:r>
            <w:r w:rsidR="00603FD0">
              <w:rPr>
                <w:rFonts w:cs="Times New Roman"/>
                <w:bCs/>
                <w:szCs w:val="24"/>
                <w:lang w:val="sq-AL"/>
              </w:rPr>
              <w:t>.</w:t>
            </w:r>
          </w:p>
        </w:tc>
      </w:tr>
    </w:tbl>
    <w:p w14:paraId="5F6C6A92" w14:textId="77777777" w:rsidR="00603FD0" w:rsidRPr="00603FD0" w:rsidRDefault="00603FD0" w:rsidP="009475CC">
      <w:pPr>
        <w:spacing w:after="0" w:line="240" w:lineRule="auto"/>
        <w:rPr>
          <w:rFonts w:cs="Times New Roman"/>
          <w:b/>
          <w:szCs w:val="24"/>
          <w:lang w:val="sq-AL"/>
        </w:rPr>
      </w:pPr>
    </w:p>
    <w:p w14:paraId="74A7EA43" w14:textId="582D6F2D" w:rsidR="0043305B" w:rsidRDefault="0043305B" w:rsidP="009475CC">
      <w:pPr>
        <w:spacing w:after="0" w:line="240" w:lineRule="auto"/>
        <w:jc w:val="both"/>
        <w:rPr>
          <w:rFonts w:cs="Times New Roman"/>
          <w:szCs w:val="24"/>
          <w:lang w:val="sq-AL"/>
        </w:rPr>
      </w:pPr>
      <w:r w:rsidRPr="009475CC">
        <w:rPr>
          <w:rFonts w:cs="Times New Roman"/>
          <w:szCs w:val="24"/>
          <w:lang w:val="sq-AL"/>
        </w:rPr>
        <w:t xml:space="preserve">DPS duhet të sigurojë në mënyrë të vazhdueshme se databaza e saj e standardeve është në përputhje dhe në gjendje të bashkëveprojë me databazat e organizmave Evropiane të standardizimit, si dhe të </w:t>
      </w:r>
      <w:r w:rsidR="003769CD">
        <w:rPr>
          <w:rFonts w:cs="Times New Roman"/>
          <w:szCs w:val="24"/>
          <w:lang w:val="sq-AL"/>
        </w:rPr>
        <w:t xml:space="preserve">ketë </w:t>
      </w:r>
      <w:r w:rsidRPr="009475CC">
        <w:rPr>
          <w:rFonts w:cs="Times New Roman"/>
          <w:szCs w:val="24"/>
          <w:lang w:val="sq-AL"/>
        </w:rPr>
        <w:t>kapacitetin e duhur për të përballuar volumin e madh të punës, e cila duhet të jetë në bashkërendim të plotë me organizmat europiane e ndërkombëtare të standardizimit.</w:t>
      </w:r>
    </w:p>
    <w:p w14:paraId="6DEA8DED" w14:textId="77777777" w:rsidR="003769CD" w:rsidRPr="009475CC" w:rsidRDefault="003769CD" w:rsidP="009475CC">
      <w:pPr>
        <w:spacing w:after="0" w:line="240" w:lineRule="auto"/>
        <w:jc w:val="both"/>
        <w:rPr>
          <w:rFonts w:cs="Times New Roman"/>
          <w:szCs w:val="24"/>
          <w:lang w:val="sq-AL"/>
        </w:rPr>
      </w:pPr>
    </w:p>
    <w:p w14:paraId="04D590F5" w14:textId="6FB751F5" w:rsidR="006A0CB7" w:rsidRDefault="0043305B" w:rsidP="006A0CB7">
      <w:pPr>
        <w:spacing w:after="0" w:line="240" w:lineRule="auto"/>
        <w:jc w:val="both"/>
        <w:rPr>
          <w:rFonts w:cs="Times New Roman"/>
          <w:szCs w:val="24"/>
          <w:lang w:val="sq-AL"/>
        </w:rPr>
      </w:pPr>
      <w:r w:rsidRPr="009475CC">
        <w:rPr>
          <w:rFonts w:cs="Times New Roman"/>
          <w:b/>
          <w:szCs w:val="24"/>
          <w:lang w:val="sq-AL"/>
        </w:rPr>
        <w:t>Masa</w:t>
      </w:r>
      <w:r w:rsidR="006A0CB7">
        <w:rPr>
          <w:rFonts w:cs="Times New Roman"/>
          <w:b/>
          <w:szCs w:val="24"/>
          <w:lang w:val="sq-AL"/>
        </w:rPr>
        <w:t xml:space="preserve"> </w:t>
      </w:r>
      <w:r w:rsidR="003769CD">
        <w:rPr>
          <w:rFonts w:cs="Times New Roman"/>
          <w:b/>
          <w:szCs w:val="24"/>
          <w:lang w:val="sq-AL"/>
        </w:rPr>
        <w:t>11.</w:t>
      </w:r>
      <w:r w:rsidR="006A0CB7">
        <w:rPr>
          <w:rFonts w:cs="Times New Roman"/>
          <w:b/>
          <w:szCs w:val="24"/>
          <w:lang w:val="sq-AL"/>
        </w:rPr>
        <w:t xml:space="preserve">1: </w:t>
      </w:r>
      <w:r w:rsidR="007855D5" w:rsidRPr="009475CC">
        <w:rPr>
          <w:rFonts w:cs="Times New Roman"/>
          <w:szCs w:val="24"/>
          <w:lang w:val="sq-AL"/>
        </w:rPr>
        <w:t>Për</w:t>
      </w:r>
      <w:r w:rsidR="007855D5">
        <w:rPr>
          <w:rFonts w:cs="Times New Roman"/>
          <w:szCs w:val="24"/>
          <w:lang w:val="sq-AL"/>
        </w:rPr>
        <w:t>d</w:t>
      </w:r>
      <w:r w:rsidR="007855D5" w:rsidRPr="009475CC">
        <w:rPr>
          <w:rFonts w:cs="Times New Roman"/>
          <w:szCs w:val="24"/>
          <w:lang w:val="sq-AL"/>
        </w:rPr>
        <w:t>i</w:t>
      </w:r>
      <w:r w:rsidR="007855D5">
        <w:rPr>
          <w:rFonts w:cs="Times New Roman"/>
          <w:szCs w:val="24"/>
          <w:lang w:val="sq-AL"/>
        </w:rPr>
        <w:t>t</w:t>
      </w:r>
      <w:r w:rsidR="007855D5" w:rsidRPr="009475CC">
        <w:rPr>
          <w:rFonts w:cs="Times New Roman"/>
          <w:szCs w:val="24"/>
          <w:lang w:val="sq-AL"/>
        </w:rPr>
        <w:t xml:space="preserve">ësimi </w:t>
      </w:r>
      <w:r w:rsidRPr="009475CC">
        <w:rPr>
          <w:rFonts w:cs="Times New Roman"/>
          <w:szCs w:val="24"/>
          <w:lang w:val="sq-AL"/>
        </w:rPr>
        <w:t>i vazhdueshëm i databazës së standardeve në përputhje me atë të organizmave evropiane e ndërkombëtare</w:t>
      </w:r>
      <w:r w:rsidR="006A0CB7">
        <w:rPr>
          <w:rFonts w:cs="Times New Roman"/>
          <w:szCs w:val="24"/>
          <w:lang w:val="sq-AL"/>
        </w:rPr>
        <w:t>.</w:t>
      </w:r>
      <w:r w:rsidRPr="009475CC">
        <w:rPr>
          <w:rFonts w:cs="Times New Roman"/>
          <w:szCs w:val="24"/>
          <w:lang w:val="sq-AL"/>
        </w:rPr>
        <w:t xml:space="preserve"> </w:t>
      </w:r>
    </w:p>
    <w:p w14:paraId="2070A925" w14:textId="0835CF16" w:rsidR="006A0CB7" w:rsidRPr="009475CC" w:rsidRDefault="006A0CB7" w:rsidP="009475CC">
      <w:pPr>
        <w:spacing w:after="0" w:line="240" w:lineRule="auto"/>
        <w:jc w:val="both"/>
        <w:rPr>
          <w:rFonts w:cs="Times New Roman"/>
          <w:szCs w:val="24"/>
          <w:lang w:val="sq-AL"/>
        </w:rPr>
      </w:pPr>
      <w:r w:rsidRPr="00F32E3B">
        <w:rPr>
          <w:rFonts w:cs="Times New Roman"/>
          <w:b/>
          <w:szCs w:val="24"/>
          <w:lang w:val="sq-AL"/>
        </w:rPr>
        <w:t>Masa</w:t>
      </w:r>
      <w:r>
        <w:rPr>
          <w:rFonts w:cs="Times New Roman"/>
          <w:b/>
          <w:szCs w:val="24"/>
          <w:lang w:val="sq-AL"/>
        </w:rPr>
        <w:t xml:space="preserve"> </w:t>
      </w:r>
      <w:r w:rsidR="003769CD">
        <w:rPr>
          <w:rFonts w:cs="Times New Roman"/>
          <w:b/>
          <w:szCs w:val="24"/>
          <w:lang w:val="sq-AL"/>
        </w:rPr>
        <w:t>11.</w:t>
      </w:r>
      <w:r>
        <w:rPr>
          <w:rFonts w:cs="Times New Roman"/>
          <w:b/>
          <w:szCs w:val="24"/>
          <w:lang w:val="sq-AL"/>
        </w:rPr>
        <w:t xml:space="preserve">2: </w:t>
      </w:r>
      <w:r w:rsidR="0043305B" w:rsidRPr="009475CC">
        <w:rPr>
          <w:rFonts w:cs="Times New Roman"/>
          <w:szCs w:val="24"/>
          <w:lang w:val="sq-AL"/>
        </w:rPr>
        <w:t xml:space="preserve">Investime në </w:t>
      </w:r>
      <w:r w:rsidR="003769CD" w:rsidRPr="009475CC">
        <w:rPr>
          <w:rFonts w:cs="Times New Roman"/>
          <w:i/>
          <w:szCs w:val="24"/>
          <w:lang w:val="sq-AL"/>
        </w:rPr>
        <w:t>hard</w:t>
      </w:r>
      <w:r w:rsidR="003769CD">
        <w:rPr>
          <w:rFonts w:cs="Times New Roman"/>
          <w:i/>
          <w:szCs w:val="24"/>
          <w:lang w:val="sq-AL"/>
        </w:rPr>
        <w:t>w</w:t>
      </w:r>
      <w:r w:rsidR="003769CD" w:rsidRPr="009475CC">
        <w:rPr>
          <w:rFonts w:cs="Times New Roman"/>
          <w:i/>
          <w:szCs w:val="24"/>
          <w:lang w:val="sq-AL"/>
        </w:rPr>
        <w:t>ear</w:t>
      </w:r>
      <w:r w:rsidR="003769CD" w:rsidRPr="009475CC">
        <w:rPr>
          <w:rFonts w:cs="Times New Roman"/>
          <w:szCs w:val="24"/>
          <w:lang w:val="sq-AL"/>
        </w:rPr>
        <w:t xml:space="preserve"> </w:t>
      </w:r>
      <w:r w:rsidR="0043305B" w:rsidRPr="009475CC">
        <w:rPr>
          <w:rFonts w:cs="Times New Roman"/>
          <w:szCs w:val="24"/>
          <w:lang w:val="sq-AL"/>
        </w:rPr>
        <w:t>dhe mirëmbajtj</w:t>
      </w:r>
      <w:r w:rsidR="003769CD">
        <w:rPr>
          <w:rFonts w:cs="Times New Roman"/>
          <w:szCs w:val="24"/>
          <w:lang w:val="sq-AL"/>
        </w:rPr>
        <w:t>a</w:t>
      </w:r>
      <w:r w:rsidR="0043305B" w:rsidRPr="009475CC">
        <w:rPr>
          <w:rFonts w:cs="Times New Roman"/>
          <w:szCs w:val="24"/>
          <w:lang w:val="sq-AL"/>
        </w:rPr>
        <w:t xml:space="preserve"> e saj</w:t>
      </w:r>
      <w:r>
        <w:rPr>
          <w:rFonts w:cs="Times New Roman"/>
          <w:b/>
          <w:szCs w:val="24"/>
          <w:lang w:val="sq-AL"/>
        </w:rPr>
        <w:t>.</w:t>
      </w:r>
    </w:p>
    <w:p w14:paraId="7D01708F" w14:textId="4272C9C2" w:rsidR="0043305B" w:rsidRPr="009475CC" w:rsidRDefault="006A0CB7" w:rsidP="009475CC">
      <w:pPr>
        <w:spacing w:after="0" w:line="240" w:lineRule="auto"/>
        <w:jc w:val="both"/>
        <w:rPr>
          <w:rFonts w:cs="Times New Roman"/>
          <w:szCs w:val="24"/>
          <w:lang w:val="sq-AL"/>
        </w:rPr>
      </w:pPr>
      <w:r w:rsidRPr="00F32E3B">
        <w:rPr>
          <w:rFonts w:cs="Times New Roman"/>
          <w:b/>
          <w:szCs w:val="24"/>
          <w:lang w:val="sq-AL"/>
        </w:rPr>
        <w:lastRenderedPageBreak/>
        <w:t>Masa</w:t>
      </w:r>
      <w:r>
        <w:rPr>
          <w:rFonts w:cs="Times New Roman"/>
          <w:b/>
          <w:szCs w:val="24"/>
          <w:lang w:val="sq-AL"/>
        </w:rPr>
        <w:t xml:space="preserve"> </w:t>
      </w:r>
      <w:r w:rsidR="003769CD">
        <w:rPr>
          <w:rFonts w:cs="Times New Roman"/>
          <w:b/>
          <w:szCs w:val="24"/>
          <w:lang w:val="sq-AL"/>
        </w:rPr>
        <w:t>11.</w:t>
      </w:r>
      <w:r>
        <w:rPr>
          <w:rFonts w:cs="Times New Roman"/>
          <w:b/>
          <w:szCs w:val="24"/>
          <w:lang w:val="sq-AL"/>
        </w:rPr>
        <w:t xml:space="preserve">3: </w:t>
      </w:r>
      <w:r w:rsidR="007855D5">
        <w:rPr>
          <w:rFonts w:cs="Times New Roman"/>
          <w:b/>
          <w:szCs w:val="24"/>
          <w:lang w:val="sq-AL"/>
        </w:rPr>
        <w:t>Organizimi i trajnimeve t</w:t>
      </w:r>
      <w:r w:rsidR="0027344D">
        <w:rPr>
          <w:rFonts w:cs="Times New Roman"/>
          <w:b/>
          <w:szCs w:val="24"/>
          <w:lang w:val="sq-AL"/>
        </w:rPr>
        <w:t>ë</w:t>
      </w:r>
      <w:r w:rsidR="007855D5">
        <w:rPr>
          <w:rFonts w:cs="Times New Roman"/>
          <w:b/>
          <w:szCs w:val="24"/>
          <w:lang w:val="sq-AL"/>
        </w:rPr>
        <w:t xml:space="preserve"> stafit</w:t>
      </w:r>
      <w:r w:rsidR="0027344D">
        <w:rPr>
          <w:rFonts w:cs="Times New Roman"/>
          <w:b/>
          <w:szCs w:val="24"/>
          <w:lang w:val="sq-AL"/>
        </w:rPr>
        <w:t xml:space="preserve"> DPS .</w:t>
      </w:r>
    </w:p>
    <w:p w14:paraId="38957F55" w14:textId="53CCA757" w:rsidR="003769CD" w:rsidRDefault="003769CD" w:rsidP="009475CC">
      <w:pPr>
        <w:spacing w:after="0" w:line="240" w:lineRule="auto"/>
        <w:rPr>
          <w:rFonts w:cs="Times New Roman"/>
          <w:b/>
          <w:szCs w:val="24"/>
          <w:lang w:val="sq-AL"/>
        </w:rPr>
      </w:pPr>
    </w:p>
    <w:p w14:paraId="3B4817B6" w14:textId="6F61BA2A" w:rsidR="0043305B" w:rsidRPr="009475CC" w:rsidRDefault="0043305B" w:rsidP="009475CC">
      <w:pPr>
        <w:spacing w:after="0" w:line="240" w:lineRule="auto"/>
        <w:rPr>
          <w:rFonts w:cs="Times New Roman"/>
          <w:b/>
          <w:szCs w:val="24"/>
          <w:lang w:val="sq-AL"/>
        </w:rPr>
      </w:pPr>
      <w:r w:rsidRPr="009475CC">
        <w:rPr>
          <w:rFonts w:cs="Times New Roman"/>
          <w:b/>
          <w:szCs w:val="24"/>
          <w:lang w:val="sq-AL"/>
        </w:rPr>
        <w:t>Indikatorët</w:t>
      </w:r>
      <w:r w:rsidRPr="009475CC">
        <w:rPr>
          <w:rFonts w:cs="Times New Roman"/>
          <w:szCs w:val="24"/>
          <w:lang w:val="sq-AL"/>
        </w:rPr>
        <w:t>:</w:t>
      </w:r>
    </w:p>
    <w:p w14:paraId="2D4875FA" w14:textId="742CE8E9" w:rsidR="0043305B" w:rsidRPr="0027344D" w:rsidRDefault="0027344D" w:rsidP="00D22E7B">
      <w:pPr>
        <w:pStyle w:val="ListParagraph"/>
        <w:numPr>
          <w:ilvl w:val="0"/>
          <w:numId w:val="7"/>
        </w:numPr>
        <w:spacing w:after="200" w:line="240" w:lineRule="auto"/>
        <w:jc w:val="both"/>
        <w:rPr>
          <w:rFonts w:cs="Times New Roman"/>
          <w:szCs w:val="24"/>
          <w:lang w:val="sq-AL"/>
        </w:rPr>
      </w:pPr>
      <w:r w:rsidRPr="0027344D">
        <w:rPr>
          <w:rFonts w:cs="Times New Roman"/>
          <w:szCs w:val="24"/>
          <w:lang w:val="sq-AL"/>
        </w:rPr>
        <w:t xml:space="preserve">Sistem funksional dhe i pwrditwsuar me </w:t>
      </w:r>
      <w:r w:rsidR="0043305B" w:rsidRPr="0027344D">
        <w:rPr>
          <w:rFonts w:cs="Times New Roman"/>
          <w:szCs w:val="24"/>
          <w:lang w:val="sq-AL"/>
        </w:rPr>
        <w:t>të dhëna</w:t>
      </w:r>
      <w:r w:rsidRPr="0027344D">
        <w:rPr>
          <w:rFonts w:cs="Times New Roman"/>
          <w:szCs w:val="24"/>
          <w:lang w:val="sq-AL"/>
        </w:rPr>
        <w:t xml:space="preserve">t </w:t>
      </w:r>
      <w:r w:rsidR="0043305B" w:rsidRPr="0027344D">
        <w:rPr>
          <w:rFonts w:cs="Times New Roman"/>
          <w:szCs w:val="24"/>
          <w:lang w:val="sq-AL"/>
        </w:rPr>
        <w:t xml:space="preserve"> nga databaza kombëtare e standardeve dhe publikimin e standardeve në nivel kombëtar, evropian dhe ndërkombëtar;</w:t>
      </w:r>
      <w:r w:rsidRPr="0027344D">
        <w:rPr>
          <w:rFonts w:cs="Times New Roman"/>
          <w:szCs w:val="24"/>
          <w:lang w:val="sq-AL"/>
        </w:rPr>
        <w:t xml:space="preserve">si dhe </w:t>
      </w:r>
      <w:r w:rsidR="0043305B" w:rsidRPr="0027344D">
        <w:rPr>
          <w:rFonts w:cs="Times New Roman"/>
          <w:szCs w:val="24"/>
          <w:lang w:val="sq-AL"/>
        </w:rPr>
        <w:t>Menaxhimi i shkëmbimit të të dhënave me sistemet përkatëse të organizmave evropiane e ndërkombëtare</w:t>
      </w:r>
      <w:r w:rsidR="0043305B" w:rsidRPr="0027344D" w:rsidDel="006144CF">
        <w:rPr>
          <w:rFonts w:cs="Times New Roman"/>
          <w:szCs w:val="24"/>
          <w:lang w:val="sq-AL"/>
        </w:rPr>
        <w:t xml:space="preserve"> </w:t>
      </w:r>
      <w:r w:rsidR="0043305B" w:rsidRPr="0027344D">
        <w:rPr>
          <w:rFonts w:cs="Times New Roman"/>
          <w:szCs w:val="24"/>
          <w:lang w:val="sq-AL"/>
        </w:rPr>
        <w:t>të standardizimit është efikas;</w:t>
      </w:r>
    </w:p>
    <w:p w14:paraId="4D941C42" w14:textId="77777777" w:rsidR="0027344D" w:rsidRDefault="0027344D" w:rsidP="0027344D">
      <w:pPr>
        <w:pStyle w:val="ListParagraph"/>
        <w:spacing w:after="200" w:line="240" w:lineRule="auto"/>
        <w:jc w:val="both"/>
        <w:rPr>
          <w:rFonts w:cs="Times New Roman"/>
          <w:szCs w:val="24"/>
          <w:lang w:val="sq-AL"/>
        </w:rPr>
      </w:pPr>
    </w:p>
    <w:p w14:paraId="55853337" w14:textId="3AA0AE89" w:rsidR="0043305B" w:rsidRPr="009475CC" w:rsidRDefault="0043305B" w:rsidP="00623352">
      <w:pPr>
        <w:pStyle w:val="ListParagraph"/>
        <w:numPr>
          <w:ilvl w:val="0"/>
          <w:numId w:val="7"/>
        </w:numPr>
        <w:spacing w:after="200" w:line="240" w:lineRule="auto"/>
        <w:jc w:val="both"/>
        <w:rPr>
          <w:rFonts w:cs="Times New Roman"/>
          <w:szCs w:val="24"/>
          <w:lang w:val="sq-AL"/>
        </w:rPr>
      </w:pPr>
      <w:r w:rsidRPr="009475CC">
        <w:rPr>
          <w:rFonts w:cs="Times New Roman"/>
          <w:szCs w:val="24"/>
          <w:lang w:val="sq-AL"/>
        </w:rPr>
        <w:t>Pjesëmarrja në</w:t>
      </w:r>
      <w:r w:rsidR="0027344D">
        <w:rPr>
          <w:rFonts w:cs="Times New Roman"/>
          <w:szCs w:val="24"/>
          <w:lang w:val="sq-AL"/>
        </w:rPr>
        <w:t xml:space="preserve"> 7 </w:t>
      </w:r>
      <w:r w:rsidRPr="009475CC">
        <w:rPr>
          <w:rFonts w:cs="Times New Roman"/>
          <w:szCs w:val="24"/>
          <w:lang w:val="sq-AL"/>
        </w:rPr>
        <w:t xml:space="preserve"> mbledhjet e Komiteteve Teknike në nivel europian e ndërkombëtar.</w:t>
      </w:r>
    </w:p>
    <w:p w14:paraId="2C823D8E" w14:textId="04C1676C" w:rsidR="006A2D01" w:rsidRPr="009B7C56" w:rsidRDefault="006A2D01" w:rsidP="00FB63B4">
      <w:pPr>
        <w:pStyle w:val="Heading4"/>
        <w:rPr>
          <w:lang w:val="sq-AL"/>
        </w:rPr>
      </w:pPr>
      <w:bookmarkStart w:id="149" w:name="_Toc132277379"/>
      <w:r w:rsidRPr="009B7C56">
        <w:rPr>
          <w:lang w:val="sq-AL"/>
        </w:rPr>
        <w:t>Akreditimi</w:t>
      </w:r>
      <w:bookmarkEnd w:id="149"/>
    </w:p>
    <w:tbl>
      <w:tblPr>
        <w:tblStyle w:val="TableGrid"/>
        <w:tblW w:w="0" w:type="auto"/>
        <w:tblLook w:val="04A0" w:firstRow="1" w:lastRow="0" w:firstColumn="1" w:lastColumn="0" w:noHBand="0" w:noVBand="1"/>
      </w:tblPr>
      <w:tblGrid>
        <w:gridCol w:w="9016"/>
      </w:tblGrid>
      <w:tr w:rsidR="007855D5" w14:paraId="24E25544" w14:textId="77777777" w:rsidTr="007855D5">
        <w:tc>
          <w:tcPr>
            <w:tcW w:w="9016" w:type="dxa"/>
          </w:tcPr>
          <w:p w14:paraId="5F46BDBB" w14:textId="3664D46F" w:rsidR="007855D5" w:rsidRDefault="007855D5" w:rsidP="007855D5">
            <w:pPr>
              <w:rPr>
                <w:rFonts w:cs="Times New Roman"/>
                <w:szCs w:val="24"/>
                <w:lang w:val="sq-AL"/>
              </w:rPr>
            </w:pPr>
            <w:r w:rsidRPr="00BA38C7">
              <w:rPr>
                <w:rFonts w:cs="Times New Roman"/>
                <w:b/>
                <w:bCs/>
                <w:szCs w:val="24"/>
                <w:lang w:val="sq-AL"/>
              </w:rPr>
              <w:t>Objektiv</w:t>
            </w:r>
            <w:r>
              <w:rPr>
                <w:rFonts w:cs="Times New Roman"/>
                <w:b/>
                <w:bCs/>
                <w:szCs w:val="24"/>
                <w:lang w:val="sq-AL"/>
              </w:rPr>
              <w:t xml:space="preserve">i </w:t>
            </w:r>
            <w:r w:rsidR="00AC7156">
              <w:rPr>
                <w:rFonts w:cs="Times New Roman"/>
                <w:b/>
                <w:bCs/>
                <w:szCs w:val="24"/>
                <w:lang w:val="sq-AL"/>
              </w:rPr>
              <w:t>12</w:t>
            </w:r>
            <w:r w:rsidRPr="009475CC">
              <w:rPr>
                <w:rFonts w:cs="Times New Roman"/>
                <w:b/>
                <w:bCs/>
                <w:szCs w:val="24"/>
                <w:lang w:val="sq-AL"/>
              </w:rPr>
              <w:t>:</w:t>
            </w:r>
            <w:r w:rsidRPr="009475CC">
              <w:rPr>
                <w:rFonts w:cs="Times New Roman"/>
                <w:szCs w:val="24"/>
                <w:lang w:val="sq-AL"/>
              </w:rPr>
              <w:tab/>
            </w:r>
            <w:r w:rsidR="006A59B7" w:rsidRPr="009475CC">
              <w:rPr>
                <w:rFonts w:cs="Times New Roman"/>
                <w:szCs w:val="24"/>
                <w:lang w:val="sq-AL"/>
              </w:rPr>
              <w:t xml:space="preserve">Njohja evropiane e raporteve të testimit të lëshuara </w:t>
            </w:r>
            <w:r w:rsidRPr="009475CC">
              <w:rPr>
                <w:rFonts w:cs="Times New Roman"/>
                <w:szCs w:val="24"/>
                <w:lang w:val="sq-AL"/>
              </w:rPr>
              <w:t>nga</w:t>
            </w:r>
            <w:r>
              <w:rPr>
                <w:rFonts w:cs="Times New Roman"/>
                <w:szCs w:val="24"/>
                <w:lang w:val="sq-AL"/>
              </w:rPr>
              <w:t xml:space="preserve">  </w:t>
            </w:r>
            <w:r w:rsidRPr="009475CC">
              <w:rPr>
                <w:rFonts w:cs="Times New Roman"/>
                <w:szCs w:val="24"/>
                <w:lang w:val="sq-AL"/>
              </w:rPr>
              <w:t>laboratorë mjekësorë</w:t>
            </w:r>
            <w:r w:rsidR="006A59B7">
              <w:rPr>
                <w:rFonts w:cs="Times New Roman"/>
                <w:szCs w:val="24"/>
                <w:lang w:val="sq-AL"/>
              </w:rPr>
              <w:t xml:space="preserve">, </w:t>
            </w:r>
            <w:r w:rsidR="006A59B7" w:rsidRPr="009475CC">
              <w:rPr>
                <w:rFonts w:cs="Times New Roman"/>
                <w:szCs w:val="24"/>
                <w:lang w:val="sq-AL"/>
              </w:rPr>
              <w:t>laboratorë kalibrues dhe organe certifikuese të produkteve</w:t>
            </w:r>
            <w:r w:rsidR="006A59B7">
              <w:rPr>
                <w:rFonts w:cs="Times New Roman"/>
                <w:szCs w:val="24"/>
                <w:lang w:val="sq-AL"/>
              </w:rPr>
              <w:t>,</w:t>
            </w:r>
            <w:r w:rsidR="006A59B7" w:rsidRPr="009475CC">
              <w:rPr>
                <w:rFonts w:cs="Times New Roman"/>
                <w:szCs w:val="24"/>
                <w:lang w:val="sq-AL"/>
              </w:rPr>
              <w:t xml:space="preserve"> të akredituar</w:t>
            </w:r>
            <w:r w:rsidR="006A59B7">
              <w:rPr>
                <w:rFonts w:cs="Times New Roman"/>
                <w:szCs w:val="24"/>
                <w:lang w:val="sq-AL"/>
              </w:rPr>
              <w:t>a</w:t>
            </w:r>
            <w:r>
              <w:rPr>
                <w:rFonts w:cs="Times New Roman"/>
                <w:szCs w:val="24"/>
                <w:lang w:val="sq-AL"/>
              </w:rPr>
              <w:t xml:space="preserve"> në Shqipëri</w:t>
            </w:r>
            <w:r w:rsidRPr="009475CC">
              <w:rPr>
                <w:rFonts w:cs="Times New Roman"/>
                <w:szCs w:val="24"/>
                <w:lang w:val="sq-AL"/>
              </w:rPr>
              <w:t>.</w:t>
            </w:r>
          </w:p>
          <w:p w14:paraId="7BB9E064" w14:textId="77777777" w:rsidR="007855D5" w:rsidRDefault="007855D5" w:rsidP="009475CC">
            <w:pPr>
              <w:rPr>
                <w:rFonts w:cs="Times New Roman"/>
                <w:b/>
                <w:bCs/>
                <w:szCs w:val="24"/>
                <w:lang w:val="sq-AL"/>
              </w:rPr>
            </w:pPr>
          </w:p>
        </w:tc>
      </w:tr>
    </w:tbl>
    <w:p w14:paraId="24FA6D42" w14:textId="77777777" w:rsidR="007855D5" w:rsidRPr="009475CC" w:rsidRDefault="007855D5" w:rsidP="009475CC">
      <w:pPr>
        <w:spacing w:after="0" w:line="240" w:lineRule="auto"/>
        <w:rPr>
          <w:rFonts w:cs="Times New Roman"/>
          <w:szCs w:val="24"/>
          <w:lang w:val="sq-AL"/>
        </w:rPr>
      </w:pPr>
    </w:p>
    <w:p w14:paraId="43C1AD2D" w14:textId="55366FD4" w:rsidR="006A59B7" w:rsidRPr="009475CC" w:rsidRDefault="00DF35DA" w:rsidP="006A59B7">
      <w:pPr>
        <w:spacing w:after="0" w:line="240" w:lineRule="auto"/>
        <w:rPr>
          <w:rFonts w:cs="Times New Roman"/>
          <w:szCs w:val="24"/>
          <w:lang w:val="sq-AL"/>
        </w:rPr>
      </w:pPr>
      <w:r w:rsidRPr="009475CC">
        <w:rPr>
          <w:rFonts w:cs="Times New Roman"/>
          <w:b/>
          <w:bCs/>
          <w:szCs w:val="24"/>
          <w:lang w:val="sq-AL"/>
        </w:rPr>
        <w:t xml:space="preserve">Masa </w:t>
      </w:r>
      <w:r w:rsidR="007855D5">
        <w:rPr>
          <w:rFonts w:cs="Times New Roman"/>
          <w:b/>
          <w:bCs/>
          <w:szCs w:val="24"/>
          <w:lang w:val="sq-AL"/>
        </w:rPr>
        <w:t>12.</w:t>
      </w:r>
      <w:r w:rsidRPr="009475CC">
        <w:rPr>
          <w:rFonts w:cs="Times New Roman"/>
          <w:b/>
          <w:bCs/>
          <w:szCs w:val="24"/>
          <w:lang w:val="sq-AL"/>
        </w:rPr>
        <w:t xml:space="preserve">1: </w:t>
      </w:r>
      <w:r w:rsidR="006A59B7" w:rsidRPr="006A59B7">
        <w:rPr>
          <w:rFonts w:cs="Times New Roman"/>
          <w:b/>
          <w:bCs/>
          <w:szCs w:val="24"/>
          <w:lang w:val="sq-AL"/>
        </w:rPr>
        <w:t xml:space="preserve"> </w:t>
      </w:r>
      <w:r w:rsidR="006A59B7" w:rsidRPr="009475CC">
        <w:rPr>
          <w:rFonts w:cs="Times New Roman"/>
          <w:szCs w:val="24"/>
          <w:lang w:val="sq-AL"/>
        </w:rPr>
        <w:t>Aplikimi në EA për zgjerim të MLA në fushat përkatëse.</w:t>
      </w:r>
    </w:p>
    <w:p w14:paraId="781D651F" w14:textId="2171FA94" w:rsidR="006A59B7" w:rsidRPr="009475CC" w:rsidRDefault="006A59B7" w:rsidP="006A59B7">
      <w:pPr>
        <w:spacing w:after="0" w:line="240" w:lineRule="auto"/>
        <w:rPr>
          <w:rFonts w:cs="Times New Roman"/>
          <w:szCs w:val="24"/>
          <w:lang w:val="sq-AL"/>
        </w:rPr>
      </w:pPr>
      <w:r w:rsidRPr="00F32E3B">
        <w:rPr>
          <w:rFonts w:cs="Times New Roman"/>
          <w:b/>
          <w:bCs/>
          <w:szCs w:val="24"/>
          <w:lang w:val="sq-AL"/>
        </w:rPr>
        <w:t xml:space="preserve">Masa </w:t>
      </w:r>
      <w:r>
        <w:rPr>
          <w:rFonts w:cs="Times New Roman"/>
          <w:b/>
          <w:bCs/>
          <w:szCs w:val="24"/>
          <w:lang w:val="sq-AL"/>
        </w:rPr>
        <w:t>12.2</w:t>
      </w:r>
      <w:r w:rsidRPr="00F32E3B">
        <w:rPr>
          <w:rFonts w:cs="Times New Roman"/>
          <w:b/>
          <w:bCs/>
          <w:szCs w:val="24"/>
          <w:lang w:val="sq-AL"/>
        </w:rPr>
        <w:t xml:space="preserve">: </w:t>
      </w:r>
      <w:r w:rsidRPr="009475CC">
        <w:rPr>
          <w:rFonts w:cs="Times New Roman"/>
          <w:szCs w:val="24"/>
          <w:lang w:val="sq-AL"/>
        </w:rPr>
        <w:t xml:space="preserve"> Realizimi me sukses i vizitës</w:t>
      </w:r>
      <w:r>
        <w:rPr>
          <w:rFonts w:cs="Times New Roman"/>
          <w:szCs w:val="24"/>
          <w:lang w:val="sq-AL"/>
        </w:rPr>
        <w:t>/ave</w:t>
      </w:r>
      <w:r w:rsidRPr="009475CC">
        <w:rPr>
          <w:rFonts w:cs="Times New Roman"/>
          <w:szCs w:val="24"/>
          <w:lang w:val="sq-AL"/>
        </w:rPr>
        <w:t xml:space="preserve"> vlerësuese të EA.</w:t>
      </w:r>
    </w:p>
    <w:p w14:paraId="2C300AA3" w14:textId="1ABD44EF" w:rsidR="003B2396" w:rsidRDefault="003B2396" w:rsidP="009475CC">
      <w:pPr>
        <w:spacing w:after="0" w:line="240" w:lineRule="auto"/>
        <w:rPr>
          <w:rFonts w:cs="Times New Roman"/>
          <w:szCs w:val="24"/>
          <w:lang w:val="sq-AL"/>
        </w:rPr>
      </w:pPr>
    </w:p>
    <w:p w14:paraId="49CF3223" w14:textId="30566072" w:rsidR="007855D5" w:rsidRPr="009475CC" w:rsidRDefault="006A59B7" w:rsidP="007855D5">
      <w:pPr>
        <w:spacing w:after="0" w:line="240" w:lineRule="auto"/>
        <w:rPr>
          <w:rFonts w:cs="Times New Roman"/>
          <w:szCs w:val="24"/>
          <w:lang w:val="sq-AL"/>
        </w:rPr>
      </w:pPr>
      <w:r>
        <w:rPr>
          <w:rFonts w:cs="Times New Roman"/>
          <w:b/>
          <w:bCs/>
          <w:szCs w:val="24"/>
          <w:lang w:val="sq-AL"/>
        </w:rPr>
        <w:t>Indikatorët</w:t>
      </w:r>
      <w:r w:rsidR="007855D5" w:rsidRPr="007855D5">
        <w:rPr>
          <w:rFonts w:cs="Times New Roman"/>
          <w:b/>
          <w:bCs/>
          <w:szCs w:val="24"/>
          <w:lang w:val="sq-AL"/>
        </w:rPr>
        <w:t>:</w:t>
      </w:r>
      <w:r w:rsidR="007855D5">
        <w:rPr>
          <w:rFonts w:cs="Times New Roman"/>
          <w:szCs w:val="24"/>
          <w:lang w:val="sq-AL"/>
        </w:rPr>
        <w:t xml:space="preserve"> </w:t>
      </w:r>
      <w:r w:rsidR="007855D5" w:rsidRPr="009475CC">
        <w:rPr>
          <w:rFonts w:cs="Times New Roman"/>
          <w:szCs w:val="24"/>
          <w:lang w:val="sq-AL"/>
        </w:rPr>
        <w:t xml:space="preserve">Nënshkrimi i </w:t>
      </w:r>
      <w:r w:rsidR="005B33E1">
        <w:rPr>
          <w:rFonts w:cs="Times New Roman"/>
          <w:szCs w:val="24"/>
          <w:lang w:val="sq-AL"/>
        </w:rPr>
        <w:t>(3)</w:t>
      </w:r>
      <w:r w:rsidR="007855D5" w:rsidRPr="009475CC">
        <w:rPr>
          <w:rFonts w:cs="Times New Roman"/>
          <w:szCs w:val="24"/>
          <w:lang w:val="sq-AL"/>
        </w:rPr>
        <w:t>marrëveshje</w:t>
      </w:r>
      <w:r>
        <w:rPr>
          <w:rFonts w:cs="Times New Roman"/>
          <w:szCs w:val="24"/>
          <w:lang w:val="sq-AL"/>
        </w:rPr>
        <w:t>ve</w:t>
      </w:r>
      <w:r w:rsidR="007855D5" w:rsidRPr="009475CC">
        <w:rPr>
          <w:rFonts w:cs="Times New Roman"/>
          <w:szCs w:val="24"/>
          <w:lang w:val="sq-AL"/>
        </w:rPr>
        <w:t xml:space="preserve"> </w:t>
      </w:r>
      <w:r>
        <w:rPr>
          <w:rFonts w:cs="Times New Roman"/>
          <w:szCs w:val="24"/>
          <w:lang w:val="sq-AL"/>
        </w:rPr>
        <w:t>t</w:t>
      </w:r>
      <w:r w:rsidR="007855D5" w:rsidRPr="009475CC">
        <w:rPr>
          <w:rFonts w:cs="Times New Roman"/>
          <w:szCs w:val="24"/>
          <w:lang w:val="sq-AL"/>
        </w:rPr>
        <w:t>ë njohjes reciproke me EA në fushën e laborator</w:t>
      </w:r>
      <w:r>
        <w:rPr>
          <w:rFonts w:cs="Times New Roman"/>
          <w:szCs w:val="24"/>
          <w:lang w:val="sq-AL"/>
        </w:rPr>
        <w:t>ë</w:t>
      </w:r>
      <w:r w:rsidR="007855D5" w:rsidRPr="009475CC">
        <w:rPr>
          <w:rFonts w:cs="Times New Roman"/>
          <w:szCs w:val="24"/>
          <w:lang w:val="sq-AL"/>
        </w:rPr>
        <w:t>v</w:t>
      </w:r>
      <w:r>
        <w:rPr>
          <w:rFonts w:cs="Times New Roman"/>
          <w:szCs w:val="24"/>
          <w:lang w:val="sq-AL"/>
        </w:rPr>
        <w:t>e</w:t>
      </w:r>
      <w:r w:rsidR="007855D5" w:rsidRPr="009475CC">
        <w:rPr>
          <w:rFonts w:cs="Times New Roman"/>
          <w:szCs w:val="24"/>
          <w:lang w:val="sq-AL"/>
        </w:rPr>
        <w:t xml:space="preserve"> mjekësorë</w:t>
      </w:r>
      <w:r>
        <w:rPr>
          <w:rFonts w:cs="Times New Roman"/>
          <w:szCs w:val="24"/>
          <w:lang w:val="sq-AL"/>
        </w:rPr>
        <w:t xml:space="preserve">, </w:t>
      </w:r>
      <w:r w:rsidRPr="009475CC">
        <w:rPr>
          <w:rFonts w:cs="Times New Roman"/>
          <w:szCs w:val="24"/>
          <w:lang w:val="sq-AL"/>
        </w:rPr>
        <w:t>laboratorë kalibrues dhe organe certifikuese të produkteve</w:t>
      </w:r>
      <w:r>
        <w:rPr>
          <w:rFonts w:cs="Times New Roman"/>
          <w:szCs w:val="24"/>
          <w:lang w:val="sq-AL"/>
        </w:rPr>
        <w:t>,</w:t>
      </w:r>
      <w:r w:rsidRPr="009475CC">
        <w:rPr>
          <w:rFonts w:cs="Times New Roman"/>
          <w:szCs w:val="24"/>
          <w:lang w:val="sq-AL"/>
        </w:rPr>
        <w:t xml:space="preserve"> të akredituar</w:t>
      </w:r>
      <w:r>
        <w:rPr>
          <w:rFonts w:cs="Times New Roman"/>
          <w:szCs w:val="24"/>
          <w:lang w:val="sq-AL"/>
        </w:rPr>
        <w:t>a në Shqipëri</w:t>
      </w:r>
      <w:r w:rsidRPr="009475CC">
        <w:rPr>
          <w:rFonts w:cs="Times New Roman"/>
          <w:szCs w:val="24"/>
          <w:lang w:val="sq-AL"/>
        </w:rPr>
        <w:t>.</w:t>
      </w:r>
    </w:p>
    <w:p w14:paraId="4D1970C9" w14:textId="2CC3579C" w:rsidR="007855D5" w:rsidRPr="009475CC" w:rsidRDefault="007855D5" w:rsidP="009475CC">
      <w:pPr>
        <w:spacing w:after="0" w:line="240" w:lineRule="auto"/>
        <w:rPr>
          <w:rFonts w:cs="Times New Roman"/>
          <w:szCs w:val="24"/>
          <w:lang w:val="sq-AL"/>
        </w:rPr>
      </w:pPr>
    </w:p>
    <w:p w14:paraId="6176120C" w14:textId="77777777" w:rsidR="006A59B7" w:rsidRDefault="006A59B7" w:rsidP="009475CC">
      <w:pPr>
        <w:pStyle w:val="BodyText"/>
        <w:spacing w:before="18"/>
        <w:ind w:right="83"/>
        <w:jc w:val="both"/>
        <w:rPr>
          <w:b/>
          <w:bCs/>
          <w:i w:val="0"/>
        </w:rPr>
      </w:pPr>
    </w:p>
    <w:tbl>
      <w:tblPr>
        <w:tblStyle w:val="TableGrid"/>
        <w:tblW w:w="0" w:type="auto"/>
        <w:tblLook w:val="04A0" w:firstRow="1" w:lastRow="0" w:firstColumn="1" w:lastColumn="0" w:noHBand="0" w:noVBand="1"/>
      </w:tblPr>
      <w:tblGrid>
        <w:gridCol w:w="9016"/>
      </w:tblGrid>
      <w:tr w:rsidR="006A59B7" w14:paraId="62D2AC5C" w14:textId="77777777" w:rsidTr="006A59B7">
        <w:tc>
          <w:tcPr>
            <w:tcW w:w="9016" w:type="dxa"/>
          </w:tcPr>
          <w:p w14:paraId="4A5D1363" w14:textId="6E157F62" w:rsidR="006A59B7" w:rsidRDefault="006A59B7" w:rsidP="009475CC">
            <w:pPr>
              <w:pStyle w:val="BodyText"/>
              <w:spacing w:before="18"/>
              <w:ind w:right="83"/>
              <w:jc w:val="both"/>
              <w:rPr>
                <w:i w:val="0"/>
              </w:rPr>
            </w:pPr>
            <w:r w:rsidRPr="009475CC">
              <w:rPr>
                <w:b/>
                <w:bCs/>
                <w:i w:val="0"/>
              </w:rPr>
              <w:t>Objektiv</w:t>
            </w:r>
            <w:r>
              <w:rPr>
                <w:b/>
                <w:bCs/>
                <w:i w:val="0"/>
              </w:rPr>
              <w:t xml:space="preserve">i </w:t>
            </w:r>
            <w:r w:rsidR="00AC7156">
              <w:rPr>
                <w:b/>
                <w:bCs/>
                <w:i w:val="0"/>
              </w:rPr>
              <w:t>13</w:t>
            </w:r>
            <w:r w:rsidRPr="00B7691C">
              <w:rPr>
                <w:b/>
                <w:bCs/>
                <w:i w:val="0"/>
              </w:rPr>
              <w:t>:</w:t>
            </w:r>
            <w:r w:rsidRPr="00B7691C">
              <w:rPr>
                <w:i w:val="0"/>
              </w:rPr>
              <w:t xml:space="preserve">  </w:t>
            </w:r>
          </w:p>
          <w:p w14:paraId="2EAAA041" w14:textId="4BE5CFAE" w:rsidR="006A59B7" w:rsidRDefault="006A59B7" w:rsidP="009475CC">
            <w:pPr>
              <w:pStyle w:val="BodyText"/>
              <w:spacing w:before="18"/>
              <w:ind w:right="83"/>
              <w:jc w:val="both"/>
              <w:rPr>
                <w:i w:val="0"/>
              </w:rPr>
            </w:pPr>
            <w:r w:rsidRPr="00B7691C">
              <w:rPr>
                <w:i w:val="0"/>
              </w:rPr>
              <w:t>Rritja e numrit të aplikimeve për akreditim.</w:t>
            </w:r>
          </w:p>
        </w:tc>
      </w:tr>
    </w:tbl>
    <w:p w14:paraId="061049A8" w14:textId="77777777" w:rsidR="006A59B7" w:rsidRPr="00B7691C" w:rsidRDefault="006A59B7" w:rsidP="009475CC">
      <w:pPr>
        <w:pStyle w:val="BodyText"/>
        <w:spacing w:before="18"/>
        <w:ind w:right="83"/>
        <w:jc w:val="both"/>
        <w:rPr>
          <w:i w:val="0"/>
        </w:rPr>
      </w:pPr>
    </w:p>
    <w:p w14:paraId="22C86375" w14:textId="2D4324C7" w:rsidR="00096BE2" w:rsidRPr="009475CC" w:rsidRDefault="004A0D27" w:rsidP="006A59B7">
      <w:pPr>
        <w:spacing w:line="240" w:lineRule="auto"/>
        <w:jc w:val="both"/>
        <w:rPr>
          <w:rFonts w:cs="Times New Roman"/>
          <w:szCs w:val="24"/>
        </w:rPr>
      </w:pPr>
      <w:r w:rsidRPr="009475CC">
        <w:rPr>
          <w:rFonts w:cs="Times New Roman"/>
          <w:b/>
          <w:szCs w:val="24"/>
          <w:lang w:val="sq-AL"/>
        </w:rPr>
        <w:t xml:space="preserve">Masa </w:t>
      </w:r>
      <w:r w:rsidR="006A59B7">
        <w:rPr>
          <w:rFonts w:cs="Times New Roman"/>
          <w:b/>
          <w:szCs w:val="24"/>
          <w:lang w:val="sq-AL"/>
        </w:rPr>
        <w:t>13.</w:t>
      </w:r>
      <w:r w:rsidRPr="009475CC">
        <w:rPr>
          <w:rFonts w:cs="Times New Roman"/>
          <w:b/>
          <w:szCs w:val="24"/>
          <w:lang w:val="sq-AL"/>
        </w:rPr>
        <w:t>1</w:t>
      </w:r>
      <w:r w:rsidR="00DF35DA">
        <w:rPr>
          <w:rFonts w:cs="Times New Roman"/>
          <w:b/>
          <w:szCs w:val="24"/>
          <w:lang w:val="sq-AL"/>
        </w:rPr>
        <w:t xml:space="preserve">: </w:t>
      </w:r>
      <w:r w:rsidR="00096BE2" w:rsidRPr="009475CC">
        <w:rPr>
          <w:rFonts w:cs="Times New Roman"/>
          <w:szCs w:val="24"/>
        </w:rPr>
        <w:t>Ndërgjegjësimi i rregullatorëve në lidhje me kërkesat e legjislacioneve të BE ku kërkohet akreditimi dhe përfshirja në legjislacionin shqiptar kërkesa për organe të akredituara.</w:t>
      </w:r>
    </w:p>
    <w:p w14:paraId="7C9C354D" w14:textId="2A6E307B" w:rsidR="00096BE2" w:rsidRPr="009475CC" w:rsidRDefault="004A0D27" w:rsidP="006A59B7">
      <w:pPr>
        <w:spacing w:line="240" w:lineRule="auto"/>
        <w:rPr>
          <w:rFonts w:cs="Times New Roman"/>
          <w:szCs w:val="24"/>
        </w:rPr>
      </w:pPr>
      <w:r w:rsidRPr="009475CC">
        <w:rPr>
          <w:rFonts w:cs="Times New Roman"/>
          <w:b/>
          <w:bCs/>
          <w:szCs w:val="24"/>
        </w:rPr>
        <w:t>M</w:t>
      </w:r>
      <w:r w:rsidR="00DF35DA" w:rsidRPr="009475CC">
        <w:rPr>
          <w:rFonts w:cs="Times New Roman"/>
          <w:b/>
          <w:bCs/>
          <w:szCs w:val="24"/>
        </w:rPr>
        <w:t>a</w:t>
      </w:r>
      <w:r w:rsidRPr="009475CC">
        <w:rPr>
          <w:rFonts w:cs="Times New Roman"/>
          <w:b/>
          <w:bCs/>
          <w:szCs w:val="24"/>
        </w:rPr>
        <w:t>sa</w:t>
      </w:r>
      <w:r w:rsidR="00DF35DA" w:rsidRPr="009475CC">
        <w:rPr>
          <w:rFonts w:cs="Times New Roman"/>
          <w:b/>
          <w:bCs/>
          <w:szCs w:val="24"/>
        </w:rPr>
        <w:t xml:space="preserve"> </w:t>
      </w:r>
      <w:r w:rsidR="006A59B7">
        <w:rPr>
          <w:rFonts w:cs="Times New Roman"/>
          <w:b/>
          <w:bCs/>
          <w:szCs w:val="24"/>
        </w:rPr>
        <w:t>13.</w:t>
      </w:r>
      <w:r w:rsidRPr="009475CC">
        <w:rPr>
          <w:rFonts w:cs="Times New Roman"/>
          <w:b/>
          <w:bCs/>
          <w:szCs w:val="24"/>
        </w:rPr>
        <w:t>2</w:t>
      </w:r>
      <w:r w:rsidR="00DF35DA" w:rsidRPr="009475CC">
        <w:rPr>
          <w:rFonts w:cs="Times New Roman"/>
          <w:b/>
          <w:bCs/>
          <w:szCs w:val="24"/>
        </w:rPr>
        <w:t>:</w:t>
      </w:r>
      <w:r w:rsidR="00DF35DA">
        <w:rPr>
          <w:rFonts w:cs="Times New Roman"/>
          <w:szCs w:val="24"/>
        </w:rPr>
        <w:t xml:space="preserve"> </w:t>
      </w:r>
      <w:r w:rsidR="00096BE2" w:rsidRPr="009475CC">
        <w:rPr>
          <w:rFonts w:cs="Times New Roman"/>
          <w:szCs w:val="24"/>
        </w:rPr>
        <w:t>Zhvillimi i skemave të akreditimit që kërkohen nga legjislacioni dhe nga politikat e rregullatorëve.</w:t>
      </w:r>
    </w:p>
    <w:p w14:paraId="0FB5B4DA" w14:textId="15A69F58" w:rsidR="00096BE2" w:rsidRPr="009475CC" w:rsidRDefault="004A0D27" w:rsidP="006A59B7">
      <w:pPr>
        <w:spacing w:line="240" w:lineRule="auto"/>
        <w:rPr>
          <w:rFonts w:cs="Times New Roman"/>
          <w:szCs w:val="24"/>
        </w:rPr>
      </w:pPr>
      <w:r w:rsidRPr="009475CC">
        <w:rPr>
          <w:rFonts w:cs="Times New Roman"/>
          <w:b/>
          <w:bCs/>
          <w:szCs w:val="24"/>
        </w:rPr>
        <w:t>Masa</w:t>
      </w:r>
      <w:r w:rsidR="00DF35DA" w:rsidRPr="009475CC">
        <w:rPr>
          <w:rFonts w:cs="Times New Roman"/>
          <w:b/>
          <w:bCs/>
          <w:szCs w:val="24"/>
        </w:rPr>
        <w:t xml:space="preserve"> </w:t>
      </w:r>
      <w:r w:rsidR="006A59B7">
        <w:rPr>
          <w:rFonts w:cs="Times New Roman"/>
          <w:b/>
          <w:bCs/>
          <w:szCs w:val="24"/>
        </w:rPr>
        <w:t>13.</w:t>
      </w:r>
      <w:r w:rsidRPr="009475CC">
        <w:rPr>
          <w:rFonts w:cs="Times New Roman"/>
          <w:b/>
          <w:bCs/>
          <w:szCs w:val="24"/>
        </w:rPr>
        <w:t>3</w:t>
      </w:r>
      <w:r w:rsidR="00DF35DA">
        <w:rPr>
          <w:rFonts w:cs="Times New Roman"/>
          <w:szCs w:val="24"/>
        </w:rPr>
        <w:t>:</w:t>
      </w:r>
      <w:r w:rsidRPr="009475CC">
        <w:rPr>
          <w:rFonts w:cs="Times New Roman"/>
          <w:szCs w:val="24"/>
        </w:rPr>
        <w:t xml:space="preserve"> </w:t>
      </w:r>
      <w:r w:rsidR="00096BE2" w:rsidRPr="009475CC">
        <w:rPr>
          <w:rFonts w:cs="Times New Roman"/>
          <w:szCs w:val="24"/>
        </w:rPr>
        <w:t xml:space="preserve">Ndërgjegjësimi i bizneseve në të gjithë vendin në lidhje me përfitimet nga </w:t>
      </w:r>
      <w:r w:rsidR="00DF35DA">
        <w:rPr>
          <w:rFonts w:cs="Times New Roman"/>
          <w:szCs w:val="24"/>
        </w:rPr>
        <w:t>a</w:t>
      </w:r>
      <w:r w:rsidR="00096BE2" w:rsidRPr="009475CC">
        <w:rPr>
          <w:rFonts w:cs="Times New Roman"/>
          <w:szCs w:val="24"/>
        </w:rPr>
        <w:t>kreditimi.</w:t>
      </w:r>
    </w:p>
    <w:p w14:paraId="0DFBC1B8" w14:textId="34DC55DC" w:rsidR="00B9450F" w:rsidRDefault="00DB1609" w:rsidP="006A59B7">
      <w:pPr>
        <w:spacing w:line="240" w:lineRule="auto"/>
        <w:rPr>
          <w:rStyle w:val="y2iqfc"/>
          <w:rFonts w:cs="Times New Roman"/>
          <w:szCs w:val="24"/>
        </w:rPr>
      </w:pPr>
      <w:r w:rsidRPr="009475CC">
        <w:rPr>
          <w:rFonts w:cs="Times New Roman"/>
          <w:b/>
          <w:bCs/>
          <w:i/>
          <w:szCs w:val="24"/>
          <w:lang w:val="sq-AL"/>
        </w:rPr>
        <w:t>Treguesit /Indikatorët:</w:t>
      </w:r>
      <w:r w:rsidR="00B9450F">
        <w:rPr>
          <w:rFonts w:cs="Times New Roman"/>
          <w:b/>
          <w:bCs/>
          <w:i/>
          <w:szCs w:val="24"/>
          <w:lang w:val="sq-AL"/>
        </w:rPr>
        <w:t xml:space="preserve"> </w:t>
      </w:r>
    </w:p>
    <w:p w14:paraId="448E6E69" w14:textId="1E7873B6" w:rsidR="00096BE2" w:rsidRPr="009475CC" w:rsidRDefault="00096BE2" w:rsidP="006A59B7">
      <w:pPr>
        <w:spacing w:line="240" w:lineRule="auto"/>
        <w:rPr>
          <w:rStyle w:val="y2iqfc"/>
          <w:rFonts w:cs="Times New Roman"/>
          <w:szCs w:val="24"/>
        </w:rPr>
      </w:pPr>
      <w:r w:rsidRPr="009475CC">
        <w:rPr>
          <w:rStyle w:val="y2iqfc"/>
          <w:rFonts w:cs="Times New Roman"/>
          <w:szCs w:val="24"/>
        </w:rPr>
        <w:t xml:space="preserve">-Numri i aplikimeve për akreditim- </w:t>
      </w:r>
      <w:r w:rsidRPr="009475CC">
        <w:rPr>
          <w:rFonts w:cs="Times New Roman"/>
          <w:szCs w:val="24"/>
        </w:rPr>
        <w:t>18/vit</w:t>
      </w:r>
      <w:r w:rsidRPr="009475CC">
        <w:rPr>
          <w:rStyle w:val="y2iqfc"/>
          <w:rFonts w:cs="Times New Roman"/>
          <w:szCs w:val="24"/>
        </w:rPr>
        <w:t>.</w:t>
      </w:r>
    </w:p>
    <w:p w14:paraId="272E805F" w14:textId="6D8B3D94" w:rsidR="00096BE2" w:rsidRPr="009475CC" w:rsidRDefault="00096BE2" w:rsidP="006A59B7">
      <w:pPr>
        <w:spacing w:line="240" w:lineRule="auto"/>
        <w:rPr>
          <w:rStyle w:val="y2iqfc"/>
          <w:rFonts w:cs="Times New Roman"/>
          <w:szCs w:val="24"/>
        </w:rPr>
      </w:pPr>
      <w:r w:rsidRPr="009475CC">
        <w:rPr>
          <w:rStyle w:val="y2iqfc"/>
          <w:rFonts w:cs="Times New Roman"/>
          <w:szCs w:val="24"/>
        </w:rPr>
        <w:t xml:space="preserve">-Numri i takimeve/seminareve- </w:t>
      </w:r>
      <w:r w:rsidRPr="009475CC">
        <w:rPr>
          <w:rFonts w:cs="Times New Roman"/>
          <w:szCs w:val="24"/>
        </w:rPr>
        <w:t>12/vit</w:t>
      </w:r>
      <w:r w:rsidRPr="009475CC">
        <w:rPr>
          <w:rStyle w:val="y2iqfc"/>
          <w:rFonts w:cs="Times New Roman"/>
          <w:szCs w:val="24"/>
        </w:rPr>
        <w:t>.</w:t>
      </w:r>
    </w:p>
    <w:p w14:paraId="3DFF8844" w14:textId="44AEAF99" w:rsidR="00096BE2" w:rsidRPr="009475CC" w:rsidRDefault="00096BE2" w:rsidP="006A59B7">
      <w:pPr>
        <w:spacing w:line="240" w:lineRule="auto"/>
        <w:rPr>
          <w:rFonts w:cs="Times New Roman"/>
          <w:szCs w:val="24"/>
        </w:rPr>
      </w:pPr>
      <w:r w:rsidRPr="009475CC">
        <w:rPr>
          <w:rStyle w:val="y2iqfc"/>
          <w:rFonts w:cs="Times New Roman"/>
          <w:szCs w:val="24"/>
        </w:rPr>
        <w:t xml:space="preserve">-Numri i publikimeve - </w:t>
      </w:r>
      <w:r w:rsidRPr="009475CC">
        <w:rPr>
          <w:rFonts w:cs="Times New Roman"/>
          <w:szCs w:val="24"/>
        </w:rPr>
        <w:t>4 publikime/vit</w:t>
      </w:r>
      <w:r w:rsidR="00B9450F">
        <w:rPr>
          <w:rStyle w:val="y2iqfc"/>
          <w:rFonts w:cs="Times New Roman"/>
          <w:szCs w:val="24"/>
        </w:rPr>
        <w:t>.</w:t>
      </w:r>
    </w:p>
    <w:p w14:paraId="1B803A8B" w14:textId="06E1E04E" w:rsidR="006A2D01" w:rsidRPr="00891EDA" w:rsidRDefault="006A2D01" w:rsidP="00FB63B4">
      <w:pPr>
        <w:pStyle w:val="Heading4"/>
        <w:rPr>
          <w:lang w:val="sq-AL"/>
        </w:rPr>
      </w:pPr>
      <w:bookmarkStart w:id="150" w:name="_Toc132277380"/>
      <w:r w:rsidRPr="00891EDA">
        <w:rPr>
          <w:lang w:val="sq-AL"/>
        </w:rPr>
        <w:t>Metrologjia</w:t>
      </w:r>
      <w:bookmarkEnd w:id="150"/>
    </w:p>
    <w:tbl>
      <w:tblPr>
        <w:tblStyle w:val="TableGrid"/>
        <w:tblW w:w="0" w:type="auto"/>
        <w:tblLook w:val="04A0" w:firstRow="1" w:lastRow="0" w:firstColumn="1" w:lastColumn="0" w:noHBand="0" w:noVBand="1"/>
      </w:tblPr>
      <w:tblGrid>
        <w:gridCol w:w="9016"/>
      </w:tblGrid>
      <w:tr w:rsidR="009773DA" w14:paraId="472DE127" w14:textId="77777777" w:rsidTr="009773DA">
        <w:tc>
          <w:tcPr>
            <w:tcW w:w="9016" w:type="dxa"/>
          </w:tcPr>
          <w:p w14:paraId="450D9058" w14:textId="03D6AFC5" w:rsidR="009773DA" w:rsidRDefault="009773DA" w:rsidP="009475CC">
            <w:pPr>
              <w:jc w:val="both"/>
              <w:rPr>
                <w:rFonts w:cs="Times New Roman"/>
                <w:b/>
                <w:iCs/>
                <w:szCs w:val="24"/>
                <w:lang w:val="sq-AL"/>
              </w:rPr>
            </w:pPr>
            <w:r w:rsidRPr="009475CC">
              <w:rPr>
                <w:rFonts w:cs="Times New Roman"/>
                <w:b/>
                <w:iCs/>
                <w:szCs w:val="24"/>
                <w:lang w:val="sq-AL"/>
              </w:rPr>
              <w:t xml:space="preserve">Objektivi </w:t>
            </w:r>
            <w:r w:rsidR="00AC7156">
              <w:rPr>
                <w:rFonts w:cs="Times New Roman"/>
                <w:b/>
                <w:iCs/>
                <w:szCs w:val="24"/>
                <w:lang w:val="sq-AL"/>
              </w:rPr>
              <w:t>14</w:t>
            </w:r>
            <w:r w:rsidRPr="009475CC">
              <w:rPr>
                <w:rFonts w:cs="Times New Roman"/>
                <w:b/>
                <w:iCs/>
                <w:szCs w:val="24"/>
                <w:lang w:val="sq-AL"/>
              </w:rPr>
              <w:t xml:space="preserve">: </w:t>
            </w:r>
          </w:p>
          <w:p w14:paraId="78E36886" w14:textId="309451A9" w:rsidR="009773DA" w:rsidRPr="009773DA" w:rsidRDefault="009773DA" w:rsidP="009475CC">
            <w:pPr>
              <w:jc w:val="both"/>
              <w:rPr>
                <w:rFonts w:cs="Times New Roman"/>
                <w:bCs/>
                <w:iCs/>
                <w:szCs w:val="24"/>
                <w:lang w:val="sq-AL"/>
              </w:rPr>
            </w:pPr>
            <w:r w:rsidRPr="009475CC">
              <w:rPr>
                <w:rFonts w:cs="Times New Roman"/>
                <w:bCs/>
                <w:iCs/>
                <w:szCs w:val="24"/>
                <w:lang w:val="sq-AL"/>
              </w:rPr>
              <w:t xml:space="preserve">Përmirësimi i legjislacionit dhe harmonizimi i tij me legjislacionin Europian. </w:t>
            </w:r>
          </w:p>
        </w:tc>
      </w:tr>
    </w:tbl>
    <w:p w14:paraId="6944D3FE" w14:textId="77777777" w:rsidR="009773DA" w:rsidRDefault="009773DA" w:rsidP="009475CC">
      <w:pPr>
        <w:spacing w:after="0" w:line="240" w:lineRule="auto"/>
        <w:jc w:val="both"/>
        <w:rPr>
          <w:rFonts w:cs="Times New Roman"/>
          <w:b/>
          <w:iCs/>
          <w:szCs w:val="24"/>
          <w:lang w:val="sq-AL"/>
        </w:rPr>
      </w:pPr>
    </w:p>
    <w:p w14:paraId="061F999D" w14:textId="5BA4F7E9" w:rsidR="006A2D01" w:rsidRPr="009475CC" w:rsidRDefault="006574D1" w:rsidP="009773DA">
      <w:pPr>
        <w:spacing w:line="240" w:lineRule="auto"/>
        <w:jc w:val="both"/>
        <w:rPr>
          <w:rFonts w:cs="Times New Roman"/>
          <w:szCs w:val="24"/>
        </w:rPr>
      </w:pPr>
      <w:r w:rsidRPr="009475CC">
        <w:rPr>
          <w:rFonts w:cs="Times New Roman"/>
          <w:b/>
          <w:bCs/>
          <w:szCs w:val="24"/>
        </w:rPr>
        <w:t xml:space="preserve">Masa </w:t>
      </w:r>
      <w:r w:rsidR="009773DA">
        <w:rPr>
          <w:rFonts w:cs="Times New Roman"/>
          <w:b/>
          <w:bCs/>
          <w:szCs w:val="24"/>
        </w:rPr>
        <w:t>14.</w:t>
      </w:r>
      <w:r w:rsidRPr="009475CC">
        <w:rPr>
          <w:rFonts w:cs="Times New Roman"/>
          <w:b/>
          <w:bCs/>
          <w:szCs w:val="24"/>
        </w:rPr>
        <w:t>1:</w:t>
      </w:r>
      <w:r>
        <w:rPr>
          <w:rFonts w:cs="Times New Roman"/>
          <w:szCs w:val="24"/>
        </w:rPr>
        <w:t xml:space="preserve"> </w:t>
      </w:r>
      <w:r w:rsidR="006A2D01" w:rsidRPr="009475CC">
        <w:rPr>
          <w:rFonts w:cs="Times New Roman"/>
          <w:szCs w:val="24"/>
        </w:rPr>
        <w:t>Rishikimi i ligjit ekzistues “Për metrologjinë” duke marrë në konsideratë problematikën e vërejtur gjatë periudhës në zbatim të k</w:t>
      </w:r>
      <w:r w:rsidR="00920532">
        <w:rPr>
          <w:rFonts w:cs="Times New Roman"/>
          <w:szCs w:val="24"/>
        </w:rPr>
        <w:t>ë</w:t>
      </w:r>
      <w:r w:rsidR="006A2D01" w:rsidRPr="009475CC">
        <w:rPr>
          <w:rFonts w:cs="Times New Roman"/>
          <w:szCs w:val="24"/>
        </w:rPr>
        <w:t>tij ligji dhe duke u mbështetur në raportin e Kontrollit t</w:t>
      </w:r>
      <w:r>
        <w:rPr>
          <w:rFonts w:cs="Times New Roman"/>
          <w:szCs w:val="24"/>
        </w:rPr>
        <w:t>ë</w:t>
      </w:r>
      <w:r w:rsidR="006A2D01" w:rsidRPr="009475CC">
        <w:rPr>
          <w:rFonts w:cs="Times New Roman"/>
          <w:szCs w:val="24"/>
        </w:rPr>
        <w:t xml:space="preserve"> Lart</w:t>
      </w:r>
      <w:r>
        <w:rPr>
          <w:rFonts w:cs="Times New Roman"/>
          <w:szCs w:val="24"/>
        </w:rPr>
        <w:t>ë</w:t>
      </w:r>
      <w:r w:rsidR="006A2D01" w:rsidRPr="009475CC">
        <w:rPr>
          <w:rFonts w:cs="Times New Roman"/>
          <w:szCs w:val="24"/>
        </w:rPr>
        <w:t xml:space="preserve"> t</w:t>
      </w:r>
      <w:r>
        <w:rPr>
          <w:rFonts w:cs="Times New Roman"/>
          <w:szCs w:val="24"/>
        </w:rPr>
        <w:t>ë</w:t>
      </w:r>
      <w:r w:rsidR="006A2D01" w:rsidRPr="009475CC">
        <w:rPr>
          <w:rFonts w:cs="Times New Roman"/>
          <w:szCs w:val="24"/>
        </w:rPr>
        <w:t xml:space="preserve"> Shtetit.</w:t>
      </w:r>
    </w:p>
    <w:p w14:paraId="0554CCD1" w14:textId="5E21B9AF" w:rsidR="006A2D01" w:rsidRPr="009475CC" w:rsidRDefault="006574D1" w:rsidP="009773DA">
      <w:pPr>
        <w:pStyle w:val="Default"/>
        <w:spacing w:after="160"/>
        <w:jc w:val="both"/>
        <w:rPr>
          <w:bCs/>
          <w:iCs/>
        </w:rPr>
      </w:pPr>
      <w:r w:rsidRPr="009475CC">
        <w:rPr>
          <w:b/>
          <w:bCs/>
        </w:rPr>
        <w:lastRenderedPageBreak/>
        <w:t xml:space="preserve">Masa </w:t>
      </w:r>
      <w:r w:rsidR="009773DA">
        <w:rPr>
          <w:b/>
          <w:bCs/>
        </w:rPr>
        <w:t>14.</w:t>
      </w:r>
      <w:r w:rsidRPr="009475CC">
        <w:rPr>
          <w:b/>
          <w:bCs/>
        </w:rPr>
        <w:t>2:</w:t>
      </w:r>
      <w:r w:rsidR="006A2D01" w:rsidRPr="009475CC">
        <w:t xml:space="preserve"> Rishikimi i VKM-së për miratimin e rregullores “</w:t>
      </w:r>
      <w:r w:rsidR="006A2D01" w:rsidRPr="009773DA">
        <w:rPr>
          <w:i/>
          <w:iCs/>
        </w:rPr>
        <w:t>Për kërkesat teknike dhe metrologjike të instrumentave matës ligjërisht të kontrolluar</w:t>
      </w:r>
      <w:r w:rsidR="006A2D01" w:rsidRPr="009475CC">
        <w:t xml:space="preserve">”, për harmonizimin me </w:t>
      </w:r>
      <w:r w:rsidR="00920532">
        <w:t>D</w:t>
      </w:r>
      <w:r w:rsidR="006A2D01" w:rsidRPr="009475CC">
        <w:t xml:space="preserve">irektivat </w:t>
      </w:r>
      <w:r w:rsidR="006A2D01" w:rsidRPr="009475CC">
        <w:rPr>
          <w:bCs/>
          <w:iCs/>
        </w:rPr>
        <w:t>2014/32 EU, 2014/31 EC dhe rregulloreve t</w:t>
      </w:r>
      <w:r w:rsidR="00920532">
        <w:rPr>
          <w:bCs/>
          <w:iCs/>
        </w:rPr>
        <w:t>ë</w:t>
      </w:r>
      <w:r w:rsidR="006A2D01" w:rsidRPr="009475CC">
        <w:rPr>
          <w:bCs/>
          <w:iCs/>
        </w:rPr>
        <w:t xml:space="preserve"> Ministrit </w:t>
      </w:r>
      <w:r w:rsidR="00920532">
        <w:rPr>
          <w:bCs/>
          <w:iCs/>
        </w:rPr>
        <w:t>“</w:t>
      </w:r>
      <w:r w:rsidR="006A2D01" w:rsidRPr="009773DA">
        <w:rPr>
          <w:bCs/>
          <w:i/>
        </w:rPr>
        <w:t>P</w:t>
      </w:r>
      <w:r w:rsidR="00920532" w:rsidRPr="009773DA">
        <w:rPr>
          <w:bCs/>
          <w:i/>
        </w:rPr>
        <w:t>ë</w:t>
      </w:r>
      <w:r w:rsidR="006A2D01" w:rsidRPr="009773DA">
        <w:rPr>
          <w:bCs/>
          <w:i/>
        </w:rPr>
        <w:t>r miratim tipi t</w:t>
      </w:r>
      <w:r w:rsidR="00920532" w:rsidRPr="009773DA">
        <w:rPr>
          <w:bCs/>
          <w:i/>
        </w:rPr>
        <w:t>ë</w:t>
      </w:r>
      <w:r w:rsidR="006A2D01" w:rsidRPr="009773DA">
        <w:rPr>
          <w:bCs/>
          <w:i/>
        </w:rPr>
        <w:t xml:space="preserve"> instrumenteve mat</w:t>
      </w:r>
      <w:r w:rsidR="00920532" w:rsidRPr="009773DA">
        <w:rPr>
          <w:bCs/>
          <w:i/>
        </w:rPr>
        <w:t>ë</w:t>
      </w:r>
      <w:r w:rsidR="006A2D01" w:rsidRPr="009773DA">
        <w:rPr>
          <w:bCs/>
          <w:i/>
        </w:rPr>
        <w:t>s ligj</w:t>
      </w:r>
      <w:r w:rsidR="00920532" w:rsidRPr="009773DA">
        <w:rPr>
          <w:bCs/>
          <w:i/>
        </w:rPr>
        <w:t>ë</w:t>
      </w:r>
      <w:r w:rsidR="006A2D01" w:rsidRPr="009773DA">
        <w:rPr>
          <w:bCs/>
          <w:i/>
        </w:rPr>
        <w:t>risht t</w:t>
      </w:r>
      <w:r w:rsidR="00920532" w:rsidRPr="009773DA">
        <w:rPr>
          <w:bCs/>
          <w:i/>
        </w:rPr>
        <w:t>ë</w:t>
      </w:r>
      <w:r w:rsidR="006A2D01" w:rsidRPr="009773DA">
        <w:rPr>
          <w:bCs/>
          <w:i/>
        </w:rPr>
        <w:t xml:space="preserve"> kontrolluar</w:t>
      </w:r>
      <w:r w:rsidR="00920532">
        <w:rPr>
          <w:bCs/>
          <w:iCs/>
        </w:rPr>
        <w:t>”</w:t>
      </w:r>
      <w:r w:rsidR="006A2D01" w:rsidRPr="009475CC">
        <w:rPr>
          <w:bCs/>
          <w:iCs/>
        </w:rPr>
        <w:t xml:space="preserve"> dhe </w:t>
      </w:r>
      <w:r w:rsidR="00920532">
        <w:rPr>
          <w:bCs/>
          <w:iCs/>
        </w:rPr>
        <w:t>“</w:t>
      </w:r>
      <w:r w:rsidR="006A2D01" w:rsidRPr="009773DA">
        <w:rPr>
          <w:bCs/>
          <w:i/>
        </w:rPr>
        <w:t>Verifikim fille</w:t>
      </w:r>
      <w:r w:rsidR="009773DA" w:rsidRPr="009773DA">
        <w:rPr>
          <w:bCs/>
          <w:i/>
        </w:rPr>
        <w:t>s</w:t>
      </w:r>
      <w:r w:rsidR="006A2D01" w:rsidRPr="009773DA">
        <w:rPr>
          <w:bCs/>
          <w:i/>
        </w:rPr>
        <w:t>tar dhe pasardh</w:t>
      </w:r>
      <w:r w:rsidR="00920532" w:rsidRPr="009773DA">
        <w:rPr>
          <w:bCs/>
          <w:i/>
        </w:rPr>
        <w:t>ë</w:t>
      </w:r>
      <w:r w:rsidR="006A2D01" w:rsidRPr="009773DA">
        <w:rPr>
          <w:bCs/>
          <w:i/>
        </w:rPr>
        <w:t>s i instrumenteve mat</w:t>
      </w:r>
      <w:r w:rsidR="00920532" w:rsidRPr="009773DA">
        <w:rPr>
          <w:bCs/>
          <w:i/>
        </w:rPr>
        <w:t>ë</w:t>
      </w:r>
      <w:r w:rsidR="006A2D01" w:rsidRPr="009773DA">
        <w:rPr>
          <w:bCs/>
          <w:i/>
        </w:rPr>
        <w:t>s ligj</w:t>
      </w:r>
      <w:r w:rsidR="00920532" w:rsidRPr="009773DA">
        <w:rPr>
          <w:bCs/>
          <w:i/>
        </w:rPr>
        <w:t>ë</w:t>
      </w:r>
      <w:r w:rsidR="006A2D01" w:rsidRPr="009773DA">
        <w:rPr>
          <w:bCs/>
          <w:i/>
        </w:rPr>
        <w:t>risht te kontrolluar</w:t>
      </w:r>
      <w:r w:rsidR="00920532">
        <w:rPr>
          <w:bCs/>
          <w:iCs/>
        </w:rPr>
        <w:t>”</w:t>
      </w:r>
      <w:r w:rsidR="006A2D01" w:rsidRPr="009475CC">
        <w:rPr>
          <w:bCs/>
          <w:iCs/>
        </w:rPr>
        <w:t xml:space="preserve"> </w:t>
      </w:r>
      <w:r w:rsidR="006A2D01" w:rsidRPr="009475CC">
        <w:t xml:space="preserve">për harmonizimin me </w:t>
      </w:r>
      <w:r w:rsidR="00920532">
        <w:t>D</w:t>
      </w:r>
      <w:r w:rsidR="006A2D01" w:rsidRPr="009475CC">
        <w:t xml:space="preserve">irektiven </w:t>
      </w:r>
      <w:r w:rsidR="006A2D01" w:rsidRPr="009475CC">
        <w:rPr>
          <w:bCs/>
          <w:iCs/>
        </w:rPr>
        <w:t>2009/34/EC.</w:t>
      </w:r>
    </w:p>
    <w:p w14:paraId="014C2EC7" w14:textId="0C97FD97" w:rsidR="006A2D01" w:rsidRPr="00431372" w:rsidRDefault="006574D1" w:rsidP="009773DA">
      <w:pPr>
        <w:spacing w:line="240" w:lineRule="auto"/>
        <w:jc w:val="both"/>
        <w:rPr>
          <w:rFonts w:cs="Times New Roman"/>
          <w:bCs/>
          <w:iCs/>
          <w:szCs w:val="24"/>
        </w:rPr>
      </w:pPr>
      <w:r w:rsidRPr="00431372">
        <w:rPr>
          <w:rFonts w:cs="Times New Roman"/>
          <w:b/>
          <w:bCs/>
          <w:szCs w:val="24"/>
        </w:rPr>
        <w:t xml:space="preserve">Masa </w:t>
      </w:r>
      <w:r w:rsidR="009773DA">
        <w:rPr>
          <w:rFonts w:cs="Times New Roman"/>
          <w:b/>
          <w:bCs/>
          <w:szCs w:val="24"/>
        </w:rPr>
        <w:t>14.</w:t>
      </w:r>
      <w:r w:rsidRPr="00431372">
        <w:rPr>
          <w:rFonts w:cs="Times New Roman"/>
          <w:b/>
          <w:bCs/>
          <w:szCs w:val="24"/>
        </w:rPr>
        <w:t>3:</w:t>
      </w:r>
      <w:r w:rsidRPr="00431372">
        <w:rPr>
          <w:rFonts w:cs="Times New Roman"/>
          <w:szCs w:val="24"/>
        </w:rPr>
        <w:t xml:space="preserve"> </w:t>
      </w:r>
      <w:r w:rsidR="006A2D01" w:rsidRPr="00431372">
        <w:rPr>
          <w:rFonts w:cs="Times New Roman"/>
          <w:szCs w:val="24"/>
        </w:rPr>
        <w:t>Rishikimi i VKM-së për nj</w:t>
      </w:r>
      <w:r w:rsidR="00431372">
        <w:rPr>
          <w:rFonts w:cs="Times New Roman"/>
          <w:szCs w:val="24"/>
        </w:rPr>
        <w:t>ë</w:t>
      </w:r>
      <w:r w:rsidR="006A2D01" w:rsidRPr="00431372">
        <w:rPr>
          <w:rFonts w:cs="Times New Roman"/>
          <w:szCs w:val="24"/>
        </w:rPr>
        <w:t>sit</w:t>
      </w:r>
      <w:r w:rsidR="00431372">
        <w:rPr>
          <w:rFonts w:cs="Times New Roman"/>
          <w:szCs w:val="24"/>
        </w:rPr>
        <w:t>ë</w:t>
      </w:r>
      <w:r w:rsidR="006A2D01" w:rsidRPr="00431372">
        <w:rPr>
          <w:rFonts w:cs="Times New Roman"/>
          <w:szCs w:val="24"/>
        </w:rPr>
        <w:t xml:space="preserve"> baz</w:t>
      </w:r>
      <w:r w:rsidR="00431372">
        <w:rPr>
          <w:rFonts w:cs="Times New Roman"/>
          <w:szCs w:val="24"/>
        </w:rPr>
        <w:t>ë</w:t>
      </w:r>
      <w:r w:rsidR="006A2D01" w:rsidRPr="00431372">
        <w:rPr>
          <w:rFonts w:cs="Times New Roman"/>
          <w:szCs w:val="24"/>
        </w:rPr>
        <w:t xml:space="preserve"> t</w:t>
      </w:r>
      <w:r w:rsidR="00431372">
        <w:rPr>
          <w:rFonts w:cs="Times New Roman"/>
          <w:szCs w:val="24"/>
        </w:rPr>
        <w:t>ë</w:t>
      </w:r>
      <w:r w:rsidR="006A2D01" w:rsidRPr="00431372">
        <w:rPr>
          <w:rFonts w:cs="Times New Roman"/>
          <w:szCs w:val="24"/>
        </w:rPr>
        <w:t xml:space="preserve"> sistemit nd</w:t>
      </w:r>
      <w:r w:rsidR="00431372">
        <w:rPr>
          <w:rFonts w:cs="Times New Roman"/>
          <w:szCs w:val="24"/>
        </w:rPr>
        <w:t>ë</w:t>
      </w:r>
      <w:r w:rsidR="006A2D01" w:rsidRPr="00431372">
        <w:rPr>
          <w:rFonts w:cs="Times New Roman"/>
          <w:szCs w:val="24"/>
        </w:rPr>
        <w:t>rkomb</w:t>
      </w:r>
      <w:r w:rsidR="00431372">
        <w:rPr>
          <w:rFonts w:cs="Times New Roman"/>
          <w:szCs w:val="24"/>
        </w:rPr>
        <w:t>ë</w:t>
      </w:r>
      <w:r w:rsidR="006A2D01" w:rsidRPr="00431372">
        <w:rPr>
          <w:rFonts w:cs="Times New Roman"/>
          <w:szCs w:val="24"/>
        </w:rPr>
        <w:t>tar t</w:t>
      </w:r>
      <w:r w:rsidR="00431372">
        <w:rPr>
          <w:rFonts w:cs="Times New Roman"/>
          <w:szCs w:val="24"/>
        </w:rPr>
        <w:t>ë</w:t>
      </w:r>
      <w:r w:rsidR="006A2D01" w:rsidRPr="00431372">
        <w:rPr>
          <w:rFonts w:cs="Times New Roman"/>
          <w:szCs w:val="24"/>
        </w:rPr>
        <w:t xml:space="preserve"> nj</w:t>
      </w:r>
      <w:r w:rsidR="00431372">
        <w:rPr>
          <w:rFonts w:cs="Times New Roman"/>
          <w:szCs w:val="24"/>
        </w:rPr>
        <w:t>ë</w:t>
      </w:r>
      <w:r w:rsidR="006A2D01" w:rsidRPr="00431372">
        <w:rPr>
          <w:rFonts w:cs="Times New Roman"/>
          <w:szCs w:val="24"/>
        </w:rPr>
        <w:t xml:space="preserve">sive  për harmonizimin me </w:t>
      </w:r>
      <w:r w:rsidR="00431372">
        <w:rPr>
          <w:rFonts w:cs="Times New Roman"/>
          <w:szCs w:val="24"/>
        </w:rPr>
        <w:t>D</w:t>
      </w:r>
      <w:r w:rsidR="006A2D01" w:rsidRPr="00431372">
        <w:rPr>
          <w:rFonts w:cs="Times New Roman"/>
          <w:szCs w:val="24"/>
        </w:rPr>
        <w:t>irektiv</w:t>
      </w:r>
      <w:r w:rsidR="00431372">
        <w:rPr>
          <w:rFonts w:cs="Times New Roman"/>
          <w:szCs w:val="24"/>
        </w:rPr>
        <w:t>ë</w:t>
      </w:r>
      <w:r w:rsidR="006A2D01" w:rsidRPr="00431372">
        <w:rPr>
          <w:rFonts w:cs="Times New Roman"/>
          <w:szCs w:val="24"/>
        </w:rPr>
        <w:t xml:space="preserve">n </w:t>
      </w:r>
      <w:r w:rsidR="006A2D01" w:rsidRPr="00431372">
        <w:rPr>
          <w:rFonts w:cs="Times New Roman"/>
          <w:szCs w:val="24"/>
          <w:shd w:val="clear" w:color="auto" w:fill="FFFFFF"/>
        </w:rPr>
        <w:t>2019/1258</w:t>
      </w:r>
      <w:r w:rsidR="006A2D01" w:rsidRPr="00431372">
        <w:rPr>
          <w:rFonts w:cs="Times New Roman"/>
          <w:bCs/>
          <w:iCs/>
          <w:szCs w:val="24"/>
        </w:rPr>
        <w:t>.</w:t>
      </w:r>
    </w:p>
    <w:p w14:paraId="62AB4B5A" w14:textId="3DE832FE" w:rsidR="006A2D01" w:rsidRPr="009475CC" w:rsidRDefault="006574D1" w:rsidP="009773DA">
      <w:pPr>
        <w:shd w:val="clear" w:color="auto" w:fill="FCFCFC"/>
        <w:spacing w:line="240" w:lineRule="auto"/>
        <w:jc w:val="both"/>
        <w:textAlignment w:val="baseline"/>
        <w:rPr>
          <w:rFonts w:cs="Times New Roman"/>
          <w:szCs w:val="24"/>
          <w:shd w:val="clear" w:color="auto" w:fill="FFFFFF"/>
        </w:rPr>
      </w:pPr>
      <w:r w:rsidRPr="00431372">
        <w:rPr>
          <w:rFonts w:cs="Times New Roman"/>
          <w:b/>
          <w:iCs/>
          <w:szCs w:val="24"/>
        </w:rPr>
        <w:t xml:space="preserve">Masa </w:t>
      </w:r>
      <w:r w:rsidR="009773DA">
        <w:rPr>
          <w:rFonts w:cs="Times New Roman"/>
          <w:b/>
          <w:iCs/>
          <w:szCs w:val="24"/>
        </w:rPr>
        <w:t>14.</w:t>
      </w:r>
      <w:r w:rsidRPr="00431372">
        <w:rPr>
          <w:rFonts w:cs="Times New Roman"/>
          <w:b/>
          <w:iCs/>
          <w:szCs w:val="24"/>
        </w:rPr>
        <w:t>4</w:t>
      </w:r>
      <w:r w:rsidRPr="00431372">
        <w:rPr>
          <w:rFonts w:cs="Times New Roman"/>
          <w:bCs/>
          <w:iCs/>
          <w:szCs w:val="24"/>
        </w:rPr>
        <w:t>:</w:t>
      </w:r>
      <w:r w:rsidR="006A2D01" w:rsidRPr="00431372">
        <w:rPr>
          <w:rFonts w:cs="Times New Roman"/>
          <w:szCs w:val="24"/>
        </w:rPr>
        <w:t xml:space="preserve"> Rishikimi i VKM-së për rregulloren e parapaketimeve për harmonizimin me </w:t>
      </w:r>
      <w:r w:rsidR="00431372">
        <w:rPr>
          <w:rFonts w:cs="Times New Roman"/>
          <w:szCs w:val="24"/>
        </w:rPr>
        <w:t>Di</w:t>
      </w:r>
      <w:r w:rsidR="006A2D01" w:rsidRPr="00431372">
        <w:rPr>
          <w:rFonts w:cs="Times New Roman"/>
          <w:szCs w:val="24"/>
        </w:rPr>
        <w:t xml:space="preserve">rektivat </w:t>
      </w:r>
      <w:r w:rsidR="006A2D01" w:rsidRPr="00431372">
        <w:rPr>
          <w:rFonts w:cs="Times New Roman"/>
          <w:bCs/>
          <w:iCs/>
          <w:szCs w:val="24"/>
        </w:rPr>
        <w:t>2007/45/EC dhe 76/211/</w:t>
      </w:r>
      <w:r w:rsidR="006A2D01" w:rsidRPr="00431372">
        <w:rPr>
          <w:rFonts w:cs="Times New Roman"/>
          <w:szCs w:val="24"/>
          <w:shd w:val="clear" w:color="auto" w:fill="FFFFFF"/>
        </w:rPr>
        <w:t>EEC.</w:t>
      </w:r>
    </w:p>
    <w:p w14:paraId="23874C16" w14:textId="4D530AA0" w:rsidR="009773DA" w:rsidRDefault="006574D1" w:rsidP="009773DA">
      <w:pPr>
        <w:pStyle w:val="Default"/>
        <w:spacing w:after="160"/>
        <w:jc w:val="both"/>
      </w:pPr>
      <w:r w:rsidRPr="00F32E3B">
        <w:rPr>
          <w:b/>
          <w:bCs/>
        </w:rPr>
        <w:t>Indikatorë</w:t>
      </w:r>
      <w:r w:rsidR="009773DA">
        <w:rPr>
          <w:b/>
          <w:bCs/>
        </w:rPr>
        <w:t>t</w:t>
      </w:r>
      <w:r w:rsidRPr="00F32E3B">
        <w:rPr>
          <w:b/>
          <w:bCs/>
        </w:rPr>
        <w:t>:</w:t>
      </w:r>
      <w:r>
        <w:t xml:space="preserve"> </w:t>
      </w:r>
    </w:p>
    <w:p w14:paraId="68D3C67B" w14:textId="51F84472" w:rsidR="009773DA" w:rsidRDefault="009773DA" w:rsidP="009773DA">
      <w:pPr>
        <w:pStyle w:val="Default"/>
        <w:spacing w:after="160"/>
        <w:jc w:val="both"/>
      </w:pPr>
      <w:r>
        <w:t xml:space="preserve">- Miratimi i ligjit të rishikuar </w:t>
      </w:r>
      <w:r w:rsidRPr="009475CC">
        <w:t>“Për metrologjinë”</w:t>
      </w:r>
      <w:r>
        <w:t xml:space="preserve"> </w:t>
      </w:r>
    </w:p>
    <w:p w14:paraId="40A41F61" w14:textId="5E9EAA06" w:rsidR="009773DA" w:rsidRDefault="009773DA" w:rsidP="009773DA">
      <w:pPr>
        <w:pStyle w:val="Default"/>
        <w:spacing w:after="160"/>
        <w:jc w:val="both"/>
      </w:pPr>
      <w:r>
        <w:t xml:space="preserve">- Miratimi i VKM-së së rishikuar </w:t>
      </w:r>
      <w:r w:rsidRPr="009475CC">
        <w:t>për miratimin e rregullores “</w:t>
      </w:r>
      <w:r w:rsidRPr="009773DA">
        <w:rPr>
          <w:i/>
          <w:iCs/>
        </w:rPr>
        <w:t>Për kërkesat teknike dhe metrologjike të instrumentave matës ligjërisht të kontrolluar</w:t>
      </w:r>
      <w:r w:rsidRPr="009475CC">
        <w:t xml:space="preserve">”, </w:t>
      </w:r>
      <w:r w:rsidRPr="009475CC">
        <w:rPr>
          <w:bCs/>
          <w:iCs/>
        </w:rPr>
        <w:t>dhe rregulloreve t</w:t>
      </w:r>
      <w:r>
        <w:rPr>
          <w:bCs/>
          <w:iCs/>
        </w:rPr>
        <w:t>ë</w:t>
      </w:r>
      <w:r w:rsidRPr="009475CC">
        <w:rPr>
          <w:bCs/>
          <w:iCs/>
        </w:rPr>
        <w:t xml:space="preserve"> Ministrit </w:t>
      </w:r>
      <w:r>
        <w:rPr>
          <w:bCs/>
          <w:iCs/>
        </w:rPr>
        <w:t>“</w:t>
      </w:r>
      <w:r w:rsidRPr="009773DA">
        <w:rPr>
          <w:bCs/>
          <w:i/>
        </w:rPr>
        <w:t>Për miratim tipi të instrumenteve matës ligjërisht të kontrolluar</w:t>
      </w:r>
      <w:r>
        <w:rPr>
          <w:bCs/>
          <w:iCs/>
        </w:rPr>
        <w:t>”</w:t>
      </w:r>
      <w:r w:rsidRPr="009475CC">
        <w:rPr>
          <w:bCs/>
          <w:iCs/>
        </w:rPr>
        <w:t xml:space="preserve"> dhe </w:t>
      </w:r>
      <w:r>
        <w:rPr>
          <w:bCs/>
          <w:iCs/>
        </w:rPr>
        <w:t>“</w:t>
      </w:r>
      <w:r w:rsidRPr="009773DA">
        <w:rPr>
          <w:bCs/>
          <w:i/>
        </w:rPr>
        <w:t>Verifikim fillestar dhe pasardhës i instrumenteve matës ligjërisht te kontrolluar</w:t>
      </w:r>
      <w:r>
        <w:rPr>
          <w:bCs/>
          <w:iCs/>
        </w:rPr>
        <w:t xml:space="preserve">”, </w:t>
      </w:r>
    </w:p>
    <w:p w14:paraId="3723EE41" w14:textId="2794FE9E" w:rsidR="009773DA" w:rsidRDefault="009773DA" w:rsidP="009773DA">
      <w:pPr>
        <w:pStyle w:val="Default"/>
        <w:spacing w:after="160"/>
        <w:jc w:val="both"/>
      </w:pPr>
      <w:r>
        <w:t xml:space="preserve">- Miratimi i </w:t>
      </w:r>
      <w:r w:rsidRPr="00431372">
        <w:t>VKM-së për nj</w:t>
      </w:r>
      <w:r>
        <w:t>ë</w:t>
      </w:r>
      <w:r w:rsidRPr="00431372">
        <w:t>sit</w:t>
      </w:r>
      <w:r>
        <w:t>ë</w:t>
      </w:r>
      <w:r w:rsidRPr="00431372">
        <w:t xml:space="preserve"> baz</w:t>
      </w:r>
      <w:r>
        <w:t>ë</w:t>
      </w:r>
      <w:r w:rsidRPr="00431372">
        <w:t xml:space="preserve"> t</w:t>
      </w:r>
      <w:r>
        <w:t>ë</w:t>
      </w:r>
      <w:r w:rsidRPr="00431372">
        <w:t xml:space="preserve"> sistemit nd</w:t>
      </w:r>
      <w:r>
        <w:t>ë</w:t>
      </w:r>
      <w:r w:rsidRPr="00431372">
        <w:t>rkomb</w:t>
      </w:r>
      <w:r>
        <w:t>ë</w:t>
      </w:r>
      <w:r w:rsidRPr="00431372">
        <w:t>tar t</w:t>
      </w:r>
      <w:r>
        <w:t>ë</w:t>
      </w:r>
      <w:r w:rsidRPr="00431372">
        <w:t xml:space="preserve"> nj</w:t>
      </w:r>
      <w:r>
        <w:t>ë</w:t>
      </w:r>
      <w:r w:rsidRPr="00431372">
        <w:t>sive</w:t>
      </w:r>
      <w:r w:rsidR="00691404">
        <w:t xml:space="preserve"> </w:t>
      </w:r>
    </w:p>
    <w:p w14:paraId="6ED6D175" w14:textId="6E97C067" w:rsidR="00691404" w:rsidRDefault="00691404" w:rsidP="009773DA">
      <w:pPr>
        <w:pStyle w:val="Default"/>
        <w:spacing w:after="160"/>
        <w:jc w:val="both"/>
      </w:pPr>
      <w:r>
        <w:t xml:space="preserve">- Miratimi i </w:t>
      </w:r>
      <w:r w:rsidRPr="00431372">
        <w:t>VKM-së për rregulloren e parapaketimeve</w:t>
      </w:r>
    </w:p>
    <w:tbl>
      <w:tblPr>
        <w:tblStyle w:val="TableGrid"/>
        <w:tblW w:w="0" w:type="auto"/>
        <w:tblLook w:val="04A0" w:firstRow="1" w:lastRow="0" w:firstColumn="1" w:lastColumn="0" w:noHBand="0" w:noVBand="1"/>
      </w:tblPr>
      <w:tblGrid>
        <w:gridCol w:w="9016"/>
      </w:tblGrid>
      <w:tr w:rsidR="00691404" w14:paraId="094B8C92" w14:textId="77777777" w:rsidTr="00691404">
        <w:tc>
          <w:tcPr>
            <w:tcW w:w="9016" w:type="dxa"/>
          </w:tcPr>
          <w:p w14:paraId="4E894F1A" w14:textId="294F803C" w:rsidR="004A5A4A" w:rsidRDefault="004A5A4A" w:rsidP="004A5A4A">
            <w:pPr>
              <w:jc w:val="both"/>
              <w:rPr>
                <w:rFonts w:cs="Times New Roman"/>
                <w:szCs w:val="24"/>
                <w:lang w:val="sq-AL"/>
              </w:rPr>
            </w:pPr>
            <w:r w:rsidRPr="009475CC">
              <w:rPr>
                <w:rFonts w:cs="Times New Roman"/>
                <w:b/>
                <w:szCs w:val="24"/>
                <w:lang w:val="sq-AL"/>
              </w:rPr>
              <w:t>Objektiv</w:t>
            </w:r>
            <w:r>
              <w:rPr>
                <w:rFonts w:cs="Times New Roman"/>
                <w:b/>
                <w:szCs w:val="24"/>
                <w:lang w:val="sq-AL"/>
              </w:rPr>
              <w:t>i</w:t>
            </w:r>
            <w:r w:rsidRPr="009475CC">
              <w:rPr>
                <w:rFonts w:cs="Times New Roman"/>
                <w:b/>
                <w:szCs w:val="24"/>
                <w:lang w:val="sq-AL"/>
              </w:rPr>
              <w:t xml:space="preserve"> </w:t>
            </w:r>
            <w:r w:rsidR="00AC7156">
              <w:rPr>
                <w:rFonts w:cs="Times New Roman"/>
                <w:b/>
                <w:szCs w:val="24"/>
                <w:lang w:val="sq-AL"/>
              </w:rPr>
              <w:t>15</w:t>
            </w:r>
            <w:r w:rsidRPr="009475CC">
              <w:rPr>
                <w:rFonts w:cs="Times New Roman"/>
                <w:b/>
                <w:szCs w:val="24"/>
                <w:lang w:val="sq-AL"/>
              </w:rPr>
              <w:t>:</w:t>
            </w:r>
            <w:r w:rsidRPr="009475CC">
              <w:rPr>
                <w:rFonts w:cs="Times New Roman"/>
                <w:szCs w:val="24"/>
                <w:lang w:val="sq-AL"/>
              </w:rPr>
              <w:t xml:space="preserve"> </w:t>
            </w:r>
          </w:p>
          <w:p w14:paraId="125C6C40" w14:textId="4C550EA7" w:rsidR="004A5A4A" w:rsidRPr="009475CC" w:rsidRDefault="004A5A4A" w:rsidP="004A5A4A">
            <w:pPr>
              <w:jc w:val="both"/>
              <w:rPr>
                <w:rFonts w:cs="Times New Roman"/>
                <w:szCs w:val="24"/>
                <w:lang w:val="sq-AL"/>
              </w:rPr>
            </w:pPr>
            <w:r w:rsidRPr="009475CC">
              <w:rPr>
                <w:rFonts w:cs="Times New Roman"/>
                <w:szCs w:val="24"/>
                <w:lang w:val="sq-AL"/>
              </w:rPr>
              <w:t>Zgjerimi dhe rritja e cilësisë së shërbimeve metrologjike nëpërmjet arritjes të njohjes ndërkombëtare të tyre akreditimit apo regjistrimit të aftësive matëse dhe kalibruese (CMC) në databazën e të dhënave të Byrosë Ndërkombëtare të Peshave dhe Masave (BIPM KCDB)</w:t>
            </w:r>
            <w:r>
              <w:rPr>
                <w:rFonts w:cs="Times New Roman"/>
                <w:szCs w:val="24"/>
                <w:lang w:val="sq-AL"/>
              </w:rPr>
              <w:t>,</w:t>
            </w:r>
            <w:r w:rsidRPr="009475CC">
              <w:rPr>
                <w:rFonts w:cs="Times New Roman"/>
                <w:szCs w:val="24"/>
                <w:lang w:val="sq-AL"/>
              </w:rPr>
              <w:t xml:space="preserve"> si dhe rritja e shkalles së mbrojtjes së konsumatorëve nga matjet e pasakta nëpërmjet rritjes të numrit të verifikimeve të instrumenteve matës në përdorim.</w:t>
            </w:r>
          </w:p>
          <w:p w14:paraId="5041D9C0" w14:textId="77777777" w:rsidR="00691404" w:rsidRDefault="00691404" w:rsidP="009475CC">
            <w:pPr>
              <w:jc w:val="both"/>
              <w:rPr>
                <w:rFonts w:cs="Times New Roman"/>
                <w:b/>
                <w:szCs w:val="24"/>
                <w:lang w:val="sq-AL"/>
              </w:rPr>
            </w:pPr>
          </w:p>
        </w:tc>
      </w:tr>
    </w:tbl>
    <w:p w14:paraId="673449C0" w14:textId="77777777" w:rsidR="00691404" w:rsidRDefault="00691404" w:rsidP="009475CC">
      <w:pPr>
        <w:spacing w:after="0"/>
        <w:jc w:val="both"/>
        <w:rPr>
          <w:rFonts w:cs="Times New Roman"/>
          <w:b/>
          <w:szCs w:val="24"/>
          <w:lang w:val="sq-AL"/>
        </w:rPr>
      </w:pPr>
    </w:p>
    <w:p w14:paraId="7AC85C41" w14:textId="2D9D927E" w:rsidR="006A2D01" w:rsidRPr="009475CC" w:rsidRDefault="00FD17BB" w:rsidP="004A5A4A">
      <w:pPr>
        <w:spacing w:line="240" w:lineRule="auto"/>
        <w:jc w:val="both"/>
        <w:rPr>
          <w:rFonts w:cs="Times New Roman"/>
          <w:szCs w:val="24"/>
          <w:lang w:val="sq-AL"/>
        </w:rPr>
      </w:pPr>
      <w:r>
        <w:rPr>
          <w:rFonts w:cs="Times New Roman"/>
          <w:b/>
          <w:szCs w:val="24"/>
          <w:lang w:val="sq-AL"/>
        </w:rPr>
        <w:t xml:space="preserve">Masa </w:t>
      </w:r>
      <w:r w:rsidR="004A5A4A">
        <w:rPr>
          <w:rFonts w:cs="Times New Roman"/>
          <w:b/>
          <w:szCs w:val="24"/>
          <w:lang w:val="sq-AL"/>
        </w:rPr>
        <w:t>15.</w:t>
      </w:r>
      <w:r>
        <w:rPr>
          <w:rFonts w:cs="Times New Roman"/>
          <w:b/>
          <w:szCs w:val="24"/>
          <w:lang w:val="sq-AL"/>
        </w:rPr>
        <w:t xml:space="preserve">1: </w:t>
      </w:r>
      <w:r w:rsidR="006A2D01" w:rsidRPr="009475CC">
        <w:rPr>
          <w:rFonts w:cs="Times New Roman"/>
          <w:szCs w:val="24"/>
          <w:lang w:val="sq-AL"/>
        </w:rPr>
        <w:t>Njohja e sistemit të menaxhimit të cilësisë nga EURAMET, akreditimi i laboratorëve sipas fushave përkatëse nga trupa akreditues nënshkrues të MLA te EA në fushën e kalibrimeve/deklarimi në database të BIPM-së të fushave të matjes, zgjerimi i bazës etalonuese në fusha të reja matje për laboratorët kalibrues perkatesisht p</w:t>
      </w:r>
      <w:r w:rsidR="00431372">
        <w:rPr>
          <w:rFonts w:cs="Times New Roman"/>
          <w:szCs w:val="24"/>
          <w:lang w:val="sq-AL"/>
        </w:rPr>
        <w:t>ë</w:t>
      </w:r>
      <w:r w:rsidR="006A2D01" w:rsidRPr="009475CC">
        <w:rPr>
          <w:rFonts w:cs="Times New Roman"/>
          <w:szCs w:val="24"/>
          <w:lang w:val="sq-AL"/>
        </w:rPr>
        <w:t>r fushën e forcës, termometrisë, kimisë (analizuesve të frymës, pH dhe konduktivitetit), fush</w:t>
      </w:r>
      <w:r w:rsidR="00431372">
        <w:rPr>
          <w:rFonts w:cs="Times New Roman"/>
          <w:szCs w:val="24"/>
          <w:lang w:val="sq-AL"/>
        </w:rPr>
        <w:t>ë</w:t>
      </w:r>
      <w:r w:rsidR="006A2D01" w:rsidRPr="009475CC">
        <w:rPr>
          <w:rFonts w:cs="Times New Roman"/>
          <w:szCs w:val="24"/>
          <w:lang w:val="sq-AL"/>
        </w:rPr>
        <w:t>n e volumeve t</w:t>
      </w:r>
      <w:r w:rsidR="00431372">
        <w:rPr>
          <w:rFonts w:cs="Times New Roman"/>
          <w:szCs w:val="24"/>
          <w:lang w:val="sq-AL"/>
        </w:rPr>
        <w:t>ë</w:t>
      </w:r>
      <w:r w:rsidR="006A2D01" w:rsidRPr="009475CC">
        <w:rPr>
          <w:rFonts w:cs="Times New Roman"/>
          <w:szCs w:val="24"/>
          <w:lang w:val="sq-AL"/>
        </w:rPr>
        <w:t xml:space="preserve"> m</w:t>
      </w:r>
      <w:r w:rsidR="00431372">
        <w:rPr>
          <w:rFonts w:cs="Times New Roman"/>
          <w:szCs w:val="24"/>
          <w:lang w:val="sq-AL"/>
        </w:rPr>
        <w:t>ë</w:t>
      </w:r>
      <w:r w:rsidR="006A2D01" w:rsidRPr="009475CC">
        <w:rPr>
          <w:rFonts w:cs="Times New Roman"/>
          <w:szCs w:val="24"/>
          <w:lang w:val="sq-AL"/>
        </w:rPr>
        <w:t>dha,  fushën e gjatësisë.</w:t>
      </w:r>
    </w:p>
    <w:p w14:paraId="738820F9" w14:textId="38223A0F" w:rsidR="006A2D01" w:rsidRPr="009475CC" w:rsidRDefault="00FD17BB" w:rsidP="004A5A4A">
      <w:pPr>
        <w:spacing w:line="240" w:lineRule="auto"/>
        <w:jc w:val="both"/>
        <w:rPr>
          <w:rFonts w:cs="Times New Roman"/>
          <w:szCs w:val="24"/>
          <w:lang w:val="sq-AL"/>
        </w:rPr>
      </w:pPr>
      <w:r>
        <w:rPr>
          <w:rFonts w:cs="Times New Roman"/>
          <w:b/>
          <w:bCs/>
          <w:szCs w:val="24"/>
          <w:lang w:val="sq-AL"/>
        </w:rPr>
        <w:t xml:space="preserve">Masa </w:t>
      </w:r>
      <w:r w:rsidR="004A5A4A">
        <w:rPr>
          <w:rFonts w:cs="Times New Roman"/>
          <w:b/>
          <w:bCs/>
          <w:szCs w:val="24"/>
          <w:lang w:val="sq-AL"/>
        </w:rPr>
        <w:t>15.</w:t>
      </w:r>
      <w:r>
        <w:rPr>
          <w:rFonts w:cs="Times New Roman"/>
          <w:b/>
          <w:bCs/>
          <w:szCs w:val="24"/>
          <w:lang w:val="sq-AL"/>
        </w:rPr>
        <w:t xml:space="preserve">2: </w:t>
      </w:r>
      <w:r w:rsidR="006A2D01" w:rsidRPr="009475CC">
        <w:rPr>
          <w:rFonts w:cs="Times New Roman"/>
          <w:szCs w:val="24"/>
          <w:lang w:val="sq-AL"/>
        </w:rPr>
        <w:t>Zgjerimi i fushave t</w:t>
      </w:r>
      <w:r w:rsidR="00431372">
        <w:rPr>
          <w:rFonts w:cs="Times New Roman"/>
          <w:szCs w:val="24"/>
          <w:lang w:val="sq-AL"/>
        </w:rPr>
        <w:t>ë</w:t>
      </w:r>
      <w:r w:rsidR="006A2D01" w:rsidRPr="009475CC">
        <w:rPr>
          <w:rFonts w:cs="Times New Roman"/>
          <w:szCs w:val="24"/>
          <w:lang w:val="sq-AL"/>
        </w:rPr>
        <w:t xml:space="preserve"> reja, p</w:t>
      </w:r>
      <w:r w:rsidR="00431372">
        <w:rPr>
          <w:rFonts w:cs="Times New Roman"/>
          <w:szCs w:val="24"/>
          <w:lang w:val="sq-AL"/>
        </w:rPr>
        <w:t>ër</w:t>
      </w:r>
      <w:r w:rsidR="006A2D01" w:rsidRPr="009475CC">
        <w:rPr>
          <w:rFonts w:cs="Times New Roman"/>
          <w:szCs w:val="24"/>
          <w:lang w:val="sq-AL"/>
        </w:rPr>
        <w:t>kat</w:t>
      </w:r>
      <w:r w:rsidR="00431372">
        <w:rPr>
          <w:rFonts w:cs="Times New Roman"/>
          <w:szCs w:val="24"/>
          <w:lang w:val="sq-AL"/>
        </w:rPr>
        <w:t xml:space="preserve">ësisht </w:t>
      </w:r>
      <w:r w:rsidR="006A2D01" w:rsidRPr="009475CC">
        <w:rPr>
          <w:rFonts w:cs="Times New Roman"/>
          <w:szCs w:val="24"/>
          <w:lang w:val="sq-AL"/>
        </w:rPr>
        <w:t>p</w:t>
      </w:r>
      <w:r w:rsidR="00431372">
        <w:rPr>
          <w:rFonts w:cs="Times New Roman"/>
          <w:szCs w:val="24"/>
          <w:lang w:val="sq-AL"/>
        </w:rPr>
        <w:t>ë</w:t>
      </w:r>
      <w:r w:rsidR="006A2D01" w:rsidRPr="009475CC">
        <w:rPr>
          <w:rFonts w:cs="Times New Roman"/>
          <w:szCs w:val="24"/>
          <w:lang w:val="sq-AL"/>
        </w:rPr>
        <w:t xml:space="preserve">r ngritjen e një laboratori për “Verifikimin e radarëve të shpejtësisë” si dhe përmirësimin, zgjerimin dhe dublimin e bazës etalonuese në fushën e presionit për “Kryerjen e kalibrimeve/verifikimeve në nivel sekondar të instrumentëve matës të presionit hidraulik dhe pneumatik për subjekte të ndryshme”. </w:t>
      </w:r>
    </w:p>
    <w:p w14:paraId="4865D7EF" w14:textId="57BC460E" w:rsidR="006A2D01" w:rsidRPr="009475CC" w:rsidRDefault="00FD17BB" w:rsidP="004A5A4A">
      <w:pPr>
        <w:spacing w:line="240" w:lineRule="auto"/>
        <w:jc w:val="both"/>
        <w:rPr>
          <w:rFonts w:cs="Times New Roman"/>
          <w:szCs w:val="24"/>
          <w:lang w:val="sq-AL"/>
        </w:rPr>
      </w:pPr>
      <w:r>
        <w:rPr>
          <w:rFonts w:cs="Times New Roman"/>
          <w:b/>
          <w:bCs/>
          <w:szCs w:val="24"/>
          <w:lang w:val="sq-AL"/>
        </w:rPr>
        <w:t xml:space="preserve">Masa </w:t>
      </w:r>
      <w:r w:rsidR="004A5A4A">
        <w:rPr>
          <w:rFonts w:cs="Times New Roman"/>
          <w:b/>
          <w:bCs/>
          <w:szCs w:val="24"/>
          <w:lang w:val="sq-AL"/>
        </w:rPr>
        <w:t>15.</w:t>
      </w:r>
      <w:r>
        <w:rPr>
          <w:rFonts w:cs="Times New Roman"/>
          <w:b/>
          <w:bCs/>
          <w:szCs w:val="24"/>
          <w:lang w:val="sq-AL"/>
        </w:rPr>
        <w:t>3:</w:t>
      </w:r>
      <w:r w:rsidR="004A5A4A">
        <w:rPr>
          <w:rFonts w:cs="Times New Roman"/>
          <w:b/>
          <w:bCs/>
          <w:szCs w:val="24"/>
          <w:lang w:val="sq-AL"/>
        </w:rPr>
        <w:t xml:space="preserve"> </w:t>
      </w:r>
      <w:r w:rsidR="006A2D01" w:rsidRPr="009475CC">
        <w:rPr>
          <w:rFonts w:cs="Times New Roman"/>
          <w:szCs w:val="24"/>
          <w:lang w:val="sq-AL"/>
        </w:rPr>
        <w:t xml:space="preserve">Kryerja e verifikimeve periodike të instrumenteve matës në përdorim në masën 2% për çdo vit paraardhës duke ju referuar zbatimit të sistemit të menaxhimit të cilësisë  ne sektorët e shërbimit në Tiranë, Korcë, Lezhë dhe Fier. </w:t>
      </w:r>
    </w:p>
    <w:p w14:paraId="6EDFF0D5" w14:textId="77777777" w:rsidR="004A5A4A" w:rsidRDefault="00FD17BB" w:rsidP="004A5A4A">
      <w:pPr>
        <w:pStyle w:val="Default"/>
        <w:spacing w:after="160"/>
        <w:jc w:val="both"/>
        <w:rPr>
          <w:b/>
          <w:bCs/>
        </w:rPr>
      </w:pPr>
      <w:r>
        <w:rPr>
          <w:b/>
          <w:bCs/>
        </w:rPr>
        <w:t>Indikatorë</w:t>
      </w:r>
      <w:r w:rsidR="004A5A4A">
        <w:rPr>
          <w:b/>
          <w:bCs/>
        </w:rPr>
        <w:t>t</w:t>
      </w:r>
      <w:r>
        <w:rPr>
          <w:b/>
          <w:bCs/>
        </w:rPr>
        <w:t>:</w:t>
      </w:r>
    </w:p>
    <w:p w14:paraId="24E0A685" w14:textId="3D054EF3" w:rsidR="006A2D01" w:rsidRPr="009475CC" w:rsidRDefault="006A2D01" w:rsidP="004A5A4A">
      <w:pPr>
        <w:pStyle w:val="Default"/>
        <w:spacing w:after="160"/>
        <w:jc w:val="both"/>
      </w:pPr>
      <w:r w:rsidRPr="009475CC">
        <w:t>-</w:t>
      </w:r>
      <w:r w:rsidR="004A5A4A">
        <w:t xml:space="preserve"> </w:t>
      </w:r>
      <w:r w:rsidRPr="009475CC">
        <w:t>Akreditimi i 5 laboratoreve kalibrues</w:t>
      </w:r>
    </w:p>
    <w:p w14:paraId="5960FDE1" w14:textId="3A0C8BFB" w:rsidR="006A2D01" w:rsidRPr="009475CC" w:rsidRDefault="006A2D01" w:rsidP="004A5A4A">
      <w:pPr>
        <w:pStyle w:val="Default"/>
        <w:spacing w:after="160"/>
        <w:jc w:val="both"/>
      </w:pPr>
      <w:r w:rsidRPr="009475CC">
        <w:t>-</w:t>
      </w:r>
      <w:r w:rsidR="004A5A4A">
        <w:t xml:space="preserve"> </w:t>
      </w:r>
      <w:r w:rsidRPr="009475CC">
        <w:t>Zgjerimi me dy fusha t</w:t>
      </w:r>
      <w:r w:rsidR="004A5A4A">
        <w:rPr>
          <w:lang w:val="sq-AL"/>
        </w:rPr>
        <w:t>ë</w:t>
      </w:r>
      <w:r w:rsidRPr="009475CC">
        <w:t xml:space="preserve"> reja t</w:t>
      </w:r>
      <w:r w:rsidR="004A5A4A">
        <w:rPr>
          <w:lang w:val="sq-AL"/>
        </w:rPr>
        <w:t>ë</w:t>
      </w:r>
      <w:r w:rsidRPr="009475CC">
        <w:t xml:space="preserve"> laborator</w:t>
      </w:r>
      <w:r w:rsidR="004A5A4A">
        <w:rPr>
          <w:lang w:val="sq-AL"/>
        </w:rPr>
        <w:t>ë</w:t>
      </w:r>
      <w:r w:rsidRPr="009475CC">
        <w:t>ve kalibrues</w:t>
      </w:r>
    </w:p>
    <w:p w14:paraId="78F8781A" w14:textId="038B2C9E" w:rsidR="006A2D01" w:rsidRPr="009475CC" w:rsidRDefault="006A2D01" w:rsidP="004A5A4A">
      <w:pPr>
        <w:pStyle w:val="Default"/>
        <w:spacing w:after="160"/>
        <w:jc w:val="both"/>
      </w:pPr>
      <w:r w:rsidRPr="009475CC">
        <w:t>-</w:t>
      </w:r>
      <w:r w:rsidR="004A5A4A">
        <w:t xml:space="preserve"> </w:t>
      </w:r>
      <w:r w:rsidRPr="009475CC">
        <w:t>Realizimi i 39582 verifikimeve t</w:t>
      </w:r>
      <w:r w:rsidR="004A5A4A">
        <w:rPr>
          <w:lang w:val="sq-AL"/>
        </w:rPr>
        <w:t>ë</w:t>
      </w:r>
      <w:r w:rsidRPr="009475CC">
        <w:t xml:space="preserve"> instrumenteve mat</w:t>
      </w:r>
      <w:r w:rsidR="004A5A4A">
        <w:rPr>
          <w:lang w:val="sq-AL"/>
        </w:rPr>
        <w:t>ë</w:t>
      </w:r>
      <w:r w:rsidRPr="009475CC">
        <w:t>s ligj</w:t>
      </w:r>
      <w:r w:rsidR="004A5A4A">
        <w:rPr>
          <w:lang w:val="sq-AL"/>
        </w:rPr>
        <w:t>ë</w:t>
      </w:r>
      <w:r w:rsidRPr="009475CC">
        <w:t>risht t</w:t>
      </w:r>
      <w:r w:rsidR="004A5A4A">
        <w:rPr>
          <w:lang w:val="sq-AL"/>
        </w:rPr>
        <w:t>ë</w:t>
      </w:r>
      <w:r w:rsidRPr="009475CC">
        <w:t xml:space="preserve"> kontrolluar.</w:t>
      </w:r>
      <w:r w:rsidR="004A5A4A">
        <w:t xml:space="preserve"> </w:t>
      </w:r>
    </w:p>
    <w:p w14:paraId="5DF3C9BE" w14:textId="35585670" w:rsidR="006A2D01" w:rsidRPr="009475CC" w:rsidRDefault="004A5A4A" w:rsidP="004A5A4A">
      <w:pPr>
        <w:spacing w:line="240" w:lineRule="auto"/>
        <w:jc w:val="both"/>
        <w:rPr>
          <w:rFonts w:cs="Times New Roman"/>
          <w:szCs w:val="24"/>
          <w:lang w:val="sq-AL"/>
        </w:rPr>
      </w:pPr>
      <w:r>
        <w:rPr>
          <w:rFonts w:cs="Times New Roman"/>
          <w:szCs w:val="24"/>
          <w:lang w:val="sq-AL"/>
        </w:rPr>
        <w:lastRenderedPageBreak/>
        <w:t xml:space="preserve">- </w:t>
      </w:r>
      <w:r w:rsidR="006A2D01" w:rsidRPr="009475CC">
        <w:rPr>
          <w:rFonts w:cs="Times New Roman"/>
          <w:szCs w:val="24"/>
          <w:lang w:val="sq-AL"/>
        </w:rPr>
        <w:t>Zgjerimi i fushave dhe nënfushave të reja, n</w:t>
      </w:r>
      <w:r>
        <w:rPr>
          <w:rFonts w:cs="Times New Roman"/>
          <w:szCs w:val="24"/>
          <w:lang w:val="sq-AL"/>
        </w:rPr>
        <w:t>ë</w:t>
      </w:r>
      <w:r w:rsidR="006A2D01" w:rsidRPr="009475CC">
        <w:rPr>
          <w:rFonts w:cs="Times New Roman"/>
          <w:szCs w:val="24"/>
          <w:lang w:val="sq-AL"/>
        </w:rPr>
        <w:t xml:space="preserve"> nivel primar, p</w:t>
      </w:r>
      <w:r>
        <w:rPr>
          <w:rFonts w:cs="Times New Roman"/>
          <w:szCs w:val="24"/>
          <w:lang w:val="sq-AL"/>
        </w:rPr>
        <w:t>ë</w:t>
      </w:r>
      <w:r w:rsidR="006A2D01" w:rsidRPr="009475CC">
        <w:rPr>
          <w:rFonts w:cs="Times New Roman"/>
          <w:szCs w:val="24"/>
          <w:lang w:val="sq-AL"/>
        </w:rPr>
        <w:t>rkat</w:t>
      </w:r>
      <w:r>
        <w:rPr>
          <w:rFonts w:cs="Times New Roman"/>
          <w:szCs w:val="24"/>
          <w:lang w:val="sq-AL"/>
        </w:rPr>
        <w:t>ë</w:t>
      </w:r>
      <w:r w:rsidR="006A2D01" w:rsidRPr="009475CC">
        <w:rPr>
          <w:rFonts w:cs="Times New Roman"/>
          <w:szCs w:val="24"/>
          <w:lang w:val="sq-AL"/>
        </w:rPr>
        <w:t>sisht:</w:t>
      </w:r>
    </w:p>
    <w:p w14:paraId="6C8F741C" w14:textId="1E494A14" w:rsidR="006A2D01" w:rsidRPr="004A5A4A" w:rsidRDefault="006A2D01" w:rsidP="00623352">
      <w:pPr>
        <w:pStyle w:val="ListParagraph"/>
        <w:numPr>
          <w:ilvl w:val="0"/>
          <w:numId w:val="30"/>
        </w:numPr>
        <w:spacing w:line="240" w:lineRule="auto"/>
        <w:jc w:val="both"/>
        <w:rPr>
          <w:rFonts w:cs="Times New Roman"/>
          <w:szCs w:val="24"/>
          <w:lang w:val="sq-AL"/>
        </w:rPr>
      </w:pPr>
      <w:r w:rsidRPr="004A5A4A">
        <w:rPr>
          <w:rFonts w:cs="Times New Roman"/>
          <w:szCs w:val="24"/>
          <w:lang w:val="sq-AL"/>
        </w:rPr>
        <w:t xml:space="preserve">Për kalibrimin e blloqeve fundore në kufij matjeje 0.5 mm ... 100 mm”, </w:t>
      </w:r>
    </w:p>
    <w:p w14:paraId="56663A33" w14:textId="4EC56D0F" w:rsidR="006A2D01" w:rsidRPr="004A5A4A" w:rsidRDefault="006A2D01" w:rsidP="00623352">
      <w:pPr>
        <w:pStyle w:val="ListParagraph"/>
        <w:numPr>
          <w:ilvl w:val="0"/>
          <w:numId w:val="30"/>
        </w:numPr>
        <w:spacing w:line="240" w:lineRule="auto"/>
        <w:jc w:val="both"/>
        <w:rPr>
          <w:rFonts w:cs="Times New Roman"/>
          <w:szCs w:val="24"/>
          <w:lang w:val="sq-AL"/>
        </w:rPr>
      </w:pPr>
      <w:r w:rsidRPr="004A5A4A">
        <w:rPr>
          <w:rFonts w:cs="Times New Roman"/>
          <w:szCs w:val="24"/>
          <w:lang w:val="sq-AL"/>
        </w:rPr>
        <w:t>Për kalibrimin e densitetit të gramarëve dhe të lëngjeve”</w:t>
      </w:r>
    </w:p>
    <w:p w14:paraId="2AD3A340" w14:textId="1C49E65E" w:rsidR="006A2D01" w:rsidRPr="004A5A4A" w:rsidRDefault="006A2D01" w:rsidP="00623352">
      <w:pPr>
        <w:pStyle w:val="ListParagraph"/>
        <w:numPr>
          <w:ilvl w:val="0"/>
          <w:numId w:val="30"/>
        </w:numPr>
        <w:spacing w:line="240" w:lineRule="auto"/>
        <w:jc w:val="both"/>
        <w:rPr>
          <w:rFonts w:cs="Times New Roman"/>
          <w:szCs w:val="24"/>
          <w:lang w:val="sq-AL"/>
        </w:rPr>
      </w:pPr>
      <w:r w:rsidRPr="004A5A4A">
        <w:rPr>
          <w:rFonts w:cs="Times New Roman"/>
          <w:szCs w:val="24"/>
          <w:lang w:val="sq-AL"/>
        </w:rPr>
        <w:t xml:space="preserve">Për kalibrimin e dhënësave të forcës në shtypje dhe në tërheqje në kufijtë 0 ... 100 kN”, </w:t>
      </w:r>
    </w:p>
    <w:p w14:paraId="142A973C" w14:textId="6630C067" w:rsidR="006A2D01" w:rsidRPr="004A5A4A" w:rsidRDefault="006A2D01" w:rsidP="00623352">
      <w:pPr>
        <w:pStyle w:val="ListParagraph"/>
        <w:numPr>
          <w:ilvl w:val="0"/>
          <w:numId w:val="30"/>
        </w:numPr>
        <w:spacing w:line="240" w:lineRule="auto"/>
        <w:jc w:val="both"/>
        <w:rPr>
          <w:rFonts w:cs="Times New Roman"/>
          <w:szCs w:val="24"/>
          <w:lang w:val="sq-AL"/>
        </w:rPr>
      </w:pPr>
      <w:r w:rsidRPr="004A5A4A">
        <w:rPr>
          <w:rFonts w:cs="Times New Roman"/>
          <w:szCs w:val="24"/>
          <w:lang w:val="sq-AL"/>
        </w:rPr>
        <w:t>Per kalibrimin e pajisjeve që matin rezistencën tokëzimit dhe testimin e izolimit.</w:t>
      </w:r>
    </w:p>
    <w:p w14:paraId="40F88920" w14:textId="77522594" w:rsidR="006A2D01" w:rsidRPr="004A5A4A" w:rsidRDefault="006A2D01" w:rsidP="00623352">
      <w:pPr>
        <w:pStyle w:val="ListParagraph"/>
        <w:numPr>
          <w:ilvl w:val="0"/>
          <w:numId w:val="30"/>
        </w:numPr>
        <w:spacing w:line="240" w:lineRule="auto"/>
        <w:jc w:val="both"/>
        <w:rPr>
          <w:rFonts w:cs="Times New Roman"/>
          <w:szCs w:val="24"/>
          <w:lang w:val="sq-AL"/>
        </w:rPr>
      </w:pPr>
      <w:r w:rsidRPr="004A5A4A">
        <w:rPr>
          <w:rFonts w:cs="Times New Roman"/>
          <w:szCs w:val="24"/>
          <w:lang w:val="sq-AL"/>
        </w:rPr>
        <w:t>Për kalibrimin e pajisjeve mjekësore dhe termometrat me rrezatim”.</w:t>
      </w:r>
    </w:p>
    <w:p w14:paraId="19B17089" w14:textId="1D3ADEB2" w:rsidR="006A2D01" w:rsidRPr="009475CC" w:rsidRDefault="00FD17BB" w:rsidP="004A5A4A">
      <w:pPr>
        <w:spacing w:line="240" w:lineRule="auto"/>
        <w:jc w:val="both"/>
        <w:rPr>
          <w:rFonts w:cs="Times New Roman"/>
          <w:szCs w:val="24"/>
          <w:lang w:val="sq-AL"/>
        </w:rPr>
      </w:pPr>
      <w:r>
        <w:rPr>
          <w:rFonts w:cs="Times New Roman"/>
          <w:b/>
          <w:bCs/>
          <w:szCs w:val="24"/>
          <w:lang w:val="sq-AL"/>
        </w:rPr>
        <w:t xml:space="preserve">Masa </w:t>
      </w:r>
      <w:r w:rsidR="004A5A4A">
        <w:rPr>
          <w:rFonts w:cs="Times New Roman"/>
          <w:b/>
          <w:bCs/>
          <w:szCs w:val="24"/>
          <w:lang w:val="sq-AL"/>
        </w:rPr>
        <w:t>15.</w:t>
      </w:r>
      <w:r>
        <w:rPr>
          <w:rFonts w:cs="Times New Roman"/>
          <w:b/>
          <w:bCs/>
          <w:szCs w:val="24"/>
          <w:lang w:val="sq-AL"/>
        </w:rPr>
        <w:t>4:</w:t>
      </w:r>
      <w:r w:rsidR="006A2D01" w:rsidRPr="009475CC">
        <w:rPr>
          <w:rFonts w:cs="Times New Roman"/>
          <w:szCs w:val="24"/>
          <w:lang w:val="sq-AL"/>
        </w:rPr>
        <w:t xml:space="preserve"> Zgjerimi i fushave dhe nënfushave të reja, n</w:t>
      </w:r>
      <w:r w:rsidR="004A5A4A">
        <w:rPr>
          <w:rFonts w:cs="Times New Roman"/>
          <w:szCs w:val="24"/>
          <w:lang w:val="sq-AL"/>
        </w:rPr>
        <w:t>ë</w:t>
      </w:r>
      <w:r w:rsidR="006A2D01" w:rsidRPr="009475CC">
        <w:rPr>
          <w:rFonts w:cs="Times New Roman"/>
          <w:szCs w:val="24"/>
          <w:lang w:val="sq-AL"/>
        </w:rPr>
        <w:t xml:space="preserve"> nivel sekondar:</w:t>
      </w:r>
    </w:p>
    <w:p w14:paraId="4736FE6D" w14:textId="484883F3" w:rsidR="006A2D01" w:rsidRPr="009475CC" w:rsidRDefault="006A2D01" w:rsidP="004A5A4A">
      <w:pPr>
        <w:spacing w:after="0" w:line="240" w:lineRule="auto"/>
        <w:jc w:val="both"/>
        <w:rPr>
          <w:rFonts w:cs="Times New Roman"/>
          <w:szCs w:val="24"/>
          <w:lang w:val="sq-AL"/>
        </w:rPr>
      </w:pPr>
      <w:r w:rsidRPr="009475CC">
        <w:rPr>
          <w:rFonts w:cs="Times New Roman"/>
          <w:szCs w:val="24"/>
          <w:lang w:val="sq-AL"/>
        </w:rPr>
        <w:t>-</w:t>
      </w:r>
      <w:r w:rsidR="004A5A4A">
        <w:rPr>
          <w:rFonts w:cs="Times New Roman"/>
          <w:szCs w:val="24"/>
          <w:lang w:val="sq-AL"/>
        </w:rPr>
        <w:t xml:space="preserve"> </w:t>
      </w:r>
      <w:r w:rsidRPr="009475CC">
        <w:rPr>
          <w:rFonts w:cs="Times New Roman"/>
          <w:szCs w:val="24"/>
          <w:lang w:val="sq-AL"/>
        </w:rPr>
        <w:t>P</w:t>
      </w:r>
      <w:r w:rsidR="004A5A4A">
        <w:rPr>
          <w:rFonts w:cs="Times New Roman"/>
          <w:szCs w:val="24"/>
          <w:lang w:val="sq-AL"/>
        </w:rPr>
        <w:t>ë</w:t>
      </w:r>
      <w:r w:rsidRPr="009475CC">
        <w:rPr>
          <w:rFonts w:cs="Times New Roman"/>
          <w:szCs w:val="24"/>
          <w:lang w:val="sq-AL"/>
        </w:rPr>
        <w:t>r kalibrim të instrumenteve që matin perpendikularitetin, rrafshitetin e sipërfaqes, paralelësinë e sipërfaqes,  cilindërsinë si</w:t>
      </w:r>
      <w:r w:rsidR="00F10D85">
        <w:rPr>
          <w:rFonts w:cs="Times New Roman"/>
          <w:szCs w:val="24"/>
          <w:lang w:val="sq-AL"/>
        </w:rPr>
        <w:t xml:space="preserve"> </w:t>
      </w:r>
      <w:r w:rsidRPr="009475CC">
        <w:rPr>
          <w:rFonts w:cs="Times New Roman"/>
          <w:szCs w:val="24"/>
          <w:lang w:val="sq-AL"/>
        </w:rPr>
        <w:t>dhe rrumbullakësinë”, si dhe kalibrim të mikroskopëve, mikrometrave okular, stage micrometer, vizoreve optike, matësave të lartësisë, mikrometrave të jashtëm/te brendshem, kalibrave të jashtëm/të brendshëm”.</w:t>
      </w:r>
    </w:p>
    <w:p w14:paraId="23CB8074" w14:textId="5B488A0D" w:rsidR="006A2D01" w:rsidRPr="009475CC" w:rsidRDefault="006A2D01" w:rsidP="009475CC">
      <w:pPr>
        <w:spacing w:after="0" w:line="240" w:lineRule="auto"/>
        <w:jc w:val="both"/>
        <w:rPr>
          <w:rFonts w:cs="Times New Roman"/>
          <w:szCs w:val="24"/>
          <w:lang w:val="sq-AL"/>
        </w:rPr>
      </w:pPr>
      <w:r w:rsidRPr="009475CC">
        <w:rPr>
          <w:rFonts w:cs="Times New Roman"/>
          <w:szCs w:val="24"/>
          <w:lang w:val="sq-AL"/>
        </w:rPr>
        <w:t>-</w:t>
      </w:r>
      <w:r w:rsidR="004A5A4A">
        <w:rPr>
          <w:rFonts w:cs="Times New Roman"/>
          <w:szCs w:val="24"/>
          <w:lang w:val="sq-AL"/>
        </w:rPr>
        <w:t xml:space="preserve"> </w:t>
      </w:r>
      <w:r w:rsidRPr="009475CC">
        <w:rPr>
          <w:rFonts w:cs="Times New Roman"/>
          <w:szCs w:val="24"/>
          <w:lang w:val="sq-AL"/>
        </w:rPr>
        <w:t>Per kalibrimin e gramarëve të mëdhenj.</w:t>
      </w:r>
    </w:p>
    <w:p w14:paraId="510BA859" w14:textId="08E4FDB3" w:rsidR="006A2D01" w:rsidRPr="009475CC" w:rsidRDefault="006A2D01" w:rsidP="004A5A4A">
      <w:pPr>
        <w:spacing w:line="240" w:lineRule="auto"/>
        <w:jc w:val="both"/>
        <w:rPr>
          <w:rFonts w:cs="Times New Roman"/>
          <w:szCs w:val="24"/>
          <w:lang w:val="sq-AL"/>
        </w:rPr>
      </w:pPr>
      <w:r w:rsidRPr="009475CC">
        <w:rPr>
          <w:rFonts w:cs="Times New Roman"/>
          <w:szCs w:val="24"/>
          <w:lang w:val="sq-AL"/>
        </w:rPr>
        <w:t>-</w:t>
      </w:r>
      <w:r w:rsidR="004A5A4A">
        <w:rPr>
          <w:rFonts w:cs="Times New Roman"/>
          <w:szCs w:val="24"/>
          <w:lang w:val="sq-AL"/>
        </w:rPr>
        <w:t xml:space="preserve"> </w:t>
      </w:r>
      <w:r w:rsidRPr="009475CC">
        <w:rPr>
          <w:rFonts w:cs="Times New Roman"/>
          <w:szCs w:val="24"/>
          <w:lang w:val="sq-AL"/>
        </w:rPr>
        <w:t>Per kalibrime të termometrave me rezistencë PRT  deri në kufijtë 660°C.</w:t>
      </w:r>
    </w:p>
    <w:p w14:paraId="6D081498" w14:textId="0A34967B" w:rsidR="006A2D01" w:rsidRPr="009475CC" w:rsidRDefault="00FD17BB" w:rsidP="004A5A4A">
      <w:pPr>
        <w:spacing w:line="240" w:lineRule="auto"/>
        <w:jc w:val="both"/>
        <w:rPr>
          <w:rFonts w:cs="Times New Roman"/>
          <w:szCs w:val="24"/>
          <w:lang w:val="sq-AL"/>
        </w:rPr>
      </w:pPr>
      <w:r w:rsidRPr="009475CC">
        <w:rPr>
          <w:rFonts w:cs="Times New Roman"/>
          <w:b/>
          <w:bCs/>
          <w:szCs w:val="24"/>
          <w:lang w:val="sq-AL"/>
        </w:rPr>
        <w:t xml:space="preserve">Masa </w:t>
      </w:r>
      <w:r w:rsidR="004A5A4A">
        <w:rPr>
          <w:rFonts w:cs="Times New Roman"/>
          <w:b/>
          <w:bCs/>
          <w:szCs w:val="24"/>
          <w:lang w:val="sq-AL"/>
        </w:rPr>
        <w:t>15.</w:t>
      </w:r>
      <w:r w:rsidRPr="009475CC">
        <w:rPr>
          <w:rFonts w:cs="Times New Roman"/>
          <w:b/>
          <w:bCs/>
          <w:szCs w:val="24"/>
          <w:lang w:val="sq-AL"/>
        </w:rPr>
        <w:t>5:</w:t>
      </w:r>
      <w:r>
        <w:rPr>
          <w:rFonts w:cs="Times New Roman"/>
          <w:szCs w:val="24"/>
          <w:lang w:val="sq-AL"/>
        </w:rPr>
        <w:t xml:space="preserve"> </w:t>
      </w:r>
      <w:r w:rsidR="006A2D01" w:rsidRPr="009475CC">
        <w:rPr>
          <w:rFonts w:cs="Times New Roman"/>
          <w:szCs w:val="24"/>
          <w:lang w:val="sq-AL"/>
        </w:rPr>
        <w:t>Kryerja e verifikimeve periodike të instrumenteve matës duke përfshir</w:t>
      </w:r>
      <w:r w:rsidR="00F10D85">
        <w:rPr>
          <w:rFonts w:cs="Times New Roman"/>
          <w:szCs w:val="24"/>
          <w:lang w:val="sq-AL"/>
        </w:rPr>
        <w:t>ë</w:t>
      </w:r>
      <w:r w:rsidR="006A2D01" w:rsidRPr="009475CC">
        <w:rPr>
          <w:rFonts w:cs="Times New Roman"/>
          <w:szCs w:val="24"/>
          <w:lang w:val="sq-AL"/>
        </w:rPr>
        <w:t xml:space="preserve"> në skemën e verifikimit ligjor të detyrueshëm të instrumenteve matës të temperaturës, tensionit të gjakut, të cilët përdoren në fushën e mjekësisë.</w:t>
      </w:r>
    </w:p>
    <w:p w14:paraId="6A0AEA60" w14:textId="38EDDB4D" w:rsidR="006A2D01" w:rsidRPr="009475CC" w:rsidRDefault="00FD17BB" w:rsidP="004A5A4A">
      <w:pPr>
        <w:spacing w:line="240" w:lineRule="auto"/>
        <w:jc w:val="both"/>
        <w:rPr>
          <w:rFonts w:cs="Times New Roman"/>
          <w:szCs w:val="24"/>
          <w:lang w:val="sq-AL"/>
        </w:rPr>
      </w:pPr>
      <w:r w:rsidRPr="00F32E3B">
        <w:rPr>
          <w:rFonts w:cs="Times New Roman"/>
          <w:b/>
          <w:bCs/>
          <w:szCs w:val="24"/>
          <w:lang w:val="sq-AL"/>
        </w:rPr>
        <w:t xml:space="preserve">Masa </w:t>
      </w:r>
      <w:r w:rsidR="004A5A4A">
        <w:rPr>
          <w:rFonts w:cs="Times New Roman"/>
          <w:b/>
          <w:bCs/>
          <w:szCs w:val="24"/>
          <w:lang w:val="sq-AL"/>
        </w:rPr>
        <w:t>15.</w:t>
      </w:r>
      <w:r>
        <w:rPr>
          <w:rFonts w:cs="Times New Roman"/>
          <w:b/>
          <w:bCs/>
          <w:szCs w:val="24"/>
          <w:lang w:val="sq-AL"/>
        </w:rPr>
        <w:t>6</w:t>
      </w:r>
      <w:r w:rsidRPr="00F32E3B">
        <w:rPr>
          <w:rFonts w:cs="Times New Roman"/>
          <w:b/>
          <w:bCs/>
          <w:szCs w:val="24"/>
          <w:lang w:val="sq-AL"/>
        </w:rPr>
        <w:t>:</w:t>
      </w:r>
      <w:r>
        <w:rPr>
          <w:rFonts w:cs="Times New Roman"/>
          <w:szCs w:val="24"/>
          <w:lang w:val="sq-AL"/>
        </w:rPr>
        <w:t xml:space="preserve"> </w:t>
      </w:r>
      <w:r w:rsidR="006A2D01" w:rsidRPr="009475CC">
        <w:rPr>
          <w:rFonts w:cs="Times New Roman"/>
          <w:szCs w:val="24"/>
          <w:lang w:val="sq-AL"/>
        </w:rPr>
        <w:t>Akreditimi i laboratorëve sipas fushave përkatëse nga trupa akreditues</w:t>
      </w:r>
      <w:r w:rsidR="00F10D85">
        <w:rPr>
          <w:rFonts w:cs="Times New Roman"/>
          <w:szCs w:val="24"/>
          <w:lang w:val="sq-AL"/>
        </w:rPr>
        <w:t>e</w:t>
      </w:r>
      <w:r w:rsidR="006A2D01" w:rsidRPr="009475CC">
        <w:rPr>
          <w:rFonts w:cs="Times New Roman"/>
          <w:szCs w:val="24"/>
          <w:lang w:val="sq-AL"/>
        </w:rPr>
        <w:t xml:space="preserve"> nënshkrues të MLA te EA në fushën e kalibrimeve per fushën e termometrisë për “Kalibrimin e termometrave me rezistencë platini PRT  me metodën e krahasimit në diapazonin -40°C deri në 660°C”.</w:t>
      </w:r>
    </w:p>
    <w:p w14:paraId="3FCE5917" w14:textId="43AA02DC" w:rsidR="006A2D01" w:rsidRPr="009475CC" w:rsidRDefault="00FD17BB" w:rsidP="004A5A4A">
      <w:pPr>
        <w:pStyle w:val="Default"/>
        <w:spacing w:after="160"/>
        <w:jc w:val="both"/>
        <w:rPr>
          <w:b/>
          <w:bCs/>
        </w:rPr>
      </w:pPr>
      <w:r>
        <w:rPr>
          <w:b/>
          <w:bCs/>
        </w:rPr>
        <w:t>Indikatorë</w:t>
      </w:r>
      <w:r w:rsidR="004A5A4A">
        <w:rPr>
          <w:b/>
          <w:bCs/>
        </w:rPr>
        <w:t>t</w:t>
      </w:r>
      <w:r>
        <w:rPr>
          <w:b/>
          <w:bCs/>
        </w:rPr>
        <w:t xml:space="preserve">: </w:t>
      </w:r>
    </w:p>
    <w:p w14:paraId="6A3C96A1" w14:textId="3F215587" w:rsidR="006A2D01" w:rsidRPr="009475CC" w:rsidRDefault="006A2D01" w:rsidP="004A5A4A">
      <w:pPr>
        <w:pStyle w:val="Default"/>
        <w:spacing w:after="160"/>
        <w:jc w:val="both"/>
      </w:pPr>
      <w:r w:rsidRPr="009475CC">
        <w:t>-Zgjerimi me 5 fusha t</w:t>
      </w:r>
      <w:r w:rsidR="00FD17BB">
        <w:t>ë</w:t>
      </w:r>
      <w:r w:rsidRPr="009475CC">
        <w:t xml:space="preserve"> reja t</w:t>
      </w:r>
      <w:r w:rsidR="00FD17BB">
        <w:t>ë</w:t>
      </w:r>
      <w:r w:rsidRPr="009475CC">
        <w:t xml:space="preserve"> laboratoreve kalibrues ne nivel primar</w:t>
      </w:r>
      <w:r w:rsidR="00FD17BB">
        <w:t>;</w:t>
      </w:r>
    </w:p>
    <w:p w14:paraId="316B7F12" w14:textId="7CDAE1BA" w:rsidR="006A2D01" w:rsidRPr="009475CC" w:rsidRDefault="006A2D01" w:rsidP="004A5A4A">
      <w:pPr>
        <w:pStyle w:val="Default"/>
        <w:spacing w:after="160"/>
        <w:jc w:val="both"/>
      </w:pPr>
      <w:r w:rsidRPr="009475CC">
        <w:t>-Akreditimi i nj</w:t>
      </w:r>
      <w:r w:rsidR="00FD17BB">
        <w:t>ë</w:t>
      </w:r>
      <w:r w:rsidRPr="009475CC">
        <w:t xml:space="preserve"> laboratori kalibrues</w:t>
      </w:r>
      <w:r w:rsidR="00FD17BB">
        <w:t>;</w:t>
      </w:r>
    </w:p>
    <w:p w14:paraId="03F6B48D" w14:textId="065AA908" w:rsidR="006A2D01" w:rsidRPr="009475CC" w:rsidRDefault="006A2D01" w:rsidP="004A5A4A">
      <w:pPr>
        <w:pStyle w:val="Default"/>
        <w:spacing w:after="160"/>
        <w:jc w:val="both"/>
      </w:pPr>
      <w:r w:rsidRPr="009475CC">
        <w:t>-Zgjerimi me tre fusha t</w:t>
      </w:r>
      <w:r w:rsidR="00FD17BB">
        <w:t>ë</w:t>
      </w:r>
      <w:r w:rsidRPr="009475CC">
        <w:t xml:space="preserve"> reja t</w:t>
      </w:r>
      <w:r w:rsidR="00FD17BB">
        <w:t>ë</w:t>
      </w:r>
      <w:r w:rsidRPr="009475CC">
        <w:t xml:space="preserve"> laboratoreve kalibrues ne nivel sekondar</w:t>
      </w:r>
      <w:r w:rsidR="00FD17BB">
        <w:t>;</w:t>
      </w:r>
    </w:p>
    <w:p w14:paraId="2A7944FD" w14:textId="1A46B488" w:rsidR="006A2D01" w:rsidRDefault="006A2D01" w:rsidP="004A5A4A">
      <w:pPr>
        <w:spacing w:line="240" w:lineRule="auto"/>
        <w:rPr>
          <w:rFonts w:cs="Times New Roman"/>
          <w:szCs w:val="24"/>
        </w:rPr>
      </w:pPr>
      <w:r w:rsidRPr="009475CC">
        <w:rPr>
          <w:rFonts w:cs="Times New Roman"/>
          <w:szCs w:val="24"/>
        </w:rPr>
        <w:t>-Realizimi i 42840 verifikimeve t</w:t>
      </w:r>
      <w:r w:rsidR="00FD17BB">
        <w:rPr>
          <w:rFonts w:cs="Times New Roman"/>
          <w:szCs w:val="24"/>
        </w:rPr>
        <w:t>ë</w:t>
      </w:r>
      <w:r w:rsidRPr="009475CC">
        <w:rPr>
          <w:rFonts w:cs="Times New Roman"/>
          <w:szCs w:val="24"/>
        </w:rPr>
        <w:t xml:space="preserve"> instrumenteve mat</w:t>
      </w:r>
      <w:r w:rsidR="00FD17BB">
        <w:rPr>
          <w:rFonts w:cs="Times New Roman"/>
          <w:szCs w:val="24"/>
        </w:rPr>
        <w:t>ë</w:t>
      </w:r>
      <w:r w:rsidRPr="009475CC">
        <w:rPr>
          <w:rFonts w:cs="Times New Roman"/>
          <w:szCs w:val="24"/>
        </w:rPr>
        <w:t>s ligj</w:t>
      </w:r>
      <w:r w:rsidR="00FD17BB">
        <w:rPr>
          <w:rFonts w:cs="Times New Roman"/>
          <w:szCs w:val="24"/>
        </w:rPr>
        <w:t>ë</w:t>
      </w:r>
      <w:r w:rsidRPr="009475CC">
        <w:rPr>
          <w:rFonts w:cs="Times New Roman"/>
          <w:szCs w:val="24"/>
        </w:rPr>
        <w:t>risht t</w:t>
      </w:r>
      <w:r w:rsidR="00FD17BB">
        <w:rPr>
          <w:rFonts w:cs="Times New Roman"/>
          <w:szCs w:val="24"/>
        </w:rPr>
        <w:t>ë</w:t>
      </w:r>
      <w:r w:rsidRPr="009475CC">
        <w:rPr>
          <w:rFonts w:cs="Times New Roman"/>
          <w:szCs w:val="24"/>
        </w:rPr>
        <w:t xml:space="preserve"> kontrolluar n</w:t>
      </w:r>
      <w:r w:rsidR="004A5A4A">
        <w:rPr>
          <w:rFonts w:cs="Times New Roman"/>
          <w:szCs w:val="24"/>
          <w:lang w:val="sq-AL"/>
        </w:rPr>
        <w:t>ë</w:t>
      </w:r>
      <w:r w:rsidRPr="009475CC">
        <w:rPr>
          <w:rFonts w:cs="Times New Roman"/>
          <w:szCs w:val="24"/>
        </w:rPr>
        <w:t xml:space="preserve"> vitin 2030.</w:t>
      </w:r>
    </w:p>
    <w:p w14:paraId="25888BC4" w14:textId="77777777" w:rsidR="004A5A4A" w:rsidRPr="009475CC" w:rsidRDefault="004A5A4A" w:rsidP="004A5A4A">
      <w:pPr>
        <w:spacing w:line="240" w:lineRule="auto"/>
        <w:rPr>
          <w:rFonts w:cs="Times New Roman"/>
          <w:szCs w:val="24"/>
        </w:rPr>
      </w:pPr>
    </w:p>
    <w:tbl>
      <w:tblPr>
        <w:tblStyle w:val="TableGrid"/>
        <w:tblW w:w="0" w:type="auto"/>
        <w:tblLook w:val="04A0" w:firstRow="1" w:lastRow="0" w:firstColumn="1" w:lastColumn="0" w:noHBand="0" w:noVBand="1"/>
      </w:tblPr>
      <w:tblGrid>
        <w:gridCol w:w="9016"/>
      </w:tblGrid>
      <w:tr w:rsidR="004A5A4A" w14:paraId="4BA95956" w14:textId="77777777" w:rsidTr="004A5A4A">
        <w:tc>
          <w:tcPr>
            <w:tcW w:w="9016" w:type="dxa"/>
          </w:tcPr>
          <w:p w14:paraId="37288CC4" w14:textId="761FEF76" w:rsidR="004A5A4A" w:rsidRDefault="004A5A4A" w:rsidP="004A5A4A">
            <w:pPr>
              <w:jc w:val="both"/>
              <w:rPr>
                <w:rFonts w:cs="Times New Roman"/>
                <w:b/>
                <w:szCs w:val="24"/>
                <w:lang w:val="sq-AL"/>
              </w:rPr>
            </w:pPr>
            <w:r w:rsidRPr="009475CC">
              <w:rPr>
                <w:rFonts w:cs="Times New Roman"/>
                <w:b/>
                <w:szCs w:val="24"/>
                <w:lang w:val="sq-AL"/>
              </w:rPr>
              <w:t>Objektiv</w:t>
            </w:r>
            <w:r>
              <w:rPr>
                <w:rFonts w:cs="Times New Roman"/>
                <w:b/>
                <w:szCs w:val="24"/>
                <w:lang w:val="sq-AL"/>
              </w:rPr>
              <w:t xml:space="preserve">i </w:t>
            </w:r>
            <w:r w:rsidR="00AC7156">
              <w:rPr>
                <w:rFonts w:cs="Times New Roman"/>
                <w:b/>
                <w:szCs w:val="24"/>
                <w:lang w:val="sq-AL"/>
              </w:rPr>
              <w:t>16</w:t>
            </w:r>
            <w:r w:rsidRPr="009475CC">
              <w:rPr>
                <w:rFonts w:cs="Times New Roman"/>
                <w:b/>
                <w:szCs w:val="24"/>
                <w:lang w:val="sq-AL"/>
              </w:rPr>
              <w:t xml:space="preserve">: </w:t>
            </w:r>
          </w:p>
          <w:p w14:paraId="68667EE5" w14:textId="0266A730" w:rsidR="004A5A4A" w:rsidRPr="004A5A4A" w:rsidRDefault="004A5A4A" w:rsidP="004A5A4A">
            <w:pPr>
              <w:jc w:val="both"/>
              <w:rPr>
                <w:rFonts w:cs="Times New Roman"/>
                <w:bCs/>
                <w:szCs w:val="24"/>
                <w:lang w:val="sq-AL"/>
              </w:rPr>
            </w:pPr>
            <w:r w:rsidRPr="004A5A4A">
              <w:rPr>
                <w:rFonts w:cs="Times New Roman"/>
                <w:bCs/>
                <w:szCs w:val="24"/>
              </w:rPr>
              <w:t>Përmirësimi i shërbimeve metrologjike</w:t>
            </w:r>
            <w:r w:rsidRPr="004A5A4A">
              <w:rPr>
                <w:rFonts w:cs="Times New Roman"/>
                <w:bCs/>
                <w:szCs w:val="24"/>
                <w:lang w:val="sq-AL"/>
              </w:rPr>
              <w:t xml:space="preserve"> nëpërmjet digjitalizimit të shërbimeve metrologjike, shërbimeve online dhe</w:t>
            </w:r>
            <w:r w:rsidRPr="004A5A4A">
              <w:rPr>
                <w:rFonts w:cs="Times New Roman"/>
                <w:bCs/>
                <w:szCs w:val="24"/>
              </w:rPr>
              <w:t xml:space="preserve"> realizimi i fushatave ndërgjegjësuese me biznesin.</w:t>
            </w:r>
          </w:p>
          <w:p w14:paraId="47C0D49D" w14:textId="77777777" w:rsidR="004A5A4A" w:rsidRDefault="004A5A4A" w:rsidP="009475CC">
            <w:pPr>
              <w:jc w:val="both"/>
              <w:rPr>
                <w:rFonts w:cs="Times New Roman"/>
                <w:b/>
                <w:szCs w:val="24"/>
                <w:lang w:val="sq-AL"/>
              </w:rPr>
            </w:pPr>
          </w:p>
        </w:tc>
      </w:tr>
    </w:tbl>
    <w:p w14:paraId="43AEA750" w14:textId="77777777" w:rsidR="004A5A4A" w:rsidRDefault="004A5A4A" w:rsidP="009475CC">
      <w:pPr>
        <w:spacing w:after="0" w:line="240" w:lineRule="auto"/>
        <w:jc w:val="both"/>
        <w:rPr>
          <w:rFonts w:cs="Times New Roman"/>
          <w:b/>
          <w:szCs w:val="24"/>
          <w:lang w:val="sq-AL"/>
        </w:rPr>
      </w:pPr>
    </w:p>
    <w:p w14:paraId="61DBCF8D" w14:textId="61A3E142" w:rsidR="006A2D01" w:rsidRPr="009475CC" w:rsidRDefault="00FD17BB" w:rsidP="004A5A4A">
      <w:pPr>
        <w:spacing w:line="240" w:lineRule="auto"/>
        <w:jc w:val="both"/>
        <w:rPr>
          <w:rFonts w:cs="Times New Roman"/>
          <w:szCs w:val="24"/>
        </w:rPr>
      </w:pPr>
      <w:r>
        <w:rPr>
          <w:rFonts w:cs="Times New Roman"/>
          <w:b/>
          <w:bCs/>
          <w:szCs w:val="24"/>
          <w:lang w:val="sq-AL"/>
        </w:rPr>
        <w:t xml:space="preserve">Masa </w:t>
      </w:r>
      <w:r w:rsidR="004A5A4A">
        <w:rPr>
          <w:rFonts w:cs="Times New Roman"/>
          <w:b/>
          <w:bCs/>
          <w:szCs w:val="24"/>
          <w:lang w:val="sq-AL"/>
        </w:rPr>
        <w:t>16.</w:t>
      </w:r>
      <w:r>
        <w:rPr>
          <w:rFonts w:cs="Times New Roman"/>
          <w:b/>
          <w:bCs/>
          <w:szCs w:val="24"/>
          <w:lang w:val="sq-AL"/>
        </w:rPr>
        <w:t xml:space="preserve">1: </w:t>
      </w:r>
      <w:r w:rsidR="006A2D01" w:rsidRPr="009475CC">
        <w:rPr>
          <w:rFonts w:cs="Times New Roman"/>
          <w:szCs w:val="24"/>
          <w:lang w:val="sq-AL"/>
        </w:rPr>
        <w:t xml:space="preserve">Krijimi, administrimi dhe përdorimi i bazës së të dhënave të regjistrit elektronik të Drejtorisë së Përgjithshme të Metrologjisë, i cili do perfshije </w:t>
      </w:r>
      <w:r w:rsidR="006A2D01" w:rsidRPr="009475CC">
        <w:rPr>
          <w:rFonts w:cs="Times New Roman"/>
          <w:szCs w:val="24"/>
        </w:rPr>
        <w:t>subjektet e autorizuara per verifikim dhe riparim, dhe pajisjet matëse dhe kalibruese qe jane ne perdorim.</w:t>
      </w:r>
    </w:p>
    <w:p w14:paraId="48B63D32" w14:textId="38417825" w:rsidR="006A2D01" w:rsidRPr="009475CC" w:rsidRDefault="00FD17BB" w:rsidP="004A5A4A">
      <w:pPr>
        <w:spacing w:line="240" w:lineRule="auto"/>
        <w:jc w:val="both"/>
        <w:rPr>
          <w:rFonts w:cs="Times New Roman"/>
          <w:szCs w:val="24"/>
        </w:rPr>
      </w:pPr>
      <w:r>
        <w:rPr>
          <w:rFonts w:cs="Times New Roman"/>
          <w:b/>
          <w:bCs/>
          <w:szCs w:val="24"/>
          <w:lang w:val="sq-AL"/>
        </w:rPr>
        <w:t xml:space="preserve">Masa </w:t>
      </w:r>
      <w:r w:rsidR="004A5A4A">
        <w:rPr>
          <w:rFonts w:cs="Times New Roman"/>
          <w:b/>
          <w:bCs/>
          <w:szCs w:val="24"/>
          <w:lang w:val="sq-AL"/>
        </w:rPr>
        <w:t>16.</w:t>
      </w:r>
      <w:r>
        <w:rPr>
          <w:rFonts w:cs="Times New Roman"/>
          <w:b/>
          <w:bCs/>
          <w:szCs w:val="24"/>
          <w:lang w:val="sq-AL"/>
        </w:rPr>
        <w:t xml:space="preserve">2: </w:t>
      </w:r>
      <w:r w:rsidR="006A2D01" w:rsidRPr="009475CC">
        <w:rPr>
          <w:rFonts w:cs="Times New Roman"/>
          <w:szCs w:val="24"/>
          <w:lang w:val="sq-AL"/>
        </w:rPr>
        <w:t>N</w:t>
      </w:r>
      <w:r>
        <w:rPr>
          <w:rFonts w:cs="Times New Roman"/>
          <w:szCs w:val="24"/>
          <w:lang w:val="sq-AL"/>
        </w:rPr>
        <w:t>ë</w:t>
      </w:r>
      <w:r w:rsidR="006A2D01" w:rsidRPr="009475CC">
        <w:rPr>
          <w:rFonts w:cs="Times New Roman"/>
          <w:szCs w:val="24"/>
          <w:lang w:val="sq-AL"/>
        </w:rPr>
        <w:t>nshkrimi i marr</w:t>
      </w:r>
      <w:r>
        <w:rPr>
          <w:rFonts w:cs="Times New Roman"/>
          <w:szCs w:val="24"/>
          <w:lang w:val="sq-AL"/>
        </w:rPr>
        <w:t>ë</w:t>
      </w:r>
      <w:r w:rsidR="006A2D01" w:rsidRPr="009475CC">
        <w:rPr>
          <w:rFonts w:cs="Times New Roman"/>
          <w:szCs w:val="24"/>
          <w:lang w:val="sq-AL"/>
        </w:rPr>
        <w:t xml:space="preserve">veshjeve te bashkepunimit me strukturat e </w:t>
      </w:r>
      <w:r w:rsidR="006A2D01" w:rsidRPr="009475CC">
        <w:rPr>
          <w:rFonts w:cs="Times New Roman"/>
          <w:szCs w:val="24"/>
        </w:rPr>
        <w:t>mbrojtjes së konsumatorit dhe institucionet e infrastruktures t</w:t>
      </w:r>
      <w:r>
        <w:rPr>
          <w:rFonts w:cs="Times New Roman"/>
          <w:szCs w:val="24"/>
        </w:rPr>
        <w:t>ë</w:t>
      </w:r>
      <w:r w:rsidR="006A2D01" w:rsidRPr="009475CC">
        <w:rPr>
          <w:rFonts w:cs="Times New Roman"/>
          <w:szCs w:val="24"/>
        </w:rPr>
        <w:t xml:space="preserve"> cil</w:t>
      </w:r>
      <w:r>
        <w:rPr>
          <w:rFonts w:cs="Times New Roman"/>
          <w:szCs w:val="24"/>
        </w:rPr>
        <w:t>ë</w:t>
      </w:r>
      <w:r w:rsidR="006A2D01" w:rsidRPr="009475CC">
        <w:rPr>
          <w:rFonts w:cs="Times New Roman"/>
          <w:szCs w:val="24"/>
        </w:rPr>
        <w:t>sis</w:t>
      </w:r>
      <w:r>
        <w:rPr>
          <w:rFonts w:cs="Times New Roman"/>
          <w:szCs w:val="24"/>
        </w:rPr>
        <w:t>ë</w:t>
      </w:r>
      <w:r w:rsidR="006A2D01" w:rsidRPr="009475CC">
        <w:rPr>
          <w:rFonts w:cs="Times New Roman"/>
          <w:szCs w:val="24"/>
        </w:rPr>
        <w:t xml:space="preserve"> si</w:t>
      </w:r>
      <w:r>
        <w:rPr>
          <w:rFonts w:cs="Times New Roman"/>
          <w:szCs w:val="24"/>
        </w:rPr>
        <w:t>:</w:t>
      </w:r>
      <w:r w:rsidR="006A2D01" w:rsidRPr="009475CC">
        <w:rPr>
          <w:rFonts w:cs="Times New Roman"/>
          <w:szCs w:val="24"/>
        </w:rPr>
        <w:t xml:space="preserve"> ISHMT, DPA, DPS, për shkëmbim informacioni, me qëllim mbrojtjen e interesave ekonomikë të konsumatorëve dhe organizimi i aktiviteteve ndërgjegjësuese me operatoret ekonomik, dhomat e tregtise, universitetet.</w:t>
      </w:r>
    </w:p>
    <w:p w14:paraId="1256935D" w14:textId="41F231DC" w:rsidR="006A2D01" w:rsidRPr="009475CC" w:rsidRDefault="00FD17BB" w:rsidP="004A5A4A">
      <w:pPr>
        <w:pStyle w:val="Default"/>
        <w:spacing w:after="160"/>
        <w:jc w:val="both"/>
      </w:pPr>
      <w:r>
        <w:rPr>
          <w:b/>
          <w:bCs/>
        </w:rPr>
        <w:t>Indikatorë</w:t>
      </w:r>
      <w:r w:rsidR="004A5A4A">
        <w:rPr>
          <w:b/>
          <w:bCs/>
        </w:rPr>
        <w:t>t</w:t>
      </w:r>
      <w:r>
        <w:rPr>
          <w:b/>
          <w:bCs/>
        </w:rPr>
        <w:t>:</w:t>
      </w:r>
    </w:p>
    <w:p w14:paraId="1E60155A" w14:textId="3A6AD8DD" w:rsidR="006A2D01" w:rsidRPr="009475CC" w:rsidRDefault="006A2D01" w:rsidP="004A5A4A">
      <w:pPr>
        <w:pStyle w:val="Default"/>
        <w:spacing w:after="160"/>
        <w:jc w:val="both"/>
      </w:pPr>
      <w:r w:rsidRPr="009475CC">
        <w:t>-</w:t>
      </w:r>
      <w:r w:rsidR="004A5A4A">
        <w:t xml:space="preserve"> </w:t>
      </w:r>
      <w:r w:rsidRPr="009475CC">
        <w:rPr>
          <w:lang w:val="sq-AL"/>
        </w:rPr>
        <w:t>Regjistri elektronik funksional i bazës së të dhënave të Drejtorisë së Përgjithshme të Metrologjisë</w:t>
      </w:r>
      <w:r w:rsidR="004A5A4A">
        <w:rPr>
          <w:lang w:val="sq-AL"/>
        </w:rPr>
        <w:t xml:space="preserve"> brenda vitit ......</w:t>
      </w:r>
      <w:r w:rsidRPr="009475CC">
        <w:t xml:space="preserve"> </w:t>
      </w:r>
    </w:p>
    <w:p w14:paraId="671FEADF" w14:textId="300E7213" w:rsidR="006A2D01" w:rsidRPr="009475CC" w:rsidRDefault="006A2D01" w:rsidP="004A5A4A">
      <w:pPr>
        <w:pStyle w:val="Default"/>
        <w:spacing w:after="160"/>
        <w:jc w:val="both"/>
      </w:pPr>
      <w:r w:rsidRPr="009475CC">
        <w:lastRenderedPageBreak/>
        <w:t>-</w:t>
      </w:r>
      <w:r w:rsidR="004A5A4A">
        <w:t xml:space="preserve"> </w:t>
      </w:r>
      <w:r w:rsidRPr="009475CC">
        <w:t>N</w:t>
      </w:r>
      <w:r w:rsidR="00FD17BB">
        <w:t>ë</w:t>
      </w:r>
      <w:r w:rsidRPr="009475CC">
        <w:t>nshkrimi i nj</w:t>
      </w:r>
      <w:r w:rsidR="00FD17BB">
        <w:t>ë</w:t>
      </w:r>
      <w:r w:rsidRPr="009475CC">
        <w:t xml:space="preserve"> marreveshje bashkepunimi cdo vit.</w:t>
      </w:r>
    </w:p>
    <w:p w14:paraId="4E824A4C" w14:textId="353B09EF" w:rsidR="006A2D01" w:rsidRPr="009475CC" w:rsidRDefault="006A2D01" w:rsidP="004A5A4A">
      <w:pPr>
        <w:pStyle w:val="Default"/>
        <w:spacing w:after="160"/>
        <w:jc w:val="both"/>
      </w:pPr>
      <w:r w:rsidRPr="009475CC">
        <w:t>-</w:t>
      </w:r>
      <w:r w:rsidR="004A5A4A">
        <w:t xml:space="preserve"> </w:t>
      </w:r>
      <w:r w:rsidRPr="009475CC">
        <w:t>Organizimi i nj</w:t>
      </w:r>
      <w:r w:rsidR="00FD17BB">
        <w:t>ë</w:t>
      </w:r>
      <w:r w:rsidRPr="009475CC">
        <w:t xml:space="preserve"> aktiviteti nd</w:t>
      </w:r>
      <w:r w:rsidR="00FD17BB">
        <w:t>ë</w:t>
      </w:r>
      <w:r w:rsidRPr="009475CC">
        <w:t>rgjegj</w:t>
      </w:r>
      <w:r w:rsidR="00FD17BB">
        <w:t>ë</w:t>
      </w:r>
      <w:r w:rsidRPr="009475CC">
        <w:t xml:space="preserve">sues </w:t>
      </w:r>
      <w:r w:rsidR="00FD17BB">
        <w:t>ç</w:t>
      </w:r>
      <w:r w:rsidRPr="009475CC">
        <w:t>do vit.</w:t>
      </w:r>
    </w:p>
    <w:p w14:paraId="5B775742" w14:textId="3534B21F" w:rsidR="006A2D01" w:rsidRPr="009475CC" w:rsidRDefault="00FD17BB" w:rsidP="004A5A4A">
      <w:pPr>
        <w:spacing w:line="240" w:lineRule="auto"/>
        <w:jc w:val="both"/>
        <w:rPr>
          <w:rFonts w:cs="Times New Roman"/>
          <w:szCs w:val="24"/>
          <w:lang w:val="cs-CZ"/>
        </w:rPr>
      </w:pPr>
      <w:r>
        <w:rPr>
          <w:rFonts w:cs="Times New Roman"/>
          <w:b/>
          <w:bCs/>
          <w:szCs w:val="24"/>
          <w:lang w:val="sq-AL"/>
        </w:rPr>
        <w:t xml:space="preserve">Masa </w:t>
      </w:r>
      <w:r w:rsidR="004A5A4A">
        <w:rPr>
          <w:rFonts w:cs="Times New Roman"/>
          <w:b/>
          <w:bCs/>
          <w:szCs w:val="24"/>
          <w:lang w:val="sq-AL"/>
        </w:rPr>
        <w:t>16.</w:t>
      </w:r>
      <w:r>
        <w:rPr>
          <w:rFonts w:cs="Times New Roman"/>
          <w:b/>
          <w:bCs/>
          <w:szCs w:val="24"/>
          <w:lang w:val="sq-AL"/>
        </w:rPr>
        <w:t xml:space="preserve">3: </w:t>
      </w:r>
      <w:r w:rsidR="006A2D01" w:rsidRPr="009475CC">
        <w:rPr>
          <w:rFonts w:cs="Times New Roman"/>
          <w:szCs w:val="24"/>
          <w:lang w:val="sq-AL"/>
        </w:rPr>
        <w:t>Automatizimi i proçesit të matjeve kalibruese n</w:t>
      </w:r>
      <w:r w:rsidR="009301E1">
        <w:rPr>
          <w:rFonts w:cs="Times New Roman"/>
          <w:szCs w:val="24"/>
          <w:lang w:val="sq-AL"/>
        </w:rPr>
        <w:t>ë</w:t>
      </w:r>
      <w:r w:rsidR="006A2D01" w:rsidRPr="009475CC">
        <w:rPr>
          <w:rFonts w:cs="Times New Roman"/>
          <w:szCs w:val="24"/>
          <w:lang w:val="sq-AL"/>
        </w:rPr>
        <w:t xml:space="preserve"> fushat  e termometris</w:t>
      </w:r>
      <w:r w:rsidR="009301E1">
        <w:rPr>
          <w:rFonts w:cs="Times New Roman"/>
          <w:szCs w:val="24"/>
          <w:lang w:val="sq-AL"/>
        </w:rPr>
        <w:t>ë</w:t>
      </w:r>
      <w:r w:rsidR="006A2D01" w:rsidRPr="009475CC">
        <w:rPr>
          <w:rFonts w:cs="Times New Roman"/>
          <w:szCs w:val="24"/>
          <w:lang w:val="sq-AL"/>
        </w:rPr>
        <w:t>, gjat</w:t>
      </w:r>
      <w:r w:rsidR="009301E1">
        <w:rPr>
          <w:rFonts w:cs="Times New Roman"/>
          <w:szCs w:val="24"/>
          <w:lang w:val="sq-AL"/>
        </w:rPr>
        <w:t>ë</w:t>
      </w:r>
      <w:r w:rsidR="006A2D01" w:rsidRPr="009475CC">
        <w:rPr>
          <w:rFonts w:cs="Times New Roman"/>
          <w:szCs w:val="24"/>
          <w:lang w:val="sq-AL"/>
        </w:rPr>
        <w:t>sis</w:t>
      </w:r>
      <w:r w:rsidR="009301E1">
        <w:rPr>
          <w:rFonts w:cs="Times New Roman"/>
          <w:szCs w:val="24"/>
          <w:lang w:val="sq-AL"/>
        </w:rPr>
        <w:t>ë</w:t>
      </w:r>
      <w:r w:rsidR="006A2D01" w:rsidRPr="009475CC">
        <w:rPr>
          <w:rFonts w:cs="Times New Roman"/>
          <w:szCs w:val="24"/>
          <w:lang w:val="sq-AL"/>
        </w:rPr>
        <w:t>, forc</w:t>
      </w:r>
      <w:r w:rsidR="009301E1">
        <w:rPr>
          <w:rFonts w:cs="Times New Roman"/>
          <w:szCs w:val="24"/>
          <w:lang w:val="sq-AL"/>
        </w:rPr>
        <w:t>ës</w:t>
      </w:r>
      <w:r w:rsidR="006A2D01" w:rsidRPr="009475CC">
        <w:rPr>
          <w:rFonts w:cs="Times New Roman"/>
          <w:szCs w:val="24"/>
          <w:lang w:val="sq-AL"/>
        </w:rPr>
        <w:t xml:space="preserve"> </w:t>
      </w:r>
      <w:r w:rsidR="009301E1">
        <w:rPr>
          <w:rFonts w:cs="Times New Roman"/>
          <w:szCs w:val="24"/>
          <w:lang w:val="sq-AL"/>
        </w:rPr>
        <w:t>ë</w:t>
      </w:r>
      <w:r w:rsidR="006A2D01" w:rsidRPr="009475CC">
        <w:rPr>
          <w:rFonts w:cs="Times New Roman"/>
          <w:szCs w:val="24"/>
          <w:lang w:val="sq-AL"/>
        </w:rPr>
        <w:t>sht</w:t>
      </w:r>
      <w:r w:rsidR="009301E1">
        <w:rPr>
          <w:rFonts w:cs="Times New Roman"/>
          <w:szCs w:val="24"/>
          <w:lang w:val="sq-AL"/>
        </w:rPr>
        <w:t>ë</w:t>
      </w:r>
      <w:r w:rsidR="006A2D01" w:rsidRPr="009475CC">
        <w:rPr>
          <w:rFonts w:cs="Times New Roman"/>
          <w:szCs w:val="24"/>
          <w:lang w:val="sq-AL"/>
        </w:rPr>
        <w:t xml:space="preserve"> </w:t>
      </w:r>
      <w:r w:rsidR="006A2D01" w:rsidRPr="009475CC">
        <w:rPr>
          <w:rFonts w:cs="Times New Roman"/>
          <w:szCs w:val="24"/>
          <w:lang w:val="cs-CZ"/>
        </w:rPr>
        <w:t>një element i r</w:t>
      </w:r>
      <w:r w:rsidR="009301E1">
        <w:rPr>
          <w:rFonts w:cs="Times New Roman"/>
          <w:szCs w:val="24"/>
          <w:lang w:val="cs-CZ"/>
        </w:rPr>
        <w:t>ë</w:t>
      </w:r>
      <w:r w:rsidR="006A2D01" w:rsidRPr="009475CC">
        <w:rPr>
          <w:rFonts w:cs="Times New Roman"/>
          <w:szCs w:val="24"/>
          <w:lang w:val="cs-CZ"/>
        </w:rPr>
        <w:t>nd</w:t>
      </w:r>
      <w:r w:rsidR="009301E1">
        <w:rPr>
          <w:rFonts w:cs="Times New Roman"/>
          <w:szCs w:val="24"/>
          <w:lang w:val="cs-CZ"/>
        </w:rPr>
        <w:t>ë</w:t>
      </w:r>
      <w:r w:rsidR="006A2D01" w:rsidRPr="009475CC">
        <w:rPr>
          <w:rFonts w:cs="Times New Roman"/>
          <w:szCs w:val="24"/>
          <w:lang w:val="cs-CZ"/>
        </w:rPr>
        <w:t>sish</w:t>
      </w:r>
      <w:r w:rsidR="009301E1">
        <w:rPr>
          <w:rFonts w:cs="Times New Roman"/>
          <w:szCs w:val="24"/>
          <w:lang w:val="cs-CZ"/>
        </w:rPr>
        <w:t>ë</w:t>
      </w:r>
      <w:r w:rsidR="006A2D01" w:rsidRPr="009475CC">
        <w:rPr>
          <w:rFonts w:cs="Times New Roman"/>
          <w:szCs w:val="24"/>
          <w:lang w:val="cs-CZ"/>
        </w:rPr>
        <w:t>m i çdo ekonomie moderne dhe funksionimi korrekt p</w:t>
      </w:r>
      <w:r w:rsidR="009301E1">
        <w:rPr>
          <w:rFonts w:cs="Times New Roman"/>
          <w:szCs w:val="24"/>
          <w:lang w:val="cs-CZ"/>
        </w:rPr>
        <w:t>ë</w:t>
      </w:r>
      <w:r w:rsidR="006A2D01" w:rsidRPr="009475CC">
        <w:rPr>
          <w:rFonts w:cs="Times New Roman"/>
          <w:szCs w:val="24"/>
          <w:lang w:val="cs-CZ"/>
        </w:rPr>
        <w:t>rcjell efikasitet dhe sigurinë e funksionimit t</w:t>
      </w:r>
      <w:r w:rsidR="009301E1">
        <w:rPr>
          <w:rFonts w:cs="Times New Roman"/>
          <w:szCs w:val="24"/>
          <w:lang w:val="cs-CZ"/>
        </w:rPr>
        <w:t>ë</w:t>
      </w:r>
      <w:r w:rsidR="006A2D01" w:rsidRPr="009475CC">
        <w:rPr>
          <w:rFonts w:cs="Times New Roman"/>
          <w:szCs w:val="24"/>
          <w:lang w:val="cs-CZ"/>
        </w:rPr>
        <w:t xml:space="preserve"> procedurave dhe rritjen e cilësisë së produkteve dhe shërbimeve.</w:t>
      </w:r>
    </w:p>
    <w:p w14:paraId="0C5B6F86" w14:textId="565CAB71" w:rsidR="006A2D01" w:rsidRPr="009475CC" w:rsidRDefault="00FD17BB" w:rsidP="004A5A4A">
      <w:pPr>
        <w:spacing w:line="240" w:lineRule="auto"/>
        <w:jc w:val="both"/>
        <w:rPr>
          <w:rFonts w:cs="Times New Roman"/>
          <w:szCs w:val="24"/>
        </w:rPr>
      </w:pPr>
      <w:r>
        <w:rPr>
          <w:rFonts w:cs="Times New Roman"/>
          <w:b/>
          <w:bCs/>
          <w:szCs w:val="24"/>
          <w:lang w:val="sq-AL"/>
        </w:rPr>
        <w:t xml:space="preserve">Masa </w:t>
      </w:r>
      <w:r w:rsidR="004A5A4A">
        <w:rPr>
          <w:rFonts w:cs="Times New Roman"/>
          <w:b/>
          <w:bCs/>
          <w:szCs w:val="24"/>
          <w:lang w:val="sq-AL"/>
        </w:rPr>
        <w:t>16.</w:t>
      </w:r>
      <w:r>
        <w:rPr>
          <w:rFonts w:cs="Times New Roman"/>
          <w:b/>
          <w:bCs/>
          <w:szCs w:val="24"/>
          <w:lang w:val="sq-AL"/>
        </w:rPr>
        <w:t xml:space="preserve">4: </w:t>
      </w:r>
      <w:r w:rsidR="006A2D01" w:rsidRPr="009475CC">
        <w:rPr>
          <w:rFonts w:cs="Times New Roman"/>
          <w:szCs w:val="24"/>
        </w:rPr>
        <w:t>Planifikimi, përgatitja e materialeve dhe organizimi i aktiviteteve ndërgjegjësuese për konsumator</w:t>
      </w:r>
      <w:r w:rsidR="009301E1">
        <w:rPr>
          <w:rFonts w:cs="Times New Roman"/>
          <w:szCs w:val="24"/>
        </w:rPr>
        <w:t>ë</w:t>
      </w:r>
      <w:r w:rsidR="006A2D01" w:rsidRPr="009475CC">
        <w:rPr>
          <w:rFonts w:cs="Times New Roman"/>
          <w:szCs w:val="24"/>
        </w:rPr>
        <w:t>t dhe subjektet.</w:t>
      </w:r>
    </w:p>
    <w:p w14:paraId="2AD2146A" w14:textId="65E2F733" w:rsidR="006A2D01" w:rsidRPr="009475CC" w:rsidRDefault="00FD17BB" w:rsidP="004A5A4A">
      <w:pPr>
        <w:pStyle w:val="Default"/>
        <w:spacing w:after="160"/>
        <w:jc w:val="both"/>
        <w:rPr>
          <w:b/>
          <w:bCs/>
        </w:rPr>
      </w:pPr>
      <w:r w:rsidRPr="009475CC">
        <w:rPr>
          <w:b/>
          <w:bCs/>
        </w:rPr>
        <w:t xml:space="preserve">Indikatorë: </w:t>
      </w:r>
    </w:p>
    <w:p w14:paraId="5865EAD7" w14:textId="00057D3C" w:rsidR="006A2D01" w:rsidRPr="009475CC" w:rsidRDefault="006A2D01" w:rsidP="004A5A4A">
      <w:pPr>
        <w:pStyle w:val="Default"/>
        <w:spacing w:after="160"/>
        <w:jc w:val="both"/>
      </w:pPr>
      <w:r w:rsidRPr="009475CC">
        <w:t>- Organizimi i nj</w:t>
      </w:r>
      <w:r w:rsidR="009301E1">
        <w:t>ë</w:t>
      </w:r>
      <w:r w:rsidRPr="009475CC">
        <w:t xml:space="preserve"> aktiviteti nd</w:t>
      </w:r>
      <w:r w:rsidR="009301E1">
        <w:t>ë</w:t>
      </w:r>
      <w:r w:rsidRPr="009475CC">
        <w:t>rgjegj</w:t>
      </w:r>
      <w:r w:rsidR="009301E1">
        <w:t>ë</w:t>
      </w:r>
      <w:r w:rsidRPr="009475CC">
        <w:t xml:space="preserve">sues </w:t>
      </w:r>
      <w:r w:rsidR="00FD17BB">
        <w:t>ç</w:t>
      </w:r>
      <w:r w:rsidRPr="009475CC">
        <w:t>do vit.</w:t>
      </w:r>
    </w:p>
    <w:p w14:paraId="58EF2D1F" w14:textId="2A08969F" w:rsidR="006A2D01" w:rsidRPr="009475CC" w:rsidRDefault="006A2D01" w:rsidP="006A2D01">
      <w:pPr>
        <w:pStyle w:val="Default"/>
        <w:jc w:val="both"/>
      </w:pPr>
      <w:r w:rsidRPr="009475CC">
        <w:t xml:space="preserve">- Automatizim </w:t>
      </w:r>
      <w:r w:rsidR="004A5A4A">
        <w:t>i</w:t>
      </w:r>
      <w:r w:rsidRPr="009475CC">
        <w:t xml:space="preserve"> matjeve kalibruese n</w:t>
      </w:r>
      <w:r w:rsidR="000676A0">
        <w:t>ë</w:t>
      </w:r>
      <w:r w:rsidRPr="009475CC">
        <w:t xml:space="preserve"> 3 fusha.</w:t>
      </w:r>
    </w:p>
    <w:p w14:paraId="263168B6" w14:textId="4232770E" w:rsidR="00AF6AC8" w:rsidRPr="009301E1" w:rsidRDefault="00AF6AC8" w:rsidP="00FB63B4">
      <w:pPr>
        <w:pStyle w:val="Heading4"/>
        <w:rPr>
          <w:lang w:val="sq-AL"/>
        </w:rPr>
      </w:pPr>
      <w:bookmarkStart w:id="151" w:name="_Toc132277381"/>
      <w:bookmarkStart w:id="152" w:name="_Hlk121700508"/>
      <w:r w:rsidRPr="0082694C">
        <w:rPr>
          <w:lang w:val="sq-AL"/>
        </w:rPr>
        <w:t>Mbikqyrja e tregut</w:t>
      </w:r>
      <w:bookmarkEnd w:id="151"/>
    </w:p>
    <w:p w14:paraId="253964AC" w14:textId="6DA218EC" w:rsidR="003A27DB" w:rsidRPr="009301E1" w:rsidRDefault="003A27DB" w:rsidP="00FB63B4">
      <w:pPr>
        <w:pStyle w:val="Heading4"/>
        <w:rPr>
          <w:lang w:val="sq-AL"/>
        </w:rPr>
      </w:pPr>
      <w:bookmarkStart w:id="153" w:name="_Toc132277382"/>
      <w:bookmarkEnd w:id="152"/>
      <w:r w:rsidRPr="009301E1">
        <w:rPr>
          <w:lang w:val="sq-AL"/>
        </w:rPr>
        <w:t>A</w:t>
      </w:r>
      <w:r w:rsidR="00CC70A7" w:rsidRPr="009301E1">
        <w:rPr>
          <w:lang w:val="sq-AL"/>
        </w:rPr>
        <w:t xml:space="preserve">utoriteti </w:t>
      </w:r>
      <w:r w:rsidRPr="009301E1">
        <w:rPr>
          <w:lang w:val="sq-AL"/>
        </w:rPr>
        <w:t>K</w:t>
      </w:r>
      <w:r w:rsidR="00CC70A7" w:rsidRPr="009301E1">
        <w:rPr>
          <w:lang w:val="sq-AL"/>
        </w:rPr>
        <w:t xml:space="preserve">ombëtar i </w:t>
      </w:r>
      <w:r w:rsidRPr="009301E1">
        <w:rPr>
          <w:lang w:val="sq-AL"/>
        </w:rPr>
        <w:t>U</w:t>
      </w:r>
      <w:r w:rsidR="00CC70A7" w:rsidRPr="009301E1">
        <w:rPr>
          <w:lang w:val="sq-AL"/>
        </w:rPr>
        <w:t>shqimit</w:t>
      </w:r>
      <w:bookmarkEnd w:id="153"/>
    </w:p>
    <w:tbl>
      <w:tblPr>
        <w:tblStyle w:val="TableGrid"/>
        <w:tblW w:w="0" w:type="auto"/>
        <w:tblLook w:val="04A0" w:firstRow="1" w:lastRow="0" w:firstColumn="1" w:lastColumn="0" w:noHBand="0" w:noVBand="1"/>
      </w:tblPr>
      <w:tblGrid>
        <w:gridCol w:w="9016"/>
      </w:tblGrid>
      <w:tr w:rsidR="00AC7156" w14:paraId="665F1AD0" w14:textId="77777777" w:rsidTr="00AC7156">
        <w:tc>
          <w:tcPr>
            <w:tcW w:w="9016" w:type="dxa"/>
          </w:tcPr>
          <w:p w14:paraId="324386FF" w14:textId="04E555DB" w:rsidR="00AC7156" w:rsidRDefault="00AC7156" w:rsidP="00AC7156">
            <w:pPr>
              <w:jc w:val="both"/>
              <w:rPr>
                <w:rFonts w:cs="Times New Roman"/>
                <w:szCs w:val="24"/>
                <w:lang w:val="sq-AL"/>
              </w:rPr>
            </w:pPr>
            <w:r w:rsidRPr="009475CC">
              <w:rPr>
                <w:rFonts w:cs="Times New Roman"/>
                <w:b/>
                <w:bCs/>
                <w:szCs w:val="24"/>
                <w:lang w:val="sq-AL"/>
              </w:rPr>
              <w:t xml:space="preserve">Objektivi </w:t>
            </w:r>
            <w:r>
              <w:rPr>
                <w:rFonts w:cs="Times New Roman"/>
                <w:b/>
                <w:bCs/>
                <w:szCs w:val="24"/>
                <w:lang w:val="sq-AL"/>
              </w:rPr>
              <w:t>17:</w:t>
            </w:r>
            <w:r w:rsidRPr="009475CC">
              <w:rPr>
                <w:rFonts w:cs="Times New Roman"/>
                <w:szCs w:val="24"/>
                <w:lang w:val="sq-AL"/>
              </w:rPr>
              <w:t xml:space="preserve"> </w:t>
            </w:r>
          </w:p>
          <w:p w14:paraId="40E4963E" w14:textId="5C01205D" w:rsidR="00AC7156" w:rsidRDefault="00AC7156" w:rsidP="00AC7156">
            <w:pPr>
              <w:jc w:val="both"/>
              <w:rPr>
                <w:rFonts w:cs="Times New Roman"/>
                <w:szCs w:val="24"/>
                <w:lang w:val="sq-AL"/>
              </w:rPr>
            </w:pPr>
            <w:r w:rsidRPr="009475CC">
              <w:rPr>
                <w:rFonts w:cs="Times New Roman"/>
                <w:szCs w:val="24"/>
                <w:lang w:val="sq-AL"/>
              </w:rPr>
              <w:t>Forcimi i sistemit t</w:t>
            </w:r>
            <w:r>
              <w:rPr>
                <w:rFonts w:cs="Times New Roman"/>
                <w:szCs w:val="24"/>
                <w:lang w:val="sq-AL"/>
              </w:rPr>
              <w:t>ë</w:t>
            </w:r>
            <w:r w:rsidRPr="009475CC">
              <w:rPr>
                <w:rFonts w:cs="Times New Roman"/>
                <w:szCs w:val="24"/>
                <w:lang w:val="sq-AL"/>
              </w:rPr>
              <w:t xml:space="preserve"> sigurisë ushqimore dhe sistemet e kontrollit me q</w:t>
            </w:r>
            <w:r>
              <w:rPr>
                <w:rFonts w:cs="Times New Roman"/>
                <w:szCs w:val="24"/>
                <w:lang w:val="sq-AL"/>
              </w:rPr>
              <w:t>ë</w:t>
            </w:r>
            <w:r w:rsidRPr="009475CC">
              <w:rPr>
                <w:rFonts w:cs="Times New Roman"/>
                <w:szCs w:val="24"/>
                <w:lang w:val="sq-AL"/>
              </w:rPr>
              <w:t>llim rritjen e cil</w:t>
            </w:r>
            <w:r>
              <w:rPr>
                <w:rFonts w:cs="Times New Roman"/>
                <w:szCs w:val="24"/>
                <w:lang w:val="sq-AL"/>
              </w:rPr>
              <w:t>ë</w:t>
            </w:r>
            <w:r w:rsidRPr="009475CC">
              <w:rPr>
                <w:rFonts w:cs="Times New Roman"/>
                <w:szCs w:val="24"/>
                <w:lang w:val="sq-AL"/>
              </w:rPr>
              <w:t>sis</w:t>
            </w:r>
            <w:r>
              <w:rPr>
                <w:rFonts w:cs="Times New Roman"/>
                <w:szCs w:val="24"/>
                <w:lang w:val="sq-AL"/>
              </w:rPr>
              <w:t>ë</w:t>
            </w:r>
            <w:r w:rsidRPr="009475CC">
              <w:rPr>
                <w:rFonts w:cs="Times New Roman"/>
                <w:szCs w:val="24"/>
                <w:lang w:val="sq-AL"/>
              </w:rPr>
              <w:t xml:space="preserve"> se inspektimeve</w:t>
            </w:r>
            <w:r>
              <w:rPr>
                <w:rFonts w:cs="Times New Roman"/>
                <w:szCs w:val="24"/>
                <w:lang w:val="sq-AL"/>
              </w:rPr>
              <w:t>.</w:t>
            </w:r>
          </w:p>
          <w:p w14:paraId="2DD52E54" w14:textId="77777777" w:rsidR="00AC7156" w:rsidRDefault="00AC7156" w:rsidP="009475CC">
            <w:pPr>
              <w:jc w:val="center"/>
              <w:rPr>
                <w:rFonts w:cs="Times New Roman"/>
                <w:b/>
                <w:szCs w:val="24"/>
                <w:lang w:val="sq-AL"/>
              </w:rPr>
            </w:pPr>
          </w:p>
        </w:tc>
      </w:tr>
    </w:tbl>
    <w:p w14:paraId="7EA3036D" w14:textId="77777777" w:rsidR="009301E1" w:rsidRPr="009475CC" w:rsidRDefault="009301E1" w:rsidP="009475CC">
      <w:pPr>
        <w:spacing w:after="0" w:line="240" w:lineRule="auto"/>
        <w:jc w:val="center"/>
        <w:rPr>
          <w:rFonts w:cs="Times New Roman"/>
          <w:b/>
          <w:szCs w:val="24"/>
          <w:lang w:val="sq-AL"/>
        </w:rPr>
      </w:pPr>
    </w:p>
    <w:p w14:paraId="128B4A56" w14:textId="77777777" w:rsidR="00AC7156" w:rsidRPr="009475CC" w:rsidRDefault="00AC7156" w:rsidP="009475CC">
      <w:pPr>
        <w:spacing w:after="0" w:line="240" w:lineRule="auto"/>
        <w:jc w:val="both"/>
        <w:rPr>
          <w:rFonts w:cs="Times New Roman"/>
          <w:szCs w:val="24"/>
          <w:lang w:val="sq-AL"/>
        </w:rPr>
      </w:pPr>
    </w:p>
    <w:p w14:paraId="3F9CA721" w14:textId="1700D3C4" w:rsidR="0057178C" w:rsidRPr="009475CC" w:rsidRDefault="0057178C" w:rsidP="00AC7156">
      <w:pPr>
        <w:spacing w:line="240" w:lineRule="auto"/>
        <w:jc w:val="both"/>
        <w:rPr>
          <w:rFonts w:cs="Times New Roman"/>
          <w:szCs w:val="24"/>
          <w:lang w:val="sq-AL"/>
        </w:rPr>
      </w:pPr>
      <w:r w:rsidRPr="009475CC">
        <w:rPr>
          <w:rFonts w:cs="Times New Roman"/>
          <w:b/>
          <w:bCs/>
          <w:szCs w:val="24"/>
          <w:lang w:val="sq-AL"/>
        </w:rPr>
        <w:t xml:space="preserve">Masa </w:t>
      </w:r>
      <w:r w:rsidR="00AC7156">
        <w:rPr>
          <w:rFonts w:cs="Times New Roman"/>
          <w:b/>
          <w:bCs/>
          <w:szCs w:val="24"/>
          <w:lang w:val="sq-AL"/>
        </w:rPr>
        <w:t>17.</w:t>
      </w:r>
      <w:r w:rsidRPr="009475CC">
        <w:rPr>
          <w:rFonts w:cs="Times New Roman"/>
          <w:b/>
          <w:bCs/>
          <w:szCs w:val="24"/>
          <w:lang w:val="sq-AL"/>
        </w:rPr>
        <w:t>1:</w:t>
      </w:r>
      <w:r w:rsidRPr="009475CC">
        <w:rPr>
          <w:rFonts w:cs="Times New Roman"/>
          <w:szCs w:val="24"/>
          <w:lang w:val="sq-AL"/>
        </w:rPr>
        <w:t xml:space="preserve"> Draftimi dhe miratimi </w:t>
      </w:r>
      <w:r w:rsidR="00602624">
        <w:rPr>
          <w:rFonts w:cs="Times New Roman"/>
          <w:szCs w:val="24"/>
          <w:lang w:val="sq-AL"/>
        </w:rPr>
        <w:t>i</w:t>
      </w:r>
      <w:r w:rsidRPr="009475CC">
        <w:rPr>
          <w:rFonts w:cs="Times New Roman"/>
          <w:szCs w:val="24"/>
          <w:lang w:val="sq-AL"/>
        </w:rPr>
        <w:t xml:space="preserve">  një metodologjie të re për vlerësimin e riskut  për planifikimin e kontrolleve zyrtare me baz</w:t>
      </w:r>
      <w:r w:rsidR="00EC41E1">
        <w:rPr>
          <w:rFonts w:cs="Times New Roman"/>
          <w:szCs w:val="24"/>
          <w:lang w:val="sq-AL"/>
        </w:rPr>
        <w:t>ë</w:t>
      </w:r>
      <w:r w:rsidRPr="009475CC">
        <w:rPr>
          <w:rFonts w:cs="Times New Roman"/>
          <w:szCs w:val="24"/>
          <w:lang w:val="sq-AL"/>
        </w:rPr>
        <w:t xml:space="preserve"> risku.</w:t>
      </w:r>
    </w:p>
    <w:p w14:paraId="77C46C09" w14:textId="77777777" w:rsidR="0057178C" w:rsidRPr="009475CC" w:rsidRDefault="0057178C" w:rsidP="00AC7156">
      <w:pPr>
        <w:spacing w:line="240" w:lineRule="auto"/>
        <w:jc w:val="both"/>
        <w:rPr>
          <w:rFonts w:cs="Times New Roman"/>
          <w:szCs w:val="24"/>
          <w:lang w:val="sq-AL"/>
        </w:rPr>
      </w:pPr>
      <w:r w:rsidRPr="009475CC">
        <w:rPr>
          <w:rFonts w:cs="Times New Roman"/>
          <w:szCs w:val="24"/>
          <w:lang w:val="sq-AL"/>
        </w:rPr>
        <w:t>Aktualisht AKU  ne bashkëpunim me projektin Irlandez “Food Safety Project” po punon për të zhvilluar një sistem për mbledhjen e të dhënave shtesë mbi aktivitetet e krijimit të biznesit ushqimor me fokus në llojin e ushqimit, metodën e trajtimit, hartën e shpërndarjes dhe madhësinë e biznesit, te dhëna te cilat do të përdoren për të përcaktuar frekuencën e inspektimit. Këto tregues do të shërbejnë për hartimin e planit kombëtar të kontrolleve zyrtare me bazë risku për vitin 2023 e ne vazhdim , gjë e cila do të mundësojë standardizimin e inspektimeve dhe rritjen e cilësisë së tyre.</w:t>
      </w:r>
    </w:p>
    <w:p w14:paraId="4571874F" w14:textId="5CFF0A5A" w:rsidR="0057178C" w:rsidRPr="009475CC" w:rsidRDefault="0057178C" w:rsidP="00AC7156">
      <w:pPr>
        <w:spacing w:line="240" w:lineRule="auto"/>
        <w:jc w:val="both"/>
        <w:rPr>
          <w:rFonts w:cs="Times New Roman"/>
          <w:szCs w:val="24"/>
          <w:lang w:val="sq-AL"/>
        </w:rPr>
      </w:pPr>
      <w:r w:rsidRPr="009475CC">
        <w:rPr>
          <w:rFonts w:cs="Times New Roman"/>
          <w:b/>
          <w:bCs/>
          <w:szCs w:val="24"/>
          <w:lang w:val="sq-AL"/>
        </w:rPr>
        <w:t xml:space="preserve">Masa </w:t>
      </w:r>
      <w:r w:rsidR="00AC7156">
        <w:rPr>
          <w:rFonts w:cs="Times New Roman"/>
          <w:b/>
          <w:bCs/>
          <w:szCs w:val="24"/>
          <w:lang w:val="sq-AL"/>
        </w:rPr>
        <w:t>17.</w:t>
      </w:r>
      <w:r w:rsidRPr="009475CC">
        <w:rPr>
          <w:rFonts w:cs="Times New Roman"/>
          <w:b/>
          <w:bCs/>
          <w:szCs w:val="24"/>
          <w:lang w:val="sq-AL"/>
        </w:rPr>
        <w:t>2</w:t>
      </w:r>
      <w:r w:rsidRPr="009475CC">
        <w:rPr>
          <w:rFonts w:cs="Times New Roman"/>
          <w:szCs w:val="24"/>
          <w:lang w:val="sq-AL"/>
        </w:rPr>
        <w:t>:</w:t>
      </w:r>
      <w:r w:rsidR="00602624">
        <w:rPr>
          <w:rFonts w:cs="Times New Roman"/>
          <w:szCs w:val="24"/>
          <w:lang w:val="sq-AL"/>
        </w:rPr>
        <w:t xml:space="preserve"> </w:t>
      </w:r>
      <w:r w:rsidRPr="009475CC">
        <w:rPr>
          <w:rFonts w:cs="Times New Roman"/>
          <w:szCs w:val="24"/>
          <w:lang w:val="sq-AL"/>
        </w:rPr>
        <w:t>Rritja e kapaciteteve tekniko-profesionale t</w:t>
      </w:r>
      <w:r w:rsidR="00EC41E1">
        <w:rPr>
          <w:rFonts w:cs="Times New Roman"/>
          <w:szCs w:val="24"/>
          <w:lang w:val="sq-AL"/>
        </w:rPr>
        <w:t>ë</w:t>
      </w:r>
      <w:r w:rsidRPr="009475CC">
        <w:rPr>
          <w:rFonts w:cs="Times New Roman"/>
          <w:szCs w:val="24"/>
          <w:lang w:val="sq-AL"/>
        </w:rPr>
        <w:t xml:space="preserve"> stafit t</w:t>
      </w:r>
      <w:r w:rsidR="00EC41E1">
        <w:rPr>
          <w:rFonts w:cs="Times New Roman"/>
          <w:szCs w:val="24"/>
          <w:lang w:val="sq-AL"/>
        </w:rPr>
        <w:t>ë</w:t>
      </w:r>
      <w:r w:rsidRPr="009475CC">
        <w:rPr>
          <w:rFonts w:cs="Times New Roman"/>
          <w:szCs w:val="24"/>
          <w:lang w:val="sq-AL"/>
        </w:rPr>
        <w:t xml:space="preserve"> AKU.</w:t>
      </w:r>
    </w:p>
    <w:p w14:paraId="2F60CD39" w14:textId="42230291" w:rsidR="0057178C" w:rsidRPr="009475CC" w:rsidRDefault="0057178C" w:rsidP="00AC7156">
      <w:pPr>
        <w:spacing w:line="240" w:lineRule="auto"/>
        <w:jc w:val="both"/>
        <w:rPr>
          <w:rFonts w:cs="Times New Roman"/>
          <w:szCs w:val="24"/>
          <w:lang w:val="sq-AL"/>
        </w:rPr>
      </w:pPr>
      <w:r w:rsidRPr="009475CC">
        <w:rPr>
          <w:rFonts w:cs="Times New Roman"/>
          <w:szCs w:val="24"/>
          <w:lang w:val="sq-AL"/>
        </w:rPr>
        <w:t>Trajnimi i inspektorëve është një element shumë i rëndësishëm për rritjen e kapaciteteve tekniko-profesionale, gjë që  ndikon në mënyrë të drejtpërdrejtë në rritjen e performancës së punës së tyre gjatë kontrolleve zyrtare dhe cilësinë e inspektimeve. Pas identifikimit t</w:t>
      </w:r>
      <w:r w:rsidR="00EC41E1">
        <w:rPr>
          <w:rFonts w:cs="Times New Roman"/>
          <w:szCs w:val="24"/>
          <w:lang w:val="sq-AL"/>
        </w:rPr>
        <w:t>ë</w:t>
      </w:r>
      <w:r w:rsidRPr="009475CC">
        <w:rPr>
          <w:rFonts w:cs="Times New Roman"/>
          <w:szCs w:val="24"/>
          <w:lang w:val="sq-AL"/>
        </w:rPr>
        <w:t xml:space="preserve">  nevojave  për trajnimin e stafit, sektori i trajnimeve do t</w:t>
      </w:r>
      <w:r w:rsidR="00EC41E1">
        <w:rPr>
          <w:rFonts w:cs="Times New Roman"/>
          <w:szCs w:val="24"/>
          <w:lang w:val="sq-AL"/>
        </w:rPr>
        <w:t>ë</w:t>
      </w:r>
      <w:r w:rsidRPr="009475CC">
        <w:rPr>
          <w:rFonts w:cs="Times New Roman"/>
          <w:szCs w:val="24"/>
          <w:lang w:val="sq-AL"/>
        </w:rPr>
        <w:t xml:space="preserve"> organizoj</w:t>
      </w:r>
      <w:r w:rsidR="00EC41E1">
        <w:rPr>
          <w:rFonts w:cs="Times New Roman"/>
          <w:szCs w:val="24"/>
          <w:lang w:val="sq-AL"/>
        </w:rPr>
        <w:t>ë</w:t>
      </w:r>
      <w:r w:rsidRPr="009475CC">
        <w:rPr>
          <w:rFonts w:cs="Times New Roman"/>
          <w:szCs w:val="24"/>
          <w:lang w:val="sq-AL"/>
        </w:rPr>
        <w:t xml:space="preserve"> nj</w:t>
      </w:r>
      <w:r w:rsidR="00EC41E1">
        <w:rPr>
          <w:rFonts w:cs="Times New Roman"/>
          <w:szCs w:val="24"/>
          <w:lang w:val="sq-AL"/>
        </w:rPr>
        <w:t>ë</w:t>
      </w:r>
      <w:r w:rsidRPr="009475CC">
        <w:rPr>
          <w:rFonts w:cs="Times New Roman"/>
          <w:szCs w:val="24"/>
          <w:lang w:val="sq-AL"/>
        </w:rPr>
        <w:t xml:space="preserve"> agjendë me  temën e trajnimit si dhe modulet përkatëse për realizimin e trajnimit, punonjësit q</w:t>
      </w:r>
      <w:r w:rsidR="00EC41E1">
        <w:rPr>
          <w:rFonts w:cs="Times New Roman"/>
          <w:szCs w:val="24"/>
          <w:lang w:val="sq-AL"/>
        </w:rPr>
        <w:t>ë</w:t>
      </w:r>
      <w:r w:rsidRPr="009475CC">
        <w:rPr>
          <w:rFonts w:cs="Times New Roman"/>
          <w:szCs w:val="24"/>
          <w:lang w:val="sq-AL"/>
        </w:rPr>
        <w:t xml:space="preserve"> do t</w:t>
      </w:r>
      <w:r w:rsidR="00EC41E1">
        <w:rPr>
          <w:rFonts w:cs="Times New Roman"/>
          <w:szCs w:val="24"/>
          <w:lang w:val="sq-AL"/>
        </w:rPr>
        <w:t>ë</w:t>
      </w:r>
      <w:r w:rsidRPr="009475CC">
        <w:rPr>
          <w:rFonts w:cs="Times New Roman"/>
          <w:szCs w:val="24"/>
          <w:lang w:val="sq-AL"/>
        </w:rPr>
        <w:t xml:space="preserve"> trajnohen si dhe afatet e realizimit t</w:t>
      </w:r>
      <w:r w:rsidR="00EC41E1">
        <w:rPr>
          <w:rFonts w:cs="Times New Roman"/>
          <w:szCs w:val="24"/>
          <w:lang w:val="sq-AL"/>
        </w:rPr>
        <w:t>ë</w:t>
      </w:r>
      <w:r w:rsidRPr="009475CC">
        <w:rPr>
          <w:rFonts w:cs="Times New Roman"/>
          <w:szCs w:val="24"/>
          <w:lang w:val="sq-AL"/>
        </w:rPr>
        <w:t xml:space="preserve"> këtyre trajnimeve.</w:t>
      </w:r>
    </w:p>
    <w:p w14:paraId="2FADD049" w14:textId="3B1DF8F7" w:rsidR="0057178C" w:rsidRPr="009475CC" w:rsidRDefault="0057178C" w:rsidP="00AC7156">
      <w:pPr>
        <w:spacing w:line="240" w:lineRule="auto"/>
        <w:jc w:val="both"/>
        <w:rPr>
          <w:rFonts w:cs="Times New Roman"/>
          <w:b/>
          <w:szCs w:val="24"/>
          <w:lang w:val="sq-AL"/>
        </w:rPr>
      </w:pPr>
      <w:r w:rsidRPr="009475CC">
        <w:rPr>
          <w:rFonts w:cs="Times New Roman"/>
          <w:b/>
          <w:szCs w:val="24"/>
          <w:lang w:val="sq-AL"/>
        </w:rPr>
        <w:t>Indikator</w:t>
      </w:r>
      <w:r w:rsidR="00602624">
        <w:rPr>
          <w:rFonts w:cs="Times New Roman"/>
          <w:b/>
          <w:szCs w:val="24"/>
          <w:lang w:val="sq-AL"/>
        </w:rPr>
        <w:t>ë</w:t>
      </w:r>
      <w:r w:rsidRPr="009475CC">
        <w:rPr>
          <w:rFonts w:cs="Times New Roman"/>
          <w:b/>
          <w:szCs w:val="24"/>
          <w:lang w:val="sq-AL"/>
        </w:rPr>
        <w:t>t</w:t>
      </w:r>
    </w:p>
    <w:p w14:paraId="3A1C4C6C" w14:textId="3275FCF6" w:rsidR="0057178C" w:rsidRPr="009475CC" w:rsidRDefault="0057178C" w:rsidP="00AC7156">
      <w:pPr>
        <w:spacing w:line="240" w:lineRule="auto"/>
        <w:jc w:val="both"/>
        <w:rPr>
          <w:rFonts w:cs="Times New Roman"/>
          <w:szCs w:val="24"/>
          <w:lang w:val="sq-AL"/>
        </w:rPr>
      </w:pPr>
      <w:r w:rsidRPr="009475CC">
        <w:rPr>
          <w:rFonts w:cs="Times New Roman"/>
          <w:szCs w:val="24"/>
          <w:lang w:val="sq-AL"/>
        </w:rPr>
        <w:t xml:space="preserve"> </w:t>
      </w:r>
      <w:r w:rsidR="00322AB0">
        <w:rPr>
          <w:rFonts w:cs="Times New Roman"/>
          <w:szCs w:val="24"/>
          <w:lang w:val="sq-AL"/>
        </w:rPr>
        <w:t xml:space="preserve">- </w:t>
      </w:r>
      <w:r w:rsidR="00AC7156">
        <w:rPr>
          <w:rFonts w:cs="Times New Roman"/>
          <w:szCs w:val="24"/>
          <w:lang w:val="sq-AL"/>
        </w:rPr>
        <w:t>M</w:t>
      </w:r>
      <w:r w:rsidRPr="009475CC">
        <w:rPr>
          <w:rFonts w:cs="Times New Roman"/>
          <w:szCs w:val="24"/>
          <w:lang w:val="sq-AL"/>
        </w:rPr>
        <w:t>etodologji</w:t>
      </w:r>
      <w:r w:rsidR="00AC7156">
        <w:rPr>
          <w:rFonts w:cs="Times New Roman"/>
          <w:szCs w:val="24"/>
          <w:lang w:val="sq-AL"/>
        </w:rPr>
        <w:t>a</w:t>
      </w:r>
      <w:r w:rsidRPr="009475CC">
        <w:rPr>
          <w:rFonts w:cs="Times New Roman"/>
          <w:szCs w:val="24"/>
          <w:lang w:val="sq-AL"/>
        </w:rPr>
        <w:t xml:space="preserve">  </w:t>
      </w:r>
      <w:r w:rsidR="00AC7156">
        <w:rPr>
          <w:rFonts w:cs="Times New Roman"/>
          <w:szCs w:val="24"/>
          <w:lang w:val="sq-AL"/>
        </w:rPr>
        <w:t>e re</w:t>
      </w:r>
      <w:r w:rsidR="00AC7156" w:rsidRPr="009475CC">
        <w:rPr>
          <w:rFonts w:cs="Times New Roman"/>
          <w:szCs w:val="24"/>
          <w:lang w:val="sq-AL"/>
        </w:rPr>
        <w:t xml:space="preserve"> </w:t>
      </w:r>
      <w:r w:rsidRPr="009475CC">
        <w:rPr>
          <w:rFonts w:cs="Times New Roman"/>
          <w:szCs w:val="24"/>
          <w:lang w:val="sq-AL"/>
        </w:rPr>
        <w:t>p</w:t>
      </w:r>
      <w:r w:rsidR="00EC41E1">
        <w:rPr>
          <w:rFonts w:cs="Times New Roman"/>
          <w:szCs w:val="24"/>
          <w:lang w:val="sq-AL"/>
        </w:rPr>
        <w:t>ë</w:t>
      </w:r>
      <w:r w:rsidRPr="009475CC">
        <w:rPr>
          <w:rFonts w:cs="Times New Roman"/>
          <w:szCs w:val="24"/>
          <w:lang w:val="sq-AL"/>
        </w:rPr>
        <w:t>r vler</w:t>
      </w:r>
      <w:r w:rsidR="00EC41E1">
        <w:rPr>
          <w:rFonts w:cs="Times New Roman"/>
          <w:szCs w:val="24"/>
          <w:lang w:val="sq-AL"/>
        </w:rPr>
        <w:t>ë</w:t>
      </w:r>
      <w:r w:rsidRPr="009475CC">
        <w:rPr>
          <w:rFonts w:cs="Times New Roman"/>
          <w:szCs w:val="24"/>
          <w:lang w:val="sq-AL"/>
        </w:rPr>
        <w:t>simin e riskut t</w:t>
      </w:r>
      <w:r w:rsidR="00EC41E1">
        <w:rPr>
          <w:rFonts w:cs="Times New Roman"/>
          <w:szCs w:val="24"/>
          <w:lang w:val="sq-AL"/>
        </w:rPr>
        <w:t>ë</w:t>
      </w:r>
      <w:r w:rsidRPr="009475CC">
        <w:rPr>
          <w:rFonts w:cs="Times New Roman"/>
          <w:szCs w:val="24"/>
          <w:lang w:val="sq-AL"/>
        </w:rPr>
        <w:t xml:space="preserve"> kontrolleve zyrtare me bazë risku </w:t>
      </w:r>
      <w:r w:rsidR="00AC7156">
        <w:rPr>
          <w:rFonts w:cs="Times New Roman"/>
          <w:szCs w:val="24"/>
          <w:lang w:val="sq-AL"/>
        </w:rPr>
        <w:t xml:space="preserve">e miratuar me urdhër ministri </w:t>
      </w:r>
      <w:r w:rsidRPr="009475CC">
        <w:rPr>
          <w:rFonts w:cs="Times New Roman"/>
          <w:szCs w:val="24"/>
          <w:lang w:val="sq-AL"/>
        </w:rPr>
        <w:t>për vitin 2023 e n</w:t>
      </w:r>
      <w:r w:rsidR="00EC41E1">
        <w:rPr>
          <w:rFonts w:cs="Times New Roman"/>
          <w:szCs w:val="24"/>
          <w:lang w:val="sq-AL"/>
        </w:rPr>
        <w:t>ë</w:t>
      </w:r>
      <w:r w:rsidRPr="009475CC">
        <w:rPr>
          <w:rFonts w:cs="Times New Roman"/>
          <w:szCs w:val="24"/>
          <w:lang w:val="sq-AL"/>
        </w:rPr>
        <w:t xml:space="preserve"> vazhdim me q</w:t>
      </w:r>
      <w:r w:rsidR="00EC41E1">
        <w:rPr>
          <w:rFonts w:cs="Times New Roman"/>
          <w:szCs w:val="24"/>
          <w:lang w:val="sq-AL"/>
        </w:rPr>
        <w:t>ë</w:t>
      </w:r>
      <w:r w:rsidRPr="009475CC">
        <w:rPr>
          <w:rFonts w:cs="Times New Roman"/>
          <w:szCs w:val="24"/>
          <w:lang w:val="sq-AL"/>
        </w:rPr>
        <w:t>llim standardizimin e inspektimeve dhe rritjen e cilësisë së tyre.</w:t>
      </w:r>
    </w:p>
    <w:p w14:paraId="6AACA525" w14:textId="3F619F63" w:rsidR="0057178C" w:rsidRPr="00322AB0" w:rsidRDefault="00AC7156" w:rsidP="00623352">
      <w:pPr>
        <w:pStyle w:val="ListParagraph"/>
        <w:numPr>
          <w:ilvl w:val="0"/>
          <w:numId w:val="7"/>
        </w:numPr>
        <w:spacing w:line="240" w:lineRule="auto"/>
        <w:jc w:val="both"/>
        <w:rPr>
          <w:rFonts w:cs="Times New Roman"/>
          <w:szCs w:val="24"/>
          <w:lang w:val="sq-AL"/>
        </w:rPr>
      </w:pPr>
      <w:r w:rsidRPr="00322AB0">
        <w:rPr>
          <w:rFonts w:cs="Times New Roman"/>
          <w:szCs w:val="24"/>
          <w:lang w:val="sq-AL"/>
        </w:rPr>
        <w:t xml:space="preserve">zhvillimi i </w:t>
      </w:r>
      <w:r w:rsidR="0057178C" w:rsidRPr="00322AB0">
        <w:rPr>
          <w:rFonts w:cs="Times New Roman"/>
          <w:szCs w:val="24"/>
          <w:lang w:val="sq-AL"/>
        </w:rPr>
        <w:t>65 trajnime</w:t>
      </w:r>
      <w:r w:rsidRPr="00322AB0">
        <w:rPr>
          <w:rFonts w:cs="Times New Roman"/>
          <w:szCs w:val="24"/>
          <w:lang w:val="sq-AL"/>
        </w:rPr>
        <w:t>ve brenda afatit kohor 7 vjecar</w:t>
      </w:r>
      <w:r w:rsidR="0057178C" w:rsidRPr="00322AB0">
        <w:rPr>
          <w:rFonts w:cs="Times New Roman"/>
          <w:szCs w:val="24"/>
          <w:lang w:val="sq-AL"/>
        </w:rPr>
        <w:t xml:space="preserve">  n</w:t>
      </w:r>
      <w:r w:rsidR="00EC41E1" w:rsidRPr="00322AB0">
        <w:rPr>
          <w:rFonts w:cs="Times New Roman"/>
          <w:szCs w:val="24"/>
          <w:lang w:val="sq-AL"/>
        </w:rPr>
        <w:t>ë</w:t>
      </w:r>
      <w:r w:rsidR="0057178C" w:rsidRPr="00322AB0">
        <w:rPr>
          <w:rFonts w:cs="Times New Roman"/>
          <w:szCs w:val="24"/>
          <w:lang w:val="sq-AL"/>
        </w:rPr>
        <w:t xml:space="preserve"> kuad</w:t>
      </w:r>
      <w:r w:rsidR="00EC41E1" w:rsidRPr="00322AB0">
        <w:rPr>
          <w:rFonts w:cs="Times New Roman"/>
          <w:szCs w:val="24"/>
          <w:lang w:val="sq-AL"/>
        </w:rPr>
        <w:t>ë</w:t>
      </w:r>
      <w:r w:rsidR="0057178C" w:rsidRPr="00322AB0">
        <w:rPr>
          <w:rFonts w:cs="Times New Roman"/>
          <w:szCs w:val="24"/>
          <w:lang w:val="sq-AL"/>
        </w:rPr>
        <w:t>r t</w:t>
      </w:r>
      <w:r w:rsidR="00EC41E1" w:rsidRPr="00322AB0">
        <w:rPr>
          <w:rFonts w:cs="Times New Roman"/>
          <w:szCs w:val="24"/>
          <w:lang w:val="sq-AL"/>
        </w:rPr>
        <w:t>ë</w:t>
      </w:r>
      <w:r w:rsidR="0057178C" w:rsidRPr="00322AB0">
        <w:rPr>
          <w:rFonts w:cs="Times New Roman"/>
          <w:szCs w:val="24"/>
          <w:lang w:val="sq-AL"/>
        </w:rPr>
        <w:t xml:space="preserve"> rritjes s</w:t>
      </w:r>
      <w:r w:rsidR="00EC41E1" w:rsidRPr="00322AB0">
        <w:rPr>
          <w:rFonts w:cs="Times New Roman"/>
          <w:szCs w:val="24"/>
          <w:lang w:val="sq-AL"/>
        </w:rPr>
        <w:t>ë</w:t>
      </w:r>
      <w:r w:rsidR="0057178C" w:rsidRPr="00322AB0">
        <w:rPr>
          <w:rFonts w:cs="Times New Roman"/>
          <w:szCs w:val="24"/>
          <w:lang w:val="sq-AL"/>
        </w:rPr>
        <w:t xml:space="preserve"> kapaciteteve tekniko profesionale</w:t>
      </w:r>
      <w:r w:rsidR="00602624" w:rsidRPr="00322AB0">
        <w:rPr>
          <w:rFonts w:cs="Times New Roman"/>
          <w:szCs w:val="24"/>
          <w:lang w:val="sq-AL"/>
        </w:rPr>
        <w:t>.</w:t>
      </w:r>
      <w:r w:rsidR="0057178C" w:rsidRPr="00322AB0">
        <w:rPr>
          <w:rFonts w:cs="Times New Roman"/>
          <w:szCs w:val="24"/>
          <w:lang w:val="sq-AL"/>
        </w:rPr>
        <w:t xml:space="preserve"> </w:t>
      </w:r>
    </w:p>
    <w:tbl>
      <w:tblPr>
        <w:tblStyle w:val="TableGrid"/>
        <w:tblW w:w="0" w:type="auto"/>
        <w:tblLook w:val="04A0" w:firstRow="1" w:lastRow="0" w:firstColumn="1" w:lastColumn="0" w:noHBand="0" w:noVBand="1"/>
      </w:tblPr>
      <w:tblGrid>
        <w:gridCol w:w="9016"/>
      </w:tblGrid>
      <w:tr w:rsidR="00AC7156" w14:paraId="346252C5" w14:textId="77777777" w:rsidTr="00AC7156">
        <w:tc>
          <w:tcPr>
            <w:tcW w:w="9016" w:type="dxa"/>
          </w:tcPr>
          <w:p w14:paraId="6D8C2487" w14:textId="1F2C7115" w:rsidR="00AC7156" w:rsidRPr="00AC7156" w:rsidRDefault="00AC7156" w:rsidP="00AC7156">
            <w:pPr>
              <w:jc w:val="both"/>
              <w:rPr>
                <w:rFonts w:cs="Times New Roman"/>
                <w:szCs w:val="24"/>
                <w:lang w:val="sq-AL"/>
              </w:rPr>
            </w:pPr>
            <w:r w:rsidRPr="009475CC">
              <w:rPr>
                <w:rFonts w:cs="Times New Roman"/>
                <w:b/>
                <w:szCs w:val="24"/>
                <w:lang w:val="sq-AL"/>
              </w:rPr>
              <w:lastRenderedPageBreak/>
              <w:t>Objektivi</w:t>
            </w:r>
            <w:r>
              <w:rPr>
                <w:rFonts w:cs="Times New Roman"/>
                <w:b/>
                <w:szCs w:val="24"/>
                <w:lang w:val="sq-AL"/>
              </w:rPr>
              <w:t xml:space="preserve"> 18</w:t>
            </w:r>
            <w:r>
              <w:rPr>
                <w:rFonts w:cs="Times New Roman"/>
                <w:szCs w:val="24"/>
                <w:lang w:val="sq-AL"/>
              </w:rPr>
              <w:t>:</w:t>
            </w:r>
            <w:r w:rsidRPr="009475CC">
              <w:rPr>
                <w:rFonts w:cs="Times New Roman"/>
                <w:szCs w:val="24"/>
                <w:lang w:val="sq-AL"/>
              </w:rPr>
              <w:t xml:space="preserve">  Zbatimi i rregullave të sigurisë ushqimore përmes kontrolleve zyrtare të përmirësuara, përfshirë kushtet e kontrollit dhe kontrollet;</w:t>
            </w:r>
          </w:p>
        </w:tc>
      </w:tr>
    </w:tbl>
    <w:p w14:paraId="12FDECFF" w14:textId="77777777" w:rsidR="00AC7156" w:rsidRDefault="00AC7156" w:rsidP="00AC7156">
      <w:pPr>
        <w:spacing w:line="240" w:lineRule="auto"/>
        <w:jc w:val="both"/>
        <w:rPr>
          <w:rFonts w:cs="Times New Roman"/>
          <w:b/>
          <w:bCs/>
          <w:szCs w:val="24"/>
          <w:lang w:val="sq-AL"/>
        </w:rPr>
      </w:pPr>
    </w:p>
    <w:p w14:paraId="03B499B0" w14:textId="35C6497C" w:rsidR="0057178C" w:rsidRPr="009475CC" w:rsidRDefault="0057178C" w:rsidP="00AC7156">
      <w:pPr>
        <w:spacing w:line="240" w:lineRule="auto"/>
        <w:jc w:val="both"/>
        <w:rPr>
          <w:rFonts w:cs="Times New Roman"/>
          <w:szCs w:val="24"/>
          <w:lang w:val="sq-AL"/>
        </w:rPr>
      </w:pPr>
      <w:r w:rsidRPr="009475CC">
        <w:rPr>
          <w:rFonts w:cs="Times New Roman"/>
          <w:b/>
          <w:bCs/>
          <w:szCs w:val="24"/>
          <w:lang w:val="sq-AL"/>
        </w:rPr>
        <w:t>Masa</w:t>
      </w:r>
      <w:r w:rsidR="00AC7156">
        <w:rPr>
          <w:rFonts w:cs="Times New Roman"/>
          <w:b/>
          <w:bCs/>
          <w:szCs w:val="24"/>
          <w:lang w:val="sq-AL"/>
        </w:rPr>
        <w:t xml:space="preserve"> 18.</w:t>
      </w:r>
      <w:r w:rsidRPr="009475CC">
        <w:rPr>
          <w:rFonts w:cs="Times New Roman"/>
          <w:b/>
          <w:bCs/>
          <w:szCs w:val="24"/>
          <w:lang w:val="sq-AL"/>
        </w:rPr>
        <w:t>1</w:t>
      </w:r>
      <w:r w:rsidR="00052A25">
        <w:rPr>
          <w:rFonts w:cs="Times New Roman"/>
          <w:b/>
          <w:bCs/>
          <w:szCs w:val="24"/>
          <w:lang w:val="sq-AL"/>
        </w:rPr>
        <w:t>:</w:t>
      </w:r>
      <w:r w:rsidRPr="009475CC">
        <w:rPr>
          <w:rFonts w:cs="Times New Roman"/>
          <w:szCs w:val="24"/>
          <w:lang w:val="sq-AL"/>
        </w:rPr>
        <w:t xml:space="preserve"> Rivitalizimi i Sistemit AKU-net.</w:t>
      </w:r>
    </w:p>
    <w:p w14:paraId="42789D53" w14:textId="4BFDB0C9" w:rsidR="0057178C" w:rsidRPr="009475CC" w:rsidRDefault="0057178C" w:rsidP="00AC7156">
      <w:pPr>
        <w:spacing w:line="240" w:lineRule="auto"/>
        <w:jc w:val="both"/>
        <w:rPr>
          <w:rFonts w:cs="Times New Roman"/>
          <w:szCs w:val="24"/>
          <w:lang w:val="sq-AL"/>
        </w:rPr>
      </w:pPr>
      <w:r w:rsidRPr="009475CC">
        <w:rPr>
          <w:rFonts w:cs="Times New Roman"/>
          <w:szCs w:val="24"/>
          <w:lang w:val="sq-AL"/>
        </w:rPr>
        <w:t>Nëpërmjet riaktivizimit t</w:t>
      </w:r>
      <w:r w:rsidR="00EC41E1">
        <w:rPr>
          <w:rFonts w:cs="Times New Roman"/>
          <w:szCs w:val="24"/>
          <w:lang w:val="sq-AL"/>
        </w:rPr>
        <w:t>ë</w:t>
      </w:r>
      <w:r w:rsidRPr="009475CC">
        <w:rPr>
          <w:rFonts w:cs="Times New Roman"/>
          <w:szCs w:val="24"/>
          <w:lang w:val="sq-AL"/>
        </w:rPr>
        <w:t xml:space="preserve"> sistemit AKU-net do të mundësohet marrja e të dhënave mbi historikun e OBU, të cilën nuk e mundëson sistemi e-inspektimi si dhe kryerjen e procedur</w:t>
      </w:r>
      <w:r w:rsidR="00EC41E1">
        <w:rPr>
          <w:rFonts w:cs="Times New Roman"/>
          <w:szCs w:val="24"/>
          <w:lang w:val="sq-AL"/>
        </w:rPr>
        <w:t>ë</w:t>
      </w:r>
      <w:r w:rsidRPr="009475CC">
        <w:rPr>
          <w:rFonts w:cs="Times New Roman"/>
          <w:szCs w:val="24"/>
          <w:lang w:val="sq-AL"/>
        </w:rPr>
        <w:t>s s</w:t>
      </w:r>
      <w:r w:rsidR="00EC41E1">
        <w:rPr>
          <w:rFonts w:cs="Times New Roman"/>
          <w:szCs w:val="24"/>
          <w:lang w:val="sq-AL"/>
        </w:rPr>
        <w:t>ë</w:t>
      </w:r>
      <w:r w:rsidRPr="009475CC">
        <w:rPr>
          <w:rFonts w:cs="Times New Roman"/>
          <w:szCs w:val="24"/>
          <w:lang w:val="sq-AL"/>
        </w:rPr>
        <w:t xml:space="preserve"> inspektimit on-line nga inspektoret e Pikave t</w:t>
      </w:r>
      <w:r w:rsidR="00EC41E1">
        <w:rPr>
          <w:rFonts w:cs="Times New Roman"/>
          <w:szCs w:val="24"/>
          <w:lang w:val="sq-AL"/>
        </w:rPr>
        <w:t>ë</w:t>
      </w:r>
      <w:r w:rsidRPr="009475CC">
        <w:rPr>
          <w:rFonts w:cs="Times New Roman"/>
          <w:szCs w:val="24"/>
          <w:lang w:val="sq-AL"/>
        </w:rPr>
        <w:t xml:space="preserve"> Inspektimit Kufitar</w:t>
      </w:r>
      <w:r w:rsidR="00EC41E1">
        <w:rPr>
          <w:rFonts w:cs="Times New Roman"/>
          <w:szCs w:val="24"/>
          <w:lang w:val="sq-AL"/>
        </w:rPr>
        <w:t xml:space="preserve"> </w:t>
      </w:r>
      <w:r w:rsidRPr="009475CC">
        <w:rPr>
          <w:rFonts w:cs="Times New Roman"/>
          <w:szCs w:val="24"/>
          <w:lang w:val="sq-AL"/>
        </w:rPr>
        <w:t>(PIK)</w:t>
      </w:r>
      <w:r w:rsidR="00EC41E1">
        <w:rPr>
          <w:rFonts w:cs="Times New Roman"/>
          <w:szCs w:val="24"/>
          <w:lang w:val="sq-AL"/>
        </w:rPr>
        <w:t>.</w:t>
      </w:r>
    </w:p>
    <w:p w14:paraId="28384F52" w14:textId="6CC3C6F0" w:rsidR="0057178C" w:rsidRPr="009475CC" w:rsidRDefault="0057178C" w:rsidP="00AC7156">
      <w:pPr>
        <w:spacing w:line="240" w:lineRule="auto"/>
        <w:jc w:val="both"/>
        <w:rPr>
          <w:rFonts w:cs="Times New Roman"/>
          <w:szCs w:val="24"/>
          <w:lang w:val="sq-AL"/>
        </w:rPr>
      </w:pPr>
      <w:r w:rsidRPr="009475CC">
        <w:rPr>
          <w:rFonts w:cs="Times New Roman"/>
          <w:b/>
          <w:bCs/>
          <w:szCs w:val="24"/>
          <w:lang w:val="sq-AL"/>
        </w:rPr>
        <w:t xml:space="preserve">Masa </w:t>
      </w:r>
      <w:r w:rsidR="00AC7156">
        <w:rPr>
          <w:rFonts w:cs="Times New Roman"/>
          <w:b/>
          <w:bCs/>
          <w:szCs w:val="24"/>
          <w:lang w:val="sq-AL"/>
        </w:rPr>
        <w:t>18.</w:t>
      </w:r>
      <w:r w:rsidRPr="009475CC">
        <w:rPr>
          <w:rFonts w:cs="Times New Roman"/>
          <w:b/>
          <w:bCs/>
          <w:szCs w:val="24"/>
          <w:lang w:val="sq-AL"/>
        </w:rPr>
        <w:t>2</w:t>
      </w:r>
      <w:r w:rsidR="00052A25" w:rsidRPr="009475CC">
        <w:rPr>
          <w:rFonts w:cs="Times New Roman"/>
          <w:b/>
          <w:bCs/>
          <w:szCs w:val="24"/>
          <w:lang w:val="sq-AL"/>
        </w:rPr>
        <w:t>:</w:t>
      </w:r>
      <w:r w:rsidRPr="009475CC">
        <w:rPr>
          <w:rFonts w:cs="Times New Roman"/>
          <w:szCs w:val="24"/>
          <w:lang w:val="sq-AL"/>
        </w:rPr>
        <w:t xml:space="preserve"> Përmirësimi i infrastrukturës për marrjen e mostrës, garantimin dhe dërgimin e tyre në laboratorët respe</w:t>
      </w:r>
      <w:r w:rsidR="00681C5A">
        <w:rPr>
          <w:rFonts w:cs="Times New Roman"/>
          <w:szCs w:val="24"/>
          <w:lang w:val="sq-AL"/>
        </w:rPr>
        <w:t>k</w:t>
      </w:r>
      <w:r w:rsidRPr="009475CC">
        <w:rPr>
          <w:rFonts w:cs="Times New Roman"/>
          <w:szCs w:val="24"/>
          <w:lang w:val="sq-AL"/>
        </w:rPr>
        <w:t>tive.</w:t>
      </w:r>
    </w:p>
    <w:p w14:paraId="1347D249" w14:textId="0E0FAF9D" w:rsidR="0057178C" w:rsidRPr="009475CC" w:rsidRDefault="0057178C" w:rsidP="00AC7156">
      <w:pPr>
        <w:spacing w:line="240" w:lineRule="auto"/>
        <w:jc w:val="both"/>
        <w:rPr>
          <w:rFonts w:cs="Times New Roman"/>
          <w:szCs w:val="24"/>
          <w:lang w:val="sq-AL"/>
        </w:rPr>
      </w:pPr>
      <w:r w:rsidRPr="009475CC">
        <w:rPr>
          <w:rFonts w:cs="Times New Roman"/>
          <w:szCs w:val="24"/>
          <w:lang w:val="sq-AL"/>
        </w:rPr>
        <w:t>Mungesa e mjeteve  për marrjen e mostrës si dhe pajisjeve për dërgimin e tyre n</w:t>
      </w:r>
      <w:r w:rsidR="00681C5A">
        <w:rPr>
          <w:rFonts w:cs="Times New Roman"/>
          <w:szCs w:val="24"/>
          <w:lang w:val="sq-AL"/>
        </w:rPr>
        <w:t>ë</w:t>
      </w:r>
      <w:r w:rsidRPr="009475CC">
        <w:rPr>
          <w:rFonts w:cs="Times New Roman"/>
          <w:szCs w:val="24"/>
          <w:lang w:val="sq-AL"/>
        </w:rPr>
        <w:t xml:space="preserve"> laborator, kryesisht për mostra q</w:t>
      </w:r>
      <w:r w:rsidR="00681C5A">
        <w:rPr>
          <w:rFonts w:cs="Times New Roman"/>
          <w:szCs w:val="24"/>
          <w:lang w:val="sq-AL"/>
        </w:rPr>
        <w:t>ë</w:t>
      </w:r>
      <w:r w:rsidRPr="009475CC">
        <w:rPr>
          <w:rFonts w:cs="Times New Roman"/>
          <w:szCs w:val="24"/>
          <w:lang w:val="sq-AL"/>
        </w:rPr>
        <w:t xml:space="preserve"> kërkojnë t</w:t>
      </w:r>
      <w:r w:rsidR="00681C5A">
        <w:rPr>
          <w:rFonts w:cs="Times New Roman"/>
          <w:szCs w:val="24"/>
          <w:lang w:val="sq-AL"/>
        </w:rPr>
        <w:t>ë</w:t>
      </w:r>
      <w:r w:rsidRPr="009475CC">
        <w:rPr>
          <w:rFonts w:cs="Times New Roman"/>
          <w:szCs w:val="24"/>
          <w:lang w:val="sq-AL"/>
        </w:rPr>
        <w:t xml:space="preserve"> transportohen n</w:t>
      </w:r>
      <w:r w:rsidR="00681C5A">
        <w:rPr>
          <w:rFonts w:cs="Times New Roman"/>
          <w:szCs w:val="24"/>
          <w:lang w:val="sq-AL"/>
        </w:rPr>
        <w:t>ë</w:t>
      </w:r>
      <w:r w:rsidRPr="009475CC">
        <w:rPr>
          <w:rFonts w:cs="Times New Roman"/>
          <w:szCs w:val="24"/>
          <w:lang w:val="sq-AL"/>
        </w:rPr>
        <w:t>n një regjim termik t</w:t>
      </w:r>
      <w:r w:rsidR="00681C5A">
        <w:rPr>
          <w:rFonts w:cs="Times New Roman"/>
          <w:szCs w:val="24"/>
          <w:lang w:val="sq-AL"/>
        </w:rPr>
        <w:t>ë</w:t>
      </w:r>
      <w:r w:rsidRPr="009475CC">
        <w:rPr>
          <w:rFonts w:cs="Times New Roman"/>
          <w:szCs w:val="24"/>
          <w:lang w:val="sq-AL"/>
        </w:rPr>
        <w:t xml:space="preserve"> caktuar,</w:t>
      </w:r>
      <w:r w:rsidR="00681C5A">
        <w:rPr>
          <w:rFonts w:cs="Times New Roman"/>
          <w:szCs w:val="24"/>
          <w:lang w:val="sq-AL"/>
        </w:rPr>
        <w:t xml:space="preserve"> </w:t>
      </w:r>
      <w:r w:rsidRPr="009475CC">
        <w:rPr>
          <w:rFonts w:cs="Times New Roman"/>
          <w:szCs w:val="24"/>
          <w:lang w:val="sq-AL"/>
        </w:rPr>
        <w:t>kufizon kryerjen e kontrolleve zyrtare n</w:t>
      </w:r>
      <w:r w:rsidR="00681C5A">
        <w:rPr>
          <w:rFonts w:cs="Times New Roman"/>
          <w:szCs w:val="24"/>
          <w:lang w:val="sq-AL"/>
        </w:rPr>
        <w:t>ë</w:t>
      </w:r>
      <w:r w:rsidRPr="009475CC">
        <w:rPr>
          <w:rFonts w:cs="Times New Roman"/>
          <w:szCs w:val="24"/>
          <w:lang w:val="sq-AL"/>
        </w:rPr>
        <w:t xml:space="preserve"> p</w:t>
      </w:r>
      <w:r w:rsidR="00681C5A">
        <w:rPr>
          <w:rFonts w:cs="Times New Roman"/>
          <w:szCs w:val="24"/>
          <w:lang w:val="sq-AL"/>
        </w:rPr>
        <w:t>ë</w:t>
      </w:r>
      <w:r w:rsidRPr="009475CC">
        <w:rPr>
          <w:rFonts w:cs="Times New Roman"/>
          <w:szCs w:val="24"/>
          <w:lang w:val="sq-AL"/>
        </w:rPr>
        <w:t>rputhje me standardet e parashikuara n</w:t>
      </w:r>
      <w:r w:rsidR="00681C5A">
        <w:rPr>
          <w:rFonts w:cs="Times New Roman"/>
          <w:szCs w:val="24"/>
          <w:lang w:val="sq-AL"/>
        </w:rPr>
        <w:t>ë</w:t>
      </w:r>
      <w:r w:rsidRPr="009475CC">
        <w:rPr>
          <w:rFonts w:cs="Times New Roman"/>
          <w:szCs w:val="24"/>
          <w:lang w:val="sq-AL"/>
        </w:rPr>
        <w:t xml:space="preserve"> legjislacio</w:t>
      </w:r>
      <w:r w:rsidR="00681C5A">
        <w:rPr>
          <w:rFonts w:cs="Times New Roman"/>
          <w:szCs w:val="24"/>
          <w:lang w:val="sq-AL"/>
        </w:rPr>
        <w:t>n</w:t>
      </w:r>
      <w:r w:rsidRPr="009475CC">
        <w:rPr>
          <w:rFonts w:cs="Times New Roman"/>
          <w:szCs w:val="24"/>
          <w:lang w:val="sq-AL"/>
        </w:rPr>
        <w:t>in n</w:t>
      </w:r>
      <w:r w:rsidR="00681C5A">
        <w:rPr>
          <w:rFonts w:cs="Times New Roman"/>
          <w:szCs w:val="24"/>
          <w:lang w:val="sq-AL"/>
        </w:rPr>
        <w:t>ë</w:t>
      </w:r>
      <w:r w:rsidRPr="009475CC">
        <w:rPr>
          <w:rFonts w:cs="Times New Roman"/>
          <w:szCs w:val="24"/>
          <w:lang w:val="sq-AL"/>
        </w:rPr>
        <w:t xml:space="preserve"> fuqi. Për këtë arsye  AKU do t</w:t>
      </w:r>
      <w:r w:rsidR="00681C5A">
        <w:rPr>
          <w:rFonts w:cs="Times New Roman"/>
          <w:szCs w:val="24"/>
          <w:lang w:val="sq-AL"/>
        </w:rPr>
        <w:t>ë</w:t>
      </w:r>
      <w:r w:rsidRPr="009475CC">
        <w:rPr>
          <w:rFonts w:cs="Times New Roman"/>
          <w:szCs w:val="24"/>
          <w:lang w:val="sq-AL"/>
        </w:rPr>
        <w:t xml:space="preserve"> mund</w:t>
      </w:r>
      <w:r w:rsidR="00681C5A">
        <w:rPr>
          <w:rFonts w:cs="Times New Roman"/>
          <w:szCs w:val="24"/>
          <w:lang w:val="sq-AL"/>
        </w:rPr>
        <w:t>ë</w:t>
      </w:r>
      <w:r w:rsidRPr="009475CC">
        <w:rPr>
          <w:rFonts w:cs="Times New Roman"/>
          <w:szCs w:val="24"/>
          <w:lang w:val="sq-AL"/>
        </w:rPr>
        <w:t>so</w:t>
      </w:r>
      <w:r w:rsidR="00681C5A">
        <w:rPr>
          <w:rFonts w:cs="Times New Roman"/>
          <w:szCs w:val="24"/>
          <w:lang w:val="sq-AL"/>
        </w:rPr>
        <w:t>jë</w:t>
      </w:r>
      <w:r w:rsidRPr="009475CC">
        <w:rPr>
          <w:rFonts w:cs="Times New Roman"/>
          <w:szCs w:val="24"/>
          <w:lang w:val="sq-AL"/>
        </w:rPr>
        <w:t xml:space="preserve">  pajisjen e inspektoreve me mjete te pershtatshme  p</w:t>
      </w:r>
      <w:r w:rsidR="00681C5A">
        <w:rPr>
          <w:rFonts w:cs="Times New Roman"/>
          <w:szCs w:val="24"/>
          <w:lang w:val="sq-AL"/>
        </w:rPr>
        <w:t>ë</w:t>
      </w:r>
      <w:r w:rsidRPr="009475CC">
        <w:rPr>
          <w:rFonts w:cs="Times New Roman"/>
          <w:szCs w:val="24"/>
          <w:lang w:val="sq-AL"/>
        </w:rPr>
        <w:t>r marrjen e mostrave dhe dërgimin e tyre në laboratorët respektiv.</w:t>
      </w:r>
    </w:p>
    <w:p w14:paraId="0FB0002A" w14:textId="0751ED4D" w:rsidR="00052A25" w:rsidRPr="009475CC" w:rsidRDefault="0057178C" w:rsidP="00AC7156">
      <w:pPr>
        <w:spacing w:line="240" w:lineRule="auto"/>
        <w:jc w:val="both"/>
        <w:rPr>
          <w:rFonts w:cs="Times New Roman"/>
          <w:b/>
          <w:szCs w:val="24"/>
          <w:lang w:val="sq-AL"/>
        </w:rPr>
      </w:pPr>
      <w:r w:rsidRPr="009475CC">
        <w:rPr>
          <w:rFonts w:cs="Times New Roman"/>
          <w:b/>
          <w:szCs w:val="24"/>
          <w:lang w:val="sq-AL"/>
        </w:rPr>
        <w:t>Indikator</w:t>
      </w:r>
      <w:r w:rsidR="00052A25">
        <w:rPr>
          <w:rFonts w:cs="Times New Roman"/>
          <w:b/>
          <w:szCs w:val="24"/>
          <w:lang w:val="sq-AL"/>
        </w:rPr>
        <w:t>ë</w:t>
      </w:r>
      <w:r w:rsidRPr="009475CC">
        <w:rPr>
          <w:rFonts w:cs="Times New Roman"/>
          <w:b/>
          <w:szCs w:val="24"/>
          <w:lang w:val="sq-AL"/>
        </w:rPr>
        <w:t>t</w:t>
      </w:r>
      <w:r w:rsidR="00681C5A">
        <w:rPr>
          <w:rFonts w:cs="Times New Roman"/>
          <w:b/>
          <w:szCs w:val="24"/>
          <w:lang w:val="sq-AL"/>
        </w:rPr>
        <w:t>:</w:t>
      </w:r>
    </w:p>
    <w:p w14:paraId="589A4D43" w14:textId="00A8C3D2" w:rsidR="00681C5A" w:rsidRPr="00322AB0" w:rsidRDefault="0057178C" w:rsidP="00623352">
      <w:pPr>
        <w:pStyle w:val="ListParagraph"/>
        <w:numPr>
          <w:ilvl w:val="0"/>
          <w:numId w:val="31"/>
        </w:numPr>
        <w:spacing w:line="240" w:lineRule="auto"/>
        <w:ind w:left="284" w:hanging="284"/>
        <w:rPr>
          <w:lang w:val="sq-AL"/>
        </w:rPr>
      </w:pPr>
      <w:r w:rsidRPr="00322AB0">
        <w:rPr>
          <w:rFonts w:cs="Times New Roman"/>
          <w:szCs w:val="24"/>
          <w:lang w:val="sq-AL"/>
        </w:rPr>
        <w:t>Rivitalizimi i sistemit  AKU- net, sistemi q</w:t>
      </w:r>
      <w:r w:rsidR="00681C5A" w:rsidRPr="00322AB0">
        <w:rPr>
          <w:rFonts w:cs="Times New Roman"/>
          <w:szCs w:val="24"/>
          <w:lang w:val="sq-AL"/>
        </w:rPr>
        <w:t>ë</w:t>
      </w:r>
      <w:r w:rsidRPr="00322AB0">
        <w:rPr>
          <w:rFonts w:cs="Times New Roman"/>
          <w:szCs w:val="24"/>
          <w:lang w:val="sq-AL"/>
        </w:rPr>
        <w:t xml:space="preserve"> sh</w:t>
      </w:r>
      <w:r w:rsidR="00681C5A" w:rsidRPr="00322AB0">
        <w:rPr>
          <w:rFonts w:cs="Times New Roman"/>
          <w:szCs w:val="24"/>
          <w:lang w:val="sq-AL"/>
        </w:rPr>
        <w:t>ë</w:t>
      </w:r>
      <w:r w:rsidRPr="00322AB0">
        <w:rPr>
          <w:rFonts w:cs="Times New Roman"/>
          <w:szCs w:val="24"/>
          <w:lang w:val="sq-AL"/>
        </w:rPr>
        <w:t>rben si database p</w:t>
      </w:r>
      <w:r w:rsidR="004A5B7C" w:rsidRPr="00322AB0">
        <w:rPr>
          <w:rFonts w:cs="Times New Roman"/>
          <w:szCs w:val="24"/>
          <w:lang w:val="sq-AL"/>
        </w:rPr>
        <w:t>ë</w:t>
      </w:r>
      <w:r w:rsidRPr="00322AB0">
        <w:rPr>
          <w:rFonts w:cs="Times New Roman"/>
          <w:szCs w:val="24"/>
          <w:lang w:val="sq-AL"/>
        </w:rPr>
        <w:t>r t</w:t>
      </w:r>
      <w:r w:rsidR="004A5B7C" w:rsidRPr="00322AB0">
        <w:rPr>
          <w:rFonts w:cs="Times New Roman"/>
          <w:szCs w:val="24"/>
          <w:lang w:val="sq-AL"/>
        </w:rPr>
        <w:t>ë</w:t>
      </w:r>
      <w:r w:rsidRPr="00322AB0">
        <w:rPr>
          <w:rFonts w:cs="Times New Roman"/>
          <w:szCs w:val="24"/>
          <w:lang w:val="sq-AL"/>
        </w:rPr>
        <w:t xml:space="preserve"> dh</w:t>
      </w:r>
      <w:r w:rsidR="004A5B7C" w:rsidRPr="00322AB0">
        <w:rPr>
          <w:rFonts w:cs="Times New Roman"/>
          <w:szCs w:val="24"/>
          <w:lang w:val="sq-AL"/>
        </w:rPr>
        <w:t>ë</w:t>
      </w:r>
      <w:r w:rsidRPr="00322AB0">
        <w:rPr>
          <w:rFonts w:cs="Times New Roman"/>
          <w:szCs w:val="24"/>
          <w:lang w:val="sq-AL"/>
        </w:rPr>
        <w:t xml:space="preserve">nat  </w:t>
      </w:r>
      <w:r w:rsidR="00052A25" w:rsidRPr="00322AB0">
        <w:rPr>
          <w:rFonts w:cs="Times New Roman"/>
          <w:szCs w:val="24"/>
          <w:lang w:val="sq-AL"/>
        </w:rPr>
        <w:t>e</w:t>
      </w:r>
      <w:r w:rsidR="00322AB0" w:rsidRPr="00322AB0">
        <w:rPr>
          <w:rFonts w:cs="Times New Roman"/>
          <w:szCs w:val="24"/>
          <w:lang w:val="sq-AL"/>
        </w:rPr>
        <w:t xml:space="preserve"> </w:t>
      </w:r>
      <w:r w:rsidRPr="00322AB0">
        <w:rPr>
          <w:rFonts w:cs="Times New Roman"/>
          <w:szCs w:val="24"/>
          <w:lang w:val="sq-AL"/>
        </w:rPr>
        <w:t>procesit te kontrollit zyrtar ne vleren 242 milion lek</w:t>
      </w:r>
      <w:r w:rsidR="00052A25" w:rsidRPr="00322AB0">
        <w:rPr>
          <w:rFonts w:cs="Times New Roman"/>
          <w:szCs w:val="24"/>
          <w:lang w:val="sq-AL"/>
        </w:rPr>
        <w:t>ë</w:t>
      </w:r>
      <w:r w:rsidR="00322AB0" w:rsidRPr="00322AB0">
        <w:rPr>
          <w:rFonts w:cs="Times New Roman"/>
          <w:szCs w:val="24"/>
          <w:lang w:val="sq-AL"/>
        </w:rPr>
        <w:t>, brenda vitit</w:t>
      </w:r>
      <w:r w:rsidR="000D04CB">
        <w:rPr>
          <w:rFonts w:cs="Times New Roman"/>
          <w:szCs w:val="24"/>
          <w:lang w:val="sq-AL"/>
        </w:rPr>
        <w:t>.</w:t>
      </w:r>
    </w:p>
    <w:p w14:paraId="09AB08FD" w14:textId="70468685" w:rsidR="0057178C" w:rsidRDefault="0057178C" w:rsidP="00623352">
      <w:pPr>
        <w:pStyle w:val="ListParagraph"/>
        <w:numPr>
          <w:ilvl w:val="0"/>
          <w:numId w:val="31"/>
        </w:numPr>
        <w:spacing w:after="0" w:line="240" w:lineRule="auto"/>
        <w:ind w:left="284" w:hanging="284"/>
        <w:jc w:val="both"/>
        <w:rPr>
          <w:rFonts w:cs="Times New Roman"/>
          <w:szCs w:val="24"/>
          <w:lang w:val="sq-AL"/>
        </w:rPr>
      </w:pPr>
      <w:r w:rsidRPr="00322AB0">
        <w:rPr>
          <w:rFonts w:cs="Times New Roman"/>
          <w:szCs w:val="24"/>
          <w:lang w:val="sq-AL"/>
        </w:rPr>
        <w:t>Blerje e pa</w:t>
      </w:r>
      <w:r w:rsidR="00052A25" w:rsidRPr="00322AB0">
        <w:rPr>
          <w:rFonts w:cs="Times New Roman"/>
          <w:szCs w:val="24"/>
          <w:lang w:val="sq-AL"/>
        </w:rPr>
        <w:t>j</w:t>
      </w:r>
      <w:r w:rsidRPr="00322AB0">
        <w:rPr>
          <w:rFonts w:cs="Times New Roman"/>
          <w:szCs w:val="24"/>
          <w:lang w:val="sq-AL"/>
        </w:rPr>
        <w:t>isjeve n</w:t>
      </w:r>
      <w:r w:rsidR="004A5B7C" w:rsidRPr="00322AB0">
        <w:rPr>
          <w:rFonts w:cs="Times New Roman"/>
          <w:szCs w:val="24"/>
          <w:lang w:val="sq-AL"/>
        </w:rPr>
        <w:t>ë</w:t>
      </w:r>
      <w:r w:rsidRPr="00322AB0">
        <w:rPr>
          <w:rFonts w:cs="Times New Roman"/>
          <w:szCs w:val="24"/>
          <w:lang w:val="sq-AL"/>
        </w:rPr>
        <w:t xml:space="preserve"> 7 vjet  p</w:t>
      </w:r>
      <w:r w:rsidR="00052A25" w:rsidRPr="00322AB0">
        <w:rPr>
          <w:rFonts w:cs="Times New Roman"/>
          <w:szCs w:val="24"/>
          <w:lang w:val="sq-AL"/>
        </w:rPr>
        <w:t>ë</w:t>
      </w:r>
      <w:r w:rsidRPr="00322AB0">
        <w:rPr>
          <w:rFonts w:cs="Times New Roman"/>
          <w:szCs w:val="24"/>
          <w:lang w:val="sq-AL"/>
        </w:rPr>
        <w:t>r marrjen dhe gar</w:t>
      </w:r>
      <w:r w:rsidR="004A5B7C" w:rsidRPr="00322AB0">
        <w:rPr>
          <w:rFonts w:cs="Times New Roman"/>
          <w:szCs w:val="24"/>
          <w:lang w:val="sq-AL"/>
        </w:rPr>
        <w:t>a</w:t>
      </w:r>
      <w:r w:rsidRPr="00322AB0">
        <w:rPr>
          <w:rFonts w:cs="Times New Roman"/>
          <w:szCs w:val="24"/>
          <w:lang w:val="sq-AL"/>
        </w:rPr>
        <w:t>ntimin e mostr</w:t>
      </w:r>
      <w:r w:rsidR="00052A25" w:rsidRPr="00322AB0">
        <w:rPr>
          <w:rFonts w:cs="Times New Roman"/>
          <w:szCs w:val="24"/>
          <w:lang w:val="sq-AL"/>
        </w:rPr>
        <w:t>ë</w:t>
      </w:r>
      <w:r w:rsidRPr="00322AB0">
        <w:rPr>
          <w:rFonts w:cs="Times New Roman"/>
          <w:szCs w:val="24"/>
          <w:lang w:val="sq-AL"/>
        </w:rPr>
        <w:t>s n</w:t>
      </w:r>
      <w:r w:rsidR="004A5B7C" w:rsidRPr="00322AB0">
        <w:rPr>
          <w:rFonts w:cs="Times New Roman"/>
          <w:szCs w:val="24"/>
          <w:lang w:val="sq-AL"/>
        </w:rPr>
        <w:t>ë</w:t>
      </w:r>
      <w:r w:rsidRPr="00322AB0">
        <w:rPr>
          <w:rFonts w:cs="Times New Roman"/>
          <w:szCs w:val="24"/>
          <w:lang w:val="sq-AL"/>
        </w:rPr>
        <w:t xml:space="preserve"> vler</w:t>
      </w:r>
      <w:r w:rsidR="00052A25" w:rsidRPr="00322AB0">
        <w:rPr>
          <w:rFonts w:cs="Times New Roman"/>
          <w:szCs w:val="24"/>
          <w:lang w:val="sq-AL"/>
        </w:rPr>
        <w:t>ë</w:t>
      </w:r>
      <w:r w:rsidRPr="00322AB0">
        <w:rPr>
          <w:rFonts w:cs="Times New Roman"/>
          <w:szCs w:val="24"/>
          <w:lang w:val="sq-AL"/>
        </w:rPr>
        <w:t>n 90 milion</w:t>
      </w:r>
      <w:r w:rsidR="00322AB0" w:rsidRPr="00322AB0">
        <w:rPr>
          <w:rFonts w:cs="Times New Roman"/>
          <w:szCs w:val="24"/>
          <w:lang w:val="sq-AL"/>
        </w:rPr>
        <w:t xml:space="preserve"> </w:t>
      </w:r>
      <w:r w:rsidR="00052A25" w:rsidRPr="00322AB0">
        <w:rPr>
          <w:rFonts w:cs="Times New Roman"/>
          <w:szCs w:val="24"/>
          <w:lang w:val="sq-AL"/>
        </w:rPr>
        <w:t>L</w:t>
      </w:r>
      <w:r w:rsidRPr="00322AB0">
        <w:rPr>
          <w:rFonts w:cs="Times New Roman"/>
          <w:szCs w:val="24"/>
          <w:lang w:val="sq-AL"/>
        </w:rPr>
        <w:t>ek</w:t>
      </w:r>
      <w:r w:rsidR="00052A25" w:rsidRPr="00322AB0">
        <w:rPr>
          <w:rFonts w:cs="Times New Roman"/>
          <w:szCs w:val="24"/>
          <w:lang w:val="sq-AL"/>
        </w:rPr>
        <w:t>ë.</w:t>
      </w:r>
      <w:r w:rsidRPr="00322AB0">
        <w:rPr>
          <w:rFonts w:cs="Times New Roman"/>
          <w:szCs w:val="24"/>
          <w:lang w:val="sq-AL"/>
        </w:rPr>
        <w:t xml:space="preserve"> </w:t>
      </w:r>
    </w:p>
    <w:p w14:paraId="5CA38896" w14:textId="77777777" w:rsidR="00FB63B4" w:rsidRPr="00322AB0" w:rsidRDefault="00FB63B4" w:rsidP="00FB63B4">
      <w:pPr>
        <w:pStyle w:val="ListParagraph"/>
        <w:spacing w:after="0" w:line="240" w:lineRule="auto"/>
        <w:ind w:left="284"/>
        <w:jc w:val="both"/>
        <w:rPr>
          <w:rFonts w:cs="Times New Roman"/>
          <w:szCs w:val="24"/>
          <w:lang w:val="sq-AL"/>
        </w:rPr>
      </w:pPr>
    </w:p>
    <w:p w14:paraId="469152E7" w14:textId="77777777" w:rsidR="00322AB0" w:rsidRPr="009475CC" w:rsidRDefault="00322AB0" w:rsidP="009475CC">
      <w:pPr>
        <w:spacing w:after="0" w:line="240" w:lineRule="auto"/>
        <w:jc w:val="both"/>
        <w:rPr>
          <w:rFonts w:cs="Times New Roman"/>
          <w:szCs w:val="24"/>
          <w:lang w:val="sq-AL"/>
        </w:rPr>
      </w:pPr>
    </w:p>
    <w:tbl>
      <w:tblPr>
        <w:tblStyle w:val="TableGrid"/>
        <w:tblW w:w="0" w:type="auto"/>
        <w:tblLook w:val="04A0" w:firstRow="1" w:lastRow="0" w:firstColumn="1" w:lastColumn="0" w:noHBand="0" w:noVBand="1"/>
      </w:tblPr>
      <w:tblGrid>
        <w:gridCol w:w="9016"/>
      </w:tblGrid>
      <w:tr w:rsidR="00322AB0" w14:paraId="7214F398" w14:textId="77777777" w:rsidTr="00322AB0">
        <w:tc>
          <w:tcPr>
            <w:tcW w:w="9016" w:type="dxa"/>
          </w:tcPr>
          <w:p w14:paraId="58E8FB0E" w14:textId="06FAFD7C" w:rsidR="00FB63B4" w:rsidRDefault="00322AB0" w:rsidP="00322AB0">
            <w:pPr>
              <w:jc w:val="both"/>
              <w:rPr>
                <w:rFonts w:cs="Times New Roman"/>
                <w:szCs w:val="24"/>
                <w:lang w:val="sq-AL"/>
              </w:rPr>
            </w:pPr>
            <w:r w:rsidRPr="009475CC">
              <w:rPr>
                <w:rFonts w:cs="Times New Roman"/>
                <w:b/>
                <w:bCs/>
                <w:szCs w:val="24"/>
                <w:lang w:val="sq-AL"/>
              </w:rPr>
              <w:t xml:space="preserve">Objektivi </w:t>
            </w:r>
            <w:r>
              <w:rPr>
                <w:rFonts w:cs="Times New Roman"/>
                <w:b/>
                <w:bCs/>
                <w:szCs w:val="24"/>
                <w:lang w:val="sq-AL"/>
              </w:rPr>
              <w:t>19:</w:t>
            </w:r>
            <w:r w:rsidRPr="009475CC">
              <w:rPr>
                <w:rFonts w:cs="Times New Roman"/>
                <w:szCs w:val="24"/>
                <w:lang w:val="sq-AL"/>
              </w:rPr>
              <w:t xml:space="preserve"> </w:t>
            </w:r>
          </w:p>
          <w:p w14:paraId="1212F38B" w14:textId="0075FF70" w:rsidR="00322AB0" w:rsidRPr="009475CC" w:rsidRDefault="00322AB0" w:rsidP="00322AB0">
            <w:pPr>
              <w:jc w:val="both"/>
              <w:rPr>
                <w:rFonts w:cs="Times New Roman"/>
                <w:szCs w:val="24"/>
                <w:lang w:val="sq-AL"/>
              </w:rPr>
            </w:pPr>
            <w:bookmarkStart w:id="154" w:name="_Hlk139874608"/>
            <w:r w:rsidRPr="009475CC">
              <w:rPr>
                <w:rFonts w:cs="Times New Roman"/>
                <w:szCs w:val="24"/>
                <w:lang w:val="sq-AL"/>
              </w:rPr>
              <w:t>Ngritja</w:t>
            </w:r>
            <w:r w:rsidR="00FB63B4">
              <w:rPr>
                <w:rFonts w:cs="Times New Roman"/>
                <w:szCs w:val="24"/>
                <w:lang w:val="sq-AL"/>
              </w:rPr>
              <w:t xml:space="preserve"> dhe </w:t>
            </w:r>
            <w:r w:rsidRPr="009475CC">
              <w:rPr>
                <w:rFonts w:cs="Times New Roman"/>
                <w:szCs w:val="24"/>
                <w:lang w:val="sq-AL"/>
              </w:rPr>
              <w:t>përforcimi i kapaciteteve laboratorike</w:t>
            </w:r>
            <w:r w:rsidR="00FB63B4">
              <w:rPr>
                <w:rFonts w:cs="Times New Roman"/>
                <w:szCs w:val="24"/>
                <w:lang w:val="sq-AL"/>
              </w:rPr>
              <w:t xml:space="preserve"> të AKU</w:t>
            </w:r>
            <w:bookmarkEnd w:id="154"/>
            <w:r>
              <w:rPr>
                <w:rFonts w:cs="Times New Roman"/>
                <w:szCs w:val="24"/>
                <w:lang w:val="sq-AL"/>
              </w:rPr>
              <w:t>.</w:t>
            </w:r>
          </w:p>
          <w:p w14:paraId="2F6C8AC8" w14:textId="77777777" w:rsidR="00322AB0" w:rsidRDefault="00322AB0" w:rsidP="009475CC">
            <w:pPr>
              <w:jc w:val="both"/>
              <w:rPr>
                <w:rFonts w:cs="Times New Roman"/>
                <w:b/>
                <w:bCs/>
                <w:szCs w:val="24"/>
                <w:lang w:val="sq-AL"/>
              </w:rPr>
            </w:pPr>
          </w:p>
        </w:tc>
      </w:tr>
    </w:tbl>
    <w:p w14:paraId="124A42F1" w14:textId="77777777" w:rsidR="00322AB0" w:rsidRDefault="00322AB0" w:rsidP="009475CC">
      <w:pPr>
        <w:spacing w:after="0" w:line="240" w:lineRule="auto"/>
        <w:jc w:val="both"/>
        <w:rPr>
          <w:rFonts w:cs="Times New Roman"/>
          <w:b/>
          <w:bCs/>
          <w:szCs w:val="24"/>
          <w:lang w:val="sq-AL"/>
        </w:rPr>
      </w:pPr>
    </w:p>
    <w:p w14:paraId="572B4503" w14:textId="0A367370" w:rsidR="0057178C" w:rsidRPr="009475CC" w:rsidRDefault="0057178C" w:rsidP="00322AB0">
      <w:pPr>
        <w:spacing w:line="240" w:lineRule="auto"/>
        <w:jc w:val="both"/>
        <w:rPr>
          <w:rFonts w:cs="Times New Roman"/>
          <w:szCs w:val="24"/>
          <w:lang w:val="sq-AL"/>
        </w:rPr>
      </w:pPr>
      <w:r w:rsidRPr="009475CC">
        <w:rPr>
          <w:rFonts w:cs="Times New Roman"/>
          <w:b/>
          <w:bCs/>
          <w:szCs w:val="24"/>
          <w:lang w:val="sq-AL"/>
        </w:rPr>
        <w:t xml:space="preserve">Masa </w:t>
      </w:r>
      <w:r w:rsidR="00322AB0">
        <w:rPr>
          <w:rFonts w:cs="Times New Roman"/>
          <w:b/>
          <w:bCs/>
          <w:szCs w:val="24"/>
          <w:lang w:val="sq-AL"/>
        </w:rPr>
        <w:t>19.</w:t>
      </w:r>
      <w:r w:rsidRPr="009475CC">
        <w:rPr>
          <w:rFonts w:cs="Times New Roman"/>
          <w:b/>
          <w:bCs/>
          <w:szCs w:val="24"/>
          <w:lang w:val="sq-AL"/>
        </w:rPr>
        <w:t>1</w:t>
      </w:r>
      <w:bookmarkStart w:id="155" w:name="_Hlk139874651"/>
      <w:r w:rsidRPr="009475CC">
        <w:rPr>
          <w:rFonts w:cs="Times New Roman"/>
          <w:b/>
          <w:bCs/>
          <w:szCs w:val="24"/>
          <w:lang w:val="sq-AL"/>
        </w:rPr>
        <w:t>.</w:t>
      </w:r>
      <w:r w:rsidRPr="009475CC">
        <w:rPr>
          <w:rFonts w:cs="Times New Roman"/>
          <w:szCs w:val="24"/>
          <w:lang w:val="sq-AL"/>
        </w:rPr>
        <w:t xml:space="preserve"> Pajisja e laboratorëve të AKU me  aparatura të sofistikuara dhe zgjerim të gamës analitike.</w:t>
      </w:r>
    </w:p>
    <w:p w14:paraId="3203558A" w14:textId="77777777" w:rsidR="0057178C" w:rsidRPr="009475CC" w:rsidRDefault="0057178C" w:rsidP="00322AB0">
      <w:pPr>
        <w:spacing w:line="240" w:lineRule="auto"/>
        <w:jc w:val="both"/>
        <w:rPr>
          <w:rFonts w:cs="Times New Roman"/>
          <w:szCs w:val="24"/>
          <w:lang w:val="sq-AL"/>
        </w:rPr>
      </w:pPr>
      <w:r w:rsidRPr="009475CC">
        <w:rPr>
          <w:rFonts w:cs="Times New Roman"/>
          <w:szCs w:val="24"/>
          <w:lang w:val="sq-AL"/>
        </w:rPr>
        <w:t>Me qëllim kryerjen e analizave është e nevojshme rritja e  investimeve në fuqizimin e rrjetit laboratorik, për pajisjen e laboratorëve të AKU me aparatura të sofistikuara dhe koherente për të rritur kapacitetin dhe për të zgjeruar gamën e analizave, duke kryer monitorim dhe analizim te produkteve ushqimore me referencë specifike në fushën e monitorimit të mbetjeve të pesticideve, diagnozës mikrobiologjike në ushqim dhe ushqim për kafshët, standardet e cilësisë, sëmundjet e kafshëve, në përputhje me standardet e përmirësuara, sipas BE</w:t>
      </w:r>
      <w:bookmarkEnd w:id="155"/>
      <w:r w:rsidRPr="009475CC">
        <w:rPr>
          <w:rFonts w:cs="Times New Roman"/>
          <w:szCs w:val="24"/>
          <w:lang w:val="sq-AL"/>
        </w:rPr>
        <w:t>.</w:t>
      </w:r>
    </w:p>
    <w:p w14:paraId="44F5539E" w14:textId="693D074F" w:rsidR="0057178C" w:rsidRPr="009475CC" w:rsidRDefault="0057178C" w:rsidP="00322AB0">
      <w:pPr>
        <w:spacing w:line="240" w:lineRule="auto"/>
        <w:jc w:val="both"/>
        <w:rPr>
          <w:rFonts w:cs="Times New Roman"/>
          <w:szCs w:val="24"/>
          <w:lang w:val="sq-AL"/>
        </w:rPr>
      </w:pPr>
      <w:r w:rsidRPr="009475CC">
        <w:rPr>
          <w:rFonts w:cs="Times New Roman"/>
          <w:b/>
          <w:bCs/>
          <w:szCs w:val="24"/>
          <w:lang w:val="sq-AL"/>
        </w:rPr>
        <w:t xml:space="preserve">Masa </w:t>
      </w:r>
      <w:r w:rsidR="00322AB0">
        <w:rPr>
          <w:rFonts w:cs="Times New Roman"/>
          <w:b/>
          <w:bCs/>
          <w:szCs w:val="24"/>
          <w:lang w:val="sq-AL"/>
        </w:rPr>
        <w:t>19.</w:t>
      </w:r>
      <w:r w:rsidRPr="009475CC">
        <w:rPr>
          <w:rFonts w:cs="Times New Roman"/>
          <w:b/>
          <w:bCs/>
          <w:szCs w:val="24"/>
          <w:lang w:val="sq-AL"/>
        </w:rPr>
        <w:t>2</w:t>
      </w:r>
      <w:r w:rsidR="00052A25">
        <w:rPr>
          <w:rFonts w:cs="Times New Roman"/>
          <w:szCs w:val="24"/>
          <w:lang w:val="sq-AL"/>
        </w:rPr>
        <w:t>:</w:t>
      </w:r>
      <w:r w:rsidRPr="009475CC">
        <w:rPr>
          <w:rFonts w:cs="Times New Roman"/>
          <w:szCs w:val="24"/>
          <w:lang w:val="sq-AL"/>
        </w:rPr>
        <w:t xml:space="preserve"> Draftimi dhe miratimi i Manualit të Menaxhimit të Cilësisë. </w:t>
      </w:r>
    </w:p>
    <w:p w14:paraId="1295AEFD" w14:textId="77777777" w:rsidR="0057178C" w:rsidRPr="009475CC" w:rsidRDefault="0057178C" w:rsidP="00322AB0">
      <w:pPr>
        <w:spacing w:line="240" w:lineRule="auto"/>
        <w:jc w:val="both"/>
        <w:rPr>
          <w:rFonts w:cs="Times New Roman"/>
          <w:szCs w:val="24"/>
          <w:lang w:val="sq-AL"/>
        </w:rPr>
      </w:pPr>
      <w:bookmarkStart w:id="156" w:name="_Hlk139874733"/>
      <w:r w:rsidRPr="009475CC">
        <w:rPr>
          <w:rFonts w:cs="Times New Roman"/>
          <w:szCs w:val="24"/>
          <w:lang w:val="sq-AL"/>
        </w:rPr>
        <w:t xml:space="preserve">Draftimi i Manualit te Menaxhimit të Cilësisë është një dokument   shume i rëndësishëm  cili do te sherbeje  për akreditimin e laboratorëve te </w:t>
      </w:r>
      <w:bookmarkEnd w:id="156"/>
      <w:r w:rsidRPr="009475CC">
        <w:rPr>
          <w:rFonts w:cs="Times New Roman"/>
          <w:szCs w:val="24"/>
          <w:lang w:val="sq-AL"/>
        </w:rPr>
        <w:t>AKU .</w:t>
      </w:r>
    </w:p>
    <w:p w14:paraId="6E4086AC" w14:textId="2A2B7794" w:rsidR="0057178C" w:rsidRPr="009475CC" w:rsidRDefault="0057178C" w:rsidP="009475CC">
      <w:pPr>
        <w:spacing w:after="0" w:line="240" w:lineRule="auto"/>
        <w:jc w:val="both"/>
        <w:rPr>
          <w:rFonts w:cs="Times New Roman"/>
          <w:b/>
          <w:szCs w:val="24"/>
          <w:lang w:val="sq-AL"/>
        </w:rPr>
      </w:pPr>
      <w:r w:rsidRPr="009475CC">
        <w:rPr>
          <w:rFonts w:cs="Times New Roman"/>
          <w:b/>
          <w:szCs w:val="24"/>
          <w:lang w:val="sq-AL"/>
        </w:rPr>
        <w:t>Indikator</w:t>
      </w:r>
      <w:r w:rsidR="00052A25">
        <w:rPr>
          <w:rFonts w:cs="Times New Roman"/>
          <w:b/>
          <w:szCs w:val="24"/>
          <w:lang w:val="sq-AL"/>
        </w:rPr>
        <w:t>ë</w:t>
      </w:r>
      <w:r w:rsidRPr="009475CC">
        <w:rPr>
          <w:rFonts w:cs="Times New Roman"/>
          <w:b/>
          <w:szCs w:val="24"/>
          <w:lang w:val="sq-AL"/>
        </w:rPr>
        <w:t>t</w:t>
      </w:r>
      <w:r w:rsidR="00052A25">
        <w:rPr>
          <w:rFonts w:cs="Times New Roman"/>
          <w:b/>
          <w:szCs w:val="24"/>
          <w:lang w:val="sq-AL"/>
        </w:rPr>
        <w:t>:</w:t>
      </w:r>
      <w:r w:rsidRPr="009475CC">
        <w:rPr>
          <w:rFonts w:cs="Times New Roman"/>
          <w:b/>
          <w:szCs w:val="24"/>
          <w:lang w:val="sq-AL"/>
        </w:rPr>
        <w:t xml:space="preserve"> </w:t>
      </w:r>
    </w:p>
    <w:p w14:paraId="77A6289F" w14:textId="77777777" w:rsidR="00FB63B4" w:rsidRDefault="0057178C" w:rsidP="00623352">
      <w:pPr>
        <w:pStyle w:val="ListParagraph"/>
        <w:numPr>
          <w:ilvl w:val="0"/>
          <w:numId w:val="32"/>
        </w:numPr>
        <w:spacing w:after="0" w:line="240" w:lineRule="auto"/>
        <w:jc w:val="both"/>
        <w:rPr>
          <w:rFonts w:cs="Times New Roman"/>
          <w:szCs w:val="24"/>
          <w:lang w:val="sq-AL"/>
        </w:rPr>
      </w:pPr>
      <w:bookmarkStart w:id="157" w:name="_Hlk139874688"/>
      <w:r w:rsidRPr="00322AB0">
        <w:rPr>
          <w:rFonts w:cs="Times New Roman"/>
          <w:szCs w:val="24"/>
          <w:lang w:val="sq-AL"/>
        </w:rPr>
        <w:t>Blerjen e aparatura të sofistikuara dhe zgjerim të gamës analitike p</w:t>
      </w:r>
      <w:r w:rsidR="004A5B7C" w:rsidRPr="00322AB0">
        <w:rPr>
          <w:rFonts w:cs="Times New Roman"/>
          <w:szCs w:val="24"/>
          <w:lang w:val="sq-AL"/>
        </w:rPr>
        <w:t>ë</w:t>
      </w:r>
      <w:r w:rsidRPr="00322AB0">
        <w:rPr>
          <w:rFonts w:cs="Times New Roman"/>
          <w:szCs w:val="24"/>
          <w:lang w:val="sq-AL"/>
        </w:rPr>
        <w:t>r t</w:t>
      </w:r>
      <w:r w:rsidR="004A5B7C" w:rsidRPr="00322AB0">
        <w:rPr>
          <w:rFonts w:cs="Times New Roman"/>
          <w:szCs w:val="24"/>
          <w:lang w:val="sq-AL"/>
        </w:rPr>
        <w:t>ë</w:t>
      </w:r>
      <w:r w:rsidRPr="00322AB0">
        <w:rPr>
          <w:rFonts w:cs="Times New Roman"/>
          <w:szCs w:val="24"/>
          <w:lang w:val="sq-AL"/>
        </w:rPr>
        <w:t xml:space="preserve"> shtat</w:t>
      </w:r>
      <w:r w:rsidR="004A5B7C" w:rsidRPr="00322AB0">
        <w:rPr>
          <w:rFonts w:cs="Times New Roman"/>
          <w:szCs w:val="24"/>
          <w:lang w:val="sq-AL"/>
        </w:rPr>
        <w:t>ë</w:t>
      </w:r>
      <w:r w:rsidRPr="00322AB0">
        <w:rPr>
          <w:rFonts w:cs="Times New Roman"/>
          <w:szCs w:val="24"/>
          <w:lang w:val="sq-AL"/>
        </w:rPr>
        <w:t xml:space="preserve"> laboratoret e AKU p</w:t>
      </w:r>
      <w:r w:rsidR="004A5B7C" w:rsidRPr="00322AB0">
        <w:rPr>
          <w:rFonts w:cs="Times New Roman"/>
          <w:szCs w:val="24"/>
          <w:lang w:val="sq-AL"/>
        </w:rPr>
        <w:t>ë</w:t>
      </w:r>
      <w:r w:rsidRPr="00322AB0">
        <w:rPr>
          <w:rFonts w:cs="Times New Roman"/>
          <w:szCs w:val="24"/>
          <w:lang w:val="sq-AL"/>
        </w:rPr>
        <w:t>r periudh</w:t>
      </w:r>
      <w:r w:rsidR="004A5B7C" w:rsidRPr="00322AB0">
        <w:rPr>
          <w:rFonts w:cs="Times New Roman"/>
          <w:szCs w:val="24"/>
          <w:lang w:val="sq-AL"/>
        </w:rPr>
        <w:t>ë</w:t>
      </w:r>
      <w:r w:rsidRPr="00322AB0">
        <w:rPr>
          <w:rFonts w:cs="Times New Roman"/>
          <w:szCs w:val="24"/>
          <w:lang w:val="sq-AL"/>
        </w:rPr>
        <w:t>n 7 vje</w:t>
      </w:r>
      <w:r w:rsidR="004A5B7C" w:rsidRPr="00322AB0">
        <w:rPr>
          <w:rFonts w:cs="Times New Roman"/>
          <w:szCs w:val="24"/>
          <w:lang w:val="sq-AL"/>
        </w:rPr>
        <w:t>ç</w:t>
      </w:r>
      <w:r w:rsidRPr="00322AB0">
        <w:rPr>
          <w:rFonts w:cs="Times New Roman"/>
          <w:szCs w:val="24"/>
          <w:lang w:val="sq-AL"/>
        </w:rPr>
        <w:t xml:space="preserve">are </w:t>
      </w:r>
      <w:bookmarkEnd w:id="157"/>
      <w:r w:rsidRPr="00322AB0">
        <w:rPr>
          <w:rFonts w:cs="Times New Roman"/>
          <w:szCs w:val="24"/>
          <w:lang w:val="sq-AL"/>
        </w:rPr>
        <w:t>n</w:t>
      </w:r>
      <w:r w:rsidR="004A5B7C" w:rsidRPr="00322AB0">
        <w:rPr>
          <w:rFonts w:cs="Times New Roman"/>
          <w:szCs w:val="24"/>
          <w:lang w:val="sq-AL"/>
        </w:rPr>
        <w:t>ë</w:t>
      </w:r>
      <w:r w:rsidRPr="00322AB0">
        <w:rPr>
          <w:rFonts w:cs="Times New Roman"/>
          <w:szCs w:val="24"/>
          <w:lang w:val="sq-AL"/>
        </w:rPr>
        <w:t xml:space="preserve"> vler</w:t>
      </w:r>
      <w:r w:rsidR="004A5B7C" w:rsidRPr="00322AB0">
        <w:rPr>
          <w:rFonts w:cs="Times New Roman"/>
          <w:szCs w:val="24"/>
          <w:lang w:val="sq-AL"/>
        </w:rPr>
        <w:t>ë</w:t>
      </w:r>
      <w:r w:rsidRPr="00322AB0">
        <w:rPr>
          <w:rFonts w:cs="Times New Roman"/>
          <w:szCs w:val="24"/>
          <w:lang w:val="sq-AL"/>
        </w:rPr>
        <w:t xml:space="preserve"> e 210 milion lek</w:t>
      </w:r>
      <w:r w:rsidR="004A5B7C" w:rsidRPr="00322AB0">
        <w:rPr>
          <w:rFonts w:cs="Times New Roman"/>
          <w:szCs w:val="24"/>
          <w:lang w:val="sq-AL"/>
        </w:rPr>
        <w:t>ë.</w:t>
      </w:r>
      <w:r w:rsidRPr="00322AB0">
        <w:rPr>
          <w:rFonts w:cs="Times New Roman"/>
          <w:szCs w:val="24"/>
          <w:lang w:val="sq-AL"/>
        </w:rPr>
        <w:t xml:space="preserve"> </w:t>
      </w:r>
    </w:p>
    <w:p w14:paraId="59F2F957" w14:textId="16F13A13" w:rsidR="0057178C" w:rsidRPr="00FB63B4" w:rsidRDefault="0057178C" w:rsidP="00FB63B4">
      <w:pPr>
        <w:pStyle w:val="ListParagraph"/>
        <w:spacing w:after="0" w:line="240" w:lineRule="auto"/>
        <w:ind w:left="360"/>
        <w:rPr>
          <w:rFonts w:cs="Times New Roman"/>
          <w:b/>
          <w:bCs/>
          <w:szCs w:val="24"/>
          <w:lang w:val="sq-AL"/>
        </w:rPr>
      </w:pPr>
      <w:r w:rsidRPr="00FB63B4">
        <w:rPr>
          <w:rFonts w:cs="Times New Roman"/>
          <w:szCs w:val="24"/>
          <w:lang w:val="sq-AL"/>
        </w:rPr>
        <w:t>Miratimi dokumentit t</w:t>
      </w:r>
      <w:r w:rsidR="004A5B7C" w:rsidRPr="00FB63B4">
        <w:rPr>
          <w:rFonts w:cs="Times New Roman"/>
          <w:szCs w:val="24"/>
          <w:lang w:val="sq-AL"/>
        </w:rPr>
        <w:t>ë</w:t>
      </w:r>
      <w:r w:rsidRPr="00FB63B4">
        <w:rPr>
          <w:rFonts w:cs="Times New Roman"/>
          <w:szCs w:val="24"/>
          <w:lang w:val="sq-AL"/>
        </w:rPr>
        <w:t xml:space="preserve"> Manualit t</w:t>
      </w:r>
      <w:r w:rsidR="004A5B7C" w:rsidRPr="00FB63B4">
        <w:rPr>
          <w:rFonts w:cs="Times New Roman"/>
          <w:szCs w:val="24"/>
          <w:lang w:val="sq-AL"/>
        </w:rPr>
        <w:t>ë</w:t>
      </w:r>
      <w:r w:rsidRPr="00FB63B4">
        <w:rPr>
          <w:rFonts w:cs="Times New Roman"/>
          <w:szCs w:val="24"/>
          <w:lang w:val="sq-AL"/>
        </w:rPr>
        <w:t xml:space="preserve"> Menaxhimit të Cilësisë </w:t>
      </w:r>
      <w:r w:rsidR="00322AB0" w:rsidRPr="00FB63B4">
        <w:rPr>
          <w:rFonts w:cs="Times New Roman"/>
          <w:szCs w:val="24"/>
          <w:lang w:val="sq-AL"/>
        </w:rPr>
        <w:t xml:space="preserve">brenda vitit .......si, </w:t>
      </w:r>
      <w:r w:rsidRPr="00FB63B4">
        <w:rPr>
          <w:rFonts w:cs="Times New Roman"/>
          <w:szCs w:val="24"/>
          <w:lang w:val="sq-AL"/>
        </w:rPr>
        <w:t xml:space="preserve">  </w:t>
      </w:r>
      <w:bookmarkStart w:id="158" w:name="_Hlk121700861"/>
    </w:p>
    <w:p w14:paraId="093574F0" w14:textId="77777777" w:rsidR="00052A25" w:rsidRPr="00624B67" w:rsidRDefault="00052A25" w:rsidP="00FB63B4">
      <w:pPr>
        <w:pStyle w:val="Heading4"/>
        <w:rPr>
          <w:lang w:val="sq-AL"/>
        </w:rPr>
      </w:pPr>
      <w:bookmarkStart w:id="159" w:name="_Toc132277383"/>
      <w:r w:rsidRPr="00624B67">
        <w:rPr>
          <w:lang w:val="sq-AL"/>
        </w:rPr>
        <w:t>Inspektoriati Shtetëror Shëndetësor</w:t>
      </w:r>
      <w:bookmarkEnd w:id="159"/>
    </w:p>
    <w:tbl>
      <w:tblPr>
        <w:tblStyle w:val="TableGrid"/>
        <w:tblW w:w="0" w:type="auto"/>
        <w:tblLook w:val="04A0" w:firstRow="1" w:lastRow="0" w:firstColumn="1" w:lastColumn="0" w:noHBand="0" w:noVBand="1"/>
      </w:tblPr>
      <w:tblGrid>
        <w:gridCol w:w="9016"/>
      </w:tblGrid>
      <w:tr w:rsidR="00FB63B4" w14:paraId="53228E4C" w14:textId="77777777" w:rsidTr="00FB63B4">
        <w:tc>
          <w:tcPr>
            <w:tcW w:w="9016" w:type="dxa"/>
          </w:tcPr>
          <w:bookmarkEnd w:id="158"/>
          <w:p w14:paraId="46C7E7DF" w14:textId="1A084812" w:rsidR="00FB63B4" w:rsidRDefault="00FB63B4" w:rsidP="00FB63B4">
            <w:pPr>
              <w:jc w:val="both"/>
              <w:rPr>
                <w:rFonts w:cs="Times New Roman"/>
                <w:szCs w:val="24"/>
                <w:lang w:val="sq-AL"/>
              </w:rPr>
            </w:pPr>
            <w:r w:rsidRPr="00624B67">
              <w:rPr>
                <w:rFonts w:cs="Times New Roman"/>
                <w:b/>
                <w:bCs/>
                <w:szCs w:val="24"/>
                <w:lang w:val="sq-AL"/>
              </w:rPr>
              <w:t xml:space="preserve">Objektivi </w:t>
            </w:r>
            <w:r>
              <w:rPr>
                <w:rFonts w:cs="Times New Roman"/>
                <w:b/>
                <w:bCs/>
                <w:szCs w:val="24"/>
                <w:lang w:val="sq-AL"/>
              </w:rPr>
              <w:t>20</w:t>
            </w:r>
            <w:r w:rsidRPr="00624B67">
              <w:rPr>
                <w:rFonts w:cs="Times New Roman"/>
                <w:szCs w:val="24"/>
                <w:lang w:val="sq-AL"/>
              </w:rPr>
              <w:t xml:space="preserve">: </w:t>
            </w:r>
          </w:p>
          <w:p w14:paraId="4D8DAA3C" w14:textId="548328FA" w:rsidR="00FB63B4" w:rsidRPr="00624B67" w:rsidRDefault="00FB63B4" w:rsidP="00FB63B4">
            <w:pPr>
              <w:jc w:val="both"/>
              <w:rPr>
                <w:rFonts w:cs="Times New Roman"/>
                <w:szCs w:val="24"/>
                <w:lang w:val="sq-AL"/>
              </w:rPr>
            </w:pPr>
            <w:r w:rsidRPr="00624B67">
              <w:rPr>
                <w:rFonts w:cs="Times New Roman"/>
                <w:szCs w:val="24"/>
                <w:lang w:val="sq-AL"/>
              </w:rPr>
              <w:lastRenderedPageBreak/>
              <w:t>Rritja e sigurisë së produkteve që ofrohen në fushën e kozmetikës duke  mbrojtur  konsumatorët shqiptarë në mënyrë efektive nga risqet dhe kërcënimet në fushën e kozmetikës.</w:t>
            </w:r>
          </w:p>
          <w:p w14:paraId="0B40E1C9" w14:textId="77777777" w:rsidR="00FB63B4" w:rsidRDefault="00FB63B4" w:rsidP="009475CC">
            <w:pPr>
              <w:jc w:val="both"/>
              <w:rPr>
                <w:rFonts w:cs="Times New Roman"/>
                <w:b/>
                <w:bCs/>
                <w:szCs w:val="24"/>
                <w:lang w:val="sq-AL"/>
              </w:rPr>
            </w:pPr>
          </w:p>
        </w:tc>
      </w:tr>
    </w:tbl>
    <w:p w14:paraId="56990F7C" w14:textId="77777777" w:rsidR="00FB63B4" w:rsidRDefault="00FB63B4" w:rsidP="009475CC">
      <w:pPr>
        <w:spacing w:after="0" w:line="240" w:lineRule="auto"/>
        <w:jc w:val="both"/>
        <w:rPr>
          <w:rFonts w:cs="Times New Roman"/>
          <w:b/>
          <w:bCs/>
          <w:szCs w:val="24"/>
          <w:lang w:val="sq-AL"/>
        </w:rPr>
      </w:pPr>
    </w:p>
    <w:p w14:paraId="7D8CA8A2" w14:textId="5BDBF2B9" w:rsidR="00274CDF" w:rsidRPr="00624B67" w:rsidRDefault="00274CDF" w:rsidP="00FB63B4">
      <w:pPr>
        <w:spacing w:line="240" w:lineRule="auto"/>
        <w:jc w:val="both"/>
        <w:rPr>
          <w:rFonts w:cs="Times New Roman"/>
          <w:szCs w:val="24"/>
          <w:lang w:val="sq-AL"/>
        </w:rPr>
      </w:pPr>
      <w:r w:rsidRPr="00624B67">
        <w:rPr>
          <w:rFonts w:cs="Times New Roman"/>
          <w:b/>
          <w:bCs/>
          <w:szCs w:val="24"/>
          <w:lang w:val="sq-AL"/>
        </w:rPr>
        <w:t xml:space="preserve">Masa </w:t>
      </w:r>
      <w:r w:rsidR="00FB63B4">
        <w:rPr>
          <w:rFonts w:cs="Times New Roman"/>
          <w:b/>
          <w:bCs/>
          <w:szCs w:val="24"/>
          <w:lang w:val="sq-AL"/>
        </w:rPr>
        <w:t>20.</w:t>
      </w:r>
      <w:r w:rsidRPr="00624B67">
        <w:rPr>
          <w:rFonts w:cs="Times New Roman"/>
          <w:b/>
          <w:bCs/>
          <w:szCs w:val="24"/>
          <w:lang w:val="sq-AL"/>
        </w:rPr>
        <w:t>1</w:t>
      </w:r>
      <w:r w:rsidR="00052A25" w:rsidRPr="00624B67">
        <w:rPr>
          <w:rFonts w:cs="Times New Roman"/>
          <w:szCs w:val="24"/>
          <w:lang w:val="sq-AL"/>
        </w:rPr>
        <w:t>:</w:t>
      </w:r>
      <w:r w:rsidRPr="00624B67">
        <w:rPr>
          <w:rFonts w:cs="Times New Roman"/>
          <w:szCs w:val="24"/>
          <w:lang w:val="sq-AL"/>
        </w:rPr>
        <w:t xml:space="preserve"> </w:t>
      </w:r>
      <w:r w:rsidR="00052A25" w:rsidRPr="00624B67">
        <w:rPr>
          <w:rFonts w:cs="Times New Roman"/>
          <w:szCs w:val="24"/>
          <w:lang w:val="sq-AL"/>
        </w:rPr>
        <w:t>R</w:t>
      </w:r>
      <w:r w:rsidRPr="00624B67">
        <w:rPr>
          <w:rFonts w:cs="Times New Roman"/>
          <w:szCs w:val="24"/>
          <w:lang w:val="sq-AL"/>
        </w:rPr>
        <w:t>ritja e n</w:t>
      </w:r>
      <w:r w:rsidR="00052A25" w:rsidRPr="00624B67">
        <w:rPr>
          <w:rFonts w:cs="Times New Roman"/>
          <w:szCs w:val="24"/>
          <w:lang w:val="sq-AL"/>
        </w:rPr>
        <w:t>um</w:t>
      </w:r>
      <w:r w:rsidRPr="00624B67">
        <w:rPr>
          <w:rFonts w:cs="Times New Roman"/>
          <w:szCs w:val="24"/>
          <w:lang w:val="sq-AL"/>
        </w:rPr>
        <w:t>r</w:t>
      </w:r>
      <w:r w:rsidR="00052A25" w:rsidRPr="00624B67">
        <w:rPr>
          <w:rFonts w:cs="Times New Roman"/>
          <w:szCs w:val="24"/>
          <w:lang w:val="sq-AL"/>
        </w:rPr>
        <w:t>it</w:t>
      </w:r>
      <w:r w:rsidRPr="00624B67">
        <w:rPr>
          <w:rFonts w:cs="Times New Roman"/>
          <w:szCs w:val="24"/>
          <w:lang w:val="sq-AL"/>
        </w:rPr>
        <w:t xml:space="preserve"> të inspektimeve p</w:t>
      </w:r>
      <w:r w:rsidR="00624B67">
        <w:rPr>
          <w:rFonts w:cs="Times New Roman"/>
          <w:szCs w:val="24"/>
          <w:lang w:val="sq-AL"/>
        </w:rPr>
        <w:t>ë</w:t>
      </w:r>
      <w:r w:rsidRPr="00624B67">
        <w:rPr>
          <w:rFonts w:cs="Times New Roman"/>
          <w:szCs w:val="24"/>
          <w:lang w:val="sq-AL"/>
        </w:rPr>
        <w:t>r t</w:t>
      </w:r>
      <w:r w:rsidR="00624B67">
        <w:rPr>
          <w:rFonts w:cs="Times New Roman"/>
          <w:szCs w:val="24"/>
          <w:lang w:val="sq-AL"/>
        </w:rPr>
        <w:t>ë</w:t>
      </w:r>
      <w:r w:rsidRPr="00624B67">
        <w:rPr>
          <w:rFonts w:cs="Times New Roman"/>
          <w:szCs w:val="24"/>
          <w:lang w:val="sq-AL"/>
        </w:rPr>
        <w:t xml:space="preserve"> mund</w:t>
      </w:r>
      <w:r w:rsidR="00624B67">
        <w:rPr>
          <w:rFonts w:cs="Times New Roman"/>
          <w:szCs w:val="24"/>
          <w:lang w:val="sq-AL"/>
        </w:rPr>
        <w:t>ë</w:t>
      </w:r>
      <w:r w:rsidRPr="00624B67">
        <w:rPr>
          <w:rFonts w:cs="Times New Roman"/>
          <w:szCs w:val="24"/>
          <w:lang w:val="sq-AL"/>
        </w:rPr>
        <w:t>suar evide</w:t>
      </w:r>
      <w:r w:rsidR="00624B67">
        <w:rPr>
          <w:rFonts w:cs="Times New Roman"/>
          <w:szCs w:val="24"/>
          <w:lang w:val="sq-AL"/>
        </w:rPr>
        <w:t>n</w:t>
      </w:r>
      <w:r w:rsidRPr="00624B67">
        <w:rPr>
          <w:rFonts w:cs="Times New Roman"/>
          <w:szCs w:val="24"/>
          <w:lang w:val="sq-AL"/>
        </w:rPr>
        <w:t>timin dhe inspektimin e gjit</w:t>
      </w:r>
      <w:r w:rsidR="00624B67">
        <w:rPr>
          <w:rFonts w:cs="Times New Roman"/>
          <w:szCs w:val="24"/>
          <w:lang w:val="sq-AL"/>
        </w:rPr>
        <w:t>hë</w:t>
      </w:r>
      <w:r w:rsidRPr="00624B67">
        <w:rPr>
          <w:rFonts w:cs="Times New Roman"/>
          <w:szCs w:val="24"/>
          <w:lang w:val="sq-AL"/>
        </w:rPr>
        <w:t xml:space="preserve"> subjekte</w:t>
      </w:r>
      <w:r w:rsidR="00052A25" w:rsidRPr="00624B67">
        <w:rPr>
          <w:rFonts w:cs="Times New Roman"/>
          <w:szCs w:val="24"/>
          <w:lang w:val="sq-AL"/>
        </w:rPr>
        <w:t>v</w:t>
      </w:r>
      <w:r w:rsidRPr="00624B67">
        <w:rPr>
          <w:rFonts w:cs="Times New Roman"/>
          <w:szCs w:val="24"/>
          <w:lang w:val="sq-AL"/>
        </w:rPr>
        <w:t>e q</w:t>
      </w:r>
      <w:r w:rsidR="00624B67">
        <w:rPr>
          <w:rFonts w:cs="Times New Roman"/>
          <w:szCs w:val="24"/>
          <w:lang w:val="sq-AL"/>
        </w:rPr>
        <w:t>ë</w:t>
      </w:r>
      <w:r w:rsidRPr="00624B67">
        <w:rPr>
          <w:rFonts w:cs="Times New Roman"/>
          <w:szCs w:val="24"/>
          <w:lang w:val="sq-AL"/>
        </w:rPr>
        <w:t xml:space="preserve"> operojn</w:t>
      </w:r>
      <w:r w:rsidR="00624B67">
        <w:rPr>
          <w:rFonts w:cs="Times New Roman"/>
          <w:szCs w:val="24"/>
          <w:lang w:val="sq-AL"/>
        </w:rPr>
        <w:t>ë</w:t>
      </w:r>
      <w:r w:rsidRPr="00624B67">
        <w:rPr>
          <w:rFonts w:cs="Times New Roman"/>
          <w:szCs w:val="24"/>
          <w:lang w:val="sq-AL"/>
        </w:rPr>
        <w:t xml:space="preserve"> </w:t>
      </w:r>
      <w:r w:rsidR="00624B67">
        <w:rPr>
          <w:rFonts w:cs="Times New Roman"/>
          <w:szCs w:val="24"/>
          <w:lang w:val="sq-AL"/>
        </w:rPr>
        <w:t xml:space="preserve">në </w:t>
      </w:r>
      <w:r w:rsidRPr="00624B67">
        <w:rPr>
          <w:rFonts w:cs="Times New Roman"/>
          <w:szCs w:val="24"/>
          <w:lang w:val="sq-AL"/>
        </w:rPr>
        <w:t>treg</w:t>
      </w:r>
      <w:r w:rsidR="00052A25" w:rsidRPr="00624B67">
        <w:rPr>
          <w:rFonts w:cs="Times New Roman"/>
          <w:szCs w:val="24"/>
          <w:lang w:val="sq-AL"/>
        </w:rPr>
        <w:t>:</w:t>
      </w:r>
      <w:r w:rsidRPr="00624B67">
        <w:rPr>
          <w:rFonts w:cs="Times New Roman"/>
          <w:szCs w:val="24"/>
          <w:lang w:val="sq-AL"/>
        </w:rPr>
        <w:t xml:space="preserve"> </w:t>
      </w:r>
      <w:r w:rsidR="00624B67">
        <w:rPr>
          <w:rFonts w:cs="Times New Roman"/>
          <w:szCs w:val="24"/>
          <w:lang w:val="sq-AL"/>
        </w:rPr>
        <w:t>p</w:t>
      </w:r>
      <w:r w:rsidRPr="00624B67">
        <w:rPr>
          <w:rFonts w:cs="Times New Roman"/>
          <w:szCs w:val="24"/>
          <w:lang w:val="sq-AL"/>
        </w:rPr>
        <w:t>arfumeri, sham</w:t>
      </w:r>
      <w:r w:rsidR="00624B67">
        <w:rPr>
          <w:rFonts w:cs="Times New Roman"/>
          <w:szCs w:val="24"/>
          <w:lang w:val="sq-AL"/>
        </w:rPr>
        <w:t>p</w:t>
      </w:r>
      <w:r w:rsidRPr="00624B67">
        <w:rPr>
          <w:rFonts w:cs="Times New Roman"/>
          <w:szCs w:val="24"/>
          <w:lang w:val="sq-AL"/>
        </w:rPr>
        <w:t>o profesionale, kremra, laspa , buz</w:t>
      </w:r>
      <w:r w:rsidR="00624B67">
        <w:rPr>
          <w:rFonts w:cs="Times New Roman"/>
          <w:szCs w:val="24"/>
          <w:lang w:val="sq-AL"/>
        </w:rPr>
        <w:t>ë</w:t>
      </w:r>
      <w:r w:rsidRPr="00624B67">
        <w:rPr>
          <w:rFonts w:cs="Times New Roman"/>
          <w:szCs w:val="24"/>
          <w:lang w:val="sq-AL"/>
        </w:rPr>
        <w:t>kuq</w:t>
      </w:r>
      <w:r w:rsidR="00052A25" w:rsidRPr="00624B67">
        <w:rPr>
          <w:rFonts w:cs="Times New Roman"/>
          <w:szCs w:val="24"/>
          <w:lang w:val="sq-AL"/>
        </w:rPr>
        <w:t>.</w:t>
      </w:r>
    </w:p>
    <w:p w14:paraId="182E502E" w14:textId="4B9B603E" w:rsidR="00274CDF" w:rsidRPr="00624B67" w:rsidRDefault="00274CDF" w:rsidP="00FB63B4">
      <w:pPr>
        <w:spacing w:line="240" w:lineRule="auto"/>
        <w:jc w:val="both"/>
        <w:rPr>
          <w:rFonts w:cs="Times New Roman"/>
          <w:szCs w:val="24"/>
          <w:lang w:val="sq-AL"/>
        </w:rPr>
      </w:pPr>
      <w:r w:rsidRPr="00624B67">
        <w:rPr>
          <w:rFonts w:cs="Times New Roman"/>
          <w:b/>
          <w:bCs/>
          <w:szCs w:val="24"/>
          <w:lang w:val="sq-AL"/>
        </w:rPr>
        <w:t xml:space="preserve">Masa </w:t>
      </w:r>
      <w:r w:rsidR="00FB63B4">
        <w:rPr>
          <w:rFonts w:cs="Times New Roman"/>
          <w:b/>
          <w:bCs/>
          <w:szCs w:val="24"/>
          <w:lang w:val="sq-AL"/>
        </w:rPr>
        <w:t>20.</w:t>
      </w:r>
      <w:r w:rsidR="00052A25" w:rsidRPr="00624B67">
        <w:rPr>
          <w:rFonts w:cs="Times New Roman"/>
          <w:b/>
          <w:bCs/>
          <w:szCs w:val="24"/>
          <w:lang w:val="sq-AL"/>
        </w:rPr>
        <w:t>2:</w:t>
      </w:r>
      <w:r w:rsidRPr="00624B67">
        <w:rPr>
          <w:rFonts w:cs="Times New Roman"/>
          <w:szCs w:val="24"/>
          <w:lang w:val="sq-AL"/>
        </w:rPr>
        <w:t xml:space="preserve"> </w:t>
      </w:r>
      <w:r w:rsidR="00052A25" w:rsidRPr="00624B67">
        <w:rPr>
          <w:rFonts w:cs="Times New Roman"/>
          <w:szCs w:val="24"/>
          <w:lang w:val="sq-AL"/>
        </w:rPr>
        <w:t>K</w:t>
      </w:r>
      <w:r w:rsidRPr="00624B67">
        <w:rPr>
          <w:rFonts w:cs="Times New Roman"/>
          <w:szCs w:val="24"/>
          <w:lang w:val="sq-AL"/>
        </w:rPr>
        <w:t>ryerja e analizave laboratorike mbi produktet e kozmetik</w:t>
      </w:r>
      <w:r w:rsidR="00624B67">
        <w:rPr>
          <w:rFonts w:cs="Times New Roman"/>
          <w:szCs w:val="24"/>
          <w:lang w:val="sq-AL"/>
        </w:rPr>
        <w:t>ë</w:t>
      </w:r>
      <w:r w:rsidRPr="00624B67">
        <w:rPr>
          <w:rFonts w:cs="Times New Roman"/>
          <w:szCs w:val="24"/>
          <w:lang w:val="sq-AL"/>
        </w:rPr>
        <w:t>s duke ju garantu</w:t>
      </w:r>
      <w:r w:rsidR="00624B67">
        <w:rPr>
          <w:rFonts w:cs="Times New Roman"/>
          <w:szCs w:val="24"/>
          <w:lang w:val="sq-AL"/>
        </w:rPr>
        <w:t>a</w:t>
      </w:r>
      <w:r w:rsidRPr="00624B67">
        <w:rPr>
          <w:rFonts w:cs="Times New Roman"/>
          <w:szCs w:val="24"/>
          <w:lang w:val="sq-AL"/>
        </w:rPr>
        <w:t>r konsum</w:t>
      </w:r>
      <w:r w:rsidR="00624B67">
        <w:rPr>
          <w:rFonts w:cs="Times New Roman"/>
          <w:szCs w:val="24"/>
          <w:lang w:val="sq-AL"/>
        </w:rPr>
        <w:t>a</w:t>
      </w:r>
      <w:r w:rsidRPr="00624B67">
        <w:rPr>
          <w:rFonts w:cs="Times New Roman"/>
          <w:szCs w:val="24"/>
          <w:lang w:val="sq-AL"/>
        </w:rPr>
        <w:t>tor</w:t>
      </w:r>
      <w:r w:rsidR="00624B67">
        <w:rPr>
          <w:rFonts w:cs="Times New Roman"/>
          <w:szCs w:val="24"/>
          <w:lang w:val="sq-AL"/>
        </w:rPr>
        <w:t>ë</w:t>
      </w:r>
      <w:r w:rsidRPr="00624B67">
        <w:rPr>
          <w:rFonts w:cs="Times New Roman"/>
          <w:szCs w:val="24"/>
          <w:lang w:val="sq-AL"/>
        </w:rPr>
        <w:t>ve në treg produkte të sigurta sipas legjislacionit në fuqi</w:t>
      </w:r>
      <w:r w:rsidR="00052A25" w:rsidRPr="00624B67">
        <w:rPr>
          <w:rFonts w:cs="Times New Roman"/>
          <w:szCs w:val="24"/>
          <w:lang w:val="sq-AL"/>
        </w:rPr>
        <w:t>.</w:t>
      </w:r>
      <w:r w:rsidRPr="00624B67">
        <w:rPr>
          <w:rFonts w:cs="Times New Roman"/>
          <w:szCs w:val="24"/>
          <w:lang w:val="sq-AL"/>
        </w:rPr>
        <w:t xml:space="preserve"> </w:t>
      </w:r>
    </w:p>
    <w:p w14:paraId="6B69F5D9" w14:textId="77777777" w:rsidR="00624B67" w:rsidRDefault="00274CDF" w:rsidP="00FB63B4">
      <w:pPr>
        <w:spacing w:line="240" w:lineRule="auto"/>
        <w:jc w:val="both"/>
        <w:rPr>
          <w:rFonts w:cs="Times New Roman"/>
          <w:b/>
          <w:bCs/>
          <w:szCs w:val="24"/>
          <w:lang w:val="sq-AL"/>
        </w:rPr>
      </w:pPr>
      <w:r w:rsidRPr="00624B67">
        <w:rPr>
          <w:rFonts w:cs="Times New Roman"/>
          <w:b/>
          <w:bCs/>
          <w:szCs w:val="24"/>
          <w:lang w:val="sq-AL"/>
        </w:rPr>
        <w:t>Indikator</w:t>
      </w:r>
      <w:r w:rsidR="00052A25" w:rsidRPr="00624B67">
        <w:rPr>
          <w:rFonts w:cs="Times New Roman"/>
          <w:b/>
          <w:bCs/>
          <w:szCs w:val="24"/>
          <w:lang w:val="sq-AL"/>
        </w:rPr>
        <w:t>ët:</w:t>
      </w:r>
    </w:p>
    <w:p w14:paraId="3A25E8F8" w14:textId="5B096344" w:rsidR="00274CDF" w:rsidRPr="00624B67" w:rsidRDefault="009503E0" w:rsidP="00623352">
      <w:pPr>
        <w:pStyle w:val="ListParagraph"/>
        <w:numPr>
          <w:ilvl w:val="0"/>
          <w:numId w:val="21"/>
        </w:numPr>
        <w:spacing w:line="240" w:lineRule="auto"/>
        <w:jc w:val="both"/>
        <w:rPr>
          <w:rFonts w:cs="Times New Roman"/>
          <w:b/>
          <w:bCs/>
          <w:szCs w:val="24"/>
          <w:lang w:val="sq-AL"/>
        </w:rPr>
      </w:pPr>
      <w:r w:rsidRPr="00624B67">
        <w:rPr>
          <w:rFonts w:cs="Times New Roman"/>
          <w:szCs w:val="24"/>
          <w:lang w:val="sq-AL"/>
        </w:rPr>
        <w:t>Nr</w:t>
      </w:r>
      <w:r w:rsidR="00274CDF" w:rsidRPr="00624B67">
        <w:rPr>
          <w:rFonts w:cs="Times New Roman"/>
          <w:szCs w:val="24"/>
          <w:lang w:val="sq-AL"/>
        </w:rPr>
        <w:t xml:space="preserve"> inspektimeve në 7 vjet rreth 2440</w:t>
      </w:r>
      <w:r w:rsidR="00624B67" w:rsidRPr="00624B67">
        <w:rPr>
          <w:rFonts w:cs="Times New Roman"/>
          <w:szCs w:val="24"/>
          <w:lang w:val="sq-AL"/>
        </w:rPr>
        <w:t>.</w:t>
      </w:r>
    </w:p>
    <w:p w14:paraId="5B673DB2" w14:textId="1A05E631" w:rsidR="00274CDF" w:rsidRPr="00624B67" w:rsidRDefault="00274CDF" w:rsidP="00623352">
      <w:pPr>
        <w:pStyle w:val="ListParagraph"/>
        <w:numPr>
          <w:ilvl w:val="0"/>
          <w:numId w:val="21"/>
        </w:numPr>
        <w:spacing w:line="240" w:lineRule="auto"/>
        <w:jc w:val="both"/>
        <w:rPr>
          <w:rFonts w:cs="Times New Roman"/>
          <w:szCs w:val="24"/>
          <w:lang w:val="sq-AL"/>
        </w:rPr>
      </w:pPr>
      <w:r w:rsidRPr="00624B67">
        <w:rPr>
          <w:rFonts w:cs="Times New Roman"/>
          <w:szCs w:val="24"/>
          <w:lang w:val="sq-AL"/>
        </w:rPr>
        <w:t>10 analizave laboratorike në laborator</w:t>
      </w:r>
      <w:r w:rsidR="00624B67" w:rsidRPr="00624B67">
        <w:rPr>
          <w:rFonts w:cs="Times New Roman"/>
          <w:szCs w:val="24"/>
          <w:lang w:val="sq-AL"/>
        </w:rPr>
        <w:t>ë</w:t>
      </w:r>
      <w:r w:rsidRPr="00624B67">
        <w:rPr>
          <w:rFonts w:cs="Times New Roman"/>
          <w:szCs w:val="24"/>
          <w:lang w:val="sq-AL"/>
        </w:rPr>
        <w:t xml:space="preserve"> të akredituar</w:t>
      </w:r>
      <w:r w:rsidR="00FB63B4">
        <w:rPr>
          <w:rFonts w:cs="Times New Roman"/>
          <w:szCs w:val="24"/>
          <w:lang w:val="sq-AL"/>
        </w:rPr>
        <w:t xml:space="preserve"> t</w:t>
      </w:r>
      <w:r w:rsidR="000F1002">
        <w:rPr>
          <w:rFonts w:cs="Times New Roman"/>
          <w:szCs w:val="24"/>
          <w:lang w:val="sq-AL"/>
        </w:rPr>
        <w:t>ë</w:t>
      </w:r>
      <w:r w:rsidR="00FB63B4">
        <w:rPr>
          <w:rFonts w:cs="Times New Roman"/>
          <w:szCs w:val="24"/>
          <w:lang w:val="sq-AL"/>
        </w:rPr>
        <w:t xml:space="preserve"> kryera n</w:t>
      </w:r>
      <w:r w:rsidR="000F1002">
        <w:rPr>
          <w:rFonts w:cs="Times New Roman"/>
          <w:szCs w:val="24"/>
          <w:lang w:val="sq-AL"/>
        </w:rPr>
        <w:t>ë</w:t>
      </w:r>
      <w:r w:rsidR="00FB63B4">
        <w:rPr>
          <w:rFonts w:cs="Times New Roman"/>
          <w:szCs w:val="24"/>
          <w:lang w:val="sq-AL"/>
        </w:rPr>
        <w:t xml:space="preserve"> periudhwn 2023 - 2030</w:t>
      </w:r>
      <w:r w:rsidRPr="00624B67">
        <w:rPr>
          <w:rFonts w:cs="Times New Roman"/>
          <w:szCs w:val="24"/>
          <w:lang w:val="sq-AL"/>
        </w:rPr>
        <w:t xml:space="preserve">. </w:t>
      </w:r>
    </w:p>
    <w:p w14:paraId="69CB85F0" w14:textId="77777777" w:rsidR="00FB63B4" w:rsidRDefault="00FB63B4" w:rsidP="009475CC">
      <w:pPr>
        <w:spacing w:after="0" w:line="240" w:lineRule="auto"/>
        <w:jc w:val="both"/>
        <w:rPr>
          <w:rFonts w:cs="Times New Roman"/>
          <w:b/>
          <w:bCs/>
          <w:szCs w:val="24"/>
          <w:lang w:val="sq-AL"/>
        </w:rPr>
      </w:pPr>
    </w:p>
    <w:tbl>
      <w:tblPr>
        <w:tblStyle w:val="TableGrid"/>
        <w:tblW w:w="0" w:type="auto"/>
        <w:tblLook w:val="04A0" w:firstRow="1" w:lastRow="0" w:firstColumn="1" w:lastColumn="0" w:noHBand="0" w:noVBand="1"/>
      </w:tblPr>
      <w:tblGrid>
        <w:gridCol w:w="9016"/>
      </w:tblGrid>
      <w:tr w:rsidR="00FB63B4" w14:paraId="205416D6" w14:textId="77777777" w:rsidTr="00FB63B4">
        <w:tc>
          <w:tcPr>
            <w:tcW w:w="9016" w:type="dxa"/>
          </w:tcPr>
          <w:p w14:paraId="01FB4A0A" w14:textId="1B7F9DDF" w:rsidR="00FB63B4" w:rsidRPr="00FB63B4" w:rsidRDefault="00FB63B4" w:rsidP="009475CC">
            <w:pPr>
              <w:jc w:val="both"/>
              <w:rPr>
                <w:rFonts w:cs="Times New Roman"/>
                <w:szCs w:val="24"/>
                <w:lang w:val="sq-AL"/>
              </w:rPr>
            </w:pPr>
            <w:r w:rsidRPr="009475CC">
              <w:rPr>
                <w:rFonts w:cs="Times New Roman"/>
                <w:b/>
                <w:bCs/>
                <w:szCs w:val="24"/>
                <w:lang w:val="sq-AL"/>
              </w:rPr>
              <w:t>Objekti</w:t>
            </w:r>
            <w:r>
              <w:rPr>
                <w:rFonts w:cs="Times New Roman"/>
                <w:b/>
                <w:bCs/>
                <w:szCs w:val="24"/>
                <w:lang w:val="sq-AL"/>
              </w:rPr>
              <w:t>vi 21</w:t>
            </w:r>
            <w:r w:rsidRPr="009475CC">
              <w:rPr>
                <w:rFonts w:cs="Times New Roman"/>
                <w:b/>
                <w:bCs/>
                <w:szCs w:val="24"/>
                <w:lang w:val="sq-AL"/>
              </w:rPr>
              <w:t>:</w:t>
            </w:r>
            <w:r>
              <w:rPr>
                <w:rFonts w:cs="Times New Roman"/>
                <w:szCs w:val="24"/>
                <w:lang w:val="sq-AL"/>
              </w:rPr>
              <w:t xml:space="preserve"> </w:t>
            </w:r>
            <w:r w:rsidRPr="009475CC">
              <w:rPr>
                <w:rFonts w:cs="Times New Roman"/>
                <w:szCs w:val="24"/>
                <w:lang w:val="sq-AL"/>
              </w:rPr>
              <w:t>Rritja e  kapaciteteve administrative institucionale si dhe përgjegjshmërisë e operatorëve ekonomik</w:t>
            </w:r>
            <w:r>
              <w:rPr>
                <w:rFonts w:cs="Times New Roman"/>
                <w:szCs w:val="24"/>
                <w:lang w:val="sq-AL"/>
              </w:rPr>
              <w:t>ë</w:t>
            </w:r>
            <w:r w:rsidRPr="009475CC">
              <w:rPr>
                <w:rFonts w:cs="Times New Roman"/>
                <w:szCs w:val="24"/>
                <w:lang w:val="sq-AL"/>
              </w:rPr>
              <w:t xml:space="preserve"> për kriteret ligjore të produkteve /shërbimeve. </w:t>
            </w:r>
          </w:p>
        </w:tc>
      </w:tr>
    </w:tbl>
    <w:p w14:paraId="2BA86EDD" w14:textId="77777777" w:rsidR="00FB63B4" w:rsidRDefault="00FB63B4" w:rsidP="009475CC">
      <w:pPr>
        <w:spacing w:after="0" w:line="240" w:lineRule="auto"/>
        <w:jc w:val="both"/>
        <w:rPr>
          <w:rFonts w:cs="Times New Roman"/>
          <w:b/>
          <w:bCs/>
          <w:szCs w:val="24"/>
          <w:lang w:val="sq-AL"/>
        </w:rPr>
      </w:pPr>
    </w:p>
    <w:p w14:paraId="570D074D" w14:textId="757A306F" w:rsidR="00274CDF" w:rsidRPr="009475CC" w:rsidRDefault="00274CDF" w:rsidP="00FB63B4">
      <w:pPr>
        <w:spacing w:line="240" w:lineRule="auto"/>
        <w:jc w:val="both"/>
        <w:rPr>
          <w:rFonts w:cs="Times New Roman"/>
          <w:szCs w:val="24"/>
          <w:lang w:val="sq-AL"/>
        </w:rPr>
      </w:pPr>
      <w:r w:rsidRPr="009475CC">
        <w:rPr>
          <w:rFonts w:cs="Times New Roman"/>
          <w:b/>
          <w:bCs/>
          <w:szCs w:val="24"/>
          <w:lang w:val="sq-AL"/>
        </w:rPr>
        <w:t xml:space="preserve">Masa </w:t>
      </w:r>
      <w:r w:rsidR="00FB63B4">
        <w:rPr>
          <w:rFonts w:cs="Times New Roman"/>
          <w:b/>
          <w:bCs/>
          <w:szCs w:val="24"/>
          <w:lang w:val="sq-AL"/>
        </w:rPr>
        <w:t>21.</w:t>
      </w:r>
      <w:r w:rsidRPr="009475CC">
        <w:rPr>
          <w:rFonts w:cs="Times New Roman"/>
          <w:b/>
          <w:bCs/>
          <w:szCs w:val="24"/>
          <w:lang w:val="sq-AL"/>
        </w:rPr>
        <w:t>1</w:t>
      </w:r>
      <w:r w:rsidR="00052A25">
        <w:rPr>
          <w:rFonts w:cs="Times New Roman"/>
          <w:szCs w:val="24"/>
          <w:lang w:val="sq-AL"/>
        </w:rPr>
        <w:t>: R</w:t>
      </w:r>
      <w:r w:rsidRPr="009475CC">
        <w:rPr>
          <w:rFonts w:cs="Times New Roman"/>
          <w:szCs w:val="24"/>
          <w:lang w:val="sq-AL"/>
        </w:rPr>
        <w:t>ritja e kapaciteve administrative nëpërmjet trajnim</w:t>
      </w:r>
      <w:r w:rsidR="00624B67">
        <w:rPr>
          <w:rFonts w:cs="Times New Roman"/>
          <w:szCs w:val="24"/>
          <w:lang w:val="sq-AL"/>
        </w:rPr>
        <w:t>e</w:t>
      </w:r>
      <w:r w:rsidRPr="009475CC">
        <w:rPr>
          <w:rFonts w:cs="Times New Roman"/>
          <w:szCs w:val="24"/>
          <w:lang w:val="sq-AL"/>
        </w:rPr>
        <w:t>ve dhe fuqizimi strukturor në p</w:t>
      </w:r>
      <w:r w:rsidR="00624B67">
        <w:rPr>
          <w:rFonts w:cs="Times New Roman"/>
          <w:szCs w:val="24"/>
          <w:lang w:val="sq-AL"/>
        </w:rPr>
        <w:t>ë</w:t>
      </w:r>
      <w:r w:rsidRPr="009475CC">
        <w:rPr>
          <w:rFonts w:cs="Times New Roman"/>
          <w:szCs w:val="24"/>
          <w:lang w:val="sq-AL"/>
        </w:rPr>
        <w:t xml:space="preserve">rputhje me legjislacionin.  </w:t>
      </w:r>
    </w:p>
    <w:p w14:paraId="29DDE8BF" w14:textId="6A297AFC" w:rsidR="00274CDF" w:rsidRPr="009475CC" w:rsidRDefault="00274CDF" w:rsidP="00FB63B4">
      <w:pPr>
        <w:spacing w:line="240" w:lineRule="auto"/>
        <w:jc w:val="both"/>
        <w:rPr>
          <w:rFonts w:cs="Times New Roman"/>
          <w:szCs w:val="24"/>
          <w:lang w:val="sq-AL"/>
        </w:rPr>
      </w:pPr>
      <w:r w:rsidRPr="009475CC">
        <w:rPr>
          <w:rFonts w:cs="Times New Roman"/>
          <w:b/>
          <w:bCs/>
          <w:szCs w:val="24"/>
          <w:lang w:val="sq-AL"/>
        </w:rPr>
        <w:t xml:space="preserve">Masa </w:t>
      </w:r>
      <w:r w:rsidR="00FB63B4">
        <w:rPr>
          <w:rFonts w:cs="Times New Roman"/>
          <w:b/>
          <w:bCs/>
          <w:szCs w:val="24"/>
          <w:lang w:val="sq-AL"/>
        </w:rPr>
        <w:t>21.</w:t>
      </w:r>
      <w:r w:rsidRPr="009475CC">
        <w:rPr>
          <w:rFonts w:cs="Times New Roman"/>
          <w:b/>
          <w:bCs/>
          <w:szCs w:val="24"/>
          <w:lang w:val="sq-AL"/>
        </w:rPr>
        <w:t>2</w:t>
      </w:r>
      <w:r w:rsidR="00052A25">
        <w:rPr>
          <w:rFonts w:cs="Times New Roman"/>
          <w:szCs w:val="24"/>
          <w:lang w:val="sq-AL"/>
        </w:rPr>
        <w:t>: R</w:t>
      </w:r>
      <w:r w:rsidRPr="009475CC">
        <w:rPr>
          <w:rFonts w:cs="Times New Roman"/>
          <w:szCs w:val="24"/>
          <w:lang w:val="sq-AL"/>
        </w:rPr>
        <w:t>ritja e nd</w:t>
      </w:r>
      <w:r w:rsidR="00624B67">
        <w:rPr>
          <w:rFonts w:cs="Times New Roman"/>
          <w:szCs w:val="24"/>
          <w:lang w:val="sq-AL"/>
        </w:rPr>
        <w:t>ë</w:t>
      </w:r>
      <w:r w:rsidRPr="009475CC">
        <w:rPr>
          <w:rFonts w:cs="Times New Roman"/>
          <w:szCs w:val="24"/>
          <w:lang w:val="sq-AL"/>
        </w:rPr>
        <w:t>rgjegj</w:t>
      </w:r>
      <w:r w:rsidR="00624B67">
        <w:rPr>
          <w:rFonts w:cs="Times New Roman"/>
          <w:szCs w:val="24"/>
          <w:lang w:val="sq-AL"/>
        </w:rPr>
        <w:t>ë</w:t>
      </w:r>
      <w:r w:rsidRPr="009475CC">
        <w:rPr>
          <w:rFonts w:cs="Times New Roman"/>
          <w:szCs w:val="24"/>
          <w:lang w:val="sq-AL"/>
        </w:rPr>
        <w:t>sim</w:t>
      </w:r>
      <w:r w:rsidR="00624B67">
        <w:rPr>
          <w:rFonts w:cs="Times New Roman"/>
          <w:szCs w:val="24"/>
          <w:lang w:val="sq-AL"/>
        </w:rPr>
        <w:t>it</w:t>
      </w:r>
      <w:r w:rsidRPr="009475CC">
        <w:rPr>
          <w:rFonts w:cs="Times New Roman"/>
          <w:szCs w:val="24"/>
          <w:lang w:val="sq-AL"/>
        </w:rPr>
        <w:t xml:space="preserve"> n</w:t>
      </w:r>
      <w:r w:rsidR="00624B67">
        <w:rPr>
          <w:rFonts w:cs="Times New Roman"/>
          <w:szCs w:val="24"/>
          <w:lang w:val="sq-AL"/>
        </w:rPr>
        <w:t>ë</w:t>
      </w:r>
      <w:r w:rsidRPr="009475CC">
        <w:rPr>
          <w:rFonts w:cs="Times New Roman"/>
          <w:szCs w:val="24"/>
          <w:lang w:val="sq-AL"/>
        </w:rPr>
        <w:t>p</w:t>
      </w:r>
      <w:r w:rsidR="00624B67">
        <w:rPr>
          <w:rFonts w:cs="Times New Roman"/>
          <w:szCs w:val="24"/>
          <w:lang w:val="sq-AL"/>
        </w:rPr>
        <w:t>ë</w:t>
      </w:r>
      <w:r w:rsidRPr="009475CC">
        <w:rPr>
          <w:rFonts w:cs="Times New Roman"/>
          <w:szCs w:val="24"/>
          <w:lang w:val="sq-AL"/>
        </w:rPr>
        <w:t>rmjet informimit dhe l</w:t>
      </w:r>
      <w:r w:rsidR="00624B67">
        <w:rPr>
          <w:rFonts w:cs="Times New Roman"/>
          <w:szCs w:val="24"/>
          <w:lang w:val="sq-AL"/>
        </w:rPr>
        <w:t>ë</w:t>
      </w:r>
      <w:r w:rsidRPr="009475CC">
        <w:rPr>
          <w:rFonts w:cs="Times New Roman"/>
          <w:szCs w:val="24"/>
          <w:lang w:val="sq-AL"/>
        </w:rPr>
        <w:t xml:space="preserve">nia </w:t>
      </w:r>
      <w:r w:rsidR="00624B67">
        <w:rPr>
          <w:rFonts w:cs="Times New Roman"/>
          <w:szCs w:val="24"/>
          <w:lang w:val="sq-AL"/>
        </w:rPr>
        <w:t>e</w:t>
      </w:r>
      <w:r w:rsidRPr="009475CC">
        <w:rPr>
          <w:rFonts w:cs="Times New Roman"/>
          <w:szCs w:val="24"/>
          <w:lang w:val="sq-AL"/>
        </w:rPr>
        <w:t xml:space="preserve"> detyrave për operator</w:t>
      </w:r>
      <w:r w:rsidR="00624B67">
        <w:rPr>
          <w:rFonts w:cs="Times New Roman"/>
          <w:szCs w:val="24"/>
          <w:lang w:val="sq-AL"/>
        </w:rPr>
        <w:t>ë</w:t>
      </w:r>
      <w:r w:rsidRPr="009475CC">
        <w:rPr>
          <w:rFonts w:cs="Times New Roman"/>
          <w:szCs w:val="24"/>
          <w:lang w:val="sq-AL"/>
        </w:rPr>
        <w:t>t ekonomi</w:t>
      </w:r>
      <w:r w:rsidR="00624B67">
        <w:rPr>
          <w:rFonts w:cs="Times New Roman"/>
          <w:szCs w:val="24"/>
          <w:lang w:val="sq-AL"/>
        </w:rPr>
        <w:t>kë</w:t>
      </w:r>
      <w:r w:rsidRPr="009475CC">
        <w:rPr>
          <w:rFonts w:cs="Times New Roman"/>
          <w:szCs w:val="24"/>
          <w:lang w:val="sq-AL"/>
        </w:rPr>
        <w:t xml:space="preserve"> që veprojne në treg mbi produktet e kozmetik</w:t>
      </w:r>
      <w:r w:rsidR="00624B67">
        <w:rPr>
          <w:rFonts w:cs="Times New Roman"/>
          <w:szCs w:val="24"/>
          <w:lang w:val="sq-AL"/>
        </w:rPr>
        <w:t>ë</w:t>
      </w:r>
      <w:r w:rsidRPr="009475CC">
        <w:rPr>
          <w:rFonts w:cs="Times New Roman"/>
          <w:szCs w:val="24"/>
          <w:lang w:val="sq-AL"/>
        </w:rPr>
        <w:t>s</w:t>
      </w:r>
      <w:r w:rsidR="00624B67">
        <w:rPr>
          <w:rFonts w:cs="Times New Roman"/>
          <w:szCs w:val="24"/>
          <w:lang w:val="sq-AL"/>
        </w:rPr>
        <w:t>.</w:t>
      </w:r>
      <w:r w:rsidRPr="009475CC">
        <w:rPr>
          <w:rFonts w:cs="Times New Roman"/>
          <w:szCs w:val="24"/>
          <w:lang w:val="sq-AL"/>
        </w:rPr>
        <w:t xml:space="preserve"> </w:t>
      </w:r>
    </w:p>
    <w:p w14:paraId="41369DB6" w14:textId="59443CCA" w:rsidR="00274CDF" w:rsidRPr="009475CC" w:rsidRDefault="00274CDF" w:rsidP="00FB63B4">
      <w:pPr>
        <w:spacing w:line="240" w:lineRule="auto"/>
        <w:jc w:val="both"/>
        <w:rPr>
          <w:rFonts w:cs="Times New Roman"/>
          <w:szCs w:val="24"/>
          <w:lang w:val="sq-AL"/>
        </w:rPr>
      </w:pPr>
      <w:r w:rsidRPr="009475CC">
        <w:rPr>
          <w:rFonts w:cs="Times New Roman"/>
          <w:b/>
          <w:bCs/>
          <w:szCs w:val="24"/>
          <w:lang w:val="sq-AL"/>
        </w:rPr>
        <w:t xml:space="preserve">Masa </w:t>
      </w:r>
      <w:r w:rsidR="00FB63B4">
        <w:rPr>
          <w:rFonts w:cs="Times New Roman"/>
          <w:b/>
          <w:bCs/>
          <w:szCs w:val="24"/>
          <w:lang w:val="sq-AL"/>
        </w:rPr>
        <w:t>21.</w:t>
      </w:r>
      <w:r w:rsidRPr="009475CC">
        <w:rPr>
          <w:rFonts w:cs="Times New Roman"/>
          <w:b/>
          <w:bCs/>
          <w:szCs w:val="24"/>
          <w:lang w:val="sq-AL"/>
        </w:rPr>
        <w:t>3</w:t>
      </w:r>
      <w:r w:rsidR="00052A25" w:rsidRPr="009475CC">
        <w:rPr>
          <w:rFonts w:cs="Times New Roman"/>
          <w:b/>
          <w:bCs/>
          <w:szCs w:val="24"/>
          <w:lang w:val="sq-AL"/>
        </w:rPr>
        <w:t>:</w:t>
      </w:r>
      <w:r w:rsidRPr="009475CC">
        <w:rPr>
          <w:rFonts w:cs="Times New Roman"/>
          <w:szCs w:val="24"/>
          <w:lang w:val="sq-AL"/>
        </w:rPr>
        <w:t xml:space="preserve"> </w:t>
      </w:r>
      <w:r w:rsidR="00052A25">
        <w:rPr>
          <w:rFonts w:cs="Times New Roman"/>
          <w:szCs w:val="24"/>
          <w:lang w:val="sq-AL"/>
        </w:rPr>
        <w:t>B</w:t>
      </w:r>
      <w:r w:rsidRPr="009475CC">
        <w:rPr>
          <w:rFonts w:cs="Times New Roman"/>
          <w:szCs w:val="24"/>
          <w:lang w:val="sq-AL"/>
        </w:rPr>
        <w:t>ashk</w:t>
      </w:r>
      <w:r w:rsidR="00624B67">
        <w:rPr>
          <w:rFonts w:cs="Times New Roman"/>
          <w:szCs w:val="24"/>
          <w:lang w:val="sq-AL"/>
        </w:rPr>
        <w:t>ë</w:t>
      </w:r>
      <w:r w:rsidRPr="009475CC">
        <w:rPr>
          <w:rFonts w:cs="Times New Roman"/>
          <w:szCs w:val="24"/>
          <w:lang w:val="sq-AL"/>
        </w:rPr>
        <w:t>punimi me specialist</w:t>
      </w:r>
      <w:r w:rsidR="00624B67">
        <w:rPr>
          <w:rFonts w:cs="Times New Roman"/>
          <w:szCs w:val="24"/>
          <w:lang w:val="sq-AL"/>
        </w:rPr>
        <w:t>ë</w:t>
      </w:r>
      <w:r w:rsidRPr="009475CC">
        <w:rPr>
          <w:rFonts w:cs="Times New Roman"/>
          <w:szCs w:val="24"/>
          <w:lang w:val="sq-AL"/>
        </w:rPr>
        <w:t xml:space="preserve"> e subjekteve kozmetike dhe insti</w:t>
      </w:r>
      <w:r w:rsidR="00624B67">
        <w:rPr>
          <w:rFonts w:cs="Times New Roman"/>
          <w:szCs w:val="24"/>
          <w:lang w:val="sq-AL"/>
        </w:rPr>
        <w:t>t</w:t>
      </w:r>
      <w:r w:rsidRPr="009475CC">
        <w:rPr>
          <w:rFonts w:cs="Times New Roman"/>
          <w:szCs w:val="24"/>
          <w:lang w:val="sq-AL"/>
        </w:rPr>
        <w:t>ucioneve kontr</w:t>
      </w:r>
      <w:r w:rsidR="00624B67">
        <w:rPr>
          <w:rFonts w:cs="Times New Roman"/>
          <w:szCs w:val="24"/>
          <w:lang w:val="sq-AL"/>
        </w:rPr>
        <w:t>o</w:t>
      </w:r>
      <w:r w:rsidRPr="009475CC">
        <w:rPr>
          <w:rFonts w:cs="Times New Roman"/>
          <w:szCs w:val="24"/>
          <w:lang w:val="sq-AL"/>
        </w:rPr>
        <w:t>lluese të zbatimit të ligjit</w:t>
      </w:r>
      <w:r w:rsidR="00624B67">
        <w:rPr>
          <w:rFonts w:cs="Times New Roman"/>
          <w:szCs w:val="24"/>
          <w:lang w:val="sq-AL"/>
        </w:rPr>
        <w:t>.</w:t>
      </w:r>
      <w:r w:rsidRPr="009475CC">
        <w:rPr>
          <w:rFonts w:cs="Times New Roman"/>
          <w:szCs w:val="24"/>
          <w:lang w:val="sq-AL"/>
        </w:rPr>
        <w:t xml:space="preserve">   </w:t>
      </w:r>
    </w:p>
    <w:p w14:paraId="674D1D0A" w14:textId="457D61B7" w:rsidR="00274CDF" w:rsidRPr="009475CC" w:rsidRDefault="00274CDF" w:rsidP="009475CC">
      <w:pPr>
        <w:spacing w:after="0" w:line="240" w:lineRule="auto"/>
        <w:jc w:val="both"/>
        <w:rPr>
          <w:rFonts w:cs="Times New Roman"/>
          <w:b/>
          <w:bCs/>
          <w:szCs w:val="24"/>
          <w:lang w:val="sq-AL"/>
        </w:rPr>
      </w:pPr>
      <w:r w:rsidRPr="009475CC">
        <w:rPr>
          <w:rFonts w:cs="Times New Roman"/>
          <w:b/>
          <w:bCs/>
          <w:szCs w:val="24"/>
          <w:lang w:val="sq-AL"/>
        </w:rPr>
        <w:t>Indikat</w:t>
      </w:r>
      <w:r w:rsidR="00052A25" w:rsidRPr="009475CC">
        <w:rPr>
          <w:rFonts w:cs="Times New Roman"/>
          <w:b/>
          <w:bCs/>
          <w:szCs w:val="24"/>
          <w:lang w:val="sq-AL"/>
        </w:rPr>
        <w:t>o</w:t>
      </w:r>
      <w:r w:rsidRPr="009475CC">
        <w:rPr>
          <w:rFonts w:cs="Times New Roman"/>
          <w:b/>
          <w:bCs/>
          <w:szCs w:val="24"/>
          <w:lang w:val="sq-AL"/>
        </w:rPr>
        <w:t>r</w:t>
      </w:r>
      <w:r w:rsidR="00052A25" w:rsidRPr="009475CC">
        <w:rPr>
          <w:rFonts w:cs="Times New Roman"/>
          <w:b/>
          <w:bCs/>
          <w:szCs w:val="24"/>
          <w:lang w:val="sq-AL"/>
        </w:rPr>
        <w:t>ë</w:t>
      </w:r>
      <w:r w:rsidRPr="009475CC">
        <w:rPr>
          <w:rFonts w:cs="Times New Roman"/>
          <w:b/>
          <w:bCs/>
          <w:szCs w:val="24"/>
          <w:lang w:val="sq-AL"/>
        </w:rPr>
        <w:t>t</w:t>
      </w:r>
      <w:r w:rsidR="00052A25" w:rsidRPr="009475CC">
        <w:rPr>
          <w:rFonts w:cs="Times New Roman"/>
          <w:b/>
          <w:bCs/>
          <w:szCs w:val="24"/>
          <w:lang w:val="sq-AL"/>
        </w:rPr>
        <w:t>:</w:t>
      </w:r>
      <w:r w:rsidRPr="009475CC">
        <w:rPr>
          <w:rFonts w:cs="Times New Roman"/>
          <w:b/>
          <w:bCs/>
          <w:szCs w:val="24"/>
          <w:lang w:val="sq-AL"/>
        </w:rPr>
        <w:t xml:space="preserve"> </w:t>
      </w:r>
    </w:p>
    <w:p w14:paraId="1460053E" w14:textId="47B44973" w:rsidR="00274CDF" w:rsidRPr="00624B67" w:rsidRDefault="00274CDF" w:rsidP="00623352">
      <w:pPr>
        <w:pStyle w:val="ListParagraph"/>
        <w:numPr>
          <w:ilvl w:val="0"/>
          <w:numId w:val="22"/>
        </w:numPr>
        <w:spacing w:after="0" w:line="240" w:lineRule="auto"/>
        <w:jc w:val="both"/>
        <w:rPr>
          <w:rFonts w:cs="Times New Roman"/>
          <w:szCs w:val="24"/>
          <w:lang w:val="sq-AL"/>
        </w:rPr>
      </w:pPr>
      <w:r w:rsidRPr="00624B67">
        <w:rPr>
          <w:rFonts w:cs="Times New Roman"/>
          <w:szCs w:val="24"/>
          <w:lang w:val="sq-AL"/>
        </w:rPr>
        <w:t>Zh</w:t>
      </w:r>
      <w:r w:rsidR="00052A25" w:rsidRPr="00624B67">
        <w:rPr>
          <w:rFonts w:cs="Times New Roman"/>
          <w:szCs w:val="24"/>
          <w:lang w:val="sq-AL"/>
        </w:rPr>
        <w:t>v</w:t>
      </w:r>
      <w:r w:rsidRPr="00624B67">
        <w:rPr>
          <w:rFonts w:cs="Times New Roman"/>
          <w:szCs w:val="24"/>
          <w:lang w:val="sq-AL"/>
        </w:rPr>
        <w:t xml:space="preserve">illimi i  </w:t>
      </w:r>
      <w:r w:rsidR="00FB63B4" w:rsidRPr="00624B67">
        <w:rPr>
          <w:rFonts w:cs="Times New Roman"/>
          <w:szCs w:val="24"/>
          <w:lang w:val="sq-AL"/>
        </w:rPr>
        <w:t>10 trajnime</w:t>
      </w:r>
      <w:r w:rsidR="00FB63B4">
        <w:rPr>
          <w:rFonts w:cs="Times New Roman"/>
          <w:szCs w:val="24"/>
          <w:lang w:val="sq-AL"/>
        </w:rPr>
        <w:t>ve</w:t>
      </w:r>
      <w:r w:rsidRPr="00624B67">
        <w:rPr>
          <w:rFonts w:cs="Times New Roman"/>
          <w:szCs w:val="24"/>
          <w:lang w:val="sq-AL"/>
        </w:rPr>
        <w:t xml:space="preserve"> për 7 vjet</w:t>
      </w:r>
      <w:r w:rsidR="00624B67">
        <w:rPr>
          <w:rFonts w:cs="Times New Roman"/>
          <w:szCs w:val="24"/>
          <w:lang w:val="sq-AL"/>
        </w:rPr>
        <w:t>.</w:t>
      </w:r>
    </w:p>
    <w:p w14:paraId="42B5D19F" w14:textId="4C76D07B" w:rsidR="00274CDF" w:rsidRPr="00624B67" w:rsidRDefault="00274CDF" w:rsidP="00623352">
      <w:pPr>
        <w:pStyle w:val="ListParagraph"/>
        <w:numPr>
          <w:ilvl w:val="0"/>
          <w:numId w:val="22"/>
        </w:numPr>
        <w:spacing w:after="0" w:line="240" w:lineRule="auto"/>
        <w:jc w:val="both"/>
        <w:rPr>
          <w:rFonts w:cs="Times New Roman"/>
          <w:szCs w:val="24"/>
          <w:lang w:val="sq-AL"/>
        </w:rPr>
      </w:pPr>
      <w:r w:rsidRPr="00624B67">
        <w:rPr>
          <w:rFonts w:cs="Times New Roman"/>
          <w:szCs w:val="24"/>
          <w:lang w:val="sq-AL"/>
        </w:rPr>
        <w:t>Zh</w:t>
      </w:r>
      <w:r w:rsidR="00052A25" w:rsidRPr="00624B67">
        <w:rPr>
          <w:rFonts w:cs="Times New Roman"/>
          <w:szCs w:val="24"/>
          <w:lang w:val="sq-AL"/>
        </w:rPr>
        <w:t>v</w:t>
      </w:r>
      <w:r w:rsidRPr="00624B67">
        <w:rPr>
          <w:rFonts w:cs="Times New Roman"/>
          <w:szCs w:val="24"/>
          <w:lang w:val="sq-AL"/>
        </w:rPr>
        <w:t xml:space="preserve">illimi </w:t>
      </w:r>
      <w:r w:rsidR="00FB63B4">
        <w:rPr>
          <w:rFonts w:cs="Times New Roman"/>
          <w:szCs w:val="24"/>
          <w:lang w:val="sq-AL"/>
        </w:rPr>
        <w:t>i</w:t>
      </w:r>
      <w:r w:rsidR="00FB63B4" w:rsidRPr="00624B67">
        <w:rPr>
          <w:rFonts w:cs="Times New Roman"/>
          <w:szCs w:val="24"/>
          <w:lang w:val="sq-AL"/>
        </w:rPr>
        <w:t xml:space="preserve"> </w:t>
      </w:r>
      <w:r w:rsidRPr="00624B67">
        <w:rPr>
          <w:rFonts w:cs="Times New Roman"/>
          <w:szCs w:val="24"/>
          <w:lang w:val="sq-AL"/>
        </w:rPr>
        <w:t>200 inspektimeve pa masa administrative duke l</w:t>
      </w:r>
      <w:r w:rsidR="00624B67">
        <w:rPr>
          <w:rFonts w:cs="Times New Roman"/>
          <w:szCs w:val="24"/>
          <w:lang w:val="sq-AL"/>
        </w:rPr>
        <w:t>ënë</w:t>
      </w:r>
      <w:r w:rsidRPr="00624B67">
        <w:rPr>
          <w:rFonts w:cs="Times New Roman"/>
          <w:szCs w:val="24"/>
          <w:lang w:val="sq-AL"/>
        </w:rPr>
        <w:t xml:space="preserve"> detyra</w:t>
      </w:r>
      <w:r w:rsidR="00624B67">
        <w:rPr>
          <w:rFonts w:cs="Times New Roman"/>
          <w:szCs w:val="24"/>
          <w:lang w:val="sq-AL"/>
        </w:rPr>
        <w:t>.</w:t>
      </w:r>
      <w:r w:rsidRPr="00624B67">
        <w:rPr>
          <w:rFonts w:cs="Times New Roman"/>
          <w:szCs w:val="24"/>
          <w:lang w:val="sq-AL"/>
        </w:rPr>
        <w:t xml:space="preserve"> </w:t>
      </w:r>
    </w:p>
    <w:p w14:paraId="5437A025" w14:textId="2D3E3792" w:rsidR="00274CDF" w:rsidRPr="00624B67" w:rsidRDefault="00274CDF" w:rsidP="00623352">
      <w:pPr>
        <w:pStyle w:val="ListParagraph"/>
        <w:numPr>
          <w:ilvl w:val="0"/>
          <w:numId w:val="22"/>
        </w:numPr>
        <w:spacing w:after="0" w:line="240" w:lineRule="auto"/>
        <w:jc w:val="both"/>
        <w:rPr>
          <w:rFonts w:cs="Times New Roman"/>
          <w:szCs w:val="24"/>
          <w:lang w:val="sq-AL"/>
        </w:rPr>
      </w:pPr>
      <w:r w:rsidRPr="00624B67">
        <w:rPr>
          <w:rFonts w:cs="Times New Roman"/>
          <w:szCs w:val="24"/>
          <w:lang w:val="sq-AL"/>
        </w:rPr>
        <w:t>Takime te realizuar në subjekte 13 në 7 vjet</w:t>
      </w:r>
      <w:r w:rsidR="00052A25" w:rsidRPr="00624B67">
        <w:rPr>
          <w:rFonts w:cs="Times New Roman"/>
          <w:szCs w:val="24"/>
          <w:lang w:val="sq-AL"/>
        </w:rPr>
        <w:t>.</w:t>
      </w:r>
      <w:r w:rsidRPr="00624B67">
        <w:rPr>
          <w:rFonts w:cs="Times New Roman"/>
          <w:szCs w:val="24"/>
          <w:lang w:val="sq-AL"/>
        </w:rPr>
        <w:t xml:space="preserve"> </w:t>
      </w:r>
    </w:p>
    <w:p w14:paraId="443D2D25" w14:textId="77777777" w:rsidR="00D02555" w:rsidRDefault="00D02555" w:rsidP="006A2D01">
      <w:pPr>
        <w:jc w:val="both"/>
        <w:rPr>
          <w:rFonts w:cs="Times New Roman"/>
          <w:szCs w:val="24"/>
          <w:lang w:val="sq-AL"/>
        </w:rPr>
      </w:pPr>
    </w:p>
    <w:p w14:paraId="03EE438B" w14:textId="578C1AE9" w:rsidR="00AF6AC8" w:rsidRPr="009475CC" w:rsidRDefault="00AF6AC8" w:rsidP="00FB63B4">
      <w:pPr>
        <w:pStyle w:val="Heading4"/>
        <w:rPr>
          <w:lang w:val="sq-AL"/>
        </w:rPr>
      </w:pPr>
      <w:bookmarkStart w:id="160" w:name="_Toc132277384"/>
      <w:bookmarkStart w:id="161" w:name="_Hlk121701144"/>
      <w:r w:rsidRPr="009475CC">
        <w:rPr>
          <w:lang w:val="sq-AL"/>
        </w:rPr>
        <w:t>I</w:t>
      </w:r>
      <w:r w:rsidR="00D02555" w:rsidRPr="009475CC">
        <w:rPr>
          <w:lang w:val="sq-AL"/>
        </w:rPr>
        <w:t xml:space="preserve">nspektorati </w:t>
      </w:r>
      <w:r w:rsidRPr="009475CC">
        <w:rPr>
          <w:lang w:val="sq-AL"/>
        </w:rPr>
        <w:t>S</w:t>
      </w:r>
      <w:r w:rsidR="00D02555" w:rsidRPr="009475CC">
        <w:rPr>
          <w:lang w:val="sq-AL"/>
        </w:rPr>
        <w:t xml:space="preserve">htetëror i </w:t>
      </w:r>
      <w:r w:rsidRPr="009475CC">
        <w:rPr>
          <w:lang w:val="sq-AL"/>
        </w:rPr>
        <w:t>M</w:t>
      </w:r>
      <w:r w:rsidR="00D02555" w:rsidRPr="009475CC">
        <w:rPr>
          <w:lang w:val="sq-AL"/>
        </w:rPr>
        <w:t xml:space="preserve">bikqyrjes së </w:t>
      </w:r>
      <w:r w:rsidRPr="009475CC">
        <w:rPr>
          <w:lang w:val="sq-AL"/>
        </w:rPr>
        <w:t>T</w:t>
      </w:r>
      <w:r w:rsidR="00D02555" w:rsidRPr="009475CC">
        <w:rPr>
          <w:lang w:val="sq-AL"/>
        </w:rPr>
        <w:t>regut</w:t>
      </w:r>
      <w:bookmarkEnd w:id="160"/>
    </w:p>
    <w:tbl>
      <w:tblPr>
        <w:tblStyle w:val="TableGrid"/>
        <w:tblW w:w="0" w:type="auto"/>
        <w:tblLook w:val="04A0" w:firstRow="1" w:lastRow="0" w:firstColumn="1" w:lastColumn="0" w:noHBand="0" w:noVBand="1"/>
      </w:tblPr>
      <w:tblGrid>
        <w:gridCol w:w="9016"/>
      </w:tblGrid>
      <w:tr w:rsidR="00FB63B4" w14:paraId="57AA9DB2" w14:textId="77777777" w:rsidTr="00FB63B4">
        <w:tc>
          <w:tcPr>
            <w:tcW w:w="9016" w:type="dxa"/>
          </w:tcPr>
          <w:bookmarkEnd w:id="161"/>
          <w:p w14:paraId="4A94291E" w14:textId="0528D561" w:rsidR="00FB63B4" w:rsidRPr="00FB36DA" w:rsidRDefault="00FB63B4" w:rsidP="00FB63B4">
            <w:pPr>
              <w:jc w:val="both"/>
              <w:rPr>
                <w:rFonts w:cs="Times New Roman"/>
                <w:b/>
                <w:szCs w:val="24"/>
                <w:lang w:val="sq-AL"/>
              </w:rPr>
            </w:pPr>
            <w:r w:rsidRPr="00FB36DA">
              <w:rPr>
                <w:rFonts w:cs="Times New Roman"/>
                <w:b/>
                <w:szCs w:val="24"/>
                <w:lang w:val="sq-AL"/>
              </w:rPr>
              <w:t xml:space="preserve">Objektivi </w:t>
            </w:r>
            <w:r>
              <w:rPr>
                <w:rFonts w:cs="Times New Roman"/>
                <w:b/>
                <w:szCs w:val="24"/>
                <w:lang w:val="sq-AL"/>
              </w:rPr>
              <w:t>22</w:t>
            </w:r>
            <w:r w:rsidRPr="00FB36DA">
              <w:rPr>
                <w:rFonts w:cs="Times New Roman"/>
                <w:b/>
                <w:szCs w:val="24"/>
                <w:lang w:val="sq-AL"/>
              </w:rPr>
              <w:t xml:space="preserve">: </w:t>
            </w:r>
            <w:r w:rsidRPr="009475CC">
              <w:rPr>
                <w:rFonts w:cs="Times New Roman"/>
                <w:bCs/>
                <w:szCs w:val="24"/>
                <w:lang w:val="sq-AL"/>
              </w:rPr>
              <w:t>Rritja  dhe zgjerimi i fushës së kontrollit dhe mbikëqyrjes në treg të produkteve joushqimore në përputhje me legjislacionin ekzistues</w:t>
            </w:r>
            <w:r>
              <w:rPr>
                <w:rFonts w:cs="Times New Roman"/>
                <w:bCs/>
                <w:szCs w:val="24"/>
                <w:lang w:val="sq-AL"/>
              </w:rPr>
              <w:t>.</w:t>
            </w:r>
          </w:p>
          <w:p w14:paraId="64A98D9D" w14:textId="77777777" w:rsidR="00FB63B4" w:rsidRDefault="00FB63B4" w:rsidP="009475CC">
            <w:pPr>
              <w:jc w:val="both"/>
              <w:rPr>
                <w:rFonts w:cs="Times New Roman"/>
                <w:b/>
                <w:szCs w:val="24"/>
                <w:lang w:val="sq-AL"/>
              </w:rPr>
            </w:pPr>
          </w:p>
        </w:tc>
      </w:tr>
    </w:tbl>
    <w:p w14:paraId="7F58354E" w14:textId="77777777" w:rsidR="00FB63B4" w:rsidRDefault="00FB63B4" w:rsidP="009475CC">
      <w:pPr>
        <w:spacing w:after="0" w:line="240" w:lineRule="auto"/>
        <w:jc w:val="both"/>
        <w:rPr>
          <w:rFonts w:cs="Times New Roman"/>
          <w:b/>
          <w:szCs w:val="24"/>
          <w:lang w:val="sq-AL"/>
        </w:rPr>
      </w:pPr>
    </w:p>
    <w:p w14:paraId="6B4461F7" w14:textId="141F9B38" w:rsidR="00AF6AC8" w:rsidRPr="004E1146" w:rsidRDefault="00AF6AC8" w:rsidP="00FB63B4">
      <w:pPr>
        <w:spacing w:line="240" w:lineRule="auto"/>
        <w:jc w:val="both"/>
        <w:rPr>
          <w:rFonts w:cs="Times New Roman"/>
          <w:szCs w:val="24"/>
          <w:lang w:val="sq-AL"/>
        </w:rPr>
      </w:pPr>
      <w:r w:rsidRPr="009475CC">
        <w:rPr>
          <w:rFonts w:cs="Times New Roman"/>
          <w:b/>
          <w:bCs/>
          <w:szCs w:val="24"/>
          <w:lang w:val="sq-AL"/>
        </w:rPr>
        <w:t xml:space="preserve">Masa </w:t>
      </w:r>
      <w:r w:rsidR="00FB63B4">
        <w:rPr>
          <w:rFonts w:cs="Times New Roman"/>
          <w:b/>
          <w:bCs/>
          <w:szCs w:val="24"/>
          <w:lang w:val="sq-AL"/>
        </w:rPr>
        <w:t>22.</w:t>
      </w:r>
      <w:r w:rsidRPr="009475CC">
        <w:rPr>
          <w:rFonts w:cs="Times New Roman"/>
          <w:b/>
          <w:bCs/>
          <w:szCs w:val="24"/>
          <w:lang w:val="sq-AL"/>
        </w:rPr>
        <w:t>1:</w:t>
      </w:r>
      <w:r w:rsidRPr="009475CC">
        <w:rPr>
          <w:rFonts w:cs="Times New Roman"/>
          <w:szCs w:val="24"/>
          <w:lang w:val="sq-AL"/>
        </w:rPr>
        <w:t xml:space="preserve"> Kryerja e inspektimeve për zbatimin e kërkesave ligjore nga ana e operatorëve ekonomikë për sigurinë e produkteve joushqimore</w:t>
      </w:r>
      <w:r w:rsidRPr="009475CC">
        <w:rPr>
          <w:rFonts w:eastAsia="Times New Roman" w:cs="Times New Roman"/>
          <w:szCs w:val="24"/>
          <w:lang w:val="sq-AL"/>
        </w:rPr>
        <w:t xml:space="preserve"> dhe rritje e kontrolleve fizike treguese dhe laboratorike</w:t>
      </w:r>
      <w:r w:rsidR="00D02555">
        <w:rPr>
          <w:rFonts w:cs="Times New Roman"/>
          <w:szCs w:val="24"/>
          <w:lang w:val="sq-AL"/>
        </w:rPr>
        <w:t xml:space="preserve">. </w:t>
      </w:r>
      <w:r w:rsidRPr="008B3DCF">
        <w:rPr>
          <w:rFonts w:cs="Times New Roman"/>
          <w:szCs w:val="24"/>
          <w:lang w:val="sq-AL"/>
        </w:rPr>
        <w:t xml:space="preserve">Do të kryhen inspektime për zbatimin e kritereve ligjore nga ana e operatorëve ekonomikë duke u fokusuar tek grupe produkte që janë </w:t>
      </w:r>
      <w:r w:rsidRPr="00E2223C">
        <w:rPr>
          <w:rFonts w:cs="Times New Roman"/>
          <w:szCs w:val="24"/>
          <w:lang w:val="sq-AL"/>
        </w:rPr>
        <w:t xml:space="preserve">inspektuar në vitet në vazhdim,  por do të përfshihen  edhe grupe produkte të reja që nuk janë </w:t>
      </w:r>
      <w:r w:rsidRPr="009475CC">
        <w:rPr>
          <w:rFonts w:cs="Times New Roman"/>
          <w:b/>
          <w:bCs/>
          <w:szCs w:val="24"/>
          <w:lang w:val="sq-AL"/>
        </w:rPr>
        <w:t>inspektuar</w:t>
      </w:r>
      <w:r w:rsidRPr="00E2223C">
        <w:rPr>
          <w:rFonts w:cs="Times New Roman"/>
          <w:szCs w:val="24"/>
          <w:lang w:val="sq-AL"/>
        </w:rPr>
        <w:t xml:space="preserve"> më parë, por që janë pjesë e fushë veprimtarisë së ISHMT-së në zbatim të rregulloreve të reja të transpozuar në legjislacionin shqiptar si: pajisjet e</w:t>
      </w:r>
      <w:r w:rsidRPr="00ED6C63">
        <w:rPr>
          <w:rFonts w:cs="Times New Roman"/>
          <w:szCs w:val="24"/>
          <w:lang w:val="sq-AL"/>
        </w:rPr>
        <w:t xml:space="preserve"> gazit, enët e thjeshta në presion, artikujt piroteknik, artikujt aerosol, kimikate,  avionët pa pilot etj.</w:t>
      </w:r>
      <w:r w:rsidR="0007179B">
        <w:rPr>
          <w:rFonts w:cs="Times New Roman"/>
          <w:szCs w:val="24"/>
          <w:lang w:val="sq-AL"/>
        </w:rPr>
        <w:t xml:space="preserve"> </w:t>
      </w:r>
      <w:r w:rsidRPr="00ED6C63">
        <w:rPr>
          <w:rFonts w:cs="Times New Roman"/>
          <w:szCs w:val="24"/>
          <w:lang w:val="sq-AL"/>
        </w:rPr>
        <w:t>Në fokus kryesor do të jenë edhe inspektimet për sigurinë e ashensorëve, lodrave, instrumentat matëse ligjërisht të kontrolluara, parapaketimet, art</w:t>
      </w:r>
      <w:r w:rsidRPr="003F476D">
        <w:rPr>
          <w:rFonts w:cs="Times New Roman"/>
          <w:szCs w:val="24"/>
          <w:lang w:val="sq-AL"/>
        </w:rPr>
        <w:t>ikujt e kujdesit për fëmijë</w:t>
      </w:r>
      <w:r w:rsidR="0007179B">
        <w:rPr>
          <w:rFonts w:cs="Times New Roman"/>
          <w:szCs w:val="24"/>
          <w:lang w:val="sq-AL"/>
        </w:rPr>
        <w:t xml:space="preserve"> </w:t>
      </w:r>
      <w:r w:rsidRPr="003F476D">
        <w:rPr>
          <w:rFonts w:cs="Times New Roman"/>
          <w:szCs w:val="24"/>
          <w:lang w:val="sq-AL"/>
        </w:rPr>
        <w:t xml:space="preserve">etj. </w:t>
      </w:r>
    </w:p>
    <w:p w14:paraId="396F2044" w14:textId="39FD3CE3" w:rsidR="00AF6AC8" w:rsidRPr="009475CC" w:rsidRDefault="00AF6AC8" w:rsidP="00FB63B4">
      <w:pPr>
        <w:spacing w:line="240" w:lineRule="auto"/>
        <w:jc w:val="both"/>
        <w:rPr>
          <w:rFonts w:cs="Times New Roman"/>
          <w:szCs w:val="24"/>
          <w:lang w:val="sq-AL"/>
        </w:rPr>
      </w:pPr>
      <w:r w:rsidRPr="005D4962">
        <w:rPr>
          <w:rFonts w:cs="Times New Roman"/>
          <w:szCs w:val="24"/>
          <w:lang w:val="sq-AL"/>
        </w:rPr>
        <w:lastRenderedPageBreak/>
        <w:t>Inspektimet do të fokusohen jo vetëm në kontrollin dokumentar, por edhe në kontrolle fizike treguese duke vënë në përdorim instrumenta/kite/pajisje ndihmëse për vlerësimin e konformitetit të produktit. Gjithshtu do të ndë</w:t>
      </w:r>
      <w:r w:rsidRPr="009475CC">
        <w:rPr>
          <w:rFonts w:cs="Times New Roman"/>
          <w:szCs w:val="24"/>
          <w:lang w:val="sq-AL"/>
        </w:rPr>
        <w:t>rmerren edhe analiza laboratorike për grupe produktesh p</w:t>
      </w:r>
      <w:r w:rsidR="0007179B">
        <w:rPr>
          <w:rFonts w:cs="Times New Roman"/>
          <w:szCs w:val="24"/>
          <w:lang w:val="sq-AL"/>
        </w:rPr>
        <w:t>ë</w:t>
      </w:r>
      <w:r w:rsidRPr="009475CC">
        <w:rPr>
          <w:rFonts w:cs="Times New Roman"/>
          <w:szCs w:val="24"/>
          <w:lang w:val="sq-AL"/>
        </w:rPr>
        <w:t>r t</w:t>
      </w:r>
      <w:r w:rsidR="0007179B">
        <w:rPr>
          <w:rFonts w:cs="Times New Roman"/>
          <w:szCs w:val="24"/>
          <w:lang w:val="sq-AL"/>
        </w:rPr>
        <w:t>ë</w:t>
      </w:r>
      <w:r w:rsidRPr="009475CC">
        <w:rPr>
          <w:rFonts w:cs="Times New Roman"/>
          <w:szCs w:val="24"/>
          <w:lang w:val="sq-AL"/>
        </w:rPr>
        <w:t xml:space="preserve"> cilat ka dyshime që përbëjnë risk për jetën</w:t>
      </w:r>
      <w:r w:rsidR="0007179B">
        <w:rPr>
          <w:rFonts w:cs="Times New Roman"/>
          <w:szCs w:val="24"/>
          <w:lang w:val="sq-AL"/>
        </w:rPr>
        <w:t xml:space="preserve"> dhe </w:t>
      </w:r>
      <w:r w:rsidRPr="009475CC">
        <w:rPr>
          <w:rFonts w:cs="Times New Roman"/>
          <w:szCs w:val="24"/>
          <w:lang w:val="sq-AL"/>
        </w:rPr>
        <w:t>shëndetin e konsum</w:t>
      </w:r>
      <w:r w:rsidR="0007179B">
        <w:rPr>
          <w:rFonts w:cs="Times New Roman"/>
          <w:szCs w:val="24"/>
          <w:lang w:val="sq-AL"/>
        </w:rPr>
        <w:t>a</w:t>
      </w:r>
      <w:r w:rsidRPr="009475CC">
        <w:rPr>
          <w:rFonts w:cs="Times New Roman"/>
          <w:szCs w:val="24"/>
          <w:lang w:val="sq-AL"/>
        </w:rPr>
        <w:t>torit.</w:t>
      </w:r>
    </w:p>
    <w:p w14:paraId="77359AF4" w14:textId="5B8BF3ED" w:rsidR="00AF6AC8" w:rsidRPr="009475CC" w:rsidRDefault="00AF6AC8" w:rsidP="00FB63B4">
      <w:pPr>
        <w:spacing w:line="240" w:lineRule="auto"/>
        <w:jc w:val="both"/>
        <w:rPr>
          <w:rFonts w:eastAsia="Times New Roman" w:cs="Times New Roman"/>
          <w:szCs w:val="24"/>
          <w:u w:val="single"/>
          <w:lang w:val="sq-AL"/>
        </w:rPr>
      </w:pPr>
      <w:r w:rsidRPr="009475CC">
        <w:rPr>
          <w:rFonts w:cs="Times New Roman"/>
          <w:b/>
          <w:bCs/>
          <w:szCs w:val="24"/>
          <w:lang w:val="sq-AL"/>
        </w:rPr>
        <w:t xml:space="preserve">Masa </w:t>
      </w:r>
      <w:r w:rsidR="00FB63B4">
        <w:rPr>
          <w:rFonts w:cs="Times New Roman"/>
          <w:b/>
          <w:bCs/>
          <w:szCs w:val="24"/>
          <w:lang w:val="sq-AL"/>
        </w:rPr>
        <w:t>22.</w:t>
      </w:r>
      <w:r w:rsidRPr="009475CC">
        <w:rPr>
          <w:rFonts w:cs="Times New Roman"/>
          <w:b/>
          <w:bCs/>
          <w:szCs w:val="24"/>
          <w:lang w:val="sq-AL"/>
        </w:rPr>
        <w:t>2:</w:t>
      </w:r>
      <w:r w:rsidRPr="009475CC">
        <w:rPr>
          <w:rFonts w:cs="Times New Roman"/>
          <w:szCs w:val="24"/>
          <w:u w:val="single"/>
          <w:lang w:val="sq-AL"/>
        </w:rPr>
        <w:t xml:space="preserve"> </w:t>
      </w:r>
      <w:r w:rsidRPr="009475CC">
        <w:rPr>
          <w:rFonts w:cs="Times New Roman"/>
          <w:szCs w:val="24"/>
          <w:lang w:val="sq-AL"/>
        </w:rPr>
        <w:t>Rritja e shkallës së njohurive të kapaciteteve njerëzore t</w:t>
      </w:r>
      <w:r w:rsidRPr="009475CC">
        <w:rPr>
          <w:rFonts w:eastAsia="Times New Roman" w:cs="Times New Roman"/>
          <w:szCs w:val="24"/>
          <w:lang w:val="sq-AL"/>
        </w:rPr>
        <w:t>ë ISHMT-së</w:t>
      </w:r>
      <w:r w:rsidR="00D02555">
        <w:rPr>
          <w:rFonts w:eastAsia="Times New Roman" w:cs="Times New Roman"/>
          <w:szCs w:val="24"/>
          <w:lang w:val="sq-AL"/>
        </w:rPr>
        <w:t>.</w:t>
      </w:r>
      <w:r w:rsidRPr="009475CC">
        <w:rPr>
          <w:rFonts w:eastAsia="Times New Roman" w:cs="Times New Roman"/>
          <w:szCs w:val="24"/>
          <w:u w:val="single"/>
          <w:lang w:val="sq-AL"/>
        </w:rPr>
        <w:t xml:space="preserve"> </w:t>
      </w:r>
    </w:p>
    <w:p w14:paraId="5E868311" w14:textId="21082051" w:rsidR="00AF6AC8" w:rsidRPr="009475CC" w:rsidRDefault="00AF6AC8" w:rsidP="00FB63B4">
      <w:pPr>
        <w:spacing w:line="240" w:lineRule="auto"/>
        <w:jc w:val="both"/>
        <w:rPr>
          <w:rFonts w:cs="Times New Roman"/>
          <w:szCs w:val="24"/>
          <w:lang w:val="sq-AL"/>
        </w:rPr>
      </w:pPr>
      <w:r w:rsidRPr="009475CC">
        <w:rPr>
          <w:rFonts w:eastAsia="Times New Roman" w:cs="Times New Roman"/>
          <w:szCs w:val="24"/>
          <w:lang w:val="sq-AL"/>
        </w:rPr>
        <w:t>Fuqizimi i kapaciteteve njerëzore do të synojë në rritjen e aftësive tekniko-profesionale si dhe të shkallës së njohurive të stafit (inspektorëve) mbi legjislacionin në fushën e mbikëqyrjes së tregut dhe mbi rregulloret e reja të transpozuar</w:t>
      </w:r>
      <w:r w:rsidR="0007179B">
        <w:rPr>
          <w:rFonts w:eastAsia="Times New Roman" w:cs="Times New Roman"/>
          <w:szCs w:val="24"/>
          <w:lang w:val="sq-AL"/>
        </w:rPr>
        <w:t>a</w:t>
      </w:r>
      <w:r w:rsidRPr="009475CC">
        <w:rPr>
          <w:rFonts w:eastAsia="Times New Roman" w:cs="Times New Roman"/>
          <w:szCs w:val="24"/>
          <w:lang w:val="sq-AL"/>
        </w:rPr>
        <w:t xml:space="preserve"> në legjislacionin shqiptar. Kjo do të arrihet nëpërmjet trajnimeve, marrjes së eksperiencës më pozitive nga vendet e Rajonit dhe të BE</w:t>
      </w:r>
      <w:r w:rsidR="0007179B">
        <w:rPr>
          <w:rFonts w:eastAsia="Times New Roman" w:cs="Times New Roman"/>
          <w:szCs w:val="24"/>
          <w:lang w:val="sq-AL"/>
        </w:rPr>
        <w:t>-së</w:t>
      </w:r>
      <w:r w:rsidRPr="009475CC">
        <w:rPr>
          <w:rFonts w:eastAsia="Times New Roman" w:cs="Times New Roman"/>
          <w:szCs w:val="24"/>
          <w:lang w:val="sq-AL"/>
        </w:rPr>
        <w:t>.</w:t>
      </w:r>
    </w:p>
    <w:p w14:paraId="695F09E6" w14:textId="6FC1ED58" w:rsidR="00AF6AC8" w:rsidRPr="009475CC" w:rsidRDefault="00AF6AC8" w:rsidP="00FB63B4">
      <w:pPr>
        <w:spacing w:line="240" w:lineRule="auto"/>
        <w:jc w:val="both"/>
        <w:rPr>
          <w:rFonts w:eastAsia="Times New Roman" w:cs="Times New Roman"/>
          <w:szCs w:val="24"/>
          <w:u w:val="single"/>
          <w:lang w:val="sq-AL"/>
        </w:rPr>
      </w:pPr>
      <w:r w:rsidRPr="009475CC">
        <w:rPr>
          <w:rFonts w:eastAsia="Times New Roman" w:cs="Times New Roman"/>
          <w:b/>
          <w:bCs/>
          <w:szCs w:val="24"/>
          <w:lang w:val="sq-AL"/>
        </w:rPr>
        <w:t xml:space="preserve">Masa </w:t>
      </w:r>
      <w:r w:rsidR="00FB63B4">
        <w:rPr>
          <w:rFonts w:eastAsia="Times New Roman" w:cs="Times New Roman"/>
          <w:b/>
          <w:bCs/>
          <w:szCs w:val="24"/>
          <w:lang w:val="sq-AL"/>
        </w:rPr>
        <w:t>22.</w:t>
      </w:r>
      <w:r w:rsidRPr="009475CC">
        <w:rPr>
          <w:rFonts w:eastAsia="Times New Roman" w:cs="Times New Roman"/>
          <w:b/>
          <w:bCs/>
          <w:szCs w:val="24"/>
          <w:lang w:val="sq-AL"/>
        </w:rPr>
        <w:t>3:</w:t>
      </w:r>
      <w:r w:rsidRPr="009475CC">
        <w:rPr>
          <w:rFonts w:eastAsia="Times New Roman" w:cs="Times New Roman"/>
          <w:szCs w:val="24"/>
          <w:lang w:val="sq-AL"/>
        </w:rPr>
        <w:t xml:space="preserve"> Rishikimi i strukturës së ISHMT-se në lidhje me burimet njerëzore, logjistikën dhe i fondeve buxhetore</w:t>
      </w:r>
      <w:r w:rsidR="00D02555">
        <w:rPr>
          <w:rFonts w:eastAsia="Times New Roman" w:cs="Times New Roman"/>
          <w:szCs w:val="24"/>
          <w:u w:val="single"/>
          <w:lang w:val="sq-AL"/>
        </w:rPr>
        <w:t>.</w:t>
      </w:r>
    </w:p>
    <w:p w14:paraId="7E0BBDE1" w14:textId="3FF75B36" w:rsidR="00AF6AC8" w:rsidRPr="009475CC" w:rsidRDefault="00AF6AC8" w:rsidP="00FB63B4">
      <w:pPr>
        <w:spacing w:line="240" w:lineRule="auto"/>
        <w:jc w:val="both"/>
        <w:rPr>
          <w:rFonts w:eastAsia="Times New Roman" w:cs="Times New Roman"/>
          <w:szCs w:val="24"/>
          <w:lang w:val="sq-AL"/>
        </w:rPr>
      </w:pPr>
      <w:r w:rsidRPr="009475CC">
        <w:rPr>
          <w:rFonts w:eastAsia="Times New Roman" w:cs="Times New Roman"/>
          <w:szCs w:val="24"/>
          <w:lang w:val="sq-AL"/>
        </w:rPr>
        <w:t>ISHMT është një institucion me një fushë shumë të gjërë veprimtarie dhe q</w:t>
      </w:r>
      <w:r w:rsidR="00C83086">
        <w:rPr>
          <w:rFonts w:eastAsia="Times New Roman" w:cs="Times New Roman"/>
          <w:szCs w:val="24"/>
          <w:lang w:val="sq-AL"/>
        </w:rPr>
        <w:t>ë</w:t>
      </w:r>
      <w:r w:rsidRPr="009475CC">
        <w:rPr>
          <w:rFonts w:eastAsia="Times New Roman" w:cs="Times New Roman"/>
          <w:szCs w:val="24"/>
          <w:lang w:val="sq-AL"/>
        </w:rPr>
        <w:t xml:space="preserve"> funksionon si Drejtori qendrore me mbulim të gjerë territorial. Gama e produkteve që duhet të kontrollohen dhe që janë pjesë e fushë veprimtarisë së këtij institucioni është shumë e gjërë, e cila kërkon jo vetëm kapacitete njerëzore, trajnim të tyre por kërkon edhe logjistikë duke filluar që nga kitet e inspektimit/tableta, kompjutera e pajisje zyre, mjete transporti, instrumenta/pajisje për inspektim etj. Kjo masë konsiston në rishikimin e organigramës dhe strukturës së ISHMT-së duke synuar rritjen e numrit të inspektorëve dhe rritjen e fondeve buxhetore për përmirësimin e logjistikës duke e bërë më funksionale për realizimin e objektivave të institucionit. </w:t>
      </w:r>
    </w:p>
    <w:p w14:paraId="23804E36" w14:textId="190B7B39" w:rsidR="00AF6AC8" w:rsidRPr="009475CC" w:rsidRDefault="00AF6AC8" w:rsidP="009475CC">
      <w:pPr>
        <w:spacing w:after="0" w:line="240" w:lineRule="auto"/>
        <w:jc w:val="both"/>
        <w:rPr>
          <w:rFonts w:eastAsia="Times New Roman" w:cs="Times New Roman"/>
          <w:b/>
          <w:bCs/>
          <w:szCs w:val="24"/>
          <w:lang w:val="sq-AL"/>
        </w:rPr>
      </w:pPr>
      <w:r w:rsidRPr="009475CC">
        <w:rPr>
          <w:rFonts w:eastAsia="Times New Roman" w:cs="Times New Roman"/>
          <w:b/>
          <w:bCs/>
          <w:szCs w:val="24"/>
          <w:lang w:val="sq-AL"/>
        </w:rPr>
        <w:t>Indikatorët</w:t>
      </w:r>
      <w:r w:rsidR="00D02555" w:rsidRPr="009475CC">
        <w:rPr>
          <w:rFonts w:eastAsia="Times New Roman" w:cs="Times New Roman"/>
          <w:b/>
          <w:bCs/>
          <w:szCs w:val="24"/>
          <w:lang w:val="sq-AL"/>
        </w:rPr>
        <w:t>:</w:t>
      </w:r>
    </w:p>
    <w:p w14:paraId="55410E4D" w14:textId="1D2E1CAE" w:rsidR="00AF6AC8" w:rsidRPr="00FB63B4" w:rsidRDefault="00FB63B4"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Pr>
          <w:rFonts w:eastAsia="Times New Roman" w:cs="Times New Roman"/>
          <w:szCs w:val="24"/>
          <w:lang w:val="sq-AL"/>
        </w:rPr>
        <w:t>K</w:t>
      </w:r>
      <w:r w:rsidRPr="00FB63B4">
        <w:rPr>
          <w:rFonts w:eastAsia="Times New Roman" w:cs="Times New Roman"/>
          <w:szCs w:val="24"/>
          <w:lang w:val="sq-AL"/>
        </w:rPr>
        <w:t xml:space="preserve">ryerja e </w:t>
      </w:r>
      <w:r w:rsidR="00AF6AC8" w:rsidRPr="00FB63B4">
        <w:rPr>
          <w:rFonts w:eastAsia="Times New Roman" w:cs="Times New Roman"/>
          <w:szCs w:val="24"/>
          <w:lang w:val="sq-AL"/>
        </w:rPr>
        <w:t xml:space="preserve"> 1200 inspektime/ vit për kontrollin e produkteve joushqimore si produktet elektrike/elektronike,</w:t>
      </w:r>
      <w:r w:rsidR="00AF6AC8" w:rsidRPr="00FB63B4">
        <w:rPr>
          <w:rFonts w:cs="Times New Roman"/>
          <w:szCs w:val="24"/>
          <w:lang w:val="sq-AL"/>
        </w:rPr>
        <w:t xml:space="preserve"> </w:t>
      </w:r>
      <w:r w:rsidR="00AF6AC8" w:rsidRPr="00FB63B4">
        <w:rPr>
          <w:rFonts w:eastAsia="Times New Roman" w:cs="Times New Roman"/>
          <w:szCs w:val="24"/>
          <w:lang w:val="sq-AL"/>
        </w:rPr>
        <w:t>qelq-kristal, tekstil, veshjet e këmbës, detergjentë, produktet që mbulohen nga legjislacioni për sigurinë e përgjithshme (artikuj për fëmijë, produkte të tjera për konsumatorët),  ashensorët, parapaketimet, instrumentat matës dhe veç tyre në fokus do jenë edhe realizimi shtrirja e inspektimeve në përputhje legjislacionin e zbatueshëm për pajisjet të gazit, enët e thjeshta në presion, artikujt piroteknik, aerosolët, kimikate,  avionët pa pilot.</w:t>
      </w:r>
    </w:p>
    <w:p w14:paraId="7BB0B7EF" w14:textId="1327A89A" w:rsidR="00C83086" w:rsidRDefault="004A5094"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Pr>
          <w:rFonts w:eastAsia="Times New Roman" w:cs="Times New Roman"/>
          <w:szCs w:val="24"/>
          <w:lang w:val="sq-AL"/>
        </w:rPr>
        <w:t>R</w:t>
      </w:r>
      <w:r w:rsidR="00AF6AC8" w:rsidRPr="00C83086">
        <w:rPr>
          <w:rFonts w:eastAsia="Times New Roman" w:cs="Times New Roman"/>
          <w:szCs w:val="24"/>
          <w:lang w:val="sq-AL"/>
        </w:rPr>
        <w:t>egjistr</w:t>
      </w:r>
      <w:r>
        <w:rPr>
          <w:rFonts w:eastAsia="Times New Roman" w:cs="Times New Roman"/>
          <w:szCs w:val="24"/>
          <w:lang w:val="sq-AL"/>
        </w:rPr>
        <w:t>imi i</w:t>
      </w:r>
      <w:r w:rsidR="00AF6AC8" w:rsidRPr="00C83086">
        <w:rPr>
          <w:rFonts w:eastAsia="Times New Roman" w:cs="Times New Roman"/>
          <w:szCs w:val="24"/>
          <w:lang w:val="sq-AL"/>
        </w:rPr>
        <w:t xml:space="preserve"> rreth 3500 ashensorë duke konsideruar një mesatare prej 500</w:t>
      </w:r>
    </w:p>
    <w:p w14:paraId="3BCE7F82" w14:textId="43CBC77C" w:rsidR="00AF6AC8" w:rsidRPr="00FB63B4" w:rsidRDefault="00AF6AC8" w:rsidP="004A5094">
      <w:pPr>
        <w:pStyle w:val="ListParagraph"/>
        <w:tabs>
          <w:tab w:val="left" w:pos="426"/>
        </w:tabs>
        <w:spacing w:after="0" w:line="240" w:lineRule="auto"/>
        <w:ind w:left="0"/>
        <w:jc w:val="both"/>
        <w:rPr>
          <w:rFonts w:eastAsia="Times New Roman" w:cs="Times New Roman"/>
          <w:szCs w:val="24"/>
          <w:lang w:val="sq-AL"/>
        </w:rPr>
      </w:pPr>
      <w:r w:rsidRPr="00FB63B4">
        <w:rPr>
          <w:rFonts w:eastAsia="Times New Roman" w:cs="Times New Roman"/>
          <w:szCs w:val="24"/>
          <w:lang w:val="sq-AL"/>
        </w:rPr>
        <w:t xml:space="preserve">ashensorë/vit. </w:t>
      </w:r>
    </w:p>
    <w:p w14:paraId="7BFE6867" w14:textId="737BD6FC" w:rsidR="00AF6AC8" w:rsidRPr="004A5094" w:rsidRDefault="00AF6AC8"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sidRPr="00C83086">
        <w:rPr>
          <w:rFonts w:eastAsia="Times New Roman" w:cs="Times New Roman"/>
          <w:szCs w:val="24"/>
          <w:lang w:val="sq-AL"/>
        </w:rPr>
        <w:t xml:space="preserve">Zhvillimi  i 6 trajnimeve/vit për ngritjen e mëtejshme të kapaciteteve njerëzore me theks </w:t>
      </w:r>
      <w:r w:rsidRPr="004A5094">
        <w:rPr>
          <w:rFonts w:eastAsia="Times New Roman" w:cs="Times New Roman"/>
          <w:szCs w:val="24"/>
          <w:lang w:val="sq-AL"/>
        </w:rPr>
        <w:t>të veçantë në rregulloret/direktivat e BE që janë përafruar rishtazi apo janë parashikuar për përafrim në legjislacionin shqiptar si rregullorja e re e mbikeqyrjes se tregut, paisjet e gazit, artikujt piroteknik, për përvetësimin e njohurive të duhura për implementimin duke ndjekur edhe praktikat më të mira të BE</w:t>
      </w:r>
      <w:r w:rsidR="00C83086" w:rsidRPr="004A5094">
        <w:rPr>
          <w:rFonts w:eastAsia="Times New Roman" w:cs="Times New Roman"/>
          <w:szCs w:val="24"/>
          <w:lang w:val="sq-AL"/>
        </w:rPr>
        <w:t>-së</w:t>
      </w:r>
      <w:r w:rsidRPr="004A5094">
        <w:rPr>
          <w:rFonts w:eastAsia="Times New Roman" w:cs="Times New Roman"/>
          <w:szCs w:val="24"/>
          <w:lang w:val="sq-AL"/>
        </w:rPr>
        <w:t xml:space="preserve"> apo rajonit. </w:t>
      </w:r>
    </w:p>
    <w:p w14:paraId="4AEB9AC3" w14:textId="4988EBB4" w:rsidR="00C83086" w:rsidRDefault="004A5094"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Pr>
          <w:rFonts w:eastAsia="Times New Roman" w:cs="Times New Roman"/>
          <w:szCs w:val="24"/>
          <w:lang w:val="sq-AL"/>
        </w:rPr>
        <w:t>Ritja</w:t>
      </w:r>
      <w:r w:rsidR="00AF6AC8" w:rsidRPr="00C83086">
        <w:rPr>
          <w:rFonts w:eastAsia="Times New Roman" w:cs="Times New Roman"/>
          <w:szCs w:val="24"/>
          <w:lang w:val="sq-AL"/>
        </w:rPr>
        <w:t xml:space="preserve"> me 20  punonjës </w:t>
      </w:r>
      <w:r>
        <w:rPr>
          <w:rFonts w:eastAsia="Times New Roman" w:cs="Times New Roman"/>
          <w:szCs w:val="24"/>
          <w:lang w:val="sq-AL"/>
        </w:rPr>
        <w:t xml:space="preserve">të </w:t>
      </w:r>
      <w:r w:rsidR="00AF6AC8" w:rsidRPr="00C83086">
        <w:rPr>
          <w:rFonts w:eastAsia="Times New Roman" w:cs="Times New Roman"/>
          <w:szCs w:val="24"/>
          <w:lang w:val="sq-AL"/>
        </w:rPr>
        <w:t>stafi</w:t>
      </w:r>
      <w:r>
        <w:rPr>
          <w:rFonts w:eastAsia="Times New Roman" w:cs="Times New Roman"/>
          <w:szCs w:val="24"/>
          <w:lang w:val="sq-AL"/>
        </w:rPr>
        <w:t>t</w:t>
      </w:r>
      <w:r w:rsidR="00AF6AC8" w:rsidRPr="00C83086">
        <w:rPr>
          <w:rFonts w:eastAsia="Times New Roman" w:cs="Times New Roman"/>
          <w:szCs w:val="24"/>
          <w:lang w:val="sq-AL"/>
        </w:rPr>
        <w:t xml:space="preserve"> aktual</w:t>
      </w:r>
      <w:r>
        <w:rPr>
          <w:rFonts w:eastAsia="Times New Roman" w:cs="Times New Roman"/>
          <w:szCs w:val="24"/>
          <w:lang w:val="sq-AL"/>
        </w:rPr>
        <w:t>,</w:t>
      </w:r>
      <w:r w:rsidR="00AF6AC8" w:rsidRPr="00C83086">
        <w:rPr>
          <w:rFonts w:eastAsia="Times New Roman" w:cs="Times New Roman"/>
          <w:szCs w:val="24"/>
          <w:lang w:val="sq-AL"/>
        </w:rPr>
        <w:t xml:space="preserve"> duke sjellë përmirësim në veprimtarinë </w:t>
      </w:r>
    </w:p>
    <w:p w14:paraId="69F830E0" w14:textId="56064E03" w:rsidR="00AF6AC8" w:rsidRPr="004A5094" w:rsidRDefault="00AF6AC8" w:rsidP="004A5094">
      <w:pPr>
        <w:tabs>
          <w:tab w:val="left" w:pos="426"/>
        </w:tabs>
        <w:spacing w:after="0" w:line="240" w:lineRule="auto"/>
        <w:jc w:val="both"/>
        <w:rPr>
          <w:rFonts w:eastAsia="Times New Roman" w:cs="Times New Roman"/>
          <w:szCs w:val="24"/>
          <w:lang w:val="sq-AL"/>
        </w:rPr>
      </w:pPr>
      <w:r w:rsidRPr="004A5094">
        <w:rPr>
          <w:rFonts w:eastAsia="Times New Roman" w:cs="Times New Roman"/>
          <w:szCs w:val="24"/>
          <w:lang w:val="sq-AL"/>
        </w:rPr>
        <w:t xml:space="preserve">mbikëqyrëse të strukturës përgjegjëse nëpërmjet rritjes së numrit të inspektimeve, mbulimit të një territorit më të gjerë që do të përfshihet në kontroll, rritjes së numrit të produkteve të verifikuara duke patur  kështu një impakt pozitiv në treg dhe tek konsumatori. </w:t>
      </w:r>
    </w:p>
    <w:p w14:paraId="7177EC25" w14:textId="25BC80FE" w:rsidR="00AF6AC8" w:rsidRPr="004A5094" w:rsidRDefault="00AF6AC8"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sidRPr="004A5094">
        <w:rPr>
          <w:rFonts w:eastAsia="Times New Roman" w:cs="Times New Roman"/>
          <w:szCs w:val="24"/>
          <w:lang w:val="sq-AL"/>
        </w:rPr>
        <w:t>Rritja e numrit të analizave laboratorike dhe inspektimet ku do të përdoren</w:t>
      </w:r>
      <w:r w:rsidR="004A5094" w:rsidRPr="004A5094">
        <w:rPr>
          <w:rFonts w:eastAsia="Times New Roman" w:cs="Times New Roman"/>
          <w:szCs w:val="24"/>
          <w:lang w:val="sq-AL"/>
        </w:rPr>
        <w:t xml:space="preserve"> </w:t>
      </w:r>
      <w:r w:rsidRPr="004A5094">
        <w:rPr>
          <w:rFonts w:eastAsia="Times New Roman" w:cs="Times New Roman"/>
          <w:szCs w:val="24"/>
          <w:lang w:val="sq-AL"/>
        </w:rPr>
        <w:t>pajisjet/instrumentat për kontroll fizik me vlerë indicie (60 analiza apo teste në terren/vit) me qëllim rritjen e produkteve të sigurta që bëhen të disponeshme në treg për konsumatorët.</w:t>
      </w:r>
    </w:p>
    <w:p w14:paraId="20AB416D" w14:textId="6E718C9D" w:rsidR="00AF6AC8" w:rsidRPr="004A5094" w:rsidRDefault="00AF6AC8"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sidRPr="004A5094">
        <w:rPr>
          <w:rFonts w:eastAsia="Times New Roman" w:cs="Times New Roman"/>
          <w:szCs w:val="24"/>
          <w:lang w:val="sq-AL"/>
        </w:rPr>
        <w:t>Përfshirja e gjithë stafit inspektues të strukturës mbikëqyrëse në trajnimet e</w:t>
      </w:r>
      <w:r w:rsidR="004A5094" w:rsidRPr="004A5094">
        <w:rPr>
          <w:rFonts w:eastAsia="Times New Roman" w:cs="Times New Roman"/>
          <w:szCs w:val="24"/>
          <w:lang w:val="sq-AL"/>
        </w:rPr>
        <w:t xml:space="preserve"> </w:t>
      </w:r>
      <w:r w:rsidRPr="004A5094">
        <w:rPr>
          <w:rFonts w:eastAsia="Times New Roman" w:cs="Times New Roman"/>
          <w:szCs w:val="24"/>
          <w:lang w:val="sq-AL"/>
        </w:rPr>
        <w:t xml:space="preserve">organizuara. </w:t>
      </w:r>
    </w:p>
    <w:p w14:paraId="64F9C158" w14:textId="2D058D8A" w:rsidR="00AF6AC8" w:rsidRPr="00C83086" w:rsidRDefault="00AF6AC8" w:rsidP="00623352">
      <w:pPr>
        <w:pStyle w:val="ListParagraph"/>
        <w:numPr>
          <w:ilvl w:val="0"/>
          <w:numId w:val="33"/>
        </w:numPr>
        <w:tabs>
          <w:tab w:val="left" w:pos="426"/>
        </w:tabs>
        <w:spacing w:after="0" w:line="240" w:lineRule="auto"/>
        <w:ind w:left="0" w:firstLine="0"/>
        <w:jc w:val="both"/>
        <w:rPr>
          <w:rFonts w:eastAsia="Times New Roman" w:cs="Times New Roman"/>
          <w:szCs w:val="24"/>
          <w:lang w:val="sq-AL"/>
        </w:rPr>
      </w:pPr>
      <w:r w:rsidRPr="00C83086">
        <w:rPr>
          <w:rFonts w:eastAsia="Times New Roman" w:cs="Times New Roman"/>
          <w:szCs w:val="24"/>
          <w:lang w:val="sq-AL"/>
        </w:rPr>
        <w:t xml:space="preserve">Rritja </w:t>
      </w:r>
      <w:r w:rsidR="00562149" w:rsidRPr="00C83086">
        <w:rPr>
          <w:rFonts w:eastAsia="Times New Roman" w:cs="Times New Roman"/>
          <w:szCs w:val="24"/>
          <w:lang w:val="sq-AL"/>
        </w:rPr>
        <w:t>me 20 %</w:t>
      </w:r>
      <w:r w:rsidR="00562149">
        <w:rPr>
          <w:rFonts w:eastAsia="Times New Roman" w:cs="Times New Roman"/>
          <w:szCs w:val="24"/>
          <w:lang w:val="sq-AL"/>
        </w:rPr>
        <w:t xml:space="preserve"> </w:t>
      </w:r>
      <w:r w:rsidRPr="00C83086">
        <w:rPr>
          <w:rFonts w:eastAsia="Times New Roman" w:cs="Times New Roman"/>
          <w:szCs w:val="24"/>
          <w:lang w:val="sq-AL"/>
        </w:rPr>
        <w:t>e buxhetit në dispozicion të strukturës mbikëqyrëse</w:t>
      </w:r>
      <w:r w:rsidR="00562149">
        <w:rPr>
          <w:rFonts w:eastAsia="Times New Roman" w:cs="Times New Roman"/>
          <w:szCs w:val="24"/>
          <w:lang w:val="sq-AL"/>
        </w:rPr>
        <w:t>.</w:t>
      </w:r>
      <w:r w:rsidRPr="00C83086">
        <w:rPr>
          <w:rFonts w:eastAsia="Times New Roman" w:cs="Times New Roman"/>
          <w:szCs w:val="24"/>
          <w:lang w:val="sq-AL"/>
        </w:rPr>
        <w:t xml:space="preserve"> </w:t>
      </w:r>
    </w:p>
    <w:p w14:paraId="50A76B00" w14:textId="49A2908D" w:rsidR="00AF6AC8" w:rsidRPr="009475CC" w:rsidRDefault="00AF6AC8" w:rsidP="006A2D01">
      <w:pPr>
        <w:jc w:val="both"/>
        <w:rPr>
          <w:rFonts w:cs="Times New Roman"/>
          <w:szCs w:val="24"/>
          <w:lang w:val="sq-AL"/>
        </w:rPr>
      </w:pPr>
    </w:p>
    <w:p w14:paraId="7C905B9E" w14:textId="6882F041" w:rsidR="003A27DB" w:rsidRPr="009475CC" w:rsidRDefault="003A27DB" w:rsidP="00562149">
      <w:pPr>
        <w:pStyle w:val="Heading4"/>
        <w:rPr>
          <w:lang w:val="sq-AL"/>
        </w:rPr>
      </w:pPr>
      <w:bookmarkStart w:id="162" w:name="_Toc132277385"/>
      <w:bookmarkStart w:id="163" w:name="_Hlk121701316"/>
      <w:r w:rsidRPr="009475CC">
        <w:rPr>
          <w:lang w:val="sq-AL"/>
        </w:rPr>
        <w:t>I</w:t>
      </w:r>
      <w:r w:rsidR="00D02555" w:rsidRPr="009475CC">
        <w:rPr>
          <w:lang w:val="sq-AL"/>
        </w:rPr>
        <w:t xml:space="preserve">nspektorati </w:t>
      </w:r>
      <w:r w:rsidRPr="009475CC">
        <w:rPr>
          <w:lang w:val="sq-AL"/>
        </w:rPr>
        <w:t>S</w:t>
      </w:r>
      <w:r w:rsidR="00D02555" w:rsidRPr="009475CC">
        <w:rPr>
          <w:lang w:val="sq-AL"/>
        </w:rPr>
        <w:t xml:space="preserve">htetëror </w:t>
      </w:r>
      <w:r w:rsidRPr="009475CC">
        <w:rPr>
          <w:lang w:val="sq-AL"/>
        </w:rPr>
        <w:t>T</w:t>
      </w:r>
      <w:r w:rsidR="00D02555" w:rsidRPr="009475CC">
        <w:rPr>
          <w:lang w:val="sq-AL"/>
        </w:rPr>
        <w:t xml:space="preserve">eknik dhe </w:t>
      </w:r>
      <w:r w:rsidRPr="009475CC">
        <w:rPr>
          <w:lang w:val="sq-AL"/>
        </w:rPr>
        <w:t>I</w:t>
      </w:r>
      <w:r w:rsidR="00D02555" w:rsidRPr="009475CC">
        <w:rPr>
          <w:lang w:val="sq-AL"/>
        </w:rPr>
        <w:t>ndustrial</w:t>
      </w:r>
      <w:bookmarkEnd w:id="162"/>
    </w:p>
    <w:tbl>
      <w:tblPr>
        <w:tblStyle w:val="TableGrid"/>
        <w:tblW w:w="0" w:type="auto"/>
        <w:tblLook w:val="04A0" w:firstRow="1" w:lastRow="0" w:firstColumn="1" w:lastColumn="0" w:noHBand="0" w:noVBand="1"/>
      </w:tblPr>
      <w:tblGrid>
        <w:gridCol w:w="9016"/>
      </w:tblGrid>
      <w:tr w:rsidR="00562149" w14:paraId="63EF4254" w14:textId="77777777" w:rsidTr="00562149">
        <w:tc>
          <w:tcPr>
            <w:tcW w:w="9016" w:type="dxa"/>
          </w:tcPr>
          <w:bookmarkEnd w:id="163"/>
          <w:p w14:paraId="76807FDD" w14:textId="24C72D23" w:rsidR="00562149" w:rsidRDefault="00562149" w:rsidP="00562149">
            <w:pPr>
              <w:jc w:val="both"/>
              <w:rPr>
                <w:rFonts w:cs="Times New Roman"/>
                <w:b/>
                <w:szCs w:val="24"/>
                <w:lang w:val="sq-AL"/>
              </w:rPr>
            </w:pPr>
            <w:r w:rsidRPr="009475CC">
              <w:rPr>
                <w:rFonts w:cs="Times New Roman"/>
                <w:b/>
                <w:szCs w:val="24"/>
                <w:lang w:val="sq-AL"/>
              </w:rPr>
              <w:t>Objektiv</w:t>
            </w:r>
            <w:r>
              <w:rPr>
                <w:rFonts w:cs="Times New Roman"/>
                <w:b/>
                <w:szCs w:val="24"/>
                <w:lang w:val="sq-AL"/>
              </w:rPr>
              <w:t>i</w:t>
            </w:r>
            <w:r w:rsidRPr="009475CC">
              <w:rPr>
                <w:rFonts w:cs="Times New Roman"/>
                <w:b/>
                <w:szCs w:val="24"/>
                <w:lang w:val="sq-AL"/>
              </w:rPr>
              <w:t xml:space="preserve"> </w:t>
            </w:r>
            <w:r>
              <w:rPr>
                <w:rFonts w:cs="Times New Roman"/>
                <w:b/>
                <w:szCs w:val="24"/>
                <w:lang w:val="sq-AL"/>
              </w:rPr>
              <w:t>23</w:t>
            </w:r>
            <w:r w:rsidRPr="009475CC">
              <w:rPr>
                <w:rFonts w:cs="Times New Roman"/>
                <w:b/>
                <w:szCs w:val="24"/>
                <w:lang w:val="sq-AL"/>
              </w:rPr>
              <w:t>:</w:t>
            </w:r>
          </w:p>
          <w:p w14:paraId="0F57F091" w14:textId="00988705" w:rsidR="00562149" w:rsidRDefault="00562149" w:rsidP="00562149">
            <w:pPr>
              <w:jc w:val="both"/>
              <w:rPr>
                <w:rFonts w:cs="Times New Roman"/>
                <w:bCs/>
                <w:szCs w:val="24"/>
                <w:lang w:val="sq-AL"/>
              </w:rPr>
            </w:pPr>
            <w:r w:rsidRPr="009475CC">
              <w:rPr>
                <w:rFonts w:cs="Times New Roman"/>
                <w:bCs/>
                <w:szCs w:val="24"/>
                <w:lang w:val="sq-AL"/>
              </w:rPr>
              <w:lastRenderedPageBreak/>
              <w:t>Krijimi i rrjetit të infrastukurës me synim digiitalizimin e të gjitha proceseve administrative dhe inspektuese</w:t>
            </w:r>
            <w:r>
              <w:rPr>
                <w:rFonts w:cs="Times New Roman"/>
                <w:bCs/>
                <w:szCs w:val="24"/>
                <w:lang w:val="sq-AL"/>
              </w:rPr>
              <w:t>.</w:t>
            </w:r>
          </w:p>
          <w:p w14:paraId="35B7B6DE" w14:textId="77777777" w:rsidR="00562149" w:rsidRDefault="00562149" w:rsidP="009475CC">
            <w:pPr>
              <w:jc w:val="both"/>
              <w:rPr>
                <w:rFonts w:cs="Times New Roman"/>
                <w:b/>
                <w:szCs w:val="24"/>
                <w:lang w:val="sq-AL"/>
              </w:rPr>
            </w:pPr>
          </w:p>
        </w:tc>
      </w:tr>
    </w:tbl>
    <w:p w14:paraId="689ABBA6" w14:textId="77777777" w:rsidR="00562149" w:rsidRDefault="00562149" w:rsidP="009475CC">
      <w:pPr>
        <w:spacing w:after="0" w:line="240" w:lineRule="auto"/>
        <w:jc w:val="both"/>
        <w:rPr>
          <w:rFonts w:cs="Times New Roman"/>
          <w:b/>
          <w:szCs w:val="24"/>
          <w:lang w:val="sq-AL"/>
        </w:rPr>
      </w:pPr>
    </w:p>
    <w:p w14:paraId="604670AC" w14:textId="34D1F36A" w:rsidR="00E23645" w:rsidRPr="009475CC" w:rsidRDefault="00E23645" w:rsidP="00D52BBB">
      <w:pPr>
        <w:spacing w:line="240" w:lineRule="auto"/>
        <w:jc w:val="both"/>
        <w:rPr>
          <w:rFonts w:cs="Times New Roman"/>
          <w:szCs w:val="24"/>
          <w:lang w:val="sq-AL"/>
        </w:rPr>
      </w:pPr>
      <w:r w:rsidRPr="009475CC">
        <w:rPr>
          <w:rFonts w:cs="Times New Roman"/>
          <w:b/>
          <w:bCs/>
          <w:szCs w:val="24"/>
          <w:lang w:val="sq-AL"/>
        </w:rPr>
        <w:t>Masa</w:t>
      </w:r>
      <w:r w:rsidR="008735E8" w:rsidRPr="009475CC">
        <w:rPr>
          <w:rFonts w:cs="Times New Roman"/>
          <w:b/>
          <w:bCs/>
          <w:szCs w:val="24"/>
          <w:lang w:val="sq-AL"/>
        </w:rPr>
        <w:t xml:space="preserve"> </w:t>
      </w:r>
      <w:r w:rsidR="00562149">
        <w:rPr>
          <w:rFonts w:cs="Times New Roman"/>
          <w:b/>
          <w:bCs/>
          <w:szCs w:val="24"/>
          <w:lang w:val="sq-AL"/>
        </w:rPr>
        <w:t>23.</w:t>
      </w:r>
      <w:r w:rsidRPr="009475CC">
        <w:rPr>
          <w:rFonts w:cs="Times New Roman"/>
          <w:b/>
          <w:bCs/>
          <w:szCs w:val="24"/>
          <w:lang w:val="sq-AL"/>
        </w:rPr>
        <w:t>1</w:t>
      </w:r>
      <w:r w:rsidR="008735E8" w:rsidRPr="009475CC">
        <w:rPr>
          <w:rFonts w:cs="Times New Roman"/>
          <w:b/>
          <w:bCs/>
          <w:szCs w:val="24"/>
          <w:lang w:val="sq-AL"/>
        </w:rPr>
        <w:t>:</w:t>
      </w:r>
      <w:r w:rsidR="008735E8">
        <w:rPr>
          <w:rFonts w:cs="Times New Roman"/>
          <w:szCs w:val="24"/>
          <w:lang w:val="sq-AL"/>
        </w:rPr>
        <w:t xml:space="preserve"> N</w:t>
      </w:r>
      <w:r w:rsidRPr="009475CC">
        <w:rPr>
          <w:rFonts w:cs="Times New Roman"/>
          <w:szCs w:val="24"/>
          <w:lang w:val="sq-AL"/>
        </w:rPr>
        <w:t>gritj</w:t>
      </w:r>
      <w:r w:rsidR="008735E8">
        <w:rPr>
          <w:rFonts w:cs="Times New Roman"/>
          <w:szCs w:val="24"/>
          <w:lang w:val="sq-AL"/>
        </w:rPr>
        <w:t xml:space="preserve">a </w:t>
      </w:r>
      <w:r w:rsidRPr="009475CC">
        <w:rPr>
          <w:rFonts w:cs="Times New Roman"/>
          <w:szCs w:val="24"/>
          <w:lang w:val="sq-AL"/>
        </w:rPr>
        <w:t>e infrastruktur</w:t>
      </w:r>
      <w:r w:rsidR="00D52BBB">
        <w:rPr>
          <w:rFonts w:cs="Times New Roman"/>
          <w:szCs w:val="24"/>
          <w:lang w:val="sq-AL"/>
        </w:rPr>
        <w:t>ës</w:t>
      </w:r>
      <w:r w:rsidRPr="009475CC">
        <w:rPr>
          <w:rFonts w:cs="Times New Roman"/>
          <w:szCs w:val="24"/>
          <w:lang w:val="sq-AL"/>
        </w:rPr>
        <w:t xml:space="preserve"> IT (arkiva dixhitale, platform</w:t>
      </w:r>
      <w:r w:rsidR="003122A5">
        <w:rPr>
          <w:rFonts w:cs="Times New Roman"/>
          <w:szCs w:val="24"/>
          <w:lang w:val="sq-AL"/>
        </w:rPr>
        <w:t>ë</w:t>
      </w:r>
      <w:r w:rsidRPr="009475CC">
        <w:rPr>
          <w:rFonts w:cs="Times New Roman"/>
          <w:szCs w:val="24"/>
          <w:lang w:val="sq-AL"/>
        </w:rPr>
        <w:t xml:space="preserve"> p</w:t>
      </w:r>
      <w:r w:rsidR="003122A5">
        <w:rPr>
          <w:rFonts w:cs="Times New Roman"/>
          <w:szCs w:val="24"/>
          <w:lang w:val="sq-AL"/>
        </w:rPr>
        <w:t>ë</w:t>
      </w:r>
      <w:r w:rsidRPr="009475CC">
        <w:rPr>
          <w:rFonts w:cs="Times New Roman"/>
          <w:szCs w:val="24"/>
          <w:lang w:val="sq-AL"/>
        </w:rPr>
        <w:t>r ruajtjen e t</w:t>
      </w:r>
      <w:r w:rsidR="003122A5">
        <w:rPr>
          <w:rFonts w:cs="Times New Roman"/>
          <w:szCs w:val="24"/>
          <w:lang w:val="sq-AL"/>
        </w:rPr>
        <w:t>ë</w:t>
      </w:r>
      <w:r w:rsidRPr="009475CC">
        <w:rPr>
          <w:rFonts w:cs="Times New Roman"/>
          <w:szCs w:val="24"/>
          <w:lang w:val="sq-AL"/>
        </w:rPr>
        <w:t xml:space="preserve"> dh</w:t>
      </w:r>
      <w:r w:rsidR="003122A5">
        <w:rPr>
          <w:rFonts w:cs="Times New Roman"/>
          <w:szCs w:val="24"/>
          <w:lang w:val="sq-AL"/>
        </w:rPr>
        <w:t>ë</w:t>
      </w:r>
      <w:r w:rsidRPr="009475CC">
        <w:rPr>
          <w:rFonts w:cs="Times New Roman"/>
          <w:szCs w:val="24"/>
          <w:lang w:val="sq-AL"/>
        </w:rPr>
        <w:t>nave, EMS, CRM, rrjet i brendshem kompjuterik, platforma p</w:t>
      </w:r>
      <w:r w:rsidR="003122A5">
        <w:rPr>
          <w:rFonts w:cs="Times New Roman"/>
          <w:szCs w:val="24"/>
          <w:lang w:val="sq-AL"/>
        </w:rPr>
        <w:t>ë</w:t>
      </w:r>
      <w:r w:rsidRPr="009475CC">
        <w:rPr>
          <w:rFonts w:cs="Times New Roman"/>
          <w:szCs w:val="24"/>
          <w:lang w:val="sq-AL"/>
        </w:rPr>
        <w:t>r regjistrimin e pa</w:t>
      </w:r>
      <w:r w:rsidR="003122A5">
        <w:rPr>
          <w:rFonts w:cs="Times New Roman"/>
          <w:szCs w:val="24"/>
          <w:lang w:val="sq-AL"/>
        </w:rPr>
        <w:t>j</w:t>
      </w:r>
      <w:r w:rsidRPr="009475CC">
        <w:rPr>
          <w:rFonts w:cs="Times New Roman"/>
          <w:szCs w:val="24"/>
          <w:lang w:val="sq-AL"/>
        </w:rPr>
        <w:t>isjeve, vet</w:t>
      </w:r>
      <w:r w:rsidR="003122A5">
        <w:rPr>
          <w:rFonts w:cs="Times New Roman"/>
          <w:szCs w:val="24"/>
          <w:lang w:val="sq-AL"/>
        </w:rPr>
        <w:t>ëde</w:t>
      </w:r>
      <w:r w:rsidRPr="009475CC">
        <w:rPr>
          <w:rFonts w:cs="Times New Roman"/>
          <w:szCs w:val="24"/>
          <w:lang w:val="sq-AL"/>
        </w:rPr>
        <w:t>klarimin e subjekteve dhe monitorimin e aktivitetit t</w:t>
      </w:r>
      <w:r w:rsidR="003122A5">
        <w:rPr>
          <w:rFonts w:cs="Times New Roman"/>
          <w:szCs w:val="24"/>
          <w:lang w:val="sq-AL"/>
        </w:rPr>
        <w:t>ë</w:t>
      </w:r>
      <w:r w:rsidRPr="009475CC">
        <w:rPr>
          <w:rFonts w:cs="Times New Roman"/>
          <w:szCs w:val="24"/>
          <w:lang w:val="sq-AL"/>
        </w:rPr>
        <w:t xml:space="preserve"> OMVK, pa</w:t>
      </w:r>
      <w:r w:rsidR="003122A5">
        <w:rPr>
          <w:rFonts w:cs="Times New Roman"/>
          <w:szCs w:val="24"/>
          <w:lang w:val="sq-AL"/>
        </w:rPr>
        <w:t>j</w:t>
      </w:r>
      <w:r w:rsidRPr="009475CC">
        <w:rPr>
          <w:rFonts w:cs="Times New Roman"/>
          <w:szCs w:val="24"/>
          <w:lang w:val="sq-AL"/>
        </w:rPr>
        <w:t>isje laboratorike, mjete transporti, pa</w:t>
      </w:r>
      <w:r w:rsidR="003122A5">
        <w:rPr>
          <w:rFonts w:cs="Times New Roman"/>
          <w:szCs w:val="24"/>
          <w:lang w:val="sq-AL"/>
        </w:rPr>
        <w:t>j</w:t>
      </w:r>
      <w:r w:rsidRPr="009475CC">
        <w:rPr>
          <w:rFonts w:cs="Times New Roman"/>
          <w:szCs w:val="24"/>
          <w:lang w:val="sq-AL"/>
        </w:rPr>
        <w:t>isje p</w:t>
      </w:r>
      <w:r w:rsidR="003122A5">
        <w:rPr>
          <w:rFonts w:cs="Times New Roman"/>
          <w:szCs w:val="24"/>
          <w:lang w:val="sq-AL"/>
        </w:rPr>
        <w:t>ë</w:t>
      </w:r>
      <w:r w:rsidRPr="009475CC">
        <w:rPr>
          <w:rFonts w:cs="Times New Roman"/>
          <w:szCs w:val="24"/>
          <w:lang w:val="sq-AL"/>
        </w:rPr>
        <w:t>r inspektim dhe kontroll/</w:t>
      </w:r>
      <w:r w:rsidR="003122A5">
        <w:rPr>
          <w:rFonts w:cs="Times New Roman"/>
          <w:szCs w:val="24"/>
          <w:lang w:val="sq-AL"/>
        </w:rPr>
        <w:t xml:space="preserve"> </w:t>
      </w:r>
      <w:r w:rsidRPr="009475CC">
        <w:rPr>
          <w:rFonts w:cs="Times New Roman"/>
          <w:szCs w:val="24"/>
          <w:lang w:val="sq-AL"/>
        </w:rPr>
        <w:t>matje/</w:t>
      </w:r>
      <w:r w:rsidR="003122A5">
        <w:rPr>
          <w:rFonts w:cs="Times New Roman"/>
          <w:szCs w:val="24"/>
          <w:lang w:val="sq-AL"/>
        </w:rPr>
        <w:t xml:space="preserve"> </w:t>
      </w:r>
      <w:r w:rsidRPr="009475CC">
        <w:rPr>
          <w:rFonts w:cs="Times New Roman"/>
          <w:szCs w:val="24"/>
          <w:lang w:val="sq-AL"/>
        </w:rPr>
        <w:t>verifikim etj.</w:t>
      </w:r>
    </w:p>
    <w:p w14:paraId="095D69E1" w14:textId="297F4DF4" w:rsidR="00E23645" w:rsidRPr="009475CC" w:rsidRDefault="00E23645" w:rsidP="00D52BBB">
      <w:pPr>
        <w:spacing w:line="240" w:lineRule="auto"/>
        <w:jc w:val="both"/>
        <w:rPr>
          <w:rFonts w:cs="Times New Roman"/>
          <w:szCs w:val="24"/>
          <w:lang w:val="sq-AL"/>
        </w:rPr>
      </w:pPr>
      <w:r w:rsidRPr="009475CC">
        <w:rPr>
          <w:rFonts w:cs="Times New Roman"/>
          <w:b/>
          <w:szCs w:val="24"/>
          <w:lang w:val="sq-AL"/>
        </w:rPr>
        <w:t>Masa</w:t>
      </w:r>
      <w:r w:rsidR="008735E8">
        <w:rPr>
          <w:rFonts w:cs="Times New Roman"/>
          <w:b/>
          <w:szCs w:val="24"/>
          <w:lang w:val="sq-AL"/>
        </w:rPr>
        <w:t xml:space="preserve"> </w:t>
      </w:r>
      <w:r w:rsidR="00562149">
        <w:rPr>
          <w:rFonts w:cs="Times New Roman"/>
          <w:b/>
          <w:szCs w:val="24"/>
          <w:lang w:val="sq-AL"/>
        </w:rPr>
        <w:t>23.</w:t>
      </w:r>
      <w:r w:rsidRPr="009475CC">
        <w:rPr>
          <w:rFonts w:cs="Times New Roman"/>
          <w:b/>
          <w:szCs w:val="24"/>
          <w:lang w:val="sq-AL"/>
        </w:rPr>
        <w:t>2</w:t>
      </w:r>
      <w:r w:rsidR="008735E8">
        <w:rPr>
          <w:rFonts w:cs="Times New Roman"/>
          <w:b/>
          <w:szCs w:val="24"/>
          <w:lang w:val="sq-AL"/>
        </w:rPr>
        <w:t>:</w:t>
      </w:r>
      <w:r w:rsidR="00DC3F81" w:rsidRPr="009475CC">
        <w:rPr>
          <w:rFonts w:cs="Times New Roman"/>
          <w:b/>
          <w:szCs w:val="24"/>
          <w:lang w:val="sq-AL"/>
        </w:rPr>
        <w:t xml:space="preserve"> </w:t>
      </w:r>
      <w:r w:rsidR="00DC3F81" w:rsidRPr="009475CC">
        <w:rPr>
          <w:rFonts w:cs="Times New Roman"/>
          <w:bCs/>
          <w:szCs w:val="24"/>
          <w:lang w:val="sq-AL"/>
        </w:rPr>
        <w:t>Zhvillimi</w:t>
      </w:r>
      <w:r w:rsidR="00DC3F81" w:rsidRPr="009475CC">
        <w:rPr>
          <w:rFonts w:cs="Times New Roman"/>
          <w:b/>
          <w:szCs w:val="24"/>
          <w:lang w:val="sq-AL"/>
        </w:rPr>
        <w:t xml:space="preserve"> </w:t>
      </w:r>
      <w:r w:rsidR="003122A5">
        <w:rPr>
          <w:rFonts w:cs="Times New Roman"/>
          <w:b/>
          <w:szCs w:val="24"/>
          <w:lang w:val="sq-AL"/>
        </w:rPr>
        <w:t>i</w:t>
      </w:r>
      <w:r w:rsidR="00DC3F81" w:rsidRPr="009475CC">
        <w:rPr>
          <w:rFonts w:cs="Times New Roman"/>
          <w:b/>
          <w:szCs w:val="24"/>
          <w:lang w:val="sq-AL"/>
        </w:rPr>
        <w:t xml:space="preserve"> </w:t>
      </w:r>
      <w:r w:rsidR="00DC3F81" w:rsidRPr="009475CC">
        <w:rPr>
          <w:rFonts w:cs="Times New Roman"/>
          <w:szCs w:val="24"/>
          <w:lang w:val="sq-AL"/>
        </w:rPr>
        <w:t xml:space="preserve">trajnimeve </w:t>
      </w:r>
      <w:r w:rsidRPr="009475CC">
        <w:rPr>
          <w:rFonts w:cs="Times New Roman"/>
          <w:szCs w:val="24"/>
          <w:lang w:val="sq-AL"/>
        </w:rPr>
        <w:t xml:space="preserve">me qëllim rritjen kapaciteteve të stafit </w:t>
      </w:r>
      <w:r w:rsidR="008735E8">
        <w:rPr>
          <w:rFonts w:cs="Times New Roman"/>
          <w:szCs w:val="24"/>
          <w:lang w:val="sq-AL"/>
        </w:rPr>
        <w:t>t</w:t>
      </w:r>
      <w:r w:rsidR="00DC3F81" w:rsidRPr="009475CC">
        <w:rPr>
          <w:rFonts w:cs="Times New Roman"/>
          <w:szCs w:val="24"/>
          <w:lang w:val="sq-AL"/>
        </w:rPr>
        <w:t>ë ISHTI</w:t>
      </w:r>
      <w:r w:rsidR="008735E8">
        <w:rPr>
          <w:rFonts w:cs="Times New Roman"/>
          <w:szCs w:val="24"/>
          <w:lang w:val="sq-AL"/>
        </w:rPr>
        <w:t>.</w:t>
      </w:r>
    </w:p>
    <w:p w14:paraId="051DF1C3" w14:textId="3EF29041" w:rsidR="00E23645" w:rsidRPr="009475CC" w:rsidRDefault="00E23645" w:rsidP="009475CC">
      <w:pPr>
        <w:spacing w:after="0" w:line="240" w:lineRule="auto"/>
        <w:jc w:val="both"/>
        <w:rPr>
          <w:rFonts w:cs="Times New Roman"/>
          <w:b/>
          <w:szCs w:val="24"/>
          <w:lang w:val="sq-AL"/>
        </w:rPr>
      </w:pPr>
      <w:r w:rsidRPr="009475CC">
        <w:rPr>
          <w:rFonts w:cs="Times New Roman"/>
          <w:b/>
          <w:szCs w:val="24"/>
          <w:lang w:val="sq-AL"/>
        </w:rPr>
        <w:t>Indikatorët</w:t>
      </w:r>
      <w:r w:rsidR="008735E8">
        <w:rPr>
          <w:rFonts w:cs="Times New Roman"/>
          <w:b/>
          <w:szCs w:val="24"/>
          <w:lang w:val="sq-AL"/>
        </w:rPr>
        <w:t>:</w:t>
      </w:r>
    </w:p>
    <w:p w14:paraId="68D07A5D" w14:textId="2D40E5DD" w:rsidR="00E23645" w:rsidRPr="00D52BBB" w:rsidRDefault="00E23645" w:rsidP="00623352">
      <w:pPr>
        <w:pStyle w:val="ListParagraph"/>
        <w:numPr>
          <w:ilvl w:val="0"/>
          <w:numId w:val="34"/>
        </w:numPr>
        <w:spacing w:after="0" w:line="240" w:lineRule="auto"/>
        <w:jc w:val="both"/>
        <w:rPr>
          <w:rFonts w:cs="Times New Roman"/>
          <w:szCs w:val="24"/>
          <w:lang w:val="sq-AL"/>
        </w:rPr>
      </w:pPr>
      <w:r w:rsidRPr="0041506E">
        <w:rPr>
          <w:rFonts w:cs="Times New Roman"/>
          <w:szCs w:val="24"/>
          <w:lang w:val="sq-AL"/>
        </w:rPr>
        <w:t>Platform</w:t>
      </w:r>
      <w:r w:rsidR="0041506E" w:rsidRPr="0041506E">
        <w:rPr>
          <w:rFonts w:cs="Times New Roman"/>
          <w:szCs w:val="24"/>
          <w:lang w:val="sq-AL"/>
        </w:rPr>
        <w:t>ë</w:t>
      </w:r>
      <w:r w:rsidRPr="0041506E">
        <w:rPr>
          <w:rFonts w:cs="Times New Roman"/>
          <w:szCs w:val="24"/>
          <w:lang w:val="sq-AL"/>
        </w:rPr>
        <w:t xml:space="preserve"> fun</w:t>
      </w:r>
      <w:r w:rsidR="008735E8" w:rsidRPr="0041506E">
        <w:rPr>
          <w:rFonts w:cs="Times New Roman"/>
          <w:szCs w:val="24"/>
          <w:lang w:val="sq-AL"/>
        </w:rPr>
        <w:t>k</w:t>
      </w:r>
      <w:r w:rsidRPr="0041506E">
        <w:rPr>
          <w:rFonts w:cs="Times New Roman"/>
          <w:szCs w:val="24"/>
          <w:lang w:val="sq-AL"/>
        </w:rPr>
        <w:t>sionale e nd</w:t>
      </w:r>
      <w:r w:rsidR="0041506E" w:rsidRPr="0041506E">
        <w:rPr>
          <w:rFonts w:cs="Times New Roman"/>
          <w:szCs w:val="24"/>
          <w:lang w:val="sq-AL"/>
        </w:rPr>
        <w:t>ë</w:t>
      </w:r>
      <w:r w:rsidRPr="0041506E">
        <w:rPr>
          <w:rFonts w:cs="Times New Roman"/>
          <w:szCs w:val="24"/>
          <w:lang w:val="sq-AL"/>
        </w:rPr>
        <w:t xml:space="preserve">rtuar në forme modulare ku të këtë mundesi  të menaxhohet </w:t>
      </w:r>
      <w:r w:rsidRPr="00D52BBB">
        <w:rPr>
          <w:rFonts w:cs="Times New Roman"/>
          <w:szCs w:val="24"/>
          <w:lang w:val="sq-AL"/>
        </w:rPr>
        <w:t>në mënyrë dig</w:t>
      </w:r>
      <w:r w:rsidR="0041506E" w:rsidRPr="00D52BBB">
        <w:rPr>
          <w:rFonts w:cs="Times New Roman"/>
          <w:szCs w:val="24"/>
          <w:lang w:val="sq-AL"/>
        </w:rPr>
        <w:t>ji</w:t>
      </w:r>
      <w:r w:rsidRPr="00D52BBB">
        <w:rPr>
          <w:rFonts w:cs="Times New Roman"/>
          <w:szCs w:val="24"/>
          <w:lang w:val="sq-AL"/>
        </w:rPr>
        <w:t>tale procese të ndryshme administrative</w:t>
      </w:r>
      <w:r w:rsidR="00D52BBB">
        <w:rPr>
          <w:rFonts w:cs="Times New Roman"/>
          <w:szCs w:val="24"/>
          <w:lang w:val="sq-AL"/>
        </w:rPr>
        <w:t>, brenda vitit .....</w:t>
      </w:r>
      <w:r w:rsidR="0041506E" w:rsidRPr="00D52BBB">
        <w:rPr>
          <w:rFonts w:cs="Times New Roman"/>
          <w:szCs w:val="24"/>
          <w:lang w:val="sq-AL"/>
        </w:rPr>
        <w:t>.</w:t>
      </w:r>
    </w:p>
    <w:p w14:paraId="20F3284A" w14:textId="33807188" w:rsidR="00E23645" w:rsidRDefault="00E23645" w:rsidP="00623352">
      <w:pPr>
        <w:pStyle w:val="ListParagraph"/>
        <w:numPr>
          <w:ilvl w:val="0"/>
          <w:numId w:val="34"/>
        </w:numPr>
        <w:spacing w:after="0" w:line="240" w:lineRule="auto"/>
        <w:jc w:val="both"/>
        <w:rPr>
          <w:rFonts w:cs="Times New Roman"/>
          <w:szCs w:val="24"/>
          <w:lang w:val="sq-AL"/>
        </w:rPr>
      </w:pPr>
      <w:r w:rsidRPr="0041506E">
        <w:rPr>
          <w:rFonts w:cs="Times New Roman"/>
          <w:szCs w:val="24"/>
          <w:lang w:val="sq-AL"/>
        </w:rPr>
        <w:t>Zhvillimi 7 module trajnimi mbi njohjen përvetësimi të fun</w:t>
      </w:r>
      <w:r w:rsidR="0041506E" w:rsidRPr="0041506E">
        <w:rPr>
          <w:rFonts w:cs="Times New Roman"/>
          <w:szCs w:val="24"/>
          <w:lang w:val="sq-AL"/>
        </w:rPr>
        <w:t>k</w:t>
      </w:r>
      <w:r w:rsidRPr="0041506E">
        <w:rPr>
          <w:rFonts w:cs="Times New Roman"/>
          <w:szCs w:val="24"/>
          <w:lang w:val="sq-AL"/>
        </w:rPr>
        <w:t>sionaliteteve të platformës</w:t>
      </w:r>
      <w:r w:rsidR="0041506E" w:rsidRPr="0041506E">
        <w:rPr>
          <w:rFonts w:cs="Times New Roman"/>
          <w:szCs w:val="24"/>
          <w:lang w:val="sq-AL"/>
        </w:rPr>
        <w:t>.</w:t>
      </w:r>
    </w:p>
    <w:p w14:paraId="61903B0E" w14:textId="77777777" w:rsidR="00D52BBB" w:rsidRPr="0041506E" w:rsidRDefault="00D52BBB" w:rsidP="00D52BBB">
      <w:pPr>
        <w:pStyle w:val="ListParagraph"/>
        <w:spacing w:after="0" w:line="240" w:lineRule="auto"/>
        <w:jc w:val="both"/>
        <w:rPr>
          <w:rFonts w:cs="Times New Roman"/>
          <w:szCs w:val="24"/>
          <w:lang w:val="sq-AL"/>
        </w:rPr>
      </w:pPr>
    </w:p>
    <w:tbl>
      <w:tblPr>
        <w:tblStyle w:val="TableGrid"/>
        <w:tblW w:w="0" w:type="auto"/>
        <w:tblLook w:val="04A0" w:firstRow="1" w:lastRow="0" w:firstColumn="1" w:lastColumn="0" w:noHBand="0" w:noVBand="1"/>
      </w:tblPr>
      <w:tblGrid>
        <w:gridCol w:w="9016"/>
      </w:tblGrid>
      <w:tr w:rsidR="00D52BBB" w14:paraId="56B506E9" w14:textId="77777777" w:rsidTr="00D52BBB">
        <w:tc>
          <w:tcPr>
            <w:tcW w:w="9016" w:type="dxa"/>
          </w:tcPr>
          <w:p w14:paraId="61AFD2CF" w14:textId="081B5BE7" w:rsidR="00D52BBB" w:rsidRDefault="00D52BBB" w:rsidP="00D52BBB">
            <w:pPr>
              <w:jc w:val="both"/>
              <w:rPr>
                <w:rFonts w:cs="Times New Roman"/>
                <w:szCs w:val="24"/>
                <w:lang w:val="sq-AL"/>
              </w:rPr>
            </w:pPr>
            <w:r w:rsidRPr="009475CC">
              <w:rPr>
                <w:rFonts w:cs="Times New Roman"/>
                <w:b/>
                <w:szCs w:val="24"/>
                <w:lang w:val="sq-AL"/>
              </w:rPr>
              <w:t>Objektiv</w:t>
            </w:r>
            <w:r>
              <w:rPr>
                <w:rFonts w:cs="Times New Roman"/>
                <w:b/>
                <w:szCs w:val="24"/>
                <w:lang w:val="sq-AL"/>
              </w:rPr>
              <w:t>i 24</w:t>
            </w:r>
            <w:r w:rsidRPr="009475CC">
              <w:rPr>
                <w:rFonts w:cs="Times New Roman"/>
                <w:b/>
                <w:szCs w:val="24"/>
                <w:lang w:val="sq-AL"/>
              </w:rPr>
              <w:t>:</w:t>
            </w:r>
            <w:r>
              <w:rPr>
                <w:rFonts w:cs="Times New Roman"/>
                <w:szCs w:val="24"/>
                <w:lang w:val="sq-AL"/>
              </w:rPr>
              <w:t xml:space="preserve"> </w:t>
            </w:r>
          </w:p>
          <w:p w14:paraId="690A99A4" w14:textId="57BF654A" w:rsidR="00D52BBB" w:rsidRPr="00D52BBB" w:rsidRDefault="00D52BBB" w:rsidP="009475CC">
            <w:pPr>
              <w:jc w:val="both"/>
              <w:rPr>
                <w:rFonts w:cs="Times New Roman"/>
                <w:szCs w:val="24"/>
                <w:lang w:val="sq-AL"/>
              </w:rPr>
            </w:pPr>
            <w:r w:rsidRPr="009475CC">
              <w:rPr>
                <w:rFonts w:cs="Times New Roman"/>
                <w:szCs w:val="24"/>
                <w:lang w:val="sq-AL"/>
              </w:rPr>
              <w:t>Mirëfuksionimi i laboratorit q</w:t>
            </w:r>
            <w:r>
              <w:rPr>
                <w:rFonts w:cs="Times New Roman"/>
                <w:szCs w:val="24"/>
                <w:lang w:val="sq-AL"/>
              </w:rPr>
              <w:t>e</w:t>
            </w:r>
            <w:r w:rsidRPr="009475CC">
              <w:rPr>
                <w:rFonts w:cs="Times New Roman"/>
                <w:szCs w:val="24"/>
                <w:lang w:val="sq-AL"/>
              </w:rPr>
              <w:t>ndror në aspektin teknik logjistik, duke garantuar u konsum</w:t>
            </w:r>
            <w:r>
              <w:rPr>
                <w:rFonts w:cs="Times New Roman"/>
                <w:szCs w:val="24"/>
                <w:lang w:val="sq-AL"/>
              </w:rPr>
              <w:t>a</w:t>
            </w:r>
            <w:r w:rsidRPr="009475CC">
              <w:rPr>
                <w:rFonts w:cs="Times New Roman"/>
                <w:szCs w:val="24"/>
                <w:lang w:val="sq-AL"/>
              </w:rPr>
              <w:t>tor</w:t>
            </w:r>
            <w:r>
              <w:rPr>
                <w:rFonts w:cs="Times New Roman"/>
                <w:szCs w:val="24"/>
                <w:lang w:val="sq-AL"/>
              </w:rPr>
              <w:t>ë</w:t>
            </w:r>
            <w:r w:rsidRPr="009475CC">
              <w:rPr>
                <w:rFonts w:cs="Times New Roman"/>
                <w:szCs w:val="24"/>
                <w:lang w:val="sq-AL"/>
              </w:rPr>
              <w:t>ve në treg siguri</w:t>
            </w:r>
            <w:r>
              <w:rPr>
                <w:rFonts w:cs="Times New Roman"/>
                <w:szCs w:val="24"/>
                <w:lang w:val="sq-AL"/>
              </w:rPr>
              <w:t>.</w:t>
            </w:r>
            <w:r w:rsidRPr="009475CC">
              <w:rPr>
                <w:rFonts w:cs="Times New Roman"/>
                <w:szCs w:val="24"/>
                <w:lang w:val="sq-AL"/>
              </w:rPr>
              <w:t xml:space="preserve"> </w:t>
            </w:r>
          </w:p>
        </w:tc>
      </w:tr>
    </w:tbl>
    <w:p w14:paraId="061A5CC0" w14:textId="77777777" w:rsidR="00D52BBB" w:rsidRDefault="00D52BBB" w:rsidP="009475CC">
      <w:pPr>
        <w:spacing w:after="0" w:line="240" w:lineRule="auto"/>
        <w:jc w:val="both"/>
        <w:rPr>
          <w:rFonts w:cs="Times New Roman"/>
          <w:b/>
          <w:szCs w:val="24"/>
          <w:lang w:val="sq-AL"/>
        </w:rPr>
      </w:pPr>
    </w:p>
    <w:p w14:paraId="7B1969AE" w14:textId="733653CC" w:rsidR="00E23645" w:rsidRPr="009475CC" w:rsidRDefault="00E23645" w:rsidP="00D52BBB">
      <w:pPr>
        <w:spacing w:line="240" w:lineRule="auto"/>
        <w:jc w:val="both"/>
        <w:rPr>
          <w:rFonts w:cs="Times New Roman"/>
          <w:szCs w:val="24"/>
          <w:lang w:val="sq-AL"/>
        </w:rPr>
      </w:pPr>
      <w:r w:rsidRPr="009475CC">
        <w:rPr>
          <w:rFonts w:cs="Times New Roman"/>
          <w:b/>
          <w:bCs/>
          <w:szCs w:val="24"/>
          <w:lang w:val="sq-AL"/>
        </w:rPr>
        <w:t xml:space="preserve">Masa </w:t>
      </w:r>
      <w:r w:rsidR="00D52BBB">
        <w:rPr>
          <w:rFonts w:cs="Times New Roman"/>
          <w:b/>
          <w:bCs/>
          <w:szCs w:val="24"/>
          <w:lang w:val="sq-AL"/>
        </w:rPr>
        <w:t>24.</w:t>
      </w:r>
      <w:r w:rsidR="008735E8" w:rsidRPr="009475CC">
        <w:rPr>
          <w:rFonts w:cs="Times New Roman"/>
          <w:b/>
          <w:bCs/>
          <w:szCs w:val="24"/>
          <w:lang w:val="sq-AL"/>
        </w:rPr>
        <w:t>1:</w:t>
      </w:r>
      <w:r w:rsidRPr="009475CC">
        <w:rPr>
          <w:rFonts w:cs="Times New Roman"/>
          <w:szCs w:val="24"/>
          <w:lang w:val="sq-AL"/>
        </w:rPr>
        <w:t xml:space="preserve"> Vijimi i procesit të kalibrimit dhe mirëmbajtes peridoke të pa</w:t>
      </w:r>
      <w:r w:rsidR="0041506E">
        <w:rPr>
          <w:rFonts w:cs="Times New Roman"/>
          <w:szCs w:val="24"/>
          <w:lang w:val="sq-AL"/>
        </w:rPr>
        <w:t>j</w:t>
      </w:r>
      <w:r w:rsidRPr="009475CC">
        <w:rPr>
          <w:rFonts w:cs="Times New Roman"/>
          <w:szCs w:val="24"/>
          <w:lang w:val="sq-AL"/>
        </w:rPr>
        <w:t>isjeve në laborator duke p</w:t>
      </w:r>
      <w:r w:rsidR="008735E8">
        <w:rPr>
          <w:rFonts w:cs="Times New Roman"/>
          <w:szCs w:val="24"/>
          <w:lang w:val="sq-AL"/>
        </w:rPr>
        <w:t>ë</w:t>
      </w:r>
      <w:r w:rsidRPr="009475CC">
        <w:rPr>
          <w:rFonts w:cs="Times New Roman"/>
          <w:szCs w:val="24"/>
          <w:lang w:val="sq-AL"/>
        </w:rPr>
        <w:t>rmirësuar produkte</w:t>
      </w:r>
      <w:r w:rsidR="0041506E">
        <w:rPr>
          <w:rFonts w:cs="Times New Roman"/>
          <w:szCs w:val="24"/>
          <w:lang w:val="sq-AL"/>
        </w:rPr>
        <w:t>t</w:t>
      </w:r>
      <w:r w:rsidRPr="009475CC">
        <w:rPr>
          <w:rFonts w:cs="Times New Roman"/>
          <w:szCs w:val="24"/>
          <w:lang w:val="sq-AL"/>
        </w:rPr>
        <w:t xml:space="preserve"> në treg dhe garantuar konsumator</w:t>
      </w:r>
      <w:r w:rsidR="0041506E">
        <w:rPr>
          <w:rFonts w:cs="Times New Roman"/>
          <w:szCs w:val="24"/>
          <w:lang w:val="sq-AL"/>
        </w:rPr>
        <w:t>ë</w:t>
      </w:r>
      <w:r w:rsidRPr="009475CC">
        <w:rPr>
          <w:rFonts w:cs="Times New Roman"/>
          <w:szCs w:val="24"/>
          <w:lang w:val="sq-AL"/>
        </w:rPr>
        <w:t xml:space="preserve">ve mbrojte ekonomike. </w:t>
      </w:r>
    </w:p>
    <w:p w14:paraId="18F83352" w14:textId="2EFF0F4A" w:rsidR="00E23645" w:rsidRPr="009475CC" w:rsidRDefault="00E23645" w:rsidP="00D52BBB">
      <w:pPr>
        <w:spacing w:line="240" w:lineRule="auto"/>
        <w:jc w:val="both"/>
        <w:rPr>
          <w:rFonts w:cs="Times New Roman"/>
          <w:szCs w:val="24"/>
          <w:lang w:val="sq-AL"/>
        </w:rPr>
      </w:pPr>
      <w:r w:rsidRPr="009475CC">
        <w:rPr>
          <w:rFonts w:cs="Times New Roman"/>
          <w:b/>
          <w:bCs/>
          <w:szCs w:val="24"/>
          <w:lang w:val="sq-AL"/>
        </w:rPr>
        <w:t>Masa</w:t>
      </w:r>
      <w:r w:rsidR="008735E8" w:rsidRPr="009475CC">
        <w:rPr>
          <w:rFonts w:cs="Times New Roman"/>
          <w:b/>
          <w:bCs/>
          <w:szCs w:val="24"/>
          <w:lang w:val="sq-AL"/>
        </w:rPr>
        <w:t xml:space="preserve"> </w:t>
      </w:r>
      <w:r w:rsidR="00D52BBB">
        <w:rPr>
          <w:rFonts w:cs="Times New Roman"/>
          <w:b/>
          <w:bCs/>
          <w:szCs w:val="24"/>
          <w:lang w:val="sq-AL"/>
        </w:rPr>
        <w:t>24.</w:t>
      </w:r>
      <w:r w:rsidRPr="009475CC">
        <w:rPr>
          <w:rFonts w:cs="Times New Roman"/>
          <w:b/>
          <w:bCs/>
          <w:szCs w:val="24"/>
          <w:lang w:val="sq-AL"/>
        </w:rPr>
        <w:t>2</w:t>
      </w:r>
      <w:r w:rsidR="008735E8" w:rsidRPr="009475CC">
        <w:rPr>
          <w:rFonts w:cs="Times New Roman"/>
          <w:b/>
          <w:bCs/>
          <w:szCs w:val="24"/>
          <w:lang w:val="sq-AL"/>
        </w:rPr>
        <w:t>:</w:t>
      </w:r>
      <w:r w:rsidRPr="009475CC">
        <w:rPr>
          <w:rFonts w:cs="Times New Roman"/>
          <w:szCs w:val="24"/>
          <w:lang w:val="sq-AL"/>
        </w:rPr>
        <w:t xml:space="preserve"> Trajnimi me qëllim rritjen e kapaciteteve administrative</w:t>
      </w:r>
      <w:r w:rsidR="008735E8">
        <w:rPr>
          <w:rFonts w:cs="Times New Roman"/>
          <w:szCs w:val="24"/>
          <w:lang w:val="sq-AL"/>
        </w:rPr>
        <w:t>.</w:t>
      </w:r>
    </w:p>
    <w:p w14:paraId="04D5950D" w14:textId="40E57299" w:rsidR="00E23645" w:rsidRPr="009475CC" w:rsidRDefault="00E23645" w:rsidP="00D52BBB">
      <w:pPr>
        <w:spacing w:line="240" w:lineRule="auto"/>
        <w:jc w:val="both"/>
        <w:rPr>
          <w:rFonts w:cs="Times New Roman"/>
          <w:szCs w:val="24"/>
          <w:lang w:val="sq-AL"/>
        </w:rPr>
      </w:pPr>
      <w:r w:rsidRPr="009475CC">
        <w:rPr>
          <w:rFonts w:cs="Times New Roman"/>
          <w:b/>
          <w:bCs/>
          <w:szCs w:val="24"/>
          <w:lang w:val="sq-AL"/>
        </w:rPr>
        <w:t>Masa</w:t>
      </w:r>
      <w:r w:rsidR="008735E8" w:rsidRPr="009475CC">
        <w:rPr>
          <w:rFonts w:cs="Times New Roman"/>
          <w:b/>
          <w:bCs/>
          <w:szCs w:val="24"/>
          <w:lang w:val="sq-AL"/>
        </w:rPr>
        <w:t xml:space="preserve"> </w:t>
      </w:r>
      <w:r w:rsidR="00D52BBB">
        <w:rPr>
          <w:rFonts w:cs="Times New Roman"/>
          <w:b/>
          <w:bCs/>
          <w:szCs w:val="24"/>
          <w:lang w:val="sq-AL"/>
        </w:rPr>
        <w:t>24.</w:t>
      </w:r>
      <w:r w:rsidRPr="009475CC">
        <w:rPr>
          <w:rFonts w:cs="Times New Roman"/>
          <w:b/>
          <w:bCs/>
          <w:szCs w:val="24"/>
          <w:lang w:val="sq-AL"/>
        </w:rPr>
        <w:t>3</w:t>
      </w:r>
      <w:r w:rsidR="008735E8" w:rsidRPr="009475CC">
        <w:rPr>
          <w:rFonts w:cs="Times New Roman"/>
          <w:b/>
          <w:bCs/>
          <w:szCs w:val="24"/>
          <w:lang w:val="sq-AL"/>
        </w:rPr>
        <w:t>:</w:t>
      </w:r>
      <w:r w:rsidRPr="009475CC">
        <w:rPr>
          <w:rFonts w:cs="Times New Roman"/>
          <w:szCs w:val="24"/>
          <w:lang w:val="sq-AL"/>
        </w:rPr>
        <w:t xml:space="preserve"> Zhvendosja e ambjenteve të punës në një mjedis i cili do të ofroj</w:t>
      </w:r>
      <w:r w:rsidR="0041506E">
        <w:rPr>
          <w:rFonts w:cs="Times New Roman"/>
          <w:szCs w:val="24"/>
          <w:lang w:val="sq-AL"/>
        </w:rPr>
        <w:t>ë</w:t>
      </w:r>
      <w:r w:rsidRPr="009475CC">
        <w:rPr>
          <w:rFonts w:cs="Times New Roman"/>
          <w:szCs w:val="24"/>
          <w:lang w:val="sq-AL"/>
        </w:rPr>
        <w:t xml:space="preserve"> siguri dhe mbar</w:t>
      </w:r>
      <w:r w:rsidR="0041506E">
        <w:rPr>
          <w:rFonts w:cs="Times New Roman"/>
          <w:szCs w:val="24"/>
          <w:lang w:val="sq-AL"/>
        </w:rPr>
        <w:t>ë</w:t>
      </w:r>
      <w:r w:rsidRPr="009475CC">
        <w:rPr>
          <w:rFonts w:cs="Times New Roman"/>
          <w:szCs w:val="24"/>
          <w:lang w:val="sq-AL"/>
        </w:rPr>
        <w:t>vajtje të procesit të punës</w:t>
      </w:r>
      <w:r w:rsidR="008735E8">
        <w:rPr>
          <w:rFonts w:cs="Times New Roman"/>
          <w:szCs w:val="24"/>
          <w:lang w:val="sq-AL"/>
        </w:rPr>
        <w:t>.</w:t>
      </w:r>
    </w:p>
    <w:p w14:paraId="447841C6" w14:textId="08A90075" w:rsidR="00E23645" w:rsidRPr="009475CC" w:rsidRDefault="00E23645" w:rsidP="009475CC">
      <w:pPr>
        <w:spacing w:after="0" w:line="240" w:lineRule="auto"/>
        <w:jc w:val="both"/>
        <w:rPr>
          <w:rFonts w:cs="Times New Roman"/>
          <w:b/>
          <w:szCs w:val="24"/>
          <w:lang w:val="sq-AL"/>
        </w:rPr>
      </w:pPr>
      <w:r w:rsidRPr="009475CC">
        <w:rPr>
          <w:rFonts w:cs="Times New Roman"/>
          <w:b/>
          <w:szCs w:val="24"/>
          <w:lang w:val="sq-AL"/>
        </w:rPr>
        <w:t>Indikatorët</w:t>
      </w:r>
      <w:r w:rsidR="008735E8">
        <w:rPr>
          <w:rFonts w:cs="Times New Roman"/>
          <w:b/>
          <w:szCs w:val="24"/>
          <w:lang w:val="sq-AL"/>
        </w:rPr>
        <w:t>:</w:t>
      </w:r>
    </w:p>
    <w:p w14:paraId="521918DE" w14:textId="68693E8B" w:rsidR="00E23645" w:rsidRPr="0041506E" w:rsidRDefault="00E23645" w:rsidP="00623352">
      <w:pPr>
        <w:pStyle w:val="ListParagraph"/>
        <w:numPr>
          <w:ilvl w:val="0"/>
          <w:numId w:val="35"/>
        </w:numPr>
        <w:spacing w:after="0" w:line="240" w:lineRule="auto"/>
        <w:jc w:val="both"/>
        <w:rPr>
          <w:rFonts w:cs="Times New Roman"/>
          <w:szCs w:val="24"/>
          <w:lang w:val="sq-AL"/>
        </w:rPr>
      </w:pPr>
      <w:r w:rsidRPr="0041506E">
        <w:rPr>
          <w:rFonts w:cs="Times New Roman"/>
          <w:szCs w:val="24"/>
          <w:lang w:val="sq-AL"/>
        </w:rPr>
        <w:t>Kalibrimi i 20 pajisjeve të produkteve t</w:t>
      </w:r>
      <w:r w:rsidR="0041506E" w:rsidRPr="0041506E">
        <w:rPr>
          <w:rFonts w:cs="Times New Roman"/>
          <w:szCs w:val="24"/>
          <w:lang w:val="sq-AL"/>
        </w:rPr>
        <w:t>ë</w:t>
      </w:r>
      <w:r w:rsidRPr="0041506E">
        <w:rPr>
          <w:rFonts w:cs="Times New Roman"/>
          <w:szCs w:val="24"/>
          <w:lang w:val="sq-AL"/>
        </w:rPr>
        <w:t xml:space="preserve"> naft</w:t>
      </w:r>
      <w:r w:rsidR="0041506E" w:rsidRPr="0041506E">
        <w:rPr>
          <w:rFonts w:cs="Times New Roman"/>
          <w:szCs w:val="24"/>
          <w:lang w:val="sq-AL"/>
        </w:rPr>
        <w:t>ë</w:t>
      </w:r>
      <w:r w:rsidRPr="0041506E">
        <w:rPr>
          <w:rFonts w:cs="Times New Roman"/>
          <w:szCs w:val="24"/>
          <w:lang w:val="sq-AL"/>
        </w:rPr>
        <w:t>s dhe 5 për tekstilet</w:t>
      </w:r>
      <w:r w:rsidR="0041506E" w:rsidRPr="0041506E">
        <w:rPr>
          <w:rFonts w:cs="Times New Roman"/>
          <w:szCs w:val="24"/>
          <w:lang w:val="sq-AL"/>
        </w:rPr>
        <w:t>.</w:t>
      </w:r>
    </w:p>
    <w:p w14:paraId="27DBE301" w14:textId="6968ACAF" w:rsidR="00E23645" w:rsidRPr="0041506E" w:rsidRDefault="00E23645" w:rsidP="00623352">
      <w:pPr>
        <w:pStyle w:val="ListParagraph"/>
        <w:numPr>
          <w:ilvl w:val="0"/>
          <w:numId w:val="35"/>
        </w:numPr>
        <w:spacing w:after="0" w:line="240" w:lineRule="auto"/>
        <w:jc w:val="both"/>
        <w:rPr>
          <w:rFonts w:cs="Times New Roman"/>
          <w:szCs w:val="24"/>
          <w:lang w:val="sq-AL"/>
        </w:rPr>
      </w:pPr>
      <w:r w:rsidRPr="0041506E">
        <w:rPr>
          <w:rFonts w:cs="Times New Roman"/>
          <w:szCs w:val="24"/>
          <w:lang w:val="sq-AL"/>
        </w:rPr>
        <w:t>Zhvillimi i 5 trajnimeve në vit mbi proceset e ndryshme laboratorike dhe teknologjike</w:t>
      </w:r>
      <w:r w:rsidR="0041506E" w:rsidRPr="0041506E">
        <w:rPr>
          <w:rFonts w:cs="Times New Roman"/>
          <w:szCs w:val="24"/>
          <w:lang w:val="sq-AL"/>
        </w:rPr>
        <w:t>.</w:t>
      </w:r>
    </w:p>
    <w:p w14:paraId="39A0557C" w14:textId="4B8E5B41" w:rsidR="00E23645" w:rsidRPr="0041506E" w:rsidRDefault="00E23645" w:rsidP="00623352">
      <w:pPr>
        <w:pStyle w:val="ListParagraph"/>
        <w:numPr>
          <w:ilvl w:val="0"/>
          <w:numId w:val="35"/>
        </w:numPr>
        <w:spacing w:after="0" w:line="240" w:lineRule="auto"/>
        <w:jc w:val="both"/>
        <w:rPr>
          <w:rFonts w:cs="Times New Roman"/>
          <w:szCs w:val="24"/>
          <w:lang w:val="sq-AL"/>
        </w:rPr>
      </w:pPr>
      <w:r w:rsidRPr="0041506E">
        <w:rPr>
          <w:rFonts w:cs="Times New Roman"/>
          <w:szCs w:val="24"/>
          <w:lang w:val="sq-AL"/>
        </w:rPr>
        <w:t>Ambjente të reja  pune që garantojne mbarevajtjen e punes dhe sigurin</w:t>
      </w:r>
      <w:r w:rsidR="0041506E" w:rsidRPr="0041506E">
        <w:rPr>
          <w:rFonts w:cs="Times New Roman"/>
          <w:szCs w:val="24"/>
          <w:lang w:val="sq-AL"/>
        </w:rPr>
        <w:t>ë.</w:t>
      </w:r>
      <w:r w:rsidRPr="0041506E">
        <w:rPr>
          <w:rFonts w:cs="Times New Roman"/>
          <w:szCs w:val="24"/>
          <w:lang w:val="sq-AL"/>
        </w:rPr>
        <w:t xml:space="preserve"> </w:t>
      </w:r>
    </w:p>
    <w:p w14:paraId="534297F8" w14:textId="79154D9E" w:rsidR="00D52BBB" w:rsidRDefault="00D52BBB" w:rsidP="009475CC">
      <w:pPr>
        <w:spacing w:after="0" w:line="240" w:lineRule="auto"/>
        <w:jc w:val="both"/>
        <w:rPr>
          <w:rFonts w:cs="Times New Roman"/>
          <w:b/>
          <w:szCs w:val="24"/>
          <w:lang w:val="sq-AL"/>
        </w:rPr>
      </w:pPr>
    </w:p>
    <w:p w14:paraId="414FAA1F" w14:textId="77777777" w:rsidR="00D52BBB" w:rsidRDefault="00D52BBB" w:rsidP="009475CC">
      <w:pPr>
        <w:spacing w:after="0" w:line="240" w:lineRule="auto"/>
        <w:jc w:val="both"/>
        <w:rPr>
          <w:rFonts w:cs="Times New Roman"/>
          <w:b/>
          <w:szCs w:val="24"/>
          <w:lang w:val="sq-AL"/>
        </w:rPr>
      </w:pPr>
    </w:p>
    <w:tbl>
      <w:tblPr>
        <w:tblStyle w:val="TableGrid"/>
        <w:tblW w:w="0" w:type="auto"/>
        <w:tblLook w:val="04A0" w:firstRow="1" w:lastRow="0" w:firstColumn="1" w:lastColumn="0" w:noHBand="0" w:noVBand="1"/>
      </w:tblPr>
      <w:tblGrid>
        <w:gridCol w:w="9016"/>
      </w:tblGrid>
      <w:tr w:rsidR="00D52BBB" w14:paraId="777BBAB8" w14:textId="77777777" w:rsidTr="00D52BBB">
        <w:tc>
          <w:tcPr>
            <w:tcW w:w="9016" w:type="dxa"/>
          </w:tcPr>
          <w:p w14:paraId="4CC3733F" w14:textId="1CA16BA3" w:rsidR="00D52BBB" w:rsidRDefault="00D52BBB" w:rsidP="009475CC">
            <w:pPr>
              <w:jc w:val="both"/>
              <w:rPr>
                <w:rFonts w:cs="Times New Roman"/>
                <w:szCs w:val="24"/>
                <w:lang w:val="sq-AL"/>
              </w:rPr>
            </w:pPr>
            <w:r w:rsidRPr="009475CC">
              <w:rPr>
                <w:rFonts w:cs="Times New Roman"/>
                <w:b/>
                <w:szCs w:val="24"/>
                <w:lang w:val="sq-AL"/>
              </w:rPr>
              <w:t>Objektiv</w:t>
            </w:r>
            <w:r>
              <w:rPr>
                <w:rFonts w:cs="Times New Roman"/>
                <w:b/>
                <w:szCs w:val="24"/>
                <w:lang w:val="sq-AL"/>
              </w:rPr>
              <w:t>i 25:</w:t>
            </w:r>
            <w:r>
              <w:rPr>
                <w:rFonts w:cs="Times New Roman"/>
                <w:szCs w:val="24"/>
                <w:lang w:val="sq-AL"/>
              </w:rPr>
              <w:t xml:space="preserve"> </w:t>
            </w:r>
          </w:p>
          <w:p w14:paraId="51EFCC41" w14:textId="576159EB" w:rsidR="00D52BBB" w:rsidRDefault="00D52BBB" w:rsidP="009475CC">
            <w:pPr>
              <w:jc w:val="both"/>
              <w:rPr>
                <w:rFonts w:cs="Times New Roman"/>
                <w:b/>
                <w:szCs w:val="24"/>
                <w:lang w:val="sq-AL"/>
              </w:rPr>
            </w:pPr>
            <w:r w:rsidRPr="009475CC">
              <w:rPr>
                <w:rFonts w:cs="Times New Roman"/>
                <w:szCs w:val="24"/>
                <w:lang w:val="sq-AL"/>
              </w:rPr>
              <w:t>Përmir</w:t>
            </w:r>
            <w:r>
              <w:rPr>
                <w:rFonts w:cs="Times New Roman"/>
                <w:szCs w:val="24"/>
                <w:lang w:val="sq-AL"/>
              </w:rPr>
              <w:t>ë</w:t>
            </w:r>
            <w:r w:rsidRPr="009475CC">
              <w:rPr>
                <w:rFonts w:cs="Times New Roman"/>
                <w:szCs w:val="24"/>
                <w:lang w:val="sq-AL"/>
              </w:rPr>
              <w:t>simi i siguris</w:t>
            </w:r>
            <w:r>
              <w:rPr>
                <w:rFonts w:cs="Times New Roman"/>
                <w:szCs w:val="24"/>
                <w:lang w:val="sq-AL"/>
              </w:rPr>
              <w:t>ë</w:t>
            </w:r>
            <w:r w:rsidRPr="009475CC">
              <w:rPr>
                <w:rFonts w:cs="Times New Roman"/>
                <w:szCs w:val="24"/>
                <w:lang w:val="sq-AL"/>
              </w:rPr>
              <w:t xml:space="preserve"> s</w:t>
            </w:r>
            <w:r>
              <w:rPr>
                <w:rFonts w:cs="Times New Roman"/>
                <w:szCs w:val="24"/>
                <w:lang w:val="sq-AL"/>
              </w:rPr>
              <w:t>ë</w:t>
            </w:r>
            <w:r w:rsidRPr="009475CC">
              <w:rPr>
                <w:rFonts w:cs="Times New Roman"/>
                <w:szCs w:val="24"/>
                <w:lang w:val="sq-AL"/>
              </w:rPr>
              <w:t xml:space="preserve"> produkteve në treg duke u garantuar konsumator</w:t>
            </w:r>
            <w:r>
              <w:rPr>
                <w:rFonts w:cs="Times New Roman"/>
                <w:szCs w:val="24"/>
                <w:lang w:val="sq-AL"/>
              </w:rPr>
              <w:t>ë</w:t>
            </w:r>
            <w:r w:rsidRPr="009475CC">
              <w:rPr>
                <w:rFonts w:cs="Times New Roman"/>
                <w:szCs w:val="24"/>
                <w:lang w:val="sq-AL"/>
              </w:rPr>
              <w:t>ve produkte të sigurta sip</w:t>
            </w:r>
            <w:r>
              <w:rPr>
                <w:rFonts w:cs="Times New Roman"/>
                <w:szCs w:val="24"/>
                <w:lang w:val="sq-AL"/>
              </w:rPr>
              <w:t>a</w:t>
            </w:r>
            <w:r w:rsidRPr="009475CC">
              <w:rPr>
                <w:rFonts w:cs="Times New Roman"/>
                <w:szCs w:val="24"/>
                <w:lang w:val="sq-AL"/>
              </w:rPr>
              <w:t>s standar</w:t>
            </w:r>
            <w:r>
              <w:rPr>
                <w:rFonts w:cs="Times New Roman"/>
                <w:szCs w:val="24"/>
                <w:lang w:val="sq-AL"/>
              </w:rPr>
              <w:t>d</w:t>
            </w:r>
            <w:r w:rsidRPr="009475CC">
              <w:rPr>
                <w:rFonts w:cs="Times New Roman"/>
                <w:szCs w:val="24"/>
                <w:lang w:val="sq-AL"/>
              </w:rPr>
              <w:t>eve e</w:t>
            </w:r>
            <w:r>
              <w:rPr>
                <w:rFonts w:cs="Times New Roman"/>
                <w:szCs w:val="24"/>
                <w:lang w:val="sq-AL"/>
              </w:rPr>
              <w:t>v</w:t>
            </w:r>
            <w:r w:rsidRPr="009475CC">
              <w:rPr>
                <w:rFonts w:cs="Times New Roman"/>
                <w:szCs w:val="24"/>
                <w:lang w:val="sq-AL"/>
              </w:rPr>
              <w:t>ropiane</w:t>
            </w:r>
            <w:r>
              <w:rPr>
                <w:rFonts w:cs="Times New Roman"/>
                <w:szCs w:val="24"/>
                <w:lang w:val="sq-AL"/>
              </w:rPr>
              <w:t>.</w:t>
            </w:r>
            <w:r w:rsidRPr="009475CC">
              <w:rPr>
                <w:rFonts w:cs="Times New Roman"/>
                <w:b/>
                <w:szCs w:val="24"/>
                <w:lang w:val="sq-AL"/>
              </w:rPr>
              <w:t xml:space="preserve"> </w:t>
            </w:r>
          </w:p>
        </w:tc>
      </w:tr>
    </w:tbl>
    <w:p w14:paraId="7F1002BE" w14:textId="77777777" w:rsidR="00D52BBB" w:rsidRDefault="00D52BBB" w:rsidP="009475CC">
      <w:pPr>
        <w:spacing w:after="0" w:line="240" w:lineRule="auto"/>
        <w:jc w:val="both"/>
        <w:rPr>
          <w:rFonts w:cs="Times New Roman"/>
          <w:b/>
          <w:szCs w:val="24"/>
          <w:lang w:val="sq-AL"/>
        </w:rPr>
      </w:pPr>
    </w:p>
    <w:p w14:paraId="7610F81A" w14:textId="3887BA26" w:rsidR="00E23645" w:rsidRPr="009475CC" w:rsidRDefault="00E23645" w:rsidP="00D52BBB">
      <w:pPr>
        <w:spacing w:line="240" w:lineRule="auto"/>
        <w:jc w:val="both"/>
        <w:rPr>
          <w:rFonts w:cs="Times New Roman"/>
          <w:szCs w:val="24"/>
          <w:lang w:val="sq-AL"/>
        </w:rPr>
      </w:pPr>
      <w:r w:rsidRPr="009475CC">
        <w:rPr>
          <w:rFonts w:cs="Times New Roman"/>
          <w:b/>
          <w:bCs/>
          <w:szCs w:val="24"/>
          <w:lang w:val="sq-AL"/>
        </w:rPr>
        <w:t xml:space="preserve">Masa </w:t>
      </w:r>
      <w:r w:rsidR="00D52BBB">
        <w:rPr>
          <w:rFonts w:cs="Times New Roman"/>
          <w:b/>
          <w:bCs/>
          <w:szCs w:val="24"/>
          <w:lang w:val="sq-AL"/>
        </w:rPr>
        <w:t>25.</w:t>
      </w:r>
      <w:r w:rsidRPr="009475CC">
        <w:rPr>
          <w:rFonts w:cs="Times New Roman"/>
          <w:b/>
          <w:bCs/>
          <w:szCs w:val="24"/>
          <w:lang w:val="sq-AL"/>
        </w:rPr>
        <w:t>1</w:t>
      </w:r>
      <w:r w:rsidR="00F01F96" w:rsidRPr="009475CC">
        <w:rPr>
          <w:rFonts w:cs="Times New Roman"/>
          <w:b/>
          <w:bCs/>
          <w:szCs w:val="24"/>
          <w:lang w:val="sq-AL"/>
        </w:rPr>
        <w:t>:</w:t>
      </w:r>
      <w:r w:rsidRPr="009475CC">
        <w:rPr>
          <w:rFonts w:cs="Times New Roman"/>
          <w:szCs w:val="24"/>
          <w:lang w:val="sq-AL"/>
        </w:rPr>
        <w:t xml:space="preserve">  Rritja e n</w:t>
      </w:r>
      <w:r w:rsidR="00F01F96">
        <w:rPr>
          <w:rFonts w:cs="Times New Roman"/>
          <w:szCs w:val="24"/>
          <w:lang w:val="sq-AL"/>
        </w:rPr>
        <w:t>um</w:t>
      </w:r>
      <w:r w:rsidRPr="009475CC">
        <w:rPr>
          <w:rFonts w:cs="Times New Roman"/>
          <w:szCs w:val="24"/>
          <w:lang w:val="sq-AL"/>
        </w:rPr>
        <w:t>r</w:t>
      </w:r>
      <w:r w:rsidR="00F01F96">
        <w:rPr>
          <w:rFonts w:cs="Times New Roman"/>
          <w:szCs w:val="24"/>
          <w:lang w:val="sq-AL"/>
        </w:rPr>
        <w:t>it</w:t>
      </w:r>
      <w:r w:rsidRPr="009475CC">
        <w:rPr>
          <w:rFonts w:cs="Times New Roman"/>
          <w:szCs w:val="24"/>
          <w:lang w:val="sq-AL"/>
        </w:rPr>
        <w:t xml:space="preserve"> të inspektime</w:t>
      </w:r>
      <w:r w:rsidR="0041506E">
        <w:rPr>
          <w:rFonts w:cs="Times New Roman"/>
          <w:szCs w:val="24"/>
          <w:lang w:val="sq-AL"/>
        </w:rPr>
        <w:t>ve</w:t>
      </w:r>
      <w:r w:rsidRPr="009475CC">
        <w:rPr>
          <w:rFonts w:cs="Times New Roman"/>
          <w:szCs w:val="24"/>
          <w:lang w:val="sq-AL"/>
        </w:rPr>
        <w:t xml:space="preserve"> për produk</w:t>
      </w:r>
      <w:r w:rsidR="00F01F96">
        <w:rPr>
          <w:rFonts w:cs="Times New Roman"/>
          <w:szCs w:val="24"/>
          <w:lang w:val="sq-AL"/>
        </w:rPr>
        <w:t>t</w:t>
      </w:r>
      <w:r w:rsidRPr="009475CC">
        <w:rPr>
          <w:rFonts w:cs="Times New Roman"/>
          <w:szCs w:val="24"/>
          <w:lang w:val="sq-AL"/>
        </w:rPr>
        <w:t>e</w:t>
      </w:r>
      <w:r w:rsidR="00F01F96">
        <w:rPr>
          <w:rFonts w:cs="Times New Roman"/>
          <w:szCs w:val="24"/>
          <w:lang w:val="sq-AL"/>
        </w:rPr>
        <w:t>t e</w:t>
      </w:r>
      <w:r w:rsidRPr="009475CC">
        <w:rPr>
          <w:rFonts w:cs="Times New Roman"/>
          <w:szCs w:val="24"/>
          <w:lang w:val="sq-AL"/>
        </w:rPr>
        <w:t xml:space="preserve"> pa</w:t>
      </w:r>
      <w:r w:rsidR="0041506E">
        <w:rPr>
          <w:rFonts w:cs="Times New Roman"/>
          <w:szCs w:val="24"/>
          <w:lang w:val="sq-AL"/>
        </w:rPr>
        <w:t>j</w:t>
      </w:r>
      <w:r w:rsidRPr="009475CC">
        <w:rPr>
          <w:rFonts w:cs="Times New Roman"/>
          <w:szCs w:val="24"/>
          <w:lang w:val="sq-AL"/>
        </w:rPr>
        <w:t>isjet mbrojt</w:t>
      </w:r>
      <w:r w:rsidR="00F01F96">
        <w:rPr>
          <w:rFonts w:cs="Times New Roman"/>
          <w:szCs w:val="24"/>
          <w:lang w:val="sq-AL"/>
        </w:rPr>
        <w:t>ë</w:t>
      </w:r>
      <w:r w:rsidRPr="009475CC">
        <w:rPr>
          <w:rFonts w:cs="Times New Roman"/>
          <w:szCs w:val="24"/>
          <w:lang w:val="sq-AL"/>
        </w:rPr>
        <w:t>s difer</w:t>
      </w:r>
      <w:r w:rsidR="00F01F96">
        <w:rPr>
          <w:rFonts w:cs="Times New Roman"/>
          <w:szCs w:val="24"/>
          <w:lang w:val="sq-AL"/>
        </w:rPr>
        <w:t>e</w:t>
      </w:r>
      <w:r w:rsidRPr="009475CC">
        <w:rPr>
          <w:rFonts w:cs="Times New Roman"/>
          <w:szCs w:val="24"/>
          <w:lang w:val="sq-AL"/>
        </w:rPr>
        <w:t>nciale, tokë</w:t>
      </w:r>
      <w:r w:rsidR="0041506E">
        <w:rPr>
          <w:rFonts w:cs="Times New Roman"/>
          <w:szCs w:val="24"/>
          <w:lang w:val="sq-AL"/>
        </w:rPr>
        <w:t>z</w:t>
      </w:r>
      <w:r w:rsidRPr="009475CC">
        <w:rPr>
          <w:rFonts w:cs="Times New Roman"/>
          <w:szCs w:val="24"/>
          <w:lang w:val="sq-AL"/>
        </w:rPr>
        <w:t>imet dhe instalimet e ndryshme elektrike, en</w:t>
      </w:r>
      <w:r w:rsidR="0041506E">
        <w:rPr>
          <w:rFonts w:cs="Times New Roman"/>
          <w:szCs w:val="24"/>
          <w:lang w:val="sq-AL"/>
        </w:rPr>
        <w:t>ë</w:t>
      </w:r>
      <w:r w:rsidRPr="009475CC">
        <w:rPr>
          <w:rFonts w:cs="Times New Roman"/>
          <w:szCs w:val="24"/>
          <w:lang w:val="sq-AL"/>
        </w:rPr>
        <w:t>t e transportueshme n</w:t>
      </w:r>
      <w:r w:rsidR="0041506E">
        <w:rPr>
          <w:rFonts w:cs="Times New Roman"/>
          <w:szCs w:val="24"/>
          <w:lang w:val="sq-AL"/>
        </w:rPr>
        <w:t>ë</w:t>
      </w:r>
      <w:r w:rsidRPr="009475CC">
        <w:rPr>
          <w:rFonts w:cs="Times New Roman"/>
          <w:szCs w:val="24"/>
          <w:lang w:val="sq-AL"/>
        </w:rPr>
        <w:t>n presion, instalimet në subjekte industriale dhe residenciale të cilat ofrojne shërbime tregtare për konsumatorët.</w:t>
      </w:r>
    </w:p>
    <w:p w14:paraId="15550947" w14:textId="3DDE0D40" w:rsidR="00E23645" w:rsidRPr="009475CC" w:rsidRDefault="00E23645" w:rsidP="00D52BBB">
      <w:pPr>
        <w:spacing w:line="240" w:lineRule="auto"/>
        <w:jc w:val="both"/>
        <w:rPr>
          <w:rFonts w:cs="Times New Roman"/>
          <w:b/>
          <w:szCs w:val="24"/>
          <w:lang w:val="sq-AL"/>
        </w:rPr>
      </w:pPr>
      <w:r w:rsidRPr="009475CC">
        <w:rPr>
          <w:rFonts w:cs="Times New Roman"/>
          <w:b/>
          <w:szCs w:val="24"/>
          <w:lang w:val="sq-AL"/>
        </w:rPr>
        <w:t>Indikator</w:t>
      </w:r>
      <w:r w:rsidR="007E73C7">
        <w:rPr>
          <w:rFonts w:cs="Times New Roman"/>
          <w:b/>
          <w:szCs w:val="24"/>
          <w:lang w:val="sq-AL"/>
        </w:rPr>
        <w:t>i</w:t>
      </w:r>
      <w:r w:rsidR="00F01F96">
        <w:rPr>
          <w:rFonts w:cs="Times New Roman"/>
          <w:b/>
          <w:szCs w:val="24"/>
          <w:lang w:val="sq-AL"/>
        </w:rPr>
        <w:t xml:space="preserve">: </w:t>
      </w:r>
      <w:r w:rsidRPr="009475CC">
        <w:rPr>
          <w:rFonts w:cs="Times New Roman"/>
          <w:bCs/>
          <w:szCs w:val="24"/>
          <w:lang w:val="sq-AL"/>
        </w:rPr>
        <w:t>7000 inspektime në vit mbi produktet që prekin konsum</w:t>
      </w:r>
      <w:r w:rsidR="00F01F96">
        <w:rPr>
          <w:rFonts w:cs="Times New Roman"/>
          <w:bCs/>
          <w:szCs w:val="24"/>
          <w:lang w:val="sq-AL"/>
        </w:rPr>
        <w:t>a</w:t>
      </w:r>
      <w:r w:rsidRPr="009475CC">
        <w:rPr>
          <w:rFonts w:cs="Times New Roman"/>
          <w:bCs/>
          <w:szCs w:val="24"/>
          <w:lang w:val="sq-AL"/>
        </w:rPr>
        <w:t>torët në treg</w:t>
      </w:r>
      <w:r w:rsidRPr="009475CC">
        <w:rPr>
          <w:rFonts w:cs="Times New Roman"/>
          <w:b/>
          <w:szCs w:val="24"/>
          <w:lang w:val="sq-AL"/>
        </w:rPr>
        <w:t xml:space="preserve">. </w:t>
      </w:r>
    </w:p>
    <w:p w14:paraId="09D81582" w14:textId="41BDE548" w:rsidR="007969D8" w:rsidRPr="00BD71EE" w:rsidRDefault="007969D8" w:rsidP="007969D8">
      <w:pPr>
        <w:jc w:val="both"/>
        <w:rPr>
          <w:rFonts w:cs="Times New Roman"/>
          <w:sz w:val="28"/>
          <w:szCs w:val="28"/>
          <w:lang w:val="sq-AL"/>
        </w:rPr>
      </w:pPr>
    </w:p>
    <w:p w14:paraId="16EF8705" w14:textId="1084C47D" w:rsidR="009C4088" w:rsidRPr="00BD71EE" w:rsidRDefault="004129C7" w:rsidP="009C4088">
      <w:pPr>
        <w:rPr>
          <w:rFonts w:cs="Times New Roman"/>
          <w:sz w:val="28"/>
          <w:szCs w:val="28"/>
          <w:lang w:val="sq-AL"/>
        </w:rPr>
      </w:pPr>
      <w:bookmarkStart w:id="164" w:name="_Toc132277386"/>
      <w:bookmarkStart w:id="165" w:name="_Hlk121701667"/>
      <w:r w:rsidRPr="004129C7">
        <w:rPr>
          <w:rStyle w:val="Heading2Char"/>
        </w:rPr>
        <w:t xml:space="preserve">II.2 </w:t>
      </w:r>
      <w:r w:rsidR="009C4088" w:rsidRPr="004129C7">
        <w:rPr>
          <w:rStyle w:val="Heading2Char"/>
        </w:rPr>
        <w:t xml:space="preserve">Shtylla II Çështje të mbrojtjes së konsumatorëve që nuk </w:t>
      </w:r>
      <w:r w:rsidR="00957AD4" w:rsidRPr="004129C7">
        <w:rPr>
          <w:rStyle w:val="Heading2Char"/>
        </w:rPr>
        <w:t>lidhen</w:t>
      </w:r>
      <w:r w:rsidR="009C4088" w:rsidRPr="004129C7">
        <w:rPr>
          <w:rStyle w:val="Heading2Char"/>
        </w:rPr>
        <w:t xml:space="preserve"> me aspektet e sigurisë</w:t>
      </w:r>
      <w:bookmarkEnd w:id="164"/>
      <w:r w:rsidR="009C4088" w:rsidRPr="00BD71EE">
        <w:rPr>
          <w:rFonts w:cs="Times New Roman"/>
          <w:b/>
          <w:sz w:val="28"/>
          <w:szCs w:val="28"/>
          <w:lang w:val="sq-AL"/>
        </w:rPr>
        <w:t xml:space="preserve"> </w:t>
      </w:r>
      <w:r w:rsidR="009C4088" w:rsidRPr="00BD71EE">
        <w:rPr>
          <w:rFonts w:cs="Times New Roman"/>
          <w:sz w:val="28"/>
          <w:szCs w:val="28"/>
          <w:lang w:val="sq-AL"/>
        </w:rPr>
        <w:t xml:space="preserve"> </w:t>
      </w:r>
    </w:p>
    <w:bookmarkEnd w:id="165"/>
    <w:p w14:paraId="12C04FA6" w14:textId="56B55A88" w:rsidR="00793D1A" w:rsidRPr="009475CC" w:rsidRDefault="00793D1A" w:rsidP="009475CC">
      <w:pPr>
        <w:shd w:val="clear" w:color="auto" w:fill="FFFFFF" w:themeFill="background1"/>
        <w:jc w:val="both"/>
        <w:rPr>
          <w:rFonts w:cs="Times New Roman"/>
          <w:szCs w:val="24"/>
          <w:lang w:val="sq-AL"/>
        </w:rPr>
      </w:pPr>
      <w:r w:rsidRPr="009475CC">
        <w:rPr>
          <w:rFonts w:cs="Times New Roman"/>
          <w:szCs w:val="24"/>
          <w:lang w:val="sq-AL"/>
        </w:rPr>
        <w:t xml:space="preserve">Në këtë shtyllë të politikës, ndërmarrja e veprimeve konkrete në perputhje me vizionin dhe qëllimin e strategjisë për fuqizimin e konsumatorëve, do të garantojë konsumatorët, të mund të përfitojnë plotësisht nga mundësitë që tregu ofron për ta dhe interesat e tyre ekonomike do të </w:t>
      </w:r>
      <w:r w:rsidRPr="009475CC">
        <w:rPr>
          <w:rFonts w:cs="Times New Roman"/>
          <w:szCs w:val="24"/>
          <w:lang w:val="sq-AL"/>
        </w:rPr>
        <w:lastRenderedPageBreak/>
        <w:t xml:space="preserve">mbrohen siç duhet. Gjithashtu, këto masa do të sigurojnë që legjislacioni të zbatohet nga tregtarët në mënyrë të njëjtë dhe për rrjedhojë konkurrenca në treg të jetë e drejtë.  </w:t>
      </w:r>
    </w:p>
    <w:p w14:paraId="1E57F3F8" w14:textId="2BA37F16" w:rsidR="0059020B" w:rsidRPr="009475CC" w:rsidRDefault="00793D1A" w:rsidP="009475CC">
      <w:pPr>
        <w:shd w:val="clear" w:color="auto" w:fill="FFFFFF" w:themeFill="background1"/>
        <w:jc w:val="both"/>
        <w:rPr>
          <w:rFonts w:cs="Times New Roman"/>
          <w:b/>
          <w:szCs w:val="24"/>
          <w:lang w:val="sq-AL"/>
        </w:rPr>
      </w:pPr>
      <w:r w:rsidRPr="009475CC">
        <w:rPr>
          <w:rFonts w:cs="Times New Roman"/>
          <w:b/>
          <w:szCs w:val="24"/>
          <w:lang w:val="sq-AL"/>
        </w:rPr>
        <w:t xml:space="preserve">Qëllimi i politikës të kësaj shtylle lidhet me çështje të mbrojtjes së konsumatorëve që nuk </w:t>
      </w:r>
      <w:r w:rsidR="00957AD4">
        <w:rPr>
          <w:rFonts w:cs="Times New Roman"/>
          <w:b/>
          <w:szCs w:val="24"/>
          <w:lang w:val="sq-AL"/>
        </w:rPr>
        <w:t>lidhen</w:t>
      </w:r>
      <w:r w:rsidRPr="009475CC">
        <w:rPr>
          <w:rFonts w:cs="Times New Roman"/>
          <w:b/>
          <w:szCs w:val="24"/>
          <w:lang w:val="sq-AL"/>
        </w:rPr>
        <w:t xml:space="preserve"> me aspektet e sigurisë (interesat ekonomike): praktikat tregtare; zbatimi i të drejtave të konsumatorëve; kushtet e padrejta në kontrata, zgjidhja alternative dhe online e mosmarrëveshjeve; mjedisi; turizmi; digjitalizimi etj.</w:t>
      </w:r>
    </w:p>
    <w:tbl>
      <w:tblPr>
        <w:tblStyle w:val="TableGrid"/>
        <w:tblW w:w="0" w:type="auto"/>
        <w:tblLook w:val="04A0" w:firstRow="1" w:lastRow="0" w:firstColumn="1" w:lastColumn="0" w:noHBand="0" w:noVBand="1"/>
      </w:tblPr>
      <w:tblGrid>
        <w:gridCol w:w="9016"/>
      </w:tblGrid>
      <w:tr w:rsidR="004129C7" w14:paraId="7603178A" w14:textId="77777777" w:rsidTr="004129C7">
        <w:tc>
          <w:tcPr>
            <w:tcW w:w="9016" w:type="dxa"/>
          </w:tcPr>
          <w:p w14:paraId="7F4B114A" w14:textId="77777777" w:rsidR="004129C7" w:rsidRDefault="00793D1A" w:rsidP="004129C7">
            <w:pPr>
              <w:shd w:val="clear" w:color="auto" w:fill="FFFFFF" w:themeFill="background1"/>
              <w:jc w:val="both"/>
              <w:rPr>
                <w:rFonts w:cs="Times New Roman"/>
                <w:b/>
                <w:i/>
                <w:szCs w:val="24"/>
                <w:lang w:val="sq-AL"/>
              </w:rPr>
            </w:pPr>
            <w:r w:rsidRPr="009475CC">
              <w:rPr>
                <w:rFonts w:cs="Times New Roman"/>
                <w:szCs w:val="24"/>
                <w:lang w:val="sq-AL"/>
              </w:rPr>
              <w:t xml:space="preserve"> </w:t>
            </w:r>
            <w:r w:rsidR="004129C7" w:rsidRPr="009475CC">
              <w:rPr>
                <w:rFonts w:cs="Times New Roman"/>
                <w:b/>
                <w:i/>
                <w:szCs w:val="24"/>
                <w:lang w:val="sq-AL"/>
              </w:rPr>
              <w:t xml:space="preserve">Objektivi i përgjithshëm </w:t>
            </w:r>
          </w:p>
          <w:p w14:paraId="48FCF901" w14:textId="7188F52A" w:rsidR="004129C7" w:rsidRPr="00BD71EE" w:rsidRDefault="004129C7" w:rsidP="004129C7">
            <w:pPr>
              <w:shd w:val="clear" w:color="auto" w:fill="FFFFFF" w:themeFill="background1"/>
              <w:jc w:val="both"/>
              <w:rPr>
                <w:rFonts w:cs="Times New Roman"/>
                <w:i/>
                <w:sz w:val="28"/>
                <w:szCs w:val="28"/>
                <w:lang w:val="sq-AL"/>
              </w:rPr>
            </w:pPr>
            <w:r w:rsidRPr="009475CC">
              <w:rPr>
                <w:rFonts w:cs="Times New Roman"/>
                <w:i/>
                <w:szCs w:val="24"/>
                <w:lang w:val="sq-AL"/>
              </w:rPr>
              <w:t xml:space="preserve">Mbrojtje dhe promovim i interesave ekonomike të konsumatorëve, nëpërmjet përmirësimit të informacionit dhe transparencës së tij, mbi tregjet dhe të drejtat e konsumatorëve, mekanizmat efikase të dëmshpërblimit, mbi promovimin e konsumit të qëndrueshëm, veçanërisht për karakteristikat specifike dhe ndikimin mjedisor të mallrave dhe shërbimeve; mbrojtjen e të drejtave gjatë blerjeve online në kontekstin e transformimit digjital.  </w:t>
            </w:r>
          </w:p>
          <w:p w14:paraId="16527FF2" w14:textId="77777777" w:rsidR="004129C7" w:rsidRDefault="004129C7" w:rsidP="009C4088">
            <w:pPr>
              <w:jc w:val="both"/>
              <w:rPr>
                <w:rFonts w:cs="Times New Roman"/>
                <w:szCs w:val="24"/>
                <w:lang w:val="sq-AL"/>
              </w:rPr>
            </w:pPr>
          </w:p>
        </w:tc>
      </w:tr>
    </w:tbl>
    <w:p w14:paraId="0F3C935C" w14:textId="4DC89A53" w:rsidR="004129C7" w:rsidRDefault="004129C7" w:rsidP="009C4088">
      <w:pPr>
        <w:shd w:val="clear" w:color="auto" w:fill="FFFFFF" w:themeFill="background1"/>
        <w:jc w:val="both"/>
        <w:rPr>
          <w:rFonts w:cs="Times New Roman"/>
          <w:szCs w:val="24"/>
          <w:lang w:val="sq-AL"/>
        </w:rPr>
      </w:pPr>
    </w:p>
    <w:p w14:paraId="68CA625B" w14:textId="52B0924D" w:rsidR="004129C7" w:rsidRDefault="004129C7" w:rsidP="004129C7">
      <w:pPr>
        <w:pStyle w:val="Heading3"/>
        <w:numPr>
          <w:ilvl w:val="0"/>
          <w:numId w:val="0"/>
        </w:numPr>
        <w:ind w:left="431" w:hanging="431"/>
      </w:pPr>
      <w:bookmarkStart w:id="166" w:name="_Toc132277387"/>
      <w:r>
        <w:t xml:space="preserve">II.2.1 </w:t>
      </w:r>
      <w:r w:rsidRPr="00BD71EE">
        <w:t>Objektivat, masat dhe indikatorët</w:t>
      </w:r>
      <w:bookmarkEnd w:id="166"/>
      <w:r>
        <w:t xml:space="preserve"> </w:t>
      </w:r>
    </w:p>
    <w:p w14:paraId="7BE4C59C" w14:textId="0C2B00CD" w:rsidR="009C4088" w:rsidRPr="00BD71EE" w:rsidRDefault="009C4088" w:rsidP="004129C7">
      <w:pPr>
        <w:pStyle w:val="Heading4"/>
        <w:rPr>
          <w:lang w:val="sq-AL"/>
        </w:rPr>
      </w:pPr>
      <w:bookmarkStart w:id="167" w:name="_Toc132277388"/>
      <w:r w:rsidRPr="00BD71EE">
        <w:rPr>
          <w:lang w:val="sq-AL"/>
        </w:rPr>
        <w:t>Ministria e Financave dhe Ekonomisë</w:t>
      </w:r>
      <w:bookmarkEnd w:id="167"/>
    </w:p>
    <w:tbl>
      <w:tblPr>
        <w:tblStyle w:val="TableGrid"/>
        <w:tblW w:w="0" w:type="auto"/>
        <w:tblLook w:val="04A0" w:firstRow="1" w:lastRow="0" w:firstColumn="1" w:lastColumn="0" w:noHBand="0" w:noVBand="1"/>
      </w:tblPr>
      <w:tblGrid>
        <w:gridCol w:w="9016"/>
      </w:tblGrid>
      <w:tr w:rsidR="004129C7" w14:paraId="5E52DD3F" w14:textId="77777777" w:rsidTr="004129C7">
        <w:tc>
          <w:tcPr>
            <w:tcW w:w="9016" w:type="dxa"/>
          </w:tcPr>
          <w:p w14:paraId="34E479A3" w14:textId="77AB00F6" w:rsidR="004129C7" w:rsidRDefault="004129C7" w:rsidP="004129C7">
            <w:pPr>
              <w:jc w:val="both"/>
              <w:rPr>
                <w:rFonts w:cs="Times New Roman"/>
                <w:b/>
                <w:szCs w:val="24"/>
                <w:lang w:val="sq-AL"/>
              </w:rPr>
            </w:pPr>
            <w:r w:rsidRPr="009475CC">
              <w:rPr>
                <w:rFonts w:cs="Times New Roman"/>
                <w:b/>
                <w:szCs w:val="24"/>
                <w:lang w:val="sq-AL"/>
              </w:rPr>
              <w:t>Objektivi</w:t>
            </w:r>
            <w:r>
              <w:rPr>
                <w:rFonts w:cs="Times New Roman"/>
                <w:b/>
                <w:szCs w:val="24"/>
                <w:lang w:val="sq-AL"/>
              </w:rPr>
              <w:t xml:space="preserve"> 26</w:t>
            </w:r>
            <w:r w:rsidRPr="009475CC">
              <w:rPr>
                <w:rFonts w:cs="Times New Roman"/>
                <w:b/>
                <w:szCs w:val="24"/>
                <w:lang w:val="sq-AL"/>
              </w:rPr>
              <w:t xml:space="preserve">: </w:t>
            </w:r>
          </w:p>
          <w:p w14:paraId="60D25257" w14:textId="49C565F0" w:rsidR="004129C7" w:rsidRPr="009475CC" w:rsidRDefault="004129C7" w:rsidP="004129C7">
            <w:pPr>
              <w:jc w:val="both"/>
              <w:rPr>
                <w:rFonts w:cs="Times New Roman"/>
                <w:szCs w:val="24"/>
                <w:lang w:val="sq-AL"/>
              </w:rPr>
            </w:pPr>
            <w:r w:rsidRPr="009475CC">
              <w:rPr>
                <w:rFonts w:cs="Times New Roman"/>
                <w:bCs/>
                <w:szCs w:val="24"/>
                <w:lang w:val="sq-AL"/>
              </w:rPr>
              <w:t>Përmirësimi i kuadrit ligjor për mbrojtjen e interesave ekonomike të konsumator</w:t>
            </w:r>
            <w:r>
              <w:rPr>
                <w:rFonts w:cs="Times New Roman"/>
                <w:bCs/>
                <w:szCs w:val="24"/>
                <w:lang w:val="sq-AL"/>
              </w:rPr>
              <w:t>ëve</w:t>
            </w:r>
            <w:r w:rsidRPr="009475CC">
              <w:rPr>
                <w:rFonts w:cs="Times New Roman"/>
                <w:bCs/>
                <w:szCs w:val="24"/>
                <w:lang w:val="sq-AL"/>
              </w:rPr>
              <w:t xml:space="preserve"> dhe të drejtave të tjera, si dhe fuqizimi i sistemit institucional dhe efiçent në zbatimin e këtij legjislacioni.</w:t>
            </w:r>
            <w:r w:rsidRPr="009475CC">
              <w:rPr>
                <w:rFonts w:cs="Times New Roman"/>
                <w:szCs w:val="24"/>
                <w:lang w:val="sq-AL"/>
              </w:rPr>
              <w:t xml:space="preserve"> </w:t>
            </w:r>
          </w:p>
          <w:p w14:paraId="3FF2BD3F" w14:textId="77777777" w:rsidR="004129C7" w:rsidRDefault="004129C7" w:rsidP="009475CC">
            <w:pPr>
              <w:jc w:val="both"/>
              <w:rPr>
                <w:rFonts w:cs="Times New Roman"/>
                <w:b/>
                <w:szCs w:val="24"/>
                <w:lang w:val="sq-AL"/>
              </w:rPr>
            </w:pPr>
          </w:p>
        </w:tc>
      </w:tr>
    </w:tbl>
    <w:p w14:paraId="15AFE807" w14:textId="77777777" w:rsidR="004129C7" w:rsidRDefault="004129C7" w:rsidP="009475CC">
      <w:pPr>
        <w:spacing w:after="0" w:line="240" w:lineRule="auto"/>
        <w:jc w:val="both"/>
        <w:rPr>
          <w:rFonts w:cs="Times New Roman"/>
          <w:b/>
          <w:szCs w:val="24"/>
          <w:lang w:val="sq-AL"/>
        </w:rPr>
      </w:pPr>
    </w:p>
    <w:p w14:paraId="3356C235" w14:textId="07FCDF3A" w:rsidR="00793D1A" w:rsidRPr="009475CC" w:rsidRDefault="00793D1A" w:rsidP="004129C7">
      <w:pPr>
        <w:spacing w:line="240" w:lineRule="auto"/>
        <w:jc w:val="both"/>
        <w:rPr>
          <w:rFonts w:cs="Times New Roman"/>
          <w:szCs w:val="24"/>
          <w:lang w:val="sq-AL"/>
        </w:rPr>
      </w:pPr>
      <w:r w:rsidRPr="009475CC">
        <w:rPr>
          <w:rFonts w:cs="Times New Roman"/>
          <w:b/>
          <w:szCs w:val="24"/>
          <w:lang w:val="sq-AL"/>
        </w:rPr>
        <w:t xml:space="preserve">Masa </w:t>
      </w:r>
      <w:r w:rsidR="004129C7">
        <w:rPr>
          <w:rFonts w:cs="Times New Roman"/>
          <w:b/>
          <w:szCs w:val="24"/>
          <w:lang w:val="sq-AL"/>
        </w:rPr>
        <w:t>26.</w:t>
      </w:r>
      <w:r w:rsidRPr="009475CC">
        <w:rPr>
          <w:rFonts w:cs="Times New Roman"/>
          <w:b/>
          <w:szCs w:val="24"/>
          <w:lang w:val="sq-AL"/>
        </w:rPr>
        <w:t>1</w:t>
      </w:r>
      <w:r w:rsidR="009C4088">
        <w:rPr>
          <w:rFonts w:cs="Times New Roman"/>
          <w:b/>
          <w:szCs w:val="24"/>
          <w:lang w:val="sq-AL"/>
        </w:rPr>
        <w:t>:</w:t>
      </w:r>
      <w:r w:rsidRPr="009475CC">
        <w:rPr>
          <w:rFonts w:cs="Times New Roman"/>
          <w:b/>
          <w:szCs w:val="24"/>
          <w:lang w:val="sq-AL"/>
        </w:rPr>
        <w:t xml:space="preserve"> </w:t>
      </w:r>
      <w:r w:rsidRPr="00BD71EE">
        <w:rPr>
          <w:rFonts w:cs="Times New Roman"/>
          <w:bCs/>
          <w:szCs w:val="24"/>
          <w:lang w:val="sq-AL"/>
        </w:rPr>
        <w:t>H</w:t>
      </w:r>
      <w:r w:rsidRPr="009475CC">
        <w:rPr>
          <w:rFonts w:cs="Times New Roman"/>
          <w:szCs w:val="24"/>
          <w:lang w:val="sq-AL"/>
        </w:rPr>
        <w:t>artimi i ndryshimeve të kuadrit ligjor për mbrojtjen e interesave ekonomike të konsumator</w:t>
      </w:r>
      <w:r w:rsidR="00BD71EE">
        <w:rPr>
          <w:rFonts w:cs="Times New Roman"/>
          <w:szCs w:val="24"/>
          <w:lang w:val="sq-AL"/>
        </w:rPr>
        <w:t>ëve</w:t>
      </w:r>
      <w:r w:rsidRPr="009475CC">
        <w:rPr>
          <w:rFonts w:cs="Times New Roman"/>
          <w:szCs w:val="24"/>
          <w:lang w:val="sq-AL"/>
        </w:rPr>
        <w:t xml:space="preserve"> dhe të drejtave të tjera. </w:t>
      </w:r>
    </w:p>
    <w:p w14:paraId="1E302866" w14:textId="35B4857E" w:rsidR="00793D1A" w:rsidRPr="009475CC" w:rsidRDefault="00793D1A" w:rsidP="004129C7">
      <w:pPr>
        <w:spacing w:line="240" w:lineRule="auto"/>
        <w:jc w:val="both"/>
        <w:rPr>
          <w:rFonts w:cs="Times New Roman"/>
          <w:szCs w:val="24"/>
          <w:lang w:val="sq-AL"/>
        </w:rPr>
      </w:pPr>
      <w:r w:rsidRPr="009475CC">
        <w:rPr>
          <w:rFonts w:cs="Times New Roman"/>
          <w:szCs w:val="24"/>
          <w:lang w:val="sq-AL"/>
        </w:rPr>
        <w:t>Të drejtat e përcaktuara për konsumatorët nga legjislacioni aktual në fuqi për mbrojtjen e konsumatorëve, si dhe zbatimi i këtij legjislacioni u japin konsumatorëve dhe tregtarëve siguri dhe besim, duke sjellë përfitime reale në lidhje me të drejtat e konsumator</w:t>
      </w:r>
      <w:r w:rsidR="00BD71EE">
        <w:rPr>
          <w:rFonts w:cs="Times New Roman"/>
          <w:szCs w:val="24"/>
          <w:lang w:val="sq-AL"/>
        </w:rPr>
        <w:t>ëve</w:t>
      </w:r>
      <w:r w:rsidRPr="009475CC">
        <w:rPr>
          <w:rFonts w:cs="Times New Roman"/>
          <w:szCs w:val="24"/>
          <w:lang w:val="sq-AL"/>
        </w:rPr>
        <w:t xml:space="preserve">. </w:t>
      </w:r>
    </w:p>
    <w:p w14:paraId="388A92C5" w14:textId="15EDC372" w:rsidR="00793D1A" w:rsidRPr="009475CC" w:rsidRDefault="00793D1A" w:rsidP="004129C7">
      <w:pPr>
        <w:spacing w:line="240" w:lineRule="auto"/>
        <w:jc w:val="both"/>
        <w:rPr>
          <w:rFonts w:cs="Times New Roman"/>
          <w:szCs w:val="24"/>
          <w:lang w:val="sq-AL"/>
        </w:rPr>
      </w:pPr>
      <w:r w:rsidRPr="009475CC">
        <w:rPr>
          <w:rFonts w:cs="Times New Roman"/>
          <w:szCs w:val="24"/>
          <w:lang w:val="sq-AL"/>
        </w:rPr>
        <w:t>Në kushtet e ndryshimeve të shpejta të tregut, sidomos zhvillimet e vazhdueshme teknologjike në tregun online, shërbimet di</w:t>
      </w:r>
      <w:r w:rsidR="00BD71EE">
        <w:rPr>
          <w:rFonts w:cs="Times New Roman"/>
          <w:szCs w:val="24"/>
          <w:lang w:val="sq-AL"/>
        </w:rPr>
        <w:t>gj</w:t>
      </w:r>
      <w:r w:rsidRPr="009475CC">
        <w:rPr>
          <w:rFonts w:cs="Times New Roman"/>
          <w:szCs w:val="24"/>
          <w:lang w:val="sq-AL"/>
        </w:rPr>
        <w:t>itale apo dhe mjetet di</w:t>
      </w:r>
      <w:r w:rsidR="00BD71EE">
        <w:rPr>
          <w:rFonts w:cs="Times New Roman"/>
          <w:szCs w:val="24"/>
          <w:lang w:val="sq-AL"/>
        </w:rPr>
        <w:t>gj</w:t>
      </w:r>
      <w:r w:rsidRPr="009475CC">
        <w:rPr>
          <w:rFonts w:cs="Times New Roman"/>
          <w:szCs w:val="24"/>
          <w:lang w:val="sq-AL"/>
        </w:rPr>
        <w:t>itale në përdorim nga konsumatorët, me synimin për të adresuar sfidat e zhvillimit të tij, nevojiten ndryshime e përmirësime të këtij legjislacioni. Ndryshimet legjislative, pjesë e direktivave të reja evropiane, do të sigurojnë jo vetëm transparencën e duhur të informimit ndaj konsumatorëve, zbatimin e të drejtave të tyre, dhe përmirësimin e funksionimit të tregut, por edhe përafrimin e mëtejshëm të legjislacionit për mbrojtjen e konsumatorit me acquis, në përputhje me Analizën e Mangësive Ligjore (LGA) për Kapitullin 28. Ky përafrim do të mbulojë veçanërisht aspektet e kontratave të shitjes së mallrave për konsumatorët, zbatim m</w:t>
      </w:r>
      <w:r w:rsidR="00BD71EE">
        <w:rPr>
          <w:rFonts w:cs="Times New Roman"/>
          <w:szCs w:val="24"/>
          <w:lang w:val="sq-AL"/>
        </w:rPr>
        <w:t>ë</w:t>
      </w:r>
      <w:r w:rsidRPr="009475CC">
        <w:rPr>
          <w:rFonts w:cs="Times New Roman"/>
          <w:szCs w:val="24"/>
          <w:lang w:val="sq-AL"/>
        </w:rPr>
        <w:t xml:space="preserve"> të mir</w:t>
      </w:r>
      <w:r w:rsidR="00BD71EE">
        <w:rPr>
          <w:rFonts w:cs="Times New Roman"/>
          <w:szCs w:val="24"/>
          <w:lang w:val="sq-AL"/>
        </w:rPr>
        <w:t>ë</w:t>
      </w:r>
      <w:r w:rsidRPr="009475CC">
        <w:rPr>
          <w:rFonts w:cs="Times New Roman"/>
          <w:szCs w:val="24"/>
          <w:lang w:val="sq-AL"/>
        </w:rPr>
        <w:t xml:space="preserve"> dhe modernizim të rregullave për mbrojtjen e konsumatorëve; kontratat për furnizimin me përmbajtje di</w:t>
      </w:r>
      <w:r w:rsidR="00BD71EE">
        <w:rPr>
          <w:rFonts w:cs="Times New Roman"/>
          <w:szCs w:val="24"/>
          <w:lang w:val="sq-AL"/>
        </w:rPr>
        <w:t>gj</w:t>
      </w:r>
      <w:r w:rsidRPr="009475CC">
        <w:rPr>
          <w:rFonts w:cs="Times New Roman"/>
          <w:szCs w:val="24"/>
          <w:lang w:val="sq-AL"/>
        </w:rPr>
        <w:t>itale dhe shërbime di</w:t>
      </w:r>
      <w:r w:rsidR="00BD71EE">
        <w:rPr>
          <w:rFonts w:cs="Times New Roman"/>
          <w:szCs w:val="24"/>
          <w:lang w:val="sq-AL"/>
        </w:rPr>
        <w:t>gj</w:t>
      </w:r>
      <w:r w:rsidRPr="009475CC">
        <w:rPr>
          <w:rFonts w:cs="Times New Roman"/>
          <w:szCs w:val="24"/>
          <w:lang w:val="sq-AL"/>
        </w:rPr>
        <w:t xml:space="preserve">itale etj.  </w:t>
      </w:r>
    </w:p>
    <w:p w14:paraId="60299AE1" w14:textId="27A8C8BC" w:rsidR="00793D1A" w:rsidRPr="009475CC" w:rsidRDefault="00793D1A" w:rsidP="004129C7">
      <w:pPr>
        <w:spacing w:line="240" w:lineRule="auto"/>
        <w:jc w:val="both"/>
        <w:rPr>
          <w:rFonts w:cs="Times New Roman"/>
          <w:szCs w:val="24"/>
          <w:lang w:val="sq-AL"/>
        </w:rPr>
      </w:pPr>
      <w:r w:rsidRPr="009475CC">
        <w:rPr>
          <w:rFonts w:cs="Times New Roman"/>
          <w:szCs w:val="24"/>
          <w:lang w:val="sq-AL"/>
        </w:rPr>
        <w:t>Një tjetër aspekt i r</w:t>
      </w:r>
      <w:r w:rsidR="009C4088">
        <w:rPr>
          <w:rFonts w:cs="Times New Roman"/>
          <w:szCs w:val="24"/>
          <w:lang w:val="sq-AL"/>
        </w:rPr>
        <w:t>ë</w:t>
      </w:r>
      <w:r w:rsidRPr="009475CC">
        <w:rPr>
          <w:rFonts w:cs="Times New Roman"/>
          <w:szCs w:val="24"/>
          <w:lang w:val="sq-AL"/>
        </w:rPr>
        <w:t>nd</w:t>
      </w:r>
      <w:r w:rsidR="009C4088">
        <w:rPr>
          <w:rFonts w:cs="Times New Roman"/>
          <w:szCs w:val="24"/>
          <w:lang w:val="sq-AL"/>
        </w:rPr>
        <w:t>ë</w:t>
      </w:r>
      <w:r w:rsidRPr="009475CC">
        <w:rPr>
          <w:rFonts w:cs="Times New Roman"/>
          <w:szCs w:val="24"/>
          <w:lang w:val="sq-AL"/>
        </w:rPr>
        <w:t>sish</w:t>
      </w:r>
      <w:r w:rsidR="009C4088">
        <w:rPr>
          <w:rFonts w:cs="Times New Roman"/>
          <w:szCs w:val="24"/>
          <w:lang w:val="sq-AL"/>
        </w:rPr>
        <w:t>ë</w:t>
      </w:r>
      <w:r w:rsidRPr="009475CC">
        <w:rPr>
          <w:rFonts w:cs="Times New Roman"/>
          <w:szCs w:val="24"/>
          <w:lang w:val="sq-AL"/>
        </w:rPr>
        <w:t>m i përmirësimit të legjislacionit do të përbëjë sigurimi që të gjithë konsumatorët të kenë akses në mekanizmat efikasë të dëmshpërblimit. Për këtë qëllim, krahas Zgjidhjes Alternative të Mosmarrëveshjeve (ZAM) do të sigurohet edhe Zgjidhja Online e Mosmarrëveshjeve (ZOM), nëpërmjet internetit e një platforme përkatëse, për të siguruar që konsumatorët mund t'i gjejnë dhe përdorin lehtësisht këto mjete për zgjidhjen e mosmarrëveshjeve të tyre.</w:t>
      </w:r>
    </w:p>
    <w:p w14:paraId="051D11D8" w14:textId="77777777" w:rsidR="00793D1A" w:rsidRPr="009475CC" w:rsidRDefault="00793D1A" w:rsidP="004129C7">
      <w:pPr>
        <w:spacing w:line="240" w:lineRule="auto"/>
        <w:jc w:val="both"/>
        <w:rPr>
          <w:rFonts w:cs="Times New Roman"/>
          <w:szCs w:val="24"/>
          <w:lang w:val="sq-AL"/>
        </w:rPr>
      </w:pPr>
      <w:r w:rsidRPr="009475CC">
        <w:rPr>
          <w:rFonts w:cs="Times New Roman"/>
          <w:szCs w:val="24"/>
          <w:lang w:val="sq-AL"/>
        </w:rPr>
        <w:lastRenderedPageBreak/>
        <w:t xml:space="preserve">Për sa më sipër, ndryshimet legjislative do të sigurojnë zbatim më të mirë të legjislacionit, mjete më  efektive për dëmshpërblim,  duke rritur besimin e konsumatorëve e si  rrjedhim, duke pasur parasysh rëndësinë e shpenzimeve të konsumatorit sigurohen përfitime në ekonominë e vendit në ruajtjen e një modeli të qëndrueshëm ekonomik. </w:t>
      </w:r>
    </w:p>
    <w:p w14:paraId="511716DF" w14:textId="7A3257F0" w:rsidR="00793D1A" w:rsidRPr="009475CC" w:rsidRDefault="00793D1A" w:rsidP="004129C7">
      <w:pPr>
        <w:spacing w:line="240" w:lineRule="auto"/>
        <w:jc w:val="both"/>
        <w:rPr>
          <w:rFonts w:cs="Times New Roman"/>
          <w:szCs w:val="24"/>
          <w:lang w:val="sq-AL"/>
        </w:rPr>
      </w:pPr>
      <w:r w:rsidRPr="009475CC">
        <w:rPr>
          <w:rFonts w:cs="Times New Roman"/>
          <w:b/>
          <w:bCs/>
          <w:szCs w:val="24"/>
          <w:lang w:val="sq-AL"/>
        </w:rPr>
        <w:t xml:space="preserve">Masa </w:t>
      </w:r>
      <w:r w:rsidR="004129C7">
        <w:rPr>
          <w:rFonts w:cs="Times New Roman"/>
          <w:b/>
          <w:bCs/>
          <w:szCs w:val="24"/>
          <w:lang w:val="sq-AL"/>
        </w:rPr>
        <w:t>26.</w:t>
      </w:r>
      <w:r w:rsidRPr="009475CC">
        <w:rPr>
          <w:rFonts w:cs="Times New Roman"/>
          <w:b/>
          <w:bCs/>
          <w:szCs w:val="24"/>
          <w:lang w:val="sq-AL"/>
        </w:rPr>
        <w:t>2</w:t>
      </w:r>
      <w:r w:rsidR="009C4088">
        <w:rPr>
          <w:rFonts w:cs="Times New Roman"/>
          <w:b/>
          <w:bCs/>
          <w:szCs w:val="24"/>
          <w:lang w:val="sq-AL"/>
        </w:rPr>
        <w:t>:</w:t>
      </w:r>
      <w:r w:rsidRPr="009475CC">
        <w:rPr>
          <w:rFonts w:cs="Times New Roman"/>
          <w:szCs w:val="24"/>
          <w:lang w:val="sq-AL"/>
        </w:rPr>
        <w:t xml:space="preserve"> </w:t>
      </w:r>
      <w:r w:rsidRPr="009475CC">
        <w:rPr>
          <w:rFonts w:cs="Times New Roman"/>
          <w:bCs/>
          <w:szCs w:val="24"/>
          <w:lang w:val="sq-AL"/>
        </w:rPr>
        <w:t>Funksionimi i Komisionit të Mbrojtjes së Konsumatorëve (KMK), në mbrojtje të interesit të përgjithshëm publik, në drejtim të:</w:t>
      </w:r>
    </w:p>
    <w:p w14:paraId="7DD55BF3" w14:textId="77777777" w:rsidR="00793D1A" w:rsidRPr="009475CC" w:rsidRDefault="00793D1A" w:rsidP="00623352">
      <w:pPr>
        <w:pStyle w:val="ListParagraph"/>
        <w:numPr>
          <w:ilvl w:val="0"/>
          <w:numId w:val="2"/>
        </w:numPr>
        <w:spacing w:line="240" w:lineRule="auto"/>
        <w:jc w:val="both"/>
        <w:rPr>
          <w:rFonts w:cs="Times New Roman"/>
          <w:szCs w:val="24"/>
          <w:lang w:val="sq-AL"/>
        </w:rPr>
      </w:pPr>
      <w:r w:rsidRPr="009475CC">
        <w:rPr>
          <w:rFonts w:cs="Times New Roman"/>
          <w:szCs w:val="24"/>
          <w:lang w:val="sq-AL"/>
        </w:rPr>
        <w:t>Analizimit dhe vlerësimit të kontratave standarde të lidhura midis subjekteve/operatorëve dhe konsumatorëve në fushat e komunikimeve elektronike, shërbimeve e internetit; shërbimet audiovizive, me impakt në interesat ekonomike të konsumatorëve;</w:t>
      </w:r>
    </w:p>
    <w:p w14:paraId="7D356B8A" w14:textId="1AE309D7" w:rsidR="00793D1A" w:rsidRPr="009475CC" w:rsidRDefault="00793D1A" w:rsidP="00623352">
      <w:pPr>
        <w:pStyle w:val="ListParagraph"/>
        <w:numPr>
          <w:ilvl w:val="0"/>
          <w:numId w:val="2"/>
        </w:numPr>
        <w:spacing w:line="240" w:lineRule="auto"/>
        <w:jc w:val="both"/>
        <w:rPr>
          <w:rFonts w:cs="Times New Roman"/>
          <w:szCs w:val="24"/>
          <w:lang w:val="sq-AL"/>
        </w:rPr>
      </w:pPr>
      <w:r w:rsidRPr="009475CC">
        <w:rPr>
          <w:rFonts w:cs="Times New Roman"/>
          <w:szCs w:val="24"/>
          <w:lang w:val="sq-AL"/>
        </w:rPr>
        <w:t>vlerësimi i praktikave tregtare, për konstatimin e mospërputhjeve ligjore, në fushat e ofrimit të shërbimeve të komunikimeve elektronike, informimit mbi garancin</w:t>
      </w:r>
      <w:r w:rsidR="00BD71EE">
        <w:rPr>
          <w:rFonts w:cs="Times New Roman"/>
          <w:szCs w:val="24"/>
          <w:lang w:val="sq-AL"/>
        </w:rPr>
        <w:t xml:space="preserve">ë </w:t>
      </w:r>
      <w:r w:rsidRPr="009475CC">
        <w:rPr>
          <w:rFonts w:cs="Times New Roman"/>
          <w:szCs w:val="24"/>
          <w:lang w:val="sq-AL"/>
        </w:rPr>
        <w:t>e produkteve, ofrimit të produkteve në largësi/përfshirë edhe blerjet online, informimit që u sigurohet konsumatorëve në fushatat promovuese të produkteve apo shërbimeve, etj., me synim uljen e shkallës së mospërputhjeve të gjetura, pas marrjeve të masave nga KMK</w:t>
      </w:r>
    </w:p>
    <w:p w14:paraId="0A1FADBC" w14:textId="5E77EBBA" w:rsidR="00793D1A" w:rsidRPr="009475CC" w:rsidRDefault="00793D1A" w:rsidP="004129C7">
      <w:pPr>
        <w:spacing w:line="240" w:lineRule="auto"/>
        <w:jc w:val="both"/>
        <w:rPr>
          <w:rFonts w:cs="Times New Roman"/>
          <w:szCs w:val="24"/>
          <w:lang w:val="sq-AL"/>
        </w:rPr>
      </w:pPr>
      <w:r w:rsidRPr="009475CC">
        <w:rPr>
          <w:rFonts w:cs="Times New Roman"/>
          <w:b/>
          <w:szCs w:val="24"/>
          <w:lang w:val="sq-AL"/>
        </w:rPr>
        <w:t xml:space="preserve">Masa </w:t>
      </w:r>
      <w:r w:rsidR="004129C7">
        <w:rPr>
          <w:rFonts w:cs="Times New Roman"/>
          <w:b/>
          <w:szCs w:val="24"/>
          <w:lang w:val="sq-AL"/>
        </w:rPr>
        <w:t>26.</w:t>
      </w:r>
      <w:r w:rsidRPr="009475CC">
        <w:rPr>
          <w:rFonts w:cs="Times New Roman"/>
          <w:b/>
          <w:szCs w:val="24"/>
          <w:lang w:val="sq-AL"/>
        </w:rPr>
        <w:t>3:</w:t>
      </w:r>
      <w:r w:rsidRPr="009475CC">
        <w:rPr>
          <w:rFonts w:cs="Times New Roman"/>
          <w:szCs w:val="24"/>
          <w:lang w:val="sq-AL"/>
        </w:rPr>
        <w:t xml:space="preserve"> Shqyrtimi në masën 100% i ankesave/mosmarrëveshjeve të konsumatorëve, në fushat e energjisë, furnizimit me ujë, komunikimeve elektronike dhe të internetit, shërbimeve postare, financiare si dhe në blerjen e mallrave në qendrat e tregtimit, jashtë tyre dhe në largësi apo në blerjet online nga strukturat për zgjidhjen alternative të mosmarrëveshjeve (ZAM). </w:t>
      </w:r>
    </w:p>
    <w:p w14:paraId="72733893" w14:textId="6BEF1246" w:rsidR="00793D1A" w:rsidRPr="009475CC" w:rsidRDefault="00793D1A" w:rsidP="004129C7">
      <w:pPr>
        <w:spacing w:line="240" w:lineRule="auto"/>
        <w:jc w:val="both"/>
        <w:rPr>
          <w:rFonts w:cs="Times New Roman"/>
          <w:szCs w:val="24"/>
          <w:lang w:val="sq-AL"/>
        </w:rPr>
      </w:pPr>
      <w:r w:rsidRPr="009475CC">
        <w:rPr>
          <w:rFonts w:cs="Times New Roman"/>
          <w:b/>
          <w:szCs w:val="24"/>
          <w:lang w:val="sq-AL"/>
        </w:rPr>
        <w:t xml:space="preserve">Masa </w:t>
      </w:r>
      <w:r w:rsidR="004129C7">
        <w:rPr>
          <w:rFonts w:cs="Times New Roman"/>
          <w:b/>
          <w:szCs w:val="24"/>
          <w:lang w:val="sq-AL"/>
        </w:rPr>
        <w:t>26.</w:t>
      </w:r>
      <w:r w:rsidRPr="009475CC">
        <w:rPr>
          <w:rFonts w:cs="Times New Roman"/>
          <w:b/>
          <w:szCs w:val="24"/>
          <w:lang w:val="sq-AL"/>
        </w:rPr>
        <w:t>4:</w:t>
      </w:r>
      <w:r w:rsidRPr="009475CC">
        <w:rPr>
          <w:rFonts w:cs="Times New Roman"/>
          <w:szCs w:val="24"/>
          <w:lang w:val="sq-AL"/>
        </w:rPr>
        <w:t xml:space="preserve"> Ngritja dhe funksionimi i strukturave të njësive vendore të ngarkuara me çështjet e mbrojtjes së konsumatorëve në çdo bashki të vendit. Në mbështetje të parashikimeve të  legjislacionit të mbrojtjes së konsumatorëve, funksionimi i ketyre strukturave do të sigurojë informimin, ndërgjegjesimin, mbështetjen e proçesit të këshillimit të konsumatorëve, si dhe rolin e tyre ndihmues për trajtimin e ankesave të konsumatorëve, në shkallë vendi. </w:t>
      </w:r>
    </w:p>
    <w:p w14:paraId="0AA662B9" w14:textId="02DDBC02" w:rsidR="00793D1A" w:rsidRDefault="00282DAF" w:rsidP="009475CC">
      <w:pPr>
        <w:spacing w:after="0" w:line="240" w:lineRule="auto"/>
        <w:rPr>
          <w:rFonts w:cs="Times New Roman"/>
          <w:b/>
          <w:bCs/>
          <w:szCs w:val="24"/>
          <w:lang w:val="sq-AL"/>
        </w:rPr>
      </w:pPr>
      <w:r w:rsidRPr="00DC3C96">
        <w:rPr>
          <w:rFonts w:cs="Times New Roman"/>
          <w:b/>
          <w:bCs/>
          <w:szCs w:val="24"/>
          <w:lang w:val="sq-AL"/>
        </w:rPr>
        <w:t>Indikatorët:</w:t>
      </w:r>
      <w:r w:rsidR="0045334D">
        <w:rPr>
          <w:rFonts w:cs="Times New Roman"/>
          <w:b/>
          <w:bCs/>
          <w:szCs w:val="24"/>
          <w:lang w:val="sq-AL"/>
        </w:rPr>
        <w:t xml:space="preserve"> </w:t>
      </w:r>
    </w:p>
    <w:p w14:paraId="0F82550C" w14:textId="4EA0B979" w:rsidR="0045334D" w:rsidRPr="004129C7" w:rsidRDefault="0045334D" w:rsidP="00623352">
      <w:pPr>
        <w:pStyle w:val="ListParagraph"/>
        <w:numPr>
          <w:ilvl w:val="0"/>
          <w:numId w:val="36"/>
        </w:numPr>
        <w:spacing w:after="0" w:line="240" w:lineRule="auto"/>
        <w:rPr>
          <w:rFonts w:cs="Times New Roman"/>
          <w:szCs w:val="24"/>
          <w:lang w:val="sq-AL"/>
        </w:rPr>
      </w:pPr>
      <w:r w:rsidRPr="004129C7">
        <w:rPr>
          <w:rFonts w:cs="Times New Roman"/>
          <w:szCs w:val="24"/>
          <w:lang w:val="sq-AL"/>
        </w:rPr>
        <w:t>Miratimi i 1 akti ligjor ( Ndryshime</w:t>
      </w:r>
      <w:r w:rsidR="004129C7">
        <w:rPr>
          <w:rFonts w:cs="Times New Roman"/>
          <w:szCs w:val="24"/>
          <w:lang w:val="sq-AL"/>
        </w:rPr>
        <w:t xml:space="preserve"> të</w:t>
      </w:r>
      <w:r w:rsidRPr="004129C7">
        <w:rPr>
          <w:rFonts w:cs="Times New Roman"/>
          <w:szCs w:val="24"/>
          <w:lang w:val="sq-AL"/>
        </w:rPr>
        <w:t>i Ligjit t</w:t>
      </w:r>
      <w:r w:rsidR="006D61C0" w:rsidRPr="004129C7">
        <w:rPr>
          <w:rFonts w:cs="Times New Roman"/>
          <w:szCs w:val="24"/>
          <w:lang w:val="sq-AL"/>
        </w:rPr>
        <w:t>ë</w:t>
      </w:r>
      <w:r w:rsidRPr="004129C7">
        <w:rPr>
          <w:rFonts w:cs="Times New Roman"/>
          <w:szCs w:val="24"/>
          <w:lang w:val="sq-AL"/>
        </w:rPr>
        <w:t xml:space="preserve"> Mbrojtjes s</w:t>
      </w:r>
      <w:r w:rsidR="006D61C0" w:rsidRPr="004129C7">
        <w:rPr>
          <w:rFonts w:cs="Times New Roman"/>
          <w:szCs w:val="24"/>
          <w:lang w:val="sq-AL"/>
        </w:rPr>
        <w:t>ë</w:t>
      </w:r>
      <w:r w:rsidRPr="004129C7">
        <w:rPr>
          <w:rFonts w:cs="Times New Roman"/>
          <w:szCs w:val="24"/>
          <w:lang w:val="sq-AL"/>
        </w:rPr>
        <w:t xml:space="preserve"> Konsumatorit)</w:t>
      </w:r>
      <w:r w:rsidR="004129C7">
        <w:rPr>
          <w:rFonts w:cs="Times New Roman"/>
          <w:szCs w:val="24"/>
          <w:lang w:val="sq-AL"/>
        </w:rPr>
        <w:t xml:space="preserve"> brenda vitit 2025</w:t>
      </w:r>
      <w:r w:rsidRPr="004129C7">
        <w:rPr>
          <w:rFonts w:cs="Times New Roman"/>
          <w:szCs w:val="24"/>
          <w:lang w:val="sq-AL"/>
        </w:rPr>
        <w:t xml:space="preserve"> </w:t>
      </w:r>
    </w:p>
    <w:p w14:paraId="2804D975" w14:textId="7E977A69" w:rsidR="006E16A2" w:rsidRPr="00932FCD" w:rsidRDefault="00932FCD" w:rsidP="00623352">
      <w:pPr>
        <w:pStyle w:val="ListParagraph"/>
        <w:numPr>
          <w:ilvl w:val="0"/>
          <w:numId w:val="36"/>
        </w:numPr>
        <w:rPr>
          <w:rFonts w:cs="Times New Roman"/>
          <w:bCs/>
          <w:szCs w:val="24"/>
          <w:lang w:val="sq-AL"/>
        </w:rPr>
      </w:pPr>
      <w:r w:rsidRPr="00932FCD">
        <w:rPr>
          <w:rFonts w:cs="Times New Roman"/>
          <w:bCs/>
          <w:szCs w:val="24"/>
          <w:lang w:val="sq-AL"/>
        </w:rPr>
        <w:t>A</w:t>
      </w:r>
      <w:r w:rsidR="0045334D" w:rsidRPr="00932FCD">
        <w:rPr>
          <w:rFonts w:cs="Times New Roman"/>
          <w:bCs/>
          <w:szCs w:val="24"/>
          <w:lang w:val="sq-AL"/>
        </w:rPr>
        <w:t xml:space="preserve">nkesa të shqyrtuara nga DPZAM  </w:t>
      </w:r>
      <w:r w:rsidR="006E39E5" w:rsidRPr="00932FCD">
        <w:rPr>
          <w:rFonts w:cs="Times New Roman"/>
          <w:bCs/>
          <w:szCs w:val="24"/>
          <w:lang w:val="sq-AL"/>
        </w:rPr>
        <w:t>30</w:t>
      </w:r>
      <w:r w:rsidR="0045334D" w:rsidRPr="00932FCD">
        <w:rPr>
          <w:rFonts w:cs="Times New Roman"/>
          <w:bCs/>
          <w:szCs w:val="24"/>
          <w:lang w:val="sq-AL"/>
        </w:rPr>
        <w:t xml:space="preserve"> /për vit</w:t>
      </w:r>
    </w:p>
    <w:p w14:paraId="61224E7A" w14:textId="0170ED07" w:rsidR="0045334D" w:rsidRPr="00932FCD" w:rsidRDefault="0045334D" w:rsidP="00623352">
      <w:pPr>
        <w:pStyle w:val="ListParagraph"/>
        <w:numPr>
          <w:ilvl w:val="0"/>
          <w:numId w:val="36"/>
        </w:numPr>
        <w:rPr>
          <w:rFonts w:eastAsia="Calibri" w:cs="Times New Roman"/>
          <w:bCs/>
          <w:szCs w:val="24"/>
          <w:lang w:val="sq-AL"/>
        </w:rPr>
      </w:pPr>
      <w:r w:rsidRPr="00932FCD">
        <w:rPr>
          <w:rFonts w:eastAsia="Calibri" w:cs="Times New Roman"/>
          <w:bCs/>
          <w:szCs w:val="24"/>
          <w:lang w:val="sq-AL"/>
        </w:rPr>
        <w:t>Numri i vendimeve të marra nga KMK -  3</w:t>
      </w:r>
      <w:r w:rsidR="006E39E5" w:rsidRPr="00932FCD">
        <w:rPr>
          <w:rFonts w:eastAsia="Calibri" w:cs="Times New Roman"/>
          <w:bCs/>
          <w:szCs w:val="24"/>
          <w:lang w:val="sq-AL"/>
        </w:rPr>
        <w:t>/</w:t>
      </w:r>
      <w:r w:rsidR="006E39E5" w:rsidRPr="006E39E5">
        <w:t xml:space="preserve"> </w:t>
      </w:r>
      <w:r w:rsidR="006E39E5" w:rsidRPr="00932FCD">
        <w:rPr>
          <w:rFonts w:eastAsia="Calibri" w:cs="Times New Roman"/>
          <w:bCs/>
          <w:szCs w:val="24"/>
          <w:lang w:val="sq-AL"/>
        </w:rPr>
        <w:t>për vit</w:t>
      </w:r>
    </w:p>
    <w:p w14:paraId="6441D3BC" w14:textId="517BFD3C" w:rsidR="00932FCD" w:rsidRPr="00932FCD" w:rsidRDefault="00932FCD" w:rsidP="00623352">
      <w:pPr>
        <w:pStyle w:val="ListParagraph"/>
        <w:numPr>
          <w:ilvl w:val="0"/>
          <w:numId w:val="36"/>
        </w:numPr>
        <w:rPr>
          <w:rFonts w:eastAsia="Calibri" w:cs="Times New Roman"/>
          <w:bCs/>
          <w:szCs w:val="24"/>
          <w:lang w:val="sq-AL"/>
        </w:rPr>
      </w:pPr>
      <w:r w:rsidRPr="00932FCD">
        <w:rPr>
          <w:rFonts w:eastAsia="Calibri" w:cs="Times New Roman"/>
          <w:bCs/>
          <w:szCs w:val="24"/>
          <w:lang w:val="sq-AL"/>
        </w:rPr>
        <w:t>Struktura funskonale të njësive vendore të ngarkuara me çështjet e mbrojtjes së konsumatorëve 3/ për vit</w:t>
      </w:r>
    </w:p>
    <w:p w14:paraId="218B1BCF" w14:textId="1129ADFD" w:rsidR="0004714A" w:rsidRPr="009475CC" w:rsidRDefault="0004714A" w:rsidP="004129C7">
      <w:pPr>
        <w:pStyle w:val="Heading4"/>
        <w:rPr>
          <w:lang w:val="sq-AL"/>
        </w:rPr>
      </w:pPr>
      <w:bookmarkStart w:id="168" w:name="_Toc132277389"/>
      <w:bookmarkStart w:id="169" w:name="_Hlk121701817"/>
      <w:r w:rsidRPr="009475CC">
        <w:rPr>
          <w:lang w:val="sq-AL"/>
        </w:rPr>
        <w:t xml:space="preserve">Ministria e </w:t>
      </w:r>
      <w:r w:rsidR="004F48EC">
        <w:rPr>
          <w:lang w:val="sq-AL"/>
        </w:rPr>
        <w:t>Mjedisit dhe T</w:t>
      </w:r>
      <w:r w:rsidRPr="009475CC">
        <w:rPr>
          <w:lang w:val="sq-AL"/>
        </w:rPr>
        <w:t>urizmit</w:t>
      </w:r>
      <w:bookmarkEnd w:id="168"/>
    </w:p>
    <w:tbl>
      <w:tblPr>
        <w:tblStyle w:val="TableGrid"/>
        <w:tblW w:w="0" w:type="auto"/>
        <w:tblLook w:val="04A0" w:firstRow="1" w:lastRow="0" w:firstColumn="1" w:lastColumn="0" w:noHBand="0" w:noVBand="1"/>
      </w:tblPr>
      <w:tblGrid>
        <w:gridCol w:w="9016"/>
      </w:tblGrid>
      <w:tr w:rsidR="004129C7" w14:paraId="67AFAFDC" w14:textId="77777777" w:rsidTr="004129C7">
        <w:tc>
          <w:tcPr>
            <w:tcW w:w="9016" w:type="dxa"/>
          </w:tcPr>
          <w:bookmarkEnd w:id="169"/>
          <w:p w14:paraId="220B9EDC" w14:textId="7650D8C5" w:rsidR="004129C7" w:rsidRDefault="004129C7" w:rsidP="004129C7">
            <w:pPr>
              <w:jc w:val="both"/>
              <w:rPr>
                <w:rFonts w:cs="Times New Roman"/>
                <w:szCs w:val="24"/>
                <w:lang w:val="sq-AL"/>
              </w:rPr>
            </w:pPr>
            <w:r w:rsidRPr="009475CC">
              <w:rPr>
                <w:rFonts w:cs="Times New Roman"/>
                <w:b/>
                <w:szCs w:val="24"/>
                <w:lang w:val="sq-AL"/>
              </w:rPr>
              <w:t>Objektiv</w:t>
            </w:r>
            <w:r>
              <w:rPr>
                <w:rFonts w:cs="Times New Roman"/>
                <w:b/>
                <w:szCs w:val="24"/>
                <w:lang w:val="sq-AL"/>
              </w:rPr>
              <w:t>i</w:t>
            </w:r>
            <w:r w:rsidRPr="009475CC">
              <w:rPr>
                <w:rFonts w:cs="Times New Roman"/>
                <w:b/>
                <w:szCs w:val="24"/>
                <w:lang w:val="sq-AL"/>
              </w:rPr>
              <w:t xml:space="preserve"> </w:t>
            </w:r>
            <w:r>
              <w:rPr>
                <w:rFonts w:cs="Times New Roman"/>
                <w:b/>
                <w:szCs w:val="24"/>
                <w:lang w:val="sq-AL"/>
              </w:rPr>
              <w:t>27:</w:t>
            </w:r>
            <w:r>
              <w:rPr>
                <w:rFonts w:cs="Times New Roman"/>
                <w:szCs w:val="24"/>
                <w:lang w:val="sq-AL"/>
              </w:rPr>
              <w:t xml:space="preserve"> </w:t>
            </w:r>
            <w:r w:rsidRPr="009475CC">
              <w:rPr>
                <w:rFonts w:cs="Times New Roman"/>
                <w:szCs w:val="24"/>
                <w:lang w:val="sq-AL"/>
              </w:rPr>
              <w:t xml:space="preserve">Përmirësimi </w:t>
            </w:r>
            <w:r>
              <w:rPr>
                <w:rFonts w:cs="Times New Roman"/>
                <w:szCs w:val="24"/>
                <w:lang w:val="sq-AL"/>
              </w:rPr>
              <w:t>i</w:t>
            </w:r>
            <w:r w:rsidRPr="009475CC">
              <w:rPr>
                <w:rFonts w:cs="Times New Roman"/>
                <w:szCs w:val="24"/>
                <w:lang w:val="sq-AL"/>
              </w:rPr>
              <w:t xml:space="preserve"> kuadrit ligjor n</w:t>
            </w:r>
            <w:r>
              <w:rPr>
                <w:rFonts w:cs="Times New Roman"/>
                <w:szCs w:val="24"/>
                <w:lang w:val="sq-AL"/>
              </w:rPr>
              <w:t>ë</w:t>
            </w:r>
            <w:r w:rsidRPr="009475CC">
              <w:rPr>
                <w:rFonts w:cs="Times New Roman"/>
                <w:szCs w:val="24"/>
                <w:lang w:val="sq-AL"/>
              </w:rPr>
              <w:t xml:space="preserve"> fu</w:t>
            </w:r>
            <w:r>
              <w:rPr>
                <w:rFonts w:cs="Times New Roman"/>
                <w:szCs w:val="24"/>
                <w:lang w:val="sq-AL"/>
              </w:rPr>
              <w:t>n</w:t>
            </w:r>
            <w:r w:rsidRPr="009475CC">
              <w:rPr>
                <w:rFonts w:cs="Times New Roman"/>
                <w:szCs w:val="24"/>
                <w:lang w:val="sq-AL"/>
              </w:rPr>
              <w:t xml:space="preserve">ksion </w:t>
            </w:r>
            <w:r>
              <w:rPr>
                <w:rFonts w:cs="Times New Roman"/>
                <w:szCs w:val="24"/>
                <w:lang w:val="sq-AL"/>
              </w:rPr>
              <w:t xml:space="preserve">të </w:t>
            </w:r>
            <w:r w:rsidRPr="009475CC">
              <w:rPr>
                <w:rFonts w:cs="Times New Roman"/>
                <w:szCs w:val="24"/>
                <w:lang w:val="sq-AL"/>
              </w:rPr>
              <w:t xml:space="preserve">mbrojtjes </w:t>
            </w:r>
            <w:r>
              <w:rPr>
                <w:rFonts w:cs="Times New Roman"/>
                <w:szCs w:val="24"/>
                <w:lang w:val="sq-AL"/>
              </w:rPr>
              <w:t>së</w:t>
            </w:r>
            <w:r w:rsidRPr="009475CC">
              <w:rPr>
                <w:rFonts w:cs="Times New Roman"/>
                <w:szCs w:val="24"/>
                <w:lang w:val="sq-AL"/>
              </w:rPr>
              <w:t xml:space="preserve"> konsum</w:t>
            </w:r>
            <w:r>
              <w:rPr>
                <w:rFonts w:cs="Times New Roman"/>
                <w:szCs w:val="24"/>
                <w:lang w:val="sq-AL"/>
              </w:rPr>
              <w:t>a</w:t>
            </w:r>
            <w:r w:rsidRPr="009475CC">
              <w:rPr>
                <w:rFonts w:cs="Times New Roman"/>
                <w:szCs w:val="24"/>
                <w:lang w:val="sq-AL"/>
              </w:rPr>
              <w:t>torit/ turistit   mbi  ofrimit shërbimit të sigurt dhe</w:t>
            </w:r>
            <w:r>
              <w:rPr>
                <w:rFonts w:cs="Times New Roman"/>
                <w:szCs w:val="24"/>
                <w:lang w:val="sq-AL"/>
              </w:rPr>
              <w:t xml:space="preserve"> me</w:t>
            </w:r>
            <w:r w:rsidRPr="009475CC">
              <w:rPr>
                <w:rFonts w:cs="Times New Roman"/>
                <w:szCs w:val="24"/>
                <w:lang w:val="sq-AL"/>
              </w:rPr>
              <w:t xml:space="preserve"> standar</w:t>
            </w:r>
            <w:r>
              <w:rPr>
                <w:rFonts w:cs="Times New Roman"/>
                <w:szCs w:val="24"/>
                <w:lang w:val="sq-AL"/>
              </w:rPr>
              <w:t>d</w:t>
            </w:r>
            <w:r w:rsidRPr="009475CC">
              <w:rPr>
                <w:rFonts w:cs="Times New Roman"/>
                <w:szCs w:val="24"/>
                <w:lang w:val="sq-AL"/>
              </w:rPr>
              <w:t xml:space="preserve">e duke forcuar implementimin </w:t>
            </w:r>
            <w:r>
              <w:rPr>
                <w:rFonts w:cs="Times New Roman"/>
                <w:szCs w:val="24"/>
                <w:lang w:val="sq-AL"/>
              </w:rPr>
              <w:t>e</w:t>
            </w:r>
            <w:r w:rsidRPr="009475CC">
              <w:rPr>
                <w:rFonts w:cs="Times New Roman"/>
                <w:szCs w:val="24"/>
                <w:lang w:val="sq-AL"/>
              </w:rPr>
              <w:t xml:space="preserve"> tyre n</w:t>
            </w:r>
            <w:r>
              <w:rPr>
                <w:rFonts w:cs="Times New Roman"/>
                <w:szCs w:val="24"/>
                <w:lang w:val="sq-AL"/>
              </w:rPr>
              <w:t>ë</w:t>
            </w:r>
            <w:r w:rsidRPr="009475CC">
              <w:rPr>
                <w:rFonts w:cs="Times New Roman"/>
                <w:szCs w:val="24"/>
                <w:lang w:val="sq-AL"/>
              </w:rPr>
              <w:t xml:space="preserve"> treg</w:t>
            </w:r>
            <w:r>
              <w:rPr>
                <w:rFonts w:cs="Times New Roman"/>
                <w:szCs w:val="24"/>
                <w:lang w:val="sq-AL"/>
              </w:rPr>
              <w:t xml:space="preserve">. </w:t>
            </w:r>
          </w:p>
          <w:p w14:paraId="685388B0" w14:textId="77777777" w:rsidR="004129C7" w:rsidRDefault="004129C7" w:rsidP="00FC1203">
            <w:pPr>
              <w:jc w:val="both"/>
              <w:rPr>
                <w:rFonts w:cs="Times New Roman"/>
                <w:b/>
                <w:szCs w:val="24"/>
                <w:lang w:val="sq-AL"/>
              </w:rPr>
            </w:pPr>
          </w:p>
        </w:tc>
      </w:tr>
    </w:tbl>
    <w:p w14:paraId="4C72269F" w14:textId="77777777" w:rsidR="004129C7" w:rsidRDefault="004129C7" w:rsidP="00FC1203">
      <w:pPr>
        <w:spacing w:after="0" w:line="240" w:lineRule="auto"/>
        <w:jc w:val="both"/>
        <w:rPr>
          <w:rFonts w:cs="Times New Roman"/>
          <w:b/>
          <w:szCs w:val="24"/>
          <w:lang w:val="sq-AL"/>
        </w:rPr>
      </w:pPr>
    </w:p>
    <w:p w14:paraId="78D44999" w14:textId="7381C5B7" w:rsidR="0004714A" w:rsidRPr="009475CC" w:rsidRDefault="0004714A" w:rsidP="004129C7">
      <w:pPr>
        <w:spacing w:line="240" w:lineRule="auto"/>
        <w:jc w:val="both"/>
        <w:rPr>
          <w:rFonts w:cs="Times New Roman"/>
          <w:szCs w:val="24"/>
          <w:lang w:val="sq-AL"/>
        </w:rPr>
      </w:pPr>
      <w:r w:rsidRPr="009475CC">
        <w:rPr>
          <w:rFonts w:cs="Times New Roman"/>
          <w:b/>
          <w:bCs/>
          <w:szCs w:val="24"/>
          <w:lang w:val="sq-AL"/>
        </w:rPr>
        <w:t xml:space="preserve">Masa </w:t>
      </w:r>
      <w:r w:rsidR="004129C7">
        <w:rPr>
          <w:rFonts w:cs="Times New Roman"/>
          <w:b/>
          <w:bCs/>
          <w:szCs w:val="24"/>
          <w:lang w:val="sq-AL"/>
        </w:rPr>
        <w:t>27.</w:t>
      </w:r>
      <w:r w:rsidRPr="009475CC">
        <w:rPr>
          <w:rFonts w:cs="Times New Roman"/>
          <w:b/>
          <w:bCs/>
          <w:szCs w:val="24"/>
          <w:lang w:val="sq-AL"/>
        </w:rPr>
        <w:t>1</w:t>
      </w:r>
      <w:r w:rsidR="004F48EC" w:rsidRPr="009475CC">
        <w:rPr>
          <w:rFonts w:cs="Times New Roman"/>
          <w:b/>
          <w:bCs/>
          <w:szCs w:val="24"/>
          <w:lang w:val="sq-AL"/>
        </w:rPr>
        <w:t>:</w:t>
      </w:r>
      <w:r w:rsidRPr="009475CC">
        <w:rPr>
          <w:rFonts w:cs="Times New Roman"/>
          <w:szCs w:val="24"/>
          <w:lang w:val="sq-AL"/>
        </w:rPr>
        <w:t xml:space="preserve"> Hartimi dhe rishikimi i kuadrit ligjor n</w:t>
      </w:r>
      <w:r w:rsidR="00210D23">
        <w:rPr>
          <w:rFonts w:cs="Times New Roman"/>
          <w:szCs w:val="24"/>
          <w:lang w:val="sq-AL"/>
        </w:rPr>
        <w:t>ë</w:t>
      </w:r>
      <w:r w:rsidRPr="009475CC">
        <w:rPr>
          <w:rFonts w:cs="Times New Roman"/>
          <w:szCs w:val="24"/>
          <w:lang w:val="sq-AL"/>
        </w:rPr>
        <w:t xml:space="preserve"> përputhje me direktivat e</w:t>
      </w:r>
      <w:r w:rsidR="00210D23">
        <w:rPr>
          <w:rFonts w:cs="Times New Roman"/>
          <w:szCs w:val="24"/>
          <w:lang w:val="sq-AL"/>
        </w:rPr>
        <w:t>v</w:t>
      </w:r>
      <w:r w:rsidRPr="009475CC">
        <w:rPr>
          <w:rFonts w:cs="Times New Roman"/>
          <w:szCs w:val="24"/>
          <w:lang w:val="sq-AL"/>
        </w:rPr>
        <w:t>ropiane</w:t>
      </w:r>
      <w:r w:rsidR="00210D23">
        <w:rPr>
          <w:rFonts w:cs="Times New Roman"/>
          <w:szCs w:val="24"/>
          <w:lang w:val="sq-AL"/>
        </w:rPr>
        <w:t>.</w:t>
      </w:r>
      <w:r w:rsidRPr="009475CC">
        <w:rPr>
          <w:rFonts w:cs="Times New Roman"/>
          <w:szCs w:val="24"/>
          <w:lang w:val="sq-AL"/>
        </w:rPr>
        <w:t xml:space="preserve">  </w:t>
      </w:r>
    </w:p>
    <w:p w14:paraId="031867D9" w14:textId="3A0379DA" w:rsidR="0004714A" w:rsidRPr="009475CC" w:rsidRDefault="0004714A" w:rsidP="004129C7">
      <w:pPr>
        <w:spacing w:line="240" w:lineRule="auto"/>
        <w:jc w:val="both"/>
        <w:rPr>
          <w:rFonts w:cs="Times New Roman"/>
          <w:szCs w:val="24"/>
          <w:lang w:val="sq-AL"/>
        </w:rPr>
      </w:pPr>
      <w:r w:rsidRPr="009475CC">
        <w:rPr>
          <w:rFonts w:cs="Times New Roman"/>
          <w:b/>
          <w:bCs/>
          <w:szCs w:val="24"/>
          <w:lang w:val="sq-AL"/>
        </w:rPr>
        <w:t>Masa</w:t>
      </w:r>
      <w:r w:rsidR="004F48EC" w:rsidRPr="009475CC">
        <w:rPr>
          <w:rFonts w:cs="Times New Roman"/>
          <w:b/>
          <w:bCs/>
          <w:szCs w:val="24"/>
          <w:lang w:val="sq-AL"/>
        </w:rPr>
        <w:t xml:space="preserve"> </w:t>
      </w:r>
      <w:r w:rsidR="004129C7">
        <w:rPr>
          <w:rFonts w:cs="Times New Roman"/>
          <w:b/>
          <w:bCs/>
          <w:szCs w:val="24"/>
          <w:lang w:val="sq-AL"/>
        </w:rPr>
        <w:t>27.</w:t>
      </w:r>
      <w:r w:rsidRPr="009475CC">
        <w:rPr>
          <w:rFonts w:cs="Times New Roman"/>
          <w:b/>
          <w:bCs/>
          <w:szCs w:val="24"/>
          <w:lang w:val="sq-AL"/>
        </w:rPr>
        <w:t>2</w:t>
      </w:r>
      <w:r w:rsidR="004F48EC" w:rsidRPr="009475CC">
        <w:rPr>
          <w:rFonts w:cs="Times New Roman"/>
          <w:b/>
          <w:bCs/>
          <w:szCs w:val="24"/>
          <w:lang w:val="sq-AL"/>
        </w:rPr>
        <w:t>:</w:t>
      </w:r>
      <w:r w:rsidRPr="009475CC">
        <w:rPr>
          <w:rFonts w:cs="Times New Roman"/>
          <w:szCs w:val="24"/>
          <w:lang w:val="sq-AL"/>
        </w:rPr>
        <w:t xml:space="preserve"> </w:t>
      </w:r>
      <w:r w:rsidR="004F48EC">
        <w:rPr>
          <w:rFonts w:cs="Times New Roman"/>
          <w:szCs w:val="24"/>
          <w:lang w:val="sq-AL"/>
        </w:rPr>
        <w:t>R</w:t>
      </w:r>
      <w:r w:rsidRPr="009475CC">
        <w:rPr>
          <w:rFonts w:cs="Times New Roman"/>
          <w:szCs w:val="24"/>
          <w:lang w:val="sq-AL"/>
        </w:rPr>
        <w:t xml:space="preserve">ritja e numrit </w:t>
      </w:r>
      <w:r w:rsidR="004129C7">
        <w:rPr>
          <w:rFonts w:cs="Times New Roman"/>
          <w:szCs w:val="24"/>
          <w:lang w:val="sq-AL"/>
        </w:rPr>
        <w:t>të</w:t>
      </w:r>
      <w:r w:rsidRPr="009475CC">
        <w:rPr>
          <w:rFonts w:cs="Times New Roman"/>
          <w:szCs w:val="24"/>
          <w:lang w:val="sq-AL"/>
        </w:rPr>
        <w:t xml:space="preserve"> inspektimeve mbi zbatueshm</w:t>
      </w:r>
      <w:r w:rsidR="00210D23">
        <w:rPr>
          <w:rFonts w:cs="Times New Roman"/>
          <w:szCs w:val="24"/>
          <w:lang w:val="sq-AL"/>
        </w:rPr>
        <w:t>ë</w:t>
      </w:r>
      <w:r w:rsidRPr="009475CC">
        <w:rPr>
          <w:rFonts w:cs="Times New Roman"/>
          <w:szCs w:val="24"/>
          <w:lang w:val="sq-AL"/>
        </w:rPr>
        <w:t>rin</w:t>
      </w:r>
      <w:r w:rsidR="00210D23">
        <w:rPr>
          <w:rFonts w:cs="Times New Roman"/>
          <w:szCs w:val="24"/>
          <w:lang w:val="sq-AL"/>
        </w:rPr>
        <w:t>ë</w:t>
      </w:r>
      <w:r w:rsidRPr="009475CC">
        <w:rPr>
          <w:rFonts w:cs="Times New Roman"/>
          <w:szCs w:val="24"/>
          <w:lang w:val="sq-AL"/>
        </w:rPr>
        <w:t xml:space="preserve"> e kuadrit ligjor per ofrimin </w:t>
      </w:r>
      <w:r w:rsidR="00210D23">
        <w:rPr>
          <w:rFonts w:cs="Times New Roman"/>
          <w:szCs w:val="24"/>
          <w:lang w:val="sq-AL"/>
        </w:rPr>
        <w:t>e këtyre shërbimeve.</w:t>
      </w:r>
    </w:p>
    <w:p w14:paraId="14E48F3B" w14:textId="77777777" w:rsidR="00FC1203" w:rsidRDefault="0004714A" w:rsidP="00FC1203">
      <w:pPr>
        <w:spacing w:after="0" w:line="240" w:lineRule="auto"/>
        <w:jc w:val="both"/>
        <w:rPr>
          <w:rFonts w:cs="Times New Roman"/>
          <w:szCs w:val="24"/>
          <w:lang w:val="sq-AL"/>
        </w:rPr>
      </w:pPr>
      <w:r w:rsidRPr="00FC1203">
        <w:rPr>
          <w:rFonts w:cs="Times New Roman"/>
          <w:b/>
          <w:bCs/>
          <w:szCs w:val="24"/>
          <w:lang w:val="sq-AL"/>
        </w:rPr>
        <w:t>Indikator</w:t>
      </w:r>
      <w:r w:rsidR="004F48EC" w:rsidRPr="00FC1203">
        <w:rPr>
          <w:rFonts w:cs="Times New Roman"/>
          <w:b/>
          <w:bCs/>
          <w:szCs w:val="24"/>
          <w:lang w:val="sq-AL"/>
        </w:rPr>
        <w:t>ë</w:t>
      </w:r>
      <w:r w:rsidR="00FC1203">
        <w:rPr>
          <w:rFonts w:cs="Times New Roman"/>
          <w:b/>
          <w:bCs/>
          <w:szCs w:val="24"/>
          <w:lang w:val="sq-AL"/>
        </w:rPr>
        <w:t>t</w:t>
      </w:r>
      <w:r w:rsidR="004F48EC" w:rsidRPr="00FC1203">
        <w:rPr>
          <w:rFonts w:cs="Times New Roman"/>
          <w:b/>
          <w:bCs/>
          <w:szCs w:val="24"/>
          <w:lang w:val="sq-AL"/>
        </w:rPr>
        <w:t>:</w:t>
      </w:r>
      <w:r w:rsidR="004F48EC" w:rsidRPr="00FC1203">
        <w:rPr>
          <w:rFonts w:cs="Times New Roman"/>
          <w:szCs w:val="24"/>
          <w:lang w:val="sq-AL"/>
        </w:rPr>
        <w:t xml:space="preserve"> </w:t>
      </w:r>
      <w:r w:rsidRPr="00FC1203">
        <w:rPr>
          <w:rFonts w:cs="Times New Roman"/>
          <w:szCs w:val="24"/>
          <w:lang w:val="sq-AL"/>
        </w:rPr>
        <w:t xml:space="preserve"> </w:t>
      </w:r>
    </w:p>
    <w:p w14:paraId="2A9EF971" w14:textId="77777777" w:rsidR="00FC1203" w:rsidRDefault="0004714A" w:rsidP="00623352">
      <w:pPr>
        <w:pStyle w:val="ListParagraph"/>
        <w:numPr>
          <w:ilvl w:val="0"/>
          <w:numId w:val="37"/>
        </w:numPr>
        <w:spacing w:after="0" w:line="240" w:lineRule="auto"/>
        <w:ind w:left="360"/>
        <w:jc w:val="both"/>
        <w:rPr>
          <w:rFonts w:cs="Times New Roman"/>
          <w:szCs w:val="24"/>
          <w:lang w:val="sq-AL"/>
        </w:rPr>
      </w:pPr>
      <w:r w:rsidRPr="00FC1203">
        <w:rPr>
          <w:rFonts w:cs="Times New Roman"/>
          <w:szCs w:val="24"/>
          <w:lang w:val="sq-AL"/>
        </w:rPr>
        <w:t xml:space="preserve">Miratimi </w:t>
      </w:r>
      <w:r w:rsidR="004F48EC" w:rsidRPr="00FC1203">
        <w:rPr>
          <w:rFonts w:cs="Times New Roman"/>
          <w:szCs w:val="24"/>
          <w:lang w:val="sq-AL"/>
        </w:rPr>
        <w:t>i</w:t>
      </w:r>
      <w:r w:rsidRPr="00FC1203">
        <w:rPr>
          <w:rFonts w:cs="Times New Roman"/>
          <w:szCs w:val="24"/>
          <w:lang w:val="sq-AL"/>
        </w:rPr>
        <w:t xml:space="preserve"> VKM</w:t>
      </w:r>
      <w:r w:rsidR="00210D23" w:rsidRPr="00FC1203">
        <w:rPr>
          <w:rFonts w:cs="Times New Roman"/>
          <w:szCs w:val="24"/>
          <w:lang w:val="sq-AL"/>
        </w:rPr>
        <w:t>-së</w:t>
      </w:r>
      <w:r w:rsidRPr="00FC1203">
        <w:rPr>
          <w:rFonts w:cs="Times New Roman"/>
          <w:szCs w:val="24"/>
          <w:lang w:val="sq-AL"/>
        </w:rPr>
        <w:t xml:space="preserve"> mbi te drejtat e  turistëve/ udhëtarëve  </w:t>
      </w:r>
      <w:r w:rsidR="00210D23" w:rsidRPr="00FC1203">
        <w:rPr>
          <w:rFonts w:cs="Times New Roman"/>
          <w:szCs w:val="24"/>
          <w:lang w:val="sq-AL"/>
        </w:rPr>
        <w:t xml:space="preserve">në </w:t>
      </w:r>
      <w:r w:rsidRPr="00FC1203">
        <w:rPr>
          <w:rFonts w:cs="Times New Roman"/>
          <w:szCs w:val="24"/>
          <w:lang w:val="sq-AL"/>
        </w:rPr>
        <w:t>paketa</w:t>
      </w:r>
      <w:r w:rsidR="00210D23" w:rsidRPr="00FC1203">
        <w:rPr>
          <w:rFonts w:cs="Times New Roman"/>
          <w:szCs w:val="24"/>
          <w:lang w:val="sq-AL"/>
        </w:rPr>
        <w:t>t</w:t>
      </w:r>
      <w:r w:rsidRPr="00FC1203">
        <w:rPr>
          <w:rFonts w:cs="Times New Roman"/>
          <w:szCs w:val="24"/>
          <w:lang w:val="sq-AL"/>
        </w:rPr>
        <w:t xml:space="preserve"> e udh</w:t>
      </w:r>
      <w:r w:rsidR="00210D23" w:rsidRPr="00FC1203">
        <w:rPr>
          <w:rFonts w:cs="Times New Roman"/>
          <w:szCs w:val="24"/>
          <w:lang w:val="sq-AL"/>
        </w:rPr>
        <w:t>ë</w:t>
      </w:r>
      <w:r w:rsidRPr="00FC1203">
        <w:rPr>
          <w:rFonts w:cs="Times New Roman"/>
          <w:szCs w:val="24"/>
          <w:lang w:val="sq-AL"/>
        </w:rPr>
        <w:t xml:space="preserve">timit dhe </w:t>
      </w:r>
    </w:p>
    <w:p w14:paraId="5A54ADA6" w14:textId="15A6DBDD" w:rsidR="0004714A" w:rsidRPr="004129C7" w:rsidRDefault="0004714A" w:rsidP="00623352">
      <w:pPr>
        <w:pStyle w:val="ListParagraph"/>
        <w:numPr>
          <w:ilvl w:val="0"/>
          <w:numId w:val="37"/>
        </w:numPr>
        <w:spacing w:after="0" w:line="240" w:lineRule="auto"/>
        <w:ind w:left="360"/>
        <w:jc w:val="both"/>
        <w:rPr>
          <w:rFonts w:cs="Times New Roman"/>
          <w:szCs w:val="24"/>
          <w:lang w:val="sq-AL"/>
        </w:rPr>
      </w:pPr>
      <w:r w:rsidRPr="004129C7">
        <w:rPr>
          <w:rFonts w:cs="Times New Roman"/>
          <w:szCs w:val="24"/>
          <w:lang w:val="sq-AL"/>
        </w:rPr>
        <w:t>rishiki</w:t>
      </w:r>
      <w:r w:rsidR="004F48EC" w:rsidRPr="004129C7">
        <w:rPr>
          <w:rFonts w:cs="Times New Roman"/>
          <w:szCs w:val="24"/>
          <w:lang w:val="sq-AL"/>
        </w:rPr>
        <w:t>mi i</w:t>
      </w:r>
      <w:r w:rsidRPr="004129C7">
        <w:rPr>
          <w:rFonts w:cs="Times New Roman"/>
          <w:szCs w:val="24"/>
          <w:lang w:val="sq-AL"/>
        </w:rPr>
        <w:t xml:space="preserve"> ligjit të turizmit mbi detajimin e masave mbi kund</w:t>
      </w:r>
      <w:r w:rsidR="00210D23" w:rsidRPr="004129C7">
        <w:rPr>
          <w:rFonts w:cs="Times New Roman"/>
          <w:szCs w:val="24"/>
          <w:lang w:val="sq-AL"/>
        </w:rPr>
        <w:t>ër</w:t>
      </w:r>
      <w:r w:rsidRPr="004129C7">
        <w:rPr>
          <w:rFonts w:cs="Times New Roman"/>
          <w:szCs w:val="24"/>
          <w:lang w:val="sq-AL"/>
        </w:rPr>
        <w:t xml:space="preserve">vajtjet </w:t>
      </w:r>
      <w:r w:rsidR="00210D23" w:rsidRPr="004129C7">
        <w:rPr>
          <w:rFonts w:cs="Times New Roman"/>
          <w:szCs w:val="24"/>
          <w:lang w:val="sq-AL"/>
        </w:rPr>
        <w:t>administrative</w:t>
      </w:r>
      <w:r w:rsidR="004129C7" w:rsidRPr="004129C7">
        <w:rPr>
          <w:rFonts w:cs="Times New Roman"/>
          <w:szCs w:val="24"/>
          <w:lang w:val="sq-AL"/>
        </w:rPr>
        <w:t xml:space="preserve"> brenda vitit .....</w:t>
      </w:r>
      <w:r w:rsidR="004F48EC" w:rsidRPr="004129C7">
        <w:rPr>
          <w:rFonts w:cs="Times New Roman"/>
          <w:szCs w:val="24"/>
          <w:lang w:val="sq-AL"/>
        </w:rPr>
        <w:t>.</w:t>
      </w:r>
    </w:p>
    <w:p w14:paraId="62CFFA4D" w14:textId="6190C0C6" w:rsidR="004F48EC" w:rsidRPr="004129C7" w:rsidRDefault="004129C7" w:rsidP="00623352">
      <w:pPr>
        <w:pStyle w:val="ListParagraph"/>
        <w:numPr>
          <w:ilvl w:val="0"/>
          <w:numId w:val="37"/>
        </w:numPr>
        <w:spacing w:after="0" w:line="240" w:lineRule="auto"/>
        <w:ind w:left="360"/>
        <w:jc w:val="both"/>
        <w:rPr>
          <w:rFonts w:cs="Times New Roman"/>
          <w:szCs w:val="24"/>
          <w:lang w:val="sq-AL"/>
        </w:rPr>
      </w:pPr>
      <w:r w:rsidRPr="004129C7">
        <w:rPr>
          <w:rFonts w:cs="Times New Roman"/>
          <w:szCs w:val="24"/>
          <w:lang w:val="sq-AL"/>
        </w:rPr>
        <w:lastRenderedPageBreak/>
        <w:t xml:space="preserve">Kryerja e </w:t>
      </w:r>
      <w:r w:rsidR="00C67062" w:rsidRPr="004129C7">
        <w:rPr>
          <w:rFonts w:cs="Times New Roman"/>
          <w:szCs w:val="24"/>
          <w:lang w:val="sq-AL"/>
        </w:rPr>
        <w:t>rreth 1500 inspektime në treg</w:t>
      </w:r>
      <w:r w:rsidRPr="004129C7">
        <w:rPr>
          <w:rFonts w:cs="Times New Roman"/>
          <w:szCs w:val="24"/>
          <w:lang w:val="sq-AL"/>
        </w:rPr>
        <w:t>/</w:t>
      </w:r>
      <w:r w:rsidR="00C67062" w:rsidRPr="004129C7">
        <w:rPr>
          <w:rFonts w:cs="Times New Roman"/>
          <w:szCs w:val="24"/>
          <w:lang w:val="sq-AL"/>
        </w:rPr>
        <w:t xml:space="preserve"> vit duke </w:t>
      </w:r>
      <w:r w:rsidR="004F48EC" w:rsidRPr="004129C7">
        <w:rPr>
          <w:rFonts w:cs="Times New Roman"/>
          <w:szCs w:val="24"/>
          <w:lang w:val="sq-AL"/>
        </w:rPr>
        <w:t xml:space="preserve">i </w:t>
      </w:r>
      <w:r w:rsidR="00C67062" w:rsidRPr="004129C7">
        <w:rPr>
          <w:rFonts w:cs="Times New Roman"/>
          <w:szCs w:val="24"/>
          <w:lang w:val="sq-AL"/>
        </w:rPr>
        <w:t>garant</w:t>
      </w:r>
      <w:r w:rsidR="004F48EC" w:rsidRPr="004129C7">
        <w:rPr>
          <w:rFonts w:cs="Times New Roman"/>
          <w:szCs w:val="24"/>
          <w:lang w:val="sq-AL"/>
        </w:rPr>
        <w:t>u</w:t>
      </w:r>
      <w:r w:rsidR="00C67062" w:rsidRPr="004129C7">
        <w:rPr>
          <w:rFonts w:cs="Times New Roman"/>
          <w:szCs w:val="24"/>
          <w:lang w:val="sq-AL"/>
        </w:rPr>
        <w:t>ar konsum</w:t>
      </w:r>
      <w:r w:rsidR="004F48EC" w:rsidRPr="004129C7">
        <w:rPr>
          <w:rFonts w:cs="Times New Roman"/>
          <w:szCs w:val="24"/>
          <w:lang w:val="sq-AL"/>
        </w:rPr>
        <w:t>a</w:t>
      </w:r>
      <w:r w:rsidR="00C67062" w:rsidRPr="004129C7">
        <w:rPr>
          <w:rFonts w:cs="Times New Roman"/>
          <w:szCs w:val="24"/>
          <w:lang w:val="sq-AL"/>
        </w:rPr>
        <w:t>tor</w:t>
      </w:r>
      <w:r w:rsidR="004F48EC" w:rsidRPr="004129C7">
        <w:rPr>
          <w:rFonts w:cs="Times New Roman"/>
          <w:szCs w:val="24"/>
          <w:lang w:val="sq-AL"/>
        </w:rPr>
        <w:t>ë</w:t>
      </w:r>
      <w:r w:rsidR="00C67062" w:rsidRPr="004129C7">
        <w:rPr>
          <w:rFonts w:cs="Times New Roman"/>
          <w:szCs w:val="24"/>
          <w:lang w:val="sq-AL"/>
        </w:rPr>
        <w:t>ve</w:t>
      </w:r>
      <w:r w:rsidR="0004714A" w:rsidRPr="004129C7">
        <w:rPr>
          <w:rFonts w:cs="Times New Roman"/>
          <w:szCs w:val="24"/>
          <w:lang w:val="sq-AL"/>
        </w:rPr>
        <w:t xml:space="preserve"> </w:t>
      </w:r>
      <w:r w:rsidR="00C67062" w:rsidRPr="004129C7">
        <w:rPr>
          <w:rFonts w:cs="Times New Roman"/>
          <w:szCs w:val="24"/>
          <w:lang w:val="sq-AL"/>
        </w:rPr>
        <w:t>sh</w:t>
      </w:r>
      <w:r w:rsidR="004F48EC" w:rsidRPr="004129C7">
        <w:rPr>
          <w:rFonts w:cs="Times New Roman"/>
          <w:szCs w:val="24"/>
          <w:lang w:val="sq-AL"/>
        </w:rPr>
        <w:t>ër</w:t>
      </w:r>
      <w:r w:rsidR="00C67062" w:rsidRPr="004129C7">
        <w:rPr>
          <w:rFonts w:cs="Times New Roman"/>
          <w:szCs w:val="24"/>
          <w:lang w:val="sq-AL"/>
        </w:rPr>
        <w:t>bime të sigurta dhe me standar</w:t>
      </w:r>
      <w:r w:rsidR="004F48EC" w:rsidRPr="004129C7">
        <w:rPr>
          <w:rFonts w:cs="Times New Roman"/>
          <w:szCs w:val="24"/>
          <w:lang w:val="sq-AL"/>
        </w:rPr>
        <w:t>de.</w:t>
      </w:r>
    </w:p>
    <w:p w14:paraId="6D07CE92" w14:textId="79EDE00A" w:rsidR="00B01AD7" w:rsidRPr="009475CC" w:rsidRDefault="00B01AD7" w:rsidP="004129C7">
      <w:pPr>
        <w:pStyle w:val="Heading4"/>
        <w:rPr>
          <w:lang w:val="sq-AL"/>
        </w:rPr>
      </w:pPr>
      <w:bookmarkStart w:id="170" w:name="_Toc132277390"/>
      <w:r w:rsidRPr="009475CC">
        <w:rPr>
          <w:lang w:val="sq-AL"/>
        </w:rPr>
        <w:t>E</w:t>
      </w:r>
      <w:r w:rsidR="00555994" w:rsidRPr="009475CC">
        <w:rPr>
          <w:lang w:val="sq-AL"/>
        </w:rPr>
        <w:t xml:space="preserve">nti </w:t>
      </w:r>
      <w:r w:rsidRPr="009475CC">
        <w:rPr>
          <w:lang w:val="sq-AL"/>
        </w:rPr>
        <w:t>R</w:t>
      </w:r>
      <w:r w:rsidR="00555994" w:rsidRPr="009475CC">
        <w:rPr>
          <w:lang w:val="sq-AL"/>
        </w:rPr>
        <w:t>r</w:t>
      </w:r>
      <w:r w:rsidR="00555994">
        <w:rPr>
          <w:lang w:val="sq-AL"/>
        </w:rPr>
        <w:t>e</w:t>
      </w:r>
      <w:r w:rsidR="00555994" w:rsidRPr="009475CC">
        <w:rPr>
          <w:lang w:val="sq-AL"/>
        </w:rPr>
        <w:t xml:space="preserve">gullator i </w:t>
      </w:r>
      <w:r w:rsidRPr="009475CC">
        <w:rPr>
          <w:lang w:val="sq-AL"/>
        </w:rPr>
        <w:t>E</w:t>
      </w:r>
      <w:r w:rsidR="00555994" w:rsidRPr="009475CC">
        <w:rPr>
          <w:lang w:val="sq-AL"/>
        </w:rPr>
        <w:t>nergjisë</w:t>
      </w:r>
      <w:bookmarkEnd w:id="170"/>
    </w:p>
    <w:tbl>
      <w:tblPr>
        <w:tblStyle w:val="TableGrid"/>
        <w:tblW w:w="0" w:type="auto"/>
        <w:tblLook w:val="04A0" w:firstRow="1" w:lastRow="0" w:firstColumn="1" w:lastColumn="0" w:noHBand="0" w:noVBand="1"/>
      </w:tblPr>
      <w:tblGrid>
        <w:gridCol w:w="9016"/>
      </w:tblGrid>
      <w:tr w:rsidR="004129C7" w14:paraId="39F75E12" w14:textId="77777777" w:rsidTr="004129C7">
        <w:tc>
          <w:tcPr>
            <w:tcW w:w="9016" w:type="dxa"/>
          </w:tcPr>
          <w:p w14:paraId="3A5E4113" w14:textId="09405A01" w:rsidR="004129C7" w:rsidRPr="009475CC" w:rsidRDefault="004129C7" w:rsidP="004129C7">
            <w:pPr>
              <w:pStyle w:val="ListParagraph"/>
              <w:ind w:left="0"/>
              <w:jc w:val="both"/>
              <w:rPr>
                <w:rFonts w:cs="Times New Roman"/>
                <w:bCs/>
                <w:szCs w:val="24"/>
                <w:lang w:val="sq-AL"/>
              </w:rPr>
            </w:pPr>
            <w:r w:rsidRPr="00FB36DA">
              <w:rPr>
                <w:rFonts w:cs="Times New Roman"/>
                <w:b/>
                <w:szCs w:val="24"/>
                <w:lang w:val="sq-AL"/>
              </w:rPr>
              <w:t>Objektiv</w:t>
            </w:r>
            <w:r>
              <w:rPr>
                <w:rFonts w:cs="Times New Roman"/>
                <w:b/>
                <w:szCs w:val="24"/>
                <w:lang w:val="sq-AL"/>
              </w:rPr>
              <w:t>i</w:t>
            </w:r>
            <w:r w:rsidRPr="00FB36DA">
              <w:rPr>
                <w:rFonts w:cs="Times New Roman"/>
                <w:b/>
                <w:szCs w:val="24"/>
                <w:lang w:val="sq-AL"/>
              </w:rPr>
              <w:t xml:space="preserve"> </w:t>
            </w:r>
            <w:r>
              <w:rPr>
                <w:rFonts w:cs="Times New Roman"/>
                <w:b/>
                <w:szCs w:val="24"/>
                <w:lang w:val="sq-AL"/>
              </w:rPr>
              <w:t>28:</w:t>
            </w:r>
            <w:r w:rsidRPr="00FB36DA">
              <w:rPr>
                <w:rFonts w:cs="Times New Roman"/>
                <w:b/>
                <w:szCs w:val="24"/>
                <w:lang w:val="sq-AL"/>
              </w:rPr>
              <w:t xml:space="preserve"> </w:t>
            </w:r>
            <w:r w:rsidRPr="009475CC">
              <w:rPr>
                <w:rFonts w:cs="Times New Roman"/>
                <w:bCs/>
                <w:szCs w:val="24"/>
                <w:lang w:val="sq-AL"/>
              </w:rPr>
              <w:t>Hartimi/miratimi i strategjisë së mbrojtjes së konsumatorit</w:t>
            </w:r>
            <w:r>
              <w:rPr>
                <w:rFonts w:cs="Times New Roman"/>
                <w:bCs/>
                <w:szCs w:val="24"/>
                <w:lang w:val="sq-AL"/>
              </w:rPr>
              <w:t xml:space="preserve"> në sektorin e energjisë.</w:t>
            </w:r>
          </w:p>
          <w:p w14:paraId="4B4F3D81" w14:textId="77777777" w:rsidR="004129C7" w:rsidRDefault="004129C7" w:rsidP="009475CC">
            <w:pPr>
              <w:pStyle w:val="ListParagraph"/>
              <w:ind w:left="0"/>
              <w:jc w:val="both"/>
              <w:rPr>
                <w:rFonts w:cs="Times New Roman"/>
                <w:b/>
                <w:szCs w:val="24"/>
                <w:lang w:val="sq-AL"/>
              </w:rPr>
            </w:pPr>
          </w:p>
        </w:tc>
      </w:tr>
    </w:tbl>
    <w:p w14:paraId="5D6BB6EF" w14:textId="77777777" w:rsidR="004129C7" w:rsidRDefault="004129C7" w:rsidP="009475CC">
      <w:pPr>
        <w:pStyle w:val="ListParagraph"/>
        <w:spacing w:after="0" w:line="240" w:lineRule="auto"/>
        <w:ind w:left="0"/>
        <w:jc w:val="both"/>
        <w:rPr>
          <w:rFonts w:cs="Times New Roman"/>
          <w:b/>
          <w:szCs w:val="24"/>
          <w:lang w:val="sq-AL"/>
        </w:rPr>
      </w:pPr>
    </w:p>
    <w:p w14:paraId="2FE6B04F" w14:textId="5040880B" w:rsidR="004129C7" w:rsidRDefault="00B01AD7" w:rsidP="009475CC">
      <w:pPr>
        <w:spacing w:after="0" w:line="240" w:lineRule="auto"/>
        <w:jc w:val="both"/>
        <w:rPr>
          <w:rFonts w:cs="Times New Roman"/>
          <w:szCs w:val="24"/>
        </w:rPr>
      </w:pPr>
      <w:r w:rsidRPr="009475CC">
        <w:rPr>
          <w:rFonts w:cs="Times New Roman"/>
          <w:b/>
          <w:bCs/>
          <w:szCs w:val="24"/>
        </w:rPr>
        <w:t xml:space="preserve">Masa </w:t>
      </w:r>
      <w:r w:rsidR="004129C7">
        <w:rPr>
          <w:rFonts w:cs="Times New Roman"/>
          <w:b/>
          <w:bCs/>
          <w:szCs w:val="24"/>
        </w:rPr>
        <w:t>28.</w:t>
      </w:r>
      <w:r w:rsidRPr="009475CC">
        <w:rPr>
          <w:rFonts w:cs="Times New Roman"/>
          <w:b/>
          <w:bCs/>
          <w:szCs w:val="24"/>
        </w:rPr>
        <w:t>1</w:t>
      </w:r>
      <w:r w:rsidR="00555994" w:rsidRPr="009475CC">
        <w:rPr>
          <w:rFonts w:cs="Times New Roman"/>
          <w:b/>
          <w:bCs/>
          <w:szCs w:val="24"/>
        </w:rPr>
        <w:t>:</w:t>
      </w:r>
      <w:r w:rsidRPr="0022797D">
        <w:rPr>
          <w:rFonts w:cs="Times New Roman"/>
          <w:szCs w:val="24"/>
        </w:rPr>
        <w:t xml:space="preserve"> </w:t>
      </w:r>
      <w:r w:rsidR="004129C7">
        <w:rPr>
          <w:rFonts w:cs="Times New Roman"/>
          <w:szCs w:val="24"/>
        </w:rPr>
        <w:t>Kryerja e aktiviteteve dhe proceseve për hartimin e strategjisë së konsumatorit në fushën e energjisë.</w:t>
      </w:r>
    </w:p>
    <w:p w14:paraId="345E9745" w14:textId="08A6B13F" w:rsidR="00B01AD7" w:rsidRPr="003F476D" w:rsidRDefault="00B01AD7" w:rsidP="009475CC">
      <w:pPr>
        <w:spacing w:after="0" w:line="240" w:lineRule="auto"/>
        <w:jc w:val="both"/>
        <w:rPr>
          <w:rFonts w:cs="Times New Roman"/>
          <w:szCs w:val="24"/>
        </w:rPr>
      </w:pPr>
      <w:r w:rsidRPr="0022797D">
        <w:rPr>
          <w:rFonts w:cs="Times New Roman"/>
          <w:szCs w:val="24"/>
        </w:rPr>
        <w:t>Strategjia e konsumatorit synon të vijë si një paketë me Rregulla</w:t>
      </w:r>
      <w:r w:rsidRPr="0093142A">
        <w:rPr>
          <w:rFonts w:cs="Times New Roman"/>
          <w:szCs w:val="24"/>
        </w:rPr>
        <w:t xml:space="preserve"> brenda</w:t>
      </w:r>
      <w:r w:rsidRPr="008B3DCF">
        <w:rPr>
          <w:rFonts w:cs="Times New Roman"/>
          <w:szCs w:val="24"/>
        </w:rPr>
        <w:t xml:space="preserve"> një kornize</w:t>
      </w:r>
      <w:r w:rsidRPr="00D52DC6">
        <w:rPr>
          <w:rFonts w:cs="Times New Roman"/>
          <w:szCs w:val="24"/>
        </w:rPr>
        <w:t xml:space="preserve"> gjithëpërfshirëse për mbrojtjen, informacionin dhe fuqizimin e </w:t>
      </w:r>
      <w:r w:rsidRPr="00E2223C">
        <w:rPr>
          <w:rFonts w:cs="Times New Roman"/>
          <w:szCs w:val="24"/>
        </w:rPr>
        <w:t>konsumatorëve në sektorin e energjisë elektrike</w:t>
      </w:r>
      <w:r w:rsidRPr="00ED6C63">
        <w:rPr>
          <w:rFonts w:cs="Times New Roman"/>
          <w:szCs w:val="24"/>
        </w:rPr>
        <w:t>.</w:t>
      </w:r>
    </w:p>
    <w:p w14:paraId="275A047B" w14:textId="77777777" w:rsidR="004129C7" w:rsidRDefault="00B01AD7" w:rsidP="009475CC">
      <w:pPr>
        <w:spacing w:after="0" w:line="240" w:lineRule="auto"/>
        <w:jc w:val="both"/>
        <w:rPr>
          <w:rFonts w:cs="Times New Roman"/>
          <w:szCs w:val="24"/>
        </w:rPr>
      </w:pPr>
      <w:r w:rsidRPr="004E1146">
        <w:rPr>
          <w:rFonts w:cs="Times New Roman"/>
          <w:szCs w:val="24"/>
        </w:rPr>
        <w:t>Duke u ofruar konsumatorëve informacion dhe duke u ofruar atyre opsione se si mund të marrin pjesë në tregun e energjisë, ata do të mbrohen më mirë dhe do të jenë në një pozicion më të fortë në zinxhirin e f</w:t>
      </w:r>
      <w:r w:rsidRPr="005D4962">
        <w:rPr>
          <w:rFonts w:cs="Times New Roman"/>
          <w:szCs w:val="24"/>
        </w:rPr>
        <w:t>urnizimit me energji.</w:t>
      </w:r>
      <w:r w:rsidRPr="00F32E3B">
        <w:rPr>
          <w:rFonts w:cs="Times New Roman"/>
          <w:szCs w:val="24"/>
        </w:rPr>
        <w:t xml:space="preserve"> Të gjithë konsumatorët shqipëtare gëzojnë të drejta e përgjithshme të konsumatorit të garantuara në legjislacionin tonë, si dhe një sërë të drejtash të lidhur me përdorimin/konsumin e energjisë.</w:t>
      </w:r>
    </w:p>
    <w:p w14:paraId="0B922DE5" w14:textId="77777777" w:rsidR="004129C7" w:rsidRDefault="004129C7" w:rsidP="009475CC">
      <w:pPr>
        <w:spacing w:after="0" w:line="240" w:lineRule="auto"/>
        <w:jc w:val="both"/>
        <w:rPr>
          <w:rFonts w:cs="Times New Roman"/>
          <w:szCs w:val="24"/>
        </w:rPr>
      </w:pPr>
    </w:p>
    <w:p w14:paraId="0844F75F" w14:textId="77777777" w:rsidR="004129C7" w:rsidRPr="004129C7" w:rsidRDefault="004129C7" w:rsidP="009475CC">
      <w:pPr>
        <w:spacing w:after="0" w:line="240" w:lineRule="auto"/>
        <w:jc w:val="both"/>
        <w:rPr>
          <w:rFonts w:cs="Times New Roman"/>
          <w:b/>
          <w:bCs/>
          <w:szCs w:val="24"/>
        </w:rPr>
      </w:pPr>
      <w:r w:rsidRPr="004129C7">
        <w:rPr>
          <w:rFonts w:cs="Times New Roman"/>
          <w:b/>
          <w:bCs/>
          <w:szCs w:val="24"/>
        </w:rPr>
        <w:t>Indikatori:</w:t>
      </w:r>
    </w:p>
    <w:p w14:paraId="2BDE126D" w14:textId="1102A9A7" w:rsidR="00B01AD7" w:rsidRPr="00F32E3B" w:rsidRDefault="004129C7" w:rsidP="009475CC">
      <w:pPr>
        <w:spacing w:after="0" w:line="240" w:lineRule="auto"/>
        <w:jc w:val="both"/>
        <w:rPr>
          <w:rFonts w:cs="Times New Roman"/>
          <w:szCs w:val="24"/>
        </w:rPr>
      </w:pPr>
      <w:r>
        <w:rPr>
          <w:rFonts w:cs="Times New Roman"/>
          <w:szCs w:val="24"/>
        </w:rPr>
        <w:t>Strategjia e konsumatorit në fushwn e energjisë e miratuar</w:t>
      </w:r>
      <w:r w:rsidR="005E1C18">
        <w:rPr>
          <w:rFonts w:cs="Times New Roman"/>
          <w:szCs w:val="24"/>
        </w:rPr>
        <w:t>.</w:t>
      </w:r>
    </w:p>
    <w:p w14:paraId="3146F09B" w14:textId="77777777" w:rsidR="004129C7" w:rsidRDefault="004129C7" w:rsidP="00487862">
      <w:pPr>
        <w:spacing w:after="0" w:line="240" w:lineRule="auto"/>
        <w:jc w:val="both"/>
        <w:rPr>
          <w:rFonts w:cs="Times New Roman"/>
          <w:b/>
          <w:szCs w:val="24"/>
          <w:lang w:val="sq-AL"/>
        </w:rPr>
      </w:pPr>
    </w:p>
    <w:tbl>
      <w:tblPr>
        <w:tblStyle w:val="TableGrid"/>
        <w:tblW w:w="0" w:type="auto"/>
        <w:tblLook w:val="04A0" w:firstRow="1" w:lastRow="0" w:firstColumn="1" w:lastColumn="0" w:noHBand="0" w:noVBand="1"/>
      </w:tblPr>
      <w:tblGrid>
        <w:gridCol w:w="9016"/>
      </w:tblGrid>
      <w:tr w:rsidR="004129C7" w14:paraId="31F08E19" w14:textId="77777777" w:rsidTr="004129C7">
        <w:tc>
          <w:tcPr>
            <w:tcW w:w="9016" w:type="dxa"/>
          </w:tcPr>
          <w:p w14:paraId="470AED72" w14:textId="04C98553" w:rsidR="004129C7" w:rsidRDefault="004129C7" w:rsidP="004129C7">
            <w:pPr>
              <w:jc w:val="both"/>
              <w:rPr>
                <w:rFonts w:cs="Times New Roman"/>
                <w:b/>
                <w:szCs w:val="24"/>
                <w:lang w:val="sq-AL"/>
              </w:rPr>
            </w:pPr>
            <w:r w:rsidRPr="009475CC">
              <w:rPr>
                <w:rFonts w:cs="Times New Roman"/>
                <w:b/>
                <w:szCs w:val="24"/>
                <w:lang w:val="sq-AL"/>
              </w:rPr>
              <w:t>Objektiv</w:t>
            </w:r>
            <w:r>
              <w:rPr>
                <w:rFonts w:cs="Times New Roman"/>
                <w:b/>
                <w:szCs w:val="24"/>
                <w:lang w:val="sq-AL"/>
              </w:rPr>
              <w:t xml:space="preserve">i 29: </w:t>
            </w:r>
          </w:p>
          <w:p w14:paraId="3F1183AF" w14:textId="03EA1A98" w:rsidR="004129C7" w:rsidRPr="009475CC" w:rsidRDefault="004129C7" w:rsidP="004129C7">
            <w:pPr>
              <w:jc w:val="both"/>
              <w:rPr>
                <w:rFonts w:cs="Times New Roman"/>
                <w:szCs w:val="24"/>
                <w:lang w:val="sq-AL"/>
              </w:rPr>
            </w:pPr>
            <w:r w:rsidRPr="009475CC">
              <w:rPr>
                <w:rFonts w:cs="Times New Roman"/>
                <w:bCs/>
                <w:szCs w:val="24"/>
                <w:lang w:val="sq-AL"/>
              </w:rPr>
              <w:t>Mbrojtja e interesave ekonomikë të konsumatorëve nëpërmjet rregullimi</w:t>
            </w:r>
            <w:r>
              <w:rPr>
                <w:rFonts w:cs="Times New Roman"/>
                <w:bCs/>
                <w:szCs w:val="24"/>
                <w:lang w:val="sq-AL"/>
              </w:rPr>
              <w:t>t</w:t>
            </w:r>
            <w:r w:rsidRPr="009475CC">
              <w:rPr>
                <w:rFonts w:cs="Times New Roman"/>
                <w:bCs/>
                <w:szCs w:val="24"/>
                <w:lang w:val="sq-AL"/>
              </w:rPr>
              <w:t xml:space="preserve"> tarifor për pikat e karikimit të makinave elektrike.</w:t>
            </w:r>
            <w:r w:rsidRPr="009475CC">
              <w:rPr>
                <w:rFonts w:cs="Times New Roman"/>
                <w:b/>
                <w:szCs w:val="24"/>
                <w:lang w:val="sq-AL"/>
              </w:rPr>
              <w:t xml:space="preserve"> </w:t>
            </w:r>
          </w:p>
          <w:p w14:paraId="2B77E748" w14:textId="77777777" w:rsidR="004129C7" w:rsidRDefault="004129C7" w:rsidP="00487862">
            <w:pPr>
              <w:jc w:val="both"/>
              <w:rPr>
                <w:rFonts w:cs="Times New Roman"/>
                <w:b/>
                <w:szCs w:val="24"/>
                <w:lang w:val="sq-AL"/>
              </w:rPr>
            </w:pPr>
          </w:p>
        </w:tc>
      </w:tr>
    </w:tbl>
    <w:p w14:paraId="4148D88F" w14:textId="77777777" w:rsidR="004129C7" w:rsidRDefault="004129C7" w:rsidP="00487862">
      <w:pPr>
        <w:spacing w:after="0" w:line="240" w:lineRule="auto"/>
        <w:jc w:val="both"/>
        <w:rPr>
          <w:rFonts w:cs="Times New Roman"/>
          <w:b/>
          <w:szCs w:val="24"/>
          <w:lang w:val="sq-AL"/>
        </w:rPr>
      </w:pPr>
    </w:p>
    <w:p w14:paraId="60FDED7D" w14:textId="26CDAF59" w:rsidR="00B01AD7" w:rsidRPr="009475CC" w:rsidRDefault="00DB607F" w:rsidP="00A014A1">
      <w:pPr>
        <w:spacing w:line="240" w:lineRule="auto"/>
        <w:jc w:val="both"/>
        <w:rPr>
          <w:rFonts w:cs="Times New Roman"/>
          <w:szCs w:val="24"/>
        </w:rPr>
      </w:pPr>
      <w:r w:rsidRPr="009475CC">
        <w:rPr>
          <w:rFonts w:cs="Times New Roman"/>
          <w:b/>
          <w:bCs/>
          <w:szCs w:val="24"/>
        </w:rPr>
        <w:t xml:space="preserve">Masa </w:t>
      </w:r>
      <w:r w:rsidR="00A014A1">
        <w:rPr>
          <w:rFonts w:cs="Times New Roman"/>
          <w:b/>
          <w:bCs/>
          <w:szCs w:val="24"/>
        </w:rPr>
        <w:t>29.</w:t>
      </w:r>
      <w:r>
        <w:rPr>
          <w:rFonts w:cs="Times New Roman"/>
          <w:b/>
          <w:bCs/>
          <w:szCs w:val="24"/>
        </w:rPr>
        <w:t>1</w:t>
      </w:r>
      <w:r w:rsidRPr="009475CC">
        <w:rPr>
          <w:rFonts w:cs="Times New Roman"/>
          <w:b/>
          <w:bCs/>
          <w:szCs w:val="24"/>
        </w:rPr>
        <w:t>:</w:t>
      </w:r>
      <w:r w:rsidR="00B01AD7" w:rsidRPr="009475CC">
        <w:rPr>
          <w:rFonts w:cs="Times New Roman"/>
          <w:szCs w:val="24"/>
        </w:rPr>
        <w:t xml:space="preserve"> Analiz</w:t>
      </w:r>
      <w:r>
        <w:rPr>
          <w:rFonts w:cs="Times New Roman"/>
          <w:szCs w:val="24"/>
        </w:rPr>
        <w:t>ë e</w:t>
      </w:r>
      <w:r w:rsidR="00B01AD7" w:rsidRPr="009475CC">
        <w:rPr>
          <w:rFonts w:cs="Times New Roman"/>
          <w:szCs w:val="24"/>
        </w:rPr>
        <w:t xml:space="preserve"> thelluar e njohurive sa i përket politikave të ngjashme rregullatore në vendet e Bashkimit E</w:t>
      </w:r>
      <w:r w:rsidR="00487862">
        <w:rPr>
          <w:rFonts w:cs="Times New Roman"/>
          <w:szCs w:val="24"/>
        </w:rPr>
        <w:t>v</w:t>
      </w:r>
      <w:r w:rsidR="00B01AD7" w:rsidRPr="009475CC">
        <w:rPr>
          <w:rFonts w:cs="Times New Roman"/>
          <w:szCs w:val="24"/>
        </w:rPr>
        <w:t>ropian si dhe adresimit të incentivave sensibilizuese për konsumatorin sa i përket përdorimit efiçient të energjisë brenda kuadrit ligjor aktual, por edhe nëpërmjet adresimit në institucionet e kompetencës të propozimeve konkrete që do të adresojnë iniciativa të tilla nga ERE-s.</w:t>
      </w:r>
      <w:r w:rsidR="00487862">
        <w:rPr>
          <w:rFonts w:cs="Times New Roman"/>
          <w:szCs w:val="24"/>
        </w:rPr>
        <w:t xml:space="preserve"> </w:t>
      </w:r>
      <w:r w:rsidR="00B01AD7" w:rsidRPr="009475CC">
        <w:rPr>
          <w:rFonts w:cs="Times New Roman"/>
          <w:szCs w:val="24"/>
        </w:rPr>
        <w:t xml:space="preserve">Është e rëndësishme që rregullimi ligjor i kësaj kategorie të paraprijë realitetitn e së ardhmes ku makinat hibride apo elektrike, do të zënë një vend të rëndësishëm me qëllim uljen e emetimeve të dëmshme </w:t>
      </w:r>
      <w:r w:rsidR="00487862">
        <w:rPr>
          <w:rFonts w:cs="Times New Roman"/>
          <w:szCs w:val="24"/>
        </w:rPr>
        <w:t>n</w:t>
      </w:r>
      <w:r w:rsidR="00B01AD7" w:rsidRPr="009475CC">
        <w:rPr>
          <w:rFonts w:cs="Times New Roman"/>
          <w:szCs w:val="24"/>
        </w:rPr>
        <w:t>ë mjedis nga automjetet tradicionale të transportit.</w:t>
      </w:r>
    </w:p>
    <w:p w14:paraId="1D0D64FC" w14:textId="6F3EF535" w:rsidR="00B01AD7" w:rsidRDefault="00DB607F" w:rsidP="00A014A1">
      <w:pPr>
        <w:pStyle w:val="ListParagraph"/>
        <w:spacing w:line="240" w:lineRule="auto"/>
        <w:ind w:left="0"/>
        <w:jc w:val="both"/>
        <w:rPr>
          <w:rFonts w:cs="Times New Roman"/>
          <w:bCs/>
          <w:szCs w:val="24"/>
        </w:rPr>
      </w:pPr>
      <w:r w:rsidRPr="00F32E3B">
        <w:rPr>
          <w:rFonts w:cs="Times New Roman"/>
          <w:b/>
          <w:bCs/>
          <w:szCs w:val="24"/>
        </w:rPr>
        <w:t xml:space="preserve">Masa </w:t>
      </w:r>
      <w:r w:rsidR="00A014A1">
        <w:rPr>
          <w:rFonts w:cs="Times New Roman"/>
          <w:b/>
          <w:bCs/>
          <w:szCs w:val="24"/>
        </w:rPr>
        <w:t>29.</w:t>
      </w:r>
      <w:r>
        <w:rPr>
          <w:rFonts w:cs="Times New Roman"/>
          <w:b/>
          <w:bCs/>
          <w:szCs w:val="24"/>
        </w:rPr>
        <w:t>2:</w:t>
      </w:r>
      <w:r w:rsidR="00B01AD7" w:rsidRPr="009475CC">
        <w:rPr>
          <w:rFonts w:cs="Times New Roman"/>
          <w:szCs w:val="24"/>
        </w:rPr>
        <w:t xml:space="preserve"> </w:t>
      </w:r>
      <w:r w:rsidR="00B01AD7" w:rsidRPr="009475CC">
        <w:rPr>
          <w:rFonts w:cs="Times New Roman"/>
          <w:bCs/>
          <w:szCs w:val="24"/>
        </w:rPr>
        <w:t xml:space="preserve">Kualifikim i stafit të ERE-s mbi këtë teknologji të re me qëllim kualifikimin e stafit dhe njohjen me praktikat më të mira ndërkombëtare në këtë fushë. </w:t>
      </w:r>
    </w:p>
    <w:p w14:paraId="5D51D203" w14:textId="491A8BDE" w:rsidR="00A014A1" w:rsidRDefault="00A014A1" w:rsidP="00A014A1">
      <w:pPr>
        <w:pStyle w:val="ListParagraph"/>
        <w:spacing w:line="240" w:lineRule="auto"/>
        <w:ind w:left="0"/>
        <w:jc w:val="both"/>
        <w:rPr>
          <w:rFonts w:cs="Times New Roman"/>
          <w:bCs/>
          <w:szCs w:val="24"/>
        </w:rPr>
      </w:pPr>
    </w:p>
    <w:p w14:paraId="1A74ACDA" w14:textId="222B61D5" w:rsidR="00A014A1" w:rsidRDefault="00A014A1" w:rsidP="00A014A1">
      <w:pPr>
        <w:pStyle w:val="ListParagraph"/>
        <w:spacing w:line="240" w:lineRule="auto"/>
        <w:ind w:left="0"/>
        <w:jc w:val="both"/>
        <w:rPr>
          <w:rFonts w:cs="Times New Roman"/>
          <w:bCs/>
          <w:szCs w:val="24"/>
        </w:rPr>
      </w:pPr>
      <w:r>
        <w:rPr>
          <w:rFonts w:cs="Times New Roman"/>
          <w:bCs/>
          <w:szCs w:val="24"/>
        </w:rPr>
        <w:t>Indikatorët:</w:t>
      </w:r>
    </w:p>
    <w:p w14:paraId="7554FF5E" w14:textId="27E80868" w:rsidR="00A014A1" w:rsidRDefault="005E1C18" w:rsidP="00623352">
      <w:pPr>
        <w:pStyle w:val="ListParagraph"/>
        <w:numPr>
          <w:ilvl w:val="0"/>
          <w:numId w:val="2"/>
        </w:numPr>
        <w:spacing w:line="240" w:lineRule="auto"/>
        <w:jc w:val="both"/>
        <w:rPr>
          <w:rFonts w:cs="Times New Roman"/>
          <w:bCs/>
          <w:szCs w:val="24"/>
        </w:rPr>
      </w:pPr>
      <w:r>
        <w:rPr>
          <w:rFonts w:cs="Times New Roman"/>
          <w:bCs/>
          <w:szCs w:val="24"/>
        </w:rPr>
        <w:t>Dokumenti  Strategjik I mirauar</w:t>
      </w:r>
    </w:p>
    <w:p w14:paraId="436EB575" w14:textId="53BBB0CC" w:rsidR="005E1C18" w:rsidRDefault="005E1C18" w:rsidP="00623352">
      <w:pPr>
        <w:pStyle w:val="ListParagraph"/>
        <w:numPr>
          <w:ilvl w:val="0"/>
          <w:numId w:val="2"/>
        </w:numPr>
        <w:spacing w:line="240" w:lineRule="auto"/>
        <w:jc w:val="both"/>
        <w:rPr>
          <w:rFonts w:cs="Times New Roman"/>
          <w:bCs/>
          <w:szCs w:val="24"/>
        </w:rPr>
      </w:pPr>
      <w:r>
        <w:rPr>
          <w:rFonts w:cs="Times New Roman"/>
          <w:bCs/>
          <w:szCs w:val="24"/>
        </w:rPr>
        <w:t xml:space="preserve">Trajnimi I </w:t>
      </w:r>
      <w:r w:rsidRPr="00DC1055">
        <w:rPr>
          <w:rFonts w:cs="Times New Roman"/>
          <w:bCs/>
          <w:szCs w:val="24"/>
          <w:highlight w:val="yellow"/>
        </w:rPr>
        <w:t>7 Personave</w:t>
      </w:r>
      <w:r>
        <w:rPr>
          <w:rFonts w:cs="Times New Roman"/>
          <w:bCs/>
          <w:szCs w:val="24"/>
        </w:rPr>
        <w:t xml:space="preserve"> mbi </w:t>
      </w:r>
      <w:r w:rsidRPr="005E1C18">
        <w:rPr>
          <w:rFonts w:cs="Times New Roman"/>
          <w:bCs/>
          <w:szCs w:val="24"/>
        </w:rPr>
        <w:t>praktikat më të mira ndërkombëtare</w:t>
      </w:r>
      <w:r>
        <w:rPr>
          <w:rFonts w:cs="Times New Roman"/>
          <w:bCs/>
          <w:szCs w:val="24"/>
        </w:rPr>
        <w:t>.</w:t>
      </w:r>
    </w:p>
    <w:p w14:paraId="38A00BCA" w14:textId="2D04901A" w:rsidR="00A014A1" w:rsidRPr="005E1C18" w:rsidRDefault="00A014A1" w:rsidP="005E1C18">
      <w:pPr>
        <w:pStyle w:val="ListParagraph"/>
        <w:spacing w:after="0" w:line="240" w:lineRule="auto"/>
        <w:jc w:val="both"/>
        <w:rPr>
          <w:rFonts w:cs="Times New Roman"/>
          <w:b/>
          <w:szCs w:val="24"/>
          <w:lang w:val="sq-AL"/>
        </w:rPr>
      </w:pPr>
    </w:p>
    <w:tbl>
      <w:tblPr>
        <w:tblStyle w:val="TableGrid"/>
        <w:tblW w:w="0" w:type="auto"/>
        <w:tblLook w:val="04A0" w:firstRow="1" w:lastRow="0" w:firstColumn="1" w:lastColumn="0" w:noHBand="0" w:noVBand="1"/>
      </w:tblPr>
      <w:tblGrid>
        <w:gridCol w:w="9016"/>
      </w:tblGrid>
      <w:tr w:rsidR="00A014A1" w14:paraId="1EEE7772" w14:textId="77777777" w:rsidTr="00A014A1">
        <w:tc>
          <w:tcPr>
            <w:tcW w:w="9016" w:type="dxa"/>
          </w:tcPr>
          <w:p w14:paraId="29F98598" w14:textId="420C7407" w:rsidR="00A014A1" w:rsidRDefault="00A014A1" w:rsidP="00A014A1">
            <w:pPr>
              <w:jc w:val="both"/>
              <w:rPr>
                <w:rFonts w:cs="Times New Roman"/>
                <w:b/>
                <w:szCs w:val="24"/>
                <w:lang w:val="sq-AL"/>
              </w:rPr>
            </w:pPr>
            <w:r w:rsidRPr="00F32E3B">
              <w:rPr>
                <w:rFonts w:cs="Times New Roman"/>
                <w:b/>
                <w:szCs w:val="24"/>
                <w:lang w:val="sq-AL"/>
              </w:rPr>
              <w:t>Objektiv</w:t>
            </w:r>
            <w:r>
              <w:rPr>
                <w:rFonts w:cs="Times New Roman"/>
                <w:b/>
                <w:szCs w:val="24"/>
                <w:lang w:val="sq-AL"/>
              </w:rPr>
              <w:t xml:space="preserve">i 30: </w:t>
            </w:r>
          </w:p>
          <w:p w14:paraId="36AA659A" w14:textId="04902C20" w:rsidR="00A014A1" w:rsidRPr="00F32E3B" w:rsidRDefault="00A014A1" w:rsidP="00A014A1">
            <w:pPr>
              <w:jc w:val="both"/>
              <w:rPr>
                <w:rFonts w:cs="Times New Roman"/>
                <w:szCs w:val="24"/>
                <w:lang w:val="sq-AL"/>
              </w:rPr>
            </w:pPr>
            <w:r w:rsidRPr="009475CC">
              <w:rPr>
                <w:rFonts w:cs="Times New Roman"/>
                <w:bCs/>
                <w:szCs w:val="24"/>
                <w:lang w:val="sq-AL"/>
              </w:rPr>
              <w:t>Krijimi i platformave nga furnizues</w:t>
            </w:r>
            <w:r>
              <w:rPr>
                <w:rFonts w:cs="Times New Roman"/>
                <w:bCs/>
                <w:szCs w:val="24"/>
                <w:lang w:val="sq-AL"/>
              </w:rPr>
              <w:t>it</w:t>
            </w:r>
            <w:r w:rsidRPr="009475CC">
              <w:rPr>
                <w:rFonts w:cs="Times New Roman"/>
                <w:bCs/>
                <w:szCs w:val="24"/>
                <w:lang w:val="sq-AL"/>
              </w:rPr>
              <w:t xml:space="preserve"> duke përmirësuar cilësinë e shërbimit ndaj  konsumatorëve, n</w:t>
            </w:r>
            <w:r>
              <w:rPr>
                <w:rFonts w:cs="Times New Roman"/>
                <w:bCs/>
                <w:szCs w:val="24"/>
                <w:lang w:val="sq-AL"/>
              </w:rPr>
              <w:t>ë</w:t>
            </w:r>
            <w:r w:rsidRPr="009475CC">
              <w:rPr>
                <w:rFonts w:cs="Times New Roman"/>
                <w:bCs/>
                <w:szCs w:val="24"/>
                <w:lang w:val="sq-AL"/>
              </w:rPr>
              <w:t>p</w:t>
            </w:r>
            <w:r>
              <w:rPr>
                <w:rFonts w:cs="Times New Roman"/>
                <w:bCs/>
                <w:szCs w:val="24"/>
                <w:lang w:val="sq-AL"/>
              </w:rPr>
              <w:t>ë</w:t>
            </w:r>
            <w:r w:rsidRPr="009475CC">
              <w:rPr>
                <w:rFonts w:cs="Times New Roman"/>
                <w:bCs/>
                <w:szCs w:val="24"/>
                <w:lang w:val="sq-AL"/>
              </w:rPr>
              <w:t>rmjet mbikëqyrjes dhe vler</w:t>
            </w:r>
            <w:r>
              <w:rPr>
                <w:rFonts w:cs="Times New Roman"/>
                <w:bCs/>
                <w:szCs w:val="24"/>
                <w:lang w:val="sq-AL"/>
              </w:rPr>
              <w:t>ë</w:t>
            </w:r>
            <w:r w:rsidRPr="009475CC">
              <w:rPr>
                <w:rFonts w:cs="Times New Roman"/>
                <w:bCs/>
                <w:szCs w:val="24"/>
                <w:lang w:val="sq-AL"/>
              </w:rPr>
              <w:t>simit të sh</w:t>
            </w:r>
            <w:r>
              <w:rPr>
                <w:rFonts w:cs="Times New Roman"/>
                <w:bCs/>
                <w:szCs w:val="24"/>
                <w:lang w:val="sq-AL"/>
              </w:rPr>
              <w:t>ë</w:t>
            </w:r>
            <w:r w:rsidRPr="009475CC">
              <w:rPr>
                <w:rFonts w:cs="Times New Roman"/>
                <w:bCs/>
                <w:szCs w:val="24"/>
                <w:lang w:val="sq-AL"/>
              </w:rPr>
              <w:t>rbimit të ofruar</w:t>
            </w:r>
            <w:r>
              <w:rPr>
                <w:rFonts w:cs="Times New Roman"/>
                <w:b/>
                <w:szCs w:val="24"/>
                <w:lang w:val="sq-AL"/>
              </w:rPr>
              <w:t>.</w:t>
            </w:r>
          </w:p>
          <w:p w14:paraId="0FDCA68F" w14:textId="77777777" w:rsidR="00A014A1" w:rsidRDefault="00A014A1" w:rsidP="009475CC">
            <w:pPr>
              <w:jc w:val="both"/>
              <w:rPr>
                <w:rFonts w:cs="Times New Roman"/>
                <w:b/>
                <w:szCs w:val="24"/>
                <w:lang w:val="sq-AL"/>
              </w:rPr>
            </w:pPr>
          </w:p>
        </w:tc>
      </w:tr>
    </w:tbl>
    <w:p w14:paraId="000B617D" w14:textId="77777777" w:rsidR="00A014A1" w:rsidRDefault="00A014A1" w:rsidP="009475CC">
      <w:pPr>
        <w:spacing w:after="0" w:line="240" w:lineRule="auto"/>
        <w:jc w:val="both"/>
        <w:rPr>
          <w:rFonts w:cs="Times New Roman"/>
          <w:b/>
          <w:szCs w:val="24"/>
          <w:lang w:val="sq-AL"/>
        </w:rPr>
      </w:pPr>
    </w:p>
    <w:p w14:paraId="36C33642" w14:textId="4868B610" w:rsidR="00B01AD7" w:rsidRPr="0022797D" w:rsidRDefault="00B01AD7" w:rsidP="00A014A1">
      <w:pPr>
        <w:spacing w:line="240" w:lineRule="auto"/>
        <w:jc w:val="both"/>
        <w:rPr>
          <w:rFonts w:cs="Times New Roman"/>
          <w:szCs w:val="24"/>
        </w:rPr>
      </w:pPr>
      <w:r w:rsidRPr="009475CC">
        <w:rPr>
          <w:rFonts w:cs="Times New Roman"/>
          <w:b/>
          <w:bCs/>
          <w:szCs w:val="24"/>
        </w:rPr>
        <w:t xml:space="preserve">Masa </w:t>
      </w:r>
      <w:r w:rsidR="00A014A1">
        <w:rPr>
          <w:rFonts w:cs="Times New Roman"/>
          <w:b/>
          <w:bCs/>
          <w:szCs w:val="24"/>
        </w:rPr>
        <w:t>30.</w:t>
      </w:r>
      <w:r w:rsidRPr="009475CC">
        <w:rPr>
          <w:rFonts w:cs="Times New Roman"/>
          <w:b/>
          <w:bCs/>
          <w:szCs w:val="24"/>
        </w:rPr>
        <w:t>1</w:t>
      </w:r>
      <w:r w:rsidR="00DB607F" w:rsidRPr="009475CC">
        <w:rPr>
          <w:rFonts w:cs="Times New Roman"/>
          <w:b/>
          <w:bCs/>
          <w:szCs w:val="24"/>
        </w:rPr>
        <w:t>:</w:t>
      </w:r>
      <w:r w:rsidRPr="00F32E3B">
        <w:rPr>
          <w:rFonts w:cs="Times New Roman"/>
          <w:szCs w:val="24"/>
        </w:rPr>
        <w:t xml:space="preserve"> </w:t>
      </w:r>
      <w:r w:rsidR="00DB607F">
        <w:rPr>
          <w:rFonts w:cs="Times New Roman"/>
          <w:szCs w:val="24"/>
        </w:rPr>
        <w:t>Z</w:t>
      </w:r>
      <w:r w:rsidRPr="00F32E3B">
        <w:rPr>
          <w:rFonts w:cs="Times New Roman"/>
          <w:szCs w:val="24"/>
        </w:rPr>
        <w:t>hvillimi dhe përdit</w:t>
      </w:r>
      <w:r w:rsidR="00FC670A">
        <w:rPr>
          <w:rFonts w:cs="Times New Roman"/>
          <w:szCs w:val="24"/>
        </w:rPr>
        <w:t>ë</w:t>
      </w:r>
      <w:r w:rsidRPr="00F32E3B">
        <w:rPr>
          <w:rFonts w:cs="Times New Roman"/>
          <w:szCs w:val="24"/>
        </w:rPr>
        <w:t xml:space="preserve">simi </w:t>
      </w:r>
      <w:r w:rsidR="00DB607F">
        <w:rPr>
          <w:rFonts w:cs="Times New Roman"/>
          <w:szCs w:val="24"/>
        </w:rPr>
        <w:t>i</w:t>
      </w:r>
      <w:r w:rsidRPr="00F32E3B">
        <w:rPr>
          <w:rFonts w:cs="Times New Roman"/>
          <w:szCs w:val="24"/>
        </w:rPr>
        <w:t xml:space="preserve"> një sistemi të menaxhimit dhe trajtimit të ankesave, dhënies së informacionit të saktë e të shpejtë, në kuadër të </w:t>
      </w:r>
      <w:r w:rsidRPr="009475CC">
        <w:rPr>
          <w:rFonts w:cs="Times New Roman"/>
          <w:szCs w:val="24"/>
        </w:rPr>
        <w:t xml:space="preserve">mjeteve të reja teknologjike, që mundësojnë trajtimin në një kohë sa më të shkurtër e më të thjeshtë. </w:t>
      </w:r>
      <w:hyperlink r:id="rId38" w:history="1">
        <w:r w:rsidRPr="009475CC">
          <w:rPr>
            <w:rStyle w:val="Hyperlink"/>
            <w:rFonts w:cs="Times New Roman"/>
            <w:color w:val="auto"/>
            <w:szCs w:val="24"/>
            <w:u w:val="none"/>
            <w:shd w:val="clear" w:color="auto" w:fill="FFFFFF"/>
          </w:rPr>
          <w:t xml:space="preserve">Rregullorja mbi masat e </w:t>
        </w:r>
        <w:r w:rsidRPr="009475CC">
          <w:rPr>
            <w:rStyle w:val="Hyperlink"/>
            <w:rFonts w:cs="Times New Roman"/>
            <w:color w:val="auto"/>
            <w:szCs w:val="24"/>
            <w:u w:val="none"/>
            <w:shd w:val="clear" w:color="auto" w:fill="FFFFFF"/>
          </w:rPr>
          <w:lastRenderedPageBreak/>
          <w:t>të licencuarve në aktivitetin e furnizimit për arritjen e treguesve të matjes dhe vlerësimit nga ERE të performancës së shërbimit ndaj klientit</w:t>
        </w:r>
      </w:hyperlink>
      <w:r w:rsidRPr="009475CC">
        <w:rPr>
          <w:rFonts w:cs="Times New Roman"/>
          <w:szCs w:val="24"/>
        </w:rPr>
        <w:t>, e miratuar nga ERE,</w:t>
      </w:r>
      <w:r w:rsidRPr="009475CC" w:rsidDel="008D3C26">
        <w:rPr>
          <w:rFonts w:cs="Times New Roman"/>
          <w:szCs w:val="24"/>
        </w:rPr>
        <w:t xml:space="preserve"> </w:t>
      </w:r>
      <w:r w:rsidRPr="009475CC">
        <w:rPr>
          <w:rFonts w:cs="Times New Roman"/>
          <w:szCs w:val="24"/>
        </w:rPr>
        <w:t xml:space="preserve">vendos </w:t>
      </w:r>
      <w:r w:rsidRPr="00FB36DA">
        <w:rPr>
          <w:rFonts w:cs="Times New Roman"/>
          <w:szCs w:val="24"/>
        </w:rPr>
        <w:t xml:space="preserve">detyrime konkrete ndaj të licencuarve për arritjen e një shërbimi me cilësi ndaj konsuamtorit dhe mbikëyrjen periodike të arritjes së këtyre standardeve nga ana e ERE. </w:t>
      </w:r>
    </w:p>
    <w:p w14:paraId="7A055C56" w14:textId="6B59CE9F" w:rsidR="00B01AD7" w:rsidRPr="00E2223C" w:rsidRDefault="00B01AD7" w:rsidP="00A014A1">
      <w:pPr>
        <w:spacing w:line="240" w:lineRule="auto"/>
        <w:jc w:val="both"/>
        <w:rPr>
          <w:rFonts w:cs="Times New Roman"/>
          <w:szCs w:val="24"/>
        </w:rPr>
      </w:pPr>
      <w:r w:rsidRPr="009475CC">
        <w:rPr>
          <w:rFonts w:cs="Times New Roman"/>
          <w:b/>
          <w:bCs/>
          <w:szCs w:val="24"/>
        </w:rPr>
        <w:t xml:space="preserve">Masa </w:t>
      </w:r>
      <w:r w:rsidR="00A014A1">
        <w:rPr>
          <w:rFonts w:cs="Times New Roman"/>
          <w:b/>
          <w:bCs/>
          <w:szCs w:val="24"/>
        </w:rPr>
        <w:t>30.</w:t>
      </w:r>
      <w:r w:rsidRPr="009475CC">
        <w:rPr>
          <w:rFonts w:cs="Times New Roman"/>
          <w:b/>
          <w:bCs/>
          <w:szCs w:val="24"/>
        </w:rPr>
        <w:t>2</w:t>
      </w:r>
      <w:r w:rsidR="00DB607F">
        <w:rPr>
          <w:rFonts w:cs="Times New Roman"/>
          <w:b/>
          <w:bCs/>
          <w:szCs w:val="24"/>
        </w:rPr>
        <w:t>:</w:t>
      </w:r>
      <w:r w:rsidRPr="0093142A">
        <w:rPr>
          <w:rFonts w:cs="Times New Roman"/>
          <w:szCs w:val="24"/>
        </w:rPr>
        <w:t xml:space="preserve"> Lehtësimi i aksesit për</w:t>
      </w:r>
      <w:r w:rsidRPr="008B3DCF">
        <w:rPr>
          <w:rFonts w:cs="Times New Roman"/>
          <w:szCs w:val="24"/>
        </w:rPr>
        <w:t xml:space="preserve"> shërbimet e kërkuara në kuadër të zgj</w:t>
      </w:r>
      <w:r w:rsidR="00FC670A">
        <w:rPr>
          <w:rFonts w:cs="Times New Roman"/>
          <w:szCs w:val="24"/>
        </w:rPr>
        <w:t>i</w:t>
      </w:r>
      <w:r w:rsidRPr="008B3DCF">
        <w:rPr>
          <w:rFonts w:cs="Times New Roman"/>
          <w:szCs w:val="24"/>
        </w:rPr>
        <w:t>dhjes alternative të mosmarrëveshjeve (ZAM) si një mjet për zgjidhjen e shpejtë të problematikave që normalisht kërkojnë më shumë kohë dhe kosto përmes zgjidhjeve gjyqësore. Për këtë qëllim, me rëndësi është edhe vendosja e protokolleve të bashkëpunimit me organizatat e shoqatat që kanë në fokus mbrojtjen e konsumatorëve apo njësitë përgjegjëse në shërbim të konsumatorit pranë pushtetit lokal apo q</w:t>
      </w:r>
      <w:r w:rsidR="00FC670A">
        <w:rPr>
          <w:rFonts w:cs="Times New Roman"/>
          <w:szCs w:val="24"/>
        </w:rPr>
        <w:t>e</w:t>
      </w:r>
      <w:r w:rsidRPr="008B3DCF">
        <w:rPr>
          <w:rFonts w:cs="Times New Roman"/>
          <w:szCs w:val="24"/>
        </w:rPr>
        <w:t>ndror.</w:t>
      </w:r>
    </w:p>
    <w:p w14:paraId="02E18E37" w14:textId="77777777" w:rsidR="00BA0674" w:rsidRDefault="00B01AD7" w:rsidP="00BA0674">
      <w:pPr>
        <w:spacing w:after="0" w:line="240" w:lineRule="auto"/>
        <w:jc w:val="both"/>
        <w:rPr>
          <w:rFonts w:cs="Times New Roman"/>
          <w:b/>
          <w:szCs w:val="24"/>
        </w:rPr>
      </w:pPr>
      <w:r w:rsidRPr="009475CC">
        <w:rPr>
          <w:rFonts w:cs="Times New Roman"/>
          <w:b/>
          <w:szCs w:val="24"/>
        </w:rPr>
        <w:t>Indikatorët</w:t>
      </w:r>
      <w:r w:rsidR="00DB607F">
        <w:rPr>
          <w:rFonts w:cs="Times New Roman"/>
          <w:b/>
          <w:szCs w:val="24"/>
        </w:rPr>
        <w:t xml:space="preserve">: </w:t>
      </w:r>
    </w:p>
    <w:p w14:paraId="7DF1A8CC" w14:textId="3E342EDD" w:rsidR="00B01AD7" w:rsidRPr="00A014A1" w:rsidRDefault="00B01AD7" w:rsidP="00623352">
      <w:pPr>
        <w:pStyle w:val="ListParagraph"/>
        <w:numPr>
          <w:ilvl w:val="0"/>
          <w:numId w:val="38"/>
        </w:numPr>
        <w:spacing w:after="0" w:line="240" w:lineRule="auto"/>
        <w:jc w:val="both"/>
        <w:rPr>
          <w:rFonts w:cs="Times New Roman"/>
          <w:szCs w:val="24"/>
        </w:rPr>
      </w:pPr>
      <w:r w:rsidRPr="00BA0674">
        <w:rPr>
          <w:rFonts w:cs="Times New Roman"/>
          <w:szCs w:val="24"/>
        </w:rPr>
        <w:t>Përgatitja e një</w:t>
      </w:r>
      <w:r w:rsidR="00DC1055">
        <w:rPr>
          <w:rFonts w:cs="Times New Roman"/>
          <w:szCs w:val="24"/>
        </w:rPr>
        <w:t>(1)</w:t>
      </w:r>
      <w:r w:rsidRPr="00BA0674">
        <w:rPr>
          <w:rFonts w:cs="Times New Roman"/>
          <w:szCs w:val="24"/>
        </w:rPr>
        <w:t xml:space="preserve"> dokumenti në formën e një metodologjie i cili të reflektoj</w:t>
      </w:r>
      <w:r w:rsidR="00BA0674" w:rsidRPr="00BA0674">
        <w:rPr>
          <w:rFonts w:cs="Times New Roman"/>
          <w:szCs w:val="24"/>
        </w:rPr>
        <w:t>ë</w:t>
      </w:r>
      <w:r w:rsidRPr="00BA0674">
        <w:rPr>
          <w:rFonts w:cs="Times New Roman"/>
          <w:szCs w:val="24"/>
        </w:rPr>
        <w:t xml:space="preserve"> parimet e </w:t>
      </w:r>
      <w:r w:rsidRPr="00A014A1">
        <w:rPr>
          <w:rFonts w:cs="Times New Roman"/>
          <w:szCs w:val="24"/>
        </w:rPr>
        <w:t>rregullimit tarifor nga rrregullatori për këtë kategori konsumatori.</w:t>
      </w:r>
    </w:p>
    <w:p w14:paraId="3AE5961E" w14:textId="2539310E" w:rsidR="00B01AD7" w:rsidRPr="00A014A1" w:rsidRDefault="00B01AD7" w:rsidP="00623352">
      <w:pPr>
        <w:pStyle w:val="ListParagraph"/>
        <w:numPr>
          <w:ilvl w:val="0"/>
          <w:numId w:val="38"/>
        </w:numPr>
        <w:spacing w:after="0" w:line="240" w:lineRule="auto"/>
        <w:jc w:val="both"/>
        <w:rPr>
          <w:rFonts w:cs="Times New Roman"/>
          <w:szCs w:val="24"/>
        </w:rPr>
      </w:pPr>
      <w:r w:rsidRPr="00BA0674">
        <w:rPr>
          <w:rFonts w:cs="Times New Roman"/>
          <w:szCs w:val="24"/>
        </w:rPr>
        <w:t xml:space="preserve">Trajnimi i </w:t>
      </w:r>
      <w:r w:rsidR="00DC1055">
        <w:rPr>
          <w:rFonts w:cs="Times New Roman"/>
          <w:szCs w:val="24"/>
        </w:rPr>
        <w:t xml:space="preserve">(2) </w:t>
      </w:r>
      <w:r w:rsidRPr="00BA0674">
        <w:rPr>
          <w:rFonts w:cs="Times New Roman"/>
          <w:szCs w:val="24"/>
        </w:rPr>
        <w:t>strukturave përgjegjëse të ERE</w:t>
      </w:r>
      <w:r w:rsidR="00BA0674">
        <w:rPr>
          <w:rFonts w:cs="Times New Roman"/>
          <w:szCs w:val="24"/>
        </w:rPr>
        <w:t>-s</w:t>
      </w:r>
      <w:r w:rsidRPr="00BA0674">
        <w:rPr>
          <w:rFonts w:cs="Times New Roman"/>
          <w:szCs w:val="24"/>
        </w:rPr>
        <w:t xml:space="preserve"> mbi metodat e llogaritjes nga regullatori të </w:t>
      </w:r>
      <w:r w:rsidRPr="00A014A1">
        <w:rPr>
          <w:rFonts w:cs="Times New Roman"/>
          <w:szCs w:val="24"/>
        </w:rPr>
        <w:t>sistemit tarifor për furnizuesit që ofrojnë shër</w:t>
      </w:r>
      <w:r w:rsidR="00BA0674" w:rsidRPr="00A014A1">
        <w:rPr>
          <w:rFonts w:cs="Times New Roman"/>
          <w:szCs w:val="24"/>
        </w:rPr>
        <w:t>b</w:t>
      </w:r>
      <w:r w:rsidRPr="00A014A1">
        <w:rPr>
          <w:rFonts w:cs="Times New Roman"/>
          <w:szCs w:val="24"/>
        </w:rPr>
        <w:t>imin e furnizimit për pikat e karikimit elektrike apo për klientët që e përfitojnë këtë shërbim</w:t>
      </w:r>
      <w:r w:rsidR="00BA0674" w:rsidRPr="00A014A1">
        <w:rPr>
          <w:rFonts w:cs="Times New Roman"/>
          <w:szCs w:val="24"/>
        </w:rPr>
        <w:t>.</w:t>
      </w:r>
    </w:p>
    <w:p w14:paraId="14BCC80E" w14:textId="0EB93165" w:rsidR="00B01AD7" w:rsidRPr="00A014A1" w:rsidRDefault="00A014A1" w:rsidP="00623352">
      <w:pPr>
        <w:pStyle w:val="ListParagraph"/>
        <w:numPr>
          <w:ilvl w:val="0"/>
          <w:numId w:val="38"/>
        </w:numPr>
        <w:spacing w:after="0" w:line="240" w:lineRule="auto"/>
        <w:jc w:val="both"/>
        <w:rPr>
          <w:rFonts w:cs="Times New Roman"/>
          <w:szCs w:val="24"/>
        </w:rPr>
      </w:pPr>
      <w:r>
        <w:rPr>
          <w:rFonts w:cs="Times New Roman"/>
          <w:szCs w:val="24"/>
        </w:rPr>
        <w:t>Trajnimi</w:t>
      </w:r>
      <w:r w:rsidR="00B01AD7" w:rsidRPr="00BA0674">
        <w:rPr>
          <w:rFonts w:cs="Times New Roman"/>
          <w:szCs w:val="24"/>
        </w:rPr>
        <w:t xml:space="preserve">  2 herë në vit, strukturat </w:t>
      </w:r>
      <w:r w:rsidR="00B01AD7" w:rsidRPr="00A014A1">
        <w:rPr>
          <w:rFonts w:cs="Times New Roman"/>
          <w:szCs w:val="24"/>
        </w:rPr>
        <w:t>përgjegjëse për rregullimin ligjor dhe atë tarifor të pikave të karikimit të makinave elektrike me qëllim dhënien e kontributit dire</w:t>
      </w:r>
      <w:r w:rsidR="00BA0674" w:rsidRPr="00A014A1">
        <w:rPr>
          <w:rFonts w:cs="Times New Roman"/>
          <w:szCs w:val="24"/>
        </w:rPr>
        <w:t>k</w:t>
      </w:r>
      <w:r w:rsidR="00B01AD7" w:rsidRPr="00A014A1">
        <w:rPr>
          <w:rFonts w:cs="Times New Roman"/>
          <w:szCs w:val="24"/>
        </w:rPr>
        <w:t>t në ndërmarrjen e iniciativa</w:t>
      </w:r>
      <w:r w:rsidR="00BA0674" w:rsidRPr="00A014A1">
        <w:rPr>
          <w:rFonts w:cs="Times New Roman"/>
          <w:szCs w:val="24"/>
        </w:rPr>
        <w:t>v</w:t>
      </w:r>
      <w:r w:rsidR="00B01AD7" w:rsidRPr="00A014A1">
        <w:rPr>
          <w:rFonts w:cs="Times New Roman"/>
          <w:szCs w:val="24"/>
        </w:rPr>
        <w:t xml:space="preserve">e ligjore për këtë qëllim apo dhe përmbushjen e fushës së vetë të përgjegjësisë në vijim. </w:t>
      </w:r>
    </w:p>
    <w:p w14:paraId="29537BAE" w14:textId="220BEE3D" w:rsidR="00B01AD7" w:rsidRPr="00A014A1" w:rsidRDefault="00B01AD7" w:rsidP="00623352">
      <w:pPr>
        <w:pStyle w:val="ListParagraph"/>
        <w:numPr>
          <w:ilvl w:val="0"/>
          <w:numId w:val="38"/>
        </w:numPr>
        <w:spacing w:after="0" w:line="240" w:lineRule="auto"/>
        <w:jc w:val="both"/>
        <w:rPr>
          <w:rFonts w:cs="Times New Roman"/>
          <w:szCs w:val="24"/>
        </w:rPr>
      </w:pPr>
      <w:r w:rsidRPr="00BA0674">
        <w:rPr>
          <w:rFonts w:cs="Times New Roman"/>
          <w:szCs w:val="24"/>
        </w:rPr>
        <w:t>Ngritja e 1 platforme të përbashkët të furnizuesve në treg të lirë e cila</w:t>
      </w:r>
      <w:r w:rsidR="00BA0674">
        <w:rPr>
          <w:rFonts w:cs="Times New Roman"/>
          <w:szCs w:val="24"/>
        </w:rPr>
        <w:t xml:space="preserve"> do</w:t>
      </w:r>
      <w:r w:rsidRPr="00BA0674">
        <w:rPr>
          <w:rFonts w:cs="Times New Roman"/>
          <w:szCs w:val="24"/>
        </w:rPr>
        <w:t xml:space="preserve"> të ofrojë </w:t>
      </w:r>
      <w:r w:rsidRPr="00A014A1">
        <w:rPr>
          <w:rFonts w:cs="Times New Roman"/>
          <w:szCs w:val="24"/>
        </w:rPr>
        <w:t>informacion mbi ofertat e tregut të furnizimit me energji elektrike (price comparison tool).</w:t>
      </w:r>
      <w:r w:rsidRPr="00A014A1" w:rsidDel="00910DE0">
        <w:rPr>
          <w:rFonts w:cs="Times New Roman"/>
          <w:szCs w:val="24"/>
        </w:rPr>
        <w:t xml:space="preserve"> </w:t>
      </w:r>
    </w:p>
    <w:p w14:paraId="02BC9DB4" w14:textId="21EEEF9C" w:rsidR="00B01AD7" w:rsidRPr="00A014A1" w:rsidRDefault="00B01AD7" w:rsidP="00623352">
      <w:pPr>
        <w:pStyle w:val="ListParagraph"/>
        <w:numPr>
          <w:ilvl w:val="0"/>
          <w:numId w:val="38"/>
        </w:numPr>
        <w:spacing w:after="0" w:line="240" w:lineRule="auto"/>
        <w:jc w:val="both"/>
        <w:rPr>
          <w:rFonts w:cs="Times New Roman"/>
          <w:szCs w:val="24"/>
        </w:rPr>
      </w:pPr>
      <w:r w:rsidRPr="00BA0674">
        <w:rPr>
          <w:rFonts w:cs="Times New Roman"/>
          <w:szCs w:val="24"/>
        </w:rPr>
        <w:t xml:space="preserve">Ngritja e një </w:t>
      </w:r>
      <w:r w:rsidR="00DC1055">
        <w:rPr>
          <w:rFonts w:cs="Times New Roman"/>
          <w:szCs w:val="24"/>
        </w:rPr>
        <w:t xml:space="preserve"> (1)</w:t>
      </w:r>
      <w:r w:rsidRPr="00BA0674">
        <w:rPr>
          <w:rFonts w:cs="Times New Roman"/>
          <w:szCs w:val="24"/>
        </w:rPr>
        <w:t xml:space="preserve">platforme në të cilën përditesimi </w:t>
      </w:r>
      <w:r w:rsidR="00BA0674">
        <w:rPr>
          <w:rFonts w:cs="Times New Roman"/>
          <w:szCs w:val="24"/>
        </w:rPr>
        <w:t>i</w:t>
      </w:r>
      <w:r w:rsidRPr="00BA0674">
        <w:rPr>
          <w:rFonts w:cs="Times New Roman"/>
          <w:szCs w:val="24"/>
        </w:rPr>
        <w:t xml:space="preserve"> regjistrit t</w:t>
      </w:r>
      <w:r w:rsidR="00BA0674">
        <w:rPr>
          <w:rFonts w:cs="Times New Roman"/>
          <w:szCs w:val="24"/>
        </w:rPr>
        <w:t>ë</w:t>
      </w:r>
      <w:r w:rsidRPr="00BA0674">
        <w:rPr>
          <w:rFonts w:cs="Times New Roman"/>
          <w:szCs w:val="24"/>
        </w:rPr>
        <w:t xml:space="preserve"> ankesave në trajtim apo të </w:t>
      </w:r>
      <w:r w:rsidRPr="00A014A1">
        <w:rPr>
          <w:rFonts w:cs="Times New Roman"/>
          <w:szCs w:val="24"/>
        </w:rPr>
        <w:t xml:space="preserve">trajtuara nga ERE të mund të ndiqet në kohë reale nga vetë konsumatorët. </w:t>
      </w:r>
    </w:p>
    <w:p w14:paraId="7339F220" w14:textId="77777777" w:rsidR="00996959" w:rsidRDefault="00996959" w:rsidP="00996959">
      <w:pPr>
        <w:tabs>
          <w:tab w:val="left" w:pos="3792"/>
        </w:tabs>
        <w:rPr>
          <w:rFonts w:cs="Times New Roman"/>
          <w:szCs w:val="24"/>
          <w:lang w:val="sq-AL"/>
        </w:rPr>
      </w:pPr>
      <w:r>
        <w:rPr>
          <w:rFonts w:cs="Times New Roman"/>
          <w:szCs w:val="24"/>
          <w:lang w:val="sq-AL"/>
        </w:rPr>
        <w:tab/>
      </w:r>
    </w:p>
    <w:p w14:paraId="18FAAD8D" w14:textId="2BC8BBCF" w:rsidR="00B01AD7" w:rsidRPr="00E1313E" w:rsidRDefault="00B01AD7" w:rsidP="00A014A1">
      <w:pPr>
        <w:pStyle w:val="Heading4"/>
        <w:rPr>
          <w:lang w:val="sq-AL"/>
        </w:rPr>
      </w:pPr>
      <w:bookmarkStart w:id="171" w:name="_Toc132277391"/>
      <w:r w:rsidRPr="00E1313E">
        <w:rPr>
          <w:lang w:val="sq-AL"/>
        </w:rPr>
        <w:t>E</w:t>
      </w:r>
      <w:r w:rsidR="00996959" w:rsidRPr="00E1313E">
        <w:rPr>
          <w:lang w:val="sq-AL"/>
        </w:rPr>
        <w:t xml:space="preserve">nti </w:t>
      </w:r>
      <w:r w:rsidRPr="00E1313E">
        <w:rPr>
          <w:lang w:val="sq-AL"/>
        </w:rPr>
        <w:t>Rr</w:t>
      </w:r>
      <w:r w:rsidR="00996959" w:rsidRPr="00E1313E">
        <w:rPr>
          <w:lang w:val="sq-AL"/>
        </w:rPr>
        <w:t xml:space="preserve">egullator i </w:t>
      </w:r>
      <w:r w:rsidRPr="00E1313E">
        <w:rPr>
          <w:lang w:val="sq-AL"/>
        </w:rPr>
        <w:t>U</w:t>
      </w:r>
      <w:r w:rsidR="00996959" w:rsidRPr="00E1313E">
        <w:rPr>
          <w:lang w:val="sq-AL"/>
        </w:rPr>
        <w:t>jit</w:t>
      </w:r>
      <w:bookmarkEnd w:id="171"/>
    </w:p>
    <w:tbl>
      <w:tblPr>
        <w:tblStyle w:val="TableGrid"/>
        <w:tblW w:w="0" w:type="auto"/>
        <w:tblLook w:val="04A0" w:firstRow="1" w:lastRow="0" w:firstColumn="1" w:lastColumn="0" w:noHBand="0" w:noVBand="1"/>
      </w:tblPr>
      <w:tblGrid>
        <w:gridCol w:w="9016"/>
      </w:tblGrid>
      <w:tr w:rsidR="00A014A1" w14:paraId="082387B3" w14:textId="77777777" w:rsidTr="00A014A1">
        <w:tc>
          <w:tcPr>
            <w:tcW w:w="9016" w:type="dxa"/>
          </w:tcPr>
          <w:p w14:paraId="1D488C08" w14:textId="1AA2AD29" w:rsidR="00A014A1" w:rsidRDefault="00A014A1" w:rsidP="00A014A1">
            <w:pPr>
              <w:jc w:val="both"/>
              <w:rPr>
                <w:rFonts w:cs="Times New Roman"/>
                <w:b/>
                <w:bCs/>
                <w:szCs w:val="24"/>
              </w:rPr>
            </w:pPr>
            <w:r w:rsidRPr="00F32E3B">
              <w:rPr>
                <w:rFonts w:cs="Times New Roman"/>
                <w:b/>
                <w:bCs/>
                <w:szCs w:val="24"/>
              </w:rPr>
              <w:t xml:space="preserve">Objektivi </w:t>
            </w:r>
            <w:r>
              <w:rPr>
                <w:rFonts w:cs="Times New Roman"/>
                <w:b/>
                <w:bCs/>
                <w:szCs w:val="24"/>
              </w:rPr>
              <w:t>31</w:t>
            </w:r>
            <w:r w:rsidRPr="00F32E3B">
              <w:rPr>
                <w:rFonts w:cs="Times New Roman"/>
                <w:b/>
                <w:bCs/>
                <w:szCs w:val="24"/>
              </w:rPr>
              <w:t xml:space="preserve">: </w:t>
            </w:r>
          </w:p>
          <w:p w14:paraId="2432F3E0" w14:textId="5708720F" w:rsidR="00A014A1" w:rsidRPr="00F32E3B" w:rsidRDefault="00A014A1" w:rsidP="00A014A1">
            <w:pPr>
              <w:jc w:val="both"/>
              <w:rPr>
                <w:rFonts w:cs="Times New Roman"/>
                <w:szCs w:val="24"/>
              </w:rPr>
            </w:pPr>
            <w:r w:rsidRPr="00F32E3B">
              <w:rPr>
                <w:rFonts w:cs="Times New Roman"/>
                <w:szCs w:val="24"/>
              </w:rPr>
              <w:t xml:space="preserve">Rritja e kontrollit ndaj shoqërive </w:t>
            </w:r>
            <w:r>
              <w:rPr>
                <w:rFonts w:cs="Times New Roman"/>
                <w:szCs w:val="24"/>
              </w:rPr>
              <w:t>të Ujwsjellws Kanalizime</w:t>
            </w:r>
            <w:r w:rsidRPr="00F32E3B">
              <w:rPr>
                <w:rFonts w:cs="Times New Roman"/>
                <w:szCs w:val="24"/>
              </w:rPr>
              <w:t xml:space="preserve"> për zbatimin</w:t>
            </w:r>
            <w:r w:rsidRPr="00F32E3B">
              <w:rPr>
                <w:rFonts w:cs="Times New Roman"/>
                <w:b/>
                <w:bCs/>
                <w:szCs w:val="24"/>
              </w:rPr>
              <w:t xml:space="preserve"> </w:t>
            </w:r>
            <w:r w:rsidRPr="00F32E3B">
              <w:rPr>
                <w:rFonts w:cs="Times New Roman"/>
                <w:szCs w:val="24"/>
              </w:rPr>
              <w:t>e legjislacionit ekzistues dhe cilësisë së ofrimit të shërbimit</w:t>
            </w:r>
            <w:r>
              <w:rPr>
                <w:rFonts w:cs="Times New Roman"/>
                <w:szCs w:val="24"/>
              </w:rPr>
              <w:t xml:space="preserve"> në këtë sektor.</w:t>
            </w:r>
          </w:p>
          <w:p w14:paraId="495CCCA4" w14:textId="77777777" w:rsidR="00A014A1" w:rsidRDefault="00A014A1" w:rsidP="009475CC">
            <w:pPr>
              <w:jc w:val="both"/>
              <w:rPr>
                <w:rFonts w:cs="Times New Roman"/>
                <w:b/>
                <w:bCs/>
                <w:szCs w:val="24"/>
              </w:rPr>
            </w:pPr>
          </w:p>
        </w:tc>
      </w:tr>
    </w:tbl>
    <w:p w14:paraId="4826DDE1" w14:textId="77777777" w:rsidR="00A014A1" w:rsidRDefault="00A014A1" w:rsidP="009475CC">
      <w:pPr>
        <w:spacing w:after="0" w:line="240" w:lineRule="auto"/>
        <w:jc w:val="both"/>
        <w:rPr>
          <w:rFonts w:cs="Times New Roman"/>
          <w:b/>
          <w:bCs/>
          <w:szCs w:val="24"/>
        </w:rPr>
      </w:pPr>
    </w:p>
    <w:p w14:paraId="410C6B51" w14:textId="67FC38B1" w:rsidR="00B01AD7" w:rsidRPr="00B23D35" w:rsidRDefault="00B01AD7" w:rsidP="00A014A1">
      <w:pPr>
        <w:spacing w:line="240" w:lineRule="auto"/>
        <w:jc w:val="both"/>
        <w:rPr>
          <w:rFonts w:cs="Times New Roman"/>
          <w:szCs w:val="24"/>
        </w:rPr>
      </w:pPr>
      <w:r w:rsidRPr="009475CC">
        <w:rPr>
          <w:rFonts w:cs="Times New Roman"/>
          <w:b/>
          <w:bCs/>
          <w:szCs w:val="24"/>
        </w:rPr>
        <w:t xml:space="preserve">Masa </w:t>
      </w:r>
      <w:r w:rsidR="00A014A1">
        <w:rPr>
          <w:rFonts w:cs="Times New Roman"/>
          <w:b/>
          <w:bCs/>
          <w:szCs w:val="24"/>
        </w:rPr>
        <w:t>31.</w:t>
      </w:r>
      <w:r w:rsidRPr="009475CC">
        <w:rPr>
          <w:rFonts w:cs="Times New Roman"/>
          <w:b/>
          <w:bCs/>
          <w:szCs w:val="24"/>
        </w:rPr>
        <w:t>1</w:t>
      </w:r>
      <w:r w:rsidRPr="00B23D35">
        <w:rPr>
          <w:rFonts w:cs="Times New Roman"/>
          <w:b/>
          <w:bCs/>
          <w:szCs w:val="24"/>
        </w:rPr>
        <w:t>:</w:t>
      </w:r>
      <w:r w:rsidRPr="00B23D35">
        <w:rPr>
          <w:rFonts w:cs="Times New Roman"/>
          <w:szCs w:val="24"/>
        </w:rPr>
        <w:t xml:space="preserve"> Kryerja e inspektimeve pranë shoqërive UK</w:t>
      </w:r>
      <w:r w:rsidR="00B23D35" w:rsidRPr="00B23D35">
        <w:rPr>
          <w:rFonts w:cs="Times New Roman"/>
          <w:szCs w:val="24"/>
        </w:rPr>
        <w:t>.</w:t>
      </w:r>
    </w:p>
    <w:p w14:paraId="147DEABB" w14:textId="01FAE056" w:rsidR="00B01AD7" w:rsidRPr="009475CC" w:rsidRDefault="00B01AD7" w:rsidP="00A014A1">
      <w:pPr>
        <w:spacing w:line="240" w:lineRule="auto"/>
        <w:rPr>
          <w:rFonts w:cs="Times New Roman"/>
          <w:szCs w:val="24"/>
        </w:rPr>
      </w:pPr>
      <w:r w:rsidRPr="00F32E3B">
        <w:rPr>
          <w:rFonts w:cs="Times New Roman"/>
          <w:szCs w:val="24"/>
        </w:rPr>
        <w:t xml:space="preserve">Do të kryhen inspektime për zbatimin e kushteve të licencës, zbatimit të tarifave të miratuara </w:t>
      </w:r>
      <w:r w:rsidRPr="009475CC">
        <w:rPr>
          <w:rFonts w:cs="Times New Roman"/>
          <w:szCs w:val="24"/>
        </w:rPr>
        <w:t>nga ERRU si dhe monitorimi e treguesve të performancës së shoqërive UK.</w:t>
      </w:r>
    </w:p>
    <w:p w14:paraId="5962B564" w14:textId="7F2EB65B" w:rsidR="00E30933" w:rsidRPr="00A014A1" w:rsidRDefault="00B01AD7" w:rsidP="00623352">
      <w:pPr>
        <w:pStyle w:val="ListParagraph"/>
        <w:numPr>
          <w:ilvl w:val="0"/>
          <w:numId w:val="23"/>
        </w:numPr>
        <w:spacing w:line="240" w:lineRule="auto"/>
        <w:jc w:val="both"/>
        <w:rPr>
          <w:rFonts w:cs="Times New Roman"/>
          <w:i/>
          <w:iCs/>
          <w:szCs w:val="24"/>
        </w:rPr>
      </w:pPr>
      <w:r w:rsidRPr="00A014A1">
        <w:rPr>
          <w:rFonts w:cs="Times New Roman"/>
          <w:b/>
          <w:bCs/>
          <w:szCs w:val="24"/>
        </w:rPr>
        <w:t>Indikatori:</w:t>
      </w:r>
      <w:r w:rsidRPr="00A014A1">
        <w:rPr>
          <w:rFonts w:cs="Times New Roman"/>
          <w:szCs w:val="24"/>
        </w:rPr>
        <w:t xml:space="preserve"> Me krijimin e shoqërive Rajonale UK - subjekte me kompetenca të përbashkëta (SKP) licencimit të tyre dhe vendosjes së tarifave nga ana e Entit Rregullator të Ujit dhe operimit të tyre për ofrimin e shërbimit UK</w:t>
      </w:r>
      <w:r w:rsidR="00A014A1" w:rsidRPr="00A014A1">
        <w:rPr>
          <w:rFonts w:cs="Times New Roman"/>
          <w:szCs w:val="24"/>
        </w:rPr>
        <w:t>,</w:t>
      </w:r>
      <w:r w:rsidRPr="00A014A1">
        <w:rPr>
          <w:rFonts w:cs="Times New Roman"/>
          <w:szCs w:val="24"/>
        </w:rPr>
        <w:t xml:space="preserve"> do të kryhen</w:t>
      </w:r>
      <w:r w:rsidR="00A014A1" w:rsidRPr="00A014A1">
        <w:rPr>
          <w:rFonts w:cs="Times New Roman"/>
          <w:szCs w:val="24"/>
        </w:rPr>
        <w:t xml:space="preserve"> 15 inspektime në vit </w:t>
      </w:r>
      <w:r w:rsidRPr="00A014A1">
        <w:rPr>
          <w:rFonts w:cs="Times New Roman"/>
          <w:szCs w:val="24"/>
        </w:rPr>
        <w:t xml:space="preserve"> në të gjitha SKP.</w:t>
      </w:r>
      <w:r w:rsidR="00E30933" w:rsidRPr="00A014A1">
        <w:rPr>
          <w:rFonts w:cs="Times New Roman"/>
          <w:i/>
          <w:iCs/>
          <w:szCs w:val="24"/>
        </w:rPr>
        <w:t xml:space="preserve"> </w:t>
      </w:r>
    </w:p>
    <w:p w14:paraId="494C2010" w14:textId="676D75BE" w:rsidR="00B01AD7" w:rsidRPr="009475CC" w:rsidRDefault="00B01AD7" w:rsidP="00A014A1">
      <w:pPr>
        <w:spacing w:line="240" w:lineRule="auto"/>
        <w:jc w:val="both"/>
        <w:rPr>
          <w:rFonts w:cs="Times New Roman"/>
          <w:szCs w:val="24"/>
          <w:u w:val="single"/>
        </w:rPr>
      </w:pPr>
      <w:r w:rsidRPr="009475CC">
        <w:rPr>
          <w:rFonts w:cs="Times New Roman"/>
          <w:b/>
          <w:bCs/>
          <w:szCs w:val="24"/>
        </w:rPr>
        <w:t xml:space="preserve">Masa </w:t>
      </w:r>
      <w:r w:rsidR="00A014A1">
        <w:rPr>
          <w:rFonts w:cs="Times New Roman"/>
          <w:b/>
          <w:bCs/>
          <w:szCs w:val="24"/>
        </w:rPr>
        <w:t>31.</w:t>
      </w:r>
      <w:r w:rsidRPr="009475CC">
        <w:rPr>
          <w:rFonts w:cs="Times New Roman"/>
          <w:b/>
          <w:bCs/>
          <w:szCs w:val="24"/>
        </w:rPr>
        <w:t>2:</w:t>
      </w:r>
      <w:r w:rsidR="00A014A1">
        <w:rPr>
          <w:rFonts w:cs="Times New Roman"/>
          <w:b/>
          <w:bCs/>
          <w:szCs w:val="24"/>
        </w:rPr>
        <w:t xml:space="preserve"> </w:t>
      </w:r>
      <w:r w:rsidRPr="009475CC">
        <w:rPr>
          <w:rFonts w:cs="Times New Roman"/>
          <w:szCs w:val="24"/>
        </w:rPr>
        <w:t>Kryerja e monitorimeve pranë shoqërive UK ne drejtim te marrëdhënieve me konsumatorin</w:t>
      </w:r>
      <w:r w:rsidR="00E1313E">
        <w:rPr>
          <w:rFonts w:cs="Times New Roman"/>
          <w:szCs w:val="24"/>
        </w:rPr>
        <w:t>.</w:t>
      </w:r>
    </w:p>
    <w:p w14:paraId="0876DC6F" w14:textId="77777777" w:rsidR="00B01AD7" w:rsidRPr="00F32E3B" w:rsidRDefault="00B01AD7" w:rsidP="00A014A1">
      <w:pPr>
        <w:spacing w:line="240" w:lineRule="auto"/>
        <w:jc w:val="both"/>
        <w:rPr>
          <w:rFonts w:cs="Times New Roman"/>
          <w:szCs w:val="24"/>
        </w:rPr>
      </w:pPr>
      <w:r w:rsidRPr="009475CC">
        <w:rPr>
          <w:rFonts w:cs="Times New Roman"/>
          <w:szCs w:val="24"/>
        </w:rPr>
        <w:t xml:space="preserve">Do të kryhen monitorime </w:t>
      </w:r>
      <w:r w:rsidRPr="00F32E3B">
        <w:rPr>
          <w:rFonts w:cs="Times New Roman"/>
          <w:szCs w:val="24"/>
        </w:rPr>
        <w:t>në të gjitha shoqëritë UK për zbatimin e kushteve të përgjithshme të kontratës midis konsumatorit dhe shoqërisë UK, zbatimit të rekomandimeve të lëna nga rregullatori për përmirësimin e ofrimit të shërbimit në drejtim të konsumatorit.</w:t>
      </w:r>
    </w:p>
    <w:p w14:paraId="43ACFFFC" w14:textId="2CFFDE26" w:rsidR="00E1313E" w:rsidRDefault="00B01AD7" w:rsidP="00A014A1">
      <w:pPr>
        <w:spacing w:line="240" w:lineRule="auto"/>
        <w:jc w:val="both"/>
        <w:rPr>
          <w:rFonts w:cs="Times New Roman"/>
          <w:i/>
          <w:iCs/>
          <w:szCs w:val="24"/>
        </w:rPr>
      </w:pPr>
      <w:r w:rsidRPr="009475CC">
        <w:rPr>
          <w:rFonts w:cs="Times New Roman"/>
          <w:b/>
          <w:bCs/>
          <w:szCs w:val="24"/>
        </w:rPr>
        <w:t>Indikatori:</w:t>
      </w:r>
      <w:r w:rsidRPr="009475CC">
        <w:rPr>
          <w:rFonts w:cs="Times New Roman"/>
          <w:szCs w:val="24"/>
        </w:rPr>
        <w:t xml:space="preserve"> </w:t>
      </w:r>
      <w:r w:rsidR="00A014A1">
        <w:rPr>
          <w:rFonts w:cs="Times New Roman"/>
          <w:szCs w:val="24"/>
        </w:rPr>
        <w:t xml:space="preserve">Kryerja e 3 </w:t>
      </w:r>
      <w:r w:rsidR="00A014A1" w:rsidRPr="00E1313E">
        <w:rPr>
          <w:rFonts w:cs="Times New Roman"/>
          <w:szCs w:val="24"/>
        </w:rPr>
        <w:t>monitorime në vit</w:t>
      </w:r>
      <w:r w:rsidR="00A014A1">
        <w:rPr>
          <w:rFonts w:cs="Times New Roman"/>
          <w:szCs w:val="24"/>
        </w:rPr>
        <w:t xml:space="preserve">, </w:t>
      </w:r>
      <w:r w:rsidRPr="00F32E3B">
        <w:rPr>
          <w:rFonts w:cs="Times New Roman"/>
          <w:szCs w:val="24"/>
        </w:rPr>
        <w:t xml:space="preserve"> të shoqëruara me rekomandime dhe subjekt </w:t>
      </w:r>
      <w:r w:rsidR="00E1313E">
        <w:rPr>
          <w:rFonts w:cs="Times New Roman"/>
          <w:szCs w:val="24"/>
        </w:rPr>
        <w:t xml:space="preserve"> r</w:t>
      </w:r>
      <w:r w:rsidRPr="00F32E3B">
        <w:rPr>
          <w:rFonts w:cs="Times New Roman"/>
          <w:szCs w:val="24"/>
        </w:rPr>
        <w:t>i</w:t>
      </w:r>
      <w:r w:rsidR="00E1313E">
        <w:rPr>
          <w:rFonts w:cs="Times New Roman"/>
          <w:szCs w:val="24"/>
        </w:rPr>
        <w:t>-</w:t>
      </w:r>
      <w:r w:rsidRPr="00F32E3B">
        <w:rPr>
          <w:rFonts w:cs="Times New Roman"/>
          <w:szCs w:val="24"/>
        </w:rPr>
        <w:t>monitorimi pas 6 muajsh</w:t>
      </w:r>
      <w:r w:rsidRPr="00F32E3B">
        <w:rPr>
          <w:rFonts w:cs="Times New Roman"/>
          <w:szCs w:val="24"/>
        </w:rPr>
        <w:tab/>
      </w:r>
      <w:r w:rsidR="00E30933">
        <w:rPr>
          <w:rFonts w:cs="Times New Roman"/>
          <w:szCs w:val="24"/>
        </w:rPr>
        <w:t>.</w:t>
      </w:r>
      <w:r w:rsidRPr="00F32E3B">
        <w:rPr>
          <w:rFonts w:cs="Times New Roman"/>
          <w:i/>
          <w:iCs/>
          <w:szCs w:val="24"/>
        </w:rPr>
        <w:t xml:space="preserve">          </w:t>
      </w:r>
    </w:p>
    <w:p w14:paraId="0781A064" w14:textId="77777777" w:rsidR="00A014A1" w:rsidRDefault="00A014A1" w:rsidP="00E1313E">
      <w:pPr>
        <w:spacing w:after="0" w:line="240" w:lineRule="auto"/>
        <w:jc w:val="both"/>
        <w:rPr>
          <w:rFonts w:cs="Times New Roman"/>
          <w:b/>
          <w:bCs/>
          <w:szCs w:val="24"/>
        </w:rPr>
      </w:pPr>
    </w:p>
    <w:tbl>
      <w:tblPr>
        <w:tblStyle w:val="TableGrid"/>
        <w:tblW w:w="0" w:type="auto"/>
        <w:tblLook w:val="04A0" w:firstRow="1" w:lastRow="0" w:firstColumn="1" w:lastColumn="0" w:noHBand="0" w:noVBand="1"/>
      </w:tblPr>
      <w:tblGrid>
        <w:gridCol w:w="9016"/>
      </w:tblGrid>
      <w:tr w:rsidR="00A014A1" w14:paraId="65586F2E" w14:textId="77777777" w:rsidTr="00A014A1">
        <w:tc>
          <w:tcPr>
            <w:tcW w:w="9016" w:type="dxa"/>
          </w:tcPr>
          <w:p w14:paraId="7451C570" w14:textId="35F12D1D" w:rsidR="00A014A1" w:rsidRDefault="00A014A1" w:rsidP="00A014A1">
            <w:pPr>
              <w:jc w:val="both"/>
              <w:rPr>
                <w:rFonts w:cs="Times New Roman"/>
                <w:b/>
                <w:bCs/>
                <w:szCs w:val="24"/>
              </w:rPr>
            </w:pPr>
            <w:r w:rsidRPr="00F32E3B">
              <w:rPr>
                <w:rFonts w:cs="Times New Roman"/>
                <w:b/>
                <w:bCs/>
                <w:szCs w:val="24"/>
              </w:rPr>
              <w:t xml:space="preserve">Objektivi </w:t>
            </w:r>
            <w:r>
              <w:rPr>
                <w:rFonts w:cs="Times New Roman"/>
                <w:b/>
                <w:bCs/>
                <w:szCs w:val="24"/>
              </w:rPr>
              <w:t>32</w:t>
            </w:r>
            <w:r w:rsidRPr="00F32E3B">
              <w:rPr>
                <w:rFonts w:cs="Times New Roman"/>
                <w:b/>
                <w:bCs/>
                <w:szCs w:val="24"/>
              </w:rPr>
              <w:t>:</w:t>
            </w:r>
          </w:p>
          <w:p w14:paraId="69C4BA87" w14:textId="005C86E2" w:rsidR="00A014A1" w:rsidRPr="00F32E3B" w:rsidRDefault="00A014A1" w:rsidP="00A014A1">
            <w:pPr>
              <w:jc w:val="both"/>
              <w:rPr>
                <w:rFonts w:cs="Times New Roman"/>
                <w:szCs w:val="24"/>
              </w:rPr>
            </w:pPr>
            <w:r w:rsidRPr="00F32E3B">
              <w:rPr>
                <w:rFonts w:cs="Times New Roman"/>
                <w:szCs w:val="24"/>
              </w:rPr>
              <w:t xml:space="preserve">Rritja e transparencës ndaj konsumatorit për shërbimet ujësjellës kanalizime dhe </w:t>
            </w:r>
            <w:r>
              <w:rPr>
                <w:rFonts w:cs="Times New Roman"/>
                <w:szCs w:val="24"/>
              </w:rPr>
              <w:t>mekanizmave</w:t>
            </w:r>
            <w:r w:rsidRPr="00F32E3B">
              <w:rPr>
                <w:rFonts w:cs="Times New Roman"/>
                <w:szCs w:val="24"/>
              </w:rPr>
              <w:t xml:space="preserve"> të ankimimit</w:t>
            </w:r>
            <w:r>
              <w:rPr>
                <w:rFonts w:cs="Times New Roman"/>
                <w:szCs w:val="24"/>
              </w:rPr>
              <w:t>.</w:t>
            </w:r>
          </w:p>
          <w:p w14:paraId="65B17EC0" w14:textId="77777777" w:rsidR="00A014A1" w:rsidRDefault="00A014A1" w:rsidP="00E1313E">
            <w:pPr>
              <w:jc w:val="both"/>
              <w:rPr>
                <w:rFonts w:cs="Times New Roman"/>
                <w:b/>
                <w:bCs/>
                <w:szCs w:val="24"/>
              </w:rPr>
            </w:pPr>
          </w:p>
        </w:tc>
      </w:tr>
    </w:tbl>
    <w:p w14:paraId="4C557417" w14:textId="77777777" w:rsidR="00A014A1" w:rsidRDefault="00A014A1" w:rsidP="00E1313E">
      <w:pPr>
        <w:spacing w:after="0" w:line="240" w:lineRule="auto"/>
        <w:jc w:val="both"/>
        <w:rPr>
          <w:rFonts w:cs="Times New Roman"/>
          <w:b/>
          <w:bCs/>
          <w:szCs w:val="24"/>
        </w:rPr>
      </w:pPr>
    </w:p>
    <w:p w14:paraId="7C0D9924" w14:textId="4F872162" w:rsidR="00B01AD7" w:rsidRPr="009475CC" w:rsidRDefault="00B01AD7" w:rsidP="00A014A1">
      <w:pPr>
        <w:spacing w:line="240" w:lineRule="auto"/>
        <w:jc w:val="both"/>
        <w:rPr>
          <w:rFonts w:cs="Times New Roman"/>
          <w:szCs w:val="24"/>
        </w:rPr>
      </w:pPr>
      <w:r w:rsidRPr="009475CC">
        <w:rPr>
          <w:rFonts w:cs="Times New Roman"/>
          <w:b/>
          <w:bCs/>
          <w:szCs w:val="24"/>
        </w:rPr>
        <w:t xml:space="preserve">Masa </w:t>
      </w:r>
      <w:r w:rsidR="00A014A1">
        <w:rPr>
          <w:rFonts w:cs="Times New Roman"/>
          <w:b/>
          <w:bCs/>
          <w:szCs w:val="24"/>
        </w:rPr>
        <w:t>32.</w:t>
      </w:r>
      <w:r w:rsidRPr="009475CC">
        <w:rPr>
          <w:rFonts w:cs="Times New Roman"/>
          <w:b/>
          <w:bCs/>
          <w:szCs w:val="24"/>
        </w:rPr>
        <w:t>1:</w:t>
      </w:r>
      <w:r w:rsidRPr="009475CC">
        <w:rPr>
          <w:rFonts w:cs="Times New Roman"/>
          <w:szCs w:val="24"/>
        </w:rPr>
        <w:t xml:space="preserve"> Përmirësimi i faqes zyrtare të ERRU dhe kanaleve të tjera të komunikimit</w:t>
      </w:r>
      <w:r w:rsidR="00E1313E">
        <w:rPr>
          <w:rFonts w:cs="Times New Roman"/>
          <w:szCs w:val="24"/>
        </w:rPr>
        <w:t>.</w:t>
      </w:r>
    </w:p>
    <w:p w14:paraId="30B8EA2C" w14:textId="06210BDA" w:rsidR="00B01AD7" w:rsidRPr="00F32E3B" w:rsidRDefault="00B01AD7" w:rsidP="00A014A1">
      <w:pPr>
        <w:spacing w:line="240" w:lineRule="auto"/>
        <w:jc w:val="both"/>
        <w:rPr>
          <w:rFonts w:cs="Times New Roman"/>
          <w:szCs w:val="24"/>
        </w:rPr>
      </w:pPr>
      <w:r w:rsidRPr="00F32E3B">
        <w:rPr>
          <w:rFonts w:cs="Times New Roman"/>
          <w:szCs w:val="24"/>
        </w:rPr>
        <w:t xml:space="preserve">Do të kryhen rikonceptim i faqes zyrtare të ERRU-së </w:t>
      </w:r>
      <w:hyperlink r:id="rId39" w:history="1">
        <w:r w:rsidR="00A014A1" w:rsidRPr="00771338">
          <w:rPr>
            <w:rStyle w:val="Hyperlink"/>
            <w:rFonts w:cs="Times New Roman"/>
            <w:szCs w:val="24"/>
          </w:rPr>
          <w:t>www.erru.al</w:t>
        </w:r>
      </w:hyperlink>
      <w:r w:rsidRPr="00F32E3B">
        <w:rPr>
          <w:rFonts w:cs="Times New Roman"/>
          <w:szCs w:val="24"/>
        </w:rPr>
        <w:t xml:space="preserve"> me informacione, njoftime mbi gjendjen në sektorin UK, pasqyrimit të performancës së shoqërive UK vit pas viti, t</w:t>
      </w:r>
      <w:r w:rsidR="00E1313E">
        <w:rPr>
          <w:rFonts w:cs="Times New Roman"/>
          <w:szCs w:val="24"/>
        </w:rPr>
        <w:t>ë</w:t>
      </w:r>
      <w:r w:rsidRPr="00F32E3B">
        <w:rPr>
          <w:rFonts w:cs="Times New Roman"/>
          <w:szCs w:val="24"/>
        </w:rPr>
        <w:t xml:space="preserve"> drejtave dhe detyrimeve të shoqërive UK ndaj ofrimit të shërbimit si dhe të drejtat dhe detyrimet e konsumatorëve në marrjen e shërbimit.</w:t>
      </w:r>
    </w:p>
    <w:p w14:paraId="40FC69A2" w14:textId="0667B539" w:rsidR="00B01AD7" w:rsidRPr="00F32E3B" w:rsidRDefault="00E1313E" w:rsidP="00A014A1">
      <w:pPr>
        <w:spacing w:line="240" w:lineRule="auto"/>
        <w:jc w:val="both"/>
        <w:rPr>
          <w:rFonts w:cs="Times New Roman"/>
          <w:szCs w:val="24"/>
        </w:rPr>
      </w:pPr>
      <w:r w:rsidRPr="00E1313E">
        <w:rPr>
          <w:rFonts w:cs="Times New Roman"/>
          <w:b/>
          <w:bCs/>
          <w:szCs w:val="24"/>
        </w:rPr>
        <w:t xml:space="preserve">Masa </w:t>
      </w:r>
      <w:r w:rsidR="00A014A1">
        <w:rPr>
          <w:rFonts w:cs="Times New Roman"/>
          <w:b/>
          <w:bCs/>
          <w:szCs w:val="24"/>
        </w:rPr>
        <w:t>32.</w:t>
      </w:r>
      <w:r w:rsidRPr="00E1313E">
        <w:rPr>
          <w:rFonts w:cs="Times New Roman"/>
          <w:b/>
          <w:bCs/>
          <w:szCs w:val="24"/>
        </w:rPr>
        <w:t>2</w:t>
      </w:r>
      <w:r>
        <w:rPr>
          <w:rFonts w:cs="Times New Roman"/>
          <w:szCs w:val="24"/>
        </w:rPr>
        <w:t xml:space="preserve">: </w:t>
      </w:r>
      <w:r w:rsidR="00B01AD7" w:rsidRPr="00F32E3B">
        <w:rPr>
          <w:rFonts w:cs="Times New Roman"/>
          <w:szCs w:val="24"/>
        </w:rPr>
        <w:t>Ofrimi i kanaleve online të ankimimit të konsumatorëve drejtuar Entit Rregullator të Ujit. Një dritare e veçantë do i dedikohet zgjidhjes së mosmarrëveshjeve nëpërmjet Strukturës së Zgjidhjes Alternative të Mosmarrëveshjeve.</w:t>
      </w:r>
    </w:p>
    <w:p w14:paraId="0107B038" w14:textId="02545C94" w:rsidR="00A014A1" w:rsidRDefault="00B01AD7" w:rsidP="00A014A1">
      <w:pPr>
        <w:spacing w:after="0"/>
        <w:jc w:val="both"/>
        <w:rPr>
          <w:rFonts w:cs="Times New Roman"/>
          <w:i/>
          <w:iCs/>
          <w:szCs w:val="24"/>
        </w:rPr>
      </w:pPr>
      <w:r w:rsidRPr="00A014A1">
        <w:rPr>
          <w:rFonts w:cs="Times New Roman"/>
          <w:b/>
          <w:bCs/>
          <w:szCs w:val="24"/>
        </w:rPr>
        <w:t>Indikatori:</w:t>
      </w:r>
      <w:r w:rsidRPr="00A014A1">
        <w:rPr>
          <w:rFonts w:cs="Times New Roman"/>
          <w:szCs w:val="24"/>
        </w:rPr>
        <w:t xml:space="preserve"> </w:t>
      </w:r>
      <w:r w:rsidR="00A014A1" w:rsidRPr="00A014A1">
        <w:rPr>
          <w:rFonts w:cs="Times New Roman"/>
          <w:szCs w:val="24"/>
        </w:rPr>
        <w:t>3 kanale komunikimi</w:t>
      </w:r>
      <w:r w:rsidR="00A014A1">
        <w:rPr>
          <w:rFonts w:cs="Times New Roman"/>
          <w:szCs w:val="24"/>
        </w:rPr>
        <w:t xml:space="preserve"> </w:t>
      </w:r>
      <w:r w:rsidRPr="00F32E3B">
        <w:rPr>
          <w:rFonts w:cs="Times New Roman"/>
          <w:szCs w:val="24"/>
        </w:rPr>
        <w:t xml:space="preserve"> dhe drejtimi të ankesave të konsumatorëve, </w:t>
      </w:r>
      <w:r w:rsidR="00A014A1">
        <w:rPr>
          <w:rFonts w:cs="Times New Roman"/>
          <w:szCs w:val="24"/>
        </w:rPr>
        <w:t>w</w:t>
      </w:r>
      <w:r w:rsidRPr="00F32E3B">
        <w:rPr>
          <w:rFonts w:cs="Times New Roman"/>
          <w:szCs w:val="24"/>
        </w:rPr>
        <w:t xml:space="preserve">ebsite </w:t>
      </w:r>
      <w:hyperlink r:id="rId40" w:history="1">
        <w:r w:rsidR="00A014A1" w:rsidRPr="00771338">
          <w:rPr>
            <w:rStyle w:val="Hyperlink"/>
            <w:rFonts w:cs="Times New Roman"/>
            <w:szCs w:val="24"/>
          </w:rPr>
          <w:t>www.erru.al</w:t>
        </w:r>
      </w:hyperlink>
      <w:r w:rsidRPr="00F32E3B">
        <w:rPr>
          <w:rFonts w:cs="Times New Roman"/>
          <w:szCs w:val="24"/>
        </w:rPr>
        <w:t>: Ankesa dhe ZAM; Nr. telefoni +3552 258 046</w:t>
      </w:r>
      <w:r w:rsidR="00A014A1">
        <w:rPr>
          <w:rFonts w:cs="Times New Roman"/>
          <w:szCs w:val="24"/>
        </w:rPr>
        <w:t xml:space="preserve">, </w:t>
      </w:r>
      <w:r w:rsidR="00A014A1" w:rsidRPr="00F32E3B">
        <w:rPr>
          <w:rFonts w:cs="Times New Roman"/>
          <w:i/>
          <w:iCs/>
          <w:szCs w:val="24"/>
        </w:rPr>
        <w:t xml:space="preserve">      </w:t>
      </w:r>
    </w:p>
    <w:p w14:paraId="12917322" w14:textId="77777777" w:rsidR="00E1313E" w:rsidRDefault="00E1313E" w:rsidP="009475CC">
      <w:pPr>
        <w:jc w:val="center"/>
        <w:rPr>
          <w:rFonts w:cs="Times New Roman"/>
          <w:b/>
          <w:bCs/>
          <w:szCs w:val="24"/>
          <w:lang w:val="sq-AL"/>
        </w:rPr>
      </w:pPr>
    </w:p>
    <w:p w14:paraId="5C9F3063" w14:textId="4BC2FDDA" w:rsidR="00D6045B" w:rsidRPr="00E1313E" w:rsidRDefault="00D6045B" w:rsidP="00A014A1">
      <w:pPr>
        <w:pStyle w:val="Heading4"/>
        <w:rPr>
          <w:lang w:val="sq-AL"/>
        </w:rPr>
      </w:pPr>
      <w:bookmarkStart w:id="172" w:name="_Toc132277392"/>
      <w:r w:rsidRPr="00E1313E">
        <w:rPr>
          <w:lang w:val="sq-AL"/>
        </w:rPr>
        <w:t>Autoriteti i Komunikimeve Elektronike dhe Postare</w:t>
      </w:r>
      <w:bookmarkEnd w:id="172"/>
    </w:p>
    <w:tbl>
      <w:tblPr>
        <w:tblStyle w:val="TableGrid"/>
        <w:tblW w:w="0" w:type="auto"/>
        <w:tblLook w:val="04A0" w:firstRow="1" w:lastRow="0" w:firstColumn="1" w:lastColumn="0" w:noHBand="0" w:noVBand="1"/>
      </w:tblPr>
      <w:tblGrid>
        <w:gridCol w:w="9016"/>
      </w:tblGrid>
      <w:tr w:rsidR="00C64F12" w14:paraId="2D45C388" w14:textId="77777777" w:rsidTr="00C64F12">
        <w:tc>
          <w:tcPr>
            <w:tcW w:w="9016" w:type="dxa"/>
          </w:tcPr>
          <w:p w14:paraId="3B34442F" w14:textId="56A5B500" w:rsidR="00C64F12" w:rsidRDefault="00C64F12" w:rsidP="009475CC">
            <w:pPr>
              <w:widowControl w:val="0"/>
              <w:jc w:val="both"/>
              <w:rPr>
                <w:rFonts w:eastAsia="Times New Roman" w:cs="Times New Roman"/>
                <w:i/>
                <w:iCs/>
                <w:color w:val="000000"/>
                <w:szCs w:val="24"/>
              </w:rPr>
            </w:pPr>
            <w:r w:rsidRPr="009475CC">
              <w:rPr>
                <w:rFonts w:eastAsia="Times New Roman" w:cs="Times New Roman"/>
                <w:b/>
                <w:color w:val="000000"/>
                <w:szCs w:val="24"/>
              </w:rPr>
              <w:t>Objektiv</w:t>
            </w:r>
            <w:r>
              <w:rPr>
                <w:rFonts w:eastAsia="Times New Roman" w:cs="Times New Roman"/>
                <w:b/>
                <w:color w:val="000000"/>
                <w:szCs w:val="24"/>
              </w:rPr>
              <w:t>i</w:t>
            </w:r>
            <w:r w:rsidRPr="009475CC">
              <w:rPr>
                <w:rFonts w:eastAsia="Times New Roman" w:cs="Times New Roman"/>
                <w:b/>
                <w:color w:val="000000"/>
                <w:szCs w:val="24"/>
              </w:rPr>
              <w:t xml:space="preserve"> </w:t>
            </w:r>
            <w:r>
              <w:rPr>
                <w:rFonts w:eastAsia="Times New Roman" w:cs="Times New Roman"/>
                <w:b/>
                <w:color w:val="000000"/>
                <w:szCs w:val="24"/>
              </w:rPr>
              <w:t>33:</w:t>
            </w:r>
            <w:r w:rsidRPr="00F32E3B">
              <w:rPr>
                <w:rFonts w:eastAsia="Times New Roman" w:cs="Times New Roman"/>
                <w:i/>
                <w:iCs/>
                <w:color w:val="000000"/>
                <w:szCs w:val="24"/>
              </w:rPr>
              <w:t xml:space="preserve"> </w:t>
            </w:r>
          </w:p>
          <w:p w14:paraId="3D7ADB8F" w14:textId="345BA777" w:rsidR="00C64F12" w:rsidRPr="00C64F12" w:rsidRDefault="00C64F12" w:rsidP="009475CC">
            <w:pPr>
              <w:widowControl w:val="0"/>
              <w:jc w:val="both"/>
              <w:rPr>
                <w:rFonts w:cs="Times New Roman"/>
                <w:szCs w:val="24"/>
              </w:rPr>
            </w:pPr>
            <w:r w:rsidRPr="009475CC">
              <w:rPr>
                <w:rFonts w:eastAsia="Times New Roman" w:cs="Times New Roman"/>
                <w:color w:val="000000"/>
                <w:szCs w:val="24"/>
              </w:rPr>
              <w:t>Rritja e përfitimeve të konsumatorëve nga aksesi dhe përdorimi i shërbimeve të komunikimeve elektronike dhe postare, në kuptimin e zgjedhjes së ofruesit, çmimit dhe cilësisë së shërbimit.</w:t>
            </w:r>
          </w:p>
        </w:tc>
      </w:tr>
    </w:tbl>
    <w:p w14:paraId="73497068" w14:textId="77777777" w:rsidR="00C64F12" w:rsidRDefault="00C64F12" w:rsidP="009475CC">
      <w:pPr>
        <w:widowControl w:val="0"/>
        <w:spacing w:after="0" w:line="240" w:lineRule="auto"/>
        <w:jc w:val="both"/>
        <w:rPr>
          <w:rFonts w:eastAsia="Times New Roman" w:cs="Times New Roman"/>
          <w:b/>
          <w:color w:val="000000"/>
          <w:szCs w:val="24"/>
          <w:lang w:val="en-US"/>
        </w:rPr>
      </w:pPr>
    </w:p>
    <w:p w14:paraId="57316E3A" w14:textId="2E1D9CF0" w:rsidR="00D6045B" w:rsidRPr="009475CC" w:rsidRDefault="00D6045B" w:rsidP="009475CC">
      <w:pPr>
        <w:spacing w:after="0" w:line="240" w:lineRule="auto"/>
        <w:rPr>
          <w:rFonts w:eastAsia="Times New Roman" w:cs="Times New Roman"/>
          <w:iCs/>
          <w:color w:val="000000"/>
          <w:szCs w:val="24"/>
        </w:rPr>
      </w:pPr>
      <w:r>
        <w:rPr>
          <w:rFonts w:cs="Times New Roman"/>
          <w:b/>
          <w:szCs w:val="24"/>
        </w:rPr>
        <w:t xml:space="preserve">Masa </w:t>
      </w:r>
      <w:r w:rsidR="00C64F12">
        <w:rPr>
          <w:rFonts w:cs="Times New Roman"/>
          <w:b/>
          <w:szCs w:val="24"/>
        </w:rPr>
        <w:t>33.</w:t>
      </w:r>
      <w:r>
        <w:rPr>
          <w:rFonts w:cs="Times New Roman"/>
          <w:b/>
          <w:szCs w:val="24"/>
        </w:rPr>
        <w:t xml:space="preserve">1: </w:t>
      </w:r>
      <w:r w:rsidR="00C64F12">
        <w:rPr>
          <w:rFonts w:cs="Times New Roman"/>
          <w:b/>
          <w:szCs w:val="24"/>
        </w:rPr>
        <w:t xml:space="preserve">Draftimi dhe </w:t>
      </w:r>
      <w:r w:rsidR="00C64F12">
        <w:rPr>
          <w:rFonts w:cs="Times New Roman"/>
          <w:iCs/>
          <w:szCs w:val="24"/>
        </w:rPr>
        <w:t>m</w:t>
      </w:r>
      <w:r w:rsidRPr="009475CC">
        <w:rPr>
          <w:rFonts w:cs="Times New Roman"/>
          <w:iCs/>
          <w:szCs w:val="24"/>
        </w:rPr>
        <w:t>iratimi i ligjit të ri “Për komunikimet elektronike në Republikën e Shqipërisë”</w:t>
      </w:r>
      <w:r w:rsidR="00516BC0">
        <w:rPr>
          <w:rFonts w:cs="Times New Roman"/>
          <w:iCs/>
          <w:szCs w:val="24"/>
        </w:rPr>
        <w:t>.</w:t>
      </w:r>
    </w:p>
    <w:p w14:paraId="1E5E80E9" w14:textId="1324845E" w:rsidR="00D6045B" w:rsidRPr="009475CC" w:rsidRDefault="00D6045B" w:rsidP="00C64F12">
      <w:pPr>
        <w:spacing w:line="240" w:lineRule="auto"/>
        <w:jc w:val="both"/>
        <w:rPr>
          <w:rFonts w:cs="Times New Roman"/>
          <w:szCs w:val="24"/>
        </w:rPr>
      </w:pPr>
      <w:r w:rsidRPr="009475CC">
        <w:rPr>
          <w:rFonts w:cs="Times New Roman"/>
          <w:szCs w:val="24"/>
        </w:rPr>
        <w:t>M</w:t>
      </w:r>
      <w:r w:rsidR="00516BC0">
        <w:rPr>
          <w:rFonts w:cs="Times New Roman"/>
          <w:szCs w:val="24"/>
        </w:rPr>
        <w:t>e</w:t>
      </w:r>
      <w:r w:rsidRPr="009475CC">
        <w:rPr>
          <w:rFonts w:cs="Times New Roman"/>
          <w:szCs w:val="24"/>
        </w:rPr>
        <w:t xml:space="preserve"> datë 31.10.2022, MIE ka nxjerrë në këshillim publik projektligjin “Për komunikimet elektronike në Republikën e Shqipërisë”, i cili është publikuar në </w:t>
      </w:r>
      <w:hyperlink r:id="rId41" w:history="1">
        <w:r w:rsidR="00C64F12" w:rsidRPr="00771338">
          <w:rPr>
            <w:rStyle w:val="Hyperlink"/>
            <w:rFonts w:cs="Times New Roman"/>
            <w:szCs w:val="24"/>
          </w:rPr>
          <w:t>www.konsultimipublik.gov.al</w:t>
        </w:r>
      </w:hyperlink>
      <w:r w:rsidRPr="009475CC">
        <w:rPr>
          <w:rFonts w:cs="Times New Roman"/>
          <w:szCs w:val="24"/>
        </w:rPr>
        <w:t>.</w:t>
      </w:r>
    </w:p>
    <w:p w14:paraId="1CC6D182" w14:textId="77777777" w:rsidR="00516BC0" w:rsidRDefault="00D6045B" w:rsidP="009475CC">
      <w:pPr>
        <w:spacing w:after="0" w:line="240" w:lineRule="auto"/>
        <w:rPr>
          <w:rFonts w:cs="Times New Roman"/>
          <w:szCs w:val="24"/>
        </w:rPr>
      </w:pPr>
      <w:r w:rsidRPr="009475CC">
        <w:rPr>
          <w:rFonts w:cs="Times New Roman"/>
          <w:b/>
          <w:szCs w:val="24"/>
        </w:rPr>
        <w:t>Indikatori</w:t>
      </w:r>
      <w:r w:rsidRPr="009475CC">
        <w:rPr>
          <w:rFonts w:cs="Times New Roman"/>
          <w:szCs w:val="24"/>
        </w:rPr>
        <w:t xml:space="preserve">: </w:t>
      </w:r>
    </w:p>
    <w:p w14:paraId="2A843C51" w14:textId="134E6745" w:rsidR="00D6045B" w:rsidRPr="00516BC0" w:rsidRDefault="00D6045B" w:rsidP="00623352">
      <w:pPr>
        <w:pStyle w:val="ListParagraph"/>
        <w:numPr>
          <w:ilvl w:val="0"/>
          <w:numId w:val="23"/>
        </w:numPr>
        <w:spacing w:line="240" w:lineRule="auto"/>
        <w:rPr>
          <w:rFonts w:eastAsia="Times New Roman" w:cs="Times New Roman"/>
          <w:color w:val="000000"/>
          <w:szCs w:val="24"/>
        </w:rPr>
      </w:pPr>
      <w:r w:rsidRPr="00516BC0">
        <w:rPr>
          <w:rFonts w:cs="Times New Roman"/>
          <w:szCs w:val="24"/>
        </w:rPr>
        <w:t>Miratimi nga Kuvendi dhe hyrja në fuqi e ligjit të ri</w:t>
      </w:r>
      <w:r w:rsidR="00555990">
        <w:rPr>
          <w:rFonts w:cs="Times New Roman"/>
          <w:szCs w:val="24"/>
        </w:rPr>
        <w:t>.</w:t>
      </w:r>
    </w:p>
    <w:p w14:paraId="28E268CA" w14:textId="64E05292" w:rsidR="00D6045B" w:rsidRPr="00F32E3B" w:rsidRDefault="00D6045B" w:rsidP="00C64F12">
      <w:pPr>
        <w:spacing w:line="240" w:lineRule="auto"/>
        <w:jc w:val="both"/>
        <w:rPr>
          <w:rFonts w:cs="Times New Roman"/>
          <w:szCs w:val="24"/>
        </w:rPr>
      </w:pPr>
      <w:r w:rsidRPr="009475CC">
        <w:rPr>
          <w:rFonts w:cs="Times New Roman"/>
          <w:b/>
          <w:bCs/>
          <w:iCs/>
          <w:szCs w:val="24"/>
        </w:rPr>
        <w:t xml:space="preserve">Masa </w:t>
      </w:r>
      <w:r w:rsidR="00C64F12">
        <w:rPr>
          <w:rFonts w:cs="Times New Roman"/>
          <w:b/>
          <w:bCs/>
          <w:iCs/>
          <w:szCs w:val="24"/>
        </w:rPr>
        <w:t>33.</w:t>
      </w:r>
      <w:r w:rsidRPr="009475CC">
        <w:rPr>
          <w:rFonts w:cs="Times New Roman"/>
          <w:b/>
          <w:bCs/>
          <w:iCs/>
          <w:szCs w:val="24"/>
        </w:rPr>
        <w:t>2:</w:t>
      </w:r>
      <w:r w:rsidRPr="009475CC">
        <w:rPr>
          <w:rFonts w:cs="Times New Roman"/>
          <w:iCs/>
          <w:szCs w:val="24"/>
        </w:rPr>
        <w:t xml:space="preserve"> Përmirësimi i informacionit/</w:t>
      </w:r>
      <w:r w:rsidR="00516BC0">
        <w:rPr>
          <w:rFonts w:cs="Times New Roman"/>
          <w:iCs/>
          <w:szCs w:val="24"/>
        </w:rPr>
        <w:t xml:space="preserve"> </w:t>
      </w:r>
      <w:r w:rsidRPr="009475CC">
        <w:rPr>
          <w:rFonts w:cs="Times New Roman"/>
          <w:iCs/>
          <w:szCs w:val="24"/>
        </w:rPr>
        <w:t>përmbajtjes së kontratave të pajtimit të operatoreve për t</w:t>
      </w:r>
      <w:r w:rsidR="00516BC0">
        <w:rPr>
          <w:rFonts w:cs="Times New Roman"/>
          <w:iCs/>
          <w:szCs w:val="24"/>
        </w:rPr>
        <w:t>ë</w:t>
      </w:r>
      <w:r w:rsidRPr="009475CC">
        <w:rPr>
          <w:rFonts w:cs="Times New Roman"/>
          <w:iCs/>
          <w:szCs w:val="24"/>
        </w:rPr>
        <w:t xml:space="preserve"> përfshirë rregullat e reja të mbrojtje</w:t>
      </w:r>
      <w:r w:rsidR="00516BC0">
        <w:rPr>
          <w:rFonts w:cs="Times New Roman"/>
          <w:iCs/>
          <w:szCs w:val="24"/>
        </w:rPr>
        <w:t>s</w:t>
      </w:r>
      <w:r w:rsidRPr="009475CC">
        <w:rPr>
          <w:rFonts w:cs="Times New Roman"/>
          <w:iCs/>
          <w:szCs w:val="24"/>
        </w:rPr>
        <w:t xml:space="preserve"> së konsumatorëve sipas ligjit t</w:t>
      </w:r>
      <w:r w:rsidR="00516BC0">
        <w:rPr>
          <w:rFonts w:cs="Times New Roman"/>
          <w:iCs/>
          <w:szCs w:val="24"/>
        </w:rPr>
        <w:t>ë</w:t>
      </w:r>
      <w:r w:rsidRPr="009475CC">
        <w:rPr>
          <w:rFonts w:cs="Times New Roman"/>
          <w:iCs/>
          <w:szCs w:val="24"/>
        </w:rPr>
        <w:t xml:space="preserve"> ri t</w:t>
      </w:r>
      <w:r w:rsidR="00516BC0">
        <w:rPr>
          <w:rFonts w:cs="Times New Roman"/>
          <w:iCs/>
          <w:szCs w:val="24"/>
        </w:rPr>
        <w:t>ë</w:t>
      </w:r>
      <w:r w:rsidRPr="009475CC">
        <w:rPr>
          <w:rFonts w:cs="Times New Roman"/>
          <w:iCs/>
          <w:szCs w:val="24"/>
        </w:rPr>
        <w:t xml:space="preserve"> komunikimeve elektronike</w:t>
      </w:r>
      <w:r w:rsidRPr="009475CC">
        <w:rPr>
          <w:rFonts w:cs="Times New Roman"/>
          <w:i/>
          <w:szCs w:val="24"/>
        </w:rPr>
        <w:t>.</w:t>
      </w:r>
      <w:r>
        <w:rPr>
          <w:rFonts w:cs="Times New Roman"/>
          <w:i/>
          <w:szCs w:val="24"/>
        </w:rPr>
        <w:t xml:space="preserve"> </w:t>
      </w:r>
      <w:r w:rsidRPr="00F32E3B">
        <w:rPr>
          <w:rFonts w:cs="Times New Roman"/>
          <w:szCs w:val="24"/>
        </w:rPr>
        <w:t>Gjatë vitit 2022</w:t>
      </w:r>
      <w:r w:rsidR="00516BC0">
        <w:rPr>
          <w:rFonts w:cs="Times New Roman"/>
          <w:szCs w:val="24"/>
        </w:rPr>
        <w:t>,</w:t>
      </w:r>
      <w:r w:rsidRPr="00F32E3B">
        <w:rPr>
          <w:rFonts w:cs="Times New Roman"/>
          <w:szCs w:val="24"/>
        </w:rPr>
        <w:t xml:space="preserve"> operatorët kryesorë të tregut kanë kryer ndryshime në kontrata të pajtimit për të reflektuar ndryshimet në kuadrin nënligjor për mbrojtjen e konsumatorëve/pajtimtarëve të shërbimeve të komunikimeve elektronike publike (Rregullorja 49/2021). </w:t>
      </w:r>
      <w:r>
        <w:rPr>
          <w:rFonts w:cs="Times New Roman"/>
          <w:szCs w:val="24"/>
        </w:rPr>
        <w:t xml:space="preserve"> </w:t>
      </w:r>
      <w:r w:rsidRPr="00F32E3B">
        <w:rPr>
          <w:rFonts w:cs="Times New Roman"/>
          <w:szCs w:val="24"/>
        </w:rPr>
        <w:t xml:space="preserve">Pas miratimit dhe hyrjes në fuqi të ligjit të ri për komunikimet elektronike, kontratat e pajtimit të operatorëve për konsumatorët duhet të reflektojnë ndryshimet përkatëse ligjore dhe nënligjore, të cilat imponojnë një sërë ndryshimesh në favor të rritjes së transparencës së informacionit të kontratave dhe sigurisë ligjore të konsumatorëve. </w:t>
      </w:r>
    </w:p>
    <w:p w14:paraId="45A9A5D6" w14:textId="77777777" w:rsidR="00516BC0" w:rsidRDefault="00D6045B" w:rsidP="00C64F12">
      <w:pPr>
        <w:spacing w:line="240" w:lineRule="auto"/>
        <w:jc w:val="both"/>
        <w:rPr>
          <w:rFonts w:cs="Times New Roman"/>
          <w:iCs/>
          <w:szCs w:val="24"/>
        </w:rPr>
      </w:pPr>
      <w:r w:rsidRPr="009475CC">
        <w:rPr>
          <w:rFonts w:cs="Times New Roman"/>
          <w:b/>
          <w:iCs/>
          <w:szCs w:val="24"/>
        </w:rPr>
        <w:t>In</w:t>
      </w:r>
      <w:r>
        <w:rPr>
          <w:rFonts w:cs="Times New Roman"/>
          <w:b/>
          <w:iCs/>
          <w:szCs w:val="24"/>
        </w:rPr>
        <w:t>d</w:t>
      </w:r>
      <w:r w:rsidRPr="009475CC">
        <w:rPr>
          <w:rFonts w:cs="Times New Roman"/>
          <w:b/>
          <w:iCs/>
          <w:szCs w:val="24"/>
        </w:rPr>
        <w:t>ikator</w:t>
      </w:r>
      <w:r>
        <w:rPr>
          <w:rFonts w:cs="Times New Roman"/>
          <w:b/>
          <w:iCs/>
          <w:szCs w:val="24"/>
        </w:rPr>
        <w:t>i</w:t>
      </w:r>
      <w:r w:rsidRPr="009475CC">
        <w:rPr>
          <w:rFonts w:cs="Times New Roman"/>
          <w:iCs/>
          <w:szCs w:val="24"/>
        </w:rPr>
        <w:t xml:space="preserve">: </w:t>
      </w:r>
    </w:p>
    <w:p w14:paraId="789A2DDF" w14:textId="4537D38D" w:rsidR="00D6045B" w:rsidRDefault="00CD2FBA" w:rsidP="00623352">
      <w:pPr>
        <w:pStyle w:val="ListParagraph"/>
        <w:numPr>
          <w:ilvl w:val="0"/>
          <w:numId w:val="23"/>
        </w:numPr>
        <w:spacing w:line="240" w:lineRule="auto"/>
        <w:jc w:val="both"/>
        <w:rPr>
          <w:rFonts w:cs="Times New Roman"/>
          <w:iCs/>
          <w:szCs w:val="24"/>
        </w:rPr>
      </w:pPr>
      <w:r w:rsidRPr="00CD2FBA">
        <w:rPr>
          <w:rFonts w:cs="Times New Roman"/>
          <w:iCs/>
          <w:szCs w:val="24"/>
          <w:highlight w:val="yellow"/>
        </w:rPr>
        <w:t>( 4)</w:t>
      </w:r>
      <w:r w:rsidR="00D6045B" w:rsidRPr="00516BC0">
        <w:rPr>
          <w:rFonts w:cs="Times New Roman"/>
          <w:iCs/>
          <w:szCs w:val="24"/>
        </w:rPr>
        <w:t xml:space="preserve"> kontratave standarde të pajtimit të </w:t>
      </w:r>
      <w:r w:rsidRPr="00CD2FBA">
        <w:rPr>
          <w:rFonts w:cs="Times New Roman"/>
          <w:iCs/>
          <w:szCs w:val="24"/>
        </w:rPr>
        <w:t xml:space="preserve">të operatoreve </w:t>
      </w:r>
      <w:r>
        <w:rPr>
          <w:rFonts w:cs="Times New Roman"/>
          <w:iCs/>
          <w:szCs w:val="24"/>
        </w:rPr>
        <w:t xml:space="preserve">të </w:t>
      </w:r>
      <w:r w:rsidR="00C64F12">
        <w:rPr>
          <w:rFonts w:cs="Times New Roman"/>
          <w:iCs/>
          <w:szCs w:val="24"/>
        </w:rPr>
        <w:t>përmirësuara</w:t>
      </w:r>
      <w:r w:rsidR="00555990">
        <w:rPr>
          <w:rFonts w:cs="Times New Roman"/>
          <w:iCs/>
          <w:szCs w:val="24"/>
        </w:rPr>
        <w:t>.</w:t>
      </w:r>
    </w:p>
    <w:p w14:paraId="12886CB8" w14:textId="1C41EEF2" w:rsidR="00555990" w:rsidRPr="00516BC0" w:rsidRDefault="00555990" w:rsidP="00623352">
      <w:pPr>
        <w:pStyle w:val="ListParagraph"/>
        <w:numPr>
          <w:ilvl w:val="0"/>
          <w:numId w:val="23"/>
        </w:numPr>
        <w:spacing w:line="240" w:lineRule="auto"/>
        <w:jc w:val="both"/>
        <w:rPr>
          <w:rFonts w:cs="Times New Roman"/>
          <w:iCs/>
          <w:szCs w:val="24"/>
        </w:rPr>
      </w:pPr>
      <w:r>
        <w:rPr>
          <w:rFonts w:cs="Times New Roman"/>
          <w:iCs/>
          <w:szCs w:val="24"/>
        </w:rPr>
        <w:t xml:space="preserve">Miratimi I ligjit “ </w:t>
      </w:r>
      <w:r w:rsidRPr="00555990">
        <w:rPr>
          <w:rFonts w:cs="Times New Roman"/>
          <w:iCs/>
          <w:szCs w:val="24"/>
        </w:rPr>
        <w:t>Për komunikimet elektronike në Republikën e Shqipërisë”.</w:t>
      </w:r>
    </w:p>
    <w:p w14:paraId="3F3175D1" w14:textId="46F79B04" w:rsidR="00D6045B" w:rsidRPr="00F32E3B" w:rsidRDefault="00D6045B" w:rsidP="00C64F12">
      <w:pPr>
        <w:spacing w:line="240" w:lineRule="auto"/>
        <w:jc w:val="both"/>
        <w:rPr>
          <w:rFonts w:cs="Times New Roman"/>
          <w:szCs w:val="24"/>
        </w:rPr>
      </w:pPr>
      <w:r w:rsidRPr="009475CC">
        <w:rPr>
          <w:rFonts w:cs="Times New Roman"/>
          <w:b/>
          <w:bCs/>
          <w:iCs/>
          <w:szCs w:val="24"/>
        </w:rPr>
        <w:t xml:space="preserve">Masa </w:t>
      </w:r>
      <w:r w:rsidR="00C64F12">
        <w:rPr>
          <w:rFonts w:cs="Times New Roman"/>
          <w:b/>
          <w:bCs/>
          <w:iCs/>
          <w:szCs w:val="24"/>
        </w:rPr>
        <w:t>33.</w:t>
      </w:r>
      <w:r w:rsidRPr="009475CC">
        <w:rPr>
          <w:rFonts w:cs="Times New Roman"/>
          <w:b/>
          <w:bCs/>
          <w:iCs/>
          <w:szCs w:val="24"/>
        </w:rPr>
        <w:t>3:</w:t>
      </w:r>
      <w:r>
        <w:rPr>
          <w:rFonts w:cs="Times New Roman"/>
          <w:iCs/>
          <w:szCs w:val="24"/>
        </w:rPr>
        <w:t xml:space="preserve"> </w:t>
      </w:r>
      <w:r w:rsidRPr="009475CC">
        <w:rPr>
          <w:rFonts w:cs="Times New Roman"/>
          <w:iCs/>
          <w:szCs w:val="24"/>
        </w:rPr>
        <w:t xml:space="preserve">Përmirësimi i proceseve të trajtimit të kërkesave të bartjes së numrit celular nga operatorët nëpërmjet ndryshimeve në rregulloren e portabilitetit dhe mbikëqyrjes së zbatimit </w:t>
      </w:r>
      <w:r w:rsidRPr="009475CC">
        <w:rPr>
          <w:rFonts w:cs="Times New Roman"/>
          <w:iCs/>
          <w:szCs w:val="24"/>
        </w:rPr>
        <w:lastRenderedPageBreak/>
        <w:t>të rregullave.</w:t>
      </w:r>
      <w:r>
        <w:rPr>
          <w:rFonts w:cs="Times New Roman"/>
          <w:iCs/>
          <w:szCs w:val="24"/>
        </w:rPr>
        <w:t xml:space="preserve"> </w:t>
      </w:r>
      <w:r w:rsidRPr="00F32E3B">
        <w:rPr>
          <w:rFonts w:cs="Times New Roman"/>
          <w:szCs w:val="24"/>
        </w:rPr>
        <w:t>AKEP nëpërmjet ndryshimeve në rregulloren e portabilitetit do të synojnë përmirësimin e procesit të trajtimit ët kërkesave për bartje të numrit celular, të cilat pritet të sjellin reduktim të ndjeshëm të problemeve të krijuara me bartjen e numrit dhe ankesat e konsumatorëve.</w:t>
      </w:r>
    </w:p>
    <w:p w14:paraId="0B5DB4B8" w14:textId="77777777" w:rsidR="00630D5E" w:rsidRDefault="00D6045B" w:rsidP="00C64F12">
      <w:pPr>
        <w:spacing w:line="240" w:lineRule="auto"/>
        <w:jc w:val="both"/>
        <w:rPr>
          <w:rFonts w:cs="Times New Roman"/>
          <w:iCs/>
          <w:szCs w:val="24"/>
        </w:rPr>
      </w:pPr>
      <w:r w:rsidRPr="009475CC">
        <w:rPr>
          <w:rFonts w:cs="Times New Roman"/>
          <w:b/>
          <w:iCs/>
          <w:szCs w:val="24"/>
        </w:rPr>
        <w:t>Indikatori</w:t>
      </w:r>
      <w:r w:rsidRPr="009475CC">
        <w:rPr>
          <w:rFonts w:cs="Times New Roman"/>
          <w:iCs/>
          <w:szCs w:val="24"/>
        </w:rPr>
        <w:t xml:space="preserve">: </w:t>
      </w:r>
    </w:p>
    <w:p w14:paraId="6781984F" w14:textId="0F66A97B" w:rsidR="00D6045B" w:rsidRPr="00630D5E" w:rsidRDefault="00D6045B" w:rsidP="00623352">
      <w:pPr>
        <w:pStyle w:val="ListParagraph"/>
        <w:numPr>
          <w:ilvl w:val="0"/>
          <w:numId w:val="23"/>
        </w:numPr>
        <w:spacing w:line="240" w:lineRule="auto"/>
        <w:jc w:val="both"/>
        <w:rPr>
          <w:rFonts w:cs="Times New Roman"/>
          <w:iCs/>
          <w:szCs w:val="24"/>
        </w:rPr>
      </w:pPr>
      <w:r w:rsidRPr="00630D5E">
        <w:rPr>
          <w:rFonts w:cs="Times New Roman"/>
          <w:iCs/>
          <w:szCs w:val="24"/>
        </w:rPr>
        <w:t>Reduktimi</w:t>
      </w:r>
      <w:r w:rsidR="00C64F12">
        <w:rPr>
          <w:rFonts w:cs="Times New Roman"/>
          <w:iCs/>
          <w:szCs w:val="24"/>
        </w:rPr>
        <w:t xml:space="preserve"> deri </w:t>
      </w:r>
      <w:r w:rsidR="00C64F12" w:rsidRPr="004D79E1">
        <w:rPr>
          <w:rFonts w:cs="Times New Roman"/>
          <w:iCs/>
          <w:szCs w:val="24"/>
          <w:highlight w:val="yellow"/>
        </w:rPr>
        <w:t>n</w:t>
      </w:r>
      <w:r w:rsidR="004D79E1" w:rsidRPr="004D79E1">
        <w:rPr>
          <w:rFonts w:cs="Times New Roman"/>
          <w:iCs/>
          <w:szCs w:val="24"/>
          <w:highlight w:val="yellow"/>
        </w:rPr>
        <w:t xml:space="preserve">ë </w:t>
      </w:r>
      <w:r w:rsidR="00C64F12" w:rsidRPr="004D79E1">
        <w:rPr>
          <w:rFonts w:cs="Times New Roman"/>
          <w:iCs/>
          <w:szCs w:val="24"/>
          <w:highlight w:val="yellow"/>
        </w:rPr>
        <w:t xml:space="preserve"> </w:t>
      </w:r>
      <w:r w:rsidR="004D79E1" w:rsidRPr="004D79E1">
        <w:rPr>
          <w:rFonts w:cs="Times New Roman"/>
          <w:iCs/>
          <w:szCs w:val="24"/>
          <w:highlight w:val="yellow"/>
        </w:rPr>
        <w:t>5</w:t>
      </w:r>
      <w:r w:rsidR="00C64F12" w:rsidRPr="004D79E1">
        <w:rPr>
          <w:rFonts w:cs="Times New Roman"/>
          <w:iCs/>
          <w:szCs w:val="24"/>
          <w:highlight w:val="yellow"/>
        </w:rPr>
        <w:t xml:space="preserve"> % </w:t>
      </w:r>
      <w:r w:rsidR="004D79E1" w:rsidRPr="004D79E1">
        <w:rPr>
          <w:rFonts w:cs="Times New Roman"/>
          <w:iCs/>
          <w:szCs w:val="24"/>
          <w:highlight w:val="yellow"/>
        </w:rPr>
        <w:t xml:space="preserve"> ne vit</w:t>
      </w:r>
      <w:r w:rsidR="004D79E1">
        <w:rPr>
          <w:rFonts w:cs="Times New Roman"/>
          <w:iCs/>
          <w:szCs w:val="24"/>
        </w:rPr>
        <w:t xml:space="preserve"> </w:t>
      </w:r>
      <w:r w:rsidR="00C64F12">
        <w:rPr>
          <w:rFonts w:cs="Times New Roman"/>
          <w:iCs/>
          <w:szCs w:val="24"/>
        </w:rPr>
        <w:t>in</w:t>
      </w:r>
      <w:r w:rsidRPr="00630D5E">
        <w:rPr>
          <w:rFonts w:cs="Times New Roman"/>
          <w:iCs/>
          <w:szCs w:val="24"/>
        </w:rPr>
        <w:t>umri</w:t>
      </w:r>
      <w:r w:rsidR="00C64F12">
        <w:rPr>
          <w:rFonts w:cs="Times New Roman"/>
          <w:iCs/>
          <w:szCs w:val="24"/>
        </w:rPr>
        <w:t>ttë</w:t>
      </w:r>
      <w:r w:rsidRPr="00630D5E">
        <w:rPr>
          <w:rFonts w:cs="Times New Roman"/>
          <w:iCs/>
          <w:szCs w:val="24"/>
        </w:rPr>
        <w:t xml:space="preserve"> ankesave për bartje të numrit celular.</w:t>
      </w:r>
    </w:p>
    <w:p w14:paraId="3BD93413" w14:textId="36A90ACD" w:rsidR="00D6045B" w:rsidRPr="00F32E3B" w:rsidRDefault="00D6045B" w:rsidP="00C64F12">
      <w:pPr>
        <w:spacing w:line="240" w:lineRule="auto"/>
        <w:rPr>
          <w:rFonts w:cs="Times New Roman"/>
          <w:szCs w:val="24"/>
        </w:rPr>
      </w:pPr>
      <w:r w:rsidRPr="009475CC">
        <w:rPr>
          <w:rFonts w:cs="Times New Roman"/>
          <w:b/>
          <w:bCs/>
          <w:iCs/>
          <w:szCs w:val="24"/>
        </w:rPr>
        <w:t xml:space="preserve">Masa </w:t>
      </w:r>
      <w:r w:rsidR="00C64F12">
        <w:rPr>
          <w:rFonts w:cs="Times New Roman"/>
          <w:b/>
          <w:bCs/>
          <w:iCs/>
          <w:szCs w:val="24"/>
        </w:rPr>
        <w:t>33.</w:t>
      </w:r>
      <w:r w:rsidRPr="009475CC">
        <w:rPr>
          <w:rFonts w:cs="Times New Roman"/>
          <w:b/>
          <w:bCs/>
          <w:iCs/>
          <w:szCs w:val="24"/>
        </w:rPr>
        <w:t>4:</w:t>
      </w:r>
      <w:r w:rsidRPr="009475CC">
        <w:rPr>
          <w:rFonts w:cs="Times New Roman"/>
          <w:iCs/>
          <w:szCs w:val="24"/>
        </w:rPr>
        <w:t xml:space="preserve"> Rritje e transparencës dhe cilësisë se shërbimit të aksesit ne internet me qëllim sigurimin e aksesit të hapur në internet për konsumatorët.</w:t>
      </w:r>
      <w:r>
        <w:rPr>
          <w:rFonts w:cs="Times New Roman"/>
          <w:iCs/>
          <w:szCs w:val="24"/>
        </w:rPr>
        <w:t xml:space="preserve"> </w:t>
      </w:r>
      <w:r w:rsidRPr="00F32E3B">
        <w:rPr>
          <w:rFonts w:cs="Times New Roman"/>
          <w:szCs w:val="24"/>
        </w:rPr>
        <w:t>Ligji i ri për komunikimet elektronike pritet të imponojë rregulla për rritjen e transparencës dhe cilësisë së shërbimit të aksesit në internet, për të garantuar aksesin e hapur në internet. Konsumatorët do të kenë mundësi që nëpërmjet një Instrumenti certifikues të krahasojnë shpejtësinë aktuale me atë të kontraktuar të aksesit në internet dhe këto matje të shërbejnë si provë për zbatimin ose jo të kushteve të kontratës dhe të drejtave të konsumatorit për kompensim/</w:t>
      </w:r>
      <w:r w:rsidR="00461657">
        <w:rPr>
          <w:rFonts w:cs="Times New Roman"/>
          <w:szCs w:val="24"/>
        </w:rPr>
        <w:t xml:space="preserve"> </w:t>
      </w:r>
      <w:r w:rsidRPr="00F32E3B">
        <w:rPr>
          <w:rFonts w:cs="Times New Roman"/>
          <w:szCs w:val="24"/>
        </w:rPr>
        <w:t xml:space="preserve">veprime juridike korrigjuese. </w:t>
      </w:r>
    </w:p>
    <w:p w14:paraId="3EF73B22" w14:textId="77777777" w:rsidR="00461657" w:rsidRDefault="00D6045B" w:rsidP="00C64F12">
      <w:pPr>
        <w:spacing w:line="240" w:lineRule="auto"/>
        <w:jc w:val="both"/>
        <w:rPr>
          <w:rFonts w:cs="Times New Roman"/>
          <w:iCs/>
          <w:szCs w:val="24"/>
        </w:rPr>
      </w:pPr>
      <w:r w:rsidRPr="009475CC">
        <w:rPr>
          <w:rFonts w:cs="Times New Roman"/>
          <w:b/>
          <w:iCs/>
          <w:szCs w:val="24"/>
        </w:rPr>
        <w:t>Indikatori</w:t>
      </w:r>
      <w:r w:rsidRPr="009475CC">
        <w:rPr>
          <w:rFonts w:cs="Times New Roman"/>
          <w:iCs/>
          <w:szCs w:val="24"/>
        </w:rPr>
        <w:t xml:space="preserve">:  </w:t>
      </w:r>
    </w:p>
    <w:p w14:paraId="2A601A02" w14:textId="67AB8BBA" w:rsidR="00461657" w:rsidRDefault="00D6045B" w:rsidP="00623352">
      <w:pPr>
        <w:pStyle w:val="ListParagraph"/>
        <w:numPr>
          <w:ilvl w:val="0"/>
          <w:numId w:val="23"/>
        </w:numPr>
        <w:spacing w:line="240" w:lineRule="auto"/>
        <w:jc w:val="both"/>
        <w:rPr>
          <w:rFonts w:cs="Times New Roman"/>
          <w:iCs/>
          <w:szCs w:val="24"/>
        </w:rPr>
      </w:pPr>
      <w:r w:rsidRPr="00461657">
        <w:rPr>
          <w:rFonts w:cs="Times New Roman"/>
          <w:iCs/>
          <w:szCs w:val="24"/>
        </w:rPr>
        <w:t>Përdorimi</w:t>
      </w:r>
      <w:r w:rsidR="004D79E1">
        <w:rPr>
          <w:rFonts w:cs="Times New Roman"/>
          <w:iCs/>
          <w:szCs w:val="24"/>
        </w:rPr>
        <w:t xml:space="preserve"> </w:t>
      </w:r>
      <w:r w:rsidR="004D79E1" w:rsidRPr="004D79E1">
        <w:rPr>
          <w:rFonts w:cs="Times New Roman"/>
          <w:iCs/>
          <w:szCs w:val="24"/>
          <w:highlight w:val="yellow"/>
        </w:rPr>
        <w:t>10 %</w:t>
      </w:r>
      <w:r w:rsidRPr="004D79E1">
        <w:rPr>
          <w:rFonts w:cs="Times New Roman"/>
          <w:iCs/>
          <w:szCs w:val="24"/>
          <w:highlight w:val="yellow"/>
        </w:rPr>
        <w:t xml:space="preserve"> </w:t>
      </w:r>
      <w:r w:rsidR="004D79E1" w:rsidRPr="004D79E1">
        <w:rPr>
          <w:rFonts w:cs="Times New Roman"/>
          <w:iCs/>
          <w:szCs w:val="24"/>
          <w:highlight w:val="yellow"/>
        </w:rPr>
        <w:t xml:space="preserve"> në vit</w:t>
      </w:r>
      <w:r w:rsidR="004D79E1">
        <w:rPr>
          <w:rFonts w:cs="Times New Roman"/>
          <w:iCs/>
          <w:szCs w:val="24"/>
        </w:rPr>
        <w:t xml:space="preserve"> </w:t>
      </w:r>
      <w:r w:rsidRPr="00461657">
        <w:rPr>
          <w:rFonts w:cs="Times New Roman"/>
          <w:iCs/>
          <w:szCs w:val="24"/>
        </w:rPr>
        <w:t xml:space="preserve">nga konsumatorët i instrumentit certifikues për matjen e shpejtësisë se </w:t>
      </w:r>
    </w:p>
    <w:p w14:paraId="67765CDE" w14:textId="0825B65D" w:rsidR="00D6045B" w:rsidRPr="00C64F12" w:rsidRDefault="00D6045B" w:rsidP="00C64F12">
      <w:pPr>
        <w:spacing w:line="240" w:lineRule="auto"/>
        <w:jc w:val="both"/>
        <w:rPr>
          <w:rFonts w:cs="Times New Roman"/>
          <w:iCs/>
          <w:szCs w:val="24"/>
        </w:rPr>
      </w:pPr>
      <w:r w:rsidRPr="00461657">
        <w:rPr>
          <w:rFonts w:cs="Times New Roman"/>
          <w:iCs/>
          <w:szCs w:val="24"/>
        </w:rPr>
        <w:t>internetit.</w:t>
      </w:r>
    </w:p>
    <w:p w14:paraId="3193036A" w14:textId="2A64F0E1" w:rsidR="00B01AD7" w:rsidRPr="00461657" w:rsidRDefault="00B01AD7" w:rsidP="00C64F12">
      <w:pPr>
        <w:pStyle w:val="Heading4"/>
      </w:pPr>
      <w:bookmarkStart w:id="173" w:name="_Toc132277393"/>
      <w:r w:rsidRPr="003D7E86">
        <w:rPr>
          <w:highlight w:val="yellow"/>
        </w:rPr>
        <w:t>A</w:t>
      </w:r>
      <w:r w:rsidR="00ED1977" w:rsidRPr="003D7E86">
        <w:rPr>
          <w:highlight w:val="yellow"/>
        </w:rPr>
        <w:t xml:space="preserve">utoriteti i </w:t>
      </w:r>
      <w:r w:rsidRPr="003D7E86">
        <w:rPr>
          <w:highlight w:val="yellow"/>
        </w:rPr>
        <w:t>M</w:t>
      </w:r>
      <w:r w:rsidR="00ED1977" w:rsidRPr="003D7E86">
        <w:rPr>
          <w:highlight w:val="yellow"/>
        </w:rPr>
        <w:t xml:space="preserve">bikqyrjes </w:t>
      </w:r>
      <w:r w:rsidRPr="003D7E86">
        <w:rPr>
          <w:highlight w:val="yellow"/>
        </w:rPr>
        <w:t>F</w:t>
      </w:r>
      <w:r w:rsidR="00ED1977" w:rsidRPr="003D7E86">
        <w:rPr>
          <w:highlight w:val="yellow"/>
        </w:rPr>
        <w:t>inanciare</w:t>
      </w:r>
      <w:bookmarkEnd w:id="173"/>
    </w:p>
    <w:tbl>
      <w:tblPr>
        <w:tblStyle w:val="TableGrid"/>
        <w:tblW w:w="0" w:type="auto"/>
        <w:tblInd w:w="360" w:type="dxa"/>
        <w:tblLook w:val="04A0" w:firstRow="1" w:lastRow="0" w:firstColumn="1" w:lastColumn="0" w:noHBand="0" w:noVBand="1"/>
      </w:tblPr>
      <w:tblGrid>
        <w:gridCol w:w="8656"/>
      </w:tblGrid>
      <w:tr w:rsidR="00C64F12" w14:paraId="704EF761" w14:textId="77777777" w:rsidTr="00C64F12">
        <w:tc>
          <w:tcPr>
            <w:tcW w:w="9016" w:type="dxa"/>
          </w:tcPr>
          <w:p w14:paraId="680DAD3E" w14:textId="0CCB8382" w:rsidR="00C64F12" w:rsidRDefault="00C64F12" w:rsidP="00C64F12">
            <w:pPr>
              <w:autoSpaceDE w:val="0"/>
              <w:autoSpaceDN w:val="0"/>
              <w:adjustRightInd w:val="0"/>
              <w:spacing w:line="276" w:lineRule="auto"/>
              <w:jc w:val="both"/>
              <w:rPr>
                <w:rFonts w:eastAsia="Calibri" w:cs="Times New Roman"/>
                <w:iCs/>
                <w:szCs w:val="24"/>
                <w:lang w:val="sq-AL"/>
              </w:rPr>
            </w:pPr>
            <w:r w:rsidRPr="00461657">
              <w:rPr>
                <w:rFonts w:cs="Times New Roman"/>
                <w:b/>
                <w:szCs w:val="24"/>
                <w:lang w:val="sq-AL"/>
              </w:rPr>
              <w:t xml:space="preserve">Objektivi </w:t>
            </w:r>
            <w:r>
              <w:rPr>
                <w:rFonts w:cs="Times New Roman"/>
                <w:b/>
                <w:szCs w:val="24"/>
                <w:lang w:val="sq-AL"/>
              </w:rPr>
              <w:t>34:</w:t>
            </w:r>
            <w:r w:rsidRPr="00461657">
              <w:rPr>
                <w:rFonts w:cs="Times New Roman"/>
                <w:b/>
                <w:szCs w:val="24"/>
                <w:lang w:val="sq-AL"/>
              </w:rPr>
              <w:t xml:space="preserve"> </w:t>
            </w:r>
            <w:r w:rsidRPr="00461657">
              <w:rPr>
                <w:rFonts w:eastAsia="Calibri" w:cs="Times New Roman"/>
                <w:iCs/>
                <w:szCs w:val="24"/>
                <w:lang w:val="sq-AL"/>
              </w:rPr>
              <w:t>Mbrojtja e konsumatorëve nëpërmjet forcimit të mbikëqyrjes së tregut financior jo bankar</w:t>
            </w:r>
            <w:r>
              <w:rPr>
                <w:rFonts w:eastAsia="Calibri" w:cs="Times New Roman"/>
                <w:iCs/>
                <w:szCs w:val="24"/>
                <w:lang w:val="sq-AL"/>
              </w:rPr>
              <w:t>.</w:t>
            </w:r>
          </w:p>
          <w:p w14:paraId="7321BCA5" w14:textId="77777777" w:rsidR="00C64F12" w:rsidRDefault="00C64F12" w:rsidP="00461657">
            <w:pPr>
              <w:autoSpaceDE w:val="0"/>
              <w:autoSpaceDN w:val="0"/>
              <w:adjustRightInd w:val="0"/>
              <w:spacing w:line="276" w:lineRule="auto"/>
              <w:jc w:val="both"/>
              <w:rPr>
                <w:rFonts w:eastAsia="Calibri" w:cs="Times New Roman"/>
                <w:b/>
                <w:szCs w:val="24"/>
                <w:lang w:val="sq-AL"/>
              </w:rPr>
            </w:pPr>
          </w:p>
        </w:tc>
      </w:tr>
    </w:tbl>
    <w:p w14:paraId="5AC712C4" w14:textId="77777777" w:rsidR="00461657" w:rsidRDefault="00461657" w:rsidP="00461657">
      <w:pPr>
        <w:autoSpaceDE w:val="0"/>
        <w:autoSpaceDN w:val="0"/>
        <w:adjustRightInd w:val="0"/>
        <w:spacing w:after="0" w:line="276" w:lineRule="auto"/>
        <w:ind w:left="360" w:firstLine="720"/>
        <w:jc w:val="both"/>
        <w:rPr>
          <w:rFonts w:eastAsia="Calibri" w:cs="Times New Roman"/>
          <w:b/>
          <w:szCs w:val="24"/>
          <w:lang w:val="sq-AL"/>
        </w:rPr>
      </w:pPr>
    </w:p>
    <w:p w14:paraId="28113D44" w14:textId="68E6836D" w:rsidR="00461657" w:rsidRPr="00461657" w:rsidRDefault="00461657" w:rsidP="00C64F12">
      <w:pPr>
        <w:autoSpaceDE w:val="0"/>
        <w:autoSpaceDN w:val="0"/>
        <w:adjustRightInd w:val="0"/>
        <w:spacing w:line="240" w:lineRule="auto"/>
        <w:jc w:val="both"/>
        <w:rPr>
          <w:rFonts w:eastAsia="Calibri" w:cs="Times New Roman"/>
          <w:szCs w:val="24"/>
          <w:lang w:val="sq-AL"/>
        </w:rPr>
      </w:pPr>
      <w:r w:rsidRPr="00461657">
        <w:rPr>
          <w:rFonts w:eastAsia="Calibri" w:cs="Times New Roman"/>
          <w:b/>
          <w:bCs/>
          <w:szCs w:val="24"/>
          <w:lang w:val="sq-AL"/>
        </w:rPr>
        <w:t xml:space="preserve">Masa </w:t>
      </w:r>
      <w:r w:rsidR="00C64F12">
        <w:rPr>
          <w:rFonts w:eastAsia="Calibri" w:cs="Times New Roman"/>
          <w:b/>
          <w:bCs/>
          <w:szCs w:val="24"/>
          <w:lang w:val="sq-AL"/>
        </w:rPr>
        <w:t>34.</w:t>
      </w:r>
      <w:r w:rsidRPr="00461657">
        <w:rPr>
          <w:rFonts w:eastAsia="Calibri" w:cs="Times New Roman"/>
          <w:b/>
          <w:bCs/>
          <w:szCs w:val="24"/>
          <w:lang w:val="sq-AL"/>
        </w:rPr>
        <w:t>1:</w:t>
      </w:r>
      <w:r w:rsidRPr="00461657">
        <w:rPr>
          <w:rFonts w:eastAsia="Calibri" w:cs="Times New Roman"/>
          <w:szCs w:val="24"/>
          <w:lang w:val="sq-AL"/>
        </w:rPr>
        <w:t xml:space="preserve"> Sigurimi i trajtimit të drejtë dhe të përshtatshëm të konsumatorëve, mbrojtja e interesave të tyre dhe përpjekja për të siguruar tregje efikase dhe konkurruese.</w:t>
      </w:r>
    </w:p>
    <w:p w14:paraId="72A068AD" w14:textId="7B9A29D3" w:rsidR="00461657" w:rsidRPr="00461657" w:rsidRDefault="00461657" w:rsidP="00C64F12">
      <w:pPr>
        <w:autoSpaceDE w:val="0"/>
        <w:autoSpaceDN w:val="0"/>
        <w:adjustRightInd w:val="0"/>
        <w:spacing w:line="240" w:lineRule="auto"/>
        <w:jc w:val="both"/>
        <w:rPr>
          <w:rFonts w:eastAsia="Calibri" w:cs="Times New Roman"/>
          <w:szCs w:val="24"/>
          <w:lang w:val="sq-AL"/>
        </w:rPr>
      </w:pPr>
      <w:r w:rsidRPr="00461657">
        <w:rPr>
          <w:rFonts w:eastAsia="Calibri" w:cs="Times New Roman"/>
          <w:b/>
          <w:bCs/>
          <w:szCs w:val="24"/>
          <w:lang w:val="sq-AL"/>
        </w:rPr>
        <w:t xml:space="preserve">Masa </w:t>
      </w:r>
      <w:r w:rsidR="00C64F12">
        <w:rPr>
          <w:rFonts w:eastAsia="Calibri" w:cs="Times New Roman"/>
          <w:b/>
          <w:bCs/>
          <w:szCs w:val="24"/>
          <w:lang w:val="sq-AL"/>
        </w:rPr>
        <w:t>34.</w:t>
      </w:r>
      <w:r w:rsidRPr="00461657">
        <w:rPr>
          <w:rFonts w:eastAsia="Calibri" w:cs="Times New Roman"/>
          <w:b/>
          <w:bCs/>
          <w:szCs w:val="24"/>
          <w:lang w:val="sq-AL"/>
        </w:rPr>
        <w:t>2:</w:t>
      </w:r>
      <w:r w:rsidRPr="00461657">
        <w:rPr>
          <w:rFonts w:eastAsia="Calibri" w:cs="Times New Roman"/>
          <w:szCs w:val="24"/>
          <w:lang w:val="sq-AL"/>
        </w:rPr>
        <w:t xml:space="preserve"> Monitorimi aktiv i përformancës së tregut nëpërmjet analizave të hollësishme të treguesve financiarë dhe statistikorë të subjekteve nën mbikëqyrje gjatë raportimeve periodike të tyre pranë Autoritetit, si dhe në shqyrtimin sistematik të të dhënave nga ankesat e konsumatorëve dhe grupet e konsumatorëve. </w:t>
      </w:r>
    </w:p>
    <w:p w14:paraId="0EDCB8F3" w14:textId="27D9990A" w:rsidR="00461657" w:rsidRDefault="00461657" w:rsidP="00461657">
      <w:pPr>
        <w:autoSpaceDE w:val="0"/>
        <w:autoSpaceDN w:val="0"/>
        <w:adjustRightInd w:val="0"/>
        <w:spacing w:after="0" w:line="276" w:lineRule="auto"/>
        <w:jc w:val="both"/>
        <w:rPr>
          <w:rFonts w:eastAsia="Calibri" w:cs="Times New Roman"/>
          <w:b/>
          <w:szCs w:val="24"/>
          <w:lang w:val="sq-AL"/>
        </w:rPr>
      </w:pPr>
      <w:r w:rsidRPr="00461657">
        <w:rPr>
          <w:rFonts w:eastAsia="Calibri" w:cs="Times New Roman"/>
          <w:b/>
          <w:szCs w:val="24"/>
          <w:lang w:val="sq-AL"/>
        </w:rPr>
        <w:t>Indikator</w:t>
      </w:r>
      <w:r>
        <w:rPr>
          <w:rFonts w:eastAsia="Calibri" w:cs="Times New Roman"/>
          <w:b/>
          <w:szCs w:val="24"/>
          <w:lang w:val="sq-AL"/>
        </w:rPr>
        <w:t>i:</w:t>
      </w:r>
    </w:p>
    <w:p w14:paraId="7D6CA149" w14:textId="05CBE877" w:rsidR="00461657" w:rsidRPr="00461657" w:rsidRDefault="00461657" w:rsidP="004D79E1">
      <w:pPr>
        <w:pStyle w:val="ListParagraph"/>
        <w:numPr>
          <w:ilvl w:val="0"/>
          <w:numId w:val="62"/>
        </w:numPr>
        <w:autoSpaceDE w:val="0"/>
        <w:autoSpaceDN w:val="0"/>
        <w:adjustRightInd w:val="0"/>
        <w:spacing w:after="0" w:line="276" w:lineRule="auto"/>
        <w:jc w:val="both"/>
        <w:rPr>
          <w:rFonts w:eastAsia="Calibri" w:cs="Times New Roman"/>
          <w:szCs w:val="24"/>
          <w:lang w:val="sq-AL"/>
        </w:rPr>
      </w:pPr>
      <w:r w:rsidRPr="00461657">
        <w:rPr>
          <w:rFonts w:eastAsia="Calibri" w:cs="Times New Roman"/>
          <w:szCs w:val="24"/>
          <w:lang w:val="sq-AL"/>
        </w:rPr>
        <w:t xml:space="preserve"> </w:t>
      </w:r>
      <w:r w:rsidRPr="004D79E1">
        <w:rPr>
          <w:rFonts w:eastAsia="Calibri" w:cs="Times New Roman"/>
          <w:szCs w:val="24"/>
          <w:highlight w:val="yellow"/>
          <w:lang w:val="sq-AL"/>
        </w:rPr>
        <w:t>i inspektimeve</w:t>
      </w:r>
      <w:r w:rsidRPr="00461657">
        <w:rPr>
          <w:rFonts w:eastAsia="Calibri" w:cs="Times New Roman"/>
          <w:szCs w:val="24"/>
          <w:lang w:val="sq-AL"/>
        </w:rPr>
        <w:t xml:space="preserve"> për çdo vit sipas tregjeve i ndarë në:</w:t>
      </w:r>
    </w:p>
    <w:p w14:paraId="4B7468B4" w14:textId="0E9B69CC" w:rsidR="00461657" w:rsidRPr="004D79E1" w:rsidRDefault="004D79E1" w:rsidP="00623352">
      <w:pPr>
        <w:pStyle w:val="ListParagraph"/>
        <w:numPr>
          <w:ilvl w:val="0"/>
          <w:numId w:val="24"/>
        </w:numPr>
        <w:autoSpaceDE w:val="0"/>
        <w:autoSpaceDN w:val="0"/>
        <w:adjustRightInd w:val="0"/>
        <w:spacing w:after="0" w:line="276" w:lineRule="auto"/>
        <w:jc w:val="both"/>
        <w:rPr>
          <w:rFonts w:eastAsia="Calibri" w:cs="Times New Roman"/>
          <w:szCs w:val="24"/>
          <w:highlight w:val="yellow"/>
          <w:lang w:val="sq-AL"/>
        </w:rPr>
      </w:pPr>
      <w:r w:rsidRPr="004D79E1">
        <w:rPr>
          <w:rFonts w:eastAsia="Calibri" w:cs="Times New Roman"/>
          <w:szCs w:val="24"/>
          <w:highlight w:val="yellow"/>
          <w:lang w:val="sq-AL"/>
        </w:rPr>
        <w:t xml:space="preserve">3 </w:t>
      </w:r>
      <w:r w:rsidR="00461657" w:rsidRPr="004D79E1">
        <w:rPr>
          <w:rFonts w:eastAsia="Calibri" w:cs="Times New Roman"/>
          <w:szCs w:val="24"/>
          <w:highlight w:val="yellow"/>
          <w:lang w:val="sq-AL"/>
        </w:rPr>
        <w:t>Inspektime të plota me bazë risku,</w:t>
      </w:r>
    </w:p>
    <w:p w14:paraId="4BE18C8B" w14:textId="7380F8B1" w:rsidR="00461657" w:rsidRPr="0073016F" w:rsidRDefault="004D79E1" w:rsidP="00623352">
      <w:pPr>
        <w:pStyle w:val="ListParagraph"/>
        <w:numPr>
          <w:ilvl w:val="0"/>
          <w:numId w:val="24"/>
        </w:numPr>
        <w:autoSpaceDE w:val="0"/>
        <w:autoSpaceDN w:val="0"/>
        <w:adjustRightInd w:val="0"/>
        <w:spacing w:after="0" w:line="276" w:lineRule="auto"/>
        <w:jc w:val="both"/>
        <w:rPr>
          <w:rFonts w:eastAsia="Calibri" w:cs="Times New Roman"/>
          <w:szCs w:val="24"/>
          <w:lang w:val="sq-AL"/>
        </w:rPr>
      </w:pPr>
      <w:r w:rsidRPr="004D79E1">
        <w:rPr>
          <w:rFonts w:eastAsia="Calibri" w:cs="Times New Roman"/>
          <w:szCs w:val="24"/>
          <w:highlight w:val="yellow"/>
          <w:lang w:val="sq-AL"/>
        </w:rPr>
        <w:t xml:space="preserve">3 </w:t>
      </w:r>
      <w:r w:rsidR="00461657" w:rsidRPr="004D79E1">
        <w:rPr>
          <w:rFonts w:eastAsia="Calibri" w:cs="Times New Roman"/>
          <w:szCs w:val="24"/>
          <w:highlight w:val="yellow"/>
          <w:lang w:val="sq-AL"/>
        </w:rPr>
        <w:t>Inspektime tematike</w:t>
      </w:r>
      <w:r w:rsidR="00461657">
        <w:rPr>
          <w:rFonts w:eastAsia="Calibri" w:cs="Times New Roman"/>
          <w:szCs w:val="24"/>
          <w:lang w:val="sq-AL"/>
        </w:rPr>
        <w:t>.</w:t>
      </w:r>
    </w:p>
    <w:p w14:paraId="3D1ED6F3" w14:textId="01A264D5" w:rsidR="00461657" w:rsidRDefault="004D79E1" w:rsidP="00623352">
      <w:pPr>
        <w:pStyle w:val="ListParagraph"/>
        <w:numPr>
          <w:ilvl w:val="0"/>
          <w:numId w:val="23"/>
        </w:numPr>
        <w:autoSpaceDE w:val="0"/>
        <w:autoSpaceDN w:val="0"/>
        <w:adjustRightInd w:val="0"/>
        <w:spacing w:after="0" w:line="276" w:lineRule="auto"/>
        <w:jc w:val="both"/>
        <w:rPr>
          <w:rFonts w:eastAsia="Calibri" w:cs="Times New Roman"/>
          <w:szCs w:val="24"/>
          <w:lang w:val="sq-AL"/>
        </w:rPr>
      </w:pPr>
      <w:r>
        <w:rPr>
          <w:rFonts w:eastAsia="Calibri" w:cs="Times New Roman"/>
          <w:szCs w:val="24"/>
          <w:lang w:val="sq-AL"/>
        </w:rPr>
        <w:t xml:space="preserve"> Përgatitje e 4 katër  raportimeve  </w:t>
      </w:r>
      <w:r>
        <w:t xml:space="preserve">mbi </w:t>
      </w:r>
      <w:r>
        <w:rPr>
          <w:rFonts w:eastAsia="Calibri" w:cs="Times New Roman"/>
          <w:szCs w:val="24"/>
          <w:lang w:val="sq-AL"/>
        </w:rPr>
        <w:t>e</w:t>
      </w:r>
      <w:r w:rsidR="00461657" w:rsidRPr="00461657">
        <w:rPr>
          <w:rFonts w:eastAsia="Calibri" w:cs="Times New Roman"/>
          <w:szCs w:val="24"/>
          <w:lang w:val="sq-AL"/>
        </w:rPr>
        <w:t>curi</w:t>
      </w:r>
      <w:r>
        <w:rPr>
          <w:rFonts w:eastAsia="Calibri" w:cs="Times New Roman"/>
          <w:szCs w:val="24"/>
          <w:lang w:val="sq-AL"/>
        </w:rPr>
        <w:t>ne</w:t>
      </w:r>
      <w:r w:rsidR="00461657" w:rsidRPr="00461657">
        <w:rPr>
          <w:rFonts w:eastAsia="Calibri" w:cs="Times New Roman"/>
          <w:szCs w:val="24"/>
          <w:lang w:val="sq-AL"/>
        </w:rPr>
        <w:t xml:space="preserve"> e dëmeve pezull dhe dëmeve të paguara nga shoqëritë e sigurimit të analizuara </w:t>
      </w:r>
    </w:p>
    <w:p w14:paraId="26D99175" w14:textId="6B050AF3" w:rsidR="00461657" w:rsidRPr="00461657" w:rsidRDefault="00461657" w:rsidP="00461657">
      <w:pPr>
        <w:autoSpaceDE w:val="0"/>
        <w:autoSpaceDN w:val="0"/>
        <w:adjustRightInd w:val="0"/>
        <w:spacing w:after="0" w:line="276" w:lineRule="auto"/>
        <w:jc w:val="both"/>
        <w:rPr>
          <w:rFonts w:eastAsia="Calibri" w:cs="Times New Roman"/>
          <w:szCs w:val="24"/>
          <w:lang w:val="sq-AL"/>
        </w:rPr>
      </w:pPr>
      <w:r w:rsidRPr="00461657">
        <w:rPr>
          <w:rFonts w:eastAsia="Calibri" w:cs="Times New Roman"/>
          <w:szCs w:val="24"/>
          <w:lang w:val="sq-AL"/>
        </w:rPr>
        <w:t xml:space="preserve">për periudha </w:t>
      </w:r>
    </w:p>
    <w:p w14:paraId="4A91A674" w14:textId="081A971D" w:rsidR="00461657" w:rsidRDefault="004D79E1" w:rsidP="00623352">
      <w:pPr>
        <w:pStyle w:val="ListParagraph"/>
        <w:numPr>
          <w:ilvl w:val="0"/>
          <w:numId w:val="23"/>
        </w:numPr>
        <w:autoSpaceDE w:val="0"/>
        <w:autoSpaceDN w:val="0"/>
        <w:adjustRightInd w:val="0"/>
        <w:spacing w:after="0" w:line="276" w:lineRule="auto"/>
        <w:jc w:val="both"/>
        <w:rPr>
          <w:rFonts w:eastAsia="Calibri" w:cs="Times New Roman"/>
          <w:szCs w:val="24"/>
          <w:lang w:val="sq-AL"/>
        </w:rPr>
      </w:pPr>
      <w:r w:rsidRPr="004D79E1">
        <w:rPr>
          <w:rFonts w:eastAsia="Calibri" w:cs="Times New Roman"/>
          <w:szCs w:val="24"/>
          <w:highlight w:val="yellow"/>
          <w:lang w:val="sq-AL"/>
        </w:rPr>
        <w:t>30 ne vit</w:t>
      </w:r>
      <w:r>
        <w:rPr>
          <w:rFonts w:eastAsia="Calibri" w:cs="Times New Roman"/>
          <w:szCs w:val="24"/>
          <w:lang w:val="sq-AL"/>
        </w:rPr>
        <w:t xml:space="preserve"> </w:t>
      </w:r>
      <w:r w:rsidR="00461657" w:rsidRPr="00461657">
        <w:rPr>
          <w:rFonts w:eastAsia="Calibri" w:cs="Times New Roman"/>
          <w:szCs w:val="24"/>
          <w:lang w:val="sq-AL"/>
        </w:rPr>
        <w:t xml:space="preserve"> </w:t>
      </w:r>
      <w:r>
        <w:rPr>
          <w:rFonts w:eastAsia="Calibri" w:cs="Times New Roman"/>
          <w:szCs w:val="24"/>
          <w:lang w:val="sq-AL"/>
        </w:rPr>
        <w:t>i trajtimit të</w:t>
      </w:r>
      <w:r w:rsidR="00461657" w:rsidRPr="00461657">
        <w:rPr>
          <w:rFonts w:eastAsia="Calibri" w:cs="Times New Roman"/>
          <w:szCs w:val="24"/>
          <w:lang w:val="sq-AL"/>
        </w:rPr>
        <w:t xml:space="preserve"> ankesave për secilin treg nën mbikëqyrje, trendi i tyre, cështjet më të ankimuara </w:t>
      </w:r>
    </w:p>
    <w:p w14:paraId="420EF403" w14:textId="6C2EE219" w:rsidR="00461657" w:rsidRPr="00461657" w:rsidRDefault="00461657" w:rsidP="00461657">
      <w:pPr>
        <w:autoSpaceDE w:val="0"/>
        <w:autoSpaceDN w:val="0"/>
        <w:adjustRightInd w:val="0"/>
        <w:spacing w:after="0" w:line="276" w:lineRule="auto"/>
        <w:jc w:val="both"/>
        <w:rPr>
          <w:rFonts w:eastAsia="Calibri" w:cs="Times New Roman"/>
          <w:szCs w:val="24"/>
          <w:lang w:val="sq-AL"/>
        </w:rPr>
      </w:pPr>
    </w:p>
    <w:tbl>
      <w:tblPr>
        <w:tblStyle w:val="TableGrid"/>
        <w:tblW w:w="0" w:type="auto"/>
        <w:tblLook w:val="04A0" w:firstRow="1" w:lastRow="0" w:firstColumn="1" w:lastColumn="0" w:noHBand="0" w:noVBand="1"/>
      </w:tblPr>
      <w:tblGrid>
        <w:gridCol w:w="9016"/>
      </w:tblGrid>
      <w:tr w:rsidR="00C64F12" w14:paraId="6FC8E1A2" w14:textId="77777777" w:rsidTr="00C64F12">
        <w:tc>
          <w:tcPr>
            <w:tcW w:w="9016" w:type="dxa"/>
          </w:tcPr>
          <w:p w14:paraId="272C7673" w14:textId="7680BB6F" w:rsidR="00C64F12" w:rsidRPr="00C64F12" w:rsidRDefault="00C64F12" w:rsidP="00771B15">
            <w:pPr>
              <w:autoSpaceDE w:val="0"/>
              <w:autoSpaceDN w:val="0"/>
              <w:adjustRightInd w:val="0"/>
              <w:spacing w:line="276" w:lineRule="auto"/>
              <w:jc w:val="both"/>
              <w:rPr>
                <w:rFonts w:eastAsia="Calibri" w:cs="Times New Roman"/>
                <w:i/>
                <w:szCs w:val="24"/>
                <w:lang w:val="sq-AL"/>
              </w:rPr>
            </w:pPr>
            <w:r w:rsidRPr="00461657">
              <w:rPr>
                <w:rFonts w:cs="Times New Roman"/>
                <w:b/>
                <w:szCs w:val="24"/>
                <w:lang w:val="sq-AL"/>
              </w:rPr>
              <w:t xml:space="preserve">Objektivi </w:t>
            </w:r>
            <w:r>
              <w:rPr>
                <w:rFonts w:cs="Times New Roman"/>
                <w:b/>
                <w:szCs w:val="24"/>
                <w:lang w:val="sq-AL"/>
              </w:rPr>
              <w:t>35</w:t>
            </w:r>
            <w:r w:rsidRPr="00461657">
              <w:rPr>
                <w:rFonts w:cs="Times New Roman"/>
                <w:b/>
                <w:szCs w:val="24"/>
                <w:lang w:val="sq-AL"/>
              </w:rPr>
              <w:t xml:space="preserve"> </w:t>
            </w:r>
            <w:r w:rsidRPr="00461657">
              <w:rPr>
                <w:rFonts w:eastAsia="Calibri" w:cs="Times New Roman"/>
                <w:iCs/>
                <w:szCs w:val="24"/>
                <w:lang w:val="sq-AL"/>
              </w:rPr>
              <w:t>Rregullimi dhe monitorimi i tregjeve nën mbikëqyrje të Autoritetit, nëpërmjet identifikimit paraprak të problematikave dhe ndërhyrjeve në rast të produkteve të rrezikshme</w:t>
            </w:r>
            <w:r>
              <w:rPr>
                <w:rFonts w:eastAsia="Calibri" w:cs="Times New Roman"/>
                <w:iCs/>
                <w:szCs w:val="24"/>
                <w:lang w:val="sq-AL"/>
              </w:rPr>
              <w:t>.</w:t>
            </w:r>
          </w:p>
        </w:tc>
      </w:tr>
    </w:tbl>
    <w:p w14:paraId="23F858DE" w14:textId="77777777" w:rsidR="00C64F12" w:rsidRDefault="00C64F12" w:rsidP="00771B15">
      <w:pPr>
        <w:autoSpaceDE w:val="0"/>
        <w:autoSpaceDN w:val="0"/>
        <w:adjustRightInd w:val="0"/>
        <w:spacing w:after="0" w:line="276" w:lineRule="auto"/>
        <w:jc w:val="both"/>
        <w:rPr>
          <w:rFonts w:cs="Times New Roman"/>
          <w:b/>
          <w:szCs w:val="24"/>
          <w:lang w:val="sq-AL"/>
        </w:rPr>
      </w:pPr>
    </w:p>
    <w:p w14:paraId="258E4D9A" w14:textId="2B7079AD" w:rsidR="00771B15" w:rsidRDefault="00461657" w:rsidP="00771B15">
      <w:pPr>
        <w:jc w:val="both"/>
        <w:rPr>
          <w:rFonts w:eastAsia="Calibri" w:cs="Times New Roman"/>
          <w:szCs w:val="24"/>
          <w:lang w:val="sq-AL"/>
        </w:rPr>
      </w:pPr>
      <w:r w:rsidRPr="00771B15">
        <w:rPr>
          <w:rFonts w:cs="Times New Roman"/>
          <w:b/>
          <w:szCs w:val="24"/>
          <w:lang w:val="sq-AL"/>
        </w:rPr>
        <w:t>Masa</w:t>
      </w:r>
      <w:r w:rsidR="00771B15">
        <w:rPr>
          <w:rFonts w:cs="Times New Roman"/>
          <w:b/>
          <w:szCs w:val="24"/>
          <w:lang w:val="sq-AL"/>
        </w:rPr>
        <w:t xml:space="preserve"> </w:t>
      </w:r>
      <w:r w:rsidR="00C64F12">
        <w:rPr>
          <w:rFonts w:cs="Times New Roman"/>
          <w:b/>
          <w:szCs w:val="24"/>
          <w:lang w:val="sq-AL"/>
        </w:rPr>
        <w:t>35.</w:t>
      </w:r>
      <w:r w:rsidR="00771B15">
        <w:rPr>
          <w:rFonts w:cs="Times New Roman"/>
          <w:b/>
          <w:szCs w:val="24"/>
          <w:lang w:val="sq-AL"/>
        </w:rPr>
        <w:t>1</w:t>
      </w:r>
      <w:r w:rsidRPr="00771B15">
        <w:rPr>
          <w:rFonts w:cs="Times New Roman"/>
          <w:b/>
          <w:szCs w:val="24"/>
          <w:lang w:val="sq-AL"/>
        </w:rPr>
        <w:t>:</w:t>
      </w:r>
      <w:r w:rsidR="00771B15">
        <w:rPr>
          <w:rFonts w:cs="Times New Roman"/>
          <w:b/>
          <w:szCs w:val="24"/>
          <w:lang w:val="sq-AL"/>
        </w:rPr>
        <w:t xml:space="preserve"> </w:t>
      </w:r>
      <w:r>
        <w:rPr>
          <w:rFonts w:eastAsia="Calibri" w:cs="Times New Roman"/>
          <w:szCs w:val="24"/>
          <w:lang w:val="sq-AL"/>
        </w:rPr>
        <w:t xml:space="preserve">Vlerësimi i riskut agregat nga analizimi i raportimeve të bëra nga subjektet e mbikëqyrura. </w:t>
      </w:r>
    </w:p>
    <w:p w14:paraId="5E3DE474" w14:textId="3EEA9059" w:rsidR="00771B15" w:rsidRDefault="00461657" w:rsidP="00C64F12">
      <w:pPr>
        <w:jc w:val="both"/>
        <w:rPr>
          <w:rFonts w:eastAsia="Calibri" w:cs="Times New Roman"/>
          <w:szCs w:val="24"/>
          <w:lang w:val="sq-AL"/>
        </w:rPr>
      </w:pPr>
      <w:r w:rsidRPr="00771B15">
        <w:rPr>
          <w:rFonts w:eastAsia="Calibri" w:cs="Times New Roman"/>
          <w:b/>
          <w:bCs/>
          <w:szCs w:val="24"/>
          <w:lang w:val="sq-AL"/>
        </w:rPr>
        <w:t xml:space="preserve">Masa </w:t>
      </w:r>
      <w:r w:rsidR="00C64F12">
        <w:rPr>
          <w:rFonts w:eastAsia="Calibri" w:cs="Times New Roman"/>
          <w:b/>
          <w:bCs/>
          <w:szCs w:val="24"/>
          <w:lang w:val="sq-AL"/>
        </w:rPr>
        <w:t>35.</w:t>
      </w:r>
      <w:r w:rsidRPr="00771B15">
        <w:rPr>
          <w:rFonts w:eastAsia="Calibri" w:cs="Times New Roman"/>
          <w:b/>
          <w:bCs/>
          <w:szCs w:val="24"/>
          <w:lang w:val="sq-AL"/>
        </w:rPr>
        <w:t>2</w:t>
      </w:r>
      <w:r w:rsidR="00771B15" w:rsidRPr="00771B15">
        <w:rPr>
          <w:rFonts w:eastAsia="Calibri" w:cs="Times New Roman"/>
          <w:b/>
          <w:bCs/>
          <w:szCs w:val="24"/>
          <w:lang w:val="sq-AL"/>
        </w:rPr>
        <w:t>:</w:t>
      </w:r>
      <w:r w:rsidRPr="00771B15">
        <w:rPr>
          <w:rFonts w:eastAsia="Calibri" w:cs="Times New Roman"/>
          <w:szCs w:val="24"/>
          <w:lang w:val="sq-AL"/>
        </w:rPr>
        <w:t xml:space="preserve"> Ndjekje konsistente e zbatueshmërisë së të gjitha dispozitave ligjore e nënligjore nga subjektet e mbikëqyrura, nëpërmjet monitorimit të produkteve që ju ofrojnë konsumatorëve në faqet e tyre të internetit, me qëllim mbrojtjen e konsumatorëve, duke ndërhyrë në rast të konstatimeve të produkteve jo në përputhje me ato të miratuara nga Autoriteti.</w:t>
      </w:r>
    </w:p>
    <w:p w14:paraId="51CC8E7B" w14:textId="693E2A87" w:rsidR="00771B15" w:rsidRDefault="00461657" w:rsidP="00771B15">
      <w:pPr>
        <w:spacing w:after="0"/>
        <w:jc w:val="both"/>
        <w:rPr>
          <w:rFonts w:eastAsia="Calibri" w:cs="Times New Roman"/>
          <w:b/>
          <w:bCs/>
          <w:szCs w:val="24"/>
          <w:lang w:val="sq-AL"/>
        </w:rPr>
      </w:pPr>
      <w:r w:rsidRPr="00771B15">
        <w:rPr>
          <w:rFonts w:eastAsia="Calibri" w:cs="Times New Roman"/>
          <w:b/>
          <w:bCs/>
          <w:szCs w:val="24"/>
          <w:lang w:val="sq-AL"/>
        </w:rPr>
        <w:t>Indikator</w:t>
      </w:r>
      <w:r w:rsidR="00C64F12">
        <w:rPr>
          <w:rFonts w:eastAsia="Calibri" w:cs="Times New Roman"/>
          <w:b/>
          <w:bCs/>
          <w:szCs w:val="24"/>
          <w:lang w:val="sq-AL"/>
        </w:rPr>
        <w:t>ët</w:t>
      </w:r>
      <w:r w:rsidR="00771B15" w:rsidRPr="00771B15">
        <w:rPr>
          <w:rFonts w:eastAsia="Calibri" w:cs="Times New Roman"/>
          <w:b/>
          <w:bCs/>
          <w:szCs w:val="24"/>
          <w:lang w:val="sq-AL"/>
        </w:rPr>
        <w:t>:</w:t>
      </w:r>
    </w:p>
    <w:p w14:paraId="08FDEE8A" w14:textId="5765DBAE" w:rsidR="00771B15" w:rsidRPr="00C64F12" w:rsidRDefault="00461657" w:rsidP="00623352">
      <w:pPr>
        <w:pStyle w:val="ListParagraph"/>
        <w:numPr>
          <w:ilvl w:val="0"/>
          <w:numId w:val="39"/>
        </w:numPr>
        <w:spacing w:after="0"/>
        <w:jc w:val="both"/>
        <w:rPr>
          <w:rFonts w:eastAsia="Calibri" w:cs="Times New Roman"/>
          <w:szCs w:val="24"/>
          <w:lang w:val="sq-AL"/>
        </w:rPr>
      </w:pPr>
      <w:r w:rsidRPr="00776B2A">
        <w:rPr>
          <w:rFonts w:eastAsia="Calibri" w:cs="Times New Roman"/>
          <w:szCs w:val="24"/>
          <w:highlight w:val="yellow"/>
          <w:lang w:val="sq-AL"/>
        </w:rPr>
        <w:t xml:space="preserve">Analizat </w:t>
      </w:r>
      <w:r w:rsidR="00776B2A" w:rsidRPr="00776B2A">
        <w:rPr>
          <w:rFonts w:eastAsia="Calibri" w:cs="Times New Roman"/>
          <w:szCs w:val="24"/>
          <w:highlight w:val="yellow"/>
          <w:lang w:val="sq-AL"/>
        </w:rPr>
        <w:t xml:space="preserve"> 1 vjcare</w:t>
      </w:r>
      <w:r w:rsidR="00776B2A">
        <w:rPr>
          <w:rFonts w:eastAsia="Calibri" w:cs="Times New Roman"/>
          <w:szCs w:val="24"/>
          <w:lang w:val="sq-AL"/>
        </w:rPr>
        <w:t xml:space="preserve"> e </w:t>
      </w:r>
      <w:r w:rsidRPr="00771B15">
        <w:rPr>
          <w:rFonts w:eastAsia="Calibri" w:cs="Times New Roman"/>
          <w:szCs w:val="24"/>
          <w:lang w:val="sq-AL"/>
        </w:rPr>
        <w:t xml:space="preserve">off-site dhe inspektimet lidhur me produktet, përputhshmërinë e kushteve të </w:t>
      </w:r>
      <w:r w:rsidR="00771B15" w:rsidRPr="00C64F12">
        <w:rPr>
          <w:rFonts w:eastAsia="Calibri" w:cs="Times New Roman"/>
          <w:szCs w:val="24"/>
          <w:lang w:val="sq-AL"/>
        </w:rPr>
        <w:t>p</w:t>
      </w:r>
      <w:r w:rsidRPr="00C64F12">
        <w:rPr>
          <w:rFonts w:eastAsia="Calibri" w:cs="Times New Roman"/>
          <w:szCs w:val="24"/>
          <w:lang w:val="sq-AL"/>
        </w:rPr>
        <w:t>ërgjithshme të produkteve me parimet e mbrojtjes konsumatore.</w:t>
      </w:r>
    </w:p>
    <w:p w14:paraId="6C752E0A" w14:textId="129AC03C" w:rsidR="00461657" w:rsidRPr="00C64F12" w:rsidRDefault="00461657" w:rsidP="00623352">
      <w:pPr>
        <w:pStyle w:val="ListParagraph"/>
        <w:numPr>
          <w:ilvl w:val="0"/>
          <w:numId w:val="39"/>
        </w:numPr>
        <w:spacing w:after="0"/>
        <w:jc w:val="both"/>
        <w:rPr>
          <w:rFonts w:eastAsia="Calibri" w:cs="Times New Roman"/>
          <w:szCs w:val="24"/>
          <w:lang w:val="sq-AL"/>
        </w:rPr>
      </w:pPr>
      <w:r w:rsidRPr="00776B2A">
        <w:rPr>
          <w:rFonts w:eastAsia="Calibri" w:cs="Times New Roman"/>
          <w:szCs w:val="24"/>
          <w:highlight w:val="yellow"/>
          <w:lang w:val="sq-AL"/>
        </w:rPr>
        <w:t xml:space="preserve">Raporti </w:t>
      </w:r>
      <w:r w:rsidR="00776B2A" w:rsidRPr="00776B2A">
        <w:rPr>
          <w:rFonts w:eastAsia="Calibri" w:cs="Times New Roman"/>
          <w:szCs w:val="24"/>
          <w:highlight w:val="yellow"/>
          <w:lang w:val="sq-AL"/>
        </w:rPr>
        <w:t xml:space="preserve"> 6 mujor </w:t>
      </w:r>
      <w:r w:rsidRPr="00776B2A">
        <w:rPr>
          <w:rFonts w:eastAsia="Calibri" w:cs="Times New Roman"/>
          <w:szCs w:val="24"/>
          <w:highlight w:val="yellow"/>
          <w:lang w:val="sq-AL"/>
        </w:rPr>
        <w:t>periodik i analizës</w:t>
      </w:r>
      <w:r w:rsidRPr="00771B15">
        <w:rPr>
          <w:rFonts w:eastAsia="Calibri" w:cs="Times New Roman"/>
          <w:szCs w:val="24"/>
          <w:lang w:val="sq-AL"/>
        </w:rPr>
        <w:t xml:space="preserve"> së ankesave (mujor</w:t>
      </w:r>
      <w:r w:rsidR="00771B15">
        <w:rPr>
          <w:rFonts w:eastAsia="Calibri" w:cs="Times New Roman"/>
          <w:szCs w:val="24"/>
          <w:lang w:val="sq-AL"/>
        </w:rPr>
        <w:t>e</w:t>
      </w:r>
      <w:r w:rsidRPr="00771B15">
        <w:rPr>
          <w:rFonts w:eastAsia="Calibri" w:cs="Times New Roman"/>
          <w:szCs w:val="24"/>
          <w:lang w:val="sq-AL"/>
        </w:rPr>
        <w:t xml:space="preserve">) duke vënë në dukje faktorë risku apo </w:t>
      </w:r>
      <w:r w:rsidRPr="00C64F12">
        <w:rPr>
          <w:rFonts w:eastAsia="Calibri" w:cs="Times New Roman"/>
          <w:szCs w:val="24"/>
          <w:lang w:val="sq-AL"/>
        </w:rPr>
        <w:t xml:space="preserve">raste të problemeve në sjelljen e tregut ku kërkohet ndërhyrja e Autoritetit.   </w:t>
      </w:r>
    </w:p>
    <w:p w14:paraId="72B6101E" w14:textId="77777777" w:rsidR="00461657" w:rsidRDefault="00461657" w:rsidP="00C64F12">
      <w:pPr>
        <w:shd w:val="clear" w:color="auto" w:fill="FFFFFF" w:themeFill="background1"/>
        <w:rPr>
          <w:rFonts w:cs="Times New Roman"/>
          <w:b/>
          <w:bCs/>
          <w:szCs w:val="24"/>
        </w:rPr>
      </w:pPr>
    </w:p>
    <w:p w14:paraId="5BEB81A2" w14:textId="7B0E67EE" w:rsidR="00F111E0" w:rsidRPr="009B5634" w:rsidRDefault="00F111E0" w:rsidP="00C64F12">
      <w:pPr>
        <w:pStyle w:val="Heading4"/>
      </w:pPr>
      <w:bookmarkStart w:id="174" w:name="_Toc132277394"/>
      <w:r w:rsidRPr="009B5634">
        <w:t>Banka e Shqipërisë</w:t>
      </w:r>
      <w:bookmarkEnd w:id="174"/>
      <w:r w:rsidRPr="009B5634">
        <w:t xml:space="preserve"> </w:t>
      </w:r>
    </w:p>
    <w:tbl>
      <w:tblPr>
        <w:tblStyle w:val="TableGrid"/>
        <w:tblW w:w="0" w:type="auto"/>
        <w:tblLook w:val="04A0" w:firstRow="1" w:lastRow="0" w:firstColumn="1" w:lastColumn="0" w:noHBand="0" w:noVBand="1"/>
      </w:tblPr>
      <w:tblGrid>
        <w:gridCol w:w="9016"/>
      </w:tblGrid>
      <w:tr w:rsidR="00C64F12" w14:paraId="250B8D67" w14:textId="77777777" w:rsidTr="00C64F12">
        <w:tc>
          <w:tcPr>
            <w:tcW w:w="9016" w:type="dxa"/>
          </w:tcPr>
          <w:p w14:paraId="0091C8D7" w14:textId="43A38DC8" w:rsidR="00C64F12" w:rsidRDefault="00C64F12" w:rsidP="00C64F12">
            <w:pPr>
              <w:shd w:val="clear" w:color="auto" w:fill="FFFFFF" w:themeFill="background1"/>
              <w:jc w:val="both"/>
              <w:rPr>
                <w:rFonts w:cs="Times New Roman"/>
                <w:bCs/>
                <w:szCs w:val="24"/>
              </w:rPr>
            </w:pPr>
            <w:r w:rsidRPr="009475CC">
              <w:rPr>
                <w:rFonts w:cs="Times New Roman"/>
                <w:b/>
                <w:szCs w:val="24"/>
              </w:rPr>
              <w:t>Objektiv</w:t>
            </w:r>
            <w:r>
              <w:rPr>
                <w:rFonts w:cs="Times New Roman"/>
                <w:b/>
                <w:szCs w:val="24"/>
              </w:rPr>
              <w:t>i</w:t>
            </w:r>
            <w:r w:rsidRPr="009475CC">
              <w:rPr>
                <w:rFonts w:cs="Times New Roman"/>
                <w:b/>
                <w:szCs w:val="24"/>
              </w:rPr>
              <w:t xml:space="preserve"> </w:t>
            </w:r>
            <w:r>
              <w:rPr>
                <w:rFonts w:cs="Times New Roman"/>
                <w:b/>
                <w:szCs w:val="24"/>
              </w:rPr>
              <w:t>36</w:t>
            </w:r>
            <w:r w:rsidRPr="009475CC">
              <w:rPr>
                <w:rFonts w:cs="Times New Roman"/>
                <w:bCs/>
                <w:szCs w:val="24"/>
              </w:rPr>
              <w:t xml:space="preserve">: </w:t>
            </w:r>
          </w:p>
          <w:p w14:paraId="1992852B" w14:textId="2E492C5E" w:rsidR="00C64F12" w:rsidRPr="00C64F12" w:rsidRDefault="00C64F12" w:rsidP="00C64F12">
            <w:pPr>
              <w:shd w:val="clear" w:color="auto" w:fill="FFFFFF" w:themeFill="background1"/>
              <w:jc w:val="both"/>
              <w:rPr>
                <w:rFonts w:cs="Times New Roman"/>
                <w:bCs/>
                <w:szCs w:val="24"/>
              </w:rPr>
            </w:pPr>
            <w:r w:rsidRPr="009475CC">
              <w:rPr>
                <w:rFonts w:cs="Times New Roman"/>
                <w:bCs/>
                <w:szCs w:val="24"/>
              </w:rPr>
              <w:t>Përmirësimi i mëtejshëm i kuadrit ligjor dhe rregullativ për të garantuar interesat e konsumatorëve dhe rritur nivelin e mbrojtjes së tyre së klientëve të shërbimeve financiare dhe bankare</w:t>
            </w:r>
            <w:r>
              <w:rPr>
                <w:rFonts w:cs="Times New Roman"/>
                <w:bCs/>
                <w:szCs w:val="24"/>
              </w:rPr>
              <w:t>.</w:t>
            </w:r>
          </w:p>
        </w:tc>
      </w:tr>
    </w:tbl>
    <w:p w14:paraId="0581CD1F" w14:textId="77777777" w:rsidR="00C64F12" w:rsidRDefault="00C64F12" w:rsidP="009B5634">
      <w:pPr>
        <w:shd w:val="clear" w:color="auto" w:fill="FFFFFF" w:themeFill="background1"/>
        <w:spacing w:after="0"/>
        <w:jc w:val="both"/>
        <w:rPr>
          <w:rFonts w:cs="Times New Roman"/>
          <w:b/>
          <w:szCs w:val="24"/>
        </w:rPr>
      </w:pPr>
    </w:p>
    <w:p w14:paraId="4C423B22" w14:textId="0C233760" w:rsidR="00F111E0" w:rsidRPr="009475CC" w:rsidRDefault="00F111E0" w:rsidP="00C64F12">
      <w:pPr>
        <w:shd w:val="clear" w:color="auto" w:fill="FFFFFF" w:themeFill="background1"/>
        <w:jc w:val="both"/>
        <w:rPr>
          <w:rFonts w:cs="Times New Roman"/>
          <w:b/>
          <w:i/>
          <w:iCs/>
          <w:szCs w:val="24"/>
        </w:rPr>
      </w:pPr>
      <w:r w:rsidRPr="009475CC">
        <w:rPr>
          <w:rFonts w:cs="Times New Roman"/>
          <w:b/>
          <w:szCs w:val="24"/>
        </w:rPr>
        <w:t xml:space="preserve">Masa </w:t>
      </w:r>
      <w:r w:rsidR="00C64F12">
        <w:rPr>
          <w:rFonts w:cs="Times New Roman"/>
          <w:b/>
          <w:szCs w:val="24"/>
        </w:rPr>
        <w:t>36.</w:t>
      </w:r>
      <w:r w:rsidRPr="009475CC">
        <w:rPr>
          <w:rFonts w:cs="Times New Roman"/>
          <w:b/>
          <w:szCs w:val="24"/>
        </w:rPr>
        <w:t>1:</w:t>
      </w:r>
      <w:r w:rsidR="00783A6D" w:rsidRPr="00783A6D">
        <w:rPr>
          <w:rFonts w:cs="Times New Roman"/>
          <w:i/>
          <w:iCs/>
          <w:szCs w:val="24"/>
        </w:rPr>
        <w:t xml:space="preserve"> </w:t>
      </w:r>
      <w:r w:rsidR="00783A6D" w:rsidRPr="009475CC">
        <w:rPr>
          <w:rFonts w:cs="Times New Roman"/>
          <w:szCs w:val="24"/>
        </w:rPr>
        <w:t>Përgatitja dhe finalizimi i akteve ligjore dhe nënligjore me synim konvertimin drejt një përafrimi më të gjerë me direktivat dhe praktikat evropiane në fushën e mbrojtjes konsumatorë</w:t>
      </w:r>
      <w:r w:rsidR="00783A6D">
        <w:rPr>
          <w:rFonts w:cs="Times New Roman"/>
          <w:szCs w:val="24"/>
        </w:rPr>
        <w:t>.</w:t>
      </w:r>
    </w:p>
    <w:p w14:paraId="6E853EF4" w14:textId="77777777" w:rsidR="009B5634" w:rsidRDefault="00F111E0" w:rsidP="00C64F12">
      <w:pPr>
        <w:jc w:val="both"/>
        <w:rPr>
          <w:rFonts w:cs="Times New Roman"/>
          <w:b/>
          <w:bCs/>
          <w:szCs w:val="24"/>
        </w:rPr>
      </w:pPr>
      <w:r w:rsidRPr="009475CC">
        <w:rPr>
          <w:rFonts w:cs="Times New Roman"/>
          <w:b/>
          <w:bCs/>
          <w:szCs w:val="24"/>
        </w:rPr>
        <w:t>Indikator</w:t>
      </w:r>
      <w:r w:rsidR="009B5634">
        <w:rPr>
          <w:rFonts w:cs="Times New Roman"/>
          <w:b/>
          <w:bCs/>
          <w:szCs w:val="24"/>
        </w:rPr>
        <w:t>i</w:t>
      </w:r>
      <w:r w:rsidRPr="009475CC">
        <w:rPr>
          <w:rFonts w:cs="Times New Roman"/>
          <w:b/>
          <w:bCs/>
          <w:szCs w:val="24"/>
        </w:rPr>
        <w:t>:</w:t>
      </w:r>
      <w:r w:rsidR="00783A6D">
        <w:rPr>
          <w:rFonts w:cs="Times New Roman"/>
          <w:b/>
          <w:bCs/>
          <w:szCs w:val="24"/>
        </w:rPr>
        <w:t xml:space="preserve"> </w:t>
      </w:r>
    </w:p>
    <w:p w14:paraId="76B78150" w14:textId="73FDAA06" w:rsidR="009B5634" w:rsidRPr="009B5634" w:rsidRDefault="00776B2A" w:rsidP="00776B2A">
      <w:pPr>
        <w:pStyle w:val="ListParagraph"/>
        <w:spacing w:after="0"/>
        <w:ind w:left="660"/>
        <w:jc w:val="both"/>
        <w:rPr>
          <w:rFonts w:cs="Times New Roman"/>
          <w:b/>
          <w:bCs/>
          <w:szCs w:val="24"/>
        </w:rPr>
      </w:pPr>
      <w:r>
        <w:rPr>
          <w:rFonts w:cs="Times New Roman"/>
          <w:szCs w:val="24"/>
        </w:rPr>
        <w:t xml:space="preserve">Miratimi </w:t>
      </w:r>
      <w:r w:rsidRPr="00776B2A">
        <w:rPr>
          <w:rFonts w:cs="Times New Roman"/>
          <w:szCs w:val="24"/>
          <w:highlight w:val="yellow"/>
        </w:rPr>
        <w:t xml:space="preserve">(1)nje akti </w:t>
      </w:r>
      <w:r w:rsidR="00F111E0" w:rsidRPr="00776B2A">
        <w:rPr>
          <w:rFonts w:cs="Times New Roman"/>
          <w:szCs w:val="24"/>
          <w:highlight w:val="yellow"/>
        </w:rPr>
        <w:t xml:space="preserve"> ligjore</w:t>
      </w:r>
      <w:r w:rsidR="00F111E0" w:rsidRPr="009B5634">
        <w:rPr>
          <w:rFonts w:cs="Times New Roman"/>
          <w:szCs w:val="24"/>
        </w:rPr>
        <w:t xml:space="preserve"> të rishikuara dhe/ose të hartuara rishtazi si dhe përmirësimet rregullative </w:t>
      </w:r>
      <w:r>
        <w:rPr>
          <w:rFonts w:cs="Times New Roman"/>
          <w:szCs w:val="24"/>
        </w:rPr>
        <w:t xml:space="preserve">dhe miratimi </w:t>
      </w:r>
      <w:r w:rsidRPr="00776B2A">
        <w:rPr>
          <w:rFonts w:cs="Times New Roman"/>
          <w:szCs w:val="24"/>
          <w:highlight w:val="yellow"/>
        </w:rPr>
        <w:t>I (4 )aktve</w:t>
      </w:r>
      <w:r>
        <w:rPr>
          <w:rFonts w:cs="Times New Roman"/>
          <w:szCs w:val="24"/>
        </w:rPr>
        <w:t xml:space="preserve"> nenligjore </w:t>
      </w:r>
      <w:r w:rsidR="00F111E0" w:rsidRPr="009B5634">
        <w:rPr>
          <w:rFonts w:cs="Times New Roman"/>
          <w:szCs w:val="24"/>
        </w:rPr>
        <w:t>duke ndjekur dhe zhvillimet legjislative në vendet e BE-së</w:t>
      </w:r>
      <w:r w:rsidR="009B5634" w:rsidRPr="009B5634">
        <w:rPr>
          <w:rFonts w:cs="Times New Roman"/>
          <w:szCs w:val="24"/>
        </w:rPr>
        <w:t>.</w:t>
      </w:r>
      <w:r w:rsidR="00F111E0" w:rsidRPr="009B5634">
        <w:rPr>
          <w:rFonts w:cs="Times New Roman"/>
          <w:i/>
          <w:iCs/>
          <w:szCs w:val="24"/>
        </w:rPr>
        <w:t xml:space="preserve"> </w:t>
      </w:r>
    </w:p>
    <w:p w14:paraId="19746428" w14:textId="77777777" w:rsidR="009B5634" w:rsidRDefault="009B5634" w:rsidP="009B5634">
      <w:pPr>
        <w:spacing w:after="0"/>
        <w:jc w:val="both"/>
        <w:rPr>
          <w:rFonts w:cs="Times New Roman"/>
          <w:b/>
          <w:bCs/>
          <w:szCs w:val="24"/>
        </w:rPr>
      </w:pPr>
    </w:p>
    <w:p w14:paraId="0056FE2F" w14:textId="562DB3E6" w:rsidR="000448B9" w:rsidRDefault="00571797" w:rsidP="0090539E">
      <w:pPr>
        <w:pStyle w:val="Heading4"/>
        <w:rPr>
          <w:lang w:val="sq-AL"/>
        </w:rPr>
      </w:pPr>
      <w:bookmarkStart w:id="175" w:name="_Toc132277395"/>
      <w:r w:rsidRPr="009B5634">
        <w:rPr>
          <w:lang w:val="sq-AL"/>
        </w:rPr>
        <w:t>Autoriteti i Aviacionit Civil</w:t>
      </w:r>
      <w:bookmarkEnd w:id="175"/>
    </w:p>
    <w:tbl>
      <w:tblPr>
        <w:tblStyle w:val="TableGrid"/>
        <w:tblW w:w="0" w:type="auto"/>
        <w:tblLook w:val="04A0" w:firstRow="1" w:lastRow="0" w:firstColumn="1" w:lastColumn="0" w:noHBand="0" w:noVBand="1"/>
      </w:tblPr>
      <w:tblGrid>
        <w:gridCol w:w="9016"/>
      </w:tblGrid>
      <w:tr w:rsidR="0090539E" w14:paraId="657548B8" w14:textId="77777777" w:rsidTr="0090539E">
        <w:tc>
          <w:tcPr>
            <w:tcW w:w="9016" w:type="dxa"/>
          </w:tcPr>
          <w:p w14:paraId="10B86BAD" w14:textId="74830041" w:rsidR="0090539E" w:rsidRPr="00FB36DA" w:rsidRDefault="0090539E" w:rsidP="0090539E">
            <w:pPr>
              <w:rPr>
                <w:rFonts w:cs="Times New Roman"/>
                <w:bCs/>
                <w:szCs w:val="24"/>
                <w:lang w:val="sq-AL"/>
              </w:rPr>
            </w:pPr>
            <w:r w:rsidRPr="009475CC">
              <w:rPr>
                <w:rFonts w:cs="Times New Roman"/>
                <w:b/>
                <w:szCs w:val="24"/>
                <w:lang w:val="sq-AL"/>
              </w:rPr>
              <w:t>Objektiv</w:t>
            </w:r>
            <w:r>
              <w:rPr>
                <w:rFonts w:cs="Times New Roman"/>
                <w:b/>
                <w:szCs w:val="24"/>
                <w:lang w:val="sq-AL"/>
              </w:rPr>
              <w:t>i</w:t>
            </w:r>
            <w:r w:rsidRPr="009475CC">
              <w:rPr>
                <w:rFonts w:cs="Times New Roman"/>
                <w:b/>
                <w:szCs w:val="24"/>
                <w:lang w:val="sq-AL"/>
              </w:rPr>
              <w:t xml:space="preserve"> </w:t>
            </w:r>
            <w:r>
              <w:rPr>
                <w:rFonts w:cs="Times New Roman"/>
                <w:b/>
                <w:szCs w:val="24"/>
                <w:lang w:val="sq-AL"/>
              </w:rPr>
              <w:t>37:</w:t>
            </w:r>
            <w:r>
              <w:rPr>
                <w:rFonts w:cs="Times New Roman"/>
                <w:bCs/>
                <w:szCs w:val="24"/>
                <w:lang w:val="sq-AL"/>
              </w:rPr>
              <w:t>U</w:t>
            </w:r>
            <w:r w:rsidRPr="00FB36DA">
              <w:rPr>
                <w:rFonts w:cs="Times New Roman"/>
                <w:bCs/>
                <w:szCs w:val="24"/>
                <w:lang w:val="sq-AL"/>
              </w:rPr>
              <w:t>lja e rasteve të shkeljeve të të drejtave të konsumatorit nga shoqëritë ajrore shqiptare dhe  të cilat operojnë në RS</w:t>
            </w:r>
            <w:r>
              <w:rPr>
                <w:rFonts w:cs="Times New Roman"/>
                <w:bCs/>
                <w:szCs w:val="24"/>
                <w:lang w:val="sq-AL"/>
              </w:rPr>
              <w:t>H</w:t>
            </w:r>
            <w:r w:rsidRPr="00FB36DA">
              <w:rPr>
                <w:rFonts w:cs="Times New Roman"/>
                <w:bCs/>
                <w:szCs w:val="24"/>
                <w:lang w:val="sq-AL"/>
              </w:rPr>
              <w:t xml:space="preserve"> dhe në rast të shkeljeve kompensim për çdo rast t</w:t>
            </w:r>
            <w:r>
              <w:rPr>
                <w:rFonts w:cs="Times New Roman"/>
                <w:bCs/>
                <w:szCs w:val="24"/>
                <w:lang w:val="sq-AL"/>
              </w:rPr>
              <w:t>ë</w:t>
            </w:r>
            <w:r w:rsidRPr="00FB36DA">
              <w:rPr>
                <w:rFonts w:cs="Times New Roman"/>
                <w:bCs/>
                <w:szCs w:val="24"/>
                <w:lang w:val="sq-AL"/>
              </w:rPr>
              <w:t xml:space="preserve"> veçantë në zbatim të dispozitave ligjore. </w:t>
            </w:r>
          </w:p>
          <w:p w14:paraId="4B1AFD53" w14:textId="77777777" w:rsidR="0090539E" w:rsidRDefault="0090539E" w:rsidP="009475CC">
            <w:pPr>
              <w:rPr>
                <w:rFonts w:cs="Times New Roman"/>
                <w:b/>
                <w:szCs w:val="24"/>
                <w:lang w:val="sq-AL"/>
              </w:rPr>
            </w:pPr>
          </w:p>
        </w:tc>
      </w:tr>
    </w:tbl>
    <w:p w14:paraId="72679B01" w14:textId="77777777" w:rsidR="0090539E" w:rsidRDefault="0090539E" w:rsidP="009475CC">
      <w:pPr>
        <w:spacing w:after="0" w:line="240" w:lineRule="auto"/>
        <w:rPr>
          <w:rFonts w:cs="Times New Roman"/>
          <w:b/>
          <w:szCs w:val="24"/>
          <w:lang w:val="sq-AL"/>
        </w:rPr>
      </w:pPr>
    </w:p>
    <w:p w14:paraId="346A21D2" w14:textId="1A598419" w:rsidR="000448B9" w:rsidRPr="008B3DCF" w:rsidRDefault="000448B9" w:rsidP="009475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Cs w:val="24"/>
          <w:lang w:val="sq-AL"/>
        </w:rPr>
      </w:pPr>
      <w:r w:rsidRPr="009475CC">
        <w:rPr>
          <w:rFonts w:cs="Times New Roman"/>
          <w:b/>
          <w:szCs w:val="24"/>
          <w:lang w:val="sq-AL"/>
        </w:rPr>
        <w:t xml:space="preserve">Masa </w:t>
      </w:r>
      <w:r w:rsidR="0090539E">
        <w:rPr>
          <w:rFonts w:cs="Times New Roman"/>
          <w:b/>
          <w:szCs w:val="24"/>
          <w:lang w:val="sq-AL"/>
        </w:rPr>
        <w:t>37.</w:t>
      </w:r>
      <w:r w:rsidRPr="009475CC">
        <w:rPr>
          <w:rFonts w:cs="Times New Roman"/>
          <w:b/>
          <w:szCs w:val="24"/>
          <w:lang w:val="sq-AL"/>
        </w:rPr>
        <w:t>1</w:t>
      </w:r>
      <w:r w:rsidR="00571797" w:rsidRPr="009475CC">
        <w:rPr>
          <w:rFonts w:cs="Times New Roman"/>
          <w:b/>
          <w:szCs w:val="24"/>
          <w:lang w:val="sq-AL"/>
        </w:rPr>
        <w:t>:</w:t>
      </w:r>
      <w:r w:rsidRPr="00FB36DA">
        <w:rPr>
          <w:rFonts w:cs="Times New Roman"/>
          <w:bCs/>
          <w:szCs w:val="24"/>
          <w:lang w:val="sq-AL"/>
        </w:rPr>
        <w:t xml:space="preserve"> Hartimi dhe </w:t>
      </w:r>
      <w:r w:rsidRPr="0022797D">
        <w:rPr>
          <w:rFonts w:eastAsia="Times New Roman" w:cs="Times New Roman"/>
          <w:color w:val="202124"/>
          <w:szCs w:val="24"/>
          <w:lang w:val="sq-AL"/>
        </w:rPr>
        <w:t>zbatimi  i “Plani i  aktiviteti për performancën e sektorit të të drejtave të pasagjerëve”</w:t>
      </w:r>
      <w:r w:rsidRPr="0093142A">
        <w:rPr>
          <w:rFonts w:eastAsia="Times New Roman" w:cs="Times New Roman"/>
          <w:color w:val="202124"/>
          <w:szCs w:val="24"/>
          <w:lang w:val="sq-AL"/>
        </w:rPr>
        <w:t>.</w:t>
      </w:r>
    </w:p>
    <w:p w14:paraId="66A03C78" w14:textId="373E9F4C" w:rsidR="000448B9" w:rsidRPr="009475CC" w:rsidRDefault="000448B9" w:rsidP="009475CC">
      <w:pPr>
        <w:spacing w:after="0" w:line="240" w:lineRule="auto"/>
        <w:jc w:val="both"/>
        <w:rPr>
          <w:rFonts w:cs="Times New Roman"/>
          <w:bCs/>
          <w:szCs w:val="24"/>
          <w:lang w:val="sq-AL"/>
        </w:rPr>
      </w:pPr>
      <w:r w:rsidRPr="009475CC">
        <w:rPr>
          <w:rFonts w:cs="Times New Roman"/>
          <w:b/>
          <w:szCs w:val="24"/>
          <w:lang w:val="sq-AL"/>
        </w:rPr>
        <w:t xml:space="preserve">Masa </w:t>
      </w:r>
      <w:r w:rsidR="005C3F60">
        <w:rPr>
          <w:rFonts w:cs="Times New Roman"/>
          <w:b/>
          <w:szCs w:val="24"/>
          <w:lang w:val="sq-AL"/>
        </w:rPr>
        <w:t>37.</w:t>
      </w:r>
      <w:r w:rsidRPr="009475CC">
        <w:rPr>
          <w:rFonts w:cs="Times New Roman"/>
          <w:b/>
          <w:szCs w:val="24"/>
          <w:lang w:val="sq-AL"/>
        </w:rPr>
        <w:t>2</w:t>
      </w:r>
      <w:r w:rsidR="00571797" w:rsidRPr="009475CC">
        <w:rPr>
          <w:rFonts w:cs="Times New Roman"/>
          <w:b/>
          <w:szCs w:val="24"/>
          <w:lang w:val="sq-AL"/>
        </w:rPr>
        <w:t>:</w:t>
      </w:r>
      <w:r w:rsidRPr="009475CC">
        <w:rPr>
          <w:rFonts w:cs="Times New Roman"/>
          <w:bCs/>
          <w:szCs w:val="24"/>
          <w:lang w:val="sq-AL"/>
        </w:rPr>
        <w:t xml:space="preserve"> Forcimi i rolit të strukturës ZAM në  AAC. </w:t>
      </w:r>
    </w:p>
    <w:p w14:paraId="2C3CB6DD" w14:textId="281E2EBD" w:rsidR="000448B9" w:rsidRPr="009475CC" w:rsidRDefault="000448B9" w:rsidP="009475CC">
      <w:pPr>
        <w:spacing w:after="0" w:line="240" w:lineRule="auto"/>
        <w:jc w:val="both"/>
        <w:rPr>
          <w:rFonts w:cs="Times New Roman"/>
          <w:szCs w:val="24"/>
          <w:lang w:val="sq-AL"/>
        </w:rPr>
      </w:pPr>
      <w:r w:rsidRPr="009475CC">
        <w:rPr>
          <w:rFonts w:cs="Times New Roman"/>
          <w:b/>
          <w:szCs w:val="24"/>
          <w:lang w:val="sq-AL"/>
        </w:rPr>
        <w:t xml:space="preserve">Masa </w:t>
      </w:r>
      <w:r w:rsidR="005C3F60">
        <w:rPr>
          <w:rFonts w:cs="Times New Roman"/>
          <w:b/>
          <w:szCs w:val="24"/>
          <w:lang w:val="sq-AL"/>
        </w:rPr>
        <w:t>37.</w:t>
      </w:r>
      <w:r w:rsidRPr="009475CC">
        <w:rPr>
          <w:rFonts w:cs="Times New Roman"/>
          <w:b/>
          <w:szCs w:val="24"/>
          <w:lang w:val="sq-AL"/>
        </w:rPr>
        <w:t>3</w:t>
      </w:r>
      <w:r w:rsidR="00571797" w:rsidRPr="009475CC">
        <w:rPr>
          <w:rFonts w:cs="Times New Roman"/>
          <w:b/>
          <w:szCs w:val="24"/>
          <w:lang w:val="sq-AL"/>
        </w:rPr>
        <w:t>:</w:t>
      </w:r>
      <w:r w:rsidRPr="009475CC">
        <w:rPr>
          <w:rFonts w:cs="Times New Roman"/>
          <w:bCs/>
          <w:szCs w:val="24"/>
          <w:lang w:val="sq-AL"/>
        </w:rPr>
        <w:t xml:space="preserve"> Forcimi i kapaciteteve administrative të stafit të AAC mbi mbrojtjen e pasagjerit</w:t>
      </w:r>
      <w:r w:rsidR="009B5634">
        <w:rPr>
          <w:rFonts w:cs="Times New Roman"/>
          <w:bCs/>
          <w:szCs w:val="24"/>
          <w:lang w:val="sq-AL"/>
        </w:rPr>
        <w:t>.</w:t>
      </w:r>
    </w:p>
    <w:p w14:paraId="0836E9F5" w14:textId="77777777" w:rsidR="0090539E" w:rsidRDefault="0090539E" w:rsidP="009475CC">
      <w:pPr>
        <w:spacing w:after="0" w:line="240" w:lineRule="auto"/>
        <w:rPr>
          <w:rFonts w:cs="Times New Roman"/>
          <w:b/>
          <w:szCs w:val="24"/>
          <w:lang w:val="sq-AL"/>
        </w:rPr>
      </w:pPr>
    </w:p>
    <w:p w14:paraId="30400C03" w14:textId="01B44AFE" w:rsidR="000448B9" w:rsidRPr="009475CC" w:rsidRDefault="005C3F60" w:rsidP="009475CC">
      <w:pPr>
        <w:spacing w:after="0" w:line="240" w:lineRule="auto"/>
        <w:rPr>
          <w:rFonts w:cs="Times New Roman"/>
          <w:b/>
          <w:szCs w:val="24"/>
          <w:lang w:val="sq-AL"/>
        </w:rPr>
      </w:pPr>
      <w:r w:rsidRPr="009475CC">
        <w:rPr>
          <w:rFonts w:cs="Times New Roman"/>
          <w:b/>
          <w:szCs w:val="24"/>
          <w:lang w:val="sq-AL"/>
        </w:rPr>
        <w:t>Indikato</w:t>
      </w:r>
      <w:r>
        <w:rPr>
          <w:rFonts w:cs="Times New Roman"/>
          <w:b/>
          <w:szCs w:val="24"/>
          <w:lang w:val="sq-AL"/>
        </w:rPr>
        <w:t>rët</w:t>
      </w:r>
      <w:r w:rsidR="00F111E0">
        <w:rPr>
          <w:rFonts w:cs="Times New Roman"/>
          <w:b/>
          <w:szCs w:val="24"/>
          <w:lang w:val="sq-AL"/>
        </w:rPr>
        <w:t>:</w:t>
      </w:r>
    </w:p>
    <w:p w14:paraId="24198CC2" w14:textId="2D8A3C36" w:rsidR="000448B9" w:rsidRPr="009B5634" w:rsidRDefault="000448B9" w:rsidP="00623352">
      <w:pPr>
        <w:pStyle w:val="ListParagraph"/>
        <w:numPr>
          <w:ilvl w:val="0"/>
          <w:numId w:val="23"/>
        </w:numPr>
        <w:spacing w:after="0" w:line="240" w:lineRule="auto"/>
        <w:jc w:val="both"/>
        <w:rPr>
          <w:rFonts w:cs="Times New Roman"/>
          <w:bCs/>
          <w:szCs w:val="24"/>
          <w:lang w:val="sq-AL"/>
        </w:rPr>
      </w:pPr>
      <w:r w:rsidRPr="009B5634">
        <w:rPr>
          <w:rFonts w:cs="Times New Roman"/>
          <w:bCs/>
          <w:szCs w:val="24"/>
          <w:lang w:val="sq-AL"/>
        </w:rPr>
        <w:t>Plotësimi i i formularit të p</w:t>
      </w:r>
      <w:r w:rsidR="009B5634">
        <w:rPr>
          <w:rFonts w:cs="Times New Roman"/>
          <w:bCs/>
          <w:szCs w:val="24"/>
          <w:lang w:val="sq-AL"/>
        </w:rPr>
        <w:t>e</w:t>
      </w:r>
      <w:r w:rsidRPr="009B5634">
        <w:rPr>
          <w:rFonts w:cs="Times New Roman"/>
          <w:bCs/>
          <w:szCs w:val="24"/>
          <w:lang w:val="sq-AL"/>
        </w:rPr>
        <w:t xml:space="preserve">rformancës së operatorit ajror </w:t>
      </w:r>
      <w:r w:rsidRPr="00E90A95">
        <w:rPr>
          <w:rFonts w:cs="Times New Roman"/>
          <w:bCs/>
          <w:szCs w:val="24"/>
          <w:highlight w:val="yellow"/>
          <w:lang w:val="sq-AL"/>
        </w:rPr>
        <w:t xml:space="preserve">( </w:t>
      </w:r>
      <w:r w:rsidR="00E90A95" w:rsidRPr="00E90A95">
        <w:rPr>
          <w:rFonts w:cs="Times New Roman"/>
          <w:bCs/>
          <w:szCs w:val="24"/>
          <w:highlight w:val="yellow"/>
          <w:lang w:val="sq-AL"/>
        </w:rPr>
        <w:t>për</w:t>
      </w:r>
      <w:r w:rsidRPr="00E90A95">
        <w:rPr>
          <w:rFonts w:cs="Times New Roman"/>
          <w:bCs/>
          <w:szCs w:val="24"/>
          <w:highlight w:val="yellow"/>
          <w:lang w:val="sq-AL"/>
        </w:rPr>
        <w:t xml:space="preserve"> mu</w:t>
      </w:r>
      <w:r w:rsidR="00E90A95" w:rsidRPr="00E90A95">
        <w:rPr>
          <w:rFonts w:cs="Times New Roman"/>
          <w:bCs/>
          <w:szCs w:val="24"/>
          <w:highlight w:val="yellow"/>
          <w:lang w:val="sq-AL"/>
        </w:rPr>
        <w:t>aj</w:t>
      </w:r>
      <w:r w:rsidR="00E90A95">
        <w:rPr>
          <w:rFonts w:cs="Times New Roman"/>
          <w:bCs/>
          <w:szCs w:val="24"/>
          <w:lang w:val="sq-AL"/>
        </w:rPr>
        <w:t xml:space="preserve"> </w:t>
      </w:r>
      <w:r w:rsidRPr="009B5634">
        <w:rPr>
          <w:rFonts w:cs="Times New Roman"/>
          <w:bCs/>
          <w:szCs w:val="24"/>
          <w:lang w:val="sq-AL"/>
        </w:rPr>
        <w:t>)</w:t>
      </w:r>
      <w:r w:rsidR="009B5634">
        <w:rPr>
          <w:rFonts w:cs="Times New Roman"/>
          <w:bCs/>
          <w:szCs w:val="24"/>
          <w:lang w:val="sq-AL"/>
        </w:rPr>
        <w:t>.</w:t>
      </w:r>
    </w:p>
    <w:p w14:paraId="6FBEC867" w14:textId="5FFAB5F6" w:rsidR="000448B9" w:rsidRPr="00E90A95" w:rsidRDefault="00E90A95" w:rsidP="00B86A9F">
      <w:pPr>
        <w:pStyle w:val="ListParagraph"/>
        <w:numPr>
          <w:ilvl w:val="0"/>
          <w:numId w:val="23"/>
        </w:numPr>
        <w:spacing w:after="0" w:line="240" w:lineRule="auto"/>
        <w:jc w:val="both"/>
        <w:rPr>
          <w:rFonts w:cs="Times New Roman"/>
          <w:szCs w:val="24"/>
          <w:lang w:val="sq-AL"/>
        </w:rPr>
      </w:pPr>
      <w:r>
        <w:rPr>
          <w:rFonts w:cs="Times New Roman"/>
          <w:bCs/>
          <w:szCs w:val="24"/>
          <w:lang w:val="sq-AL"/>
        </w:rPr>
        <w:t xml:space="preserve">Miratimi </w:t>
      </w:r>
      <w:r w:rsidRPr="00E90A95">
        <w:rPr>
          <w:rFonts w:cs="Times New Roman"/>
          <w:bCs/>
          <w:szCs w:val="24"/>
          <w:highlight w:val="yellow"/>
          <w:lang w:val="sq-AL"/>
        </w:rPr>
        <w:t>1nje vendimit mbi</w:t>
      </w:r>
      <w:r w:rsidRPr="00E90A95">
        <w:rPr>
          <w:rFonts w:cs="Times New Roman"/>
          <w:bCs/>
          <w:szCs w:val="24"/>
          <w:lang w:val="sq-AL"/>
        </w:rPr>
        <w:t xml:space="preserve"> </w:t>
      </w:r>
      <w:r w:rsidR="000448B9" w:rsidRPr="00E90A95">
        <w:rPr>
          <w:rFonts w:cs="Times New Roman"/>
          <w:bCs/>
          <w:szCs w:val="24"/>
          <w:lang w:val="sq-AL"/>
        </w:rPr>
        <w:t xml:space="preserve">Ndryshimet në strukturën  aktuale dhe në përshkrimet e punës. </w:t>
      </w:r>
      <w:r w:rsidRPr="00E90A95">
        <w:rPr>
          <w:rFonts w:cs="Times New Roman"/>
          <w:szCs w:val="24"/>
          <w:lang w:val="sq-AL"/>
        </w:rPr>
        <w:t xml:space="preserve"> </w:t>
      </w:r>
    </w:p>
    <w:p w14:paraId="65DF16FF" w14:textId="1832B491" w:rsidR="003B7419" w:rsidRPr="00DB69A8" w:rsidRDefault="00067110" w:rsidP="00CD6F88">
      <w:pPr>
        <w:pStyle w:val="Heading2"/>
      </w:pPr>
      <w:bookmarkStart w:id="176" w:name="_Toc132277396"/>
      <w:r>
        <w:lastRenderedPageBreak/>
        <w:t xml:space="preserve">II.3 </w:t>
      </w:r>
      <w:r w:rsidR="003B7419" w:rsidRPr="00DB69A8">
        <w:t>Shtylla III Informimi dhe ndërgjegjësimi i konsumatorëve dhe i subjekteve, si dhe bashkëpunimi ndërinstitucional dhe me të gjithë aktorët e tjerë</w:t>
      </w:r>
      <w:bookmarkEnd w:id="176"/>
      <w:r w:rsidR="003B7419" w:rsidRPr="00DB69A8">
        <w:t xml:space="preserve"> </w:t>
      </w:r>
    </w:p>
    <w:p w14:paraId="1E4AC75C" w14:textId="19C129CD" w:rsidR="00067110" w:rsidRDefault="00067110" w:rsidP="00067110">
      <w:pPr>
        <w:pStyle w:val="Heading3"/>
        <w:numPr>
          <w:ilvl w:val="0"/>
          <w:numId w:val="0"/>
        </w:numPr>
      </w:pPr>
      <w:bookmarkStart w:id="177" w:name="_Toc132277397"/>
      <w:r>
        <w:t xml:space="preserve">II.3.1 </w:t>
      </w:r>
      <w:r w:rsidRPr="00DB69A8">
        <w:t>Objektivat, masat dhe indikatorët</w:t>
      </w:r>
      <w:r w:rsidR="006E3BE9">
        <w:t xml:space="preserve"> lidhur me informimin dhe ndërgjegjwsimin për çështje që lidhen me aspekte të sigurisë</w:t>
      </w:r>
      <w:r w:rsidRPr="00DB69A8">
        <w:t>:</w:t>
      </w:r>
      <w:bookmarkEnd w:id="177"/>
    </w:p>
    <w:p w14:paraId="4D7DBE02" w14:textId="5546F5A6" w:rsidR="00814527" w:rsidRPr="00DB69A8" w:rsidRDefault="00814527" w:rsidP="005C3F60">
      <w:pPr>
        <w:pStyle w:val="Heading4"/>
        <w:rPr>
          <w:lang w:val="sq-AL"/>
        </w:rPr>
      </w:pPr>
      <w:r w:rsidRPr="00DB69A8">
        <w:rPr>
          <w:lang w:val="sq-AL"/>
        </w:rPr>
        <w:t xml:space="preserve"> </w:t>
      </w:r>
      <w:bookmarkStart w:id="178" w:name="_Toc132277398"/>
      <w:r w:rsidR="00A46889" w:rsidRPr="00DB69A8">
        <w:rPr>
          <w:lang w:val="sq-AL"/>
        </w:rPr>
        <w:t>Ministria e Bujqësisë dhe Zhvillimit Rural</w:t>
      </w:r>
      <w:bookmarkEnd w:id="178"/>
    </w:p>
    <w:tbl>
      <w:tblPr>
        <w:tblStyle w:val="TableGrid"/>
        <w:tblW w:w="0" w:type="auto"/>
        <w:tblLook w:val="04A0" w:firstRow="1" w:lastRow="0" w:firstColumn="1" w:lastColumn="0" w:noHBand="0" w:noVBand="1"/>
      </w:tblPr>
      <w:tblGrid>
        <w:gridCol w:w="9016"/>
      </w:tblGrid>
      <w:tr w:rsidR="005C3F60" w14:paraId="0F14EEEE" w14:textId="77777777" w:rsidTr="005C3F60">
        <w:tc>
          <w:tcPr>
            <w:tcW w:w="9016" w:type="dxa"/>
          </w:tcPr>
          <w:p w14:paraId="05ACC41D" w14:textId="3B21B010" w:rsidR="005C3F60" w:rsidRDefault="005C3F60" w:rsidP="005C3F60">
            <w:pPr>
              <w:pStyle w:val="NumberedHeading3"/>
              <w:numPr>
                <w:ilvl w:val="0"/>
                <w:numId w:val="0"/>
              </w:numPr>
              <w:spacing w:before="0" w:after="0"/>
              <w:jc w:val="both"/>
              <w:rPr>
                <w:rFonts w:cs="Times New Roman"/>
                <w:color w:val="000000" w:themeColor="text1"/>
                <w:sz w:val="24"/>
                <w:szCs w:val="24"/>
                <w:lang w:val="sq-AL"/>
              </w:rPr>
            </w:pPr>
            <w:r w:rsidRPr="00FB36DA">
              <w:rPr>
                <w:rFonts w:cs="Times New Roman"/>
                <w:color w:val="000000" w:themeColor="text1"/>
                <w:sz w:val="24"/>
                <w:szCs w:val="24"/>
                <w:lang w:val="sq-AL"/>
              </w:rPr>
              <w:t>O</w:t>
            </w:r>
            <w:r w:rsidRPr="00FB36DA">
              <w:rPr>
                <w:rFonts w:cs="Times New Roman"/>
                <w:caps w:val="0"/>
                <w:color w:val="000000" w:themeColor="text1"/>
                <w:sz w:val="24"/>
                <w:szCs w:val="24"/>
                <w:lang w:val="sq-AL"/>
              </w:rPr>
              <w:t>bjektivi</w:t>
            </w:r>
            <w:r w:rsidRPr="00FB36DA">
              <w:rPr>
                <w:rFonts w:cs="Times New Roman"/>
                <w:color w:val="000000" w:themeColor="text1"/>
                <w:sz w:val="24"/>
                <w:szCs w:val="24"/>
                <w:lang w:val="sq-AL"/>
              </w:rPr>
              <w:t xml:space="preserve"> </w:t>
            </w:r>
            <w:r>
              <w:rPr>
                <w:rFonts w:cs="Times New Roman"/>
                <w:color w:val="000000" w:themeColor="text1"/>
                <w:sz w:val="24"/>
                <w:szCs w:val="24"/>
                <w:lang w:val="sq-AL"/>
              </w:rPr>
              <w:t>38</w:t>
            </w:r>
            <w:r w:rsidRPr="0022797D">
              <w:rPr>
                <w:rFonts w:cs="Times New Roman"/>
                <w:color w:val="000000" w:themeColor="text1"/>
                <w:sz w:val="24"/>
                <w:szCs w:val="24"/>
                <w:lang w:val="sq-AL"/>
              </w:rPr>
              <w:t xml:space="preserve">: </w:t>
            </w:r>
          </w:p>
          <w:p w14:paraId="1DBDA2A2" w14:textId="4581C9C8" w:rsidR="005C3F60" w:rsidRDefault="005C3F60" w:rsidP="00DB69A8">
            <w:pPr>
              <w:pStyle w:val="NumberedHeading3"/>
              <w:numPr>
                <w:ilvl w:val="0"/>
                <w:numId w:val="0"/>
              </w:numPr>
              <w:spacing w:before="0" w:after="0"/>
              <w:jc w:val="both"/>
              <w:rPr>
                <w:rFonts w:cs="Times New Roman"/>
                <w:color w:val="000000" w:themeColor="text1"/>
                <w:sz w:val="24"/>
                <w:szCs w:val="24"/>
                <w:lang w:val="sq-AL"/>
              </w:rPr>
            </w:pPr>
            <w:r w:rsidRPr="009475CC">
              <w:rPr>
                <w:rFonts w:cs="Times New Roman"/>
                <w:b w:val="0"/>
                <w:bCs/>
                <w:caps w:val="0"/>
                <w:color w:val="000000" w:themeColor="text1"/>
                <w:sz w:val="24"/>
                <w:szCs w:val="24"/>
                <w:lang w:val="sq-AL"/>
              </w:rPr>
              <w:t>Ndërgjegjësimi i  konsumatorëve për të bërë zgjedhje ushqimore të sigurta dhe të shëndetshme.</w:t>
            </w:r>
            <w:r>
              <w:rPr>
                <w:rFonts w:cs="Times New Roman"/>
                <w:caps w:val="0"/>
                <w:color w:val="000000" w:themeColor="text1"/>
                <w:sz w:val="24"/>
                <w:szCs w:val="24"/>
                <w:lang w:val="sq-AL"/>
              </w:rPr>
              <w:t xml:space="preserve"> </w:t>
            </w:r>
          </w:p>
        </w:tc>
      </w:tr>
    </w:tbl>
    <w:p w14:paraId="3BE7A10D" w14:textId="77777777" w:rsidR="005C3F60" w:rsidRDefault="005C3F60" w:rsidP="00DB69A8">
      <w:pPr>
        <w:pStyle w:val="NumberedHeading3"/>
        <w:numPr>
          <w:ilvl w:val="0"/>
          <w:numId w:val="0"/>
        </w:numPr>
        <w:spacing w:before="0" w:after="0"/>
        <w:jc w:val="both"/>
        <w:rPr>
          <w:rFonts w:cs="Times New Roman"/>
          <w:color w:val="000000" w:themeColor="text1"/>
          <w:sz w:val="24"/>
          <w:szCs w:val="24"/>
          <w:lang w:val="sq-AL"/>
        </w:rPr>
      </w:pPr>
    </w:p>
    <w:p w14:paraId="55A39A38" w14:textId="671D02E1" w:rsidR="006E3071" w:rsidRPr="00ED6C63" w:rsidRDefault="006E3071" w:rsidP="00DB69A8">
      <w:pPr>
        <w:spacing w:after="0" w:line="240" w:lineRule="auto"/>
        <w:jc w:val="both"/>
        <w:rPr>
          <w:rFonts w:eastAsia="Arial" w:cs="Times New Roman"/>
          <w:szCs w:val="24"/>
          <w:lang w:val="sq-AL"/>
        </w:rPr>
      </w:pPr>
      <w:r w:rsidRPr="00FB36DA">
        <w:rPr>
          <w:rFonts w:eastAsia="Arial" w:cs="Times New Roman"/>
          <w:szCs w:val="24"/>
          <w:lang w:val="sq-AL"/>
        </w:rPr>
        <w:t>Sigurimi i konsumatorëve për t'u ofruar atyre informacion të qartë dhe të saktë në mënyrë të hapur, transparente dhe në kohë, ndihmon në ndërtimin e besimit t</w:t>
      </w:r>
      <w:r w:rsidR="00DB69A8">
        <w:rPr>
          <w:rFonts w:eastAsia="Arial" w:cs="Times New Roman"/>
          <w:szCs w:val="24"/>
          <w:lang w:val="sq-AL"/>
        </w:rPr>
        <w:t>e</w:t>
      </w:r>
      <w:r w:rsidRPr="0022797D">
        <w:rPr>
          <w:rFonts w:eastAsia="Arial" w:cs="Times New Roman"/>
          <w:szCs w:val="24"/>
          <w:lang w:val="sq-AL"/>
        </w:rPr>
        <w:t xml:space="preserve"> sistemi i kontrollit të ushqimit në Shqipër</w:t>
      </w:r>
      <w:r w:rsidRPr="0093142A">
        <w:rPr>
          <w:rFonts w:eastAsia="Arial" w:cs="Times New Roman"/>
          <w:szCs w:val="24"/>
          <w:lang w:val="sq-AL"/>
        </w:rPr>
        <w:t>i duhet të bëhet nga organet shtetërore përgjegjëse për sigurinë ushqimore. Ndërtimi i burimeve të qëndrueshme dhe të besueshme të informacionit i pajis konsumatorët me njohuri dhe mënyra se si të praktikojnë praktika të mira të sigurisë ushqimore brenda d</w:t>
      </w:r>
      <w:r w:rsidRPr="008B3DCF">
        <w:rPr>
          <w:rFonts w:eastAsia="Arial" w:cs="Times New Roman"/>
          <w:szCs w:val="24"/>
          <w:lang w:val="sq-AL"/>
        </w:rPr>
        <w:t>he jashtë shtëpisë</w:t>
      </w:r>
      <w:r w:rsidRPr="00D52DC6">
        <w:rPr>
          <w:rFonts w:eastAsia="Arial" w:cs="Times New Roman"/>
          <w:szCs w:val="24"/>
          <w:lang w:val="sq-AL"/>
        </w:rPr>
        <w:t>.</w:t>
      </w:r>
      <w:r w:rsidR="00A46889">
        <w:rPr>
          <w:rFonts w:eastAsia="Arial" w:cs="Times New Roman"/>
          <w:szCs w:val="24"/>
          <w:lang w:val="sq-AL"/>
        </w:rPr>
        <w:t xml:space="preserve"> </w:t>
      </w:r>
      <w:r w:rsidRPr="00E2223C">
        <w:rPr>
          <w:rFonts w:eastAsia="Arial" w:cs="Times New Roman"/>
          <w:szCs w:val="24"/>
          <w:lang w:val="sq-AL"/>
        </w:rPr>
        <w:t>AKU është përgjegjëse për komunikimin e informacionit tek konsumatorët mbi sigurinë ushqimore dhe rreziqet e identifikuara. Kjo synohet të arrihet duke:</w:t>
      </w:r>
    </w:p>
    <w:p w14:paraId="082D69D5" w14:textId="186DC57A" w:rsidR="006E3071" w:rsidRPr="009475CC" w:rsidRDefault="005C3F60" w:rsidP="00623352">
      <w:pPr>
        <w:pStyle w:val="ListParagraph"/>
        <w:numPr>
          <w:ilvl w:val="0"/>
          <w:numId w:val="11"/>
        </w:numPr>
        <w:spacing w:after="0" w:line="240" w:lineRule="auto"/>
        <w:ind w:left="284" w:hanging="284"/>
        <w:jc w:val="both"/>
        <w:rPr>
          <w:rFonts w:eastAsia="Arial" w:cs="Times New Roman"/>
          <w:szCs w:val="24"/>
        </w:rPr>
      </w:pPr>
      <w:r>
        <w:rPr>
          <w:rFonts w:eastAsia="Arial" w:cs="Times New Roman"/>
          <w:szCs w:val="24"/>
        </w:rPr>
        <w:t>Realizuar n</w:t>
      </w:r>
      <w:r w:rsidR="006E3071" w:rsidRPr="003F476D">
        <w:rPr>
          <w:rFonts w:eastAsia="Arial" w:cs="Times New Roman"/>
          <w:szCs w:val="24"/>
        </w:rPr>
        <w:t xml:space="preserve">joftime për tërheqjet e produkteve në faqen e internetit </w:t>
      </w:r>
      <w:r>
        <w:rPr>
          <w:rFonts w:eastAsia="Arial" w:cs="Times New Roman"/>
          <w:szCs w:val="24"/>
        </w:rPr>
        <w:t xml:space="preserve">të AKU </w:t>
      </w:r>
      <w:r w:rsidR="006E3071" w:rsidRPr="003F476D">
        <w:rPr>
          <w:rFonts w:eastAsia="Arial" w:cs="Times New Roman"/>
          <w:szCs w:val="24"/>
        </w:rPr>
        <w:t xml:space="preserve">dhe kanalet e mediave sociale për të njoftuar konsumatorët rreth rreziqeve të identifikuara në lidhje me ushqimet e hedhura në treg në Shqipëri. Këto sinjalizime përcaktojnë qartë atë që dihet për ushqimin (përfshirë emrin e produktit, kodet e serisë/prodhimit, </w:t>
      </w:r>
      <w:r w:rsidR="006E3071" w:rsidRPr="004E1146">
        <w:rPr>
          <w:rFonts w:eastAsia="Arial" w:cs="Times New Roman"/>
          <w:szCs w:val="24"/>
        </w:rPr>
        <w:t>datat e jetë</w:t>
      </w:r>
      <w:r w:rsidR="006E3071" w:rsidRPr="005D4962">
        <w:rPr>
          <w:rFonts w:eastAsia="Arial" w:cs="Times New Roman"/>
          <w:szCs w:val="24"/>
        </w:rPr>
        <w:t>gjatësisë</w:t>
      </w:r>
      <w:r w:rsidR="006E3071" w:rsidRPr="009475CC">
        <w:rPr>
          <w:rFonts w:eastAsia="Arial" w:cs="Times New Roman"/>
          <w:szCs w:val="24"/>
        </w:rPr>
        <w:t xml:space="preserve"> etj.), rrezikun</w:t>
      </w:r>
      <w:r>
        <w:rPr>
          <w:rFonts w:eastAsia="Arial" w:cs="Times New Roman"/>
          <w:szCs w:val="24"/>
        </w:rPr>
        <w:t xml:space="preserve"> </w:t>
      </w:r>
      <w:r w:rsidR="006E3071" w:rsidRPr="009475CC">
        <w:rPr>
          <w:rFonts w:eastAsia="Arial" w:cs="Times New Roman"/>
          <w:szCs w:val="24"/>
        </w:rPr>
        <w:t>dhe veprimin specifik të kërkuar.</w:t>
      </w:r>
    </w:p>
    <w:p w14:paraId="62EC89A4" w14:textId="463D9F61" w:rsidR="006E3071" w:rsidRDefault="005C3F60" w:rsidP="00623352">
      <w:pPr>
        <w:pStyle w:val="ListParagraph"/>
        <w:numPr>
          <w:ilvl w:val="0"/>
          <w:numId w:val="11"/>
        </w:numPr>
        <w:spacing w:after="0" w:line="240" w:lineRule="auto"/>
        <w:ind w:left="284" w:hanging="284"/>
        <w:jc w:val="both"/>
        <w:rPr>
          <w:rFonts w:eastAsia="Arial" w:cs="Times New Roman"/>
          <w:szCs w:val="24"/>
        </w:rPr>
      </w:pPr>
      <w:r>
        <w:rPr>
          <w:rFonts w:eastAsia="Arial" w:cs="Times New Roman"/>
          <w:szCs w:val="24"/>
        </w:rPr>
        <w:t>M</w:t>
      </w:r>
      <w:r w:rsidR="006E3071" w:rsidRPr="009475CC">
        <w:rPr>
          <w:rFonts w:eastAsia="Arial" w:cs="Times New Roman"/>
          <w:szCs w:val="24"/>
        </w:rPr>
        <w:t>bajtur konsumatorët të përditësuar gjatë situatave të krizave ushqimore, duke u ofruar atyre informacion të saktë dhe në kohë përmes mediave të tilla si TV, radio, shtyp, faqet e internetit dhe mediat sociale.</w:t>
      </w:r>
    </w:p>
    <w:p w14:paraId="64F0EA91" w14:textId="77777777" w:rsidR="008226F8" w:rsidRPr="009475CC" w:rsidRDefault="008226F8" w:rsidP="008226F8">
      <w:pPr>
        <w:pStyle w:val="ListParagraph"/>
        <w:spacing w:after="0" w:line="240" w:lineRule="auto"/>
        <w:ind w:left="284"/>
        <w:jc w:val="both"/>
        <w:rPr>
          <w:rFonts w:eastAsia="Arial" w:cs="Times New Roman"/>
          <w:szCs w:val="24"/>
        </w:rPr>
      </w:pPr>
    </w:p>
    <w:p w14:paraId="0B9D2F14" w14:textId="6103483E" w:rsidR="006E3071" w:rsidRPr="009475CC" w:rsidRDefault="006E3071" w:rsidP="008226F8">
      <w:pPr>
        <w:spacing w:line="240" w:lineRule="auto"/>
        <w:jc w:val="both"/>
        <w:rPr>
          <w:rFonts w:eastAsia="Arial" w:cs="Times New Roman"/>
          <w:szCs w:val="24"/>
        </w:rPr>
      </w:pPr>
      <w:r w:rsidRPr="009475CC">
        <w:rPr>
          <w:rFonts w:eastAsia="Arial" w:cs="Times New Roman"/>
          <w:b/>
          <w:bCs/>
          <w:szCs w:val="24"/>
          <w:lang w:val="sq-AL"/>
        </w:rPr>
        <w:t xml:space="preserve">Masa </w:t>
      </w:r>
      <w:r w:rsidR="008226F8">
        <w:rPr>
          <w:rFonts w:eastAsia="Arial" w:cs="Times New Roman"/>
          <w:b/>
          <w:bCs/>
          <w:szCs w:val="24"/>
          <w:lang w:val="sq-AL"/>
        </w:rPr>
        <w:t>38.</w:t>
      </w:r>
      <w:r w:rsidRPr="009475CC">
        <w:rPr>
          <w:rFonts w:eastAsia="Arial" w:cs="Times New Roman"/>
          <w:b/>
          <w:bCs/>
          <w:szCs w:val="24"/>
          <w:lang w:val="sq-AL"/>
        </w:rPr>
        <w:t>1</w:t>
      </w:r>
      <w:r w:rsidR="00086643" w:rsidRPr="009475CC">
        <w:rPr>
          <w:rFonts w:eastAsia="Arial" w:cs="Times New Roman"/>
          <w:b/>
          <w:bCs/>
          <w:szCs w:val="24"/>
          <w:lang w:val="sq-AL"/>
        </w:rPr>
        <w:t>:</w:t>
      </w:r>
      <w:r w:rsidRPr="009475CC">
        <w:rPr>
          <w:rFonts w:eastAsia="Arial" w:cs="Times New Roman"/>
          <w:szCs w:val="24"/>
          <w:lang w:val="sq-AL"/>
        </w:rPr>
        <w:t xml:space="preserve">  Takime nd</w:t>
      </w:r>
      <w:r w:rsidR="00086643">
        <w:rPr>
          <w:rFonts w:eastAsia="Arial" w:cs="Times New Roman"/>
          <w:szCs w:val="24"/>
          <w:lang w:val="sq-AL"/>
        </w:rPr>
        <w:t>ë</w:t>
      </w:r>
      <w:r w:rsidRPr="009475CC">
        <w:rPr>
          <w:rFonts w:eastAsia="Arial" w:cs="Times New Roman"/>
          <w:szCs w:val="24"/>
          <w:lang w:val="sq-AL"/>
        </w:rPr>
        <w:t>rgjegj</w:t>
      </w:r>
      <w:r w:rsidR="00086643">
        <w:rPr>
          <w:rFonts w:eastAsia="Arial" w:cs="Times New Roman"/>
          <w:szCs w:val="24"/>
          <w:lang w:val="sq-AL"/>
        </w:rPr>
        <w:t>ë</w:t>
      </w:r>
      <w:r w:rsidRPr="009475CC">
        <w:rPr>
          <w:rFonts w:eastAsia="Arial" w:cs="Times New Roman"/>
          <w:szCs w:val="24"/>
          <w:lang w:val="sq-AL"/>
        </w:rPr>
        <w:t>suese dhe informuese  me operator</w:t>
      </w:r>
      <w:r w:rsidR="00DB69A8">
        <w:rPr>
          <w:rFonts w:eastAsia="Arial" w:cs="Times New Roman"/>
          <w:szCs w:val="24"/>
          <w:lang w:val="sq-AL"/>
        </w:rPr>
        <w:t>ë</w:t>
      </w:r>
      <w:r w:rsidRPr="009475CC">
        <w:rPr>
          <w:rFonts w:eastAsia="Arial" w:cs="Times New Roman"/>
          <w:szCs w:val="24"/>
          <w:lang w:val="sq-AL"/>
        </w:rPr>
        <w:t>t e biznesit ushqimor, fermer</w:t>
      </w:r>
      <w:r w:rsidR="00086643">
        <w:rPr>
          <w:rFonts w:eastAsia="Arial" w:cs="Times New Roman"/>
          <w:szCs w:val="24"/>
          <w:lang w:val="sq-AL"/>
        </w:rPr>
        <w:t>ë</w:t>
      </w:r>
      <w:r w:rsidRPr="009475CC">
        <w:rPr>
          <w:rFonts w:eastAsia="Arial" w:cs="Times New Roman"/>
          <w:szCs w:val="24"/>
          <w:lang w:val="sq-AL"/>
        </w:rPr>
        <w:t>t dhe veteriner</w:t>
      </w:r>
      <w:r w:rsidR="00DB69A8">
        <w:rPr>
          <w:rFonts w:eastAsia="Arial" w:cs="Times New Roman"/>
          <w:szCs w:val="24"/>
          <w:lang w:val="sq-AL"/>
        </w:rPr>
        <w:t>ë</w:t>
      </w:r>
      <w:r w:rsidRPr="009475CC">
        <w:rPr>
          <w:rFonts w:eastAsia="Arial" w:cs="Times New Roman"/>
          <w:szCs w:val="24"/>
          <w:lang w:val="sq-AL"/>
        </w:rPr>
        <w:t>t dhe agronom</w:t>
      </w:r>
      <w:r w:rsidR="00DB69A8">
        <w:rPr>
          <w:rFonts w:eastAsia="Arial" w:cs="Times New Roman"/>
          <w:szCs w:val="24"/>
          <w:lang w:val="sq-AL"/>
        </w:rPr>
        <w:t>ë</w:t>
      </w:r>
      <w:r w:rsidRPr="009475CC">
        <w:rPr>
          <w:rFonts w:eastAsia="Arial" w:cs="Times New Roman"/>
          <w:szCs w:val="24"/>
          <w:lang w:val="sq-AL"/>
        </w:rPr>
        <w:t>t t</w:t>
      </w:r>
      <w:r w:rsidR="00DB69A8">
        <w:rPr>
          <w:rFonts w:eastAsia="Arial" w:cs="Times New Roman"/>
          <w:szCs w:val="24"/>
          <w:lang w:val="sq-AL"/>
        </w:rPr>
        <w:t>ë</w:t>
      </w:r>
      <w:r w:rsidRPr="009475CC">
        <w:rPr>
          <w:rFonts w:eastAsia="Arial" w:cs="Times New Roman"/>
          <w:szCs w:val="24"/>
          <w:lang w:val="sq-AL"/>
        </w:rPr>
        <w:t xml:space="preserve"> cil</w:t>
      </w:r>
      <w:r w:rsidR="00DB69A8">
        <w:rPr>
          <w:rFonts w:eastAsia="Arial" w:cs="Times New Roman"/>
          <w:szCs w:val="24"/>
          <w:lang w:val="sq-AL"/>
        </w:rPr>
        <w:t>ët</w:t>
      </w:r>
      <w:r w:rsidRPr="009475CC">
        <w:rPr>
          <w:rFonts w:eastAsia="Arial" w:cs="Times New Roman"/>
          <w:szCs w:val="24"/>
          <w:lang w:val="sq-AL"/>
        </w:rPr>
        <w:t xml:space="preserve"> punojn</w:t>
      </w:r>
      <w:r w:rsidR="00DB69A8">
        <w:rPr>
          <w:rFonts w:eastAsia="Arial" w:cs="Times New Roman"/>
          <w:szCs w:val="24"/>
          <w:lang w:val="sq-AL"/>
        </w:rPr>
        <w:t>ë</w:t>
      </w:r>
      <w:r w:rsidRPr="009475CC">
        <w:rPr>
          <w:rFonts w:eastAsia="Arial" w:cs="Times New Roman"/>
          <w:szCs w:val="24"/>
          <w:lang w:val="sq-AL"/>
        </w:rPr>
        <w:t xml:space="preserve"> n</w:t>
      </w:r>
      <w:r w:rsidR="00DB69A8">
        <w:rPr>
          <w:rFonts w:eastAsia="Arial" w:cs="Times New Roman"/>
          <w:szCs w:val="24"/>
          <w:lang w:val="sq-AL"/>
        </w:rPr>
        <w:t>ë</w:t>
      </w:r>
      <w:r w:rsidRPr="009475CC">
        <w:rPr>
          <w:rFonts w:eastAsia="Arial" w:cs="Times New Roman"/>
          <w:szCs w:val="24"/>
          <w:lang w:val="sq-AL"/>
        </w:rPr>
        <w:t xml:space="preserve"> sistemin privat. K</w:t>
      </w:r>
      <w:r w:rsidR="00086643">
        <w:rPr>
          <w:rFonts w:eastAsia="Arial" w:cs="Times New Roman"/>
          <w:szCs w:val="24"/>
          <w:lang w:val="sq-AL"/>
        </w:rPr>
        <w:t>ët</w:t>
      </w:r>
      <w:r w:rsidRPr="009475CC">
        <w:rPr>
          <w:rFonts w:eastAsia="Arial" w:cs="Times New Roman"/>
          <w:szCs w:val="24"/>
          <w:lang w:val="sq-AL"/>
        </w:rPr>
        <w:t>o takime do t</w:t>
      </w:r>
      <w:r w:rsidR="00DB69A8">
        <w:rPr>
          <w:rFonts w:eastAsia="Arial" w:cs="Times New Roman"/>
          <w:szCs w:val="24"/>
          <w:lang w:val="sq-AL"/>
        </w:rPr>
        <w:t>ë</w:t>
      </w:r>
      <w:r w:rsidRPr="009475CC">
        <w:rPr>
          <w:rFonts w:eastAsia="Arial" w:cs="Times New Roman"/>
          <w:szCs w:val="24"/>
          <w:lang w:val="sq-AL"/>
        </w:rPr>
        <w:t xml:space="preserve"> b</w:t>
      </w:r>
      <w:r w:rsidR="00DB69A8">
        <w:rPr>
          <w:rFonts w:eastAsia="Arial" w:cs="Times New Roman"/>
          <w:szCs w:val="24"/>
          <w:lang w:val="sq-AL"/>
        </w:rPr>
        <w:t>ë</w:t>
      </w:r>
      <w:r w:rsidRPr="009475CC">
        <w:rPr>
          <w:rFonts w:eastAsia="Arial" w:cs="Times New Roman"/>
          <w:szCs w:val="24"/>
          <w:lang w:val="sq-AL"/>
        </w:rPr>
        <w:t>hen ne bashk</w:t>
      </w:r>
      <w:r w:rsidR="00086643">
        <w:rPr>
          <w:rFonts w:eastAsia="Arial" w:cs="Times New Roman"/>
          <w:szCs w:val="24"/>
          <w:lang w:val="sq-AL"/>
        </w:rPr>
        <w:t>ëp</w:t>
      </w:r>
      <w:r w:rsidRPr="009475CC">
        <w:rPr>
          <w:rFonts w:eastAsia="Arial" w:cs="Times New Roman"/>
          <w:szCs w:val="24"/>
          <w:lang w:val="sq-AL"/>
        </w:rPr>
        <w:t>unimin me ekstensionin</w:t>
      </w:r>
      <w:r w:rsidRPr="009475CC">
        <w:rPr>
          <w:rFonts w:eastAsia="Arial" w:cs="Times New Roman"/>
          <w:szCs w:val="24"/>
        </w:rPr>
        <w:t>.</w:t>
      </w:r>
    </w:p>
    <w:p w14:paraId="75128175" w14:textId="38D07F72" w:rsidR="00086643" w:rsidRPr="009475CC" w:rsidRDefault="006E3071" w:rsidP="008226F8">
      <w:pPr>
        <w:shd w:val="clear" w:color="auto" w:fill="FFFFFF" w:themeFill="background1"/>
        <w:jc w:val="both"/>
        <w:rPr>
          <w:rFonts w:eastAsia="Arial" w:cs="Times New Roman"/>
          <w:b/>
          <w:bCs/>
          <w:szCs w:val="24"/>
        </w:rPr>
      </w:pPr>
      <w:r w:rsidRPr="009475CC">
        <w:rPr>
          <w:rFonts w:eastAsia="Arial" w:cs="Times New Roman"/>
          <w:b/>
          <w:bCs/>
          <w:szCs w:val="24"/>
        </w:rPr>
        <w:t xml:space="preserve">Masa </w:t>
      </w:r>
      <w:r w:rsidR="008226F8">
        <w:rPr>
          <w:rFonts w:eastAsia="Arial" w:cs="Times New Roman"/>
          <w:b/>
          <w:bCs/>
          <w:szCs w:val="24"/>
        </w:rPr>
        <w:t>38.</w:t>
      </w:r>
      <w:r w:rsidRPr="009475CC">
        <w:rPr>
          <w:rFonts w:eastAsia="Arial" w:cs="Times New Roman"/>
          <w:b/>
          <w:bCs/>
          <w:szCs w:val="24"/>
        </w:rPr>
        <w:t>2</w:t>
      </w:r>
      <w:r w:rsidR="00086643" w:rsidRPr="009475CC">
        <w:rPr>
          <w:rFonts w:eastAsia="Arial" w:cs="Times New Roman"/>
          <w:b/>
          <w:bCs/>
          <w:szCs w:val="24"/>
        </w:rPr>
        <w:t>:</w:t>
      </w:r>
      <w:r w:rsidRPr="009475CC">
        <w:rPr>
          <w:rFonts w:eastAsia="Arial" w:cs="Times New Roman"/>
          <w:szCs w:val="24"/>
        </w:rPr>
        <w:t xml:space="preserve"> P</w:t>
      </w:r>
      <w:r w:rsidR="00086643">
        <w:rPr>
          <w:rFonts w:eastAsia="Arial" w:cs="Times New Roman"/>
          <w:szCs w:val="24"/>
        </w:rPr>
        <w:t>ë</w:t>
      </w:r>
      <w:r w:rsidRPr="009475CC">
        <w:rPr>
          <w:rFonts w:eastAsia="Arial" w:cs="Times New Roman"/>
          <w:szCs w:val="24"/>
        </w:rPr>
        <w:t>rgatitja me informacion nd</w:t>
      </w:r>
      <w:r w:rsidR="00086643">
        <w:rPr>
          <w:rFonts w:eastAsia="Arial" w:cs="Times New Roman"/>
          <w:szCs w:val="24"/>
        </w:rPr>
        <w:t>ë</w:t>
      </w:r>
      <w:r w:rsidRPr="009475CC">
        <w:rPr>
          <w:rFonts w:eastAsia="Arial" w:cs="Times New Roman"/>
          <w:szCs w:val="24"/>
        </w:rPr>
        <w:t>rgjegj</w:t>
      </w:r>
      <w:r w:rsidR="00086643">
        <w:rPr>
          <w:rFonts w:eastAsia="Arial" w:cs="Times New Roman"/>
          <w:szCs w:val="24"/>
        </w:rPr>
        <w:t>ë</w:t>
      </w:r>
      <w:r w:rsidRPr="009475CC">
        <w:rPr>
          <w:rFonts w:eastAsia="Arial" w:cs="Times New Roman"/>
          <w:szCs w:val="24"/>
        </w:rPr>
        <w:t>suese p</w:t>
      </w:r>
      <w:r w:rsidR="00086643">
        <w:rPr>
          <w:rFonts w:eastAsia="Arial" w:cs="Times New Roman"/>
          <w:szCs w:val="24"/>
        </w:rPr>
        <w:t>ë</w:t>
      </w:r>
      <w:r w:rsidRPr="009475CC">
        <w:rPr>
          <w:rFonts w:eastAsia="Arial" w:cs="Times New Roman"/>
          <w:szCs w:val="24"/>
        </w:rPr>
        <w:t>r konsumatorin.</w:t>
      </w:r>
    </w:p>
    <w:p w14:paraId="7CCF9888" w14:textId="2756DCC0" w:rsidR="006E3071" w:rsidRPr="009475CC" w:rsidRDefault="00086643" w:rsidP="00ED6C8C">
      <w:pPr>
        <w:shd w:val="clear" w:color="auto" w:fill="FFFFFF" w:themeFill="background1"/>
        <w:spacing w:after="0" w:line="240" w:lineRule="auto"/>
        <w:jc w:val="both"/>
        <w:rPr>
          <w:rFonts w:eastAsia="Arial" w:cs="Times New Roman"/>
          <w:b/>
          <w:bCs/>
          <w:szCs w:val="24"/>
          <w:lang w:val="sq-AL"/>
        </w:rPr>
      </w:pPr>
      <w:r w:rsidRPr="009475CC">
        <w:rPr>
          <w:rFonts w:eastAsia="Arial" w:cs="Times New Roman"/>
          <w:b/>
          <w:bCs/>
          <w:szCs w:val="24"/>
          <w:lang w:val="sq-AL"/>
        </w:rPr>
        <w:t>Indikator</w:t>
      </w:r>
      <w:r w:rsidR="008226F8">
        <w:rPr>
          <w:rFonts w:eastAsia="Arial" w:cs="Times New Roman"/>
          <w:b/>
          <w:bCs/>
          <w:szCs w:val="24"/>
          <w:lang w:val="sq-AL"/>
        </w:rPr>
        <w:t>ët</w:t>
      </w:r>
      <w:r w:rsidRPr="009475CC">
        <w:rPr>
          <w:rFonts w:eastAsia="Arial" w:cs="Times New Roman"/>
          <w:b/>
          <w:bCs/>
          <w:szCs w:val="24"/>
          <w:lang w:val="sq-AL"/>
        </w:rPr>
        <w:t>:</w:t>
      </w:r>
    </w:p>
    <w:p w14:paraId="12F25DAA" w14:textId="3C07D65F" w:rsidR="006E3071" w:rsidRPr="008226F8" w:rsidRDefault="006E3071" w:rsidP="00623352">
      <w:pPr>
        <w:pStyle w:val="ListParagraph"/>
        <w:numPr>
          <w:ilvl w:val="0"/>
          <w:numId w:val="40"/>
        </w:numPr>
        <w:shd w:val="clear" w:color="auto" w:fill="FFFFFF" w:themeFill="background1"/>
        <w:spacing w:after="0" w:line="240" w:lineRule="auto"/>
        <w:jc w:val="both"/>
        <w:rPr>
          <w:rFonts w:eastAsia="Arial" w:cs="Times New Roman"/>
          <w:szCs w:val="24"/>
        </w:rPr>
      </w:pPr>
      <w:r w:rsidRPr="009475CC">
        <w:rPr>
          <w:rFonts w:eastAsia="Arial" w:cs="Times New Roman"/>
          <w:szCs w:val="24"/>
        </w:rPr>
        <w:t xml:space="preserve">Promocion </w:t>
      </w:r>
      <w:r w:rsidR="005B33F1">
        <w:rPr>
          <w:rFonts w:eastAsia="Arial" w:cs="Times New Roman"/>
          <w:szCs w:val="24"/>
        </w:rPr>
        <w:t>në</w:t>
      </w:r>
      <w:r w:rsidRPr="009475CC">
        <w:rPr>
          <w:rFonts w:eastAsia="Arial" w:cs="Times New Roman"/>
          <w:szCs w:val="24"/>
        </w:rPr>
        <w:t xml:space="preserve"> media </w:t>
      </w:r>
      <w:r w:rsidR="00FD62D1">
        <w:rPr>
          <w:rFonts w:eastAsia="Arial" w:cs="Times New Roman"/>
          <w:szCs w:val="24"/>
        </w:rPr>
        <w:t xml:space="preserve"> </w:t>
      </w:r>
      <w:r w:rsidR="00FD62D1">
        <w:rPr>
          <w:rFonts w:eastAsia="Arial" w:cs="Times New Roman"/>
          <w:szCs w:val="24"/>
          <w:highlight w:val="yellow"/>
        </w:rPr>
        <w:t>për</w:t>
      </w:r>
      <w:r w:rsidR="00FD62D1" w:rsidRPr="00FD62D1">
        <w:rPr>
          <w:rFonts w:eastAsia="Arial" w:cs="Times New Roman"/>
          <w:szCs w:val="24"/>
          <w:highlight w:val="yellow"/>
        </w:rPr>
        <w:t xml:space="preserve"> vit</w:t>
      </w:r>
      <w:r w:rsidR="00FD62D1">
        <w:rPr>
          <w:rFonts w:eastAsia="Arial" w:cs="Times New Roman"/>
          <w:szCs w:val="24"/>
        </w:rPr>
        <w:t xml:space="preserve"> </w:t>
      </w:r>
      <w:r w:rsidRPr="009475CC">
        <w:rPr>
          <w:rFonts w:eastAsia="Arial" w:cs="Times New Roman"/>
          <w:szCs w:val="24"/>
        </w:rPr>
        <w:t>mbi sigurin</w:t>
      </w:r>
      <w:r w:rsidR="005B33F1">
        <w:rPr>
          <w:rFonts w:eastAsia="Arial" w:cs="Times New Roman"/>
          <w:szCs w:val="24"/>
        </w:rPr>
        <w:t>ë</w:t>
      </w:r>
      <w:r w:rsidRPr="009475CC">
        <w:rPr>
          <w:rFonts w:eastAsia="Arial" w:cs="Times New Roman"/>
          <w:szCs w:val="24"/>
        </w:rPr>
        <w:t xml:space="preserve"> ushqimore </w:t>
      </w:r>
      <w:r w:rsidR="00DB69A8">
        <w:rPr>
          <w:rFonts w:eastAsia="Arial" w:cs="Times New Roman"/>
          <w:szCs w:val="24"/>
        </w:rPr>
        <w:t xml:space="preserve">duke i </w:t>
      </w:r>
      <w:r w:rsidRPr="009475CC">
        <w:rPr>
          <w:rFonts w:eastAsia="Arial" w:cs="Times New Roman"/>
          <w:szCs w:val="24"/>
        </w:rPr>
        <w:t>pajis</w:t>
      </w:r>
      <w:r w:rsidR="00DB69A8">
        <w:rPr>
          <w:rFonts w:eastAsia="Arial" w:cs="Times New Roman"/>
          <w:szCs w:val="24"/>
        </w:rPr>
        <w:t>ur</w:t>
      </w:r>
      <w:r w:rsidRPr="009475CC">
        <w:rPr>
          <w:rFonts w:eastAsia="Arial" w:cs="Times New Roman"/>
          <w:szCs w:val="24"/>
        </w:rPr>
        <w:t xml:space="preserve"> konsumatorët me njohuri dhe </w:t>
      </w:r>
      <w:r w:rsidRPr="008226F8">
        <w:rPr>
          <w:rFonts w:eastAsia="Arial" w:cs="Times New Roman"/>
          <w:szCs w:val="24"/>
        </w:rPr>
        <w:t>mënyra se si të praktikojnë praktika të mira të sigurisë ushqimore brenda dhe jashtë shtëpisë.</w:t>
      </w:r>
    </w:p>
    <w:p w14:paraId="77000F08" w14:textId="739448AB" w:rsidR="006E3071" w:rsidRPr="008226F8" w:rsidRDefault="006E3071" w:rsidP="00623352">
      <w:pPr>
        <w:pStyle w:val="ListParagraph"/>
        <w:numPr>
          <w:ilvl w:val="0"/>
          <w:numId w:val="40"/>
        </w:numPr>
        <w:shd w:val="clear" w:color="auto" w:fill="FFFFFF" w:themeFill="background1"/>
        <w:spacing w:after="0" w:line="240" w:lineRule="auto"/>
        <w:jc w:val="both"/>
        <w:rPr>
          <w:rFonts w:eastAsia="Arial" w:cs="Times New Roman"/>
          <w:szCs w:val="24"/>
        </w:rPr>
      </w:pPr>
      <w:r w:rsidRPr="009475CC">
        <w:rPr>
          <w:rFonts w:eastAsia="Arial" w:cs="Times New Roman"/>
          <w:szCs w:val="24"/>
        </w:rPr>
        <w:t>Info</w:t>
      </w:r>
      <w:r w:rsidR="005B33F1">
        <w:rPr>
          <w:rFonts w:eastAsia="Arial" w:cs="Times New Roman"/>
          <w:szCs w:val="24"/>
        </w:rPr>
        <w:t>r</w:t>
      </w:r>
      <w:r w:rsidRPr="009475CC">
        <w:rPr>
          <w:rFonts w:eastAsia="Arial" w:cs="Times New Roman"/>
          <w:szCs w:val="24"/>
        </w:rPr>
        <w:t>macion mbi</w:t>
      </w:r>
      <w:r w:rsidR="00FD62D1">
        <w:rPr>
          <w:rFonts w:eastAsia="Arial" w:cs="Times New Roman"/>
          <w:szCs w:val="24"/>
        </w:rPr>
        <w:t xml:space="preserve"> cdo </w:t>
      </w:r>
      <w:r w:rsidR="00FD62D1" w:rsidRPr="00FD62D1">
        <w:rPr>
          <w:rFonts w:eastAsia="Arial" w:cs="Times New Roman"/>
          <w:szCs w:val="24"/>
          <w:highlight w:val="yellow"/>
        </w:rPr>
        <w:t>2 vjet</w:t>
      </w:r>
      <w:r w:rsidR="00FD62D1">
        <w:rPr>
          <w:rFonts w:eastAsia="Arial" w:cs="Times New Roman"/>
          <w:szCs w:val="24"/>
        </w:rPr>
        <w:t xml:space="preserve"> </w:t>
      </w:r>
      <w:r w:rsidRPr="009475CC">
        <w:rPr>
          <w:rFonts w:eastAsia="Arial" w:cs="Times New Roman"/>
          <w:szCs w:val="24"/>
        </w:rPr>
        <w:t xml:space="preserve"> etiketimin dhe vler</w:t>
      </w:r>
      <w:r w:rsidR="00DB69A8">
        <w:rPr>
          <w:rFonts w:eastAsia="Arial" w:cs="Times New Roman"/>
          <w:szCs w:val="24"/>
        </w:rPr>
        <w:t>ë</w:t>
      </w:r>
      <w:r w:rsidRPr="009475CC">
        <w:rPr>
          <w:rFonts w:eastAsia="Arial" w:cs="Times New Roman"/>
          <w:szCs w:val="24"/>
        </w:rPr>
        <w:t>simi q</w:t>
      </w:r>
      <w:r w:rsidR="00DB69A8">
        <w:rPr>
          <w:rFonts w:eastAsia="Arial" w:cs="Times New Roman"/>
          <w:szCs w:val="24"/>
        </w:rPr>
        <w:t>ë</w:t>
      </w:r>
      <w:r w:rsidRPr="009475CC">
        <w:rPr>
          <w:rFonts w:eastAsia="Arial" w:cs="Times New Roman"/>
          <w:szCs w:val="24"/>
        </w:rPr>
        <w:t xml:space="preserve"> duhet ti b</w:t>
      </w:r>
      <w:r w:rsidR="00DB69A8">
        <w:rPr>
          <w:rFonts w:eastAsia="Arial" w:cs="Times New Roman"/>
          <w:szCs w:val="24"/>
        </w:rPr>
        <w:t>ë</w:t>
      </w:r>
      <w:r w:rsidRPr="009475CC">
        <w:rPr>
          <w:rFonts w:eastAsia="Arial" w:cs="Times New Roman"/>
          <w:szCs w:val="24"/>
        </w:rPr>
        <w:t>j</w:t>
      </w:r>
      <w:r w:rsidR="00DB69A8">
        <w:rPr>
          <w:rFonts w:eastAsia="Arial" w:cs="Times New Roman"/>
          <w:szCs w:val="24"/>
        </w:rPr>
        <w:t>ë</w:t>
      </w:r>
      <w:r w:rsidRPr="009475CC">
        <w:rPr>
          <w:rFonts w:eastAsia="Arial" w:cs="Times New Roman"/>
          <w:szCs w:val="24"/>
        </w:rPr>
        <w:t xml:space="preserve"> etiket</w:t>
      </w:r>
      <w:r w:rsidR="00DB69A8">
        <w:rPr>
          <w:rFonts w:eastAsia="Arial" w:cs="Times New Roman"/>
          <w:szCs w:val="24"/>
        </w:rPr>
        <w:t>ë</w:t>
      </w:r>
      <w:r w:rsidRPr="009475CC">
        <w:rPr>
          <w:rFonts w:eastAsia="Arial" w:cs="Times New Roman"/>
          <w:szCs w:val="24"/>
        </w:rPr>
        <w:t>s para blerjes s</w:t>
      </w:r>
      <w:r w:rsidR="00DB69A8">
        <w:rPr>
          <w:rFonts w:eastAsia="Arial" w:cs="Times New Roman"/>
          <w:szCs w:val="24"/>
        </w:rPr>
        <w:t>ë</w:t>
      </w:r>
      <w:r w:rsidRPr="009475CC">
        <w:rPr>
          <w:rFonts w:eastAsia="Arial" w:cs="Times New Roman"/>
          <w:szCs w:val="24"/>
        </w:rPr>
        <w:t xml:space="preserve"> </w:t>
      </w:r>
      <w:r w:rsidR="00DB69A8">
        <w:rPr>
          <w:rFonts w:eastAsia="Arial" w:cs="Times New Roman"/>
          <w:szCs w:val="24"/>
        </w:rPr>
        <w:t>ç</w:t>
      </w:r>
      <w:r w:rsidRPr="009475CC">
        <w:rPr>
          <w:rFonts w:eastAsia="Arial" w:cs="Times New Roman"/>
          <w:szCs w:val="24"/>
        </w:rPr>
        <w:t>d</w:t>
      </w:r>
      <w:r w:rsidR="00ED6C8C">
        <w:rPr>
          <w:rFonts w:eastAsia="Arial" w:cs="Times New Roman"/>
          <w:szCs w:val="24"/>
        </w:rPr>
        <w:t>o</w:t>
      </w:r>
      <w:r w:rsidR="008226F8">
        <w:rPr>
          <w:rFonts w:eastAsia="Arial" w:cs="Times New Roman"/>
          <w:szCs w:val="24"/>
        </w:rPr>
        <w:t xml:space="preserve"> </w:t>
      </w:r>
      <w:r w:rsidRPr="008226F8">
        <w:rPr>
          <w:rFonts w:eastAsia="Arial" w:cs="Times New Roman"/>
          <w:szCs w:val="24"/>
        </w:rPr>
        <w:t>produkti.</w:t>
      </w:r>
    </w:p>
    <w:p w14:paraId="584DA2A9" w14:textId="375CFE7E" w:rsidR="006E3071" w:rsidRPr="008226F8" w:rsidRDefault="006E3071" w:rsidP="00623352">
      <w:pPr>
        <w:pStyle w:val="ListParagraph"/>
        <w:numPr>
          <w:ilvl w:val="0"/>
          <w:numId w:val="40"/>
        </w:numPr>
        <w:shd w:val="clear" w:color="auto" w:fill="FFFFFF" w:themeFill="background1"/>
        <w:spacing w:after="0" w:line="240" w:lineRule="auto"/>
        <w:jc w:val="both"/>
        <w:rPr>
          <w:rFonts w:eastAsia="Arial" w:cs="Times New Roman"/>
          <w:szCs w:val="24"/>
        </w:rPr>
      </w:pPr>
      <w:r w:rsidRPr="009475CC">
        <w:rPr>
          <w:rFonts w:eastAsia="Arial" w:cs="Times New Roman"/>
          <w:szCs w:val="24"/>
        </w:rPr>
        <w:t>Dh</w:t>
      </w:r>
      <w:r w:rsidR="005B33F1">
        <w:rPr>
          <w:rFonts w:eastAsia="Arial" w:cs="Times New Roman"/>
          <w:szCs w:val="24"/>
        </w:rPr>
        <w:t>ë</w:t>
      </w:r>
      <w:r w:rsidRPr="009475CC">
        <w:rPr>
          <w:rFonts w:eastAsia="Arial" w:cs="Times New Roman"/>
          <w:szCs w:val="24"/>
        </w:rPr>
        <w:t>nia e informacionit të përditësuar</w:t>
      </w:r>
      <w:r w:rsidR="00FD62D1">
        <w:rPr>
          <w:rFonts w:eastAsia="Arial" w:cs="Times New Roman"/>
          <w:szCs w:val="24"/>
        </w:rPr>
        <w:t xml:space="preserve"> për vit </w:t>
      </w:r>
      <w:r w:rsidRPr="009475CC">
        <w:rPr>
          <w:rFonts w:eastAsia="Arial" w:cs="Times New Roman"/>
          <w:szCs w:val="24"/>
        </w:rPr>
        <w:t xml:space="preserve"> tek konsumatorët gjatë situatave të krizave </w:t>
      </w:r>
      <w:r w:rsidRPr="008226F8">
        <w:rPr>
          <w:rFonts w:eastAsia="Arial" w:cs="Times New Roman"/>
          <w:szCs w:val="24"/>
        </w:rPr>
        <w:t>ushqimore, duke u ofruar atyre informacion të saktë dhe në kohë përmes mediave të tilla si</w:t>
      </w:r>
      <w:r w:rsidR="00DB69A8" w:rsidRPr="008226F8">
        <w:rPr>
          <w:rFonts w:eastAsia="Arial" w:cs="Times New Roman"/>
          <w:szCs w:val="24"/>
        </w:rPr>
        <w:t>:</w:t>
      </w:r>
      <w:r w:rsidRPr="008226F8">
        <w:rPr>
          <w:rFonts w:eastAsia="Arial" w:cs="Times New Roman"/>
          <w:szCs w:val="24"/>
        </w:rPr>
        <w:t xml:space="preserve"> TV, radio, shtyp, faqet e internetit zyrtare</w:t>
      </w:r>
      <w:r w:rsidR="00DB69A8" w:rsidRPr="008226F8">
        <w:rPr>
          <w:rFonts w:eastAsia="Arial" w:cs="Times New Roman"/>
          <w:szCs w:val="24"/>
        </w:rPr>
        <w:t xml:space="preserve"> </w:t>
      </w:r>
      <w:r w:rsidRPr="008226F8">
        <w:rPr>
          <w:rFonts w:eastAsia="Arial" w:cs="Times New Roman"/>
          <w:szCs w:val="24"/>
        </w:rPr>
        <w:t>dhe mediat sociale.</w:t>
      </w:r>
    </w:p>
    <w:p w14:paraId="33324598" w14:textId="77777777" w:rsidR="00ED6C8C" w:rsidRDefault="00DB69A8" w:rsidP="00623352">
      <w:pPr>
        <w:pStyle w:val="ListParagraph"/>
        <w:numPr>
          <w:ilvl w:val="0"/>
          <w:numId w:val="40"/>
        </w:numPr>
        <w:shd w:val="clear" w:color="auto" w:fill="FFFFFF" w:themeFill="background1"/>
        <w:spacing w:after="0" w:line="240" w:lineRule="auto"/>
        <w:jc w:val="both"/>
        <w:rPr>
          <w:rFonts w:eastAsia="Arial" w:cs="Times New Roman"/>
          <w:szCs w:val="24"/>
        </w:rPr>
      </w:pPr>
      <w:r>
        <w:rPr>
          <w:rFonts w:eastAsia="Arial" w:cs="Times New Roman"/>
          <w:szCs w:val="24"/>
        </w:rPr>
        <w:t>B</w:t>
      </w:r>
      <w:r w:rsidR="005B33F1">
        <w:rPr>
          <w:rFonts w:eastAsia="Arial" w:cs="Times New Roman"/>
          <w:szCs w:val="24"/>
        </w:rPr>
        <w:t>ë</w:t>
      </w:r>
      <w:r w:rsidR="006E3071" w:rsidRPr="009475CC">
        <w:rPr>
          <w:rFonts w:eastAsia="Arial" w:cs="Times New Roman"/>
          <w:szCs w:val="24"/>
        </w:rPr>
        <w:t>rja e tyre pjes</w:t>
      </w:r>
      <w:r w:rsidR="005B33F1">
        <w:rPr>
          <w:rFonts w:eastAsia="Arial" w:cs="Times New Roman"/>
          <w:szCs w:val="24"/>
        </w:rPr>
        <w:t>ë</w:t>
      </w:r>
      <w:r w:rsidR="006E3071" w:rsidRPr="009475CC">
        <w:rPr>
          <w:rFonts w:eastAsia="Arial" w:cs="Times New Roman"/>
          <w:szCs w:val="24"/>
        </w:rPr>
        <w:t xml:space="preserve"> e konsultimeve p</w:t>
      </w:r>
      <w:r w:rsidR="00ED6C8C">
        <w:rPr>
          <w:rFonts w:eastAsia="Arial" w:cs="Times New Roman"/>
          <w:szCs w:val="24"/>
        </w:rPr>
        <w:t>ë</w:t>
      </w:r>
      <w:r w:rsidR="006E3071" w:rsidRPr="009475CC">
        <w:rPr>
          <w:rFonts w:eastAsia="Arial" w:cs="Times New Roman"/>
          <w:szCs w:val="24"/>
        </w:rPr>
        <w:t>r p</w:t>
      </w:r>
      <w:r w:rsidR="00ED6C8C">
        <w:rPr>
          <w:rFonts w:eastAsia="Arial" w:cs="Times New Roman"/>
          <w:szCs w:val="24"/>
        </w:rPr>
        <w:t>ë</w:t>
      </w:r>
      <w:r w:rsidR="006E3071" w:rsidRPr="009475CC">
        <w:rPr>
          <w:rFonts w:eastAsia="Arial" w:cs="Times New Roman"/>
          <w:szCs w:val="24"/>
        </w:rPr>
        <w:t>rgatitjen e akteve ligjore.</w:t>
      </w:r>
    </w:p>
    <w:tbl>
      <w:tblPr>
        <w:tblStyle w:val="TableGrid"/>
        <w:tblW w:w="0" w:type="auto"/>
        <w:tblLook w:val="04A0" w:firstRow="1" w:lastRow="0" w:firstColumn="1" w:lastColumn="0" w:noHBand="0" w:noVBand="1"/>
      </w:tblPr>
      <w:tblGrid>
        <w:gridCol w:w="9016"/>
      </w:tblGrid>
      <w:tr w:rsidR="008226F8" w14:paraId="00B92019" w14:textId="77777777" w:rsidTr="008226F8">
        <w:tc>
          <w:tcPr>
            <w:tcW w:w="9016" w:type="dxa"/>
          </w:tcPr>
          <w:p w14:paraId="46FFDE00" w14:textId="45181FB5" w:rsidR="008226F8" w:rsidRPr="008226F8" w:rsidRDefault="008226F8" w:rsidP="00623352">
            <w:pPr>
              <w:pStyle w:val="ListParagraph"/>
              <w:numPr>
                <w:ilvl w:val="0"/>
                <w:numId w:val="40"/>
              </w:numPr>
              <w:shd w:val="clear" w:color="auto" w:fill="FFFFFF" w:themeFill="background1"/>
              <w:jc w:val="both"/>
              <w:rPr>
                <w:rFonts w:cs="Times New Roman"/>
                <w:szCs w:val="24"/>
                <w:lang w:val="sq-AL"/>
              </w:rPr>
            </w:pPr>
            <w:r w:rsidRPr="008226F8">
              <w:rPr>
                <w:rFonts w:cs="Times New Roman"/>
                <w:b/>
                <w:bCs/>
                <w:szCs w:val="24"/>
                <w:lang w:val="sq-AL"/>
              </w:rPr>
              <w:t>Objektivi 39:</w:t>
            </w:r>
            <w:r w:rsidRPr="008226F8">
              <w:rPr>
                <w:rFonts w:cs="Times New Roman"/>
                <w:szCs w:val="24"/>
                <w:lang w:val="sq-AL"/>
              </w:rPr>
              <w:t xml:space="preserve"> Rritja e ndërgjegjësimit për sigurinë ushqimore nëpërmjet edukimit dhe fushatave të ndërgjegjësimit publik.</w:t>
            </w:r>
          </w:p>
          <w:p w14:paraId="654E1CF0" w14:textId="77777777" w:rsidR="008226F8" w:rsidRPr="008226F8" w:rsidRDefault="008226F8" w:rsidP="00623352">
            <w:pPr>
              <w:pStyle w:val="ListParagraph"/>
              <w:numPr>
                <w:ilvl w:val="0"/>
                <w:numId w:val="40"/>
              </w:numPr>
              <w:jc w:val="both"/>
              <w:rPr>
                <w:rFonts w:cs="Times New Roman"/>
                <w:b/>
                <w:bCs/>
                <w:szCs w:val="24"/>
                <w:lang w:val="sq-AL"/>
              </w:rPr>
            </w:pPr>
          </w:p>
        </w:tc>
      </w:tr>
    </w:tbl>
    <w:p w14:paraId="3970EB8D" w14:textId="77777777" w:rsidR="008226F8" w:rsidRDefault="008226F8" w:rsidP="00ED6C8C">
      <w:pPr>
        <w:shd w:val="clear" w:color="auto" w:fill="FFFFFF" w:themeFill="background1"/>
        <w:spacing w:after="0" w:line="240" w:lineRule="auto"/>
        <w:jc w:val="both"/>
        <w:rPr>
          <w:rFonts w:cs="Times New Roman"/>
          <w:b/>
          <w:bCs/>
          <w:szCs w:val="24"/>
          <w:lang w:val="sq-AL"/>
        </w:rPr>
      </w:pPr>
    </w:p>
    <w:p w14:paraId="2A841E9A" w14:textId="14E44B1B" w:rsidR="006E3071" w:rsidRPr="009475CC" w:rsidRDefault="006E3071" w:rsidP="00867BA2">
      <w:pPr>
        <w:spacing w:after="0"/>
        <w:jc w:val="both"/>
        <w:rPr>
          <w:rFonts w:eastAsia="Arial" w:cs="Times New Roman"/>
          <w:szCs w:val="24"/>
          <w:lang w:val="sq-AL"/>
        </w:rPr>
      </w:pPr>
      <w:r w:rsidRPr="009475CC">
        <w:rPr>
          <w:rFonts w:eastAsia="Arial" w:cs="Times New Roman"/>
          <w:szCs w:val="24"/>
          <w:lang w:val="sq-AL"/>
        </w:rPr>
        <w:t xml:space="preserve">Rritja e ndërgjegjësimit për praktikat e mira të higjienës ushqimore dhe çështjet që lidhen me sigurinë ushqimore kontribuon në uljen e incidencës së sëmundjeve që vijnë nga ushqimi. Përfshirja e programeve të sigurisë ushqimore në shkolla është thelbësore për të sjellë </w:t>
      </w:r>
      <w:r w:rsidRPr="009475CC">
        <w:rPr>
          <w:rFonts w:eastAsia="Arial" w:cs="Times New Roman"/>
          <w:szCs w:val="24"/>
          <w:lang w:val="sq-AL"/>
        </w:rPr>
        <w:lastRenderedPageBreak/>
        <w:t>ndryshime në sjelljen e popullatës së re. Angazhimi aktiv për të arritur konsumatorët kryhet përmes fushatave reklamuese, intervistave televizive, postimeve në mediat sociale, ndërveprimit në panaire dhe ngjarjeve të tjera publike.</w:t>
      </w:r>
      <w:r w:rsidR="006C1E0E">
        <w:rPr>
          <w:rFonts w:eastAsia="Arial" w:cs="Times New Roman"/>
          <w:szCs w:val="24"/>
          <w:lang w:val="sq-AL"/>
        </w:rPr>
        <w:t xml:space="preserve"> </w:t>
      </w:r>
      <w:r w:rsidRPr="009475CC">
        <w:rPr>
          <w:rFonts w:eastAsia="Arial" w:cs="Times New Roman"/>
          <w:szCs w:val="24"/>
          <w:lang w:val="sq-AL"/>
        </w:rPr>
        <w:t>MBZHR-ja do t</w:t>
      </w:r>
      <w:r w:rsidR="00867BA2">
        <w:rPr>
          <w:rFonts w:eastAsia="Arial" w:cs="Times New Roman"/>
          <w:szCs w:val="24"/>
          <w:lang w:val="sq-AL"/>
        </w:rPr>
        <w:t>ë</w:t>
      </w:r>
      <w:r w:rsidRPr="009475CC">
        <w:rPr>
          <w:rFonts w:eastAsia="Arial" w:cs="Times New Roman"/>
          <w:szCs w:val="24"/>
          <w:lang w:val="sq-AL"/>
        </w:rPr>
        <w:t xml:space="preserve">  përkushtohet për rritjen e ndërgjegjësimit të publikut duke:</w:t>
      </w:r>
    </w:p>
    <w:p w14:paraId="2996BCC8" w14:textId="77777777" w:rsidR="006E3071" w:rsidRPr="009475CC" w:rsidRDefault="006E3071" w:rsidP="00623352">
      <w:pPr>
        <w:pStyle w:val="ListParagraph"/>
        <w:numPr>
          <w:ilvl w:val="0"/>
          <w:numId w:val="11"/>
        </w:numPr>
        <w:spacing w:after="0" w:line="240" w:lineRule="auto"/>
        <w:ind w:left="284" w:hanging="284"/>
        <w:jc w:val="both"/>
        <w:rPr>
          <w:rFonts w:eastAsia="Arial" w:cs="Times New Roman"/>
          <w:szCs w:val="24"/>
        </w:rPr>
      </w:pPr>
      <w:r w:rsidRPr="009475CC">
        <w:rPr>
          <w:rFonts w:eastAsia="Arial" w:cs="Times New Roman"/>
          <w:szCs w:val="24"/>
        </w:rPr>
        <w:t>Punuar me AKU-në dhe organe të tjera rregullatore për të zhvilluar fushata të rregullta ndërgjegjësimi publik për të ofruar mesazhe dhe informacione të synuara për sigurinë ushqimore për konsumatorët;</w:t>
      </w:r>
    </w:p>
    <w:p w14:paraId="16D51F66" w14:textId="77777777" w:rsidR="006E3071" w:rsidRPr="009475CC" w:rsidRDefault="006E3071" w:rsidP="00623352">
      <w:pPr>
        <w:pStyle w:val="ListParagraph"/>
        <w:numPr>
          <w:ilvl w:val="0"/>
          <w:numId w:val="11"/>
        </w:numPr>
        <w:ind w:left="284" w:hanging="284"/>
        <w:jc w:val="both"/>
        <w:rPr>
          <w:rFonts w:eastAsia="Arial" w:cs="Times New Roman"/>
          <w:szCs w:val="24"/>
        </w:rPr>
      </w:pPr>
      <w:r w:rsidRPr="009475CC">
        <w:rPr>
          <w:rFonts w:eastAsia="Arial" w:cs="Times New Roman"/>
          <w:szCs w:val="24"/>
        </w:rPr>
        <w:t>Punuar me AKU-në, Ministrinë e Arsimit dhe institucione të tjera arsimore për të zhvilluar dhe integruar programet e sigurisë ushqimore në kurikulat shkollore;</w:t>
      </w:r>
    </w:p>
    <w:p w14:paraId="09223E43" w14:textId="77777777" w:rsidR="006E3071" w:rsidRPr="009475CC" w:rsidRDefault="006E3071" w:rsidP="00623352">
      <w:pPr>
        <w:pStyle w:val="ListParagraph"/>
        <w:numPr>
          <w:ilvl w:val="0"/>
          <w:numId w:val="11"/>
        </w:numPr>
        <w:spacing w:after="0"/>
        <w:ind w:left="284" w:hanging="284"/>
        <w:jc w:val="both"/>
        <w:rPr>
          <w:rFonts w:eastAsia="Arial" w:cs="Times New Roman"/>
          <w:szCs w:val="24"/>
        </w:rPr>
      </w:pPr>
      <w:r w:rsidRPr="009475CC">
        <w:rPr>
          <w:rFonts w:eastAsia="Arial" w:cs="Times New Roman"/>
          <w:szCs w:val="24"/>
        </w:rPr>
        <w:t>Organizuar ngjarje publike për të bashkëvepruar me konsumatorët.</w:t>
      </w:r>
    </w:p>
    <w:p w14:paraId="4586B7ED" w14:textId="77777777" w:rsidR="008226F8" w:rsidRDefault="008226F8" w:rsidP="009475CC">
      <w:pPr>
        <w:spacing w:after="0"/>
        <w:rPr>
          <w:rFonts w:eastAsia="Arial" w:cs="Times New Roman"/>
          <w:b/>
          <w:bCs/>
          <w:szCs w:val="24"/>
        </w:rPr>
      </w:pPr>
    </w:p>
    <w:p w14:paraId="01BB3848" w14:textId="356D7E54" w:rsidR="006E3071" w:rsidRPr="009475CC" w:rsidRDefault="006E3071" w:rsidP="008226F8">
      <w:pPr>
        <w:rPr>
          <w:rFonts w:eastAsia="Arial" w:cs="Times New Roman"/>
          <w:szCs w:val="24"/>
        </w:rPr>
      </w:pPr>
      <w:r w:rsidRPr="009475CC">
        <w:rPr>
          <w:rFonts w:eastAsia="Arial" w:cs="Times New Roman"/>
          <w:b/>
          <w:bCs/>
          <w:szCs w:val="24"/>
        </w:rPr>
        <w:t xml:space="preserve">Masa </w:t>
      </w:r>
      <w:r w:rsidR="008226F8">
        <w:rPr>
          <w:rFonts w:eastAsia="Arial" w:cs="Times New Roman"/>
          <w:b/>
          <w:bCs/>
          <w:szCs w:val="24"/>
        </w:rPr>
        <w:t>39.</w:t>
      </w:r>
      <w:r w:rsidRPr="009475CC">
        <w:rPr>
          <w:rFonts w:eastAsia="Arial" w:cs="Times New Roman"/>
          <w:b/>
          <w:bCs/>
          <w:szCs w:val="24"/>
        </w:rPr>
        <w:t>1</w:t>
      </w:r>
      <w:r w:rsidR="006C1E0E" w:rsidRPr="009475CC">
        <w:rPr>
          <w:rFonts w:eastAsia="Arial" w:cs="Times New Roman"/>
          <w:szCs w:val="24"/>
        </w:rPr>
        <w:t>:</w:t>
      </w:r>
      <w:r w:rsidRPr="009475CC">
        <w:rPr>
          <w:rFonts w:eastAsia="Arial" w:cs="Times New Roman"/>
          <w:szCs w:val="24"/>
        </w:rPr>
        <w:t xml:space="preserve"> P</w:t>
      </w:r>
      <w:r w:rsidR="006C1E0E" w:rsidRPr="009475CC">
        <w:rPr>
          <w:rFonts w:eastAsia="Arial" w:cs="Times New Roman"/>
          <w:szCs w:val="24"/>
        </w:rPr>
        <w:t>ë</w:t>
      </w:r>
      <w:r w:rsidRPr="009475CC">
        <w:rPr>
          <w:rFonts w:eastAsia="Arial" w:cs="Times New Roman"/>
          <w:szCs w:val="24"/>
        </w:rPr>
        <w:t>rgatitja e broshura</w:t>
      </w:r>
      <w:r w:rsidR="006C1E0E" w:rsidRPr="009475CC">
        <w:rPr>
          <w:rFonts w:eastAsia="Arial" w:cs="Times New Roman"/>
          <w:szCs w:val="24"/>
        </w:rPr>
        <w:t>ve</w:t>
      </w:r>
      <w:r w:rsidRPr="009475CC">
        <w:rPr>
          <w:rFonts w:eastAsia="Arial" w:cs="Times New Roman"/>
          <w:szCs w:val="24"/>
        </w:rPr>
        <w:t xml:space="preserve"> me informacion nd</w:t>
      </w:r>
      <w:r w:rsidR="006C1E0E" w:rsidRPr="009475CC">
        <w:rPr>
          <w:rFonts w:eastAsia="Arial" w:cs="Times New Roman"/>
          <w:szCs w:val="24"/>
        </w:rPr>
        <w:t>ë</w:t>
      </w:r>
      <w:r w:rsidRPr="009475CC">
        <w:rPr>
          <w:rFonts w:eastAsia="Arial" w:cs="Times New Roman"/>
          <w:szCs w:val="24"/>
        </w:rPr>
        <w:t>rgjegj</w:t>
      </w:r>
      <w:r w:rsidR="006C1E0E" w:rsidRPr="009475CC">
        <w:rPr>
          <w:rFonts w:eastAsia="Arial" w:cs="Times New Roman"/>
          <w:szCs w:val="24"/>
        </w:rPr>
        <w:t>ë</w:t>
      </w:r>
      <w:r w:rsidRPr="009475CC">
        <w:rPr>
          <w:rFonts w:eastAsia="Arial" w:cs="Times New Roman"/>
          <w:szCs w:val="24"/>
        </w:rPr>
        <w:t>sues</w:t>
      </w:r>
      <w:r w:rsidR="006C1E0E" w:rsidRPr="009475CC">
        <w:rPr>
          <w:rFonts w:eastAsia="Arial" w:cs="Times New Roman"/>
          <w:szCs w:val="24"/>
        </w:rPr>
        <w:t>.</w:t>
      </w:r>
      <w:r w:rsidRPr="009475CC">
        <w:rPr>
          <w:rFonts w:eastAsia="Arial" w:cs="Times New Roman"/>
          <w:szCs w:val="24"/>
        </w:rPr>
        <w:t xml:space="preserve"> </w:t>
      </w:r>
    </w:p>
    <w:p w14:paraId="066ACE85" w14:textId="663147D3" w:rsidR="006E3071" w:rsidRPr="009475CC" w:rsidRDefault="006E3071" w:rsidP="008226F8">
      <w:pPr>
        <w:rPr>
          <w:rFonts w:eastAsia="Arial" w:cs="Times New Roman"/>
          <w:szCs w:val="24"/>
        </w:rPr>
      </w:pPr>
      <w:r w:rsidRPr="009475CC">
        <w:rPr>
          <w:rFonts w:eastAsia="Arial" w:cs="Times New Roman"/>
          <w:b/>
          <w:bCs/>
          <w:szCs w:val="24"/>
        </w:rPr>
        <w:t>Masa</w:t>
      </w:r>
      <w:r w:rsidR="006C1E0E" w:rsidRPr="009475CC">
        <w:rPr>
          <w:rFonts w:eastAsia="Arial" w:cs="Times New Roman"/>
          <w:b/>
          <w:bCs/>
          <w:szCs w:val="24"/>
        </w:rPr>
        <w:t xml:space="preserve"> </w:t>
      </w:r>
      <w:r w:rsidR="008226F8">
        <w:rPr>
          <w:rFonts w:eastAsia="Arial" w:cs="Times New Roman"/>
          <w:b/>
          <w:bCs/>
          <w:szCs w:val="24"/>
        </w:rPr>
        <w:t>39.</w:t>
      </w:r>
      <w:r w:rsidRPr="009475CC">
        <w:rPr>
          <w:rFonts w:eastAsia="Arial" w:cs="Times New Roman"/>
          <w:b/>
          <w:bCs/>
          <w:szCs w:val="24"/>
        </w:rPr>
        <w:t>2</w:t>
      </w:r>
      <w:r w:rsidR="006C1E0E" w:rsidRPr="009475CC">
        <w:rPr>
          <w:rFonts w:eastAsia="Arial" w:cs="Times New Roman"/>
          <w:b/>
          <w:bCs/>
          <w:szCs w:val="24"/>
        </w:rPr>
        <w:t>:</w:t>
      </w:r>
      <w:r w:rsidRPr="009475CC">
        <w:rPr>
          <w:rFonts w:eastAsia="Arial" w:cs="Times New Roman"/>
          <w:szCs w:val="24"/>
        </w:rPr>
        <w:t xml:space="preserve">  Promocion </w:t>
      </w:r>
      <w:r w:rsidR="006C1E0E" w:rsidRPr="009475CC">
        <w:rPr>
          <w:rFonts w:eastAsia="Arial" w:cs="Times New Roman"/>
          <w:szCs w:val="24"/>
        </w:rPr>
        <w:t>në</w:t>
      </w:r>
      <w:r w:rsidRPr="009475CC">
        <w:rPr>
          <w:rFonts w:eastAsia="Arial" w:cs="Times New Roman"/>
          <w:szCs w:val="24"/>
        </w:rPr>
        <w:t xml:space="preserve"> </w:t>
      </w:r>
      <w:r w:rsidR="00867BA2">
        <w:rPr>
          <w:rFonts w:eastAsia="Arial" w:cs="Times New Roman"/>
          <w:szCs w:val="24"/>
        </w:rPr>
        <w:t>m</w:t>
      </w:r>
      <w:r w:rsidRPr="009475CC">
        <w:rPr>
          <w:rFonts w:eastAsia="Arial" w:cs="Times New Roman"/>
          <w:szCs w:val="24"/>
        </w:rPr>
        <w:t>edia mbi sigurin</w:t>
      </w:r>
      <w:r w:rsidR="00867BA2">
        <w:rPr>
          <w:rFonts w:eastAsia="Arial" w:cs="Times New Roman"/>
          <w:szCs w:val="24"/>
        </w:rPr>
        <w:t>ë</w:t>
      </w:r>
      <w:r w:rsidRPr="009475CC">
        <w:rPr>
          <w:rFonts w:eastAsia="Arial" w:cs="Times New Roman"/>
          <w:szCs w:val="24"/>
        </w:rPr>
        <w:t xml:space="preserve"> ushqimore dhe sh</w:t>
      </w:r>
      <w:r w:rsidR="00867BA2">
        <w:rPr>
          <w:rFonts w:eastAsia="Arial" w:cs="Times New Roman"/>
          <w:szCs w:val="24"/>
        </w:rPr>
        <w:t>ë</w:t>
      </w:r>
      <w:r w:rsidRPr="009475CC">
        <w:rPr>
          <w:rFonts w:eastAsia="Arial" w:cs="Times New Roman"/>
          <w:szCs w:val="24"/>
        </w:rPr>
        <w:t>ndetin e kafsh</w:t>
      </w:r>
      <w:r w:rsidR="00867BA2">
        <w:rPr>
          <w:rFonts w:eastAsia="Arial" w:cs="Times New Roman"/>
          <w:szCs w:val="24"/>
        </w:rPr>
        <w:t>ë</w:t>
      </w:r>
      <w:r w:rsidRPr="009475CC">
        <w:rPr>
          <w:rFonts w:eastAsia="Arial" w:cs="Times New Roman"/>
          <w:szCs w:val="24"/>
        </w:rPr>
        <w:t>ve</w:t>
      </w:r>
      <w:r w:rsidR="006C1E0E" w:rsidRPr="009475CC">
        <w:rPr>
          <w:rFonts w:eastAsia="Arial" w:cs="Times New Roman"/>
          <w:szCs w:val="24"/>
        </w:rPr>
        <w:t>.</w:t>
      </w:r>
    </w:p>
    <w:p w14:paraId="612BAE73" w14:textId="19720DE0" w:rsidR="006E3071" w:rsidRPr="009475CC" w:rsidRDefault="008226F8" w:rsidP="009475CC">
      <w:pPr>
        <w:spacing w:after="0"/>
        <w:rPr>
          <w:rFonts w:eastAsia="Arial" w:cs="Times New Roman"/>
          <w:b/>
          <w:bCs/>
          <w:szCs w:val="24"/>
          <w:lang w:val="sq-AL"/>
        </w:rPr>
      </w:pPr>
      <w:r w:rsidRPr="009475CC">
        <w:rPr>
          <w:rFonts w:eastAsia="Arial" w:cs="Times New Roman"/>
          <w:b/>
          <w:bCs/>
          <w:szCs w:val="24"/>
          <w:lang w:val="sq-AL"/>
        </w:rPr>
        <w:t>Indikator</w:t>
      </w:r>
      <w:r>
        <w:rPr>
          <w:rFonts w:eastAsia="Arial" w:cs="Times New Roman"/>
          <w:b/>
          <w:bCs/>
          <w:szCs w:val="24"/>
          <w:lang w:val="sq-AL"/>
        </w:rPr>
        <w:t>ët</w:t>
      </w:r>
      <w:r w:rsidR="006C1E0E" w:rsidRPr="009475CC">
        <w:rPr>
          <w:rFonts w:eastAsia="Arial" w:cs="Times New Roman"/>
          <w:b/>
          <w:bCs/>
          <w:szCs w:val="24"/>
          <w:lang w:val="sq-AL"/>
        </w:rPr>
        <w:t>:</w:t>
      </w:r>
    </w:p>
    <w:p w14:paraId="49B81526" w14:textId="77777777" w:rsidR="006E3071" w:rsidRPr="009475CC" w:rsidRDefault="006E3071" w:rsidP="009475CC">
      <w:pPr>
        <w:spacing w:after="0"/>
        <w:rPr>
          <w:rFonts w:eastAsia="Arial" w:cs="Times New Roman"/>
          <w:szCs w:val="24"/>
          <w:lang w:val="sq-AL"/>
        </w:rPr>
      </w:pPr>
      <w:r w:rsidRPr="009475CC">
        <w:rPr>
          <w:rFonts w:cs="Times New Roman"/>
          <w:szCs w:val="24"/>
        </w:rPr>
        <w:t xml:space="preserve">Rritja e ndërgjegjësimit për sigurinë ushqimore nëpërmjet edukimit dhe fushatave të ndërgjegjësimit publik. </w:t>
      </w:r>
      <w:r w:rsidRPr="009475CC">
        <w:rPr>
          <w:rFonts w:eastAsia="Arial" w:cs="Times New Roman"/>
          <w:szCs w:val="24"/>
        </w:rPr>
        <w:t>Angazhimi aktiv për të arritur konsumatorët duke rritur fushatat reklamuese, intervistave televizive, postimeve në mediat sociale, ndërveprimit në panaire dhe ngjarjeve të tjera publike.</w:t>
      </w:r>
    </w:p>
    <w:p w14:paraId="3A893701" w14:textId="77777777" w:rsidR="00867BA2" w:rsidRDefault="00867BA2" w:rsidP="00623352">
      <w:pPr>
        <w:pStyle w:val="ListParagraph"/>
        <w:numPr>
          <w:ilvl w:val="0"/>
          <w:numId w:val="41"/>
        </w:numPr>
        <w:spacing w:after="0"/>
        <w:rPr>
          <w:rFonts w:eastAsia="Arial" w:cs="Times New Roman"/>
          <w:szCs w:val="24"/>
          <w:lang w:val="sq-AL"/>
        </w:rPr>
      </w:pPr>
      <w:r>
        <w:rPr>
          <w:rFonts w:eastAsia="Arial" w:cs="Times New Roman"/>
          <w:szCs w:val="24"/>
          <w:lang w:val="sq-AL"/>
        </w:rPr>
        <w:t xml:space="preserve">Në </w:t>
      </w:r>
      <w:r w:rsidR="006E3071" w:rsidRPr="00867BA2">
        <w:rPr>
          <w:rFonts w:eastAsia="Arial" w:cs="Times New Roman"/>
          <w:szCs w:val="24"/>
          <w:lang w:val="sq-AL"/>
        </w:rPr>
        <w:t>nj</w:t>
      </w:r>
      <w:r>
        <w:rPr>
          <w:rFonts w:eastAsia="Arial" w:cs="Times New Roman"/>
          <w:szCs w:val="24"/>
          <w:lang w:val="sq-AL"/>
        </w:rPr>
        <w:t>ë</w:t>
      </w:r>
      <w:r w:rsidR="006E3071" w:rsidRPr="00867BA2">
        <w:rPr>
          <w:rFonts w:eastAsia="Arial" w:cs="Times New Roman"/>
          <w:szCs w:val="24"/>
          <w:lang w:val="sq-AL"/>
        </w:rPr>
        <w:t xml:space="preserve"> vit do t</w:t>
      </w:r>
      <w:r>
        <w:rPr>
          <w:rFonts w:eastAsia="Arial" w:cs="Times New Roman"/>
          <w:szCs w:val="24"/>
          <w:lang w:val="sq-AL"/>
        </w:rPr>
        <w:t>ë</w:t>
      </w:r>
      <w:r w:rsidR="006E3071" w:rsidRPr="00867BA2">
        <w:rPr>
          <w:rFonts w:eastAsia="Arial" w:cs="Times New Roman"/>
          <w:szCs w:val="24"/>
          <w:lang w:val="sq-AL"/>
        </w:rPr>
        <w:t xml:space="preserve"> p</w:t>
      </w:r>
      <w:r>
        <w:rPr>
          <w:rFonts w:eastAsia="Arial" w:cs="Times New Roman"/>
          <w:szCs w:val="24"/>
          <w:lang w:val="sq-AL"/>
        </w:rPr>
        <w:t>ë</w:t>
      </w:r>
      <w:r w:rsidR="006E3071" w:rsidRPr="00867BA2">
        <w:rPr>
          <w:rFonts w:eastAsia="Arial" w:cs="Times New Roman"/>
          <w:szCs w:val="24"/>
          <w:lang w:val="sq-AL"/>
        </w:rPr>
        <w:t xml:space="preserve">rgatiten 5 </w:t>
      </w:r>
      <w:r>
        <w:rPr>
          <w:rFonts w:eastAsia="Arial" w:cs="Times New Roman"/>
          <w:szCs w:val="24"/>
          <w:lang w:val="sq-AL"/>
        </w:rPr>
        <w:t>b</w:t>
      </w:r>
      <w:r w:rsidR="006E3071" w:rsidRPr="00867BA2">
        <w:rPr>
          <w:rFonts w:eastAsia="Arial" w:cs="Times New Roman"/>
          <w:szCs w:val="24"/>
          <w:lang w:val="sq-AL"/>
        </w:rPr>
        <w:t>roshura dhe do t</w:t>
      </w:r>
      <w:r>
        <w:rPr>
          <w:rFonts w:eastAsia="Arial" w:cs="Times New Roman"/>
          <w:szCs w:val="24"/>
          <w:lang w:val="sq-AL"/>
        </w:rPr>
        <w:t>ë</w:t>
      </w:r>
      <w:r w:rsidR="006E3071" w:rsidRPr="00867BA2">
        <w:rPr>
          <w:rFonts w:eastAsia="Arial" w:cs="Times New Roman"/>
          <w:szCs w:val="24"/>
          <w:lang w:val="sq-AL"/>
        </w:rPr>
        <w:t xml:space="preserve"> b</w:t>
      </w:r>
      <w:r>
        <w:rPr>
          <w:rFonts w:eastAsia="Arial" w:cs="Times New Roman"/>
          <w:szCs w:val="24"/>
          <w:lang w:val="sq-AL"/>
        </w:rPr>
        <w:t>ë</w:t>
      </w:r>
      <w:r w:rsidR="006E3071" w:rsidRPr="00867BA2">
        <w:rPr>
          <w:rFonts w:eastAsia="Arial" w:cs="Times New Roman"/>
          <w:szCs w:val="24"/>
          <w:lang w:val="sq-AL"/>
        </w:rPr>
        <w:t>hen 10 spote publicitare</w:t>
      </w:r>
      <w:r>
        <w:rPr>
          <w:rFonts w:eastAsia="Arial" w:cs="Times New Roman"/>
          <w:szCs w:val="24"/>
          <w:lang w:val="sq-AL"/>
        </w:rPr>
        <w:t>.</w:t>
      </w:r>
    </w:p>
    <w:p w14:paraId="43AE06D3" w14:textId="087D10E9" w:rsidR="006E3071" w:rsidRPr="008226F8" w:rsidRDefault="00867BA2" w:rsidP="00623352">
      <w:pPr>
        <w:pStyle w:val="ListParagraph"/>
        <w:numPr>
          <w:ilvl w:val="0"/>
          <w:numId w:val="41"/>
        </w:numPr>
        <w:spacing w:after="0"/>
        <w:rPr>
          <w:rFonts w:eastAsia="Arial" w:cs="Times New Roman"/>
          <w:szCs w:val="24"/>
          <w:lang w:val="sq-AL"/>
        </w:rPr>
      </w:pPr>
      <w:r w:rsidRPr="008226F8">
        <w:rPr>
          <w:rFonts w:eastAsia="Arial" w:cs="Times New Roman"/>
          <w:szCs w:val="24"/>
          <w:lang w:val="sq-AL"/>
        </w:rPr>
        <w:t>Në</w:t>
      </w:r>
      <w:r w:rsidR="006E3071" w:rsidRPr="008226F8">
        <w:rPr>
          <w:rFonts w:eastAsia="Arial" w:cs="Times New Roman"/>
          <w:szCs w:val="24"/>
          <w:lang w:val="sq-AL"/>
        </w:rPr>
        <w:t xml:space="preserve"> faqen zyrtare t</w:t>
      </w:r>
      <w:r w:rsidRPr="008226F8">
        <w:rPr>
          <w:rFonts w:eastAsia="Arial" w:cs="Times New Roman"/>
          <w:szCs w:val="24"/>
          <w:lang w:val="sq-AL"/>
        </w:rPr>
        <w:t>ë</w:t>
      </w:r>
      <w:r w:rsidR="006E3071" w:rsidRPr="008226F8">
        <w:rPr>
          <w:rFonts w:eastAsia="Arial" w:cs="Times New Roman"/>
          <w:szCs w:val="24"/>
          <w:lang w:val="sq-AL"/>
        </w:rPr>
        <w:t xml:space="preserve"> AKU-s</w:t>
      </w:r>
      <w:r w:rsidRPr="008226F8">
        <w:rPr>
          <w:rFonts w:eastAsia="Arial" w:cs="Times New Roman"/>
          <w:szCs w:val="24"/>
          <w:lang w:val="sq-AL"/>
        </w:rPr>
        <w:t>ë</w:t>
      </w:r>
      <w:r w:rsidR="006E3071" w:rsidRPr="008226F8">
        <w:rPr>
          <w:rFonts w:eastAsia="Arial" w:cs="Times New Roman"/>
          <w:szCs w:val="24"/>
          <w:lang w:val="sq-AL"/>
        </w:rPr>
        <w:t xml:space="preserve">, </w:t>
      </w:r>
      <w:r w:rsidRPr="008226F8">
        <w:rPr>
          <w:rFonts w:eastAsia="Arial" w:cs="Times New Roman"/>
          <w:szCs w:val="24"/>
          <w:lang w:val="sq-AL"/>
        </w:rPr>
        <w:t>ç</w:t>
      </w:r>
      <w:r w:rsidR="006E3071" w:rsidRPr="008226F8">
        <w:rPr>
          <w:rFonts w:eastAsia="Arial" w:cs="Times New Roman"/>
          <w:szCs w:val="24"/>
          <w:lang w:val="sq-AL"/>
        </w:rPr>
        <w:t>do dit</w:t>
      </w:r>
      <w:r w:rsidRPr="008226F8">
        <w:rPr>
          <w:rFonts w:eastAsia="Arial" w:cs="Times New Roman"/>
          <w:szCs w:val="24"/>
          <w:lang w:val="sq-AL"/>
        </w:rPr>
        <w:t>ë</w:t>
      </w:r>
      <w:r w:rsidR="006E3071" w:rsidRPr="008226F8">
        <w:rPr>
          <w:rFonts w:eastAsia="Arial" w:cs="Times New Roman"/>
          <w:szCs w:val="24"/>
          <w:lang w:val="sq-AL"/>
        </w:rPr>
        <w:t xml:space="preserve"> </w:t>
      </w:r>
      <w:r w:rsidRPr="008226F8">
        <w:rPr>
          <w:rFonts w:eastAsia="Arial" w:cs="Times New Roman"/>
          <w:szCs w:val="24"/>
          <w:lang w:val="sq-AL"/>
        </w:rPr>
        <w:t xml:space="preserve">do të </w:t>
      </w:r>
      <w:r w:rsidR="006E3071" w:rsidRPr="008226F8">
        <w:rPr>
          <w:rFonts w:eastAsia="Arial" w:cs="Times New Roman"/>
          <w:szCs w:val="24"/>
          <w:lang w:val="sq-AL"/>
        </w:rPr>
        <w:t>publikohen info</w:t>
      </w:r>
      <w:r w:rsidRPr="008226F8">
        <w:rPr>
          <w:rFonts w:eastAsia="Arial" w:cs="Times New Roman"/>
          <w:szCs w:val="24"/>
          <w:lang w:val="sq-AL"/>
        </w:rPr>
        <w:t>r</w:t>
      </w:r>
      <w:r w:rsidR="006E3071" w:rsidRPr="008226F8">
        <w:rPr>
          <w:rFonts w:eastAsia="Arial" w:cs="Times New Roman"/>
          <w:szCs w:val="24"/>
          <w:lang w:val="sq-AL"/>
        </w:rPr>
        <w:t>macione</w:t>
      </w:r>
      <w:r w:rsidR="008226F8" w:rsidRPr="008226F8">
        <w:rPr>
          <w:rFonts w:eastAsia="Arial" w:cs="Times New Roman"/>
          <w:szCs w:val="24"/>
          <w:lang w:val="sq-AL"/>
        </w:rPr>
        <w:t xml:space="preserve"> </w:t>
      </w:r>
      <w:r w:rsidR="006E3071" w:rsidRPr="008226F8">
        <w:rPr>
          <w:rFonts w:eastAsia="Arial" w:cs="Times New Roman"/>
          <w:szCs w:val="24"/>
          <w:lang w:val="sq-AL"/>
        </w:rPr>
        <w:t>promovuese dhe nd</w:t>
      </w:r>
      <w:r w:rsidRPr="008226F8">
        <w:rPr>
          <w:rFonts w:eastAsia="Arial" w:cs="Times New Roman"/>
          <w:szCs w:val="24"/>
          <w:lang w:val="sq-AL"/>
        </w:rPr>
        <w:t>ë</w:t>
      </w:r>
      <w:r w:rsidR="006E3071" w:rsidRPr="008226F8">
        <w:rPr>
          <w:rFonts w:eastAsia="Arial" w:cs="Times New Roman"/>
          <w:szCs w:val="24"/>
          <w:lang w:val="sq-AL"/>
        </w:rPr>
        <w:t>rgjegj</w:t>
      </w:r>
      <w:r w:rsidRPr="008226F8">
        <w:rPr>
          <w:rFonts w:eastAsia="Arial" w:cs="Times New Roman"/>
          <w:szCs w:val="24"/>
          <w:lang w:val="sq-AL"/>
        </w:rPr>
        <w:t>ë</w:t>
      </w:r>
      <w:r w:rsidR="006E3071" w:rsidRPr="008226F8">
        <w:rPr>
          <w:rFonts w:eastAsia="Arial" w:cs="Times New Roman"/>
          <w:szCs w:val="24"/>
          <w:lang w:val="sq-AL"/>
        </w:rPr>
        <w:t>suese p</w:t>
      </w:r>
      <w:r w:rsidRPr="008226F8">
        <w:rPr>
          <w:rFonts w:eastAsia="Arial" w:cs="Times New Roman"/>
          <w:szCs w:val="24"/>
          <w:lang w:val="sq-AL"/>
        </w:rPr>
        <w:t>ë</w:t>
      </w:r>
      <w:r w:rsidR="006E3071" w:rsidRPr="008226F8">
        <w:rPr>
          <w:rFonts w:eastAsia="Arial" w:cs="Times New Roman"/>
          <w:szCs w:val="24"/>
          <w:lang w:val="sq-AL"/>
        </w:rPr>
        <w:t>r standartet e siguris</w:t>
      </w:r>
      <w:r w:rsidRPr="008226F8">
        <w:rPr>
          <w:rFonts w:eastAsia="Arial" w:cs="Times New Roman"/>
          <w:szCs w:val="24"/>
          <w:lang w:val="sq-AL"/>
        </w:rPr>
        <w:t>ë</w:t>
      </w:r>
      <w:r w:rsidR="006E3071" w:rsidRPr="008226F8">
        <w:rPr>
          <w:rFonts w:eastAsia="Arial" w:cs="Times New Roman"/>
          <w:szCs w:val="24"/>
          <w:lang w:val="sq-AL"/>
        </w:rPr>
        <w:t xml:space="preserve"> u</w:t>
      </w:r>
      <w:r w:rsidRPr="008226F8">
        <w:rPr>
          <w:rFonts w:eastAsia="Arial" w:cs="Times New Roman"/>
          <w:szCs w:val="24"/>
          <w:lang w:val="sq-AL"/>
        </w:rPr>
        <w:t>s</w:t>
      </w:r>
      <w:r w:rsidR="006E3071" w:rsidRPr="008226F8">
        <w:rPr>
          <w:rFonts w:eastAsia="Arial" w:cs="Times New Roman"/>
          <w:szCs w:val="24"/>
          <w:lang w:val="sq-AL"/>
        </w:rPr>
        <w:t>hqimore, pra</w:t>
      </w:r>
      <w:r w:rsidRPr="008226F8">
        <w:rPr>
          <w:rFonts w:eastAsia="Arial" w:cs="Times New Roman"/>
          <w:szCs w:val="24"/>
          <w:lang w:val="sq-AL"/>
        </w:rPr>
        <w:t>k</w:t>
      </w:r>
      <w:r w:rsidR="006E3071" w:rsidRPr="008226F8">
        <w:rPr>
          <w:rFonts w:eastAsia="Arial" w:cs="Times New Roman"/>
          <w:szCs w:val="24"/>
          <w:lang w:val="sq-AL"/>
        </w:rPr>
        <w:t>tikat e mira t</w:t>
      </w:r>
      <w:r w:rsidRPr="008226F8">
        <w:rPr>
          <w:rFonts w:eastAsia="Arial" w:cs="Times New Roman"/>
          <w:szCs w:val="24"/>
          <w:lang w:val="sq-AL"/>
        </w:rPr>
        <w:t>ë</w:t>
      </w:r>
      <w:r w:rsidR="006E3071" w:rsidRPr="008226F8">
        <w:rPr>
          <w:rFonts w:eastAsia="Arial" w:cs="Times New Roman"/>
          <w:szCs w:val="24"/>
          <w:lang w:val="sq-AL"/>
        </w:rPr>
        <w:t xml:space="preserve"> pun</w:t>
      </w:r>
      <w:r w:rsidRPr="008226F8">
        <w:rPr>
          <w:rFonts w:eastAsia="Arial" w:cs="Times New Roman"/>
          <w:szCs w:val="24"/>
          <w:lang w:val="sq-AL"/>
        </w:rPr>
        <w:t>ë</w:t>
      </w:r>
      <w:r w:rsidR="006E3071" w:rsidRPr="008226F8">
        <w:rPr>
          <w:rFonts w:eastAsia="Arial" w:cs="Times New Roman"/>
          <w:szCs w:val="24"/>
          <w:lang w:val="sq-AL"/>
        </w:rPr>
        <w:t>s dhe prodhimit, p</w:t>
      </w:r>
      <w:r w:rsidRPr="008226F8">
        <w:rPr>
          <w:rFonts w:eastAsia="Arial" w:cs="Times New Roman"/>
          <w:szCs w:val="24"/>
          <w:lang w:val="sq-AL"/>
        </w:rPr>
        <w:t>ë</w:t>
      </w:r>
      <w:r w:rsidR="006E3071" w:rsidRPr="008226F8">
        <w:rPr>
          <w:rFonts w:eastAsia="Arial" w:cs="Times New Roman"/>
          <w:szCs w:val="24"/>
          <w:lang w:val="sq-AL"/>
        </w:rPr>
        <w:t>r HCCAP-in, gju</w:t>
      </w:r>
      <w:r w:rsidRPr="008226F8">
        <w:rPr>
          <w:rFonts w:eastAsia="Arial" w:cs="Times New Roman"/>
          <w:szCs w:val="24"/>
          <w:lang w:val="sq-AL"/>
        </w:rPr>
        <w:t>r</w:t>
      </w:r>
      <w:r w:rsidR="006E3071" w:rsidRPr="008226F8">
        <w:rPr>
          <w:rFonts w:eastAsia="Arial" w:cs="Times New Roman"/>
          <w:szCs w:val="24"/>
          <w:lang w:val="sq-AL"/>
        </w:rPr>
        <w:t>mu</w:t>
      </w:r>
      <w:r w:rsidRPr="008226F8">
        <w:rPr>
          <w:rFonts w:eastAsia="Arial" w:cs="Times New Roman"/>
          <w:szCs w:val="24"/>
          <w:lang w:val="sq-AL"/>
        </w:rPr>
        <w:t>e</w:t>
      </w:r>
      <w:r w:rsidR="006E3071" w:rsidRPr="008226F8">
        <w:rPr>
          <w:rFonts w:eastAsia="Arial" w:cs="Times New Roman"/>
          <w:szCs w:val="24"/>
          <w:lang w:val="sq-AL"/>
        </w:rPr>
        <w:t>shm</w:t>
      </w:r>
      <w:r w:rsidRPr="008226F8">
        <w:rPr>
          <w:rFonts w:eastAsia="Arial" w:cs="Times New Roman"/>
          <w:szCs w:val="24"/>
          <w:lang w:val="sq-AL"/>
        </w:rPr>
        <w:t>ë</w:t>
      </w:r>
      <w:r w:rsidR="006E3071" w:rsidRPr="008226F8">
        <w:rPr>
          <w:rFonts w:eastAsia="Arial" w:cs="Times New Roman"/>
          <w:szCs w:val="24"/>
          <w:lang w:val="sq-AL"/>
        </w:rPr>
        <w:t>rin</w:t>
      </w:r>
      <w:r w:rsidRPr="008226F8">
        <w:rPr>
          <w:rFonts w:eastAsia="Arial" w:cs="Times New Roman"/>
          <w:szCs w:val="24"/>
          <w:lang w:val="sq-AL"/>
        </w:rPr>
        <w:t>ë</w:t>
      </w:r>
      <w:r w:rsidR="006E3071" w:rsidRPr="008226F8">
        <w:rPr>
          <w:rFonts w:eastAsia="Arial" w:cs="Times New Roman"/>
          <w:szCs w:val="24"/>
          <w:lang w:val="sq-AL"/>
        </w:rPr>
        <w:t xml:space="preserve"> dhe kushtet e higjien</w:t>
      </w:r>
      <w:r w:rsidRPr="008226F8">
        <w:rPr>
          <w:rFonts w:eastAsia="Arial" w:cs="Times New Roman"/>
          <w:szCs w:val="24"/>
          <w:lang w:val="sq-AL"/>
        </w:rPr>
        <w:t>ë</w:t>
      </w:r>
      <w:r w:rsidR="006E3071" w:rsidRPr="008226F8">
        <w:rPr>
          <w:rFonts w:eastAsia="Arial" w:cs="Times New Roman"/>
          <w:szCs w:val="24"/>
          <w:lang w:val="sq-AL"/>
        </w:rPr>
        <w:t>s s</w:t>
      </w:r>
      <w:r w:rsidRPr="008226F8">
        <w:rPr>
          <w:rFonts w:eastAsia="Arial" w:cs="Times New Roman"/>
          <w:szCs w:val="24"/>
          <w:lang w:val="sq-AL"/>
        </w:rPr>
        <w:t>ë</w:t>
      </w:r>
      <w:r w:rsidR="006E3071" w:rsidRPr="008226F8">
        <w:rPr>
          <w:rFonts w:eastAsia="Arial" w:cs="Times New Roman"/>
          <w:szCs w:val="24"/>
          <w:lang w:val="sq-AL"/>
        </w:rPr>
        <w:t xml:space="preserve"> p</w:t>
      </w:r>
      <w:r w:rsidRPr="008226F8">
        <w:rPr>
          <w:rFonts w:eastAsia="Arial" w:cs="Times New Roman"/>
          <w:szCs w:val="24"/>
          <w:lang w:val="sq-AL"/>
        </w:rPr>
        <w:t>ë</w:t>
      </w:r>
      <w:r w:rsidR="006E3071" w:rsidRPr="008226F8">
        <w:rPr>
          <w:rFonts w:eastAsia="Arial" w:cs="Times New Roman"/>
          <w:szCs w:val="24"/>
          <w:lang w:val="sq-AL"/>
        </w:rPr>
        <w:t>rgjithshme dhe t</w:t>
      </w:r>
      <w:r w:rsidRPr="008226F8">
        <w:rPr>
          <w:rFonts w:eastAsia="Arial" w:cs="Times New Roman"/>
          <w:szCs w:val="24"/>
          <w:lang w:val="sq-AL"/>
        </w:rPr>
        <w:t>ë</w:t>
      </w:r>
      <w:r w:rsidR="006E3071" w:rsidRPr="008226F8">
        <w:rPr>
          <w:rFonts w:eastAsia="Arial" w:cs="Times New Roman"/>
          <w:szCs w:val="24"/>
          <w:lang w:val="sq-AL"/>
        </w:rPr>
        <w:t xml:space="preserve"> ve</w:t>
      </w:r>
      <w:r w:rsidRPr="008226F8">
        <w:rPr>
          <w:rFonts w:eastAsia="Arial" w:cs="Times New Roman"/>
          <w:szCs w:val="24"/>
          <w:lang w:val="sq-AL"/>
        </w:rPr>
        <w:t>ç</w:t>
      </w:r>
      <w:r w:rsidR="006E3071" w:rsidRPr="008226F8">
        <w:rPr>
          <w:rFonts w:eastAsia="Arial" w:cs="Times New Roman"/>
          <w:szCs w:val="24"/>
          <w:lang w:val="sq-AL"/>
        </w:rPr>
        <w:t>anta etj.</w:t>
      </w:r>
    </w:p>
    <w:p w14:paraId="2995BF10" w14:textId="4805305B" w:rsidR="006E3071" w:rsidRPr="008226F8" w:rsidRDefault="006E3071" w:rsidP="00623352">
      <w:pPr>
        <w:pStyle w:val="ListParagraph"/>
        <w:numPr>
          <w:ilvl w:val="0"/>
          <w:numId w:val="41"/>
        </w:numPr>
        <w:spacing w:after="0"/>
        <w:rPr>
          <w:rFonts w:eastAsia="Arial" w:cs="Times New Roman"/>
          <w:szCs w:val="24"/>
          <w:lang w:val="sq-AL"/>
        </w:rPr>
      </w:pPr>
      <w:r w:rsidRPr="008226F8">
        <w:rPr>
          <w:rFonts w:eastAsia="Arial" w:cs="Times New Roman"/>
          <w:szCs w:val="24"/>
          <w:lang w:val="sq-AL"/>
        </w:rPr>
        <w:t>N</w:t>
      </w:r>
      <w:r w:rsidR="00867BA2" w:rsidRPr="008226F8">
        <w:rPr>
          <w:rFonts w:eastAsia="Arial" w:cs="Times New Roman"/>
          <w:szCs w:val="24"/>
          <w:lang w:val="sq-AL"/>
        </w:rPr>
        <w:t>ë</w:t>
      </w:r>
      <w:r w:rsidRPr="008226F8">
        <w:rPr>
          <w:rFonts w:eastAsia="Arial" w:cs="Times New Roman"/>
          <w:szCs w:val="24"/>
          <w:lang w:val="sq-AL"/>
        </w:rPr>
        <w:t xml:space="preserve"> faqen zyrtare te AKVMB  cdo dite jepet infromacion ne lidhje me shenjat </w:t>
      </w:r>
      <w:r w:rsidR="00867BA2" w:rsidRPr="008226F8">
        <w:rPr>
          <w:rFonts w:eastAsia="Arial" w:cs="Times New Roman"/>
          <w:szCs w:val="24"/>
          <w:lang w:val="sq-AL"/>
        </w:rPr>
        <w:t>k</w:t>
      </w:r>
      <w:r w:rsidRPr="008226F8">
        <w:rPr>
          <w:rFonts w:eastAsia="Arial" w:cs="Times New Roman"/>
          <w:szCs w:val="24"/>
          <w:lang w:val="sq-AL"/>
        </w:rPr>
        <w:t>linike</w:t>
      </w:r>
      <w:r w:rsidR="00867BA2" w:rsidRPr="008226F8">
        <w:rPr>
          <w:rFonts w:eastAsia="Arial" w:cs="Times New Roman"/>
          <w:szCs w:val="24"/>
          <w:lang w:val="sq-AL"/>
        </w:rPr>
        <w:t xml:space="preserve"> d</w:t>
      </w:r>
      <w:r w:rsidRPr="008226F8">
        <w:rPr>
          <w:rFonts w:eastAsia="Arial" w:cs="Times New Roman"/>
          <w:szCs w:val="24"/>
          <w:lang w:val="sq-AL"/>
        </w:rPr>
        <w:t>he masat q</w:t>
      </w:r>
      <w:r w:rsidR="00867BA2" w:rsidRPr="008226F8">
        <w:rPr>
          <w:rFonts w:eastAsia="Arial" w:cs="Times New Roman"/>
          <w:szCs w:val="24"/>
          <w:lang w:val="sq-AL"/>
        </w:rPr>
        <w:t>ë</w:t>
      </w:r>
      <w:r w:rsidRPr="008226F8">
        <w:rPr>
          <w:rFonts w:eastAsia="Arial" w:cs="Times New Roman"/>
          <w:szCs w:val="24"/>
          <w:lang w:val="sq-AL"/>
        </w:rPr>
        <w:t xml:space="preserve"> duhen marr</w:t>
      </w:r>
      <w:r w:rsidR="00867BA2" w:rsidRPr="008226F8">
        <w:rPr>
          <w:rFonts w:eastAsia="Arial" w:cs="Times New Roman"/>
          <w:szCs w:val="24"/>
          <w:lang w:val="sq-AL"/>
        </w:rPr>
        <w:t>ë</w:t>
      </w:r>
      <w:r w:rsidRPr="008226F8">
        <w:rPr>
          <w:rFonts w:eastAsia="Arial" w:cs="Times New Roman"/>
          <w:szCs w:val="24"/>
          <w:lang w:val="sq-AL"/>
        </w:rPr>
        <w:t xml:space="preserve"> p</w:t>
      </w:r>
      <w:r w:rsidR="00867BA2" w:rsidRPr="008226F8">
        <w:rPr>
          <w:rFonts w:eastAsia="Arial" w:cs="Times New Roman"/>
          <w:szCs w:val="24"/>
          <w:lang w:val="sq-AL"/>
        </w:rPr>
        <w:t>ë</w:t>
      </w:r>
      <w:r w:rsidRPr="008226F8">
        <w:rPr>
          <w:rFonts w:eastAsia="Arial" w:cs="Times New Roman"/>
          <w:szCs w:val="24"/>
          <w:lang w:val="sq-AL"/>
        </w:rPr>
        <w:t>r t</w:t>
      </w:r>
      <w:r w:rsidR="00867BA2" w:rsidRPr="008226F8">
        <w:rPr>
          <w:rFonts w:eastAsia="Arial" w:cs="Times New Roman"/>
          <w:szCs w:val="24"/>
          <w:lang w:val="sq-AL"/>
        </w:rPr>
        <w:t>ë</w:t>
      </w:r>
      <w:r w:rsidRPr="008226F8">
        <w:rPr>
          <w:rFonts w:eastAsia="Arial" w:cs="Times New Roman"/>
          <w:szCs w:val="24"/>
          <w:lang w:val="sq-AL"/>
        </w:rPr>
        <w:t xml:space="preserve"> mbrojtur sh</w:t>
      </w:r>
      <w:r w:rsidR="00867BA2" w:rsidRPr="008226F8">
        <w:rPr>
          <w:rFonts w:eastAsia="Arial" w:cs="Times New Roman"/>
          <w:szCs w:val="24"/>
          <w:lang w:val="sq-AL"/>
        </w:rPr>
        <w:t>ë</w:t>
      </w:r>
      <w:r w:rsidRPr="008226F8">
        <w:rPr>
          <w:rFonts w:eastAsia="Arial" w:cs="Times New Roman"/>
          <w:szCs w:val="24"/>
          <w:lang w:val="sq-AL"/>
        </w:rPr>
        <w:t>ndetin e kafsh</w:t>
      </w:r>
      <w:r w:rsidR="00867BA2" w:rsidRPr="008226F8">
        <w:rPr>
          <w:rFonts w:eastAsia="Arial" w:cs="Times New Roman"/>
          <w:szCs w:val="24"/>
          <w:lang w:val="sq-AL"/>
        </w:rPr>
        <w:t>ë</w:t>
      </w:r>
      <w:r w:rsidRPr="008226F8">
        <w:rPr>
          <w:rFonts w:eastAsia="Arial" w:cs="Times New Roman"/>
          <w:szCs w:val="24"/>
          <w:lang w:val="sq-AL"/>
        </w:rPr>
        <w:t>ve p</w:t>
      </w:r>
      <w:r w:rsidR="00867BA2" w:rsidRPr="008226F8">
        <w:rPr>
          <w:rFonts w:eastAsia="Arial" w:cs="Times New Roman"/>
          <w:szCs w:val="24"/>
          <w:lang w:val="sq-AL"/>
        </w:rPr>
        <w:t>ë</w:t>
      </w:r>
      <w:r w:rsidRPr="008226F8">
        <w:rPr>
          <w:rFonts w:eastAsia="Arial" w:cs="Times New Roman"/>
          <w:szCs w:val="24"/>
          <w:lang w:val="sq-AL"/>
        </w:rPr>
        <w:t>r s</w:t>
      </w:r>
      <w:r w:rsidR="00867BA2" w:rsidRPr="008226F8">
        <w:rPr>
          <w:rFonts w:eastAsia="Arial" w:cs="Times New Roman"/>
          <w:szCs w:val="24"/>
          <w:lang w:val="sq-AL"/>
        </w:rPr>
        <w:t>ë</w:t>
      </w:r>
      <w:r w:rsidRPr="008226F8">
        <w:rPr>
          <w:rFonts w:eastAsia="Arial" w:cs="Times New Roman"/>
          <w:szCs w:val="24"/>
          <w:lang w:val="sq-AL"/>
        </w:rPr>
        <w:t>mundje t</w:t>
      </w:r>
      <w:r w:rsidR="00867BA2" w:rsidRPr="008226F8">
        <w:rPr>
          <w:rFonts w:eastAsia="Arial" w:cs="Times New Roman"/>
          <w:szCs w:val="24"/>
          <w:lang w:val="sq-AL"/>
        </w:rPr>
        <w:t>ë</w:t>
      </w:r>
      <w:r w:rsidRPr="008226F8">
        <w:rPr>
          <w:rFonts w:eastAsia="Arial" w:cs="Times New Roman"/>
          <w:szCs w:val="24"/>
          <w:lang w:val="sq-AL"/>
        </w:rPr>
        <w:t xml:space="preserve"> ndryshme si</w:t>
      </w:r>
      <w:r w:rsidR="00867BA2" w:rsidRPr="008226F8">
        <w:rPr>
          <w:rFonts w:eastAsia="Arial" w:cs="Times New Roman"/>
          <w:szCs w:val="24"/>
          <w:lang w:val="sq-AL"/>
        </w:rPr>
        <w:t>:</w:t>
      </w:r>
      <w:r w:rsidRPr="008226F8">
        <w:rPr>
          <w:rFonts w:eastAsia="Arial" w:cs="Times New Roman"/>
          <w:szCs w:val="24"/>
          <w:lang w:val="sq-AL"/>
        </w:rPr>
        <w:t xml:space="preserve"> Bruceloza, Plasja, TBC, gripi i shpendeve, Murtaja klasike e derrave, Gjuha blu etj.</w:t>
      </w:r>
      <w:r w:rsidR="00867BA2" w:rsidRPr="008226F8">
        <w:rPr>
          <w:rFonts w:eastAsia="Arial" w:cs="Times New Roman"/>
          <w:szCs w:val="24"/>
          <w:lang w:val="sq-AL"/>
        </w:rPr>
        <w:t xml:space="preserve"> o</w:t>
      </w:r>
      <w:r w:rsidRPr="008226F8">
        <w:rPr>
          <w:rFonts w:eastAsia="Arial" w:cs="Times New Roman"/>
          <w:szCs w:val="24"/>
          <w:lang w:val="sq-AL"/>
        </w:rPr>
        <w:t>se mbi rregjistrin e ferm</w:t>
      </w:r>
      <w:r w:rsidR="00867BA2" w:rsidRPr="008226F8">
        <w:rPr>
          <w:rFonts w:eastAsia="Arial" w:cs="Times New Roman"/>
          <w:szCs w:val="24"/>
          <w:lang w:val="sq-AL"/>
        </w:rPr>
        <w:t>ë</w:t>
      </w:r>
      <w:r w:rsidRPr="008226F8">
        <w:rPr>
          <w:rFonts w:eastAsia="Arial" w:cs="Times New Roman"/>
          <w:szCs w:val="24"/>
          <w:lang w:val="sq-AL"/>
        </w:rPr>
        <w:t>s.</w:t>
      </w:r>
    </w:p>
    <w:p w14:paraId="7A64022C" w14:textId="6A7C9957" w:rsidR="006C1E0E" w:rsidRPr="008226F8" w:rsidRDefault="006E3071" w:rsidP="00623352">
      <w:pPr>
        <w:pStyle w:val="ListParagraph"/>
        <w:numPr>
          <w:ilvl w:val="0"/>
          <w:numId w:val="41"/>
        </w:numPr>
        <w:spacing w:after="0"/>
        <w:rPr>
          <w:rFonts w:eastAsia="Arial" w:cs="Times New Roman"/>
          <w:szCs w:val="24"/>
          <w:lang w:val="sq-AL"/>
        </w:rPr>
      </w:pPr>
      <w:r w:rsidRPr="008226F8">
        <w:rPr>
          <w:rFonts w:eastAsia="Arial" w:cs="Times New Roman"/>
          <w:szCs w:val="24"/>
          <w:lang w:val="sq-AL"/>
        </w:rPr>
        <w:t>Gjithashtu OBU dhe OB jan</w:t>
      </w:r>
      <w:r w:rsidR="00867BA2" w:rsidRPr="008226F8">
        <w:rPr>
          <w:rFonts w:eastAsia="Arial" w:cs="Times New Roman"/>
          <w:szCs w:val="24"/>
          <w:lang w:val="sq-AL"/>
        </w:rPr>
        <w:t>ë</w:t>
      </w:r>
      <w:r w:rsidRPr="008226F8">
        <w:rPr>
          <w:rFonts w:eastAsia="Arial" w:cs="Times New Roman"/>
          <w:szCs w:val="24"/>
          <w:lang w:val="sq-AL"/>
        </w:rPr>
        <w:t xml:space="preserve"> pjes</w:t>
      </w:r>
      <w:r w:rsidR="00867BA2" w:rsidRPr="008226F8">
        <w:rPr>
          <w:rFonts w:eastAsia="Arial" w:cs="Times New Roman"/>
          <w:szCs w:val="24"/>
          <w:lang w:val="sq-AL"/>
        </w:rPr>
        <w:t>ë</w:t>
      </w:r>
      <w:r w:rsidRPr="008226F8">
        <w:rPr>
          <w:rFonts w:eastAsia="Arial" w:cs="Times New Roman"/>
          <w:szCs w:val="24"/>
          <w:lang w:val="sq-AL"/>
        </w:rPr>
        <w:t xml:space="preserve"> e konsultimeve n</w:t>
      </w:r>
      <w:r w:rsidR="00867BA2" w:rsidRPr="008226F8">
        <w:rPr>
          <w:rFonts w:eastAsia="Arial" w:cs="Times New Roman"/>
          <w:szCs w:val="24"/>
          <w:lang w:val="sq-AL"/>
        </w:rPr>
        <w:t>ë</w:t>
      </w:r>
      <w:r w:rsidRPr="008226F8">
        <w:rPr>
          <w:rFonts w:eastAsia="Arial" w:cs="Times New Roman"/>
          <w:szCs w:val="24"/>
          <w:lang w:val="sq-AL"/>
        </w:rPr>
        <w:t xml:space="preserve"> p</w:t>
      </w:r>
      <w:r w:rsidR="00867BA2" w:rsidRPr="008226F8">
        <w:rPr>
          <w:rFonts w:eastAsia="Arial" w:cs="Times New Roman"/>
          <w:szCs w:val="24"/>
          <w:lang w:val="sq-AL"/>
        </w:rPr>
        <w:t>ë</w:t>
      </w:r>
      <w:r w:rsidRPr="008226F8">
        <w:rPr>
          <w:rFonts w:eastAsia="Arial" w:cs="Times New Roman"/>
          <w:szCs w:val="24"/>
          <w:lang w:val="sq-AL"/>
        </w:rPr>
        <w:t>rgatitjen dhe n</w:t>
      </w:r>
      <w:r w:rsidR="00867BA2" w:rsidRPr="008226F8">
        <w:rPr>
          <w:rFonts w:eastAsia="Arial" w:cs="Times New Roman"/>
          <w:szCs w:val="24"/>
          <w:lang w:val="sq-AL"/>
        </w:rPr>
        <w:t>ë</w:t>
      </w:r>
      <w:r w:rsidRPr="008226F8">
        <w:rPr>
          <w:rFonts w:eastAsia="Arial" w:cs="Times New Roman"/>
          <w:szCs w:val="24"/>
          <w:lang w:val="sq-AL"/>
        </w:rPr>
        <w:t xml:space="preserve"> trajnimin</w:t>
      </w:r>
      <w:r w:rsidR="008226F8" w:rsidRPr="008226F8">
        <w:rPr>
          <w:rFonts w:eastAsia="Arial" w:cs="Times New Roman"/>
          <w:szCs w:val="24"/>
          <w:lang w:val="sq-AL"/>
        </w:rPr>
        <w:t xml:space="preserve"> </w:t>
      </w:r>
      <w:r w:rsidRPr="008226F8">
        <w:rPr>
          <w:rFonts w:eastAsia="Arial" w:cs="Times New Roman"/>
          <w:szCs w:val="24"/>
          <w:lang w:val="sq-AL"/>
        </w:rPr>
        <w:t>p</w:t>
      </w:r>
      <w:r w:rsidR="00867BA2" w:rsidRPr="008226F8">
        <w:rPr>
          <w:rFonts w:eastAsia="Arial" w:cs="Times New Roman"/>
          <w:szCs w:val="24"/>
          <w:lang w:val="sq-AL"/>
        </w:rPr>
        <w:t>ë</w:t>
      </w:r>
      <w:r w:rsidRPr="008226F8">
        <w:rPr>
          <w:rFonts w:eastAsia="Arial" w:cs="Times New Roman"/>
          <w:szCs w:val="24"/>
          <w:lang w:val="sq-AL"/>
        </w:rPr>
        <w:t>r aktet ligjore q</w:t>
      </w:r>
      <w:r w:rsidR="00867BA2" w:rsidRPr="008226F8">
        <w:rPr>
          <w:rFonts w:eastAsia="Arial" w:cs="Times New Roman"/>
          <w:szCs w:val="24"/>
          <w:lang w:val="sq-AL"/>
        </w:rPr>
        <w:t>ë</w:t>
      </w:r>
      <w:r w:rsidRPr="008226F8">
        <w:rPr>
          <w:rFonts w:eastAsia="Arial" w:cs="Times New Roman"/>
          <w:szCs w:val="24"/>
          <w:lang w:val="sq-AL"/>
        </w:rPr>
        <w:t xml:space="preserve"> p</w:t>
      </w:r>
      <w:r w:rsidR="00867BA2" w:rsidRPr="008226F8">
        <w:rPr>
          <w:rFonts w:eastAsia="Arial" w:cs="Times New Roman"/>
          <w:szCs w:val="24"/>
          <w:lang w:val="sq-AL"/>
        </w:rPr>
        <w:t>ë</w:t>
      </w:r>
      <w:r w:rsidRPr="008226F8">
        <w:rPr>
          <w:rFonts w:eastAsia="Arial" w:cs="Times New Roman"/>
          <w:szCs w:val="24"/>
          <w:lang w:val="sq-AL"/>
        </w:rPr>
        <w:t>rgatiten n</w:t>
      </w:r>
      <w:r w:rsidR="00867BA2" w:rsidRPr="008226F8">
        <w:rPr>
          <w:rFonts w:eastAsia="Arial" w:cs="Times New Roman"/>
          <w:szCs w:val="24"/>
          <w:lang w:val="sq-AL"/>
        </w:rPr>
        <w:t>ë</w:t>
      </w:r>
      <w:r w:rsidRPr="008226F8">
        <w:rPr>
          <w:rFonts w:eastAsia="Arial" w:cs="Times New Roman"/>
          <w:szCs w:val="24"/>
          <w:lang w:val="sq-AL"/>
        </w:rPr>
        <w:t xml:space="preserve"> fush</w:t>
      </w:r>
      <w:r w:rsidR="00867BA2" w:rsidRPr="008226F8">
        <w:rPr>
          <w:rFonts w:eastAsia="Arial" w:cs="Times New Roman"/>
          <w:szCs w:val="24"/>
          <w:lang w:val="sq-AL"/>
        </w:rPr>
        <w:t>ë</w:t>
      </w:r>
      <w:r w:rsidRPr="008226F8">
        <w:rPr>
          <w:rFonts w:eastAsia="Arial" w:cs="Times New Roman"/>
          <w:szCs w:val="24"/>
          <w:lang w:val="sq-AL"/>
        </w:rPr>
        <w:t>n e siguris</w:t>
      </w:r>
      <w:r w:rsidR="00867BA2" w:rsidRPr="008226F8">
        <w:rPr>
          <w:rFonts w:eastAsia="Arial" w:cs="Times New Roman"/>
          <w:szCs w:val="24"/>
          <w:lang w:val="sq-AL"/>
        </w:rPr>
        <w:t>ë</w:t>
      </w:r>
      <w:r w:rsidRPr="008226F8">
        <w:rPr>
          <w:rFonts w:eastAsia="Arial" w:cs="Times New Roman"/>
          <w:szCs w:val="24"/>
          <w:lang w:val="sq-AL"/>
        </w:rPr>
        <w:t xml:space="preserve"> ushqimore q</w:t>
      </w:r>
      <w:r w:rsidR="00867BA2" w:rsidRPr="008226F8">
        <w:rPr>
          <w:rFonts w:eastAsia="Arial" w:cs="Times New Roman"/>
          <w:szCs w:val="24"/>
          <w:lang w:val="sq-AL"/>
        </w:rPr>
        <w:t>ë</w:t>
      </w:r>
      <w:r w:rsidRPr="008226F8">
        <w:rPr>
          <w:rFonts w:eastAsia="Arial" w:cs="Times New Roman"/>
          <w:szCs w:val="24"/>
          <w:lang w:val="sq-AL"/>
        </w:rPr>
        <w:t xml:space="preserve"> mendohen t</w:t>
      </w:r>
      <w:r w:rsidR="00867BA2" w:rsidRPr="008226F8">
        <w:rPr>
          <w:rFonts w:eastAsia="Arial" w:cs="Times New Roman"/>
          <w:szCs w:val="24"/>
          <w:lang w:val="sq-AL"/>
        </w:rPr>
        <w:t>ë</w:t>
      </w:r>
      <w:r w:rsidRPr="008226F8">
        <w:rPr>
          <w:rFonts w:eastAsia="Arial" w:cs="Times New Roman"/>
          <w:szCs w:val="24"/>
          <w:lang w:val="sq-AL"/>
        </w:rPr>
        <w:t xml:space="preserve"> tilla t</w:t>
      </w:r>
      <w:r w:rsidR="00867BA2" w:rsidRPr="008226F8">
        <w:rPr>
          <w:rFonts w:eastAsia="Arial" w:cs="Times New Roman"/>
          <w:szCs w:val="24"/>
          <w:lang w:val="sq-AL"/>
        </w:rPr>
        <w:t>ë</w:t>
      </w:r>
      <w:r w:rsidRPr="008226F8">
        <w:rPr>
          <w:rFonts w:eastAsia="Arial" w:cs="Times New Roman"/>
          <w:szCs w:val="24"/>
          <w:lang w:val="sq-AL"/>
        </w:rPr>
        <w:t xml:space="preserve"> jen</w:t>
      </w:r>
      <w:r w:rsidR="00867BA2" w:rsidRPr="008226F8">
        <w:rPr>
          <w:rFonts w:eastAsia="Arial" w:cs="Times New Roman"/>
          <w:szCs w:val="24"/>
          <w:lang w:val="sq-AL"/>
        </w:rPr>
        <w:t>ë</w:t>
      </w:r>
      <w:r w:rsidRPr="008226F8">
        <w:rPr>
          <w:rFonts w:eastAsia="Arial" w:cs="Times New Roman"/>
          <w:szCs w:val="24"/>
          <w:lang w:val="sq-AL"/>
        </w:rPr>
        <w:t xml:space="preserve"> 50</w:t>
      </w:r>
      <w:r w:rsidR="006C1E0E" w:rsidRPr="008226F8">
        <w:rPr>
          <w:rFonts w:eastAsia="Arial" w:cs="Times New Roman"/>
          <w:szCs w:val="24"/>
          <w:lang w:val="sq-AL"/>
        </w:rPr>
        <w:t>.</w:t>
      </w:r>
    </w:p>
    <w:p w14:paraId="79BC8C5D" w14:textId="5EAF42A2" w:rsidR="006C1E0E" w:rsidRPr="00C42649" w:rsidRDefault="006C1E0E" w:rsidP="008226F8">
      <w:pPr>
        <w:pStyle w:val="Heading4"/>
        <w:rPr>
          <w:lang w:val="sq-AL"/>
        </w:rPr>
      </w:pPr>
      <w:bookmarkStart w:id="179" w:name="_Toc132277399"/>
      <w:r w:rsidRPr="00C42649">
        <w:rPr>
          <w:lang w:val="sq-AL"/>
        </w:rPr>
        <w:t>Ministria e Financave dhe Ekonomisë</w:t>
      </w:r>
      <w:bookmarkEnd w:id="179"/>
    </w:p>
    <w:tbl>
      <w:tblPr>
        <w:tblStyle w:val="TableGrid"/>
        <w:tblW w:w="0" w:type="auto"/>
        <w:tblLook w:val="04A0" w:firstRow="1" w:lastRow="0" w:firstColumn="1" w:lastColumn="0" w:noHBand="0" w:noVBand="1"/>
      </w:tblPr>
      <w:tblGrid>
        <w:gridCol w:w="9016"/>
      </w:tblGrid>
      <w:tr w:rsidR="008226F8" w14:paraId="0199654A" w14:textId="77777777" w:rsidTr="008226F8">
        <w:tc>
          <w:tcPr>
            <w:tcW w:w="9016" w:type="dxa"/>
          </w:tcPr>
          <w:p w14:paraId="596D4676" w14:textId="478AF8C1" w:rsidR="008226F8" w:rsidRPr="009475CC" w:rsidRDefault="008226F8" w:rsidP="008226F8">
            <w:pPr>
              <w:contextualSpacing/>
              <w:jc w:val="both"/>
              <w:rPr>
                <w:rFonts w:cs="Times New Roman"/>
                <w:b/>
                <w:i/>
                <w:szCs w:val="24"/>
                <w:lang w:val="sq-AL"/>
              </w:rPr>
            </w:pPr>
            <w:r w:rsidRPr="009475CC">
              <w:rPr>
                <w:rFonts w:cs="Times New Roman"/>
                <w:b/>
                <w:szCs w:val="24"/>
                <w:lang w:val="sq-AL"/>
              </w:rPr>
              <w:t xml:space="preserve">Objektivi </w:t>
            </w:r>
            <w:r>
              <w:rPr>
                <w:rFonts w:cs="Times New Roman"/>
                <w:b/>
                <w:szCs w:val="24"/>
                <w:lang w:val="sq-AL"/>
              </w:rPr>
              <w:t>40</w:t>
            </w:r>
            <w:r w:rsidRPr="009475CC">
              <w:rPr>
                <w:rFonts w:cs="Times New Roman"/>
                <w:b/>
                <w:szCs w:val="24"/>
                <w:lang w:val="sq-AL"/>
              </w:rPr>
              <w:t>:</w:t>
            </w:r>
            <w:r w:rsidRPr="009475CC">
              <w:rPr>
                <w:rFonts w:cs="Times New Roman"/>
                <w:b/>
                <w:i/>
                <w:szCs w:val="24"/>
                <w:lang w:val="sq-AL"/>
              </w:rPr>
              <w:t xml:space="preserve"> </w:t>
            </w:r>
            <w:r w:rsidRPr="009475CC">
              <w:rPr>
                <w:rFonts w:cs="Times New Roman"/>
                <w:bCs/>
                <w:iCs/>
                <w:szCs w:val="24"/>
                <w:lang w:val="sq-AL"/>
              </w:rPr>
              <w:t>Ndërgjegjësimi dhe informimi i operatorëve ekonomike për të garantuar funksionimin e zinxhirit të tregtimit për ofrimin e produkteve të sigurta në treg.</w:t>
            </w:r>
            <w:r w:rsidRPr="009475CC">
              <w:rPr>
                <w:rFonts w:cs="Times New Roman"/>
                <w:b/>
                <w:i/>
                <w:szCs w:val="24"/>
                <w:lang w:val="sq-AL"/>
              </w:rPr>
              <w:t xml:space="preserve">  </w:t>
            </w:r>
          </w:p>
          <w:p w14:paraId="57EEDCCC" w14:textId="77777777" w:rsidR="008226F8" w:rsidRDefault="008226F8" w:rsidP="009475CC">
            <w:pPr>
              <w:jc w:val="center"/>
              <w:rPr>
                <w:rFonts w:cs="Times New Roman"/>
                <w:b/>
                <w:szCs w:val="24"/>
                <w:lang w:val="sq-AL"/>
              </w:rPr>
            </w:pPr>
          </w:p>
        </w:tc>
      </w:tr>
    </w:tbl>
    <w:p w14:paraId="049C2123" w14:textId="77777777" w:rsidR="00FA38A8" w:rsidRPr="009475CC" w:rsidRDefault="00FA38A8" w:rsidP="009475CC">
      <w:pPr>
        <w:spacing w:after="0"/>
        <w:jc w:val="center"/>
        <w:rPr>
          <w:rFonts w:cs="Times New Roman"/>
          <w:b/>
          <w:szCs w:val="24"/>
          <w:lang w:val="sq-AL"/>
        </w:rPr>
      </w:pPr>
    </w:p>
    <w:p w14:paraId="19423BD6" w14:textId="3975EEA9" w:rsidR="00814527" w:rsidRPr="009475CC" w:rsidRDefault="00814527" w:rsidP="008226F8">
      <w:pPr>
        <w:jc w:val="both"/>
        <w:rPr>
          <w:rFonts w:cs="Times New Roman"/>
          <w:szCs w:val="24"/>
          <w:lang w:val="sq-AL"/>
        </w:rPr>
      </w:pPr>
      <w:r w:rsidRPr="009475CC">
        <w:rPr>
          <w:rFonts w:cs="Times New Roman"/>
          <w:szCs w:val="24"/>
          <w:lang w:val="sq-AL"/>
        </w:rPr>
        <w:t>Përmes këtij objektivi specifik synohet ofrimi i produkteve të sigurta tek konsumatorët fundorë, përmes funksionit të duhur të të gjith</w:t>
      </w:r>
      <w:r w:rsidR="009B283A">
        <w:rPr>
          <w:rFonts w:cs="Times New Roman"/>
          <w:szCs w:val="24"/>
          <w:lang w:val="sq-AL"/>
        </w:rPr>
        <w:t>ë</w:t>
      </w:r>
      <w:r w:rsidRPr="009475CC">
        <w:rPr>
          <w:rFonts w:cs="Times New Roman"/>
          <w:szCs w:val="24"/>
          <w:lang w:val="sq-AL"/>
        </w:rPr>
        <w:t xml:space="preserve"> hallkave të zinxhirit të tregtimit të produkteve. Për arritjen e këtij objektivi është i nevojshëm realizimi dhe zhvillimi i aktiviteteve informuese dhe ndërgjegjësuese për të gjithë operatorët ekonomikë në treg (prodhues, impotues, përfaqësues i autorizuar, shpërndarës), që do të kenë në fokus njohjen dhe informimin mbi legjislacion e ri të miratuar për fushat përkatëse të produkteve që ata vendosin në treg dhe u ofrojnë konsumatorëve. Informimi, ndërgjegjësimi dhe edukimi i operatorëve do t’u mundësojë atyre aftësinë për përmbushjen e duhur të detyrimeve që rrjedhin nga legjislacioni përkatës, duke synuar si rezultat garantimin e ofrimit të produkteve të sigurta për konsumatorët.</w:t>
      </w:r>
    </w:p>
    <w:p w14:paraId="60F20552" w14:textId="188647BE" w:rsidR="00814527" w:rsidRPr="009475CC" w:rsidRDefault="00814527" w:rsidP="008226F8">
      <w:pPr>
        <w:jc w:val="both"/>
        <w:rPr>
          <w:rFonts w:cs="Times New Roman"/>
          <w:szCs w:val="24"/>
          <w:lang w:val="sq-AL"/>
        </w:rPr>
      </w:pPr>
      <w:r w:rsidRPr="009475CC">
        <w:rPr>
          <w:rFonts w:cs="Times New Roman"/>
          <w:b/>
          <w:iCs/>
          <w:szCs w:val="24"/>
          <w:lang w:val="sq-AL"/>
        </w:rPr>
        <w:lastRenderedPageBreak/>
        <w:t xml:space="preserve">Masa </w:t>
      </w:r>
      <w:r w:rsidR="008226F8">
        <w:rPr>
          <w:rFonts w:cs="Times New Roman"/>
          <w:b/>
          <w:iCs/>
          <w:szCs w:val="24"/>
          <w:lang w:val="sq-AL"/>
        </w:rPr>
        <w:t>40.</w:t>
      </w:r>
      <w:r w:rsidRPr="009475CC">
        <w:rPr>
          <w:rFonts w:cs="Times New Roman"/>
          <w:b/>
          <w:iCs/>
          <w:szCs w:val="24"/>
          <w:lang w:val="sq-AL"/>
        </w:rPr>
        <w:t>1:</w:t>
      </w:r>
      <w:r w:rsidRPr="009475CC">
        <w:rPr>
          <w:rFonts w:cs="Times New Roman"/>
          <w:szCs w:val="24"/>
          <w:lang w:val="sq-AL"/>
        </w:rPr>
        <w:t xml:space="preserve"> </w:t>
      </w:r>
      <w:bookmarkStart w:id="180" w:name="_Hlk117247281"/>
      <w:r w:rsidRPr="009475CC">
        <w:rPr>
          <w:rFonts w:cs="Times New Roman"/>
          <w:bCs/>
          <w:iCs/>
          <w:szCs w:val="24"/>
          <w:lang w:val="sq-AL"/>
        </w:rPr>
        <w:t>Organizimi i tryezave informuese me operatorët ekonomikë mbi legjislacionin për sigurinë e produkteve, sipas fushave përkatëse në të cilat ata operojnë</w:t>
      </w:r>
      <w:bookmarkEnd w:id="180"/>
      <w:r w:rsidRPr="009475CC">
        <w:rPr>
          <w:rFonts w:cs="Times New Roman"/>
          <w:bCs/>
          <w:iCs/>
          <w:szCs w:val="24"/>
          <w:lang w:val="sq-AL"/>
        </w:rPr>
        <w:t>.</w:t>
      </w:r>
      <w:r w:rsidRPr="009475CC">
        <w:rPr>
          <w:rFonts w:cs="Times New Roman"/>
          <w:szCs w:val="24"/>
          <w:lang w:val="sq-AL"/>
        </w:rPr>
        <w:t xml:space="preserve"> </w:t>
      </w:r>
    </w:p>
    <w:p w14:paraId="3FC31359" w14:textId="77777777" w:rsidR="00814527" w:rsidRPr="009475CC" w:rsidRDefault="00814527" w:rsidP="008226F8">
      <w:pPr>
        <w:jc w:val="both"/>
        <w:rPr>
          <w:rFonts w:cs="Times New Roman"/>
          <w:szCs w:val="24"/>
          <w:lang w:val="sq-AL"/>
        </w:rPr>
      </w:pPr>
      <w:r w:rsidRPr="009475CC">
        <w:rPr>
          <w:rFonts w:cs="Times New Roman"/>
          <w:szCs w:val="24"/>
          <w:lang w:val="sq-AL"/>
        </w:rPr>
        <w:t xml:space="preserve">Masa për organizimi e tryezave informuese me operatorët ekonomikë mbi legjislacionin për sigurinë e produkteve, sipas fushave përkatëse në të cilat ata operojnë, do të synojë arritjen e një shkalle më të lartë të informimit të operatorëve ekonomikë </w:t>
      </w:r>
      <w:bookmarkStart w:id="181" w:name="_Hlk117248020"/>
      <w:r w:rsidRPr="009475CC">
        <w:rPr>
          <w:rFonts w:cs="Times New Roman"/>
          <w:szCs w:val="24"/>
          <w:lang w:val="sq-AL"/>
        </w:rPr>
        <w:t xml:space="preserve">mbi detyrimet dhe kërkesat që rrjedhin nga legjislacioni përkatës për fushën e sigurisë së produkteve.  </w:t>
      </w:r>
      <w:bookmarkEnd w:id="181"/>
    </w:p>
    <w:p w14:paraId="39CA2123" w14:textId="19D86708" w:rsidR="00814527" w:rsidRPr="009475CC" w:rsidRDefault="00814527" w:rsidP="008226F8">
      <w:pPr>
        <w:jc w:val="both"/>
        <w:rPr>
          <w:rFonts w:cs="Times New Roman"/>
          <w:b/>
          <w:bCs/>
          <w:szCs w:val="24"/>
          <w:lang w:val="sq-AL"/>
        </w:rPr>
      </w:pPr>
      <w:r w:rsidRPr="009475CC">
        <w:rPr>
          <w:rFonts w:cs="Times New Roman"/>
          <w:b/>
          <w:bCs/>
          <w:szCs w:val="24"/>
          <w:lang w:val="sq-AL"/>
        </w:rPr>
        <w:t>Indikator</w:t>
      </w:r>
      <w:r w:rsidR="009B283A">
        <w:rPr>
          <w:rFonts w:cs="Times New Roman"/>
          <w:b/>
          <w:bCs/>
          <w:szCs w:val="24"/>
          <w:lang w:val="sq-AL"/>
        </w:rPr>
        <w:t>i</w:t>
      </w:r>
      <w:r w:rsidR="00FA38A8" w:rsidRPr="009475CC">
        <w:rPr>
          <w:rFonts w:cs="Times New Roman"/>
          <w:b/>
          <w:bCs/>
          <w:szCs w:val="24"/>
          <w:lang w:val="sq-AL"/>
        </w:rPr>
        <w:t>:</w:t>
      </w:r>
    </w:p>
    <w:p w14:paraId="1D517865" w14:textId="77777777" w:rsidR="009B283A" w:rsidRDefault="00814527" w:rsidP="00623352">
      <w:pPr>
        <w:pStyle w:val="ListParagraph"/>
        <w:numPr>
          <w:ilvl w:val="0"/>
          <w:numId w:val="25"/>
        </w:numPr>
        <w:spacing w:after="0"/>
        <w:jc w:val="both"/>
        <w:rPr>
          <w:rFonts w:cs="Times New Roman"/>
          <w:szCs w:val="24"/>
          <w:lang w:val="sq-AL"/>
        </w:rPr>
      </w:pPr>
      <w:r w:rsidRPr="009B283A">
        <w:rPr>
          <w:rFonts w:cs="Times New Roman"/>
          <w:szCs w:val="24"/>
          <w:lang w:val="sq-AL"/>
        </w:rPr>
        <w:t xml:space="preserve">Kjo masë do të ketë si tregues të drejtpërdrejtë numrin e tryezave informuese me </w:t>
      </w:r>
    </w:p>
    <w:p w14:paraId="1A661375" w14:textId="7DA0CFD1" w:rsidR="00814527" w:rsidRPr="009B283A" w:rsidRDefault="00814527" w:rsidP="009B283A">
      <w:pPr>
        <w:spacing w:after="0"/>
        <w:jc w:val="both"/>
        <w:rPr>
          <w:rFonts w:cs="Times New Roman"/>
          <w:szCs w:val="24"/>
          <w:lang w:val="sq-AL"/>
        </w:rPr>
      </w:pPr>
      <w:r w:rsidRPr="009B283A">
        <w:rPr>
          <w:rFonts w:cs="Times New Roman"/>
          <w:szCs w:val="24"/>
          <w:lang w:val="sq-AL"/>
        </w:rPr>
        <w:t xml:space="preserve">operatorët ekonomikë mbi legjislacionin përkatës për fushën e sigurisë së produkteve. Do të zhvillohen 16 tryeza informuese me operatorët ekonomikë që operojnë në fushën e sigurisë së produkteve. </w:t>
      </w:r>
    </w:p>
    <w:p w14:paraId="0D80E998" w14:textId="070F532F" w:rsidR="00FA38A8" w:rsidRPr="007510DE" w:rsidRDefault="00FA38A8" w:rsidP="008226F8">
      <w:pPr>
        <w:pStyle w:val="Heading4"/>
        <w:rPr>
          <w:lang w:val="sq-AL"/>
        </w:rPr>
      </w:pPr>
      <w:bookmarkStart w:id="182" w:name="_Toc132277400"/>
      <w:r w:rsidRPr="007510DE">
        <w:rPr>
          <w:lang w:val="sq-AL"/>
        </w:rPr>
        <w:t>Ministria e Turizmit dhe Mjedisit</w:t>
      </w:r>
      <w:bookmarkEnd w:id="182"/>
    </w:p>
    <w:tbl>
      <w:tblPr>
        <w:tblStyle w:val="TableGrid"/>
        <w:tblW w:w="0" w:type="auto"/>
        <w:tblLook w:val="04A0" w:firstRow="1" w:lastRow="0" w:firstColumn="1" w:lastColumn="0" w:noHBand="0" w:noVBand="1"/>
      </w:tblPr>
      <w:tblGrid>
        <w:gridCol w:w="9016"/>
      </w:tblGrid>
      <w:tr w:rsidR="008226F8" w14:paraId="039CFD1D" w14:textId="77777777" w:rsidTr="008226F8">
        <w:tc>
          <w:tcPr>
            <w:tcW w:w="9016" w:type="dxa"/>
          </w:tcPr>
          <w:p w14:paraId="77539A28" w14:textId="7C51AE78" w:rsidR="008226F8" w:rsidRDefault="008226F8" w:rsidP="008226F8">
            <w:pPr>
              <w:pStyle w:val="HTMLPreformatted"/>
              <w:jc w:val="both"/>
              <w:rPr>
                <w:rStyle w:val="y2iqfc"/>
                <w:rFonts w:ascii="Times New Roman" w:hAnsi="Times New Roman" w:cs="Times New Roman"/>
                <w:sz w:val="24"/>
                <w:szCs w:val="24"/>
              </w:rPr>
            </w:pPr>
            <w:r w:rsidRPr="009475CC">
              <w:rPr>
                <w:rStyle w:val="y2iqfc"/>
                <w:rFonts w:ascii="Times New Roman" w:hAnsi="Times New Roman" w:cs="Times New Roman"/>
                <w:b/>
                <w:bCs/>
                <w:sz w:val="24"/>
                <w:szCs w:val="24"/>
              </w:rPr>
              <w:t xml:space="preserve">Objektivi </w:t>
            </w:r>
            <w:r>
              <w:rPr>
                <w:rStyle w:val="y2iqfc"/>
                <w:rFonts w:ascii="Times New Roman" w:hAnsi="Times New Roman" w:cs="Times New Roman"/>
                <w:b/>
                <w:bCs/>
                <w:sz w:val="24"/>
                <w:szCs w:val="24"/>
              </w:rPr>
              <w:t>4</w:t>
            </w:r>
            <w:r>
              <w:rPr>
                <w:rStyle w:val="y2iqfc"/>
                <w:rFonts w:ascii="Times New Roman" w:hAnsi="Times New Roman"/>
                <w:b/>
                <w:bCs/>
                <w:sz w:val="24"/>
              </w:rPr>
              <w:t>1</w:t>
            </w:r>
            <w:r>
              <w:rPr>
                <w:rStyle w:val="y2iqfc"/>
                <w:rFonts w:ascii="Times New Roman" w:hAnsi="Times New Roman" w:cs="Times New Roman"/>
                <w:sz w:val="24"/>
                <w:szCs w:val="24"/>
              </w:rPr>
              <w:t xml:space="preserve">: </w:t>
            </w:r>
          </w:p>
          <w:p w14:paraId="75290361" w14:textId="5938E91B" w:rsidR="008226F8" w:rsidRPr="00E2223C" w:rsidRDefault="008226F8" w:rsidP="008226F8">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R</w:t>
            </w:r>
            <w:r w:rsidRPr="00D52DC6">
              <w:rPr>
                <w:rStyle w:val="y2iqfc"/>
                <w:rFonts w:ascii="Times New Roman" w:hAnsi="Times New Roman" w:cs="Times New Roman"/>
                <w:sz w:val="24"/>
                <w:szCs w:val="24"/>
              </w:rPr>
              <w:t>ritj</w:t>
            </w:r>
            <w:r>
              <w:rPr>
                <w:rStyle w:val="y2iqfc"/>
                <w:rFonts w:ascii="Times New Roman" w:hAnsi="Times New Roman" w:cs="Times New Roman"/>
                <w:sz w:val="24"/>
                <w:szCs w:val="24"/>
              </w:rPr>
              <w:t>a</w:t>
            </w:r>
            <w:r w:rsidRPr="00D52DC6">
              <w:rPr>
                <w:rStyle w:val="y2iqfc"/>
                <w:rFonts w:ascii="Times New Roman" w:hAnsi="Times New Roman" w:cs="Times New Roman"/>
                <w:sz w:val="24"/>
                <w:szCs w:val="24"/>
              </w:rPr>
              <w:t xml:space="preserve"> e informimit t</w:t>
            </w:r>
            <w:r>
              <w:rPr>
                <w:rStyle w:val="y2iqfc"/>
                <w:rFonts w:ascii="Times New Roman" w:hAnsi="Times New Roman" w:cs="Times New Roman"/>
                <w:sz w:val="24"/>
                <w:szCs w:val="24"/>
              </w:rPr>
              <w:t>ë</w:t>
            </w:r>
            <w:r w:rsidRPr="00D52DC6">
              <w:rPr>
                <w:rStyle w:val="y2iqfc"/>
                <w:rFonts w:ascii="Times New Roman" w:hAnsi="Times New Roman" w:cs="Times New Roman"/>
                <w:sz w:val="24"/>
                <w:szCs w:val="24"/>
              </w:rPr>
              <w:t xml:space="preserve"> konsumatorëve dhe oper</w:t>
            </w:r>
            <w:r>
              <w:rPr>
                <w:rStyle w:val="y2iqfc"/>
                <w:rFonts w:ascii="Times New Roman" w:hAnsi="Times New Roman" w:cs="Times New Roman"/>
                <w:sz w:val="24"/>
                <w:szCs w:val="24"/>
              </w:rPr>
              <w:t>a</w:t>
            </w:r>
            <w:r w:rsidRPr="00D52DC6">
              <w:rPr>
                <w:rStyle w:val="y2iqfc"/>
                <w:rFonts w:ascii="Times New Roman" w:hAnsi="Times New Roman" w:cs="Times New Roman"/>
                <w:sz w:val="24"/>
                <w:szCs w:val="24"/>
              </w:rPr>
              <w:t>torëvë ekon</w:t>
            </w:r>
            <w:r>
              <w:rPr>
                <w:rStyle w:val="y2iqfc"/>
                <w:rFonts w:ascii="Times New Roman" w:hAnsi="Times New Roman" w:cs="Times New Roman"/>
                <w:sz w:val="24"/>
                <w:szCs w:val="24"/>
              </w:rPr>
              <w:t>om</w:t>
            </w:r>
            <w:r w:rsidRPr="00D52DC6">
              <w:rPr>
                <w:rStyle w:val="y2iqfc"/>
                <w:rFonts w:ascii="Times New Roman" w:hAnsi="Times New Roman" w:cs="Times New Roman"/>
                <w:sz w:val="24"/>
                <w:szCs w:val="24"/>
              </w:rPr>
              <w:t>ik</w:t>
            </w:r>
            <w:r>
              <w:rPr>
                <w:rStyle w:val="y2iqfc"/>
                <w:rFonts w:ascii="Times New Roman" w:hAnsi="Times New Roman" w:cs="Times New Roman"/>
                <w:sz w:val="24"/>
                <w:szCs w:val="24"/>
              </w:rPr>
              <w:t>ë</w:t>
            </w:r>
            <w:r w:rsidRPr="00D52DC6">
              <w:rPr>
                <w:rStyle w:val="y2iqfc"/>
                <w:rFonts w:ascii="Times New Roman" w:hAnsi="Times New Roman" w:cs="Times New Roman"/>
                <w:sz w:val="24"/>
                <w:szCs w:val="24"/>
              </w:rPr>
              <w:t xml:space="preserve"> duke </w:t>
            </w:r>
            <w:r>
              <w:rPr>
                <w:rStyle w:val="y2iqfc"/>
                <w:rFonts w:ascii="Times New Roman" w:hAnsi="Times New Roman" w:cs="Times New Roman"/>
                <w:sz w:val="24"/>
                <w:szCs w:val="24"/>
              </w:rPr>
              <w:t>i</w:t>
            </w:r>
            <w:r w:rsidRPr="00D52DC6">
              <w:rPr>
                <w:rStyle w:val="y2iqfc"/>
                <w:rFonts w:ascii="Times New Roman" w:hAnsi="Times New Roman" w:cs="Times New Roman"/>
                <w:sz w:val="24"/>
                <w:szCs w:val="24"/>
              </w:rPr>
              <w:t xml:space="preserve"> ofruar gjithashtu sh</w:t>
            </w:r>
            <w:r>
              <w:rPr>
                <w:rStyle w:val="y2iqfc"/>
                <w:rFonts w:ascii="Times New Roman" w:hAnsi="Times New Roman" w:cs="Times New Roman"/>
                <w:sz w:val="24"/>
                <w:szCs w:val="24"/>
              </w:rPr>
              <w:t>ë</w:t>
            </w:r>
            <w:r w:rsidRPr="00D52DC6">
              <w:rPr>
                <w:rStyle w:val="y2iqfc"/>
                <w:rFonts w:ascii="Times New Roman" w:hAnsi="Times New Roman" w:cs="Times New Roman"/>
                <w:sz w:val="24"/>
                <w:szCs w:val="24"/>
              </w:rPr>
              <w:t>rbim</w:t>
            </w:r>
            <w:r>
              <w:rPr>
                <w:rStyle w:val="y2iqfc"/>
                <w:rFonts w:ascii="Times New Roman" w:hAnsi="Times New Roman" w:cs="Times New Roman"/>
                <w:sz w:val="24"/>
                <w:szCs w:val="24"/>
              </w:rPr>
              <w:t>/ in</w:t>
            </w:r>
            <w:r w:rsidRPr="00D52DC6">
              <w:rPr>
                <w:rStyle w:val="y2iqfc"/>
                <w:rFonts w:ascii="Times New Roman" w:hAnsi="Times New Roman" w:cs="Times New Roman"/>
                <w:sz w:val="24"/>
                <w:szCs w:val="24"/>
              </w:rPr>
              <w:t>formacion mbi kimikatet në zbatimin e legjislacionit kombëtar</w:t>
            </w:r>
            <w:r>
              <w:rPr>
                <w:rStyle w:val="y2iqfc"/>
                <w:rFonts w:ascii="Times New Roman" w:hAnsi="Times New Roman" w:cs="Times New Roman"/>
                <w:sz w:val="24"/>
                <w:szCs w:val="24"/>
              </w:rPr>
              <w:t>.</w:t>
            </w:r>
          </w:p>
          <w:p w14:paraId="79852302" w14:textId="77777777" w:rsidR="008226F8" w:rsidRDefault="008226F8" w:rsidP="00FA38A8">
            <w:pPr>
              <w:pStyle w:val="HTMLPreformatted"/>
              <w:jc w:val="both"/>
              <w:rPr>
                <w:rStyle w:val="y2iqfc"/>
                <w:rFonts w:ascii="Times New Roman" w:hAnsi="Times New Roman" w:cs="Times New Roman"/>
                <w:b/>
                <w:bCs/>
                <w:sz w:val="24"/>
                <w:szCs w:val="24"/>
              </w:rPr>
            </w:pPr>
          </w:p>
        </w:tc>
      </w:tr>
    </w:tbl>
    <w:p w14:paraId="266BD7F8" w14:textId="77777777" w:rsidR="008226F8" w:rsidRDefault="008226F8" w:rsidP="00FA38A8">
      <w:pPr>
        <w:pStyle w:val="HTMLPreformatted"/>
        <w:jc w:val="both"/>
        <w:rPr>
          <w:rStyle w:val="y2iqfc"/>
          <w:rFonts w:ascii="Times New Roman" w:hAnsi="Times New Roman" w:cs="Times New Roman"/>
          <w:b/>
          <w:bCs/>
          <w:sz w:val="24"/>
          <w:szCs w:val="24"/>
        </w:rPr>
      </w:pPr>
    </w:p>
    <w:p w14:paraId="610A4944" w14:textId="6F196FE2" w:rsidR="00FA38A8" w:rsidRPr="00F32E3B" w:rsidRDefault="00FA38A8" w:rsidP="008226F8">
      <w:pPr>
        <w:pStyle w:val="HTMLPreformatted"/>
        <w:spacing w:after="240"/>
        <w:jc w:val="both"/>
        <w:rPr>
          <w:rStyle w:val="y2iqfc"/>
          <w:rFonts w:ascii="Times New Roman" w:hAnsi="Times New Roman" w:cs="Times New Roman"/>
          <w:sz w:val="24"/>
          <w:szCs w:val="24"/>
        </w:rPr>
      </w:pPr>
      <w:r w:rsidRPr="009475CC">
        <w:rPr>
          <w:rStyle w:val="y2iqfc"/>
          <w:rFonts w:ascii="Times New Roman" w:hAnsi="Times New Roman" w:cs="Times New Roman"/>
          <w:b/>
          <w:bCs/>
          <w:sz w:val="24"/>
          <w:szCs w:val="24"/>
        </w:rPr>
        <w:t xml:space="preserve">Masa </w:t>
      </w:r>
      <w:r w:rsidR="008226F8">
        <w:rPr>
          <w:rStyle w:val="y2iqfc"/>
          <w:rFonts w:ascii="Times New Roman" w:hAnsi="Times New Roman" w:cs="Times New Roman"/>
          <w:b/>
          <w:bCs/>
          <w:sz w:val="24"/>
          <w:szCs w:val="24"/>
        </w:rPr>
        <w:t>41.</w:t>
      </w:r>
      <w:r w:rsidRPr="009475CC">
        <w:rPr>
          <w:rStyle w:val="y2iqfc"/>
          <w:rFonts w:ascii="Times New Roman" w:hAnsi="Times New Roman" w:cs="Times New Roman"/>
          <w:b/>
          <w:bCs/>
          <w:sz w:val="24"/>
          <w:szCs w:val="24"/>
        </w:rPr>
        <w:t>1</w:t>
      </w:r>
      <w:r w:rsidR="0023382E" w:rsidRPr="009475CC">
        <w:rPr>
          <w:rStyle w:val="y2iqfc"/>
          <w:rFonts w:ascii="Times New Roman" w:hAnsi="Times New Roman" w:cs="Times New Roman"/>
          <w:b/>
          <w:bCs/>
          <w:sz w:val="24"/>
          <w:szCs w:val="24"/>
        </w:rPr>
        <w:t>:</w:t>
      </w:r>
      <w:r w:rsidRPr="00E45C0D">
        <w:rPr>
          <w:rStyle w:val="y2iqfc"/>
          <w:rFonts w:ascii="Times New Roman" w:hAnsi="Times New Roman" w:cs="Times New Roman"/>
          <w:sz w:val="24"/>
          <w:szCs w:val="24"/>
        </w:rPr>
        <w:t xml:space="preserve"> </w:t>
      </w:r>
      <w:r w:rsidR="0023382E">
        <w:rPr>
          <w:rStyle w:val="y2iqfc"/>
          <w:rFonts w:ascii="Times New Roman" w:hAnsi="Times New Roman" w:cs="Times New Roman"/>
          <w:sz w:val="24"/>
          <w:szCs w:val="24"/>
        </w:rPr>
        <w:t>Z</w:t>
      </w:r>
      <w:r w:rsidRPr="00E45C0D">
        <w:rPr>
          <w:rStyle w:val="y2iqfc"/>
          <w:rFonts w:ascii="Times New Roman" w:hAnsi="Times New Roman" w:cs="Times New Roman"/>
          <w:sz w:val="24"/>
          <w:szCs w:val="24"/>
        </w:rPr>
        <w:t>hvillimi</w:t>
      </w:r>
      <w:r w:rsidR="0023382E">
        <w:rPr>
          <w:rStyle w:val="y2iqfc"/>
          <w:rFonts w:ascii="Times New Roman" w:hAnsi="Times New Roman" w:cs="Times New Roman"/>
          <w:sz w:val="24"/>
          <w:szCs w:val="24"/>
        </w:rPr>
        <w:t xml:space="preserve">, </w:t>
      </w:r>
      <w:r w:rsidRPr="00E45C0D">
        <w:rPr>
          <w:rStyle w:val="y2iqfc"/>
          <w:rFonts w:ascii="Times New Roman" w:hAnsi="Times New Roman" w:cs="Times New Roman"/>
          <w:sz w:val="24"/>
          <w:szCs w:val="24"/>
        </w:rPr>
        <w:t>ngritj</w:t>
      </w:r>
      <w:r w:rsidR="0023382E">
        <w:rPr>
          <w:rStyle w:val="y2iqfc"/>
          <w:rFonts w:ascii="Times New Roman" w:hAnsi="Times New Roman" w:cs="Times New Roman"/>
          <w:sz w:val="24"/>
          <w:szCs w:val="24"/>
        </w:rPr>
        <w:t>a</w:t>
      </w:r>
      <w:r w:rsidRPr="00E45C0D">
        <w:rPr>
          <w:rStyle w:val="y2iqfc"/>
          <w:rFonts w:ascii="Times New Roman" w:hAnsi="Times New Roman" w:cs="Times New Roman"/>
          <w:sz w:val="24"/>
          <w:szCs w:val="24"/>
        </w:rPr>
        <w:t xml:space="preserve"> dhe funksionimi</w:t>
      </w:r>
      <w:r w:rsidRPr="003F476D">
        <w:rPr>
          <w:rStyle w:val="y2iqfc"/>
          <w:rFonts w:ascii="Times New Roman" w:hAnsi="Times New Roman" w:cs="Times New Roman"/>
          <w:sz w:val="24"/>
          <w:szCs w:val="24"/>
        </w:rPr>
        <w:t xml:space="preserve"> </w:t>
      </w:r>
      <w:r w:rsidR="0023382E">
        <w:rPr>
          <w:rStyle w:val="y2iqfc"/>
          <w:rFonts w:ascii="Times New Roman" w:hAnsi="Times New Roman" w:cs="Times New Roman"/>
          <w:sz w:val="24"/>
          <w:szCs w:val="24"/>
        </w:rPr>
        <w:t>i</w:t>
      </w:r>
      <w:r w:rsidRPr="003F476D">
        <w:rPr>
          <w:rStyle w:val="y2iqfc"/>
          <w:rFonts w:ascii="Times New Roman" w:hAnsi="Times New Roman" w:cs="Times New Roman"/>
          <w:sz w:val="24"/>
          <w:szCs w:val="24"/>
        </w:rPr>
        <w:t xml:space="preserve"> helpdeskut kombëtar për kimikatet</w:t>
      </w:r>
      <w:r w:rsidR="0023382E">
        <w:rPr>
          <w:rStyle w:val="y2iqfc"/>
          <w:rFonts w:ascii="Times New Roman" w:hAnsi="Times New Roman" w:cs="Times New Roman"/>
          <w:sz w:val="24"/>
          <w:szCs w:val="24"/>
        </w:rPr>
        <w:t>, i</w:t>
      </w:r>
      <w:r w:rsidRPr="003F476D">
        <w:rPr>
          <w:rStyle w:val="y2iqfc"/>
          <w:rFonts w:ascii="Times New Roman" w:hAnsi="Times New Roman" w:cs="Times New Roman"/>
          <w:sz w:val="24"/>
          <w:szCs w:val="24"/>
        </w:rPr>
        <w:t xml:space="preserve"> cili do ketë për qëllim informimin e konsum</w:t>
      </w:r>
      <w:r w:rsidR="007510DE">
        <w:rPr>
          <w:rStyle w:val="y2iqfc"/>
          <w:rFonts w:ascii="Times New Roman" w:hAnsi="Times New Roman" w:cs="Times New Roman"/>
          <w:sz w:val="24"/>
          <w:szCs w:val="24"/>
        </w:rPr>
        <w:t>a</w:t>
      </w:r>
      <w:r w:rsidRPr="003F476D">
        <w:rPr>
          <w:rStyle w:val="y2iqfc"/>
          <w:rFonts w:ascii="Times New Roman" w:hAnsi="Times New Roman" w:cs="Times New Roman"/>
          <w:sz w:val="24"/>
          <w:szCs w:val="24"/>
        </w:rPr>
        <w:t>torëve dhe oper</w:t>
      </w:r>
      <w:r w:rsidR="007510DE">
        <w:rPr>
          <w:rStyle w:val="y2iqfc"/>
          <w:rFonts w:ascii="Times New Roman" w:hAnsi="Times New Roman" w:cs="Times New Roman"/>
          <w:sz w:val="24"/>
          <w:szCs w:val="24"/>
        </w:rPr>
        <w:t>a</w:t>
      </w:r>
      <w:r w:rsidRPr="003F476D">
        <w:rPr>
          <w:rStyle w:val="y2iqfc"/>
          <w:rFonts w:ascii="Times New Roman" w:hAnsi="Times New Roman" w:cs="Times New Roman"/>
          <w:sz w:val="24"/>
          <w:szCs w:val="24"/>
        </w:rPr>
        <w:t>torëve ekonom</w:t>
      </w:r>
      <w:r w:rsidR="007510DE">
        <w:rPr>
          <w:rStyle w:val="y2iqfc"/>
          <w:rFonts w:ascii="Times New Roman" w:hAnsi="Times New Roman" w:cs="Times New Roman"/>
          <w:sz w:val="24"/>
          <w:szCs w:val="24"/>
        </w:rPr>
        <w:t>i</w:t>
      </w:r>
      <w:r w:rsidRPr="003F476D">
        <w:rPr>
          <w:rStyle w:val="y2iqfc"/>
          <w:rFonts w:ascii="Times New Roman" w:hAnsi="Times New Roman" w:cs="Times New Roman"/>
          <w:sz w:val="24"/>
          <w:szCs w:val="24"/>
        </w:rPr>
        <w:t>k</w:t>
      </w:r>
      <w:r w:rsidR="007510DE">
        <w:rPr>
          <w:rStyle w:val="y2iqfc"/>
          <w:rFonts w:ascii="Times New Roman" w:hAnsi="Times New Roman" w:cs="Times New Roman"/>
          <w:sz w:val="24"/>
          <w:szCs w:val="24"/>
        </w:rPr>
        <w:t>ë</w:t>
      </w:r>
      <w:r w:rsidRPr="003F476D">
        <w:rPr>
          <w:rStyle w:val="y2iqfc"/>
          <w:rFonts w:ascii="Times New Roman" w:hAnsi="Times New Roman" w:cs="Times New Roman"/>
          <w:sz w:val="24"/>
          <w:szCs w:val="24"/>
        </w:rPr>
        <w:t xml:space="preserve"> mbi legji</w:t>
      </w:r>
      <w:r w:rsidR="007510DE">
        <w:rPr>
          <w:rStyle w:val="y2iqfc"/>
          <w:rFonts w:ascii="Times New Roman" w:hAnsi="Times New Roman" w:cs="Times New Roman"/>
          <w:sz w:val="24"/>
          <w:szCs w:val="24"/>
        </w:rPr>
        <w:t>s</w:t>
      </w:r>
      <w:r w:rsidRPr="003F476D">
        <w:rPr>
          <w:rStyle w:val="y2iqfc"/>
          <w:rFonts w:ascii="Times New Roman" w:hAnsi="Times New Roman" w:cs="Times New Roman"/>
          <w:sz w:val="24"/>
          <w:szCs w:val="24"/>
        </w:rPr>
        <w:t xml:space="preserve">lacionin, </w:t>
      </w:r>
      <w:r w:rsidR="0023382E">
        <w:rPr>
          <w:rStyle w:val="y2iqfc"/>
          <w:rFonts w:ascii="Times New Roman" w:hAnsi="Times New Roman" w:cs="Times New Roman"/>
          <w:sz w:val="24"/>
          <w:szCs w:val="24"/>
        </w:rPr>
        <w:t>r</w:t>
      </w:r>
      <w:r w:rsidRPr="003F476D">
        <w:rPr>
          <w:rStyle w:val="y2iqfc"/>
          <w:rFonts w:ascii="Times New Roman" w:hAnsi="Times New Roman" w:cs="Times New Roman"/>
          <w:sz w:val="24"/>
          <w:szCs w:val="24"/>
        </w:rPr>
        <w:t>reziqet që vijn</w:t>
      </w:r>
      <w:r w:rsidR="007510DE">
        <w:rPr>
          <w:rStyle w:val="y2iqfc"/>
          <w:rFonts w:ascii="Times New Roman" w:hAnsi="Times New Roman" w:cs="Times New Roman"/>
          <w:sz w:val="24"/>
          <w:szCs w:val="24"/>
        </w:rPr>
        <w:t>ë</w:t>
      </w:r>
      <w:r w:rsidRPr="003F476D">
        <w:rPr>
          <w:rStyle w:val="y2iqfc"/>
          <w:rFonts w:ascii="Times New Roman" w:hAnsi="Times New Roman" w:cs="Times New Roman"/>
          <w:sz w:val="24"/>
          <w:szCs w:val="24"/>
        </w:rPr>
        <w:t xml:space="preserve"> nga kimikatet dhe mbi ankimin. </w:t>
      </w:r>
    </w:p>
    <w:p w14:paraId="49382A23" w14:textId="77777777" w:rsidR="007510DE" w:rsidRDefault="00FA38A8" w:rsidP="00FA38A8">
      <w:pPr>
        <w:pStyle w:val="HTMLPreformatted"/>
        <w:jc w:val="both"/>
        <w:rPr>
          <w:rStyle w:val="y2iqfc"/>
          <w:rFonts w:ascii="Times New Roman" w:hAnsi="Times New Roman" w:cs="Times New Roman"/>
          <w:b/>
          <w:bCs/>
          <w:sz w:val="24"/>
          <w:szCs w:val="24"/>
        </w:rPr>
      </w:pPr>
      <w:r w:rsidRPr="009475CC">
        <w:rPr>
          <w:rStyle w:val="y2iqfc"/>
          <w:rFonts w:ascii="Times New Roman" w:hAnsi="Times New Roman" w:cs="Times New Roman"/>
          <w:b/>
          <w:bCs/>
          <w:sz w:val="24"/>
          <w:szCs w:val="24"/>
        </w:rPr>
        <w:t>Indikator</w:t>
      </w:r>
      <w:r w:rsidR="007510DE">
        <w:rPr>
          <w:rStyle w:val="y2iqfc"/>
          <w:rFonts w:ascii="Times New Roman" w:hAnsi="Times New Roman" w:cs="Times New Roman"/>
          <w:b/>
          <w:bCs/>
          <w:sz w:val="24"/>
          <w:szCs w:val="24"/>
        </w:rPr>
        <w:t>i</w:t>
      </w:r>
      <w:r w:rsidR="00623CC3" w:rsidRPr="009475CC">
        <w:rPr>
          <w:rStyle w:val="y2iqfc"/>
          <w:rFonts w:ascii="Times New Roman" w:hAnsi="Times New Roman" w:cs="Times New Roman"/>
          <w:b/>
          <w:bCs/>
          <w:sz w:val="24"/>
          <w:szCs w:val="24"/>
        </w:rPr>
        <w:t>:</w:t>
      </w:r>
    </w:p>
    <w:p w14:paraId="0BB3F3B2" w14:textId="2BCEE427" w:rsidR="000C39E8" w:rsidRPr="008226F8" w:rsidRDefault="00FA38A8" w:rsidP="00623352">
      <w:pPr>
        <w:pStyle w:val="HTMLPreformatted"/>
        <w:numPr>
          <w:ilvl w:val="0"/>
          <w:numId w:val="25"/>
        </w:numPr>
        <w:jc w:val="both"/>
        <w:rPr>
          <w:rStyle w:val="y2iqfc"/>
          <w:rFonts w:ascii="Times New Roman" w:hAnsi="Times New Roman" w:cs="Times New Roman"/>
          <w:sz w:val="24"/>
          <w:szCs w:val="24"/>
        </w:rPr>
      </w:pPr>
      <w:r w:rsidRPr="00F32E3B">
        <w:rPr>
          <w:rStyle w:val="y2iqfc"/>
          <w:rFonts w:ascii="Times New Roman" w:hAnsi="Times New Roman" w:cs="Times New Roman"/>
          <w:sz w:val="24"/>
          <w:szCs w:val="24"/>
        </w:rPr>
        <w:t xml:space="preserve">Helpdesk funksional </w:t>
      </w:r>
      <w:r w:rsidR="00DB6BC5">
        <w:rPr>
          <w:rStyle w:val="y2iqfc"/>
          <w:rFonts w:ascii="Times New Roman" w:hAnsi="Times New Roman" w:cs="Times New Roman"/>
          <w:sz w:val="24"/>
          <w:szCs w:val="24"/>
        </w:rPr>
        <w:t xml:space="preserve"> </w:t>
      </w:r>
      <w:r w:rsidR="00DB6BC5" w:rsidRPr="00F07E14">
        <w:rPr>
          <w:rStyle w:val="y2iqfc"/>
          <w:rFonts w:ascii="Times New Roman" w:hAnsi="Times New Roman" w:cs="Times New Roman"/>
          <w:sz w:val="24"/>
          <w:szCs w:val="24"/>
          <w:highlight w:val="yellow"/>
        </w:rPr>
        <w:t>në  2023  dhe cdo vit te update</w:t>
      </w:r>
      <w:r w:rsidR="00DB6BC5">
        <w:rPr>
          <w:rStyle w:val="y2iqfc"/>
          <w:rFonts w:ascii="Times New Roman" w:hAnsi="Times New Roman" w:cs="Times New Roman"/>
          <w:sz w:val="24"/>
          <w:szCs w:val="24"/>
        </w:rPr>
        <w:t xml:space="preserve"> </w:t>
      </w:r>
      <w:r w:rsidRPr="00F32E3B">
        <w:rPr>
          <w:rStyle w:val="y2iqfc"/>
          <w:rFonts w:ascii="Times New Roman" w:hAnsi="Times New Roman" w:cs="Times New Roman"/>
          <w:sz w:val="24"/>
          <w:szCs w:val="24"/>
        </w:rPr>
        <w:t>me infor</w:t>
      </w:r>
      <w:r w:rsidR="00623CC3">
        <w:rPr>
          <w:rStyle w:val="y2iqfc"/>
          <w:rFonts w:ascii="Times New Roman" w:hAnsi="Times New Roman" w:cs="Times New Roman"/>
          <w:sz w:val="24"/>
          <w:szCs w:val="24"/>
        </w:rPr>
        <w:t>m</w:t>
      </w:r>
      <w:r w:rsidRPr="00F32E3B">
        <w:rPr>
          <w:rStyle w:val="y2iqfc"/>
          <w:rFonts w:ascii="Times New Roman" w:hAnsi="Times New Roman" w:cs="Times New Roman"/>
          <w:sz w:val="24"/>
          <w:szCs w:val="24"/>
        </w:rPr>
        <w:t>acion të nevojshën në fushën e kimikateve</w:t>
      </w:r>
      <w:r w:rsidR="00623CC3">
        <w:rPr>
          <w:rStyle w:val="y2iqfc"/>
          <w:rFonts w:ascii="Times New Roman" w:hAnsi="Times New Roman" w:cs="Times New Roman"/>
          <w:sz w:val="24"/>
          <w:szCs w:val="24"/>
        </w:rPr>
        <w:t>.</w:t>
      </w:r>
    </w:p>
    <w:p w14:paraId="5BBC0D50" w14:textId="0E9CA8A4" w:rsidR="000C39E8" w:rsidRPr="007510DE" w:rsidRDefault="000C39E8" w:rsidP="008226F8">
      <w:pPr>
        <w:pStyle w:val="Heading4"/>
      </w:pPr>
      <w:bookmarkStart w:id="183" w:name="_Toc132277401"/>
      <w:r w:rsidRPr="007510DE">
        <w:t>Akreditimi</w:t>
      </w:r>
      <w:bookmarkEnd w:id="183"/>
    </w:p>
    <w:tbl>
      <w:tblPr>
        <w:tblStyle w:val="TableGrid"/>
        <w:tblW w:w="0" w:type="auto"/>
        <w:tblLook w:val="04A0" w:firstRow="1" w:lastRow="0" w:firstColumn="1" w:lastColumn="0" w:noHBand="0" w:noVBand="1"/>
      </w:tblPr>
      <w:tblGrid>
        <w:gridCol w:w="9016"/>
      </w:tblGrid>
      <w:tr w:rsidR="008226F8" w14:paraId="0F0C9EC2" w14:textId="77777777" w:rsidTr="008226F8">
        <w:tc>
          <w:tcPr>
            <w:tcW w:w="9016" w:type="dxa"/>
          </w:tcPr>
          <w:p w14:paraId="195E71A2" w14:textId="649F3311" w:rsidR="008226F8" w:rsidRDefault="008226F8" w:rsidP="008226F8">
            <w:pPr>
              <w:jc w:val="both"/>
              <w:rPr>
                <w:rFonts w:cs="Times New Roman"/>
                <w:b/>
                <w:bCs/>
                <w:iCs/>
                <w:szCs w:val="24"/>
                <w:lang w:val="sq-AL"/>
              </w:rPr>
            </w:pPr>
            <w:r w:rsidRPr="009475CC">
              <w:rPr>
                <w:rFonts w:cs="Times New Roman"/>
                <w:b/>
                <w:bCs/>
                <w:iCs/>
                <w:szCs w:val="24"/>
                <w:lang w:val="sq-AL"/>
              </w:rPr>
              <w:t xml:space="preserve">Objektivi </w:t>
            </w:r>
            <w:r>
              <w:rPr>
                <w:rFonts w:cs="Times New Roman"/>
                <w:b/>
                <w:bCs/>
                <w:iCs/>
                <w:szCs w:val="24"/>
                <w:lang w:val="sq-AL"/>
              </w:rPr>
              <w:t>4</w:t>
            </w:r>
            <w:r>
              <w:rPr>
                <w:b/>
                <w:bCs/>
                <w:iCs/>
                <w:lang w:val="sq-AL"/>
              </w:rPr>
              <w:t>2</w:t>
            </w:r>
            <w:r w:rsidRPr="009475CC">
              <w:rPr>
                <w:rFonts w:cs="Times New Roman"/>
                <w:b/>
                <w:bCs/>
                <w:iCs/>
                <w:szCs w:val="24"/>
                <w:lang w:val="sq-AL"/>
              </w:rPr>
              <w:t xml:space="preserve">: </w:t>
            </w:r>
          </w:p>
          <w:p w14:paraId="7084EB55" w14:textId="149B0012" w:rsidR="008226F8" w:rsidRDefault="008226F8" w:rsidP="008226F8">
            <w:pPr>
              <w:jc w:val="both"/>
              <w:rPr>
                <w:rFonts w:cs="Times New Roman"/>
                <w:szCs w:val="24"/>
              </w:rPr>
            </w:pPr>
            <w:r w:rsidRPr="0093142A">
              <w:rPr>
                <w:rFonts w:cs="Times New Roman"/>
                <w:szCs w:val="24"/>
              </w:rPr>
              <w:t>Ndërgjegjësimi i rregullatorëve në lidhje me kërkesat e legjislacioneve të BE</w:t>
            </w:r>
            <w:r>
              <w:rPr>
                <w:rFonts w:cs="Times New Roman"/>
                <w:szCs w:val="24"/>
              </w:rPr>
              <w:t>-së</w:t>
            </w:r>
            <w:r w:rsidRPr="0093142A">
              <w:rPr>
                <w:rFonts w:cs="Times New Roman"/>
                <w:szCs w:val="24"/>
              </w:rPr>
              <w:t xml:space="preserve"> ku kërkohet akreditimi dhe përfshirja në legjislacionin shqiptar kërkesa për organe të akredituara.</w:t>
            </w:r>
          </w:p>
          <w:p w14:paraId="4E14CD16" w14:textId="77777777" w:rsidR="008226F8" w:rsidRDefault="008226F8" w:rsidP="009475CC">
            <w:pPr>
              <w:pStyle w:val="HTMLPreformatted"/>
              <w:jc w:val="center"/>
              <w:rPr>
                <w:rFonts w:ascii="Times New Roman" w:hAnsi="Times New Roman" w:cs="Times New Roman"/>
                <w:b/>
                <w:bCs/>
                <w:sz w:val="24"/>
                <w:szCs w:val="24"/>
              </w:rPr>
            </w:pPr>
          </w:p>
        </w:tc>
      </w:tr>
    </w:tbl>
    <w:p w14:paraId="2AFE5640" w14:textId="77777777" w:rsidR="000C39E8" w:rsidRPr="00F32E3B" w:rsidRDefault="000C39E8" w:rsidP="009475CC">
      <w:pPr>
        <w:pStyle w:val="HTMLPreformatted"/>
        <w:jc w:val="center"/>
        <w:rPr>
          <w:rFonts w:ascii="Times New Roman" w:hAnsi="Times New Roman" w:cs="Times New Roman"/>
          <w:b/>
          <w:bCs/>
          <w:sz w:val="24"/>
          <w:szCs w:val="24"/>
        </w:rPr>
      </w:pPr>
    </w:p>
    <w:p w14:paraId="4A05B149" w14:textId="01FC0763" w:rsidR="000C39E8" w:rsidRPr="00E2223C" w:rsidRDefault="000C39E8" w:rsidP="008226F8">
      <w:pPr>
        <w:jc w:val="both"/>
        <w:rPr>
          <w:rFonts w:cs="Times New Roman"/>
          <w:szCs w:val="24"/>
        </w:rPr>
      </w:pPr>
      <w:r w:rsidRPr="009475CC">
        <w:rPr>
          <w:rFonts w:cs="Times New Roman"/>
          <w:b/>
          <w:bCs/>
          <w:szCs w:val="24"/>
        </w:rPr>
        <w:t xml:space="preserve">Masa </w:t>
      </w:r>
      <w:r w:rsidR="008226F8">
        <w:rPr>
          <w:rFonts w:cs="Times New Roman"/>
          <w:b/>
          <w:bCs/>
          <w:szCs w:val="24"/>
        </w:rPr>
        <w:t>42.</w:t>
      </w:r>
      <w:r w:rsidRPr="009475CC">
        <w:rPr>
          <w:rFonts w:cs="Times New Roman"/>
          <w:b/>
          <w:bCs/>
          <w:szCs w:val="24"/>
        </w:rPr>
        <w:t>1:</w:t>
      </w:r>
      <w:r>
        <w:rPr>
          <w:rFonts w:cs="Times New Roman"/>
          <w:szCs w:val="24"/>
        </w:rPr>
        <w:t xml:space="preserve"> </w:t>
      </w:r>
      <w:r w:rsidRPr="008B3DCF">
        <w:rPr>
          <w:rFonts w:cs="Times New Roman"/>
          <w:szCs w:val="24"/>
        </w:rPr>
        <w:t xml:space="preserve">Zhvillimi i skemave të </w:t>
      </w:r>
      <w:r w:rsidRPr="00D52DC6">
        <w:rPr>
          <w:rFonts w:cs="Times New Roman"/>
          <w:szCs w:val="24"/>
        </w:rPr>
        <w:t>akreditimit që kërkohen nga legjislacioni dhe nga politikat e rregullatorëve.</w:t>
      </w:r>
    </w:p>
    <w:p w14:paraId="576F28F7" w14:textId="4260EB7A" w:rsidR="000C39E8" w:rsidRPr="00E45C0D" w:rsidRDefault="000C39E8" w:rsidP="008226F8">
      <w:pPr>
        <w:jc w:val="both"/>
        <w:rPr>
          <w:rFonts w:cs="Times New Roman"/>
          <w:szCs w:val="24"/>
        </w:rPr>
      </w:pPr>
      <w:r w:rsidRPr="009475CC">
        <w:rPr>
          <w:rFonts w:cs="Times New Roman"/>
          <w:b/>
          <w:bCs/>
          <w:szCs w:val="24"/>
        </w:rPr>
        <w:t xml:space="preserve">Masa </w:t>
      </w:r>
      <w:r w:rsidR="008226F8">
        <w:rPr>
          <w:rFonts w:cs="Times New Roman"/>
          <w:b/>
          <w:bCs/>
          <w:szCs w:val="24"/>
        </w:rPr>
        <w:t>42.</w:t>
      </w:r>
      <w:r w:rsidRPr="009475CC">
        <w:rPr>
          <w:rFonts w:cs="Times New Roman"/>
          <w:b/>
          <w:bCs/>
          <w:szCs w:val="24"/>
        </w:rPr>
        <w:t>2:</w:t>
      </w:r>
      <w:r>
        <w:rPr>
          <w:rFonts w:cs="Times New Roman"/>
          <w:szCs w:val="24"/>
        </w:rPr>
        <w:t xml:space="preserve"> </w:t>
      </w:r>
      <w:r w:rsidRPr="00ED6C63">
        <w:rPr>
          <w:rFonts w:cs="Times New Roman"/>
          <w:szCs w:val="24"/>
        </w:rPr>
        <w:t>Ndërgjegjësimi i bizneseve në të gjithë vendin në lidhje me përfitimet nga akreditimi.</w:t>
      </w:r>
    </w:p>
    <w:p w14:paraId="51B3B7CA" w14:textId="77777777" w:rsidR="00FE4417" w:rsidRDefault="000C39E8" w:rsidP="00FE4417">
      <w:pPr>
        <w:widowControl w:val="0"/>
        <w:tabs>
          <w:tab w:val="left" w:pos="869"/>
        </w:tabs>
        <w:autoSpaceDE w:val="0"/>
        <w:autoSpaceDN w:val="0"/>
        <w:spacing w:after="0" w:line="240" w:lineRule="auto"/>
        <w:ind w:right="127"/>
        <w:jc w:val="both"/>
        <w:rPr>
          <w:rFonts w:cs="Times New Roman"/>
          <w:b/>
          <w:bCs/>
          <w:iCs/>
          <w:szCs w:val="24"/>
          <w:lang w:val="sq-AL"/>
        </w:rPr>
      </w:pPr>
      <w:r w:rsidRPr="009475CC">
        <w:rPr>
          <w:rFonts w:cs="Times New Roman"/>
          <w:b/>
          <w:bCs/>
          <w:iCs/>
          <w:szCs w:val="24"/>
          <w:lang w:val="sq-AL"/>
        </w:rPr>
        <w:t>Indikator</w:t>
      </w:r>
      <w:r w:rsidR="00FE4417">
        <w:rPr>
          <w:rFonts w:cs="Times New Roman"/>
          <w:b/>
          <w:bCs/>
          <w:iCs/>
          <w:szCs w:val="24"/>
          <w:lang w:val="sq-AL"/>
        </w:rPr>
        <w:t>i:</w:t>
      </w:r>
    </w:p>
    <w:p w14:paraId="0392189A" w14:textId="717962E1" w:rsidR="000C39E8" w:rsidRPr="00FE4417" w:rsidRDefault="00FE4417" w:rsidP="00623352">
      <w:pPr>
        <w:pStyle w:val="ListParagraph"/>
        <w:widowControl w:val="0"/>
        <w:numPr>
          <w:ilvl w:val="0"/>
          <w:numId w:val="25"/>
        </w:numPr>
        <w:tabs>
          <w:tab w:val="left" w:pos="869"/>
        </w:tabs>
        <w:autoSpaceDE w:val="0"/>
        <w:autoSpaceDN w:val="0"/>
        <w:spacing w:after="0" w:line="240" w:lineRule="auto"/>
        <w:ind w:right="127"/>
        <w:jc w:val="both"/>
        <w:rPr>
          <w:rStyle w:val="y2iqfc"/>
          <w:rFonts w:cs="Times New Roman"/>
          <w:szCs w:val="24"/>
        </w:rPr>
      </w:pPr>
      <w:r>
        <w:rPr>
          <w:rStyle w:val="y2iqfc"/>
          <w:rFonts w:cs="Times New Roman"/>
          <w:szCs w:val="24"/>
        </w:rPr>
        <w:t xml:space="preserve">    </w:t>
      </w:r>
      <w:r w:rsidR="00F07E14">
        <w:rPr>
          <w:rStyle w:val="y2iqfc"/>
          <w:rFonts w:cs="Times New Roman"/>
          <w:szCs w:val="24"/>
        </w:rPr>
        <w:t xml:space="preserve">18 aplikime  për vit </w:t>
      </w:r>
      <w:r w:rsidR="000C39E8" w:rsidRPr="00FE4417">
        <w:rPr>
          <w:rStyle w:val="y2iqfc"/>
          <w:rFonts w:cs="Times New Roman"/>
          <w:szCs w:val="24"/>
        </w:rPr>
        <w:t xml:space="preserve"> për akreditim.</w:t>
      </w:r>
    </w:p>
    <w:p w14:paraId="16C67023" w14:textId="2D751B36" w:rsidR="000C39E8" w:rsidRPr="00FE4417" w:rsidRDefault="00F07E14" w:rsidP="00623352">
      <w:pPr>
        <w:pStyle w:val="ListParagraph"/>
        <w:numPr>
          <w:ilvl w:val="0"/>
          <w:numId w:val="25"/>
        </w:numPr>
        <w:spacing w:after="0"/>
        <w:jc w:val="both"/>
        <w:rPr>
          <w:rStyle w:val="y2iqfc"/>
          <w:rFonts w:cs="Times New Roman"/>
          <w:szCs w:val="24"/>
        </w:rPr>
      </w:pPr>
      <w:r>
        <w:rPr>
          <w:rStyle w:val="y2iqfc"/>
          <w:rFonts w:cs="Times New Roman"/>
          <w:szCs w:val="24"/>
        </w:rPr>
        <w:t>12</w:t>
      </w:r>
      <w:r w:rsidR="000C39E8" w:rsidRPr="00FE4417">
        <w:rPr>
          <w:rStyle w:val="y2iqfc"/>
          <w:rFonts w:cs="Times New Roman"/>
          <w:szCs w:val="24"/>
        </w:rPr>
        <w:t xml:space="preserve"> i takimeve/seminareve</w:t>
      </w:r>
      <w:r>
        <w:rPr>
          <w:rStyle w:val="y2iqfc"/>
          <w:rFonts w:cs="Times New Roman"/>
          <w:szCs w:val="24"/>
        </w:rPr>
        <w:t xml:space="preserve"> për vit </w:t>
      </w:r>
    </w:p>
    <w:p w14:paraId="64633BB3" w14:textId="78F61628" w:rsidR="00F07E14" w:rsidRPr="00F07E14" w:rsidRDefault="00F07E14" w:rsidP="00833FB9">
      <w:pPr>
        <w:pStyle w:val="ListParagraph"/>
        <w:numPr>
          <w:ilvl w:val="0"/>
          <w:numId w:val="25"/>
        </w:numPr>
        <w:spacing w:after="0"/>
        <w:jc w:val="both"/>
        <w:rPr>
          <w:rStyle w:val="y2iqfc"/>
        </w:rPr>
      </w:pPr>
      <w:r w:rsidRPr="00F07E14">
        <w:rPr>
          <w:rStyle w:val="y2iqfc"/>
          <w:rFonts w:cs="Times New Roman"/>
          <w:szCs w:val="24"/>
        </w:rPr>
        <w:t xml:space="preserve">4 </w:t>
      </w:r>
      <w:r w:rsidR="000C39E8" w:rsidRPr="00F07E14">
        <w:rPr>
          <w:rStyle w:val="y2iqfc"/>
          <w:rFonts w:cs="Times New Roman"/>
          <w:szCs w:val="24"/>
        </w:rPr>
        <w:t xml:space="preserve">  publikime</w:t>
      </w:r>
      <w:bookmarkStart w:id="184" w:name="_Toc132277402"/>
      <w:r>
        <w:rPr>
          <w:rStyle w:val="y2iqfc"/>
          <w:rFonts w:cs="Times New Roman"/>
          <w:szCs w:val="24"/>
        </w:rPr>
        <w:t xml:space="preserve"> për vit </w:t>
      </w:r>
    </w:p>
    <w:p w14:paraId="529D7C76" w14:textId="77777777" w:rsidR="00F07E14" w:rsidRDefault="00F07E14" w:rsidP="00F07E14">
      <w:pPr>
        <w:pStyle w:val="ListParagraph"/>
        <w:spacing w:after="0"/>
        <w:ind w:left="1080"/>
        <w:jc w:val="both"/>
      </w:pPr>
    </w:p>
    <w:p w14:paraId="678FF3FD" w14:textId="77777777" w:rsidR="00487E06" w:rsidRDefault="00487E06" w:rsidP="00F07E14">
      <w:pPr>
        <w:pStyle w:val="ListParagraph"/>
        <w:spacing w:after="0"/>
        <w:ind w:left="1080"/>
        <w:jc w:val="both"/>
      </w:pPr>
    </w:p>
    <w:p w14:paraId="57DC6FFB" w14:textId="77777777" w:rsidR="00487E06" w:rsidRDefault="00487E06" w:rsidP="00F07E14">
      <w:pPr>
        <w:pStyle w:val="ListParagraph"/>
        <w:spacing w:after="0"/>
        <w:ind w:left="1080"/>
        <w:jc w:val="both"/>
        <w:rPr>
          <w:color w:val="0070C0"/>
        </w:rPr>
      </w:pPr>
    </w:p>
    <w:p w14:paraId="07DBF9C8" w14:textId="77777777" w:rsidR="00487E06" w:rsidRDefault="00487E06" w:rsidP="00F07E14">
      <w:pPr>
        <w:pStyle w:val="ListParagraph"/>
        <w:spacing w:after="0"/>
        <w:ind w:left="1080"/>
        <w:jc w:val="both"/>
        <w:rPr>
          <w:color w:val="0070C0"/>
        </w:rPr>
      </w:pPr>
    </w:p>
    <w:p w14:paraId="0358355C" w14:textId="77777777" w:rsidR="00487E06" w:rsidRDefault="00487E06" w:rsidP="00F07E14">
      <w:pPr>
        <w:pStyle w:val="ListParagraph"/>
        <w:spacing w:after="0"/>
        <w:ind w:left="1080"/>
        <w:jc w:val="both"/>
        <w:rPr>
          <w:color w:val="0070C0"/>
        </w:rPr>
      </w:pPr>
    </w:p>
    <w:p w14:paraId="2B23EEAC" w14:textId="2C924B1C" w:rsidR="001F0CB4" w:rsidRPr="00487E06" w:rsidRDefault="001F0CB4" w:rsidP="00F07E14">
      <w:pPr>
        <w:pStyle w:val="ListParagraph"/>
        <w:spacing w:after="0"/>
        <w:ind w:left="1080"/>
        <w:jc w:val="both"/>
        <w:rPr>
          <w:color w:val="0070C0"/>
        </w:rPr>
      </w:pPr>
      <w:r w:rsidRPr="00487E06">
        <w:rPr>
          <w:color w:val="0070C0"/>
        </w:rPr>
        <w:lastRenderedPageBreak/>
        <w:t>Autoriteti Kombëtar i Ushqimit</w:t>
      </w:r>
      <w:bookmarkEnd w:id="184"/>
    </w:p>
    <w:tbl>
      <w:tblPr>
        <w:tblStyle w:val="TableGrid"/>
        <w:tblW w:w="0" w:type="auto"/>
        <w:tblLook w:val="04A0" w:firstRow="1" w:lastRow="0" w:firstColumn="1" w:lastColumn="0" w:noHBand="0" w:noVBand="1"/>
      </w:tblPr>
      <w:tblGrid>
        <w:gridCol w:w="9016"/>
      </w:tblGrid>
      <w:tr w:rsidR="008226F8" w14:paraId="0556C95E" w14:textId="77777777" w:rsidTr="008226F8">
        <w:tc>
          <w:tcPr>
            <w:tcW w:w="9016" w:type="dxa"/>
          </w:tcPr>
          <w:p w14:paraId="7C71C59C" w14:textId="4A770E95" w:rsidR="008226F8" w:rsidRDefault="008226F8" w:rsidP="008226F8">
            <w:pPr>
              <w:pStyle w:val="NormalWeb"/>
              <w:spacing w:before="0" w:beforeAutospacing="0" w:after="0" w:afterAutospacing="0"/>
              <w:jc w:val="both"/>
              <w:rPr>
                <w:b/>
                <w:iCs/>
                <w:color w:val="000000"/>
              </w:rPr>
            </w:pPr>
            <w:r w:rsidRPr="009475CC">
              <w:rPr>
                <w:b/>
                <w:iCs/>
                <w:color w:val="000000"/>
              </w:rPr>
              <w:t xml:space="preserve">Objektivi </w:t>
            </w:r>
            <w:r>
              <w:rPr>
                <w:b/>
                <w:iCs/>
                <w:color w:val="000000"/>
              </w:rPr>
              <w:t>43:</w:t>
            </w:r>
            <w:r w:rsidRPr="009475CC">
              <w:rPr>
                <w:b/>
                <w:iCs/>
                <w:color w:val="000000"/>
              </w:rPr>
              <w:t xml:space="preserve"> </w:t>
            </w:r>
          </w:p>
          <w:p w14:paraId="09FE8C3D" w14:textId="5871133B" w:rsidR="008226F8" w:rsidRPr="008226F8" w:rsidRDefault="008226F8" w:rsidP="008226F8">
            <w:pPr>
              <w:pStyle w:val="NormalWeb"/>
              <w:spacing w:before="0" w:beforeAutospacing="0" w:after="0" w:afterAutospacing="0"/>
              <w:jc w:val="both"/>
              <w:rPr>
                <w:b/>
                <w:iCs/>
                <w:color w:val="000000"/>
              </w:rPr>
            </w:pPr>
            <w:r w:rsidRPr="009475CC">
              <w:rPr>
                <w:bCs/>
                <w:iCs/>
                <w:color w:val="000000"/>
              </w:rPr>
              <w:t>Organizimi i fushatave ndërgjegjësuese p</w:t>
            </w:r>
            <w:r>
              <w:rPr>
                <w:bCs/>
                <w:iCs/>
                <w:color w:val="000000"/>
              </w:rPr>
              <w:t>ë</w:t>
            </w:r>
            <w:r w:rsidRPr="009475CC">
              <w:rPr>
                <w:bCs/>
                <w:iCs/>
                <w:color w:val="000000"/>
              </w:rPr>
              <w:t>r konsumatorin</w:t>
            </w:r>
            <w:r>
              <w:rPr>
                <w:bCs/>
                <w:iCs/>
                <w:color w:val="000000"/>
              </w:rPr>
              <w:t xml:space="preserve"> lidhur me sigurine ushqimore</w:t>
            </w:r>
            <w:r>
              <w:rPr>
                <w:b/>
                <w:iCs/>
                <w:color w:val="000000"/>
              </w:rPr>
              <w:t>.</w:t>
            </w:r>
          </w:p>
        </w:tc>
      </w:tr>
    </w:tbl>
    <w:p w14:paraId="77469685" w14:textId="77777777" w:rsidR="00C62627" w:rsidRPr="00C62627" w:rsidRDefault="00C62627" w:rsidP="001F0CB4">
      <w:pPr>
        <w:spacing w:after="0" w:line="240" w:lineRule="auto"/>
        <w:jc w:val="center"/>
        <w:rPr>
          <w:rFonts w:cs="Times New Roman"/>
          <w:b/>
          <w:bCs/>
          <w:sz w:val="28"/>
          <w:szCs w:val="28"/>
        </w:rPr>
      </w:pPr>
    </w:p>
    <w:p w14:paraId="66F78B41" w14:textId="48612167" w:rsidR="001F0CB4" w:rsidRPr="009475CC" w:rsidRDefault="001F0CB4" w:rsidP="009475CC">
      <w:pPr>
        <w:pStyle w:val="NormalWeb"/>
        <w:spacing w:before="0" w:beforeAutospacing="0" w:after="0" w:afterAutospacing="0"/>
        <w:jc w:val="both"/>
        <w:rPr>
          <w:b/>
          <w:iCs/>
          <w:color w:val="000000"/>
        </w:rPr>
      </w:pPr>
      <w:r w:rsidRPr="009475CC">
        <w:rPr>
          <w:b/>
          <w:iCs/>
          <w:color w:val="000000"/>
        </w:rPr>
        <w:t xml:space="preserve">Masa </w:t>
      </w:r>
      <w:r w:rsidR="008226F8">
        <w:rPr>
          <w:b/>
          <w:iCs/>
          <w:color w:val="000000"/>
        </w:rPr>
        <w:t>43.</w:t>
      </w:r>
      <w:r w:rsidRPr="009475CC">
        <w:rPr>
          <w:b/>
          <w:iCs/>
          <w:color w:val="000000"/>
        </w:rPr>
        <w:t xml:space="preserve">1: </w:t>
      </w:r>
      <w:r w:rsidR="005453B6" w:rsidRPr="005453B6">
        <w:rPr>
          <w:iCs/>
          <w:lang w:eastAsia="en-GB"/>
        </w:rPr>
        <w:t>Anketime për kënaqshmërinë e konsumatorëve çdo 3 vjet për ndërgjegjësimin dhe perceptimet e konsumatorëve për sigurinë ushqimore</w:t>
      </w:r>
      <w:r w:rsidRPr="009475CC">
        <w:rPr>
          <w:b/>
          <w:iCs/>
          <w:lang w:eastAsia="en-GB"/>
        </w:rPr>
        <w:t>.</w:t>
      </w:r>
    </w:p>
    <w:p w14:paraId="41A61A20" w14:textId="54774A30" w:rsidR="001F0CB4" w:rsidRPr="009475CC" w:rsidRDefault="001F0CB4" w:rsidP="009475CC">
      <w:pPr>
        <w:spacing w:after="0" w:line="240" w:lineRule="auto"/>
        <w:rPr>
          <w:rFonts w:eastAsia="Times New Roman" w:cs="Times New Roman"/>
          <w:iCs/>
          <w:szCs w:val="24"/>
        </w:rPr>
      </w:pPr>
    </w:p>
    <w:p w14:paraId="1C450B7A" w14:textId="41067001" w:rsidR="001F0CB4" w:rsidRPr="009475CC" w:rsidRDefault="001F0CB4" w:rsidP="001F0CB4">
      <w:pPr>
        <w:jc w:val="both"/>
        <w:rPr>
          <w:rFonts w:cs="Times New Roman"/>
          <w:b/>
          <w:bCs/>
          <w:szCs w:val="24"/>
        </w:rPr>
      </w:pPr>
      <w:r w:rsidRPr="009475CC">
        <w:rPr>
          <w:rFonts w:cs="Times New Roman"/>
          <w:b/>
          <w:bCs/>
          <w:szCs w:val="24"/>
        </w:rPr>
        <w:t>Indikato</w:t>
      </w:r>
      <w:r w:rsidR="00C62627">
        <w:rPr>
          <w:rFonts w:cs="Times New Roman"/>
          <w:b/>
          <w:bCs/>
          <w:szCs w:val="24"/>
        </w:rPr>
        <w:t>ri</w:t>
      </w:r>
      <w:r w:rsidRPr="009475CC">
        <w:rPr>
          <w:rFonts w:cs="Times New Roman"/>
          <w:b/>
          <w:bCs/>
          <w:szCs w:val="24"/>
        </w:rPr>
        <w:t xml:space="preserve">: </w:t>
      </w:r>
      <w:r w:rsidR="008226F8" w:rsidRPr="00335126">
        <w:rPr>
          <w:rFonts w:cs="Times New Roman"/>
          <w:szCs w:val="24"/>
          <w:highlight w:val="yellow"/>
        </w:rPr>
        <w:t>H</w:t>
      </w:r>
      <w:r w:rsidR="005453B6" w:rsidRPr="00335126">
        <w:rPr>
          <w:rFonts w:cs="Times New Roman"/>
          <w:szCs w:val="24"/>
          <w:highlight w:val="yellow"/>
        </w:rPr>
        <w:t xml:space="preserve">artimi </w:t>
      </w:r>
      <w:r w:rsidR="008226F8" w:rsidRPr="00335126">
        <w:rPr>
          <w:rFonts w:cs="Times New Roman"/>
          <w:szCs w:val="24"/>
          <w:highlight w:val="yellow"/>
        </w:rPr>
        <w:t>i</w:t>
      </w:r>
      <w:r w:rsidR="005453B6" w:rsidRPr="00335126">
        <w:rPr>
          <w:rFonts w:cs="Times New Roman"/>
          <w:szCs w:val="24"/>
          <w:highlight w:val="yellow"/>
        </w:rPr>
        <w:t xml:space="preserve"> </w:t>
      </w:r>
      <w:r w:rsidR="009908EA" w:rsidRPr="00335126">
        <w:rPr>
          <w:rFonts w:cs="Times New Roman"/>
          <w:szCs w:val="24"/>
          <w:highlight w:val="yellow"/>
        </w:rPr>
        <w:t xml:space="preserve">2 </w:t>
      </w:r>
      <w:r w:rsidR="005453B6" w:rsidRPr="00335126">
        <w:rPr>
          <w:rFonts w:cs="Times New Roman"/>
          <w:szCs w:val="24"/>
          <w:highlight w:val="yellow"/>
        </w:rPr>
        <w:t xml:space="preserve"> anketi</w:t>
      </w:r>
      <w:r w:rsidR="009908EA" w:rsidRPr="00335126">
        <w:rPr>
          <w:rFonts w:cs="Times New Roman"/>
          <w:szCs w:val="24"/>
          <w:highlight w:val="yellow"/>
        </w:rPr>
        <w:t>meve</w:t>
      </w:r>
      <w:r w:rsidR="00335126" w:rsidRPr="00335126">
        <w:rPr>
          <w:rFonts w:cs="Times New Roman"/>
          <w:szCs w:val="24"/>
          <w:highlight w:val="yellow"/>
        </w:rPr>
        <w:t xml:space="preserve"> cdo 2 vjet</w:t>
      </w:r>
      <w:r w:rsidR="00335126">
        <w:rPr>
          <w:rFonts w:cs="Times New Roman"/>
          <w:szCs w:val="24"/>
        </w:rPr>
        <w:t xml:space="preserve"> </w:t>
      </w:r>
      <w:r w:rsidR="009908EA">
        <w:rPr>
          <w:rFonts w:cs="Times New Roman"/>
          <w:szCs w:val="24"/>
        </w:rPr>
        <w:t xml:space="preserve"> </w:t>
      </w:r>
      <w:r w:rsidR="005453B6" w:rsidRPr="009908EA">
        <w:rPr>
          <w:rFonts w:cs="Times New Roman"/>
          <w:szCs w:val="24"/>
        </w:rPr>
        <w:t xml:space="preserve"> n</w:t>
      </w:r>
      <w:r w:rsidR="00283E37" w:rsidRPr="00283E37">
        <w:rPr>
          <w:rFonts w:cs="Times New Roman"/>
          <w:szCs w:val="24"/>
        </w:rPr>
        <w:t>ë</w:t>
      </w:r>
      <w:r w:rsidR="005453B6" w:rsidRPr="009908EA">
        <w:rPr>
          <w:rFonts w:cs="Times New Roman"/>
          <w:szCs w:val="24"/>
        </w:rPr>
        <w:t xml:space="preserve"> lidhje </w:t>
      </w:r>
      <w:r w:rsidR="009908EA" w:rsidRPr="009908EA">
        <w:rPr>
          <w:rFonts w:cs="Times New Roman"/>
          <w:szCs w:val="24"/>
        </w:rPr>
        <w:t>sigurin</w:t>
      </w:r>
      <w:bookmarkStart w:id="185" w:name="_Hlk128490559"/>
      <w:r w:rsidR="009908EA" w:rsidRPr="009908EA">
        <w:rPr>
          <w:rFonts w:cs="Times New Roman"/>
          <w:szCs w:val="24"/>
        </w:rPr>
        <w:t>ë</w:t>
      </w:r>
      <w:bookmarkEnd w:id="185"/>
      <w:r w:rsidR="009908EA" w:rsidRPr="009908EA">
        <w:rPr>
          <w:rFonts w:cs="Times New Roman"/>
          <w:szCs w:val="24"/>
        </w:rPr>
        <w:t xml:space="preserve"> ushqimore</w:t>
      </w:r>
      <w:r w:rsidR="00785703">
        <w:rPr>
          <w:rFonts w:cs="Times New Roman"/>
          <w:szCs w:val="24"/>
        </w:rPr>
        <w:t xml:space="preserve"> </w:t>
      </w:r>
    </w:p>
    <w:p w14:paraId="6B16B598" w14:textId="77777777" w:rsidR="001F0CB4" w:rsidRPr="006F4D41" w:rsidRDefault="001F0CB4" w:rsidP="008226F8">
      <w:pPr>
        <w:pStyle w:val="Heading4"/>
        <w:rPr>
          <w:lang w:val="sq-AL"/>
        </w:rPr>
      </w:pPr>
      <w:bookmarkStart w:id="186" w:name="_Toc132277403"/>
      <w:r w:rsidRPr="006F4D41">
        <w:rPr>
          <w:lang w:val="sq-AL"/>
        </w:rPr>
        <w:t>Inspektorati Shtetëror i Mbikqyrjes së Tregut</w:t>
      </w:r>
      <w:bookmarkEnd w:id="186"/>
    </w:p>
    <w:tbl>
      <w:tblPr>
        <w:tblStyle w:val="TableGrid"/>
        <w:tblW w:w="0" w:type="auto"/>
        <w:tblLook w:val="04A0" w:firstRow="1" w:lastRow="0" w:firstColumn="1" w:lastColumn="0" w:noHBand="0" w:noVBand="1"/>
      </w:tblPr>
      <w:tblGrid>
        <w:gridCol w:w="9016"/>
      </w:tblGrid>
      <w:tr w:rsidR="008226F8" w14:paraId="41919CD7" w14:textId="77777777" w:rsidTr="008226F8">
        <w:tc>
          <w:tcPr>
            <w:tcW w:w="9016" w:type="dxa"/>
          </w:tcPr>
          <w:p w14:paraId="6608B678" w14:textId="60C15046" w:rsidR="008226F8" w:rsidRDefault="008226F8" w:rsidP="008226F8">
            <w:pPr>
              <w:jc w:val="both"/>
              <w:rPr>
                <w:rFonts w:cs="Times New Roman"/>
                <w:szCs w:val="24"/>
              </w:rPr>
            </w:pPr>
            <w:r w:rsidRPr="009475CC">
              <w:rPr>
                <w:rFonts w:cs="Times New Roman"/>
                <w:b/>
                <w:bCs/>
                <w:szCs w:val="24"/>
              </w:rPr>
              <w:t xml:space="preserve">Objektivi </w:t>
            </w:r>
            <w:r>
              <w:rPr>
                <w:rFonts w:cs="Times New Roman"/>
                <w:b/>
                <w:bCs/>
                <w:szCs w:val="24"/>
              </w:rPr>
              <w:t>44</w:t>
            </w:r>
            <w:r w:rsidRPr="009475CC">
              <w:rPr>
                <w:rFonts w:cs="Times New Roman"/>
                <w:szCs w:val="24"/>
              </w:rPr>
              <w:t xml:space="preserve">: </w:t>
            </w:r>
          </w:p>
          <w:p w14:paraId="43623567" w14:textId="1A05A7F2" w:rsidR="008226F8" w:rsidRPr="009475CC" w:rsidRDefault="008226F8" w:rsidP="008226F8">
            <w:pPr>
              <w:jc w:val="both"/>
              <w:rPr>
                <w:rFonts w:cs="Times New Roman"/>
                <w:szCs w:val="24"/>
              </w:rPr>
            </w:pPr>
            <w:r w:rsidRPr="009475CC">
              <w:rPr>
                <w:rFonts w:cs="Times New Roman"/>
                <w:szCs w:val="24"/>
              </w:rPr>
              <w:t>Rritja e informimit të operatorëve ekonomikë për kriteret ligjore që duhet të zbatojnë për sigurinë e produkteve/</w:t>
            </w:r>
            <w:r>
              <w:rPr>
                <w:rFonts w:cs="Times New Roman"/>
                <w:szCs w:val="24"/>
              </w:rPr>
              <w:t xml:space="preserve"> </w:t>
            </w:r>
            <w:r w:rsidRPr="009475CC">
              <w:rPr>
                <w:rFonts w:cs="Times New Roman"/>
                <w:szCs w:val="24"/>
              </w:rPr>
              <w:t>shërbimeve që i ofrojnë konsumatorit dhe rritja e ndërgjegjësimit të konsumatorëve mbi rëndësinë e sigurisë së produkteve joushqimore.</w:t>
            </w:r>
          </w:p>
          <w:p w14:paraId="190DCD81" w14:textId="77777777" w:rsidR="008226F8" w:rsidRDefault="008226F8" w:rsidP="009475CC">
            <w:pPr>
              <w:jc w:val="both"/>
              <w:rPr>
                <w:rFonts w:cs="Times New Roman"/>
                <w:b/>
                <w:bCs/>
                <w:szCs w:val="24"/>
              </w:rPr>
            </w:pPr>
          </w:p>
        </w:tc>
      </w:tr>
    </w:tbl>
    <w:p w14:paraId="1E148C08" w14:textId="77777777" w:rsidR="008226F8" w:rsidRDefault="008226F8" w:rsidP="009475CC">
      <w:pPr>
        <w:spacing w:after="0" w:line="240" w:lineRule="auto"/>
        <w:jc w:val="both"/>
        <w:rPr>
          <w:rFonts w:cs="Times New Roman"/>
          <w:b/>
          <w:bCs/>
          <w:szCs w:val="24"/>
        </w:rPr>
      </w:pPr>
    </w:p>
    <w:p w14:paraId="393E887C" w14:textId="0401D96B" w:rsidR="001F0CB4" w:rsidRPr="009475CC" w:rsidRDefault="001F0CB4" w:rsidP="006E3BE9">
      <w:pPr>
        <w:spacing w:line="240" w:lineRule="auto"/>
        <w:jc w:val="both"/>
        <w:rPr>
          <w:rFonts w:cs="Times New Roman"/>
          <w:szCs w:val="24"/>
        </w:rPr>
      </w:pPr>
      <w:r w:rsidRPr="009475CC">
        <w:rPr>
          <w:rFonts w:cs="Times New Roman"/>
          <w:b/>
          <w:bCs/>
          <w:szCs w:val="24"/>
        </w:rPr>
        <w:t xml:space="preserve">Masa </w:t>
      </w:r>
      <w:r w:rsidR="008226F8">
        <w:rPr>
          <w:rFonts w:cs="Times New Roman"/>
          <w:b/>
          <w:bCs/>
          <w:szCs w:val="24"/>
        </w:rPr>
        <w:t>44.</w:t>
      </w:r>
      <w:r w:rsidRPr="009475CC">
        <w:rPr>
          <w:rFonts w:cs="Times New Roman"/>
          <w:b/>
          <w:bCs/>
          <w:szCs w:val="24"/>
        </w:rPr>
        <w:t>1:</w:t>
      </w:r>
      <w:r w:rsidRPr="009475CC">
        <w:rPr>
          <w:rFonts w:cs="Times New Roman"/>
          <w:szCs w:val="24"/>
        </w:rPr>
        <w:t xml:space="preserve"> Organizim</w:t>
      </w:r>
      <w:r w:rsidR="00967E14" w:rsidRPr="009475CC">
        <w:rPr>
          <w:rFonts w:cs="Times New Roman"/>
          <w:szCs w:val="24"/>
        </w:rPr>
        <w:t xml:space="preserve">i i </w:t>
      </w:r>
      <w:r w:rsidRPr="009475CC">
        <w:rPr>
          <w:rFonts w:cs="Times New Roman"/>
          <w:szCs w:val="24"/>
        </w:rPr>
        <w:t>aktivitete</w:t>
      </w:r>
      <w:r w:rsidR="00967E14" w:rsidRPr="009475CC">
        <w:rPr>
          <w:rFonts w:cs="Times New Roman"/>
          <w:szCs w:val="24"/>
        </w:rPr>
        <w:t>ve</w:t>
      </w:r>
      <w:r w:rsidRPr="009475CC">
        <w:rPr>
          <w:rFonts w:cs="Times New Roman"/>
          <w:szCs w:val="24"/>
        </w:rPr>
        <w:t xml:space="preserve"> informuese me përfaqësues të bizneseve</w:t>
      </w:r>
      <w:r w:rsidR="00281B66">
        <w:rPr>
          <w:rFonts w:cs="Times New Roman"/>
          <w:szCs w:val="24"/>
        </w:rPr>
        <w:t>.</w:t>
      </w:r>
      <w:r w:rsidRPr="009475CC">
        <w:rPr>
          <w:rFonts w:cs="Times New Roman"/>
          <w:szCs w:val="24"/>
        </w:rPr>
        <w:t xml:space="preserve"> </w:t>
      </w:r>
    </w:p>
    <w:p w14:paraId="2F06BCD0" w14:textId="230E2333" w:rsidR="001F0CB4" w:rsidRPr="009475CC" w:rsidRDefault="001F0CB4" w:rsidP="006E3BE9">
      <w:pPr>
        <w:spacing w:line="240" w:lineRule="auto"/>
        <w:jc w:val="both"/>
        <w:rPr>
          <w:rFonts w:cs="Times New Roman"/>
          <w:szCs w:val="24"/>
        </w:rPr>
      </w:pPr>
      <w:r w:rsidRPr="009475CC">
        <w:rPr>
          <w:rFonts w:cs="Times New Roman"/>
          <w:szCs w:val="24"/>
        </w:rPr>
        <w:t>Për informimin e operatorëve ekonomik mbi kriteret ligjore që duhet të zbatojnë sipas fokusit të aktivitetit të tyre ekonomik, referuar legjislacionit shqiptar të harmonizuar me legjislacionin e BE</w:t>
      </w:r>
      <w:r w:rsidR="00DD7F5A">
        <w:rPr>
          <w:rFonts w:cs="Times New Roman"/>
          <w:szCs w:val="24"/>
        </w:rPr>
        <w:t>-së</w:t>
      </w:r>
      <w:r w:rsidRPr="009475CC">
        <w:rPr>
          <w:rFonts w:cs="Times New Roman"/>
          <w:szCs w:val="24"/>
        </w:rPr>
        <w:t xml:space="preserve"> do të organizohen aktivitete të ndryshme informuese duke patur në fokus aktet e reja ligjore që dalin në fushën e mbikëqyrjes së tregut, që transpozojnë direktivat e BE-së. Në organizimin e këtyre aktiviteteve do të bashkëpunohet ngushtësisht me shoqatat e biznesit, grupeve të interesit si dhe me Dhomat e Tregtisë.</w:t>
      </w:r>
    </w:p>
    <w:p w14:paraId="30864125" w14:textId="70692089" w:rsidR="001F0CB4" w:rsidRPr="009475CC" w:rsidRDefault="001F0CB4" w:rsidP="006E3BE9">
      <w:pPr>
        <w:spacing w:line="240" w:lineRule="auto"/>
        <w:jc w:val="both"/>
        <w:rPr>
          <w:rFonts w:cs="Times New Roman"/>
          <w:szCs w:val="24"/>
        </w:rPr>
      </w:pPr>
      <w:r w:rsidRPr="009475CC">
        <w:rPr>
          <w:rFonts w:cs="Times New Roman"/>
          <w:szCs w:val="24"/>
        </w:rPr>
        <w:t xml:space="preserve">Për informimin e konsumatorëve mbi të drejtat e tyre të garantuara nga legjislacioni dhe informacioni për identifikimin e produkteve të sigurta do të organizohen aktivitete ku do të shpërndahen materiale informuese dhe do të këshillohen konsumatorët nga stafi i ISHMT. </w:t>
      </w:r>
    </w:p>
    <w:p w14:paraId="297DEA28" w14:textId="4CD59F12" w:rsidR="001F0CB4" w:rsidRPr="009475CC" w:rsidRDefault="001F0CB4" w:rsidP="006E3BE9">
      <w:pPr>
        <w:spacing w:line="240" w:lineRule="auto"/>
        <w:jc w:val="both"/>
        <w:rPr>
          <w:rFonts w:cs="Times New Roman"/>
          <w:szCs w:val="24"/>
        </w:rPr>
      </w:pPr>
      <w:r w:rsidRPr="009475CC">
        <w:rPr>
          <w:rFonts w:cs="Times New Roman"/>
          <w:b/>
          <w:bCs/>
          <w:szCs w:val="24"/>
        </w:rPr>
        <w:t xml:space="preserve">Masa </w:t>
      </w:r>
      <w:r w:rsidR="006E3BE9">
        <w:rPr>
          <w:rFonts w:cs="Times New Roman"/>
          <w:b/>
          <w:bCs/>
          <w:szCs w:val="24"/>
        </w:rPr>
        <w:t>44.</w:t>
      </w:r>
      <w:r w:rsidRPr="009475CC">
        <w:rPr>
          <w:rFonts w:cs="Times New Roman"/>
          <w:b/>
          <w:bCs/>
          <w:szCs w:val="24"/>
        </w:rPr>
        <w:t>2:</w:t>
      </w:r>
      <w:r w:rsidRPr="009475CC">
        <w:rPr>
          <w:rFonts w:cs="Times New Roman"/>
          <w:szCs w:val="24"/>
        </w:rPr>
        <w:t xml:space="preserve"> Përditësimi i informacionit në kanalet e komunikimit që ISHMT disponon</w:t>
      </w:r>
      <w:r w:rsidR="00DD7F5A">
        <w:rPr>
          <w:rFonts w:cs="Times New Roman"/>
          <w:szCs w:val="24"/>
        </w:rPr>
        <w:t>.</w:t>
      </w:r>
    </w:p>
    <w:p w14:paraId="5E8CBF78" w14:textId="07301B4E" w:rsidR="001F0CB4" w:rsidRPr="009475CC" w:rsidRDefault="001F0CB4" w:rsidP="006E3BE9">
      <w:pPr>
        <w:spacing w:line="240" w:lineRule="auto"/>
        <w:jc w:val="both"/>
        <w:rPr>
          <w:rFonts w:cs="Times New Roman"/>
          <w:szCs w:val="24"/>
        </w:rPr>
      </w:pPr>
      <w:r w:rsidRPr="009475CC">
        <w:rPr>
          <w:rFonts w:cs="Times New Roman"/>
          <w:szCs w:val="24"/>
        </w:rPr>
        <w:t xml:space="preserve">ISHMT do të përditësojë informacionin e disponueshëm në mënyrë të vazhdueshme si në </w:t>
      </w:r>
      <w:r w:rsidR="006E3BE9">
        <w:rPr>
          <w:rFonts w:cs="Times New Roman"/>
          <w:szCs w:val="24"/>
        </w:rPr>
        <w:t>w</w:t>
      </w:r>
      <w:r w:rsidRPr="009475CC">
        <w:rPr>
          <w:rFonts w:cs="Times New Roman"/>
          <w:szCs w:val="24"/>
        </w:rPr>
        <w:t>ebsite-n zyrtar por edhe në rrjetet sociale mbi rëndësinë e plotësimit të kërkesave të sigurisë për produkteve joushqimore, udhëzimet se si konsumatorët të identifikojnë nëse një produkt është i sigurtë (sipas kategorisë psh</w:t>
      </w:r>
      <w:r w:rsidR="00DD7F5A">
        <w:rPr>
          <w:rFonts w:cs="Times New Roman"/>
          <w:szCs w:val="24"/>
        </w:rPr>
        <w:t>: l</w:t>
      </w:r>
      <w:r w:rsidRPr="009475CC">
        <w:rPr>
          <w:rFonts w:cs="Times New Roman"/>
          <w:szCs w:val="24"/>
        </w:rPr>
        <w:t xml:space="preserve">odra, artikuj për fëmijët, detergjentë, produkteve elektrike) dhe mënyrën e raportimit të produkteve për të cilat kanë dyshime. </w:t>
      </w:r>
    </w:p>
    <w:p w14:paraId="589A4E9C" w14:textId="14973DE0" w:rsidR="001F0CB4" w:rsidRPr="009475CC" w:rsidRDefault="001F0CB4" w:rsidP="006E3BE9">
      <w:pPr>
        <w:spacing w:line="240" w:lineRule="auto"/>
        <w:jc w:val="both"/>
        <w:rPr>
          <w:rFonts w:cs="Times New Roman"/>
          <w:szCs w:val="24"/>
        </w:rPr>
      </w:pPr>
      <w:r w:rsidRPr="009475CC">
        <w:rPr>
          <w:rFonts w:cs="Times New Roman"/>
          <w:szCs w:val="24"/>
        </w:rPr>
        <w:t>Ky informacion do të jetë i orientuar drejt njohjes së konsumatorit mbi të drejtat e tyre në përputhje me legjislacionin në fuqi për mbrojtjen e konsumatorëve (informacioni mbi treguesin e çmimit, të dhënat në gjuhën shqipe, respektimi i garancisë ligjore)</w:t>
      </w:r>
      <w:r w:rsidR="00DD7F5A">
        <w:rPr>
          <w:rFonts w:cs="Times New Roman"/>
          <w:szCs w:val="24"/>
        </w:rPr>
        <w:t>.</w:t>
      </w:r>
      <w:r w:rsidRPr="009475CC">
        <w:rPr>
          <w:rFonts w:cs="Times New Roman"/>
          <w:szCs w:val="24"/>
        </w:rPr>
        <w:t xml:space="preserve"> </w:t>
      </w:r>
    </w:p>
    <w:p w14:paraId="32C6A5B7" w14:textId="7A20724F" w:rsidR="001F0CB4" w:rsidRPr="009475CC" w:rsidRDefault="001F0CB4" w:rsidP="006E3BE9">
      <w:pPr>
        <w:spacing w:line="240" w:lineRule="auto"/>
        <w:jc w:val="both"/>
        <w:rPr>
          <w:rFonts w:cs="Times New Roman"/>
          <w:szCs w:val="24"/>
        </w:rPr>
      </w:pPr>
      <w:r w:rsidRPr="009475CC">
        <w:rPr>
          <w:rFonts w:cs="Times New Roman"/>
          <w:b/>
          <w:bCs/>
          <w:szCs w:val="24"/>
        </w:rPr>
        <w:t xml:space="preserve">Masa </w:t>
      </w:r>
      <w:r w:rsidR="006E3BE9">
        <w:rPr>
          <w:rFonts w:cs="Times New Roman"/>
          <w:b/>
          <w:bCs/>
          <w:szCs w:val="24"/>
        </w:rPr>
        <w:t>44.</w:t>
      </w:r>
      <w:r w:rsidR="00967E14" w:rsidRPr="009475CC">
        <w:rPr>
          <w:rFonts w:cs="Times New Roman"/>
          <w:b/>
          <w:bCs/>
          <w:szCs w:val="24"/>
        </w:rPr>
        <w:t>3</w:t>
      </w:r>
      <w:r w:rsidR="00967E14" w:rsidRPr="009475CC">
        <w:rPr>
          <w:rFonts w:cs="Times New Roman"/>
          <w:szCs w:val="24"/>
        </w:rPr>
        <w:t>:</w:t>
      </w:r>
      <w:r w:rsidRPr="009475CC">
        <w:rPr>
          <w:rFonts w:cs="Times New Roman"/>
          <w:szCs w:val="24"/>
        </w:rPr>
        <w:t xml:space="preserve"> Komunikimi nëpërmjet </w:t>
      </w:r>
      <w:r w:rsidR="00DD7F5A">
        <w:rPr>
          <w:rFonts w:cs="Times New Roman"/>
          <w:szCs w:val="24"/>
        </w:rPr>
        <w:t>m</w:t>
      </w:r>
      <w:r w:rsidRPr="009475CC">
        <w:rPr>
          <w:rFonts w:cs="Times New Roman"/>
          <w:szCs w:val="24"/>
        </w:rPr>
        <w:t>edia</w:t>
      </w:r>
      <w:r w:rsidR="00967E14" w:rsidRPr="009475CC">
        <w:rPr>
          <w:rFonts w:cs="Times New Roman"/>
          <w:szCs w:val="24"/>
        </w:rPr>
        <w:t>s</w:t>
      </w:r>
      <w:r w:rsidR="00DD7F5A">
        <w:rPr>
          <w:rFonts w:cs="Times New Roman"/>
          <w:szCs w:val="24"/>
        </w:rPr>
        <w:t>.</w:t>
      </w:r>
    </w:p>
    <w:p w14:paraId="09D03EAB" w14:textId="19856590" w:rsidR="001F0CB4" w:rsidRPr="009475CC" w:rsidRDefault="001F0CB4" w:rsidP="006E3BE9">
      <w:pPr>
        <w:spacing w:line="240" w:lineRule="auto"/>
        <w:jc w:val="both"/>
        <w:rPr>
          <w:rFonts w:cs="Times New Roman"/>
          <w:szCs w:val="24"/>
        </w:rPr>
      </w:pPr>
      <w:r w:rsidRPr="009475CC">
        <w:rPr>
          <w:rFonts w:cs="Times New Roman"/>
          <w:szCs w:val="24"/>
        </w:rPr>
        <w:t>Për informimin e konsumatorëve do të kërkohet bashkëpunimi i medias për publikimin apo daljeve në emisione me qëllim sensibilizimin e konsumatorëve për kategoritë specifike të produkteve që janë në fushën e kontrollit të ISHMT. Dalja në media dhe publikimi i informacioneve do të përkojë edhe me periudhën kur diponueshmëria e një produkti është më e lartë në treg</w:t>
      </w:r>
      <w:r w:rsidR="00DD7F5A">
        <w:rPr>
          <w:rFonts w:cs="Times New Roman"/>
          <w:szCs w:val="24"/>
        </w:rPr>
        <w:t>.</w:t>
      </w:r>
    </w:p>
    <w:p w14:paraId="7F2B8E96" w14:textId="4967B2D5" w:rsidR="00DD7F5A" w:rsidRDefault="006E3BE9" w:rsidP="009475CC">
      <w:pPr>
        <w:spacing w:after="0" w:line="240" w:lineRule="auto"/>
        <w:jc w:val="both"/>
        <w:rPr>
          <w:rFonts w:cs="Times New Roman"/>
          <w:b/>
          <w:szCs w:val="24"/>
        </w:rPr>
      </w:pPr>
      <w:r w:rsidRPr="009475CC">
        <w:rPr>
          <w:rFonts w:cs="Times New Roman"/>
          <w:b/>
          <w:szCs w:val="24"/>
        </w:rPr>
        <w:t>Indikator</w:t>
      </w:r>
      <w:r>
        <w:rPr>
          <w:rFonts w:cs="Times New Roman"/>
          <w:b/>
          <w:szCs w:val="24"/>
        </w:rPr>
        <w:t>ët</w:t>
      </w:r>
      <w:r w:rsidR="00967E14" w:rsidRPr="009475CC">
        <w:rPr>
          <w:rFonts w:cs="Times New Roman"/>
          <w:b/>
          <w:szCs w:val="24"/>
        </w:rPr>
        <w:t xml:space="preserve">: </w:t>
      </w:r>
    </w:p>
    <w:p w14:paraId="5A4A0F8A" w14:textId="1B367BF5" w:rsidR="001F0CB4" w:rsidRPr="006E3BE9" w:rsidRDefault="001F0CB4" w:rsidP="00623352">
      <w:pPr>
        <w:pStyle w:val="ListParagraph"/>
        <w:numPr>
          <w:ilvl w:val="0"/>
          <w:numId w:val="42"/>
        </w:numPr>
        <w:spacing w:after="0" w:line="240" w:lineRule="auto"/>
        <w:jc w:val="both"/>
        <w:rPr>
          <w:rFonts w:cs="Times New Roman"/>
          <w:szCs w:val="24"/>
        </w:rPr>
      </w:pPr>
      <w:r w:rsidRPr="006E3BE9">
        <w:rPr>
          <w:rFonts w:cs="Times New Roman"/>
          <w:szCs w:val="24"/>
        </w:rPr>
        <w:t>Organizimi i 15 tryezave me qëllim njohjen e operatorëve ekonomik</w:t>
      </w:r>
      <w:r w:rsidR="00DD7F5A" w:rsidRPr="006E3BE9">
        <w:rPr>
          <w:rFonts w:cs="Times New Roman"/>
          <w:szCs w:val="24"/>
        </w:rPr>
        <w:t>ë</w:t>
      </w:r>
      <w:r w:rsidRPr="006E3BE9">
        <w:rPr>
          <w:rFonts w:cs="Times New Roman"/>
          <w:szCs w:val="24"/>
        </w:rPr>
        <w:t xml:space="preserve"> me detyrimet</w:t>
      </w:r>
      <w:r w:rsidR="006E3BE9" w:rsidRPr="006E3BE9">
        <w:rPr>
          <w:rFonts w:cs="Times New Roman"/>
          <w:szCs w:val="24"/>
        </w:rPr>
        <w:t xml:space="preserve"> </w:t>
      </w:r>
      <w:r w:rsidRPr="006E3BE9">
        <w:rPr>
          <w:rFonts w:cs="Times New Roman"/>
          <w:szCs w:val="24"/>
        </w:rPr>
        <w:t>dhe të drejtat sipa</w:t>
      </w:r>
      <w:r w:rsidR="006E3BE9">
        <w:rPr>
          <w:rFonts w:cs="Times New Roman"/>
          <w:szCs w:val="24"/>
        </w:rPr>
        <w:t>s</w:t>
      </w:r>
      <w:r w:rsidRPr="006E3BE9">
        <w:rPr>
          <w:rFonts w:cs="Times New Roman"/>
          <w:szCs w:val="24"/>
        </w:rPr>
        <w:t xml:space="preserve"> legjislacionit të ri por edhe ekzistues</w:t>
      </w:r>
      <w:r w:rsidR="00DD7F5A" w:rsidRPr="006E3BE9">
        <w:rPr>
          <w:rFonts w:cs="Times New Roman"/>
          <w:szCs w:val="24"/>
        </w:rPr>
        <w:t>.</w:t>
      </w:r>
    </w:p>
    <w:p w14:paraId="66431412" w14:textId="0D18566E" w:rsidR="001F0CB4" w:rsidRPr="006E3BE9" w:rsidRDefault="001F0CB4" w:rsidP="00623352">
      <w:pPr>
        <w:pStyle w:val="ListParagraph"/>
        <w:numPr>
          <w:ilvl w:val="0"/>
          <w:numId w:val="42"/>
        </w:numPr>
        <w:spacing w:after="0" w:line="240" w:lineRule="auto"/>
        <w:jc w:val="both"/>
        <w:rPr>
          <w:rFonts w:cs="Times New Roman"/>
          <w:szCs w:val="24"/>
        </w:rPr>
      </w:pPr>
      <w:r w:rsidRPr="006E3BE9">
        <w:rPr>
          <w:rFonts w:cs="Times New Roman"/>
          <w:szCs w:val="24"/>
        </w:rPr>
        <w:lastRenderedPageBreak/>
        <w:t>Publikimi i 10 materialeve info</w:t>
      </w:r>
      <w:r w:rsidR="00DD7F5A" w:rsidRPr="006E3BE9">
        <w:rPr>
          <w:rFonts w:cs="Times New Roman"/>
          <w:szCs w:val="24"/>
        </w:rPr>
        <w:t>r</w:t>
      </w:r>
      <w:r w:rsidRPr="006E3BE9">
        <w:rPr>
          <w:rFonts w:cs="Times New Roman"/>
          <w:szCs w:val="24"/>
        </w:rPr>
        <w:t xml:space="preserve">muese (fletëpalosje, broshura, postera) me </w:t>
      </w:r>
      <w:r w:rsidR="006E3BE9" w:rsidRPr="006E3BE9">
        <w:rPr>
          <w:rFonts w:cs="Times New Roman"/>
          <w:szCs w:val="24"/>
        </w:rPr>
        <w:t xml:space="preserve">focus </w:t>
      </w:r>
      <w:r w:rsidRPr="006E3BE9">
        <w:rPr>
          <w:rFonts w:cs="Times New Roman"/>
          <w:szCs w:val="24"/>
        </w:rPr>
        <w:t>informimin dhe fuqizimin konsumatorëve si dhe rritjen e njohurive të subjekteve për legjislacionin e zbatueshëm ndaj produkteve/shërbimeve që ato ofrojnë në tregun shqiptar.</w:t>
      </w:r>
    </w:p>
    <w:p w14:paraId="3665E8CE" w14:textId="1FCA393D" w:rsidR="001F0CB4" w:rsidRPr="006E3BE9" w:rsidRDefault="001F0CB4" w:rsidP="00623352">
      <w:pPr>
        <w:pStyle w:val="ListParagraph"/>
        <w:numPr>
          <w:ilvl w:val="0"/>
          <w:numId w:val="42"/>
        </w:numPr>
        <w:spacing w:after="0" w:line="240" w:lineRule="auto"/>
        <w:jc w:val="both"/>
        <w:rPr>
          <w:rFonts w:cs="Times New Roman"/>
          <w:szCs w:val="24"/>
        </w:rPr>
      </w:pPr>
      <w:r w:rsidRPr="006E3BE9">
        <w:rPr>
          <w:rFonts w:cs="Times New Roman"/>
          <w:szCs w:val="24"/>
        </w:rPr>
        <w:t xml:space="preserve">Përditësimi i </w:t>
      </w:r>
      <w:r w:rsidR="006E3BE9" w:rsidRPr="006E3BE9">
        <w:rPr>
          <w:rFonts w:cs="Times New Roman"/>
          <w:szCs w:val="24"/>
        </w:rPr>
        <w:t>website</w:t>
      </w:r>
      <w:r w:rsidRPr="006E3BE9">
        <w:rPr>
          <w:rFonts w:cs="Times New Roman"/>
          <w:szCs w:val="24"/>
        </w:rPr>
        <w:t xml:space="preserve">-n zyrtar me informacion që ka impakt tek konsumatori dhe biznesi dhe rritja e numrit të vizitave të tij nga publiku. </w:t>
      </w:r>
    </w:p>
    <w:p w14:paraId="7EA100BF" w14:textId="008B4625" w:rsidR="001F0CB4" w:rsidRPr="006E3BE9" w:rsidRDefault="001F0CB4" w:rsidP="00623352">
      <w:pPr>
        <w:pStyle w:val="ListParagraph"/>
        <w:numPr>
          <w:ilvl w:val="0"/>
          <w:numId w:val="42"/>
        </w:numPr>
        <w:spacing w:after="0" w:line="240" w:lineRule="auto"/>
        <w:jc w:val="both"/>
        <w:rPr>
          <w:rFonts w:cs="Times New Roman"/>
          <w:szCs w:val="24"/>
        </w:rPr>
      </w:pPr>
      <w:r w:rsidRPr="006E3BE9">
        <w:rPr>
          <w:rFonts w:cs="Times New Roman"/>
          <w:szCs w:val="24"/>
        </w:rPr>
        <w:t>Realizimi i 15 daljeve në media audiovizive (intervista apo lajme të publikuara në to lidhur me veprimtarinë e strukturës mbikkëqyrëse) për të rritur aksesin ndaj një publiku më të gjerë për informimin e konsumatorëve dhe operatorëve.</w:t>
      </w:r>
    </w:p>
    <w:p w14:paraId="3BC480F4" w14:textId="77777777" w:rsidR="000C39E8" w:rsidRPr="009475CC" w:rsidRDefault="000C39E8" w:rsidP="009475CC">
      <w:pPr>
        <w:spacing w:after="0"/>
        <w:jc w:val="both"/>
        <w:rPr>
          <w:rFonts w:cs="Times New Roman"/>
          <w:szCs w:val="24"/>
          <w:lang w:val="sq-AL"/>
        </w:rPr>
      </w:pPr>
    </w:p>
    <w:p w14:paraId="3126E0E0" w14:textId="112FEE83" w:rsidR="00967E14" w:rsidRDefault="006E3BE9" w:rsidP="006E3BE9">
      <w:pPr>
        <w:pStyle w:val="Heading3"/>
        <w:numPr>
          <w:ilvl w:val="0"/>
          <w:numId w:val="0"/>
        </w:numPr>
        <w:ind w:left="431" w:hanging="431"/>
      </w:pPr>
      <w:bookmarkStart w:id="187" w:name="_Toc132277404"/>
      <w:bookmarkStart w:id="188" w:name="_Hlk121704840"/>
      <w:r>
        <w:t xml:space="preserve">II.3.2 </w:t>
      </w:r>
      <w:r w:rsidR="00774A0C" w:rsidRPr="009C5D5E">
        <w:t xml:space="preserve">Objektivat, masat dhe indikatorët në lidhje me </w:t>
      </w:r>
      <w:r>
        <w:t>i</w:t>
      </w:r>
      <w:r w:rsidR="00967E14" w:rsidRPr="009C5D5E">
        <w:t>nformimi dhe ndërgjegjësimi</w:t>
      </w:r>
      <w:r>
        <w:t>n,</w:t>
      </w:r>
      <w:r w:rsidR="00967E14" w:rsidRPr="009C5D5E">
        <w:t xml:space="preserve">si dhe bashkëpunimi ndërinstitucional dhe aktorët e tjerë  </w:t>
      </w:r>
      <w:r>
        <w:t>pë</w:t>
      </w:r>
      <w:r w:rsidR="00967E14" w:rsidRPr="009C5D5E">
        <w:t xml:space="preserve"> çështje që nuk lidhen me aspektet e sigurisë</w:t>
      </w:r>
      <w:bookmarkEnd w:id="187"/>
    </w:p>
    <w:p w14:paraId="479D960C" w14:textId="77777777" w:rsidR="009C5D5E" w:rsidRPr="009C5D5E" w:rsidRDefault="009C5D5E" w:rsidP="009475CC">
      <w:pPr>
        <w:spacing w:after="0" w:line="240" w:lineRule="auto"/>
        <w:rPr>
          <w:rFonts w:cs="Times New Roman"/>
          <w:b/>
          <w:bCs/>
          <w:sz w:val="28"/>
          <w:szCs w:val="28"/>
          <w:lang w:val="sq-AL"/>
        </w:rPr>
      </w:pPr>
    </w:p>
    <w:bookmarkEnd w:id="188"/>
    <w:p w14:paraId="67BE8E14" w14:textId="5238B122" w:rsidR="00774A0C" w:rsidRPr="009475CC" w:rsidRDefault="00774A0C" w:rsidP="009C5D5E">
      <w:pPr>
        <w:spacing w:after="0" w:line="240" w:lineRule="auto"/>
        <w:jc w:val="both"/>
        <w:rPr>
          <w:rFonts w:cs="Times New Roman"/>
          <w:szCs w:val="24"/>
          <w:lang w:val="sq-AL"/>
        </w:rPr>
      </w:pPr>
      <w:r w:rsidRPr="009475CC">
        <w:rPr>
          <w:rFonts w:cs="Times New Roman"/>
          <w:szCs w:val="24"/>
          <w:lang w:val="sq-AL"/>
        </w:rPr>
        <w:t xml:space="preserve">Strategjia do të synojë të rrisë ndërgjegjësimin e konsumatorëve, bizneseve, përfaqësuesve të shoqërisë civile dhe autoriteteve, për legjislacionin e mbrojtjes së konsumatorëve dhe të sigurisë së produkteve. Nëpërmjet masave konkrete synohen të fuqizohen konsumatorët dhe organizatat e konsumatorëve, duke mbështetur aktivitetin e tyre për të ndërtuar sinergji në mbrojtje të konsumatorëve. Gjithashtu, do të inkurajohen dhe ndihmohen konsumatorët për të bërë zgjedhje të qëndrueshme dhe të informuara, duke kontribuar kështu në një ekonomi të qëndrueshme dhe me efikasitet në energji dhe burime </w:t>
      </w:r>
      <w:r w:rsidR="006E3BE9">
        <w:rPr>
          <w:rFonts w:cs="Times New Roman"/>
          <w:szCs w:val="24"/>
          <w:lang w:val="sq-AL"/>
        </w:rPr>
        <w:t>ri</w:t>
      </w:r>
      <w:r w:rsidRPr="009475CC">
        <w:rPr>
          <w:rFonts w:cs="Times New Roman"/>
          <w:szCs w:val="24"/>
          <w:lang w:val="sq-AL"/>
        </w:rPr>
        <w:t>cikluese.</w:t>
      </w:r>
    </w:p>
    <w:p w14:paraId="0D3081AE" w14:textId="77777777" w:rsidR="000D6FD2" w:rsidRPr="000D6FD2" w:rsidRDefault="000D6FD2" w:rsidP="009C5D5E">
      <w:pPr>
        <w:spacing w:after="0" w:line="240" w:lineRule="auto"/>
        <w:jc w:val="both"/>
        <w:rPr>
          <w:rFonts w:cs="Times New Roman"/>
          <w:b/>
          <w:bCs/>
          <w:szCs w:val="24"/>
          <w:lang w:val="sq-AL"/>
        </w:rPr>
      </w:pPr>
    </w:p>
    <w:p w14:paraId="29CF5763" w14:textId="4D7E9830" w:rsidR="00774A0C" w:rsidRPr="009475CC" w:rsidRDefault="00774A0C" w:rsidP="009475CC">
      <w:pPr>
        <w:spacing w:after="0" w:line="240" w:lineRule="auto"/>
        <w:jc w:val="both"/>
        <w:rPr>
          <w:rFonts w:cs="Times New Roman"/>
          <w:b/>
          <w:szCs w:val="24"/>
          <w:lang w:val="sq-AL"/>
        </w:rPr>
      </w:pPr>
      <w:r w:rsidRPr="000D6FD2">
        <w:rPr>
          <w:rFonts w:cs="Times New Roman"/>
          <w:b/>
          <w:bCs/>
          <w:szCs w:val="24"/>
          <w:lang w:val="sq-AL"/>
        </w:rPr>
        <w:t>Qëllimi i politikës</w:t>
      </w:r>
      <w:r w:rsidRPr="009475CC">
        <w:rPr>
          <w:rFonts w:cs="Times New Roman"/>
          <w:szCs w:val="24"/>
          <w:lang w:val="sq-AL"/>
        </w:rPr>
        <w:t xml:space="preserve"> të kësaj </w:t>
      </w:r>
      <w:r w:rsidR="006E3BE9">
        <w:rPr>
          <w:rFonts w:cs="Times New Roman"/>
          <w:szCs w:val="24"/>
          <w:lang w:val="sq-AL"/>
        </w:rPr>
        <w:t>nën</w:t>
      </w:r>
      <w:r w:rsidRPr="009475CC">
        <w:rPr>
          <w:rFonts w:cs="Times New Roman"/>
          <w:szCs w:val="24"/>
          <w:lang w:val="sq-AL"/>
        </w:rPr>
        <w:t xml:space="preserve">shtylle të strategjisë lidhet me: </w:t>
      </w:r>
      <w:r w:rsidRPr="009475CC">
        <w:rPr>
          <w:rFonts w:cs="Times New Roman"/>
          <w:b/>
          <w:szCs w:val="24"/>
          <w:lang w:val="sq-AL"/>
        </w:rPr>
        <w:t xml:space="preserve">Informimin dhe ndërgjegjësimin e konsumatorëve dhe të  subjekteve, si dhe në bashkëpunimin ndërinstitucional me të gjithë aktorët e tjerë: organizatat e konsumatorëve, shoqëria civile, biznesi, akademikët. </w:t>
      </w:r>
    </w:p>
    <w:p w14:paraId="463E01B6" w14:textId="77777777" w:rsidR="000D6FD2" w:rsidRDefault="000D6FD2" w:rsidP="009475CC">
      <w:pPr>
        <w:spacing w:after="0" w:line="240" w:lineRule="auto"/>
        <w:jc w:val="both"/>
        <w:rPr>
          <w:rFonts w:cs="Times New Roman"/>
          <w:b/>
          <w:bCs/>
          <w:szCs w:val="24"/>
          <w:lang w:val="sq-AL"/>
        </w:rPr>
      </w:pPr>
    </w:p>
    <w:tbl>
      <w:tblPr>
        <w:tblStyle w:val="TableGrid"/>
        <w:tblW w:w="0" w:type="auto"/>
        <w:tblLook w:val="04A0" w:firstRow="1" w:lastRow="0" w:firstColumn="1" w:lastColumn="0" w:noHBand="0" w:noVBand="1"/>
      </w:tblPr>
      <w:tblGrid>
        <w:gridCol w:w="9016"/>
      </w:tblGrid>
      <w:tr w:rsidR="006E3BE9" w14:paraId="5D5733C8" w14:textId="77777777" w:rsidTr="006E3BE9">
        <w:tc>
          <w:tcPr>
            <w:tcW w:w="9016" w:type="dxa"/>
          </w:tcPr>
          <w:p w14:paraId="332607E6" w14:textId="77777777" w:rsidR="006E3BE9" w:rsidRDefault="006E3BE9" w:rsidP="009475CC">
            <w:pPr>
              <w:jc w:val="both"/>
              <w:rPr>
                <w:rFonts w:cs="Times New Roman"/>
                <w:szCs w:val="24"/>
                <w:lang w:val="sq-AL"/>
              </w:rPr>
            </w:pPr>
            <w:r>
              <w:rPr>
                <w:rFonts w:cs="Times New Roman"/>
                <w:b/>
                <w:bCs/>
                <w:szCs w:val="24"/>
                <w:lang w:val="sq-AL"/>
              </w:rPr>
              <w:t>O</w:t>
            </w:r>
            <w:r w:rsidRPr="000D6FD2">
              <w:rPr>
                <w:rFonts w:cs="Times New Roman"/>
                <w:b/>
                <w:bCs/>
                <w:szCs w:val="24"/>
                <w:lang w:val="sq-AL"/>
              </w:rPr>
              <w:t>bjektivi i përgjithshëm</w:t>
            </w:r>
            <w:r w:rsidRPr="009475CC">
              <w:rPr>
                <w:rFonts w:cs="Times New Roman"/>
                <w:szCs w:val="24"/>
                <w:lang w:val="sq-AL"/>
              </w:rPr>
              <w:t>:</w:t>
            </w:r>
            <w:r>
              <w:rPr>
                <w:rFonts w:cs="Times New Roman"/>
                <w:szCs w:val="24"/>
                <w:lang w:val="sq-AL"/>
              </w:rPr>
              <w:t xml:space="preserve"> </w:t>
            </w:r>
          </w:p>
          <w:p w14:paraId="68353C4D" w14:textId="4DB851C6" w:rsidR="006E3BE9" w:rsidRPr="006E3BE9" w:rsidRDefault="006E3BE9" w:rsidP="009475CC">
            <w:pPr>
              <w:jc w:val="both"/>
              <w:rPr>
                <w:rFonts w:cs="Times New Roman"/>
                <w:szCs w:val="24"/>
                <w:lang w:val="sq-AL"/>
              </w:rPr>
            </w:pPr>
            <w:r w:rsidRPr="009475CC">
              <w:rPr>
                <w:rFonts w:cs="Times New Roman"/>
                <w:b/>
                <w:i/>
                <w:szCs w:val="24"/>
                <w:lang w:val="sq-AL"/>
              </w:rPr>
              <w:t>Krijimi i kushteve të duhura për mbështetjen dhe fuqizimin e të gjithë aktorëve të tregut, duke përfshirë konsumatorët, organizatat e konsumatorëve, bizneset, përfaqësuesit e shoqërisë civile dhe autoritetet publike, nëpërmjet veprimeve që përmirësojnë bashkëpunimin ndërmjet autoriteteve kompetente; shkëmbimin transparent të informacionit dhe fushatave për të rritur ndërgjegjësimin, veçanërisht në lidhje me zbatimin e legjislacionit të aplikueshëm, si dhe për të drejtat e konsumatorëve</w:t>
            </w:r>
            <w:r w:rsidRPr="009475CC">
              <w:rPr>
                <w:rFonts w:cs="Times New Roman"/>
                <w:szCs w:val="24"/>
                <w:lang w:val="sq-AL"/>
              </w:rPr>
              <w:t>.</w:t>
            </w:r>
          </w:p>
        </w:tc>
      </w:tr>
    </w:tbl>
    <w:p w14:paraId="2EF05913" w14:textId="77777777" w:rsidR="006E3BE9" w:rsidRDefault="006E3BE9" w:rsidP="009475CC">
      <w:pPr>
        <w:spacing w:after="0" w:line="240" w:lineRule="auto"/>
        <w:jc w:val="both"/>
        <w:rPr>
          <w:rFonts w:cs="Times New Roman"/>
          <w:b/>
          <w:bCs/>
          <w:szCs w:val="24"/>
          <w:lang w:val="sq-AL"/>
        </w:rPr>
      </w:pPr>
    </w:p>
    <w:p w14:paraId="1D50704F" w14:textId="77777777" w:rsidR="006E3BE9" w:rsidRPr="009475CC" w:rsidRDefault="006E3BE9" w:rsidP="009475CC">
      <w:pPr>
        <w:spacing w:after="0" w:line="240" w:lineRule="auto"/>
        <w:jc w:val="both"/>
        <w:rPr>
          <w:rFonts w:cs="Times New Roman"/>
          <w:szCs w:val="24"/>
          <w:lang w:val="sq-AL"/>
        </w:rPr>
      </w:pPr>
    </w:p>
    <w:p w14:paraId="1AE2B815" w14:textId="2C217C23" w:rsidR="00774A0C" w:rsidRPr="006E3BE9" w:rsidRDefault="00774A0C" w:rsidP="006E3BE9">
      <w:pPr>
        <w:spacing w:after="0" w:line="240" w:lineRule="auto"/>
        <w:jc w:val="both"/>
        <w:rPr>
          <w:rFonts w:cs="Times New Roman"/>
          <w:szCs w:val="24"/>
          <w:lang w:val="sq-AL"/>
        </w:rPr>
      </w:pPr>
      <w:r w:rsidRPr="009475CC">
        <w:rPr>
          <w:rFonts w:cs="Times New Roman"/>
          <w:szCs w:val="24"/>
          <w:lang w:val="sq-AL"/>
        </w:rPr>
        <w:t>Vëmendje e veçantë do t'i kushtohet nevojave të reja të tregut, mbështetjes s</w:t>
      </w:r>
      <w:r w:rsidR="000D6FD2">
        <w:rPr>
          <w:rFonts w:cs="Times New Roman"/>
          <w:szCs w:val="24"/>
          <w:lang w:val="sq-AL"/>
        </w:rPr>
        <w:t>ë</w:t>
      </w:r>
      <w:r w:rsidRPr="009475CC">
        <w:rPr>
          <w:rFonts w:cs="Times New Roman"/>
          <w:szCs w:val="24"/>
          <w:lang w:val="sq-AL"/>
        </w:rPr>
        <w:t xml:space="preserve"> veprimeve për zhvillimin e informacionit përkatës mbi tregjet duke informuar më mirë konsumatorët për qëndrueshmërinë e produktit. Në k</w:t>
      </w:r>
      <w:r w:rsidR="00736ED9">
        <w:rPr>
          <w:rFonts w:cs="Times New Roman"/>
          <w:szCs w:val="24"/>
          <w:lang w:val="sq-AL"/>
        </w:rPr>
        <w:t>ë</w:t>
      </w:r>
      <w:r w:rsidRPr="009475CC">
        <w:rPr>
          <w:rFonts w:cs="Times New Roman"/>
          <w:szCs w:val="24"/>
          <w:lang w:val="sq-AL"/>
        </w:rPr>
        <w:t>të kuptim, do të marrë rëndësi promovimi i iniciativës evropiane për “qarkullim të pajisjeve elektronike” , që synon të sigurojë që pajisjet elektronike të jenë të dizejnuara për qëndrueshmëri, mirëmbajtje, riparim, ripërdorim dhe riciklim. Nismat: për një karikues të përbashkët për telefonat celularë dhe pajisje të tjera portative, synon të rrisë lehtësimin e përdorimit nga konsumatorët dhe të reduktojë përdorimin e materialit dhe të mbetjeve elektronike të lidhura me tregtimin dhe asgjësimin e këtij artikulli të veçantë që përdoret çdo ditë nga shumica dërrmuese e konsumatorëve, si dhe për përdorimin e tekstileve të qëndrueshme, do të sigurojë gjithashtu lehtësim të aksesit në shërbimet e ripërdorimit dhe riparimit.</w:t>
      </w:r>
    </w:p>
    <w:p w14:paraId="6F3E419C" w14:textId="77777777" w:rsidR="00176DB8" w:rsidRDefault="00176DB8" w:rsidP="006E3BE9">
      <w:pPr>
        <w:pStyle w:val="Heading4"/>
        <w:rPr>
          <w:lang w:val="sq-AL"/>
        </w:rPr>
      </w:pPr>
      <w:bookmarkStart w:id="189" w:name="_Toc132277405"/>
    </w:p>
    <w:p w14:paraId="5F8D5D06" w14:textId="76C49969" w:rsidR="00736ED9" w:rsidRPr="000D6FD2" w:rsidRDefault="00736ED9" w:rsidP="006E3BE9">
      <w:pPr>
        <w:pStyle w:val="Heading4"/>
        <w:rPr>
          <w:lang w:val="sq-AL"/>
        </w:rPr>
      </w:pPr>
      <w:r w:rsidRPr="000D6FD2">
        <w:rPr>
          <w:lang w:val="sq-AL"/>
        </w:rPr>
        <w:t>Ministria e Financave dhe Ekonomisë</w:t>
      </w:r>
      <w:bookmarkEnd w:id="189"/>
    </w:p>
    <w:tbl>
      <w:tblPr>
        <w:tblStyle w:val="TableGrid"/>
        <w:tblW w:w="0" w:type="auto"/>
        <w:tblLook w:val="04A0" w:firstRow="1" w:lastRow="0" w:firstColumn="1" w:lastColumn="0" w:noHBand="0" w:noVBand="1"/>
      </w:tblPr>
      <w:tblGrid>
        <w:gridCol w:w="9016"/>
      </w:tblGrid>
      <w:tr w:rsidR="00805A4A" w14:paraId="53F1A1C5" w14:textId="77777777" w:rsidTr="00805A4A">
        <w:tc>
          <w:tcPr>
            <w:tcW w:w="9016" w:type="dxa"/>
          </w:tcPr>
          <w:p w14:paraId="1D5B19A1" w14:textId="17039420" w:rsidR="00805A4A" w:rsidRDefault="00805A4A" w:rsidP="00805A4A">
            <w:pPr>
              <w:jc w:val="both"/>
              <w:rPr>
                <w:rFonts w:cs="Times New Roman"/>
                <w:szCs w:val="24"/>
                <w:lang w:val="sq-AL"/>
              </w:rPr>
            </w:pPr>
            <w:r w:rsidRPr="009475CC">
              <w:rPr>
                <w:rFonts w:cs="Times New Roman"/>
                <w:b/>
                <w:bCs/>
                <w:szCs w:val="24"/>
                <w:lang w:val="sq-AL"/>
              </w:rPr>
              <w:t>Objektivi</w:t>
            </w:r>
            <w:r>
              <w:rPr>
                <w:rFonts w:cs="Times New Roman"/>
                <w:b/>
                <w:bCs/>
                <w:szCs w:val="24"/>
                <w:lang w:val="sq-AL"/>
              </w:rPr>
              <w:t xml:space="preserve"> 45</w:t>
            </w:r>
            <w:r w:rsidRPr="009475CC">
              <w:rPr>
                <w:rFonts w:cs="Times New Roman"/>
                <w:b/>
                <w:bCs/>
                <w:szCs w:val="24"/>
                <w:lang w:val="sq-AL"/>
              </w:rPr>
              <w:t>:</w:t>
            </w:r>
            <w:r w:rsidRPr="009475CC">
              <w:rPr>
                <w:rFonts w:cs="Times New Roman"/>
                <w:szCs w:val="24"/>
                <w:lang w:val="sq-AL"/>
              </w:rPr>
              <w:t xml:space="preserve"> </w:t>
            </w:r>
          </w:p>
          <w:p w14:paraId="462D53B8" w14:textId="086DA7EF" w:rsidR="00805A4A" w:rsidRPr="00805A4A" w:rsidRDefault="00805A4A" w:rsidP="00805A4A">
            <w:pPr>
              <w:jc w:val="both"/>
              <w:rPr>
                <w:rFonts w:cs="Times New Roman"/>
                <w:szCs w:val="24"/>
                <w:lang w:val="sq-AL"/>
              </w:rPr>
            </w:pPr>
            <w:r w:rsidRPr="009475CC">
              <w:rPr>
                <w:rFonts w:cs="Times New Roman"/>
                <w:szCs w:val="24"/>
                <w:lang w:val="sq-AL"/>
              </w:rPr>
              <w:t>Rritja e shkallës së ndërgjegjësimit të konsumatorëve dhe operatorëve/subjekteve në lidhje me: me legjislacionin në secilën prej fushave të përfshira në strategji.</w:t>
            </w:r>
          </w:p>
        </w:tc>
      </w:tr>
    </w:tbl>
    <w:p w14:paraId="5C1AFE12" w14:textId="77777777" w:rsidR="00805A4A" w:rsidRDefault="00805A4A" w:rsidP="009475CC">
      <w:pPr>
        <w:spacing w:after="0" w:line="240" w:lineRule="auto"/>
        <w:jc w:val="both"/>
        <w:rPr>
          <w:rFonts w:cs="Times New Roman"/>
          <w:b/>
          <w:bCs/>
          <w:szCs w:val="24"/>
          <w:lang w:val="sq-AL"/>
        </w:rPr>
      </w:pPr>
    </w:p>
    <w:p w14:paraId="0F1FB347" w14:textId="14CEAD22" w:rsidR="00774A0C" w:rsidRPr="009475CC" w:rsidRDefault="00774A0C" w:rsidP="00805A4A">
      <w:pPr>
        <w:spacing w:line="240" w:lineRule="auto"/>
        <w:jc w:val="both"/>
        <w:rPr>
          <w:rFonts w:cs="Times New Roman"/>
          <w:szCs w:val="24"/>
          <w:lang w:val="sq-AL"/>
        </w:rPr>
      </w:pPr>
      <w:r w:rsidRPr="009475CC">
        <w:rPr>
          <w:rFonts w:cs="Times New Roman"/>
          <w:szCs w:val="24"/>
          <w:lang w:val="sq-AL"/>
        </w:rPr>
        <w:t>Ky objektiv i shërben konsumatorëve, për t</w:t>
      </w:r>
      <w:r w:rsidR="00AB6638">
        <w:rPr>
          <w:rFonts w:cs="Times New Roman"/>
          <w:szCs w:val="24"/>
          <w:lang w:val="sq-AL"/>
        </w:rPr>
        <w:t>ë</w:t>
      </w:r>
      <w:r w:rsidRPr="009475CC">
        <w:rPr>
          <w:rFonts w:cs="Times New Roman"/>
          <w:szCs w:val="24"/>
          <w:lang w:val="sq-AL"/>
        </w:rPr>
        <w:t xml:space="preserve"> mundësuar garantimin e një informacioni të qartë, të besueshëm dhe transparent nëpërmjet mjeteve të informimit si: media (TV), fletëpalosje, </w:t>
      </w:r>
      <w:r w:rsidR="006D61C0">
        <w:rPr>
          <w:rFonts w:cs="Times New Roman"/>
          <w:szCs w:val="24"/>
          <w:lang w:val="sq-AL"/>
        </w:rPr>
        <w:t>ë</w:t>
      </w:r>
      <w:r w:rsidRPr="009475CC">
        <w:rPr>
          <w:rFonts w:cs="Times New Roman"/>
          <w:szCs w:val="24"/>
          <w:lang w:val="sq-AL"/>
        </w:rPr>
        <w:t>ebsite, organizimi i aktiviteteve të ndryshme informuese, përfshirë këtu ndërgjegjësimin e konsumatorit për të kërkuar të drejtat e tij, sidomos ankimin pranë subjekteve, si hap i parë i trajtimit të ankesave përpara paraqitjes së tyre në mënyrë administrative.</w:t>
      </w:r>
    </w:p>
    <w:p w14:paraId="4E2D6982" w14:textId="75AE815B" w:rsidR="00774A0C" w:rsidRPr="009475CC" w:rsidRDefault="00774A0C" w:rsidP="00805A4A">
      <w:pPr>
        <w:spacing w:line="240" w:lineRule="auto"/>
        <w:jc w:val="both"/>
        <w:rPr>
          <w:rFonts w:cs="Times New Roman"/>
          <w:szCs w:val="24"/>
          <w:lang w:val="sq-AL"/>
        </w:rPr>
      </w:pPr>
      <w:r w:rsidRPr="009475CC">
        <w:rPr>
          <w:rFonts w:cs="Times New Roman"/>
          <w:szCs w:val="24"/>
          <w:lang w:val="sq-AL"/>
        </w:rPr>
        <w:t>Në kushtet kur burimet e informacionit janë shtuar, sasia dhe informacionet me të cilat përballet konsumatori vazhdojnë të rriten në mënyrë të shpejtë, përfshirë këtu transformimet dhe mjetet digjitale në përdorim nga konsumatori</w:t>
      </w:r>
      <w:r w:rsidR="00AB6638">
        <w:rPr>
          <w:rFonts w:cs="Times New Roman"/>
          <w:szCs w:val="24"/>
          <w:lang w:val="sq-AL"/>
        </w:rPr>
        <w:t>, i</w:t>
      </w:r>
      <w:r w:rsidRPr="009475CC">
        <w:rPr>
          <w:rFonts w:cs="Times New Roman"/>
          <w:szCs w:val="24"/>
          <w:lang w:val="sq-AL"/>
        </w:rPr>
        <w:t>nformimi që u ofrohet konsumatorëve duhet të jet</w:t>
      </w:r>
      <w:r w:rsidR="00AB6638">
        <w:rPr>
          <w:rFonts w:cs="Times New Roman"/>
          <w:szCs w:val="24"/>
          <w:lang w:val="sq-AL"/>
        </w:rPr>
        <w:t>ë</w:t>
      </w:r>
      <w:r w:rsidRPr="009475CC">
        <w:rPr>
          <w:rFonts w:cs="Times New Roman"/>
          <w:szCs w:val="24"/>
          <w:lang w:val="sq-AL"/>
        </w:rPr>
        <w:t xml:space="preserve"> i qartë, i sigurtë, i vërtetë dhe krahasues duke u bërë kështu pike kyçe për fuqizimin e tyre dhe për vendimarrje në treg. </w:t>
      </w:r>
    </w:p>
    <w:p w14:paraId="3F357B57" w14:textId="77777777" w:rsidR="00774A0C" w:rsidRPr="009475CC" w:rsidRDefault="00774A0C" w:rsidP="00805A4A">
      <w:pPr>
        <w:spacing w:line="240" w:lineRule="auto"/>
        <w:jc w:val="both"/>
        <w:rPr>
          <w:rFonts w:cs="Times New Roman"/>
          <w:szCs w:val="24"/>
          <w:lang w:val="sq-AL"/>
        </w:rPr>
      </w:pPr>
      <w:r w:rsidRPr="009475CC">
        <w:rPr>
          <w:rFonts w:cs="Times New Roman"/>
          <w:szCs w:val="24"/>
          <w:lang w:val="sq-AL"/>
        </w:rPr>
        <w:t>Përmirësimi i informacionit dhe mënyrave të informimit të konsumatorëve duhet të shoqërohet me rritjen e ndërgjegjësimit të të dy palëve, si konsumatorëve ashtu dhe tregtarëve ndaj të drejtave dhe detyrimeve, si dhe me rritjen e besimit reciprok.</w:t>
      </w:r>
    </w:p>
    <w:p w14:paraId="67F191A3" w14:textId="14707FE0" w:rsidR="00A10CB0" w:rsidRPr="00A10CB0" w:rsidRDefault="00A10CB0" w:rsidP="00805A4A">
      <w:pPr>
        <w:spacing w:line="240" w:lineRule="auto"/>
        <w:jc w:val="both"/>
        <w:rPr>
          <w:rFonts w:cs="Times New Roman"/>
          <w:szCs w:val="24"/>
          <w:lang w:val="sq-AL"/>
        </w:rPr>
      </w:pPr>
      <w:r w:rsidRPr="00AB6638">
        <w:rPr>
          <w:rFonts w:cs="Times New Roman"/>
          <w:b/>
          <w:bCs/>
          <w:szCs w:val="24"/>
          <w:lang w:val="sq-AL"/>
        </w:rPr>
        <w:t xml:space="preserve">Masa </w:t>
      </w:r>
      <w:r w:rsidR="00805A4A">
        <w:rPr>
          <w:rFonts w:cs="Times New Roman"/>
          <w:b/>
          <w:bCs/>
          <w:szCs w:val="24"/>
          <w:lang w:val="sq-AL"/>
        </w:rPr>
        <w:t>45.</w:t>
      </w:r>
      <w:r w:rsidRPr="00AB6638">
        <w:rPr>
          <w:rFonts w:cs="Times New Roman"/>
          <w:b/>
          <w:bCs/>
          <w:szCs w:val="24"/>
          <w:lang w:val="sq-AL"/>
        </w:rPr>
        <w:t>1</w:t>
      </w:r>
      <w:r w:rsidRPr="00A10CB0">
        <w:rPr>
          <w:rFonts w:cs="Times New Roman"/>
          <w:szCs w:val="24"/>
          <w:lang w:val="sq-AL"/>
        </w:rPr>
        <w:t>: Organizimi i  fushatave ndërgjegjësuese mbi çështjet e mbrojtjes së konsumator</w:t>
      </w:r>
      <w:r>
        <w:rPr>
          <w:rFonts w:cs="Times New Roman"/>
          <w:szCs w:val="24"/>
          <w:lang w:val="sq-AL"/>
        </w:rPr>
        <w:t>ë</w:t>
      </w:r>
      <w:r w:rsidRPr="00A10CB0">
        <w:rPr>
          <w:rFonts w:cs="Times New Roman"/>
          <w:szCs w:val="24"/>
          <w:lang w:val="sq-AL"/>
        </w:rPr>
        <w:t>ve.</w:t>
      </w:r>
    </w:p>
    <w:p w14:paraId="247985AD" w14:textId="5A253727" w:rsidR="00AB6638" w:rsidRDefault="00A10CB0" w:rsidP="00805A4A">
      <w:pPr>
        <w:spacing w:line="240" w:lineRule="auto"/>
        <w:jc w:val="both"/>
        <w:rPr>
          <w:rFonts w:cs="Times New Roman"/>
          <w:szCs w:val="24"/>
          <w:lang w:val="sq-AL"/>
        </w:rPr>
      </w:pPr>
      <w:r w:rsidRPr="00A10CB0">
        <w:rPr>
          <w:rFonts w:cs="Times New Roman"/>
          <w:szCs w:val="24"/>
          <w:lang w:val="sq-AL"/>
        </w:rPr>
        <w:t>Organizimi i fushatave ndërgjegjësuese për konsumatorët si dhe për operatorët do të kontribuojë në përmirësimin e informimit dhe njohurive të konsumatorëve mbi të drejtat e tyre, si dhe të operatorëve mbi detyrimet që ata kan</w:t>
      </w:r>
      <w:r>
        <w:rPr>
          <w:rFonts w:cs="Times New Roman"/>
          <w:szCs w:val="24"/>
          <w:lang w:val="sq-AL"/>
        </w:rPr>
        <w:t>ë</w:t>
      </w:r>
      <w:r w:rsidRPr="00A10CB0">
        <w:rPr>
          <w:rFonts w:cs="Times New Roman"/>
          <w:szCs w:val="24"/>
          <w:lang w:val="sq-AL"/>
        </w:rPr>
        <w:t xml:space="preserve"> perkundrejt konsumatorëve. </w:t>
      </w:r>
    </w:p>
    <w:p w14:paraId="60C1BE50" w14:textId="7F563E60" w:rsidR="00AB6638" w:rsidRPr="00AB6638" w:rsidRDefault="00805A4A" w:rsidP="00805A4A">
      <w:pPr>
        <w:spacing w:line="240" w:lineRule="auto"/>
        <w:jc w:val="both"/>
        <w:rPr>
          <w:rFonts w:cs="Times New Roman"/>
          <w:b/>
          <w:bCs/>
          <w:szCs w:val="24"/>
          <w:lang w:val="sq-AL"/>
        </w:rPr>
      </w:pPr>
      <w:r w:rsidRPr="00AB6638">
        <w:rPr>
          <w:rFonts w:cs="Times New Roman"/>
          <w:b/>
          <w:bCs/>
          <w:szCs w:val="24"/>
          <w:lang w:val="sq-AL"/>
        </w:rPr>
        <w:t>Indikator</w:t>
      </w:r>
      <w:r>
        <w:rPr>
          <w:rFonts w:cs="Times New Roman"/>
          <w:b/>
          <w:bCs/>
          <w:szCs w:val="24"/>
          <w:lang w:val="sq-AL"/>
        </w:rPr>
        <w:t>ët</w:t>
      </w:r>
      <w:r w:rsidR="00AB6638" w:rsidRPr="00AB6638">
        <w:rPr>
          <w:rFonts w:cs="Times New Roman"/>
          <w:b/>
          <w:bCs/>
          <w:szCs w:val="24"/>
          <w:lang w:val="sq-AL"/>
        </w:rPr>
        <w:t>:</w:t>
      </w:r>
    </w:p>
    <w:p w14:paraId="0A4B41BD" w14:textId="3CDF2268" w:rsidR="00A10CB0" w:rsidRPr="00805A4A" w:rsidRDefault="00A10CB0" w:rsidP="00805A4A">
      <w:pPr>
        <w:spacing w:after="0" w:line="240" w:lineRule="auto"/>
        <w:jc w:val="both"/>
        <w:rPr>
          <w:rFonts w:cs="Times New Roman"/>
          <w:szCs w:val="24"/>
          <w:lang w:val="sq-AL"/>
        </w:rPr>
      </w:pPr>
      <w:r w:rsidRPr="00805A4A">
        <w:rPr>
          <w:rFonts w:cs="Times New Roman"/>
          <w:szCs w:val="24"/>
          <w:lang w:val="sq-AL"/>
        </w:rPr>
        <w:t xml:space="preserve">Organizimi i </w:t>
      </w:r>
      <w:r w:rsidR="0033569F">
        <w:rPr>
          <w:rFonts w:cs="Times New Roman"/>
          <w:szCs w:val="24"/>
          <w:lang w:val="sq-AL"/>
        </w:rPr>
        <w:t xml:space="preserve">10 në 7 vjet i </w:t>
      </w:r>
      <w:r w:rsidRPr="00805A4A">
        <w:rPr>
          <w:rFonts w:cs="Times New Roman"/>
          <w:szCs w:val="24"/>
          <w:lang w:val="sq-AL"/>
        </w:rPr>
        <w:t xml:space="preserve">tryezave informuese për konsumatorët dhe operatorët, duke kontribuar për rritjen e ndërgjegjësimit dhe njohurive të tyre lidhur me kuadrin ligjor në fushat e sipërpërmendura që mbulon kjo strategji. </w:t>
      </w:r>
    </w:p>
    <w:p w14:paraId="6C27AF3C" w14:textId="77777777" w:rsidR="0033569F" w:rsidRDefault="0033569F" w:rsidP="0033569F">
      <w:pPr>
        <w:spacing w:after="0" w:line="240" w:lineRule="auto"/>
        <w:jc w:val="both"/>
        <w:rPr>
          <w:rFonts w:cs="Times New Roman"/>
          <w:szCs w:val="24"/>
          <w:lang w:val="sq-AL"/>
        </w:rPr>
      </w:pPr>
    </w:p>
    <w:p w14:paraId="0425AEC1" w14:textId="55D875AF" w:rsidR="00A10CB0" w:rsidRPr="0033569F" w:rsidRDefault="00A10CB0" w:rsidP="0033569F">
      <w:pPr>
        <w:spacing w:after="0" w:line="240" w:lineRule="auto"/>
        <w:jc w:val="both"/>
        <w:rPr>
          <w:rFonts w:cs="Times New Roman"/>
          <w:szCs w:val="24"/>
          <w:lang w:val="sq-AL"/>
        </w:rPr>
      </w:pPr>
      <w:r w:rsidRPr="0033569F">
        <w:rPr>
          <w:rFonts w:cs="Times New Roman"/>
          <w:szCs w:val="24"/>
          <w:lang w:val="sq-AL"/>
        </w:rPr>
        <w:t xml:space="preserve">Përgatitja e </w:t>
      </w:r>
      <w:r w:rsidR="0033569F" w:rsidRPr="0033569F">
        <w:rPr>
          <w:rFonts w:cs="Times New Roman"/>
          <w:szCs w:val="24"/>
          <w:lang w:val="sq-AL"/>
        </w:rPr>
        <w:t xml:space="preserve">( 8 tetë) </w:t>
      </w:r>
      <w:r w:rsidRPr="0033569F">
        <w:rPr>
          <w:rFonts w:cs="Times New Roman"/>
          <w:szCs w:val="24"/>
          <w:lang w:val="sq-AL"/>
        </w:rPr>
        <w:t xml:space="preserve">materialeve informuese, publikimi i informacionit </w:t>
      </w:r>
    </w:p>
    <w:p w14:paraId="34ADD358" w14:textId="77777777" w:rsidR="00A10CB0" w:rsidRPr="00805A4A" w:rsidRDefault="00A10CB0" w:rsidP="00805A4A">
      <w:pPr>
        <w:spacing w:after="0" w:line="240" w:lineRule="auto"/>
        <w:jc w:val="both"/>
        <w:rPr>
          <w:rFonts w:cs="Times New Roman"/>
          <w:szCs w:val="24"/>
          <w:lang w:val="sq-AL"/>
        </w:rPr>
      </w:pPr>
      <w:r w:rsidRPr="00805A4A">
        <w:rPr>
          <w:rFonts w:cs="Times New Roman"/>
          <w:szCs w:val="24"/>
          <w:lang w:val="sq-AL"/>
        </w:rPr>
        <w:t>Aktivitetet ndërgjegjësuese do të shoqërohen me përgatitjen e materialeve informuese, broshura, fletëpalosje, si dhe përmirësimin e informacionit në faqet zyrtare të internetit të ministrive apo institucioneve të tjera të lidhura me mbrojtjen e konsumatorëve dhe mbikëqyrjen  e tregut</w:t>
      </w:r>
    </w:p>
    <w:p w14:paraId="7D086AF4" w14:textId="77777777" w:rsidR="0033569F" w:rsidRDefault="0033569F" w:rsidP="0033569F">
      <w:pPr>
        <w:spacing w:after="0" w:line="240" w:lineRule="auto"/>
        <w:jc w:val="both"/>
        <w:rPr>
          <w:rFonts w:cs="Times New Roman"/>
          <w:szCs w:val="24"/>
          <w:lang w:val="sq-AL"/>
        </w:rPr>
      </w:pPr>
    </w:p>
    <w:p w14:paraId="7F31775C" w14:textId="497A89E1" w:rsidR="00A10CB0" w:rsidRPr="0033569F" w:rsidRDefault="00A10CB0" w:rsidP="0033569F">
      <w:pPr>
        <w:spacing w:after="0" w:line="240" w:lineRule="auto"/>
        <w:jc w:val="both"/>
        <w:rPr>
          <w:rFonts w:cs="Times New Roman"/>
          <w:szCs w:val="24"/>
          <w:lang w:val="sq-AL"/>
        </w:rPr>
      </w:pPr>
      <w:r w:rsidRPr="0033569F">
        <w:rPr>
          <w:rFonts w:cs="Times New Roman"/>
          <w:szCs w:val="24"/>
          <w:lang w:val="sq-AL"/>
        </w:rPr>
        <w:t>Organizimi i</w:t>
      </w:r>
      <w:r w:rsidR="0033569F" w:rsidRPr="0033569F">
        <w:rPr>
          <w:rFonts w:cs="Times New Roman"/>
          <w:szCs w:val="24"/>
          <w:lang w:val="sq-AL"/>
        </w:rPr>
        <w:t xml:space="preserve"> 3 tre në 7 shtatë vjet </w:t>
      </w:r>
      <w:r w:rsidRPr="0033569F">
        <w:rPr>
          <w:rFonts w:cs="Times New Roman"/>
          <w:szCs w:val="24"/>
          <w:lang w:val="sq-AL"/>
        </w:rPr>
        <w:t xml:space="preserve"> sondazheve me konsumatorët lidhur me perceptimin e tyre për</w:t>
      </w:r>
      <w:r w:rsidR="00805A4A" w:rsidRPr="0033569F">
        <w:rPr>
          <w:rFonts w:cs="Times New Roman"/>
          <w:szCs w:val="24"/>
          <w:lang w:val="sq-AL"/>
        </w:rPr>
        <w:t xml:space="preserve"> </w:t>
      </w:r>
      <w:r w:rsidRPr="0033569F">
        <w:rPr>
          <w:rFonts w:cs="Times New Roman"/>
          <w:szCs w:val="24"/>
          <w:lang w:val="sq-AL"/>
        </w:rPr>
        <w:t xml:space="preserve">produktet dhe shërbimet e ofruara në treg, njohjen dhe zbatimin e të drejtave të tyre, legjislacionin, perceptimin për nivelin e mbështetjes dhe shërbimit nga strukturat shtetërore etj.Kryerja e sondazheve do të çojë më tej përvojën e ndjekur gjatë viteve të kaluara në zhvillimin e tyre, për të  do të shërbyer dhe si baze krahasimore, për të përcaktuar ecurine dhe arritjet.  Në vlerësimin e shkallës së ndërgjegjësimit të konsumatorëve, do të përfshihen edhe çështjet në lidhje me mbrojtjen e të drejtave të konsumatorëve në mjedisin digjital. </w:t>
      </w:r>
    </w:p>
    <w:p w14:paraId="07DA5293" w14:textId="2DA65F2E" w:rsidR="00805A4A" w:rsidRDefault="00805A4A" w:rsidP="00A10CB0">
      <w:pPr>
        <w:spacing w:after="0" w:line="240" w:lineRule="auto"/>
        <w:jc w:val="both"/>
        <w:rPr>
          <w:rFonts w:cs="Times New Roman"/>
          <w:szCs w:val="24"/>
          <w:lang w:val="sq-AL"/>
        </w:rPr>
      </w:pPr>
    </w:p>
    <w:p w14:paraId="629E2CCB" w14:textId="77777777" w:rsidR="00805A4A" w:rsidRDefault="00805A4A" w:rsidP="00A10CB0">
      <w:pPr>
        <w:spacing w:after="0" w:line="240" w:lineRule="auto"/>
        <w:jc w:val="both"/>
        <w:rPr>
          <w:rFonts w:cs="Times New Roman"/>
          <w:szCs w:val="24"/>
          <w:lang w:val="sq-AL"/>
        </w:rPr>
      </w:pPr>
    </w:p>
    <w:tbl>
      <w:tblPr>
        <w:tblStyle w:val="TableGrid"/>
        <w:tblW w:w="0" w:type="auto"/>
        <w:tblLook w:val="04A0" w:firstRow="1" w:lastRow="0" w:firstColumn="1" w:lastColumn="0" w:noHBand="0" w:noVBand="1"/>
      </w:tblPr>
      <w:tblGrid>
        <w:gridCol w:w="9016"/>
      </w:tblGrid>
      <w:tr w:rsidR="00805A4A" w14:paraId="6F706EF4" w14:textId="77777777" w:rsidTr="00805A4A">
        <w:tc>
          <w:tcPr>
            <w:tcW w:w="9016" w:type="dxa"/>
          </w:tcPr>
          <w:p w14:paraId="3C095ECE" w14:textId="2AA3F644" w:rsidR="00805A4A" w:rsidRDefault="00805A4A" w:rsidP="00805A4A">
            <w:pPr>
              <w:jc w:val="both"/>
              <w:rPr>
                <w:rFonts w:cs="Times New Roman"/>
                <w:szCs w:val="24"/>
                <w:lang w:val="sq-AL"/>
              </w:rPr>
            </w:pPr>
            <w:r w:rsidRPr="009475CC">
              <w:rPr>
                <w:rFonts w:cs="Times New Roman"/>
                <w:b/>
                <w:bCs/>
                <w:szCs w:val="24"/>
                <w:lang w:val="sq-AL"/>
              </w:rPr>
              <w:t xml:space="preserve">Objektivi </w:t>
            </w:r>
            <w:r>
              <w:rPr>
                <w:rFonts w:cs="Times New Roman"/>
                <w:b/>
                <w:bCs/>
                <w:szCs w:val="24"/>
                <w:lang w:val="sq-AL"/>
              </w:rPr>
              <w:t>46</w:t>
            </w:r>
            <w:r w:rsidRPr="009475CC">
              <w:rPr>
                <w:rFonts w:cs="Times New Roman"/>
                <w:b/>
                <w:bCs/>
                <w:szCs w:val="24"/>
                <w:lang w:val="sq-AL"/>
              </w:rPr>
              <w:t>:</w:t>
            </w:r>
            <w:r w:rsidRPr="009475CC">
              <w:rPr>
                <w:rFonts w:cs="Times New Roman"/>
                <w:szCs w:val="24"/>
                <w:lang w:val="sq-AL"/>
              </w:rPr>
              <w:t xml:space="preserve"> </w:t>
            </w:r>
          </w:p>
          <w:p w14:paraId="31AF8F76" w14:textId="322E79F4" w:rsidR="00805A4A" w:rsidRPr="009475CC" w:rsidRDefault="00805A4A" w:rsidP="00805A4A">
            <w:pPr>
              <w:jc w:val="both"/>
              <w:rPr>
                <w:rFonts w:cs="Times New Roman"/>
                <w:b/>
                <w:i/>
                <w:szCs w:val="24"/>
                <w:lang w:val="sq-AL"/>
              </w:rPr>
            </w:pPr>
            <w:r w:rsidRPr="009475CC">
              <w:rPr>
                <w:rFonts w:cs="Times New Roman"/>
                <w:szCs w:val="24"/>
                <w:lang w:val="sq-AL"/>
              </w:rPr>
              <w:lastRenderedPageBreak/>
              <w:t>Përmirësimi i bashkëpunimit ndërmjet autoriteteve kompetente të ngarkuara me çështjet e mbrojtjes së konsumatorëve dhe mbikëqyrjes së tregut.</w:t>
            </w:r>
          </w:p>
          <w:p w14:paraId="1F3FD8E4" w14:textId="77777777" w:rsidR="00805A4A" w:rsidRDefault="00805A4A" w:rsidP="00A10CB0">
            <w:pPr>
              <w:jc w:val="both"/>
              <w:rPr>
                <w:rFonts w:cs="Times New Roman"/>
                <w:b/>
                <w:bCs/>
                <w:szCs w:val="24"/>
                <w:lang w:val="sq-AL"/>
              </w:rPr>
            </w:pPr>
          </w:p>
        </w:tc>
      </w:tr>
    </w:tbl>
    <w:p w14:paraId="1F8410B6" w14:textId="77777777" w:rsidR="00805A4A" w:rsidRDefault="00805A4A" w:rsidP="00A10CB0">
      <w:pPr>
        <w:spacing w:after="0" w:line="240" w:lineRule="auto"/>
        <w:jc w:val="both"/>
        <w:rPr>
          <w:rFonts w:cs="Times New Roman"/>
          <w:b/>
          <w:bCs/>
          <w:szCs w:val="24"/>
          <w:lang w:val="sq-AL"/>
        </w:rPr>
      </w:pPr>
    </w:p>
    <w:p w14:paraId="1B0BAEB5" w14:textId="77777777" w:rsidR="00774A0C" w:rsidRPr="009475CC" w:rsidRDefault="00774A0C" w:rsidP="00805A4A">
      <w:pPr>
        <w:spacing w:line="240" w:lineRule="auto"/>
        <w:jc w:val="both"/>
        <w:rPr>
          <w:rFonts w:cs="Times New Roman"/>
          <w:szCs w:val="24"/>
          <w:lang w:val="sq-AL"/>
        </w:rPr>
      </w:pPr>
      <w:r w:rsidRPr="009475CC">
        <w:rPr>
          <w:rFonts w:cs="Times New Roman"/>
          <w:szCs w:val="24"/>
          <w:lang w:val="sq-AL"/>
        </w:rPr>
        <w:t xml:space="preserve">Duke mbajtur në konsideratë se zbatimi i të drejtave të konsumatorëve është para së gjithash përgjegjësi e strukturave institucionale të lidhura me çështjet e mbrojtjes së konsumatorëve, nevojitet mbështetje dhe lehtësim i bashkëpunimit midis tyre, duke konkluduar në ngritjen e rrjetit të bashkëpunimit për mbrojtjen e konsumatorëve për të trajtuar shkeljet e legjislacionit në të gjitha fushat që prekin të drejtat dhe interesat e tyre, e në veçanti për të vlerësuar efektivitetin e zbatimit në adresimin e praktikave që bien ndesh me ligjin “Për mbrojtjen e konsumatorëve”. </w:t>
      </w:r>
    </w:p>
    <w:p w14:paraId="120D70C0" w14:textId="0A88EA39" w:rsidR="00774A0C" w:rsidRPr="009475CC" w:rsidRDefault="00774A0C" w:rsidP="00805A4A">
      <w:pPr>
        <w:spacing w:line="240" w:lineRule="auto"/>
        <w:jc w:val="both"/>
        <w:rPr>
          <w:rFonts w:cs="Times New Roman"/>
          <w:szCs w:val="24"/>
          <w:lang w:val="sq-AL"/>
        </w:rPr>
      </w:pPr>
      <w:r w:rsidRPr="009475CC">
        <w:rPr>
          <w:rFonts w:cs="Times New Roman"/>
          <w:b/>
          <w:bCs/>
          <w:szCs w:val="24"/>
          <w:lang w:val="sq-AL"/>
        </w:rPr>
        <w:t xml:space="preserve">Masë </w:t>
      </w:r>
      <w:r w:rsidR="00805A4A">
        <w:rPr>
          <w:rFonts w:cs="Times New Roman"/>
          <w:b/>
          <w:bCs/>
          <w:szCs w:val="24"/>
          <w:lang w:val="sq-AL"/>
        </w:rPr>
        <w:t>46.</w:t>
      </w:r>
      <w:r w:rsidRPr="009475CC">
        <w:rPr>
          <w:rFonts w:cs="Times New Roman"/>
          <w:b/>
          <w:bCs/>
          <w:szCs w:val="24"/>
          <w:lang w:val="sq-AL"/>
        </w:rPr>
        <w:t xml:space="preserve">1: </w:t>
      </w:r>
      <w:r w:rsidRPr="009475CC">
        <w:rPr>
          <w:rFonts w:cs="Times New Roman"/>
          <w:szCs w:val="24"/>
          <w:lang w:val="sq-AL"/>
        </w:rPr>
        <w:t>Ngritja e rrjetit të strukturave kompetente të ngarkuara që mbrojnë interesat ekonomike të konsumatorëve</w:t>
      </w:r>
      <w:r w:rsidR="00ED5BA8">
        <w:rPr>
          <w:rFonts w:cs="Times New Roman"/>
          <w:szCs w:val="24"/>
          <w:lang w:val="sq-AL"/>
        </w:rPr>
        <w:t>.</w:t>
      </w:r>
    </w:p>
    <w:p w14:paraId="28AB4061" w14:textId="262949A5" w:rsidR="00774A0C" w:rsidRPr="009475CC" w:rsidRDefault="00774A0C" w:rsidP="00805A4A">
      <w:pPr>
        <w:spacing w:line="240" w:lineRule="auto"/>
        <w:jc w:val="both"/>
        <w:rPr>
          <w:rFonts w:cs="Times New Roman"/>
          <w:szCs w:val="24"/>
          <w:lang w:val="sq-AL"/>
        </w:rPr>
      </w:pPr>
      <w:r w:rsidRPr="009475CC">
        <w:rPr>
          <w:rFonts w:cs="Times New Roman"/>
          <w:szCs w:val="24"/>
          <w:lang w:val="sq-AL"/>
        </w:rPr>
        <w:t>Do të përcaktohen strukturave kompetente që do të jenë pjesë e rrjetit të strukturave në nivel kombëtar, që mbrojnë interesat ekonomike të konsumatorëve, që bashkëpunojnë me njeri tjetrin, në mënyrë që të sigurojnë funksionimin e duhur të tregut, në përputhje me ligjet specifike.Strukturat kompetente do të mundësojnë bashkëpunimin reciprok, shkëmbimin e informacionit, në drejtim të gjetjeve dhe hetimeve administrative të shkeljet e legjislacionit e marrjes së masave për ndalimin e këtyre shkeljeve.</w:t>
      </w:r>
    </w:p>
    <w:p w14:paraId="4CD19FC8" w14:textId="1D42F8C5" w:rsidR="00774A0C" w:rsidRPr="009475CC" w:rsidRDefault="00774A0C" w:rsidP="00805A4A">
      <w:pPr>
        <w:spacing w:line="240" w:lineRule="auto"/>
        <w:jc w:val="both"/>
        <w:rPr>
          <w:rFonts w:cs="Times New Roman"/>
          <w:szCs w:val="24"/>
          <w:lang w:val="sq-AL"/>
        </w:rPr>
      </w:pPr>
      <w:r w:rsidRPr="009475CC">
        <w:rPr>
          <w:rFonts w:cs="Times New Roman"/>
          <w:szCs w:val="24"/>
          <w:lang w:val="sq-AL"/>
        </w:rPr>
        <w:t xml:space="preserve">Ky rrjet </w:t>
      </w:r>
      <w:r w:rsidR="0066581E">
        <w:rPr>
          <w:rFonts w:cs="Times New Roman"/>
          <w:szCs w:val="24"/>
          <w:lang w:val="sq-AL"/>
        </w:rPr>
        <w:t xml:space="preserve">do </w:t>
      </w:r>
      <w:r w:rsidRPr="009475CC">
        <w:rPr>
          <w:rFonts w:cs="Times New Roman"/>
          <w:szCs w:val="24"/>
          <w:lang w:val="sq-AL"/>
        </w:rPr>
        <w:t>të p</w:t>
      </w:r>
      <w:r w:rsidR="00ED5BA8">
        <w:rPr>
          <w:rFonts w:cs="Times New Roman"/>
          <w:szCs w:val="24"/>
          <w:lang w:val="sq-AL"/>
        </w:rPr>
        <w:t>ë</w:t>
      </w:r>
      <w:r w:rsidRPr="009475CC">
        <w:rPr>
          <w:rFonts w:cs="Times New Roman"/>
          <w:szCs w:val="24"/>
          <w:lang w:val="sq-AL"/>
        </w:rPr>
        <w:t>rbëjë bazën për bashkëpunimin e ardhshëm me rrjetet e ngritura në nivel rajonal dhe evropian.</w:t>
      </w:r>
    </w:p>
    <w:p w14:paraId="660B4211" w14:textId="65292757" w:rsidR="00774A0C" w:rsidRPr="009475CC" w:rsidRDefault="00774A0C" w:rsidP="00805A4A">
      <w:pPr>
        <w:spacing w:line="240" w:lineRule="auto"/>
        <w:jc w:val="both"/>
        <w:rPr>
          <w:rFonts w:cs="Times New Roman"/>
          <w:szCs w:val="24"/>
          <w:lang w:val="sq-AL"/>
        </w:rPr>
      </w:pPr>
      <w:r w:rsidRPr="009475CC">
        <w:rPr>
          <w:rFonts w:cs="Times New Roman"/>
          <w:b/>
          <w:bCs/>
          <w:szCs w:val="24"/>
          <w:lang w:val="sq-AL"/>
        </w:rPr>
        <w:t xml:space="preserve">Masë </w:t>
      </w:r>
      <w:r w:rsidR="00805A4A">
        <w:rPr>
          <w:rFonts w:cs="Times New Roman"/>
          <w:b/>
          <w:bCs/>
          <w:szCs w:val="24"/>
          <w:lang w:val="sq-AL"/>
        </w:rPr>
        <w:t>46.</w:t>
      </w:r>
      <w:r w:rsidRPr="009475CC">
        <w:rPr>
          <w:rFonts w:cs="Times New Roman"/>
          <w:b/>
          <w:bCs/>
          <w:szCs w:val="24"/>
          <w:lang w:val="sq-AL"/>
        </w:rPr>
        <w:t>2:</w:t>
      </w:r>
      <w:r w:rsidR="006A0D25">
        <w:rPr>
          <w:rFonts w:cs="Times New Roman"/>
          <w:b/>
          <w:bCs/>
          <w:szCs w:val="24"/>
          <w:lang w:val="sq-AL"/>
        </w:rPr>
        <w:t xml:space="preserve"> </w:t>
      </w:r>
      <w:r w:rsidRPr="009475CC">
        <w:rPr>
          <w:rFonts w:cs="Times New Roman"/>
          <w:szCs w:val="24"/>
          <w:lang w:val="sq-AL"/>
        </w:rPr>
        <w:t>Fuqizimi i punës  së Këshillit Këshilli Bashkërenduese për çështjet e mbrojtjes së konsumatorëve dhe mbikëqyrjes së tregut, si një Grup Këshillues për Politikat e Konsumatorit</w:t>
      </w:r>
      <w:r w:rsidR="00ED5BA8">
        <w:rPr>
          <w:rFonts w:cs="Times New Roman"/>
          <w:szCs w:val="24"/>
          <w:lang w:val="sq-AL"/>
        </w:rPr>
        <w:t>, n</w:t>
      </w:r>
      <w:r w:rsidRPr="009475CC">
        <w:rPr>
          <w:rFonts w:cs="Times New Roman"/>
          <w:szCs w:val="24"/>
          <w:lang w:val="sq-AL"/>
        </w:rPr>
        <w:t>ëpërmjet ndjekjes së formave të ndryshme të bashkëpunimit midis palëve, orientimin e diskutimeve mes tyre për çështjet me të prekshme të konsumatoreve, shkëmbimin e praktikave të mira; zhvillimin e aktiviteteve trajnuese etj.</w:t>
      </w:r>
    </w:p>
    <w:p w14:paraId="029F2E68" w14:textId="6F2B5F40" w:rsidR="00774A0C" w:rsidRPr="009475CC" w:rsidRDefault="00774A0C" w:rsidP="00805A4A">
      <w:pPr>
        <w:spacing w:line="240" w:lineRule="auto"/>
        <w:jc w:val="both"/>
        <w:rPr>
          <w:rFonts w:cs="Times New Roman"/>
          <w:szCs w:val="24"/>
          <w:lang w:val="sq-AL"/>
        </w:rPr>
      </w:pPr>
      <w:r w:rsidRPr="009475CC">
        <w:rPr>
          <w:rFonts w:cs="Times New Roman"/>
          <w:b/>
          <w:bCs/>
          <w:szCs w:val="24"/>
          <w:lang w:val="sq-AL"/>
        </w:rPr>
        <w:t xml:space="preserve">Masë </w:t>
      </w:r>
      <w:r w:rsidR="00805A4A">
        <w:rPr>
          <w:rFonts w:cs="Times New Roman"/>
          <w:b/>
          <w:bCs/>
          <w:szCs w:val="24"/>
          <w:lang w:val="sq-AL"/>
        </w:rPr>
        <w:t>46.</w:t>
      </w:r>
      <w:r w:rsidRPr="009475CC">
        <w:rPr>
          <w:rFonts w:cs="Times New Roman"/>
          <w:b/>
          <w:bCs/>
          <w:szCs w:val="24"/>
          <w:lang w:val="sq-AL"/>
        </w:rPr>
        <w:t>3</w:t>
      </w:r>
      <w:r w:rsidR="006A0D25" w:rsidRPr="009475CC">
        <w:rPr>
          <w:rFonts w:cs="Times New Roman"/>
          <w:b/>
          <w:bCs/>
          <w:szCs w:val="24"/>
          <w:lang w:val="sq-AL"/>
        </w:rPr>
        <w:t xml:space="preserve">: </w:t>
      </w:r>
      <w:r w:rsidRPr="009475CC">
        <w:rPr>
          <w:rFonts w:cs="Times New Roman"/>
          <w:szCs w:val="24"/>
          <w:lang w:val="sq-AL"/>
        </w:rPr>
        <w:t xml:space="preserve">Mbrojtja e konsumatorit në kontekstin rajonal, evropian e global. Do të përbëje prioritet vazhdimi i bashkëpunimit me vendet Ballkanit Perëndimor, integrimi në Bashkimin Evropian dhe me tej në nivel global. </w:t>
      </w:r>
    </w:p>
    <w:p w14:paraId="2FC4016E" w14:textId="25D648A1" w:rsidR="00774A0C" w:rsidRDefault="00774A0C" w:rsidP="009475CC">
      <w:pPr>
        <w:spacing w:after="0" w:line="240" w:lineRule="auto"/>
        <w:jc w:val="both"/>
        <w:rPr>
          <w:rFonts w:cs="Times New Roman"/>
          <w:szCs w:val="24"/>
          <w:lang w:val="sq-AL"/>
        </w:rPr>
      </w:pPr>
      <w:r w:rsidRPr="009475CC">
        <w:rPr>
          <w:rFonts w:cs="Times New Roman"/>
          <w:szCs w:val="24"/>
          <w:lang w:val="sq-AL"/>
        </w:rPr>
        <w:t>Vendet Ballkanit Perëndimor janë veçanërisht të rëndësishme për shkak të afërsisë së tyre gjeografike dhe hapave të përbashkëta të ndjekura në procesin e përafrimit me acquis e BE-së në fushën e mbrojtjes dhe sigurisë së konsumatorit. Standardet e BE-së për mbrojtjen e konsumatorit do të shërbejnë si shembull për vendet tona me struktura më pak të avancuara për mbrojtjen e konsumatorëve.</w:t>
      </w:r>
    </w:p>
    <w:p w14:paraId="28AD069B" w14:textId="77777777" w:rsidR="00805A4A" w:rsidRPr="009475CC" w:rsidRDefault="00805A4A" w:rsidP="009475CC">
      <w:pPr>
        <w:spacing w:after="0" w:line="240" w:lineRule="auto"/>
        <w:jc w:val="both"/>
        <w:rPr>
          <w:rFonts w:cs="Times New Roman"/>
          <w:szCs w:val="24"/>
          <w:lang w:val="sq-AL"/>
        </w:rPr>
      </w:pPr>
    </w:p>
    <w:p w14:paraId="4E7816B0" w14:textId="6317C2BC" w:rsidR="006B3EC7" w:rsidRDefault="00774A0C" w:rsidP="00805A4A">
      <w:pPr>
        <w:spacing w:line="240" w:lineRule="auto"/>
        <w:jc w:val="both"/>
        <w:rPr>
          <w:rFonts w:cs="Times New Roman"/>
          <w:b/>
          <w:iCs/>
          <w:szCs w:val="24"/>
          <w:lang w:val="sq-AL"/>
        </w:rPr>
      </w:pPr>
      <w:r w:rsidRPr="009475CC">
        <w:rPr>
          <w:rFonts w:cs="Times New Roman"/>
          <w:szCs w:val="24"/>
          <w:lang w:val="sq-AL"/>
        </w:rPr>
        <w:t>Bashkëpunimi për çështjet e konsumatorëve është kyç për promovimin e një niveli të lartë mbrojtje dhe të sigurisë së konsumatorëve në nivel global. Do të vijojnë bashkëpunimet me organizatat ndërkombëtare si: Organizata Botërore e Tregtisë (OBT), Konferenca e OKB-së për Tregtinë dhe Zhvillimin (UNCTAD) ose Organizata për Bashkëpunim Ekonomik dhe Zhvillim (OECD), duke i shtrirë edhe për çështjet e mbrojtjes së konsumatorëve dhe sigurisë së produkteve, në ndjekje edhe të rekomandimeve nga Komisioni Evropian.</w:t>
      </w:r>
    </w:p>
    <w:p w14:paraId="2B95F44E" w14:textId="689768C2" w:rsidR="003D5A37" w:rsidRDefault="006A0D25" w:rsidP="006B3EC7">
      <w:pPr>
        <w:spacing w:line="240" w:lineRule="auto"/>
        <w:rPr>
          <w:rFonts w:cs="Times New Roman"/>
          <w:b/>
          <w:iCs/>
          <w:szCs w:val="24"/>
          <w:lang w:val="sq-AL"/>
        </w:rPr>
      </w:pPr>
      <w:r w:rsidRPr="009475CC">
        <w:rPr>
          <w:rFonts w:cs="Times New Roman"/>
          <w:b/>
          <w:iCs/>
          <w:szCs w:val="24"/>
          <w:lang w:val="sq-AL"/>
        </w:rPr>
        <w:t>Indikator</w:t>
      </w:r>
      <w:r w:rsidR="00805A4A">
        <w:rPr>
          <w:rFonts w:cs="Times New Roman"/>
          <w:b/>
          <w:iCs/>
          <w:szCs w:val="24"/>
          <w:lang w:val="sq-AL"/>
        </w:rPr>
        <w:t>ët</w:t>
      </w:r>
      <w:r w:rsidRPr="009475CC">
        <w:rPr>
          <w:rFonts w:cs="Times New Roman"/>
          <w:b/>
          <w:iCs/>
          <w:szCs w:val="24"/>
          <w:lang w:val="sq-AL"/>
        </w:rPr>
        <w:t>:</w:t>
      </w:r>
      <w:r w:rsidR="00A4497F">
        <w:rPr>
          <w:rFonts w:cs="Times New Roman"/>
          <w:b/>
          <w:iCs/>
          <w:szCs w:val="24"/>
          <w:lang w:val="sq-AL"/>
        </w:rPr>
        <w:t xml:space="preserve"> </w:t>
      </w:r>
    </w:p>
    <w:p w14:paraId="20870E00" w14:textId="49274E7A" w:rsidR="00805A4A" w:rsidRPr="00805A4A" w:rsidRDefault="00A4497F" w:rsidP="00623352">
      <w:pPr>
        <w:pStyle w:val="ListParagraph"/>
        <w:numPr>
          <w:ilvl w:val="0"/>
          <w:numId w:val="44"/>
        </w:numPr>
        <w:spacing w:line="240" w:lineRule="auto"/>
        <w:rPr>
          <w:rFonts w:cs="Times New Roman"/>
          <w:b/>
          <w:iCs/>
          <w:szCs w:val="24"/>
          <w:lang w:val="sq-AL"/>
        </w:rPr>
      </w:pPr>
      <w:r w:rsidRPr="00805A4A">
        <w:rPr>
          <w:rFonts w:cs="Times New Roman"/>
          <w:bCs/>
          <w:iCs/>
          <w:szCs w:val="24"/>
          <w:lang w:val="sq-AL"/>
        </w:rPr>
        <w:t>Krijimi i nje databaz</w:t>
      </w:r>
      <w:r w:rsidR="00805A4A">
        <w:rPr>
          <w:rFonts w:cs="Times New Roman"/>
          <w:bCs/>
          <w:iCs/>
          <w:szCs w:val="24"/>
          <w:lang w:val="sq-AL"/>
        </w:rPr>
        <w:t>e</w:t>
      </w:r>
      <w:r w:rsidRPr="00805A4A">
        <w:rPr>
          <w:rFonts w:cs="Times New Roman"/>
          <w:bCs/>
          <w:iCs/>
          <w:szCs w:val="24"/>
          <w:lang w:val="sq-AL"/>
        </w:rPr>
        <w:t xml:space="preserve"> </w:t>
      </w:r>
      <w:r w:rsidR="00805A4A">
        <w:rPr>
          <w:rFonts w:cs="Times New Roman"/>
          <w:bCs/>
          <w:iCs/>
          <w:szCs w:val="24"/>
          <w:lang w:val="sq-AL"/>
        </w:rPr>
        <w:t>të</w:t>
      </w:r>
      <w:r w:rsidRPr="00805A4A">
        <w:rPr>
          <w:rFonts w:cs="Times New Roman"/>
          <w:bCs/>
          <w:iCs/>
          <w:szCs w:val="24"/>
          <w:lang w:val="sq-AL"/>
        </w:rPr>
        <w:t xml:space="preserve"> p</w:t>
      </w:r>
      <w:r w:rsidR="006D61C0" w:rsidRPr="00805A4A">
        <w:rPr>
          <w:rFonts w:cs="Times New Roman"/>
          <w:bCs/>
          <w:iCs/>
          <w:szCs w:val="24"/>
          <w:lang w:val="sq-AL"/>
        </w:rPr>
        <w:t>ë</w:t>
      </w:r>
      <w:r w:rsidRPr="00805A4A">
        <w:rPr>
          <w:rFonts w:cs="Times New Roman"/>
          <w:bCs/>
          <w:iCs/>
          <w:szCs w:val="24"/>
          <w:lang w:val="sq-AL"/>
        </w:rPr>
        <w:t>rfaq</w:t>
      </w:r>
      <w:r w:rsidR="006D61C0" w:rsidRPr="00805A4A">
        <w:rPr>
          <w:rFonts w:cs="Times New Roman"/>
          <w:bCs/>
          <w:iCs/>
          <w:szCs w:val="24"/>
          <w:lang w:val="sq-AL"/>
        </w:rPr>
        <w:t>ë</w:t>
      </w:r>
      <w:r w:rsidRPr="00805A4A">
        <w:rPr>
          <w:rFonts w:cs="Times New Roman"/>
          <w:bCs/>
          <w:iCs/>
          <w:szCs w:val="24"/>
          <w:lang w:val="sq-AL"/>
        </w:rPr>
        <w:t>suesve t</w:t>
      </w:r>
      <w:r w:rsidR="006D61C0" w:rsidRPr="00805A4A">
        <w:rPr>
          <w:rFonts w:cs="Times New Roman"/>
          <w:bCs/>
          <w:iCs/>
          <w:szCs w:val="24"/>
          <w:lang w:val="sq-AL"/>
        </w:rPr>
        <w:t>ë</w:t>
      </w:r>
      <w:r w:rsidRPr="00805A4A">
        <w:rPr>
          <w:rFonts w:cs="Times New Roman"/>
          <w:bCs/>
          <w:iCs/>
          <w:szCs w:val="24"/>
          <w:lang w:val="sq-AL"/>
        </w:rPr>
        <w:t xml:space="preserve"> stukturave kompetente</w:t>
      </w:r>
      <w:r w:rsidRPr="00805A4A">
        <w:rPr>
          <w:bCs/>
        </w:rPr>
        <w:t xml:space="preserve"> </w:t>
      </w:r>
      <w:r w:rsidRPr="00805A4A">
        <w:rPr>
          <w:rFonts w:cs="Times New Roman"/>
          <w:bCs/>
          <w:iCs/>
          <w:szCs w:val="24"/>
          <w:lang w:val="sq-AL"/>
        </w:rPr>
        <w:t>që mbrojnë interesat ekonomike të konsumatorëve.</w:t>
      </w:r>
      <w:r w:rsidRPr="00805A4A">
        <w:rPr>
          <w:rFonts w:cs="Times New Roman"/>
          <w:b/>
          <w:iCs/>
          <w:szCs w:val="24"/>
          <w:lang w:val="sq-AL"/>
        </w:rPr>
        <w:t xml:space="preserve">  </w:t>
      </w:r>
    </w:p>
    <w:p w14:paraId="111EC649" w14:textId="50013252" w:rsidR="00A4497F" w:rsidRPr="00805A4A" w:rsidRDefault="00A4497F" w:rsidP="00623352">
      <w:pPr>
        <w:pStyle w:val="ListParagraph"/>
        <w:numPr>
          <w:ilvl w:val="0"/>
          <w:numId w:val="44"/>
        </w:numPr>
        <w:spacing w:line="240" w:lineRule="auto"/>
        <w:rPr>
          <w:rFonts w:cs="Times New Roman"/>
          <w:b/>
          <w:iCs/>
          <w:szCs w:val="24"/>
          <w:lang w:val="sq-AL"/>
        </w:rPr>
      </w:pPr>
      <w:r w:rsidRPr="00805A4A">
        <w:rPr>
          <w:rFonts w:cs="Times New Roman"/>
          <w:bCs/>
          <w:iCs/>
          <w:szCs w:val="24"/>
          <w:lang w:val="sq-AL"/>
        </w:rPr>
        <w:t xml:space="preserve">Zhvillimi i </w:t>
      </w:r>
      <w:r w:rsidR="0099431E" w:rsidRPr="00805A4A">
        <w:rPr>
          <w:rFonts w:cs="Times New Roman"/>
          <w:bCs/>
          <w:iCs/>
          <w:szCs w:val="24"/>
          <w:lang w:val="sq-AL"/>
        </w:rPr>
        <w:t xml:space="preserve"> dy (2) </w:t>
      </w:r>
      <w:r w:rsidRPr="00805A4A">
        <w:rPr>
          <w:rFonts w:cs="Times New Roman"/>
          <w:bCs/>
          <w:iCs/>
          <w:szCs w:val="24"/>
          <w:lang w:val="sq-AL"/>
        </w:rPr>
        <w:t xml:space="preserve">i trajnimeve </w:t>
      </w:r>
      <w:r w:rsidR="007823A1">
        <w:rPr>
          <w:rFonts w:cs="Times New Roman"/>
          <w:bCs/>
          <w:iCs/>
          <w:szCs w:val="24"/>
          <w:lang w:val="sq-AL"/>
        </w:rPr>
        <w:t xml:space="preserve"> </w:t>
      </w:r>
      <w:r w:rsidRPr="00805A4A">
        <w:rPr>
          <w:rFonts w:cs="Times New Roman"/>
          <w:bCs/>
          <w:iCs/>
          <w:szCs w:val="24"/>
          <w:lang w:val="sq-AL"/>
        </w:rPr>
        <w:t>Fuqizimi i punës  së Këshillit Këshilli Bashkërenduese për çështjet e mbrojtjes së konsumatorëve dhe mbikëqyrjes së tregut</w:t>
      </w:r>
    </w:p>
    <w:p w14:paraId="7D9E9014" w14:textId="08C01EDA" w:rsidR="006A0D25" w:rsidRPr="002C3B0C" w:rsidRDefault="006A0D25" w:rsidP="00805A4A">
      <w:pPr>
        <w:pStyle w:val="Heading4"/>
        <w:rPr>
          <w:lang w:val="sq-AL"/>
        </w:rPr>
      </w:pPr>
      <w:bookmarkStart w:id="190" w:name="_Toc132277406"/>
      <w:r w:rsidRPr="002C3B0C">
        <w:rPr>
          <w:lang w:val="sq-AL"/>
        </w:rPr>
        <w:lastRenderedPageBreak/>
        <w:t>Ministria e Turizmit dhe Mjedisit</w:t>
      </w:r>
      <w:bookmarkEnd w:id="190"/>
    </w:p>
    <w:tbl>
      <w:tblPr>
        <w:tblStyle w:val="TableGrid"/>
        <w:tblW w:w="0" w:type="auto"/>
        <w:tblLook w:val="04A0" w:firstRow="1" w:lastRow="0" w:firstColumn="1" w:lastColumn="0" w:noHBand="0" w:noVBand="1"/>
      </w:tblPr>
      <w:tblGrid>
        <w:gridCol w:w="9016"/>
      </w:tblGrid>
      <w:tr w:rsidR="00805A4A" w14:paraId="7E226621" w14:textId="77777777" w:rsidTr="00805A4A">
        <w:tc>
          <w:tcPr>
            <w:tcW w:w="9016" w:type="dxa"/>
          </w:tcPr>
          <w:p w14:paraId="37866BA8" w14:textId="6DF1FE34" w:rsidR="00805A4A" w:rsidRDefault="00805A4A" w:rsidP="00805A4A">
            <w:pPr>
              <w:jc w:val="both"/>
              <w:rPr>
                <w:rFonts w:cs="Times New Roman"/>
                <w:szCs w:val="24"/>
              </w:rPr>
            </w:pPr>
            <w:r w:rsidRPr="009475CC">
              <w:rPr>
                <w:rFonts w:cs="Times New Roman"/>
                <w:b/>
                <w:bCs/>
                <w:szCs w:val="24"/>
              </w:rPr>
              <w:t xml:space="preserve">Objektivi </w:t>
            </w:r>
            <w:r>
              <w:rPr>
                <w:rFonts w:cs="Times New Roman"/>
                <w:b/>
                <w:bCs/>
                <w:szCs w:val="24"/>
              </w:rPr>
              <w:t>47</w:t>
            </w:r>
            <w:r w:rsidRPr="009475CC">
              <w:rPr>
                <w:rFonts w:cs="Times New Roman"/>
                <w:b/>
                <w:bCs/>
                <w:szCs w:val="24"/>
              </w:rPr>
              <w:t>:</w:t>
            </w:r>
            <w:r w:rsidRPr="00F32E3B">
              <w:rPr>
                <w:rFonts w:cs="Times New Roman"/>
                <w:szCs w:val="24"/>
              </w:rPr>
              <w:t xml:space="preserve"> </w:t>
            </w:r>
          </w:p>
          <w:p w14:paraId="59EBBAD0" w14:textId="4D1B9DED" w:rsidR="00805A4A" w:rsidRPr="00F32E3B" w:rsidRDefault="00805A4A" w:rsidP="00805A4A">
            <w:pPr>
              <w:jc w:val="both"/>
              <w:rPr>
                <w:rFonts w:cs="Times New Roman"/>
                <w:szCs w:val="24"/>
              </w:rPr>
            </w:pPr>
            <w:r w:rsidRPr="00F32E3B">
              <w:rPr>
                <w:rFonts w:cs="Times New Roman"/>
                <w:szCs w:val="24"/>
              </w:rPr>
              <w:t xml:space="preserve">Rritja e shkallës </w:t>
            </w:r>
            <w:r>
              <w:rPr>
                <w:rFonts w:cs="Times New Roman"/>
                <w:szCs w:val="24"/>
              </w:rPr>
              <w:t>së</w:t>
            </w:r>
            <w:r w:rsidRPr="00F32E3B">
              <w:rPr>
                <w:rFonts w:cs="Times New Roman"/>
                <w:szCs w:val="24"/>
              </w:rPr>
              <w:t xml:space="preserve"> </w:t>
            </w:r>
            <w:r>
              <w:rPr>
                <w:rFonts w:cs="Times New Roman"/>
                <w:szCs w:val="24"/>
              </w:rPr>
              <w:t xml:space="preserve">ndërgjegjësimit të </w:t>
            </w:r>
            <w:r w:rsidRPr="00F32E3B">
              <w:rPr>
                <w:rFonts w:cs="Times New Roman"/>
                <w:szCs w:val="24"/>
              </w:rPr>
              <w:t>konsum</w:t>
            </w:r>
            <w:r>
              <w:rPr>
                <w:rFonts w:cs="Times New Roman"/>
                <w:szCs w:val="24"/>
              </w:rPr>
              <w:t>a</w:t>
            </w:r>
            <w:r w:rsidRPr="00F32E3B">
              <w:rPr>
                <w:rFonts w:cs="Times New Roman"/>
                <w:szCs w:val="24"/>
              </w:rPr>
              <w:t xml:space="preserve">torit dhe operatorit turistik mbi drejtat dhe detyrimet. </w:t>
            </w:r>
          </w:p>
          <w:p w14:paraId="777FD52F" w14:textId="77777777" w:rsidR="00805A4A" w:rsidRDefault="00805A4A" w:rsidP="0033680B">
            <w:pPr>
              <w:pStyle w:val="HTMLPreformatted"/>
              <w:jc w:val="both"/>
              <w:rPr>
                <w:rStyle w:val="y2iqfc"/>
                <w:rFonts w:ascii="Times New Roman" w:hAnsi="Times New Roman" w:cs="Times New Roman"/>
                <w:b/>
                <w:bCs/>
                <w:sz w:val="24"/>
                <w:szCs w:val="24"/>
              </w:rPr>
            </w:pPr>
          </w:p>
        </w:tc>
      </w:tr>
    </w:tbl>
    <w:p w14:paraId="16334936" w14:textId="77777777" w:rsidR="0033680B" w:rsidRPr="009475CC" w:rsidRDefault="0033680B" w:rsidP="0033680B">
      <w:pPr>
        <w:pStyle w:val="HTMLPreformatted"/>
        <w:jc w:val="both"/>
        <w:rPr>
          <w:rStyle w:val="y2iqfc"/>
          <w:rFonts w:ascii="Times New Roman" w:hAnsi="Times New Roman" w:cs="Times New Roman"/>
          <w:b/>
          <w:bCs/>
          <w:sz w:val="24"/>
          <w:szCs w:val="24"/>
        </w:rPr>
      </w:pPr>
    </w:p>
    <w:p w14:paraId="4CB25A51" w14:textId="0152C4FE" w:rsidR="0033680B" w:rsidRPr="00F32E3B" w:rsidRDefault="0033680B" w:rsidP="00805A4A">
      <w:pPr>
        <w:spacing w:line="240" w:lineRule="auto"/>
        <w:jc w:val="both"/>
        <w:rPr>
          <w:rFonts w:cs="Times New Roman"/>
          <w:szCs w:val="24"/>
        </w:rPr>
      </w:pPr>
      <w:r w:rsidRPr="009475CC">
        <w:rPr>
          <w:rFonts w:cs="Times New Roman"/>
          <w:b/>
          <w:bCs/>
          <w:szCs w:val="24"/>
        </w:rPr>
        <w:t xml:space="preserve">Masa </w:t>
      </w:r>
      <w:r w:rsidR="00805A4A">
        <w:rPr>
          <w:rFonts w:cs="Times New Roman"/>
          <w:b/>
          <w:bCs/>
          <w:szCs w:val="24"/>
        </w:rPr>
        <w:t>47.</w:t>
      </w:r>
      <w:r w:rsidRPr="009475CC">
        <w:rPr>
          <w:rFonts w:cs="Times New Roman"/>
          <w:b/>
          <w:bCs/>
          <w:szCs w:val="24"/>
        </w:rPr>
        <w:t>1:</w:t>
      </w:r>
      <w:r>
        <w:rPr>
          <w:rFonts w:cs="Times New Roman"/>
          <w:szCs w:val="24"/>
        </w:rPr>
        <w:t xml:space="preserve"> </w:t>
      </w:r>
      <w:r w:rsidRPr="00F32E3B">
        <w:rPr>
          <w:rFonts w:cs="Times New Roman"/>
          <w:szCs w:val="24"/>
        </w:rPr>
        <w:t>Publikimi n</w:t>
      </w:r>
      <w:r w:rsidR="002C3B0C">
        <w:rPr>
          <w:rFonts w:cs="Times New Roman"/>
          <w:szCs w:val="24"/>
        </w:rPr>
        <w:t>ë</w:t>
      </w:r>
      <w:r w:rsidRPr="00F32E3B">
        <w:rPr>
          <w:rFonts w:cs="Times New Roman"/>
          <w:szCs w:val="24"/>
        </w:rPr>
        <w:t xml:space="preserve"> faqet zyrtare t</w:t>
      </w:r>
      <w:r w:rsidR="002C3B0C">
        <w:rPr>
          <w:rFonts w:cs="Times New Roman"/>
          <w:szCs w:val="24"/>
        </w:rPr>
        <w:t xml:space="preserve">ë </w:t>
      </w:r>
      <w:r w:rsidR="00805A4A">
        <w:rPr>
          <w:rFonts w:cs="Times New Roman"/>
          <w:szCs w:val="24"/>
        </w:rPr>
        <w:t>ministries përgjegjëse</w:t>
      </w:r>
      <w:r w:rsidRPr="00F32E3B">
        <w:rPr>
          <w:rFonts w:cs="Times New Roman"/>
          <w:szCs w:val="24"/>
        </w:rPr>
        <w:t xml:space="preserve"> </w:t>
      </w:r>
      <w:r w:rsidR="00805A4A">
        <w:rPr>
          <w:rFonts w:cs="Times New Roman"/>
          <w:szCs w:val="24"/>
        </w:rPr>
        <w:t xml:space="preserve">për turizmin </w:t>
      </w:r>
      <w:r w:rsidRPr="00F32E3B">
        <w:rPr>
          <w:rFonts w:cs="Times New Roman"/>
          <w:szCs w:val="24"/>
        </w:rPr>
        <w:t>dhe institucioneve t</w:t>
      </w:r>
      <w:r w:rsidR="002C3B0C">
        <w:rPr>
          <w:rFonts w:cs="Times New Roman"/>
          <w:szCs w:val="24"/>
        </w:rPr>
        <w:t>ë</w:t>
      </w:r>
      <w:r w:rsidRPr="00F32E3B">
        <w:rPr>
          <w:rFonts w:cs="Times New Roman"/>
          <w:szCs w:val="24"/>
        </w:rPr>
        <w:t xml:space="preserve"> var</w:t>
      </w:r>
      <w:r w:rsidR="002C3B0C">
        <w:rPr>
          <w:rFonts w:cs="Times New Roman"/>
          <w:szCs w:val="24"/>
        </w:rPr>
        <w:t>ë</w:t>
      </w:r>
      <w:r w:rsidRPr="00F32E3B">
        <w:rPr>
          <w:rFonts w:cs="Times New Roman"/>
          <w:szCs w:val="24"/>
        </w:rPr>
        <w:t>sis</w:t>
      </w:r>
      <w:r w:rsidR="002C3B0C">
        <w:rPr>
          <w:rFonts w:cs="Times New Roman"/>
          <w:szCs w:val="24"/>
        </w:rPr>
        <w:t>ë</w:t>
      </w:r>
      <w:r w:rsidRPr="00F32E3B">
        <w:rPr>
          <w:rFonts w:cs="Times New Roman"/>
          <w:szCs w:val="24"/>
        </w:rPr>
        <w:t xml:space="preserve"> t</w:t>
      </w:r>
      <w:r w:rsidR="002C3B0C">
        <w:rPr>
          <w:rFonts w:cs="Times New Roman"/>
          <w:szCs w:val="24"/>
        </w:rPr>
        <w:t>ë</w:t>
      </w:r>
      <w:r w:rsidRPr="00F32E3B">
        <w:rPr>
          <w:rFonts w:cs="Times New Roman"/>
          <w:szCs w:val="24"/>
        </w:rPr>
        <w:t xml:space="preserve"> </w:t>
      </w:r>
      <w:r w:rsidR="002C3B0C">
        <w:rPr>
          <w:rFonts w:cs="Times New Roman"/>
          <w:szCs w:val="24"/>
        </w:rPr>
        <w:t>i</w:t>
      </w:r>
      <w:r w:rsidRPr="00F32E3B">
        <w:rPr>
          <w:rFonts w:cs="Times New Roman"/>
          <w:szCs w:val="24"/>
        </w:rPr>
        <w:t>nformacioneve me p</w:t>
      </w:r>
      <w:r w:rsidR="002C3B0C">
        <w:rPr>
          <w:rFonts w:cs="Times New Roman"/>
          <w:szCs w:val="24"/>
        </w:rPr>
        <w:t>ë</w:t>
      </w:r>
      <w:r w:rsidRPr="00F32E3B">
        <w:rPr>
          <w:rFonts w:cs="Times New Roman"/>
          <w:szCs w:val="24"/>
        </w:rPr>
        <w:t>rmbajtje mbi t</w:t>
      </w:r>
      <w:r w:rsidR="002C3B0C">
        <w:rPr>
          <w:rFonts w:cs="Times New Roman"/>
          <w:szCs w:val="24"/>
        </w:rPr>
        <w:t>ë</w:t>
      </w:r>
      <w:r w:rsidRPr="00F32E3B">
        <w:rPr>
          <w:rFonts w:cs="Times New Roman"/>
          <w:szCs w:val="24"/>
        </w:rPr>
        <w:t xml:space="preserve"> drejtat e turist</w:t>
      </w:r>
      <w:r w:rsidR="002C3B0C">
        <w:rPr>
          <w:rFonts w:cs="Times New Roman"/>
          <w:szCs w:val="24"/>
        </w:rPr>
        <w:t>ë</w:t>
      </w:r>
      <w:r w:rsidRPr="00F32E3B">
        <w:rPr>
          <w:rFonts w:cs="Times New Roman"/>
          <w:szCs w:val="24"/>
        </w:rPr>
        <w:t>ve.</w:t>
      </w:r>
    </w:p>
    <w:p w14:paraId="713FBC99" w14:textId="5F5BF726" w:rsidR="0033680B" w:rsidRPr="00F32E3B" w:rsidRDefault="0033680B" w:rsidP="00805A4A">
      <w:pPr>
        <w:spacing w:line="240" w:lineRule="auto"/>
        <w:jc w:val="both"/>
        <w:rPr>
          <w:rFonts w:cs="Times New Roman"/>
          <w:szCs w:val="24"/>
        </w:rPr>
      </w:pPr>
      <w:r w:rsidRPr="009475CC">
        <w:rPr>
          <w:rFonts w:cs="Times New Roman"/>
          <w:b/>
          <w:bCs/>
          <w:szCs w:val="24"/>
        </w:rPr>
        <w:t xml:space="preserve">Masa </w:t>
      </w:r>
      <w:r w:rsidR="00805A4A">
        <w:rPr>
          <w:rFonts w:cs="Times New Roman"/>
          <w:b/>
          <w:bCs/>
          <w:szCs w:val="24"/>
        </w:rPr>
        <w:t>47.</w:t>
      </w:r>
      <w:r w:rsidRPr="009475CC">
        <w:rPr>
          <w:rFonts w:cs="Times New Roman"/>
          <w:b/>
          <w:bCs/>
          <w:szCs w:val="24"/>
        </w:rPr>
        <w:t>2</w:t>
      </w:r>
      <w:r>
        <w:rPr>
          <w:rFonts w:cs="Times New Roman"/>
          <w:szCs w:val="24"/>
        </w:rPr>
        <w:t>: K</w:t>
      </w:r>
      <w:r w:rsidRPr="00F32E3B">
        <w:rPr>
          <w:rFonts w:cs="Times New Roman"/>
          <w:szCs w:val="24"/>
        </w:rPr>
        <w:t xml:space="preserve">rijimi </w:t>
      </w:r>
      <w:r w:rsidR="002C3B0C">
        <w:rPr>
          <w:rFonts w:cs="Times New Roman"/>
          <w:szCs w:val="24"/>
        </w:rPr>
        <w:t>i</w:t>
      </w:r>
      <w:r w:rsidRPr="00F32E3B">
        <w:rPr>
          <w:rFonts w:cs="Times New Roman"/>
          <w:szCs w:val="24"/>
        </w:rPr>
        <w:t xml:space="preserve"> rubrikes </w:t>
      </w:r>
      <w:r w:rsidR="00805A4A">
        <w:rPr>
          <w:rFonts w:cs="Times New Roman"/>
          <w:szCs w:val="24"/>
        </w:rPr>
        <w:t>në</w:t>
      </w:r>
      <w:r w:rsidR="00805A4A" w:rsidRPr="00F32E3B">
        <w:rPr>
          <w:rFonts w:cs="Times New Roman"/>
          <w:szCs w:val="24"/>
        </w:rPr>
        <w:t xml:space="preserve"> </w:t>
      </w:r>
      <w:r w:rsidRPr="00F32E3B">
        <w:rPr>
          <w:rFonts w:cs="Times New Roman"/>
          <w:szCs w:val="24"/>
        </w:rPr>
        <w:t>faqja zyrtare p</w:t>
      </w:r>
      <w:r w:rsidR="002C3B0C">
        <w:rPr>
          <w:rFonts w:cs="Times New Roman"/>
          <w:szCs w:val="24"/>
        </w:rPr>
        <w:t>ë</w:t>
      </w:r>
      <w:r w:rsidRPr="00F32E3B">
        <w:rPr>
          <w:rFonts w:cs="Times New Roman"/>
          <w:szCs w:val="24"/>
        </w:rPr>
        <w:t>r mbrojt</w:t>
      </w:r>
      <w:r w:rsidR="002C3B0C">
        <w:rPr>
          <w:rFonts w:cs="Times New Roman"/>
          <w:szCs w:val="24"/>
        </w:rPr>
        <w:t>j</w:t>
      </w:r>
      <w:r w:rsidRPr="00F32E3B">
        <w:rPr>
          <w:rFonts w:cs="Times New Roman"/>
          <w:szCs w:val="24"/>
        </w:rPr>
        <w:t>en e kon</w:t>
      </w:r>
      <w:r w:rsidR="002C3B0C">
        <w:rPr>
          <w:rFonts w:cs="Times New Roman"/>
          <w:szCs w:val="24"/>
        </w:rPr>
        <w:t>s</w:t>
      </w:r>
      <w:r w:rsidRPr="00F32E3B">
        <w:rPr>
          <w:rFonts w:cs="Times New Roman"/>
          <w:szCs w:val="24"/>
        </w:rPr>
        <w:t>um</w:t>
      </w:r>
      <w:r w:rsidR="002C3B0C">
        <w:rPr>
          <w:rFonts w:cs="Times New Roman"/>
          <w:szCs w:val="24"/>
        </w:rPr>
        <w:t>ato</w:t>
      </w:r>
      <w:r w:rsidRPr="00F32E3B">
        <w:rPr>
          <w:rFonts w:cs="Times New Roman"/>
          <w:szCs w:val="24"/>
        </w:rPr>
        <w:t>rit si turist mbi informin dhe nd</w:t>
      </w:r>
      <w:r w:rsidR="002C3B0C">
        <w:rPr>
          <w:rFonts w:cs="Times New Roman"/>
          <w:szCs w:val="24"/>
        </w:rPr>
        <w:t>ë</w:t>
      </w:r>
      <w:r w:rsidRPr="00F32E3B">
        <w:rPr>
          <w:rFonts w:cs="Times New Roman"/>
          <w:szCs w:val="24"/>
        </w:rPr>
        <w:t>rgjegj</w:t>
      </w:r>
      <w:r w:rsidR="002C3B0C">
        <w:rPr>
          <w:rFonts w:cs="Times New Roman"/>
          <w:szCs w:val="24"/>
        </w:rPr>
        <w:t>ë</w:t>
      </w:r>
      <w:r w:rsidRPr="00F32E3B">
        <w:rPr>
          <w:rFonts w:cs="Times New Roman"/>
          <w:szCs w:val="24"/>
        </w:rPr>
        <w:t>simin e tyre</w:t>
      </w:r>
      <w:r w:rsidR="002C3B0C">
        <w:rPr>
          <w:rFonts w:cs="Times New Roman"/>
          <w:szCs w:val="24"/>
        </w:rPr>
        <w:t>.</w:t>
      </w:r>
    </w:p>
    <w:p w14:paraId="76F54C54" w14:textId="77777777" w:rsidR="002C3B0C" w:rsidRDefault="0033680B" w:rsidP="00805A4A">
      <w:pPr>
        <w:spacing w:line="240" w:lineRule="auto"/>
        <w:jc w:val="both"/>
        <w:rPr>
          <w:rFonts w:cs="Times New Roman"/>
          <w:szCs w:val="24"/>
        </w:rPr>
      </w:pPr>
      <w:r w:rsidRPr="002C3B0C">
        <w:rPr>
          <w:rFonts w:cs="Times New Roman"/>
          <w:b/>
          <w:bCs/>
          <w:szCs w:val="24"/>
        </w:rPr>
        <w:t>Indikato</w:t>
      </w:r>
      <w:r w:rsidR="002C3B0C" w:rsidRPr="002C3B0C">
        <w:rPr>
          <w:rFonts w:cs="Times New Roman"/>
          <w:b/>
          <w:bCs/>
          <w:szCs w:val="24"/>
        </w:rPr>
        <w:t>ri</w:t>
      </w:r>
      <w:r w:rsidRPr="002C3B0C">
        <w:rPr>
          <w:rFonts w:cs="Times New Roman"/>
          <w:b/>
          <w:bCs/>
          <w:szCs w:val="24"/>
        </w:rPr>
        <w:t>:</w:t>
      </w:r>
      <w:r w:rsidRPr="002C3B0C">
        <w:rPr>
          <w:rFonts w:cs="Times New Roman"/>
          <w:szCs w:val="24"/>
        </w:rPr>
        <w:t xml:space="preserve"> </w:t>
      </w:r>
    </w:p>
    <w:p w14:paraId="2AAC9EF3" w14:textId="66255375" w:rsidR="002C3B0C" w:rsidRDefault="00805A4A" w:rsidP="00623352">
      <w:pPr>
        <w:pStyle w:val="ListParagraph"/>
        <w:numPr>
          <w:ilvl w:val="0"/>
          <w:numId w:val="25"/>
        </w:numPr>
        <w:spacing w:after="0" w:line="240" w:lineRule="auto"/>
        <w:jc w:val="both"/>
        <w:rPr>
          <w:rFonts w:cs="Times New Roman"/>
          <w:szCs w:val="24"/>
        </w:rPr>
      </w:pPr>
      <w:r>
        <w:rPr>
          <w:rFonts w:cs="Times New Roman"/>
          <w:szCs w:val="24"/>
        </w:rPr>
        <w:t>Krijimi i r</w:t>
      </w:r>
      <w:r w:rsidR="0033680B" w:rsidRPr="002C3B0C">
        <w:rPr>
          <w:rFonts w:cs="Times New Roman"/>
          <w:szCs w:val="24"/>
        </w:rPr>
        <w:t>ubrikave funk</w:t>
      </w:r>
      <w:r w:rsidR="002C3B0C" w:rsidRPr="002C3B0C">
        <w:rPr>
          <w:rFonts w:cs="Times New Roman"/>
          <w:szCs w:val="24"/>
        </w:rPr>
        <w:t>si</w:t>
      </w:r>
      <w:r w:rsidR="0033680B" w:rsidRPr="002C3B0C">
        <w:rPr>
          <w:rFonts w:cs="Times New Roman"/>
          <w:szCs w:val="24"/>
        </w:rPr>
        <w:t>onale mbi nd</w:t>
      </w:r>
      <w:r w:rsidR="002C3B0C" w:rsidRPr="002C3B0C">
        <w:rPr>
          <w:rFonts w:cs="Times New Roman"/>
          <w:szCs w:val="24"/>
        </w:rPr>
        <w:t>ë</w:t>
      </w:r>
      <w:r w:rsidR="0033680B" w:rsidRPr="002C3B0C">
        <w:rPr>
          <w:rFonts w:cs="Times New Roman"/>
          <w:szCs w:val="24"/>
        </w:rPr>
        <w:t>rgjegj</w:t>
      </w:r>
      <w:r w:rsidR="002C3B0C" w:rsidRPr="002C3B0C">
        <w:rPr>
          <w:rFonts w:cs="Times New Roman"/>
          <w:szCs w:val="24"/>
        </w:rPr>
        <w:t>ë</w:t>
      </w:r>
      <w:r w:rsidR="0033680B" w:rsidRPr="002C3B0C">
        <w:rPr>
          <w:rFonts w:cs="Times New Roman"/>
          <w:szCs w:val="24"/>
        </w:rPr>
        <w:t>simin e oper</w:t>
      </w:r>
      <w:r w:rsidR="002C3B0C" w:rsidRPr="002C3B0C">
        <w:rPr>
          <w:rFonts w:cs="Times New Roman"/>
          <w:szCs w:val="24"/>
        </w:rPr>
        <w:t>a</w:t>
      </w:r>
      <w:r w:rsidR="0033680B" w:rsidRPr="002C3B0C">
        <w:rPr>
          <w:rFonts w:cs="Times New Roman"/>
          <w:szCs w:val="24"/>
        </w:rPr>
        <w:t>t</w:t>
      </w:r>
      <w:r w:rsidR="002C3B0C" w:rsidRPr="002C3B0C">
        <w:rPr>
          <w:rFonts w:cs="Times New Roman"/>
          <w:szCs w:val="24"/>
        </w:rPr>
        <w:t>o</w:t>
      </w:r>
      <w:r w:rsidR="0033680B" w:rsidRPr="002C3B0C">
        <w:rPr>
          <w:rFonts w:cs="Times New Roman"/>
          <w:szCs w:val="24"/>
        </w:rPr>
        <w:t>r</w:t>
      </w:r>
      <w:r w:rsidR="002C3B0C" w:rsidRPr="002C3B0C">
        <w:rPr>
          <w:rFonts w:cs="Times New Roman"/>
          <w:szCs w:val="24"/>
        </w:rPr>
        <w:t>ë</w:t>
      </w:r>
      <w:r w:rsidR="0033680B" w:rsidRPr="002C3B0C">
        <w:rPr>
          <w:rFonts w:cs="Times New Roman"/>
          <w:szCs w:val="24"/>
        </w:rPr>
        <w:t>ve ekonomik</w:t>
      </w:r>
      <w:r w:rsidR="002C3B0C" w:rsidRPr="002C3B0C">
        <w:rPr>
          <w:rFonts w:cs="Times New Roman"/>
          <w:szCs w:val="24"/>
        </w:rPr>
        <w:t>ë</w:t>
      </w:r>
      <w:r w:rsidR="0033680B" w:rsidRPr="002C3B0C">
        <w:rPr>
          <w:rFonts w:cs="Times New Roman"/>
          <w:szCs w:val="24"/>
        </w:rPr>
        <w:t xml:space="preserve"> dhe turistëve.  </w:t>
      </w:r>
    </w:p>
    <w:p w14:paraId="0875D3F7" w14:textId="4DA44659" w:rsidR="00AD558F" w:rsidRPr="00805A4A" w:rsidRDefault="0033680B" w:rsidP="00623352">
      <w:pPr>
        <w:pStyle w:val="ListParagraph"/>
        <w:numPr>
          <w:ilvl w:val="0"/>
          <w:numId w:val="25"/>
        </w:numPr>
        <w:spacing w:after="0" w:line="240" w:lineRule="auto"/>
        <w:jc w:val="both"/>
        <w:rPr>
          <w:rFonts w:cs="Times New Roman"/>
          <w:szCs w:val="24"/>
        </w:rPr>
      </w:pPr>
      <w:r w:rsidRPr="002C3B0C">
        <w:rPr>
          <w:rFonts w:cs="Times New Roman"/>
          <w:szCs w:val="24"/>
        </w:rPr>
        <w:t>Publikimeve e 6 temave mbi te drejtat dhe detyrimet.</w:t>
      </w:r>
    </w:p>
    <w:p w14:paraId="4C59E9CD" w14:textId="323C4431" w:rsidR="00AD558F" w:rsidRPr="002C3B0C" w:rsidRDefault="00AD558F" w:rsidP="00805A4A">
      <w:pPr>
        <w:pStyle w:val="Heading4"/>
        <w:rPr>
          <w:lang w:val="sq-AL"/>
        </w:rPr>
      </w:pPr>
      <w:bookmarkStart w:id="191" w:name="_Toc132277407"/>
      <w:r w:rsidRPr="002C3B0C">
        <w:rPr>
          <w:lang w:val="sq-AL"/>
        </w:rPr>
        <w:t>Enti Rregullator i Energjisë</w:t>
      </w:r>
      <w:bookmarkEnd w:id="191"/>
    </w:p>
    <w:tbl>
      <w:tblPr>
        <w:tblStyle w:val="TableGrid"/>
        <w:tblW w:w="0" w:type="auto"/>
        <w:tblLook w:val="04A0" w:firstRow="1" w:lastRow="0" w:firstColumn="1" w:lastColumn="0" w:noHBand="0" w:noVBand="1"/>
      </w:tblPr>
      <w:tblGrid>
        <w:gridCol w:w="9016"/>
      </w:tblGrid>
      <w:tr w:rsidR="00805A4A" w14:paraId="1C11DFEE" w14:textId="77777777" w:rsidTr="00805A4A">
        <w:tc>
          <w:tcPr>
            <w:tcW w:w="9016" w:type="dxa"/>
          </w:tcPr>
          <w:p w14:paraId="649AD68F" w14:textId="40FF8EF6" w:rsidR="00805A4A" w:rsidRDefault="00805A4A" w:rsidP="00805A4A">
            <w:pPr>
              <w:jc w:val="both"/>
              <w:rPr>
                <w:rFonts w:cs="Times New Roman"/>
                <w:b/>
                <w:szCs w:val="24"/>
              </w:rPr>
            </w:pPr>
            <w:r w:rsidRPr="00F32E3B">
              <w:rPr>
                <w:rFonts w:cs="Times New Roman"/>
                <w:b/>
                <w:szCs w:val="24"/>
              </w:rPr>
              <w:t>Objektiv</w:t>
            </w:r>
            <w:r>
              <w:rPr>
                <w:rFonts w:cs="Times New Roman"/>
                <w:b/>
                <w:szCs w:val="24"/>
              </w:rPr>
              <w:t>i</w:t>
            </w:r>
            <w:r w:rsidRPr="00F32E3B">
              <w:rPr>
                <w:rFonts w:cs="Times New Roman"/>
                <w:b/>
                <w:szCs w:val="24"/>
              </w:rPr>
              <w:t xml:space="preserve"> </w:t>
            </w:r>
            <w:r>
              <w:rPr>
                <w:rFonts w:cs="Times New Roman"/>
                <w:b/>
                <w:szCs w:val="24"/>
              </w:rPr>
              <w:t xml:space="preserve">48: </w:t>
            </w:r>
          </w:p>
          <w:p w14:paraId="39DB8A7F" w14:textId="2B3D2AAC" w:rsidR="00805A4A" w:rsidRPr="00F32E3B" w:rsidRDefault="00805A4A" w:rsidP="00805A4A">
            <w:pPr>
              <w:jc w:val="both"/>
              <w:rPr>
                <w:rFonts w:cs="Times New Roman"/>
                <w:b/>
                <w:szCs w:val="24"/>
              </w:rPr>
            </w:pPr>
            <w:r w:rsidRPr="00F827A3">
              <w:rPr>
                <w:rFonts w:cs="Times New Roman"/>
                <w:bCs/>
                <w:szCs w:val="24"/>
              </w:rPr>
              <w:t xml:space="preserve">Përmiresimi i aksesit në të dhena të konsumatorit të energjisë dhe     Platformës së konsumatorit në </w:t>
            </w:r>
            <w:r>
              <w:rPr>
                <w:rFonts w:cs="Times New Roman"/>
                <w:bCs/>
                <w:szCs w:val="24"/>
              </w:rPr>
              <w:t>Ë</w:t>
            </w:r>
            <w:r w:rsidRPr="00F827A3">
              <w:rPr>
                <w:rFonts w:cs="Times New Roman"/>
                <w:bCs/>
                <w:szCs w:val="24"/>
              </w:rPr>
              <w:t>eb page të ERE</w:t>
            </w:r>
            <w:r>
              <w:rPr>
                <w:rFonts w:cs="Times New Roman"/>
                <w:b/>
                <w:szCs w:val="24"/>
              </w:rPr>
              <w:t>.</w:t>
            </w:r>
          </w:p>
          <w:p w14:paraId="349D92B4" w14:textId="77777777" w:rsidR="00805A4A" w:rsidRDefault="00805A4A" w:rsidP="00AD558F">
            <w:pPr>
              <w:jc w:val="both"/>
              <w:rPr>
                <w:rFonts w:cs="Times New Roman"/>
                <w:b/>
                <w:szCs w:val="24"/>
              </w:rPr>
            </w:pPr>
          </w:p>
        </w:tc>
      </w:tr>
    </w:tbl>
    <w:p w14:paraId="27350C08" w14:textId="77777777" w:rsidR="00805A4A" w:rsidRDefault="00805A4A" w:rsidP="00AD558F">
      <w:pPr>
        <w:spacing w:after="0" w:line="240" w:lineRule="auto"/>
        <w:jc w:val="both"/>
        <w:rPr>
          <w:rFonts w:cs="Times New Roman"/>
          <w:b/>
          <w:szCs w:val="24"/>
        </w:rPr>
      </w:pPr>
    </w:p>
    <w:p w14:paraId="71D71B96" w14:textId="2428100B" w:rsidR="00AD558F" w:rsidRPr="00F32E3B" w:rsidRDefault="00AD558F" w:rsidP="00AD558F">
      <w:pPr>
        <w:spacing w:after="0" w:line="240" w:lineRule="auto"/>
        <w:jc w:val="both"/>
        <w:rPr>
          <w:rFonts w:cs="Times New Roman"/>
          <w:szCs w:val="24"/>
        </w:rPr>
      </w:pPr>
      <w:r w:rsidRPr="009475CC">
        <w:rPr>
          <w:rFonts w:cs="Times New Roman"/>
          <w:b/>
          <w:bCs/>
          <w:szCs w:val="24"/>
        </w:rPr>
        <w:t xml:space="preserve">Masa </w:t>
      </w:r>
      <w:r w:rsidR="00805A4A">
        <w:rPr>
          <w:rFonts w:cs="Times New Roman"/>
          <w:b/>
          <w:bCs/>
          <w:szCs w:val="24"/>
        </w:rPr>
        <w:t>48.</w:t>
      </w:r>
      <w:r w:rsidRPr="009475CC">
        <w:rPr>
          <w:rFonts w:cs="Times New Roman"/>
          <w:b/>
          <w:bCs/>
          <w:szCs w:val="24"/>
        </w:rPr>
        <w:t>1:</w:t>
      </w:r>
      <w:r w:rsidRPr="00F32E3B">
        <w:rPr>
          <w:rFonts w:cs="Times New Roman"/>
          <w:szCs w:val="24"/>
        </w:rPr>
        <w:t xml:space="preserve"> Zhvillimi </w:t>
      </w:r>
      <w:r>
        <w:rPr>
          <w:rFonts w:cs="Times New Roman"/>
          <w:szCs w:val="24"/>
        </w:rPr>
        <w:t>i</w:t>
      </w:r>
      <w:r w:rsidRPr="00F32E3B">
        <w:rPr>
          <w:rFonts w:cs="Times New Roman"/>
          <w:szCs w:val="24"/>
        </w:rPr>
        <w:t xml:space="preserve"> Portali të Konsumatorit, i cili të jetë aktiv e në dispozicion të këtij të fundit dhe ERE, në përputhje dhe me legjislacionin për mbrojtjen e të dhënave personale, dhe që ofron shërbim mbi të dhënat historike të konsumit të tij përmes Sistemit të Informacionit të Integruar me Operatorin përgjegjës për rregjistrimin e konsumit të enegjisë, të klientëve. </w:t>
      </w:r>
    </w:p>
    <w:p w14:paraId="644A50BC" w14:textId="77777777" w:rsidR="00AD558F" w:rsidRPr="00F32E3B" w:rsidRDefault="00AD558F" w:rsidP="00AD558F">
      <w:pPr>
        <w:spacing w:after="0" w:line="240" w:lineRule="auto"/>
        <w:jc w:val="both"/>
        <w:rPr>
          <w:rFonts w:cs="Times New Roman"/>
          <w:szCs w:val="24"/>
        </w:rPr>
      </w:pPr>
      <w:r w:rsidRPr="00F32E3B">
        <w:rPr>
          <w:rFonts w:cs="Times New Roman"/>
          <w:szCs w:val="24"/>
        </w:rPr>
        <w:t>Plani për ndërgjegjësimin e konsumatorit përfshin një politikë të pjesëmarrjes së konsumatorit që në proceset e para të vendimarrjes e më tej edhe në sigurimin e informacioneve të plota por edhe si udhëzime të përmbledhura mbi të drejtat dhe detyrimet që lidhen me shërbimet e ofruara nga i licensuari.  Pjesë e rëndësishme e mekanizmave që sigurojnë pjesëmarrjen në informacion të konsumatorëve janë edhe investimet në teknologjinë e informacionit me vlerësimin e kujdesshëm të kostove te lidhura me investimet në sektor.</w:t>
      </w:r>
    </w:p>
    <w:p w14:paraId="014F4059" w14:textId="77777777" w:rsidR="00805A4A" w:rsidRDefault="00805A4A" w:rsidP="009475CC">
      <w:pPr>
        <w:spacing w:after="0" w:line="240" w:lineRule="auto"/>
        <w:jc w:val="both"/>
        <w:rPr>
          <w:rFonts w:cs="Times New Roman"/>
          <w:b/>
          <w:szCs w:val="24"/>
        </w:rPr>
      </w:pPr>
    </w:p>
    <w:p w14:paraId="26D5A608" w14:textId="2E07EE57" w:rsidR="00F827A3" w:rsidRDefault="00AD558F" w:rsidP="009475CC">
      <w:pPr>
        <w:spacing w:after="0" w:line="240" w:lineRule="auto"/>
        <w:jc w:val="both"/>
        <w:rPr>
          <w:rFonts w:cs="Times New Roman"/>
          <w:b/>
          <w:szCs w:val="24"/>
        </w:rPr>
      </w:pPr>
      <w:r w:rsidRPr="00F32E3B">
        <w:rPr>
          <w:rFonts w:cs="Times New Roman"/>
          <w:b/>
          <w:szCs w:val="24"/>
        </w:rPr>
        <w:t>Indikator</w:t>
      </w:r>
      <w:r w:rsidR="00F827A3">
        <w:rPr>
          <w:rFonts w:cs="Times New Roman"/>
          <w:b/>
          <w:szCs w:val="24"/>
        </w:rPr>
        <w:t>i</w:t>
      </w:r>
      <w:r>
        <w:rPr>
          <w:rFonts w:cs="Times New Roman"/>
          <w:b/>
          <w:szCs w:val="24"/>
        </w:rPr>
        <w:t>:</w:t>
      </w:r>
    </w:p>
    <w:p w14:paraId="4E1B9E85" w14:textId="77777777" w:rsidR="000F4EEA" w:rsidRDefault="00AD558F" w:rsidP="00623352">
      <w:pPr>
        <w:pStyle w:val="ListParagraph"/>
        <w:numPr>
          <w:ilvl w:val="0"/>
          <w:numId w:val="26"/>
        </w:numPr>
        <w:spacing w:after="0" w:line="240" w:lineRule="auto"/>
        <w:jc w:val="both"/>
        <w:rPr>
          <w:rFonts w:cs="Times New Roman"/>
          <w:szCs w:val="24"/>
        </w:rPr>
      </w:pPr>
      <w:r w:rsidRPr="00F827A3">
        <w:rPr>
          <w:rFonts w:cs="Times New Roman"/>
          <w:szCs w:val="24"/>
        </w:rPr>
        <w:t xml:space="preserve">Ngritja e një platforme të integruar me furnizuesit në të cilën </w:t>
      </w:r>
      <w:r w:rsidR="000F4EEA">
        <w:rPr>
          <w:rFonts w:cs="Times New Roman"/>
          <w:szCs w:val="24"/>
        </w:rPr>
        <w:t>ç</w:t>
      </w:r>
      <w:r w:rsidRPr="00F827A3">
        <w:rPr>
          <w:rFonts w:cs="Times New Roman"/>
          <w:szCs w:val="24"/>
        </w:rPr>
        <w:t>do konsum</w:t>
      </w:r>
      <w:r w:rsidR="000F4EEA">
        <w:rPr>
          <w:rFonts w:cs="Times New Roman"/>
          <w:szCs w:val="24"/>
        </w:rPr>
        <w:t>at</w:t>
      </w:r>
      <w:r w:rsidRPr="00F827A3">
        <w:rPr>
          <w:rFonts w:cs="Times New Roman"/>
          <w:szCs w:val="24"/>
        </w:rPr>
        <w:t>or do t</w:t>
      </w:r>
      <w:r w:rsidR="000F4EEA">
        <w:rPr>
          <w:rFonts w:cs="Times New Roman"/>
          <w:szCs w:val="24"/>
        </w:rPr>
        <w:t>ë</w:t>
      </w:r>
      <w:r w:rsidRPr="00F827A3">
        <w:rPr>
          <w:rFonts w:cs="Times New Roman"/>
          <w:szCs w:val="24"/>
        </w:rPr>
        <w:t xml:space="preserve"> </w:t>
      </w:r>
    </w:p>
    <w:p w14:paraId="01A1B691" w14:textId="66E1D225" w:rsidR="00AD558F" w:rsidRPr="00805A4A" w:rsidRDefault="00AD558F" w:rsidP="00805A4A">
      <w:pPr>
        <w:spacing w:after="0" w:line="240" w:lineRule="auto"/>
        <w:jc w:val="both"/>
        <w:rPr>
          <w:rFonts w:cs="Times New Roman"/>
          <w:szCs w:val="24"/>
        </w:rPr>
      </w:pPr>
      <w:r w:rsidRPr="000F4EEA">
        <w:rPr>
          <w:rFonts w:cs="Times New Roman"/>
          <w:szCs w:val="24"/>
        </w:rPr>
        <w:t>ket</w:t>
      </w:r>
      <w:r w:rsidR="000F4EEA">
        <w:rPr>
          <w:rFonts w:cs="Times New Roman"/>
          <w:szCs w:val="24"/>
        </w:rPr>
        <w:t>ë</w:t>
      </w:r>
      <w:r w:rsidRPr="000F4EEA">
        <w:rPr>
          <w:rFonts w:cs="Times New Roman"/>
          <w:szCs w:val="24"/>
        </w:rPr>
        <w:t xml:space="preserve"> aksese m</w:t>
      </w:r>
      <w:r w:rsidR="000F4EEA">
        <w:rPr>
          <w:rFonts w:cs="Times New Roman"/>
          <w:szCs w:val="24"/>
        </w:rPr>
        <w:t>ë</w:t>
      </w:r>
      <w:r w:rsidRPr="000F4EEA">
        <w:rPr>
          <w:rFonts w:cs="Times New Roman"/>
          <w:szCs w:val="24"/>
        </w:rPr>
        <w:t xml:space="preserve"> shum</w:t>
      </w:r>
      <w:r w:rsidR="000F4EEA">
        <w:rPr>
          <w:rFonts w:cs="Times New Roman"/>
          <w:szCs w:val="24"/>
        </w:rPr>
        <w:t>ë</w:t>
      </w:r>
      <w:r w:rsidRPr="000F4EEA">
        <w:rPr>
          <w:rFonts w:cs="Times New Roman"/>
          <w:szCs w:val="24"/>
        </w:rPr>
        <w:t xml:space="preserve"> p</w:t>
      </w:r>
      <w:r w:rsidR="000F4EEA">
        <w:rPr>
          <w:rFonts w:cs="Times New Roman"/>
          <w:szCs w:val="24"/>
        </w:rPr>
        <w:t>ë</w:t>
      </w:r>
      <w:r w:rsidRPr="000F4EEA">
        <w:rPr>
          <w:rFonts w:cs="Times New Roman"/>
          <w:szCs w:val="24"/>
        </w:rPr>
        <w:t xml:space="preserve">r sa </w:t>
      </w:r>
      <w:r w:rsidR="000F4EEA">
        <w:rPr>
          <w:rFonts w:cs="Times New Roman"/>
          <w:szCs w:val="24"/>
        </w:rPr>
        <w:t>i</w:t>
      </w:r>
      <w:r w:rsidRPr="000F4EEA">
        <w:rPr>
          <w:rFonts w:cs="Times New Roman"/>
          <w:szCs w:val="24"/>
        </w:rPr>
        <w:t xml:space="preserve"> takon shërbimit të furnizimit me energji duke përfshirë historikun e konsumit, të dhëna teknike etj</w:t>
      </w:r>
    </w:p>
    <w:p w14:paraId="71CF2BD1" w14:textId="1E7B7770" w:rsidR="00AD558F" w:rsidRPr="000F4EEA" w:rsidRDefault="00AD558F" w:rsidP="00805A4A">
      <w:pPr>
        <w:pStyle w:val="Heading4"/>
        <w:rPr>
          <w:lang w:val="sq-AL"/>
        </w:rPr>
      </w:pPr>
      <w:bookmarkStart w:id="192" w:name="_Toc132277408"/>
      <w:r w:rsidRPr="000F4EEA">
        <w:rPr>
          <w:lang w:val="sq-AL"/>
        </w:rPr>
        <w:t>Enti Rregullator i Ujit</w:t>
      </w:r>
      <w:bookmarkEnd w:id="192"/>
    </w:p>
    <w:tbl>
      <w:tblPr>
        <w:tblStyle w:val="TableGrid"/>
        <w:tblW w:w="0" w:type="auto"/>
        <w:tblLook w:val="04A0" w:firstRow="1" w:lastRow="0" w:firstColumn="1" w:lastColumn="0" w:noHBand="0" w:noVBand="1"/>
      </w:tblPr>
      <w:tblGrid>
        <w:gridCol w:w="9016"/>
      </w:tblGrid>
      <w:tr w:rsidR="00805A4A" w14:paraId="60EF727D" w14:textId="77777777" w:rsidTr="00805A4A">
        <w:tc>
          <w:tcPr>
            <w:tcW w:w="9016" w:type="dxa"/>
          </w:tcPr>
          <w:p w14:paraId="3A8C995E" w14:textId="271C5CF1" w:rsidR="00805A4A" w:rsidRDefault="00805A4A" w:rsidP="00805A4A">
            <w:pPr>
              <w:pStyle w:val="NormalWeb"/>
              <w:shd w:val="clear" w:color="auto" w:fill="FFFFFF"/>
              <w:spacing w:before="0" w:beforeAutospacing="0" w:after="0" w:afterAutospacing="0"/>
              <w:jc w:val="both"/>
              <w:rPr>
                <w:color w:val="221F1F"/>
                <w:lang w:val="sq-AL"/>
              </w:rPr>
            </w:pPr>
            <w:r w:rsidRPr="00FB36DA">
              <w:rPr>
                <w:b/>
                <w:bCs/>
                <w:color w:val="221F1F"/>
                <w:lang w:val="sq-AL"/>
              </w:rPr>
              <w:t xml:space="preserve">Objektivi </w:t>
            </w:r>
            <w:r>
              <w:rPr>
                <w:b/>
                <w:bCs/>
                <w:color w:val="221F1F"/>
                <w:lang w:val="sq-AL"/>
              </w:rPr>
              <w:t>49</w:t>
            </w:r>
            <w:r w:rsidRPr="00FB36DA">
              <w:rPr>
                <w:color w:val="221F1F"/>
                <w:lang w:val="sq-AL"/>
              </w:rPr>
              <w:t xml:space="preserve">: </w:t>
            </w:r>
          </w:p>
          <w:p w14:paraId="206C9591" w14:textId="5FD99DEE" w:rsidR="00805A4A" w:rsidRPr="0022797D" w:rsidRDefault="00805A4A" w:rsidP="00805A4A">
            <w:pPr>
              <w:pStyle w:val="NormalWeb"/>
              <w:shd w:val="clear" w:color="auto" w:fill="FFFFFF"/>
              <w:spacing w:before="0" w:beforeAutospacing="0" w:after="0" w:afterAutospacing="0"/>
              <w:jc w:val="both"/>
              <w:rPr>
                <w:color w:val="221F1F"/>
                <w:lang w:val="sq-AL"/>
              </w:rPr>
            </w:pPr>
            <w:r w:rsidRPr="00FB36DA">
              <w:rPr>
                <w:color w:val="221F1F"/>
                <w:lang w:val="sq-AL"/>
              </w:rPr>
              <w:t>Kryerja e një fushate të gjerë ndërgjegjësimi për mënyrën sesi duhet të përdoret uji i pijshëm, si një element kryesor jetik si edhe të drejtat që kanë konsumatorët.</w:t>
            </w:r>
          </w:p>
          <w:p w14:paraId="3EE1365D" w14:textId="77777777" w:rsidR="00805A4A" w:rsidRDefault="00805A4A" w:rsidP="00AD558F">
            <w:pPr>
              <w:pStyle w:val="NormalWeb"/>
              <w:spacing w:before="0" w:beforeAutospacing="0" w:after="0" w:afterAutospacing="0"/>
              <w:jc w:val="both"/>
              <w:rPr>
                <w:b/>
                <w:bCs/>
                <w:color w:val="221F1F"/>
                <w:lang w:val="sq-AL"/>
              </w:rPr>
            </w:pPr>
          </w:p>
        </w:tc>
      </w:tr>
    </w:tbl>
    <w:p w14:paraId="5420E271" w14:textId="77777777" w:rsidR="00805A4A" w:rsidRDefault="00805A4A" w:rsidP="00AD558F">
      <w:pPr>
        <w:pStyle w:val="NormalWeb"/>
        <w:shd w:val="clear" w:color="auto" w:fill="FFFFFF"/>
        <w:spacing w:before="0" w:beforeAutospacing="0" w:after="0" w:afterAutospacing="0"/>
        <w:jc w:val="both"/>
        <w:rPr>
          <w:b/>
          <w:bCs/>
          <w:color w:val="221F1F"/>
          <w:lang w:val="sq-AL"/>
        </w:rPr>
      </w:pPr>
    </w:p>
    <w:p w14:paraId="18FF5B5E" w14:textId="33E15661" w:rsidR="00AD558F" w:rsidRPr="00D52DC6" w:rsidRDefault="00AD558F" w:rsidP="00AD558F">
      <w:pPr>
        <w:pStyle w:val="NormalWeb"/>
        <w:shd w:val="clear" w:color="auto" w:fill="FFFFFF"/>
        <w:spacing w:before="0" w:beforeAutospacing="0" w:after="0" w:afterAutospacing="0"/>
        <w:jc w:val="both"/>
        <w:rPr>
          <w:color w:val="221F1F"/>
          <w:lang w:val="sq-AL"/>
        </w:rPr>
      </w:pPr>
      <w:r w:rsidRPr="009475CC">
        <w:rPr>
          <w:b/>
          <w:bCs/>
          <w:lang w:val="sq-AL"/>
        </w:rPr>
        <w:t xml:space="preserve">Masa </w:t>
      </w:r>
      <w:r w:rsidR="00805A4A">
        <w:rPr>
          <w:b/>
          <w:bCs/>
          <w:lang w:val="sq-AL"/>
        </w:rPr>
        <w:t>49.</w:t>
      </w:r>
      <w:r w:rsidRPr="009475CC">
        <w:rPr>
          <w:b/>
          <w:bCs/>
          <w:lang w:val="sq-AL"/>
        </w:rPr>
        <w:t>1:</w:t>
      </w:r>
      <w:r w:rsidRPr="009475CC">
        <w:rPr>
          <w:u w:val="single"/>
          <w:lang w:val="sq-AL"/>
        </w:rPr>
        <w:t xml:space="preserve"> </w:t>
      </w:r>
      <w:r w:rsidRPr="008B3DCF">
        <w:rPr>
          <w:color w:val="221F1F"/>
          <w:lang w:val="sq-AL"/>
        </w:rPr>
        <w:t>Organizimi i fushatave sensibilizuese pranë 15 shoqërive rajonale UK dhe qyteteve:</w:t>
      </w:r>
    </w:p>
    <w:p w14:paraId="1760DAF3" w14:textId="77777777" w:rsidR="00AD558F" w:rsidRPr="00E45C0D" w:rsidRDefault="00AD558F" w:rsidP="00623352">
      <w:pPr>
        <w:pStyle w:val="NormalWeb"/>
        <w:numPr>
          <w:ilvl w:val="0"/>
          <w:numId w:val="9"/>
        </w:numPr>
        <w:shd w:val="clear" w:color="auto" w:fill="FFFFFF"/>
        <w:spacing w:before="0" w:beforeAutospacing="0" w:after="0" w:afterAutospacing="0"/>
        <w:contextualSpacing/>
        <w:jc w:val="both"/>
        <w:rPr>
          <w:color w:val="221F1F"/>
          <w:u w:val="single"/>
          <w:lang w:val="sq-AL"/>
        </w:rPr>
      </w:pPr>
      <w:r w:rsidRPr="00E2223C">
        <w:rPr>
          <w:color w:val="221F1F"/>
          <w:lang w:val="sq-AL"/>
        </w:rPr>
        <w:t>Takime së bashku me shoqëritë rajonale UK pranë shkollave 9 vjeçare dhe gjimnaze mbi rëndësinë e ujit dh</w:t>
      </w:r>
      <w:r w:rsidRPr="00ED6C63">
        <w:rPr>
          <w:color w:val="221F1F"/>
          <w:lang w:val="sq-AL"/>
        </w:rPr>
        <w:t>e përdorimin e tij;</w:t>
      </w:r>
    </w:p>
    <w:p w14:paraId="79BC5FC9" w14:textId="77777777" w:rsidR="00AD558F" w:rsidRPr="00F32E3B" w:rsidRDefault="00AD558F" w:rsidP="00623352">
      <w:pPr>
        <w:pStyle w:val="NormalWeb"/>
        <w:numPr>
          <w:ilvl w:val="0"/>
          <w:numId w:val="9"/>
        </w:numPr>
        <w:shd w:val="clear" w:color="auto" w:fill="FFFFFF"/>
        <w:spacing w:before="0" w:beforeAutospacing="0" w:after="0" w:afterAutospacing="0"/>
        <w:ind w:left="714" w:hanging="357"/>
        <w:contextualSpacing/>
        <w:jc w:val="both"/>
        <w:rPr>
          <w:color w:val="221F1F"/>
          <w:lang w:val="sq-AL"/>
        </w:rPr>
      </w:pPr>
      <w:r w:rsidRPr="004E1146">
        <w:rPr>
          <w:color w:val="221F1F"/>
          <w:lang w:val="sq-AL"/>
        </w:rPr>
        <w:lastRenderedPageBreak/>
        <w:t>Seanca dëgjimore me publikun gjatë procesit të miratimit të tarifave për të theksuar rëndësinë e pjesëmarrjes së konsumatorit dhe rolin e tij kontribues në përmirësimin e ofrimit të shërbimit;</w:t>
      </w:r>
    </w:p>
    <w:p w14:paraId="4AB3951C" w14:textId="77777777" w:rsidR="00AD558F" w:rsidRPr="00F32E3B" w:rsidRDefault="00AD558F" w:rsidP="00623352">
      <w:pPr>
        <w:pStyle w:val="NormalWeb"/>
        <w:numPr>
          <w:ilvl w:val="0"/>
          <w:numId w:val="9"/>
        </w:numPr>
        <w:shd w:val="clear" w:color="auto" w:fill="FFFFFF"/>
        <w:spacing w:before="0" w:beforeAutospacing="0" w:after="0" w:afterAutospacing="0"/>
        <w:ind w:left="714" w:hanging="357"/>
        <w:contextualSpacing/>
        <w:jc w:val="both"/>
        <w:rPr>
          <w:color w:val="221F1F"/>
          <w:lang w:val="sq-AL"/>
        </w:rPr>
      </w:pPr>
      <w:r w:rsidRPr="00F32E3B">
        <w:rPr>
          <w:color w:val="221F1F"/>
          <w:lang w:val="sq-AL"/>
        </w:rPr>
        <w:t xml:space="preserve">Marrëveshje Bashkëpunimi me Universitetet Kombëtare dhe prezantimi pranë studentëve i kontratës së shërbimit të furnizimit me ujë dhe largimit e përpunimit të ujërave të ndotura Shoqëri UK – Konsumator;  </w:t>
      </w:r>
    </w:p>
    <w:p w14:paraId="0E082F18" w14:textId="77777777" w:rsidR="00805A4A" w:rsidRDefault="00805A4A" w:rsidP="009475CC">
      <w:pPr>
        <w:pStyle w:val="NormalWeb"/>
        <w:shd w:val="clear" w:color="auto" w:fill="FFFFFF"/>
        <w:spacing w:before="0" w:beforeAutospacing="0" w:after="0" w:afterAutospacing="0"/>
        <w:contextualSpacing/>
        <w:jc w:val="both"/>
        <w:rPr>
          <w:b/>
          <w:bCs/>
          <w:lang w:val="sq-AL"/>
        </w:rPr>
      </w:pPr>
    </w:p>
    <w:p w14:paraId="6989EBBA" w14:textId="062660C5" w:rsidR="00274F14" w:rsidRDefault="00A900AF" w:rsidP="009475CC">
      <w:pPr>
        <w:pStyle w:val="NormalWeb"/>
        <w:shd w:val="clear" w:color="auto" w:fill="FFFFFF"/>
        <w:spacing w:before="0" w:beforeAutospacing="0" w:after="0" w:afterAutospacing="0"/>
        <w:contextualSpacing/>
        <w:jc w:val="both"/>
        <w:rPr>
          <w:lang w:val="sq-AL"/>
        </w:rPr>
      </w:pPr>
      <w:r w:rsidRPr="009475CC">
        <w:rPr>
          <w:b/>
          <w:bCs/>
          <w:lang w:val="sq-AL"/>
        </w:rPr>
        <w:t>Indikator</w:t>
      </w:r>
      <w:r>
        <w:rPr>
          <w:b/>
          <w:bCs/>
          <w:lang w:val="sq-AL"/>
        </w:rPr>
        <w:t>ët</w:t>
      </w:r>
      <w:r w:rsidR="00AD558F" w:rsidRPr="009475CC">
        <w:rPr>
          <w:b/>
          <w:bCs/>
          <w:lang w:val="sq-AL"/>
        </w:rPr>
        <w:t>:</w:t>
      </w:r>
      <w:r w:rsidR="00AD558F" w:rsidRPr="009475CC">
        <w:rPr>
          <w:lang w:val="sq-AL"/>
        </w:rPr>
        <w:t xml:space="preserve"> </w:t>
      </w:r>
    </w:p>
    <w:p w14:paraId="0A45B8E3" w14:textId="77777777" w:rsidR="00274F14" w:rsidRDefault="00AD558F" w:rsidP="009475CC">
      <w:pPr>
        <w:pStyle w:val="NormalWeb"/>
        <w:shd w:val="clear" w:color="auto" w:fill="FFFFFF"/>
        <w:spacing w:before="0" w:beforeAutospacing="0" w:after="0" w:afterAutospacing="0"/>
        <w:contextualSpacing/>
        <w:jc w:val="both"/>
        <w:rPr>
          <w:color w:val="221F1F"/>
          <w:lang w:val="sq-AL"/>
        </w:rPr>
      </w:pPr>
      <w:r w:rsidRPr="009475CC">
        <w:rPr>
          <w:lang w:val="sq-AL"/>
        </w:rPr>
        <w:t xml:space="preserve">Në </w:t>
      </w:r>
      <w:r w:rsidRPr="00F32E3B">
        <w:rPr>
          <w:color w:val="221F1F"/>
          <w:lang w:val="sq-AL"/>
        </w:rPr>
        <w:t>varësi të organizimit të seancave dëgjimore me publikun në qytete të ndryshme do të zhvillohen dhe takimet sensibilizuese duke shpërndarë broshura me fëmijët;  adoleshentët si dhe prezantimi i të drejtave dhe detyrimeve studentëve gjatë leksioneve të dedikuara kontratave</w:t>
      </w:r>
      <w:r>
        <w:rPr>
          <w:color w:val="221F1F"/>
          <w:lang w:val="sq-AL"/>
        </w:rPr>
        <w:t>.</w:t>
      </w:r>
    </w:p>
    <w:p w14:paraId="4C22F68F" w14:textId="77777777" w:rsidR="00274F14" w:rsidRPr="00274F14" w:rsidRDefault="00AD558F" w:rsidP="00623352">
      <w:pPr>
        <w:pStyle w:val="NormalWeb"/>
        <w:numPr>
          <w:ilvl w:val="0"/>
          <w:numId w:val="26"/>
        </w:numPr>
        <w:shd w:val="clear" w:color="auto" w:fill="FFFFFF"/>
        <w:spacing w:before="0" w:beforeAutospacing="0" w:after="0" w:afterAutospacing="0"/>
        <w:contextualSpacing/>
        <w:jc w:val="both"/>
        <w:rPr>
          <w:color w:val="221F1F"/>
          <w:lang w:val="sq-AL"/>
        </w:rPr>
      </w:pPr>
      <w:r w:rsidRPr="00274F14">
        <w:rPr>
          <w:color w:val="221F1F"/>
          <w:lang w:val="sq-AL"/>
        </w:rPr>
        <w:t xml:space="preserve">3 - 4 takime në vit             </w:t>
      </w:r>
    </w:p>
    <w:p w14:paraId="16ED74A9" w14:textId="018DB3D2" w:rsidR="00AD558F" w:rsidRPr="00274F14" w:rsidRDefault="00AD558F" w:rsidP="00623352">
      <w:pPr>
        <w:pStyle w:val="NormalWeb"/>
        <w:numPr>
          <w:ilvl w:val="0"/>
          <w:numId w:val="26"/>
        </w:numPr>
        <w:shd w:val="clear" w:color="auto" w:fill="FFFFFF"/>
        <w:spacing w:before="0" w:beforeAutospacing="0" w:after="0" w:afterAutospacing="0"/>
        <w:contextualSpacing/>
        <w:jc w:val="both"/>
        <w:rPr>
          <w:color w:val="221F1F"/>
          <w:lang w:val="sq-AL"/>
        </w:rPr>
      </w:pPr>
      <w:r w:rsidRPr="00274F14">
        <w:rPr>
          <w:color w:val="221F1F"/>
          <w:lang w:val="sq-AL"/>
        </w:rPr>
        <w:t>2 Marrëveshje Bashkëpunimi</w:t>
      </w:r>
      <w:r w:rsidR="00274F14">
        <w:rPr>
          <w:color w:val="221F1F"/>
          <w:lang w:val="sq-AL"/>
        </w:rPr>
        <w:t>.</w:t>
      </w:r>
    </w:p>
    <w:p w14:paraId="521C1A3F" w14:textId="77777777" w:rsidR="00A900AF" w:rsidRDefault="00A900AF" w:rsidP="00AD558F">
      <w:pPr>
        <w:spacing w:after="0" w:line="240" w:lineRule="auto"/>
        <w:jc w:val="both"/>
        <w:rPr>
          <w:rFonts w:cs="Times New Roman"/>
          <w:b/>
          <w:bCs/>
          <w:szCs w:val="24"/>
        </w:rPr>
      </w:pPr>
    </w:p>
    <w:tbl>
      <w:tblPr>
        <w:tblStyle w:val="TableGrid"/>
        <w:tblW w:w="0" w:type="auto"/>
        <w:tblLook w:val="04A0" w:firstRow="1" w:lastRow="0" w:firstColumn="1" w:lastColumn="0" w:noHBand="0" w:noVBand="1"/>
      </w:tblPr>
      <w:tblGrid>
        <w:gridCol w:w="9016"/>
      </w:tblGrid>
      <w:tr w:rsidR="00A900AF" w14:paraId="2F0C38C1" w14:textId="77777777" w:rsidTr="00A900AF">
        <w:tc>
          <w:tcPr>
            <w:tcW w:w="9016" w:type="dxa"/>
          </w:tcPr>
          <w:p w14:paraId="79A5FE6C" w14:textId="095B2988" w:rsidR="00A900AF" w:rsidRDefault="00A900AF" w:rsidP="00A900AF">
            <w:pPr>
              <w:jc w:val="both"/>
              <w:rPr>
                <w:rFonts w:cs="Times New Roman"/>
                <w:szCs w:val="24"/>
              </w:rPr>
            </w:pPr>
            <w:r w:rsidRPr="00F32E3B">
              <w:rPr>
                <w:rFonts w:cs="Times New Roman"/>
                <w:b/>
                <w:bCs/>
                <w:szCs w:val="24"/>
              </w:rPr>
              <w:t xml:space="preserve">Objektivi </w:t>
            </w:r>
            <w:r>
              <w:rPr>
                <w:rFonts w:cs="Times New Roman"/>
                <w:b/>
                <w:bCs/>
                <w:szCs w:val="24"/>
              </w:rPr>
              <w:t xml:space="preserve"> 50</w:t>
            </w:r>
            <w:r w:rsidRPr="00F32E3B">
              <w:rPr>
                <w:rFonts w:cs="Times New Roman"/>
                <w:b/>
                <w:bCs/>
                <w:szCs w:val="24"/>
              </w:rPr>
              <w:t xml:space="preserve">: </w:t>
            </w:r>
            <w:r w:rsidRPr="00F32E3B">
              <w:rPr>
                <w:rFonts w:cs="Times New Roman"/>
                <w:szCs w:val="24"/>
              </w:rPr>
              <w:t xml:space="preserve"> </w:t>
            </w:r>
          </w:p>
          <w:p w14:paraId="5FA29816" w14:textId="7346AE9F" w:rsidR="00A900AF" w:rsidRPr="00F32E3B" w:rsidRDefault="00A900AF" w:rsidP="00A900AF">
            <w:pPr>
              <w:jc w:val="both"/>
              <w:rPr>
                <w:rFonts w:cs="Times New Roman"/>
                <w:szCs w:val="24"/>
                <w:lang w:val="sq-AL"/>
              </w:rPr>
            </w:pPr>
            <w:r w:rsidRPr="00F32E3B">
              <w:rPr>
                <w:rFonts w:cs="Times New Roman"/>
                <w:szCs w:val="24"/>
              </w:rPr>
              <w:t>Transparenca me konsumatorët dhe bashkëveprimi</w:t>
            </w:r>
            <w:r>
              <w:rPr>
                <w:rFonts w:cs="Times New Roman"/>
                <w:szCs w:val="24"/>
              </w:rPr>
              <w:t xml:space="preserve"> në fushën e shërbimeve të ujësjellës kanalizime.</w:t>
            </w:r>
          </w:p>
          <w:p w14:paraId="57108006" w14:textId="77777777" w:rsidR="00A900AF" w:rsidRDefault="00A900AF" w:rsidP="00AD558F">
            <w:pPr>
              <w:jc w:val="both"/>
              <w:rPr>
                <w:rFonts w:cs="Times New Roman"/>
                <w:b/>
                <w:bCs/>
                <w:szCs w:val="24"/>
              </w:rPr>
            </w:pPr>
          </w:p>
        </w:tc>
      </w:tr>
    </w:tbl>
    <w:p w14:paraId="5C3D2762" w14:textId="77777777" w:rsidR="00A900AF" w:rsidRDefault="00A900AF" w:rsidP="00AD558F">
      <w:pPr>
        <w:spacing w:after="0" w:line="240" w:lineRule="auto"/>
        <w:jc w:val="both"/>
        <w:rPr>
          <w:rFonts w:cs="Times New Roman"/>
          <w:b/>
          <w:bCs/>
          <w:szCs w:val="24"/>
        </w:rPr>
      </w:pPr>
    </w:p>
    <w:p w14:paraId="5784DD8A" w14:textId="7A57EF63" w:rsidR="00AD558F" w:rsidRPr="009475CC" w:rsidRDefault="00AD558F" w:rsidP="00AD558F">
      <w:pPr>
        <w:spacing w:after="0" w:line="240" w:lineRule="auto"/>
        <w:jc w:val="both"/>
        <w:rPr>
          <w:rFonts w:cs="Times New Roman"/>
          <w:szCs w:val="24"/>
        </w:rPr>
      </w:pPr>
      <w:r w:rsidRPr="009475CC">
        <w:rPr>
          <w:rFonts w:cs="Times New Roman"/>
          <w:b/>
          <w:bCs/>
          <w:szCs w:val="24"/>
        </w:rPr>
        <w:t xml:space="preserve">Masa </w:t>
      </w:r>
      <w:r w:rsidR="00A900AF">
        <w:rPr>
          <w:rFonts w:cs="Times New Roman"/>
          <w:b/>
          <w:bCs/>
          <w:szCs w:val="24"/>
        </w:rPr>
        <w:t>50.</w:t>
      </w:r>
      <w:r w:rsidRPr="009475CC">
        <w:rPr>
          <w:rFonts w:cs="Times New Roman"/>
          <w:b/>
          <w:bCs/>
          <w:szCs w:val="24"/>
        </w:rPr>
        <w:t>1:</w:t>
      </w:r>
      <w:r w:rsidRPr="009475CC">
        <w:rPr>
          <w:rFonts w:cs="Times New Roman"/>
          <w:szCs w:val="24"/>
        </w:rPr>
        <w:t xml:space="preserve"> Rritja e rrugëve të informimit për konsumatorët</w:t>
      </w:r>
    </w:p>
    <w:p w14:paraId="1F33CBBB" w14:textId="77777777" w:rsidR="00AD558F" w:rsidRPr="00F32E3B" w:rsidRDefault="00AD558F" w:rsidP="00AD558F">
      <w:pPr>
        <w:spacing w:after="0" w:line="240" w:lineRule="auto"/>
        <w:jc w:val="both"/>
        <w:rPr>
          <w:rFonts w:cs="Times New Roman"/>
          <w:szCs w:val="24"/>
        </w:rPr>
      </w:pPr>
      <w:r w:rsidRPr="00F32E3B">
        <w:rPr>
          <w:rFonts w:cs="Times New Roman"/>
          <w:szCs w:val="24"/>
        </w:rPr>
        <w:t>Për informimin, nxitjen dhe rritjen e sensibilizimit të konsumatorëve mbi të drejtat dhe detyrimet që kanë kundrejt shërbimit ujësjellës kanalizime</w:t>
      </w:r>
    </w:p>
    <w:p w14:paraId="211B7B2F" w14:textId="77777777" w:rsidR="00AD558F" w:rsidRPr="00F32E3B" w:rsidRDefault="00AD558F" w:rsidP="00623352">
      <w:pPr>
        <w:pStyle w:val="ListParagraph"/>
        <w:numPr>
          <w:ilvl w:val="0"/>
          <w:numId w:val="8"/>
        </w:numPr>
        <w:spacing w:after="0" w:line="240" w:lineRule="auto"/>
        <w:jc w:val="both"/>
        <w:rPr>
          <w:rFonts w:cs="Times New Roman"/>
          <w:szCs w:val="24"/>
        </w:rPr>
      </w:pPr>
      <w:r w:rsidRPr="00F32E3B">
        <w:rPr>
          <w:rFonts w:cs="Times New Roman"/>
          <w:szCs w:val="24"/>
        </w:rPr>
        <w:t xml:space="preserve">Pjesëmarrje dhe rol aktiv në aktivitete informuese të organizuara nga grupet e interesit shoqata/ donatorë që operojnë në sektorin UK për rolin e konsumatorit, </w:t>
      </w:r>
    </w:p>
    <w:p w14:paraId="36518108" w14:textId="77777777" w:rsidR="00AD558F" w:rsidRPr="00F32E3B" w:rsidRDefault="00AD558F" w:rsidP="00623352">
      <w:pPr>
        <w:pStyle w:val="ListParagraph"/>
        <w:numPr>
          <w:ilvl w:val="0"/>
          <w:numId w:val="8"/>
        </w:numPr>
        <w:spacing w:after="0" w:line="240" w:lineRule="auto"/>
        <w:jc w:val="both"/>
        <w:rPr>
          <w:rFonts w:cs="Times New Roman"/>
          <w:szCs w:val="24"/>
        </w:rPr>
      </w:pPr>
      <w:r w:rsidRPr="00F32E3B">
        <w:rPr>
          <w:rFonts w:cs="Times New Roman"/>
          <w:szCs w:val="24"/>
        </w:rPr>
        <w:t>Botime, printime, fletëpalosje, për rëndësinë e përdorimit të ujit dhe të drejtat dhe detyrimet të parashikuara në kontratën e furnizimit me ujë dhe kanalizime;</w:t>
      </w:r>
    </w:p>
    <w:p w14:paraId="15206382" w14:textId="77777777" w:rsidR="00274F14" w:rsidRDefault="00AD558F" w:rsidP="009475CC">
      <w:pPr>
        <w:spacing w:after="0" w:line="240" w:lineRule="auto"/>
        <w:jc w:val="both"/>
        <w:rPr>
          <w:rFonts w:cs="Times New Roman"/>
          <w:b/>
          <w:bCs/>
          <w:szCs w:val="24"/>
        </w:rPr>
      </w:pPr>
      <w:r w:rsidRPr="009475CC">
        <w:rPr>
          <w:rFonts w:cs="Times New Roman"/>
          <w:b/>
          <w:bCs/>
          <w:szCs w:val="24"/>
        </w:rPr>
        <w:t xml:space="preserve">Indikatori: </w:t>
      </w:r>
    </w:p>
    <w:p w14:paraId="1C619756" w14:textId="4409D991" w:rsidR="00274F14" w:rsidRDefault="00AD558F" w:rsidP="009475CC">
      <w:pPr>
        <w:spacing w:after="0" w:line="240" w:lineRule="auto"/>
        <w:jc w:val="both"/>
        <w:rPr>
          <w:rFonts w:cs="Times New Roman"/>
          <w:szCs w:val="24"/>
        </w:rPr>
      </w:pPr>
      <w:r w:rsidRPr="00F32E3B">
        <w:rPr>
          <w:rFonts w:cs="Times New Roman"/>
          <w:szCs w:val="24"/>
        </w:rPr>
        <w:t xml:space="preserve">Përfaqësimi i rregullatorit në aktivitete dedikuar Konsumatorit (Dita ndërkombëtare e mbrojtjes së konsumatorit; pjesëmarrje në </w:t>
      </w:r>
      <w:r w:rsidR="009D2671">
        <w:rPr>
          <w:rFonts w:cs="Times New Roman"/>
          <w:szCs w:val="24"/>
        </w:rPr>
        <w:t>w</w:t>
      </w:r>
      <w:r w:rsidRPr="00F32E3B">
        <w:rPr>
          <w:rFonts w:cs="Times New Roman"/>
          <w:szCs w:val="24"/>
        </w:rPr>
        <w:t>orkshope të organizuara nga shoqata apo institute etj) Shpërndarja gjatë aktiviteteve të fletëpalosjeve mbi të drejtat dhe detyrimet e konsumatorëve)</w:t>
      </w:r>
      <w:r>
        <w:rPr>
          <w:rFonts w:cs="Times New Roman"/>
          <w:szCs w:val="24"/>
        </w:rPr>
        <w:tab/>
      </w:r>
      <w:r>
        <w:rPr>
          <w:rFonts w:cs="Times New Roman"/>
          <w:szCs w:val="24"/>
        </w:rPr>
        <w:tab/>
      </w:r>
    </w:p>
    <w:p w14:paraId="4412FC26" w14:textId="70A822B0" w:rsidR="00AD558F" w:rsidRPr="00274F14" w:rsidRDefault="00AD558F" w:rsidP="00623352">
      <w:pPr>
        <w:pStyle w:val="ListParagraph"/>
        <w:numPr>
          <w:ilvl w:val="0"/>
          <w:numId w:val="27"/>
        </w:numPr>
        <w:spacing w:after="0" w:line="240" w:lineRule="auto"/>
        <w:jc w:val="both"/>
        <w:rPr>
          <w:rFonts w:cs="Times New Roman"/>
          <w:szCs w:val="24"/>
        </w:rPr>
      </w:pPr>
      <w:r w:rsidRPr="00274F14">
        <w:rPr>
          <w:rFonts w:cs="Times New Roman"/>
          <w:szCs w:val="24"/>
        </w:rPr>
        <w:t>2- 3 aktivitete në vit</w:t>
      </w:r>
    </w:p>
    <w:p w14:paraId="46EE1481" w14:textId="77777777" w:rsidR="00AD558F" w:rsidRDefault="00AD558F" w:rsidP="00AD558F">
      <w:pPr>
        <w:spacing w:after="0" w:line="240" w:lineRule="auto"/>
        <w:rPr>
          <w:rFonts w:eastAsia="MS Mincho" w:cs="Times New Roman"/>
          <w:bCs/>
          <w:iCs/>
          <w:szCs w:val="24"/>
          <w:lang w:val="en-US"/>
        </w:rPr>
      </w:pPr>
    </w:p>
    <w:p w14:paraId="08D3F863" w14:textId="53AC37F4" w:rsidR="00AD558F" w:rsidRDefault="00AD558F" w:rsidP="00A900AF">
      <w:pPr>
        <w:pStyle w:val="Heading4"/>
        <w:rPr>
          <w:rFonts w:eastAsia="MS Mincho"/>
          <w:lang w:val="en-US"/>
        </w:rPr>
      </w:pPr>
      <w:bookmarkStart w:id="193" w:name="_Toc132277409"/>
      <w:r w:rsidRPr="009475CC">
        <w:rPr>
          <w:rFonts w:eastAsia="MS Mincho"/>
          <w:lang w:val="en-US"/>
        </w:rPr>
        <w:t>Autoriteti Mbikëqyrjes Financiare</w:t>
      </w:r>
      <w:bookmarkEnd w:id="193"/>
    </w:p>
    <w:tbl>
      <w:tblPr>
        <w:tblStyle w:val="TableGrid"/>
        <w:tblW w:w="0" w:type="auto"/>
        <w:tblLook w:val="04A0" w:firstRow="1" w:lastRow="0" w:firstColumn="1" w:lastColumn="0" w:noHBand="0" w:noVBand="1"/>
      </w:tblPr>
      <w:tblGrid>
        <w:gridCol w:w="9016"/>
      </w:tblGrid>
      <w:tr w:rsidR="00A900AF" w14:paraId="3FAD58FE" w14:textId="77777777" w:rsidTr="00A900AF">
        <w:tc>
          <w:tcPr>
            <w:tcW w:w="9016" w:type="dxa"/>
          </w:tcPr>
          <w:p w14:paraId="6F9F0213" w14:textId="0954F038" w:rsidR="00A900AF" w:rsidRDefault="00A900AF" w:rsidP="00A900AF">
            <w:pPr>
              <w:jc w:val="both"/>
              <w:rPr>
                <w:rFonts w:cs="Times New Roman"/>
                <w:szCs w:val="24"/>
              </w:rPr>
            </w:pPr>
            <w:r w:rsidRPr="00F32E3B">
              <w:rPr>
                <w:rFonts w:cs="Times New Roman"/>
                <w:b/>
                <w:bCs/>
                <w:szCs w:val="24"/>
              </w:rPr>
              <w:t xml:space="preserve">Objektivi </w:t>
            </w:r>
            <w:r>
              <w:rPr>
                <w:rFonts w:cs="Times New Roman"/>
                <w:b/>
                <w:bCs/>
                <w:szCs w:val="24"/>
              </w:rPr>
              <w:t>51</w:t>
            </w:r>
            <w:r>
              <w:rPr>
                <w:rFonts w:cs="Times New Roman"/>
                <w:szCs w:val="24"/>
              </w:rPr>
              <w:t>:</w:t>
            </w:r>
            <w:r w:rsidRPr="00F32E3B">
              <w:rPr>
                <w:rFonts w:cs="Times New Roman"/>
                <w:szCs w:val="24"/>
              </w:rPr>
              <w:t xml:space="preserve"> </w:t>
            </w:r>
          </w:p>
          <w:p w14:paraId="05A096FA" w14:textId="5D2FD4F9" w:rsidR="00A900AF" w:rsidRPr="00F32E3B" w:rsidRDefault="00A900AF" w:rsidP="00A900AF">
            <w:pPr>
              <w:jc w:val="both"/>
              <w:rPr>
                <w:rFonts w:cs="Times New Roman"/>
                <w:szCs w:val="24"/>
              </w:rPr>
            </w:pPr>
            <w:r w:rsidRPr="009D2671">
              <w:rPr>
                <w:rFonts w:cs="Times New Roman"/>
                <w:szCs w:val="24"/>
              </w:rPr>
              <w:t xml:space="preserve">Rritja e besimit të konsumatorit/investitorit për tregjet </w:t>
            </w:r>
            <w:r>
              <w:rPr>
                <w:rFonts w:cs="Times New Roman"/>
                <w:szCs w:val="24"/>
              </w:rPr>
              <w:t xml:space="preserve">financiare </w:t>
            </w:r>
            <w:r w:rsidRPr="009D2671">
              <w:rPr>
                <w:rFonts w:cs="Times New Roman"/>
                <w:szCs w:val="24"/>
              </w:rPr>
              <w:t>nën mbikëqyrje, nëpërmjet rritjes së shkallës së transparencës,  nivelit të informimit dhe edukimit financiar të konsumatorëve:</w:t>
            </w:r>
          </w:p>
          <w:p w14:paraId="1999E330" w14:textId="77777777" w:rsidR="00A900AF" w:rsidRDefault="00A900AF" w:rsidP="009475CC">
            <w:pPr>
              <w:jc w:val="center"/>
              <w:rPr>
                <w:rFonts w:eastAsia="MS Mincho" w:cs="Times New Roman"/>
                <w:b/>
                <w:iCs/>
                <w:szCs w:val="24"/>
              </w:rPr>
            </w:pPr>
          </w:p>
        </w:tc>
      </w:tr>
    </w:tbl>
    <w:p w14:paraId="10EB7F7C" w14:textId="77777777" w:rsidR="009F4D06" w:rsidRPr="009475CC" w:rsidRDefault="009F4D06" w:rsidP="009475CC">
      <w:pPr>
        <w:spacing w:after="0" w:line="240" w:lineRule="auto"/>
        <w:jc w:val="center"/>
        <w:rPr>
          <w:rFonts w:eastAsia="MS Mincho" w:cs="Times New Roman"/>
          <w:b/>
          <w:iCs/>
          <w:szCs w:val="24"/>
          <w:lang w:val="en-US"/>
        </w:rPr>
      </w:pPr>
    </w:p>
    <w:p w14:paraId="13136451" w14:textId="08C92DCA" w:rsidR="009D2671" w:rsidRPr="009D2671" w:rsidRDefault="009D2671" w:rsidP="009D2671">
      <w:pPr>
        <w:spacing w:after="0" w:line="240" w:lineRule="auto"/>
        <w:jc w:val="both"/>
        <w:rPr>
          <w:rFonts w:cs="Times New Roman"/>
          <w:szCs w:val="24"/>
        </w:rPr>
      </w:pPr>
      <w:r w:rsidRPr="00A900AF">
        <w:rPr>
          <w:rFonts w:cs="Times New Roman"/>
          <w:b/>
          <w:bCs/>
          <w:szCs w:val="24"/>
        </w:rPr>
        <w:t xml:space="preserve">Masa </w:t>
      </w:r>
      <w:r w:rsidR="00A900AF">
        <w:rPr>
          <w:rFonts w:cs="Times New Roman"/>
          <w:b/>
          <w:bCs/>
          <w:szCs w:val="24"/>
        </w:rPr>
        <w:t>51.</w:t>
      </w:r>
      <w:r w:rsidRPr="00A900AF">
        <w:rPr>
          <w:rFonts w:cs="Times New Roman"/>
          <w:b/>
          <w:bCs/>
          <w:szCs w:val="24"/>
        </w:rPr>
        <w:t>1</w:t>
      </w:r>
      <w:r w:rsidRPr="009D2671">
        <w:rPr>
          <w:rFonts w:cs="Times New Roman"/>
          <w:szCs w:val="24"/>
        </w:rPr>
        <w:t xml:space="preserve"> Vlerësimi nëpërmjet monitorimit në mënyrë të përhershme të faqeve të internetit të çdo subjekti të mbikëqyrur, nëse detyrimet e informacionit janë në përputhje me kërkesat ligjore të një forme efikase dhe efektive të mbrojtjes së konsumatorit, duke i zgjeruar ose përshtatur ato aty ku është e nevojshme.</w:t>
      </w:r>
    </w:p>
    <w:p w14:paraId="69FC2E6C" w14:textId="77777777" w:rsidR="009D2671" w:rsidRPr="009D2671" w:rsidRDefault="009D2671" w:rsidP="009D2671">
      <w:pPr>
        <w:spacing w:after="0" w:line="240" w:lineRule="auto"/>
        <w:jc w:val="both"/>
        <w:rPr>
          <w:rFonts w:cs="Times New Roman"/>
          <w:szCs w:val="24"/>
        </w:rPr>
      </w:pPr>
    </w:p>
    <w:p w14:paraId="0A8DCB84" w14:textId="2E2B3D6D" w:rsidR="009D2671" w:rsidRPr="009D2671" w:rsidRDefault="009D2671" w:rsidP="009D2671">
      <w:pPr>
        <w:spacing w:after="0" w:line="240" w:lineRule="auto"/>
        <w:jc w:val="both"/>
        <w:rPr>
          <w:rFonts w:cs="Times New Roman"/>
          <w:szCs w:val="24"/>
        </w:rPr>
      </w:pPr>
      <w:r w:rsidRPr="009D2671">
        <w:rPr>
          <w:rFonts w:cs="Times New Roman"/>
          <w:b/>
          <w:bCs/>
          <w:szCs w:val="24"/>
        </w:rPr>
        <w:t xml:space="preserve">Masa </w:t>
      </w:r>
      <w:r w:rsidR="00A900AF">
        <w:rPr>
          <w:rFonts w:cs="Times New Roman"/>
          <w:b/>
          <w:bCs/>
          <w:szCs w:val="24"/>
        </w:rPr>
        <w:t>51.</w:t>
      </w:r>
      <w:r w:rsidRPr="009D2671">
        <w:rPr>
          <w:rFonts w:cs="Times New Roman"/>
          <w:b/>
          <w:bCs/>
          <w:szCs w:val="24"/>
        </w:rPr>
        <w:t xml:space="preserve">2 </w:t>
      </w:r>
      <w:r w:rsidR="00A900AF" w:rsidRPr="00A900AF">
        <w:rPr>
          <w:rFonts w:cs="Times New Roman"/>
          <w:szCs w:val="24"/>
        </w:rPr>
        <w:t>Hartimi i</w:t>
      </w:r>
      <w:r w:rsidR="00A900AF">
        <w:rPr>
          <w:rFonts w:cs="Times New Roman"/>
          <w:b/>
          <w:bCs/>
          <w:szCs w:val="24"/>
        </w:rPr>
        <w:t xml:space="preserve"> </w:t>
      </w:r>
      <w:r w:rsidR="00A900AF">
        <w:rPr>
          <w:rFonts w:cs="Times New Roman"/>
          <w:szCs w:val="24"/>
        </w:rPr>
        <w:t>p</w:t>
      </w:r>
      <w:r w:rsidRPr="009D2671">
        <w:rPr>
          <w:rFonts w:cs="Times New Roman"/>
          <w:szCs w:val="24"/>
        </w:rPr>
        <w:t>ublikime</w:t>
      </w:r>
      <w:r w:rsidR="00A900AF">
        <w:rPr>
          <w:rFonts w:cs="Times New Roman"/>
          <w:szCs w:val="24"/>
        </w:rPr>
        <w:t>ve dhe b</w:t>
      </w:r>
      <w:r w:rsidRPr="009D2671">
        <w:rPr>
          <w:rFonts w:cs="Times New Roman"/>
          <w:szCs w:val="24"/>
        </w:rPr>
        <w:t>roshura</w:t>
      </w:r>
      <w:r w:rsidR="00A900AF">
        <w:rPr>
          <w:rFonts w:cs="Times New Roman"/>
          <w:szCs w:val="24"/>
        </w:rPr>
        <w:t>ve</w:t>
      </w:r>
      <w:r w:rsidRPr="009D2671">
        <w:rPr>
          <w:rFonts w:cs="Times New Roman"/>
          <w:szCs w:val="24"/>
        </w:rPr>
        <w:t xml:space="preserve"> informuese mbi veçoritë e produkteve specifike</w:t>
      </w:r>
      <w:r w:rsidR="00A900AF">
        <w:rPr>
          <w:rFonts w:cs="Times New Roman"/>
          <w:szCs w:val="24"/>
        </w:rPr>
        <w:t xml:space="preserve"> financiare</w:t>
      </w:r>
    </w:p>
    <w:p w14:paraId="350643A5" w14:textId="77777777" w:rsidR="009D2671" w:rsidRPr="009D2671" w:rsidRDefault="009D2671" w:rsidP="009D2671">
      <w:pPr>
        <w:spacing w:after="0" w:line="240" w:lineRule="auto"/>
        <w:jc w:val="both"/>
        <w:rPr>
          <w:rFonts w:cs="Times New Roman"/>
          <w:b/>
          <w:bCs/>
          <w:szCs w:val="24"/>
        </w:rPr>
      </w:pPr>
    </w:p>
    <w:p w14:paraId="3CD2AF92" w14:textId="160DA1E4" w:rsidR="009D2671" w:rsidRPr="009D2671" w:rsidRDefault="009D2671" w:rsidP="009D2671">
      <w:pPr>
        <w:spacing w:after="0" w:line="240" w:lineRule="auto"/>
        <w:jc w:val="both"/>
        <w:rPr>
          <w:rFonts w:cs="Times New Roman"/>
          <w:b/>
          <w:bCs/>
          <w:szCs w:val="24"/>
        </w:rPr>
      </w:pPr>
      <w:r w:rsidRPr="009D2671">
        <w:rPr>
          <w:rFonts w:cs="Times New Roman"/>
          <w:b/>
          <w:bCs/>
          <w:szCs w:val="24"/>
        </w:rPr>
        <w:lastRenderedPageBreak/>
        <w:t xml:space="preserve">Masa </w:t>
      </w:r>
      <w:r w:rsidR="00A900AF">
        <w:rPr>
          <w:rFonts w:cs="Times New Roman"/>
          <w:b/>
          <w:bCs/>
          <w:szCs w:val="24"/>
        </w:rPr>
        <w:t>51.</w:t>
      </w:r>
      <w:r w:rsidRPr="009D2671">
        <w:rPr>
          <w:rFonts w:cs="Times New Roman"/>
          <w:b/>
          <w:bCs/>
          <w:szCs w:val="24"/>
        </w:rPr>
        <w:t xml:space="preserve">3. </w:t>
      </w:r>
      <w:r w:rsidRPr="009D2671">
        <w:rPr>
          <w:rFonts w:cs="Times New Roman"/>
          <w:szCs w:val="24"/>
        </w:rPr>
        <w:t>Raportim periodik i rasteve të mungesës së transparencës, lidhur me informimin e publikut për secilin treg bazuar në kuadrin ligjor dhe rregullator përkatës, si rezultat i monitorimit të faqeve të internetit të çdo subjekti të mbikëqyrur</w:t>
      </w:r>
      <w:r w:rsidRPr="009D2671">
        <w:rPr>
          <w:rFonts w:cs="Times New Roman"/>
          <w:b/>
          <w:bCs/>
          <w:szCs w:val="24"/>
        </w:rPr>
        <w:t>.</w:t>
      </w:r>
    </w:p>
    <w:p w14:paraId="79A63CB7" w14:textId="4BE042DB" w:rsidR="009D2671" w:rsidRPr="009D2671" w:rsidRDefault="00A900AF" w:rsidP="009D2671">
      <w:pPr>
        <w:spacing w:after="0" w:line="240" w:lineRule="auto"/>
        <w:jc w:val="both"/>
        <w:rPr>
          <w:rFonts w:cs="Times New Roman"/>
          <w:b/>
          <w:bCs/>
          <w:szCs w:val="24"/>
        </w:rPr>
      </w:pPr>
      <w:r>
        <w:rPr>
          <w:rFonts w:cs="Times New Roman"/>
          <w:b/>
          <w:bCs/>
          <w:szCs w:val="24"/>
        </w:rPr>
        <w:t>Masa 51.4</w:t>
      </w:r>
      <w:r w:rsidR="009D2671" w:rsidRPr="00740A9F">
        <w:rPr>
          <w:rFonts w:cs="Times New Roman"/>
          <w:szCs w:val="24"/>
        </w:rPr>
        <w:t>Raportimi i rasteve të keqinformimit të publikut apo lëvrimit të informacioneve të natyrës çorientuese dhe marrja e masave nga Autoriteti për adresimin e rasteve të evidentuara.</w:t>
      </w:r>
      <w:r w:rsidR="009D2671" w:rsidRPr="009D2671">
        <w:rPr>
          <w:rFonts w:cs="Times New Roman"/>
          <w:b/>
          <w:bCs/>
          <w:szCs w:val="24"/>
        </w:rPr>
        <w:t xml:space="preserve"> </w:t>
      </w:r>
    </w:p>
    <w:p w14:paraId="79744006" w14:textId="77777777" w:rsidR="009D2671" w:rsidRPr="009D2671" w:rsidRDefault="009D2671" w:rsidP="009D2671">
      <w:pPr>
        <w:spacing w:after="0" w:line="240" w:lineRule="auto"/>
        <w:jc w:val="both"/>
        <w:rPr>
          <w:rFonts w:cs="Times New Roman"/>
          <w:b/>
          <w:bCs/>
          <w:szCs w:val="24"/>
        </w:rPr>
      </w:pPr>
    </w:p>
    <w:p w14:paraId="264261E1" w14:textId="7571B79A" w:rsidR="00740A9F" w:rsidRDefault="009D2671" w:rsidP="009D2671">
      <w:pPr>
        <w:spacing w:after="0" w:line="240" w:lineRule="auto"/>
        <w:jc w:val="both"/>
        <w:rPr>
          <w:rFonts w:cs="Times New Roman"/>
          <w:b/>
          <w:bCs/>
          <w:szCs w:val="24"/>
        </w:rPr>
      </w:pPr>
      <w:r w:rsidRPr="009D2671">
        <w:rPr>
          <w:rFonts w:cs="Times New Roman"/>
          <w:b/>
          <w:bCs/>
          <w:szCs w:val="24"/>
        </w:rPr>
        <w:t xml:space="preserve">Masa </w:t>
      </w:r>
      <w:r w:rsidR="00A900AF">
        <w:rPr>
          <w:rFonts w:cs="Times New Roman"/>
          <w:b/>
          <w:bCs/>
          <w:szCs w:val="24"/>
        </w:rPr>
        <w:t xml:space="preserve">51.5 </w:t>
      </w:r>
      <w:r w:rsidRPr="00740A9F">
        <w:rPr>
          <w:rFonts w:cs="Times New Roman"/>
          <w:szCs w:val="24"/>
        </w:rPr>
        <w:t>Intensiteti i publikimeve, fushatave sensibilizuese dhe aktiviteteve të edukimit financiar mbi bazën e nivelit të ankesave me fokus produktet specifike.</w:t>
      </w:r>
      <w:r w:rsidRPr="009D2671">
        <w:rPr>
          <w:rFonts w:cs="Times New Roman"/>
          <w:b/>
          <w:bCs/>
          <w:szCs w:val="24"/>
        </w:rPr>
        <w:t xml:space="preserve"> </w:t>
      </w:r>
    </w:p>
    <w:p w14:paraId="0CDFE074" w14:textId="77777777" w:rsidR="00A900AF" w:rsidRDefault="009D2671" w:rsidP="003D7E86">
      <w:pPr>
        <w:spacing w:after="0" w:line="240" w:lineRule="auto"/>
        <w:jc w:val="both"/>
        <w:rPr>
          <w:rFonts w:cs="Times New Roman"/>
          <w:b/>
          <w:bCs/>
          <w:szCs w:val="24"/>
        </w:rPr>
      </w:pPr>
      <w:r w:rsidRPr="009D2671">
        <w:rPr>
          <w:rFonts w:cs="Times New Roman"/>
          <w:b/>
          <w:bCs/>
          <w:szCs w:val="24"/>
        </w:rPr>
        <w:t xml:space="preserve"> </w:t>
      </w:r>
    </w:p>
    <w:p w14:paraId="208A08B7" w14:textId="269D8C4D" w:rsidR="003D7E86" w:rsidRPr="003D7E86" w:rsidRDefault="00A900AF" w:rsidP="003D7E86">
      <w:pPr>
        <w:spacing w:after="0" w:line="240" w:lineRule="auto"/>
        <w:jc w:val="both"/>
        <w:rPr>
          <w:rFonts w:cs="Times New Roman"/>
          <w:b/>
          <w:bCs/>
          <w:szCs w:val="24"/>
        </w:rPr>
      </w:pPr>
      <w:r w:rsidRPr="003D7E86">
        <w:rPr>
          <w:rFonts w:cs="Times New Roman"/>
          <w:b/>
          <w:bCs/>
          <w:szCs w:val="24"/>
        </w:rPr>
        <w:t>Indikator</w:t>
      </w:r>
      <w:r>
        <w:rPr>
          <w:rFonts w:cs="Times New Roman"/>
          <w:b/>
          <w:bCs/>
          <w:szCs w:val="24"/>
        </w:rPr>
        <w:t>ët</w:t>
      </w:r>
      <w:r w:rsidR="003D7E86" w:rsidRPr="003D7E86">
        <w:rPr>
          <w:rFonts w:cs="Times New Roman"/>
          <w:b/>
          <w:bCs/>
          <w:szCs w:val="24"/>
        </w:rPr>
        <w:t>:</w:t>
      </w:r>
    </w:p>
    <w:p w14:paraId="5A22AE1D" w14:textId="01DF89C7" w:rsidR="003D7E86" w:rsidRPr="00A900AF" w:rsidRDefault="003D7E86" w:rsidP="00623352">
      <w:pPr>
        <w:pStyle w:val="ListParagraph"/>
        <w:numPr>
          <w:ilvl w:val="0"/>
          <w:numId w:val="45"/>
        </w:numPr>
        <w:spacing w:after="0" w:line="240" w:lineRule="auto"/>
        <w:jc w:val="both"/>
        <w:rPr>
          <w:rFonts w:cs="Times New Roman"/>
          <w:szCs w:val="24"/>
        </w:rPr>
      </w:pPr>
      <w:r w:rsidRPr="00A900AF">
        <w:rPr>
          <w:rFonts w:cs="Times New Roman"/>
          <w:szCs w:val="24"/>
        </w:rPr>
        <w:t xml:space="preserve">Raportim </w:t>
      </w:r>
      <w:r w:rsidR="00B37CAB" w:rsidRPr="00B37CAB">
        <w:rPr>
          <w:rFonts w:cs="Times New Roman"/>
          <w:szCs w:val="24"/>
          <w:highlight w:val="yellow"/>
        </w:rPr>
        <w:t>vjetor</w:t>
      </w:r>
      <w:r w:rsidR="00B37CAB">
        <w:rPr>
          <w:rFonts w:cs="Times New Roman"/>
          <w:szCs w:val="24"/>
        </w:rPr>
        <w:t xml:space="preserve">  </w:t>
      </w:r>
      <w:r w:rsidRPr="00A900AF">
        <w:rPr>
          <w:rFonts w:cs="Times New Roman"/>
          <w:szCs w:val="24"/>
        </w:rPr>
        <w:t xml:space="preserve"> rasteve të mungesës së transparencës, lidhur me informimin e publikut për secilin treg bazuar në kuadrin ligjor dhe rregullator përkatës, si rezultat i monitorimit të faqeve të internetit të çdo subjekti të mbikëqyrur.</w:t>
      </w:r>
    </w:p>
    <w:p w14:paraId="3196441B" w14:textId="211C0973" w:rsidR="003D7E86" w:rsidRPr="00A900AF" w:rsidRDefault="003D7E86" w:rsidP="00623352">
      <w:pPr>
        <w:pStyle w:val="ListParagraph"/>
        <w:numPr>
          <w:ilvl w:val="0"/>
          <w:numId w:val="45"/>
        </w:numPr>
        <w:spacing w:after="0" w:line="240" w:lineRule="auto"/>
        <w:jc w:val="both"/>
        <w:rPr>
          <w:rFonts w:cs="Times New Roman"/>
          <w:szCs w:val="24"/>
        </w:rPr>
      </w:pPr>
      <w:r w:rsidRPr="00A900AF">
        <w:rPr>
          <w:rFonts w:cs="Times New Roman"/>
          <w:szCs w:val="24"/>
        </w:rPr>
        <w:t>Raportimi</w:t>
      </w:r>
      <w:r w:rsidR="00B37CAB">
        <w:rPr>
          <w:rFonts w:cs="Times New Roman"/>
          <w:szCs w:val="24"/>
        </w:rPr>
        <w:t xml:space="preserve"> </w:t>
      </w:r>
      <w:r w:rsidR="00B37CAB" w:rsidRPr="00B37CAB">
        <w:rPr>
          <w:rFonts w:cs="Times New Roman"/>
          <w:szCs w:val="24"/>
          <w:highlight w:val="yellow"/>
        </w:rPr>
        <w:t>3 mujor</w:t>
      </w:r>
      <w:r w:rsidR="00B37CAB">
        <w:rPr>
          <w:rFonts w:cs="Times New Roman"/>
          <w:szCs w:val="24"/>
        </w:rPr>
        <w:t xml:space="preserve"> </w:t>
      </w:r>
      <w:r w:rsidRPr="00A900AF">
        <w:rPr>
          <w:rFonts w:cs="Times New Roman"/>
          <w:szCs w:val="24"/>
        </w:rPr>
        <w:t xml:space="preserve"> i rasteve të keqinformimit të publikut apo lëvrimit të informacioneve të natyrës çorientuese dhe marrja e masave nga Autoriteti për adresimin e rasteve të evidentuara. </w:t>
      </w:r>
    </w:p>
    <w:p w14:paraId="63DC96E5" w14:textId="565B1BC3" w:rsidR="00AD558F" w:rsidRPr="00A900AF" w:rsidRDefault="003D7E86" w:rsidP="00623352">
      <w:pPr>
        <w:pStyle w:val="ListParagraph"/>
        <w:numPr>
          <w:ilvl w:val="0"/>
          <w:numId w:val="45"/>
        </w:numPr>
        <w:spacing w:after="0" w:line="240" w:lineRule="auto"/>
        <w:jc w:val="both"/>
        <w:rPr>
          <w:rFonts w:cs="Times New Roman"/>
          <w:szCs w:val="24"/>
        </w:rPr>
      </w:pPr>
      <w:r w:rsidRPr="00A900AF">
        <w:rPr>
          <w:rFonts w:cs="Times New Roman"/>
          <w:szCs w:val="24"/>
        </w:rPr>
        <w:t xml:space="preserve"> publikimeve, fushatave sensibilizuese dhe aktiviteteve të edukimit financiar</w:t>
      </w:r>
      <w:r w:rsidR="00A900AF">
        <w:rPr>
          <w:rFonts w:cs="Times New Roman"/>
          <w:szCs w:val="24"/>
        </w:rPr>
        <w:t xml:space="preserve"> </w:t>
      </w:r>
      <w:r w:rsidRPr="00A900AF">
        <w:rPr>
          <w:rFonts w:cs="Times New Roman"/>
          <w:szCs w:val="24"/>
        </w:rPr>
        <w:t>mbi bazën e nivelit të ankesave me fokus produktet specifike</w:t>
      </w:r>
      <w:r w:rsidR="00B37CAB">
        <w:rPr>
          <w:rFonts w:cs="Times New Roman"/>
          <w:szCs w:val="24"/>
        </w:rPr>
        <w:t xml:space="preserve"> </w:t>
      </w:r>
      <w:r w:rsidR="00B37CAB" w:rsidRPr="00B37CAB">
        <w:rPr>
          <w:rFonts w:cs="Times New Roman"/>
          <w:szCs w:val="24"/>
          <w:highlight w:val="yellow"/>
        </w:rPr>
        <w:t>1 here në vit</w:t>
      </w:r>
      <w:r w:rsidR="00B37CAB">
        <w:rPr>
          <w:rFonts w:cs="Times New Roman"/>
          <w:szCs w:val="24"/>
        </w:rPr>
        <w:t xml:space="preserve"> </w:t>
      </w:r>
    </w:p>
    <w:p w14:paraId="5A805949" w14:textId="711FA140" w:rsidR="00124CB0" w:rsidRDefault="00124CB0" w:rsidP="00A900AF">
      <w:pPr>
        <w:pStyle w:val="Heading4"/>
        <w:rPr>
          <w:lang w:val="sq-AL"/>
        </w:rPr>
      </w:pPr>
      <w:bookmarkStart w:id="194" w:name="_Toc132277410"/>
      <w:r w:rsidRPr="00274F14">
        <w:rPr>
          <w:lang w:val="sq-AL"/>
        </w:rPr>
        <w:t>Banka e Shqipërisë</w:t>
      </w:r>
      <w:bookmarkEnd w:id="194"/>
    </w:p>
    <w:tbl>
      <w:tblPr>
        <w:tblStyle w:val="TableGrid"/>
        <w:tblW w:w="0" w:type="auto"/>
        <w:tblLook w:val="04A0" w:firstRow="1" w:lastRow="0" w:firstColumn="1" w:lastColumn="0" w:noHBand="0" w:noVBand="1"/>
      </w:tblPr>
      <w:tblGrid>
        <w:gridCol w:w="9016"/>
      </w:tblGrid>
      <w:tr w:rsidR="00A900AF" w14:paraId="13ACF028" w14:textId="77777777" w:rsidTr="00A900AF">
        <w:tc>
          <w:tcPr>
            <w:tcW w:w="9016" w:type="dxa"/>
          </w:tcPr>
          <w:p w14:paraId="0DD23E79" w14:textId="051C3B78" w:rsidR="00A900AF" w:rsidRDefault="00A900AF" w:rsidP="00A900AF">
            <w:pPr>
              <w:shd w:val="clear" w:color="auto" w:fill="FFFFFF" w:themeFill="background1"/>
              <w:jc w:val="both"/>
              <w:rPr>
                <w:rFonts w:cs="Times New Roman"/>
                <w:b/>
                <w:bCs/>
                <w:szCs w:val="24"/>
              </w:rPr>
            </w:pPr>
            <w:r w:rsidRPr="009475CC">
              <w:rPr>
                <w:rFonts w:cs="Times New Roman"/>
                <w:b/>
                <w:bCs/>
                <w:szCs w:val="24"/>
              </w:rPr>
              <w:t xml:space="preserve">Objektivi </w:t>
            </w:r>
            <w:r>
              <w:rPr>
                <w:rFonts w:cs="Times New Roman"/>
                <w:b/>
                <w:bCs/>
                <w:szCs w:val="24"/>
              </w:rPr>
              <w:t>52</w:t>
            </w:r>
            <w:r w:rsidRPr="009475CC">
              <w:rPr>
                <w:rFonts w:cs="Times New Roman"/>
                <w:b/>
                <w:bCs/>
                <w:szCs w:val="24"/>
              </w:rPr>
              <w:t>:</w:t>
            </w:r>
          </w:p>
          <w:p w14:paraId="51A5A012" w14:textId="244B2AA2" w:rsidR="00A900AF" w:rsidRPr="009475CC" w:rsidRDefault="00A900AF" w:rsidP="00A900AF">
            <w:pPr>
              <w:shd w:val="clear" w:color="auto" w:fill="FFFFFF" w:themeFill="background1"/>
              <w:jc w:val="both"/>
              <w:rPr>
                <w:rFonts w:cs="Times New Roman"/>
                <w:szCs w:val="24"/>
              </w:rPr>
            </w:pPr>
            <w:r w:rsidRPr="009475CC">
              <w:rPr>
                <w:rFonts w:cs="Times New Roman"/>
                <w:szCs w:val="24"/>
              </w:rPr>
              <w:t>Edukimi financiar dhe ekonomik i publikut dhe veçanërisht konsumatorëve, duke synuar pajisjen me kulturën financiare të nevojshme për  të kuptuar dhe shmangur rreziqet,  dhe të nxjerrë përfitime për rritjen e mirëqenies së tij financiare.</w:t>
            </w:r>
          </w:p>
          <w:p w14:paraId="3BB7C27C" w14:textId="77777777" w:rsidR="00A900AF" w:rsidRDefault="00A900AF" w:rsidP="009475CC">
            <w:pPr>
              <w:jc w:val="center"/>
              <w:rPr>
                <w:rFonts w:cs="Times New Roman"/>
                <w:b/>
                <w:sz w:val="28"/>
                <w:szCs w:val="28"/>
                <w:lang w:val="sq-AL"/>
              </w:rPr>
            </w:pPr>
          </w:p>
        </w:tc>
      </w:tr>
    </w:tbl>
    <w:p w14:paraId="6579F7FA" w14:textId="77777777" w:rsidR="00D00ABD" w:rsidRPr="00274F14" w:rsidRDefault="00D00ABD" w:rsidP="009475CC">
      <w:pPr>
        <w:spacing w:after="0" w:line="240" w:lineRule="auto"/>
        <w:jc w:val="center"/>
        <w:rPr>
          <w:rFonts w:cs="Times New Roman"/>
          <w:b/>
          <w:sz w:val="28"/>
          <w:szCs w:val="28"/>
          <w:lang w:val="sq-AL"/>
        </w:rPr>
      </w:pPr>
    </w:p>
    <w:p w14:paraId="54A5E284" w14:textId="484D465A" w:rsidR="00AD558F" w:rsidRPr="009475CC" w:rsidRDefault="00AD558F" w:rsidP="00D00ABD">
      <w:pPr>
        <w:shd w:val="clear" w:color="auto" w:fill="FFFFFF" w:themeFill="background1"/>
        <w:spacing w:after="0"/>
        <w:jc w:val="both"/>
        <w:rPr>
          <w:rFonts w:cs="Times New Roman"/>
          <w:szCs w:val="24"/>
        </w:rPr>
      </w:pPr>
      <w:r w:rsidRPr="009475CC">
        <w:rPr>
          <w:rFonts w:cs="Times New Roman"/>
          <w:b/>
          <w:bCs/>
          <w:szCs w:val="24"/>
        </w:rPr>
        <w:t>Masa</w:t>
      </w:r>
      <w:r w:rsidR="00124CB0" w:rsidRPr="009475CC">
        <w:rPr>
          <w:rFonts w:cs="Times New Roman"/>
          <w:b/>
          <w:bCs/>
          <w:szCs w:val="24"/>
        </w:rPr>
        <w:t xml:space="preserve"> </w:t>
      </w:r>
      <w:r w:rsidR="00A900AF">
        <w:rPr>
          <w:rFonts w:cs="Times New Roman"/>
          <w:b/>
          <w:bCs/>
          <w:szCs w:val="24"/>
        </w:rPr>
        <w:t>52.</w:t>
      </w:r>
      <w:r w:rsidR="00124CB0" w:rsidRPr="009475CC">
        <w:rPr>
          <w:rFonts w:cs="Times New Roman"/>
          <w:b/>
          <w:bCs/>
          <w:szCs w:val="24"/>
        </w:rPr>
        <w:t xml:space="preserve">1: </w:t>
      </w:r>
      <w:r w:rsidR="00124CB0" w:rsidRPr="00D00ABD">
        <w:rPr>
          <w:rFonts w:cs="Times New Roman"/>
          <w:szCs w:val="24"/>
        </w:rPr>
        <w:t>H</w:t>
      </w:r>
      <w:r w:rsidRPr="00D00ABD">
        <w:rPr>
          <w:rFonts w:cs="Times New Roman"/>
          <w:szCs w:val="24"/>
        </w:rPr>
        <w:t>a</w:t>
      </w:r>
      <w:r w:rsidRPr="009475CC">
        <w:rPr>
          <w:rFonts w:cs="Times New Roman"/>
          <w:szCs w:val="24"/>
        </w:rPr>
        <w:t>rtimi dhe implementimin i një strategjie kombëtare për edukimin financiar, e cila do të synojë përmirësimin e kulturës dhe përfshirjes financiare të publikut të gjerë.</w:t>
      </w:r>
    </w:p>
    <w:p w14:paraId="37DCFEFA" w14:textId="272227BD" w:rsidR="00AD558F" w:rsidRPr="007A3E00" w:rsidRDefault="00AD558F" w:rsidP="007A3E00">
      <w:pPr>
        <w:jc w:val="both"/>
        <w:rPr>
          <w:rFonts w:cs="Times New Roman"/>
          <w:szCs w:val="24"/>
        </w:rPr>
      </w:pPr>
      <w:r w:rsidRPr="009475CC">
        <w:rPr>
          <w:rFonts w:cs="Times New Roman"/>
          <w:b/>
          <w:bCs/>
          <w:szCs w:val="24"/>
        </w:rPr>
        <w:t>Ind</w:t>
      </w:r>
      <w:r w:rsidR="00124CB0">
        <w:rPr>
          <w:rFonts w:cs="Times New Roman"/>
          <w:b/>
          <w:bCs/>
          <w:szCs w:val="24"/>
        </w:rPr>
        <w:t>i</w:t>
      </w:r>
      <w:r w:rsidRPr="009475CC">
        <w:rPr>
          <w:rFonts w:cs="Times New Roman"/>
          <w:b/>
          <w:bCs/>
          <w:szCs w:val="24"/>
        </w:rPr>
        <w:t>ka</w:t>
      </w:r>
      <w:r w:rsidR="00124CB0" w:rsidRPr="009475CC">
        <w:rPr>
          <w:rFonts w:cs="Times New Roman"/>
          <w:b/>
          <w:bCs/>
          <w:szCs w:val="24"/>
        </w:rPr>
        <w:t>t</w:t>
      </w:r>
      <w:r w:rsidRPr="009475CC">
        <w:rPr>
          <w:rFonts w:cs="Times New Roman"/>
          <w:b/>
          <w:bCs/>
          <w:szCs w:val="24"/>
        </w:rPr>
        <w:t>o</w:t>
      </w:r>
      <w:r w:rsidR="00124CB0" w:rsidRPr="009475CC">
        <w:rPr>
          <w:rFonts w:cs="Times New Roman"/>
          <w:b/>
          <w:bCs/>
          <w:szCs w:val="24"/>
        </w:rPr>
        <w:t>r</w:t>
      </w:r>
      <w:r w:rsidR="007A3E00">
        <w:rPr>
          <w:rFonts w:cs="Times New Roman"/>
          <w:b/>
          <w:bCs/>
          <w:szCs w:val="24"/>
        </w:rPr>
        <w:t>i</w:t>
      </w:r>
      <w:r w:rsidRPr="009475CC">
        <w:rPr>
          <w:rFonts w:cs="Times New Roman"/>
          <w:b/>
          <w:bCs/>
          <w:szCs w:val="24"/>
        </w:rPr>
        <w:t>:</w:t>
      </w:r>
      <w:r w:rsidR="00124CB0" w:rsidRPr="009475CC">
        <w:rPr>
          <w:rFonts w:cs="Times New Roman"/>
          <w:szCs w:val="24"/>
        </w:rPr>
        <w:t xml:space="preserve"> D</w:t>
      </w:r>
      <w:r w:rsidRPr="009475CC">
        <w:rPr>
          <w:rFonts w:cs="Times New Roman"/>
          <w:szCs w:val="24"/>
        </w:rPr>
        <w:t>okumenti i strategjisë kombëtare për edukimin financiar</w:t>
      </w:r>
      <w:r w:rsidR="00AD2B1F">
        <w:rPr>
          <w:rFonts w:cs="Times New Roman"/>
          <w:szCs w:val="24"/>
        </w:rPr>
        <w:t xml:space="preserve"> I miratuar. </w:t>
      </w:r>
    </w:p>
    <w:p w14:paraId="7410A937" w14:textId="77777777" w:rsidR="00124CB0" w:rsidRPr="00DD6F67" w:rsidRDefault="00124CB0" w:rsidP="007A3E00">
      <w:pPr>
        <w:pStyle w:val="Heading4"/>
        <w:rPr>
          <w:lang w:val="sq-AL"/>
        </w:rPr>
      </w:pPr>
      <w:bookmarkStart w:id="195" w:name="_Toc132277411"/>
      <w:r w:rsidRPr="00DD6F67">
        <w:t>Autoriteti i Aviacionit Civil</w:t>
      </w:r>
      <w:bookmarkEnd w:id="195"/>
    </w:p>
    <w:tbl>
      <w:tblPr>
        <w:tblStyle w:val="TableGrid"/>
        <w:tblW w:w="0" w:type="auto"/>
        <w:tblLook w:val="04A0" w:firstRow="1" w:lastRow="0" w:firstColumn="1" w:lastColumn="0" w:noHBand="0" w:noVBand="1"/>
      </w:tblPr>
      <w:tblGrid>
        <w:gridCol w:w="9016"/>
      </w:tblGrid>
      <w:tr w:rsidR="007A3E00" w14:paraId="5D81E089" w14:textId="77777777" w:rsidTr="007A3E00">
        <w:tc>
          <w:tcPr>
            <w:tcW w:w="9016" w:type="dxa"/>
          </w:tcPr>
          <w:p w14:paraId="19943A6F" w14:textId="645B3987" w:rsidR="007A3E00" w:rsidRDefault="007A3E00" w:rsidP="007A3E00">
            <w:pPr>
              <w:rPr>
                <w:rFonts w:cs="Times New Roman"/>
                <w:b/>
                <w:bCs/>
                <w:szCs w:val="24"/>
              </w:rPr>
            </w:pPr>
            <w:r w:rsidRPr="00F1072D">
              <w:rPr>
                <w:rFonts w:cs="Times New Roman"/>
                <w:b/>
                <w:bCs/>
                <w:szCs w:val="24"/>
              </w:rPr>
              <w:t xml:space="preserve">Objektivi </w:t>
            </w:r>
            <w:r>
              <w:rPr>
                <w:rFonts w:cs="Times New Roman"/>
                <w:b/>
                <w:bCs/>
                <w:szCs w:val="24"/>
              </w:rPr>
              <w:t>53:</w:t>
            </w:r>
          </w:p>
          <w:p w14:paraId="0909F17C" w14:textId="1F949FFF" w:rsidR="007A3E00" w:rsidRDefault="007A3E00" w:rsidP="007A3E00">
            <w:pPr>
              <w:rPr>
                <w:rFonts w:cs="Times New Roman"/>
                <w:i/>
                <w:iCs/>
                <w:szCs w:val="24"/>
              </w:rPr>
            </w:pPr>
            <w:r w:rsidRPr="003D5A37">
              <w:rPr>
                <w:rFonts w:cs="Times New Roman"/>
                <w:szCs w:val="24"/>
              </w:rPr>
              <w:t>Informimi i pasagjerëve</w:t>
            </w:r>
            <w:r>
              <w:rPr>
                <w:rFonts w:cs="Times New Roman"/>
                <w:szCs w:val="24"/>
              </w:rPr>
              <w:t xml:space="preserve"> mbi të detyrimet që lindin në rastet e shkeljes së të drejtave të tyre  </w:t>
            </w:r>
            <w:r w:rsidRPr="003D5A37">
              <w:rPr>
                <w:rFonts w:cs="Times New Roman"/>
                <w:szCs w:val="24"/>
              </w:rPr>
              <w:t xml:space="preserve"> </w:t>
            </w:r>
          </w:p>
        </w:tc>
      </w:tr>
    </w:tbl>
    <w:p w14:paraId="78C1554C" w14:textId="32CA2C4E" w:rsidR="00AD558F" w:rsidRDefault="00AD558F" w:rsidP="007A3E00">
      <w:pPr>
        <w:spacing w:after="0" w:line="240" w:lineRule="auto"/>
        <w:rPr>
          <w:rFonts w:cs="Times New Roman"/>
          <w:i/>
          <w:iCs/>
          <w:szCs w:val="24"/>
        </w:rPr>
      </w:pPr>
    </w:p>
    <w:p w14:paraId="3C839FF4" w14:textId="23CABA9A" w:rsidR="007A3E00" w:rsidRDefault="007A3E00" w:rsidP="003D5A37">
      <w:pPr>
        <w:spacing w:after="0" w:line="240" w:lineRule="auto"/>
        <w:rPr>
          <w:rFonts w:cs="Times New Roman"/>
          <w:szCs w:val="24"/>
        </w:rPr>
      </w:pPr>
      <w:r>
        <w:rPr>
          <w:rFonts w:cs="Times New Roman"/>
          <w:szCs w:val="24"/>
        </w:rPr>
        <w:t xml:space="preserve">Ky objektiv synohet të arrihet nëpërmjet komunikimit të vazhdueshëm të shkruar dhe verbal </w:t>
      </w:r>
      <w:r w:rsidRPr="003D5A37">
        <w:rPr>
          <w:rFonts w:cs="Times New Roman"/>
          <w:szCs w:val="24"/>
        </w:rPr>
        <w:t>p</w:t>
      </w:r>
      <w:r>
        <w:rPr>
          <w:rFonts w:cs="Times New Roman"/>
          <w:szCs w:val="24"/>
        </w:rPr>
        <w:t>ë</w:t>
      </w:r>
      <w:r w:rsidRPr="003D5A37">
        <w:rPr>
          <w:rFonts w:cs="Times New Roman"/>
          <w:szCs w:val="24"/>
        </w:rPr>
        <w:t xml:space="preserve">r të drejtën e kompesimit në rast të vonesave apo anullimit të fluturimit; dëmtimit apo humbjes së bagazheve, shoqërimit dhe kujdesit për personat me aftësi të kufizuar, referuar kuadrit rregullator në fuqi.  </w:t>
      </w:r>
    </w:p>
    <w:p w14:paraId="11126941" w14:textId="54EA55F6" w:rsidR="003D5A37" w:rsidRPr="003D5A37" w:rsidRDefault="003D5A37" w:rsidP="003D5A37">
      <w:pPr>
        <w:spacing w:after="0" w:line="240" w:lineRule="auto"/>
        <w:rPr>
          <w:rFonts w:cs="Times New Roman"/>
          <w:szCs w:val="24"/>
        </w:rPr>
      </w:pPr>
      <w:r w:rsidRPr="003D5A37">
        <w:rPr>
          <w:rFonts w:cs="Times New Roman"/>
          <w:szCs w:val="24"/>
        </w:rPr>
        <w:t xml:space="preserve">Janë publikuar broshure/fletëpalosje informuese cdo vit si dhe janë vendosur  tabela informueset në aeropoirt vendet e </w:t>
      </w:r>
      <w:r w:rsidRPr="007A3E00">
        <w:rPr>
          <w:rFonts w:cs="Times New Roman"/>
          <w:i/>
          <w:iCs/>
          <w:szCs w:val="24"/>
        </w:rPr>
        <w:t>chek</w:t>
      </w:r>
      <w:r w:rsidR="007A3E00" w:rsidRPr="007A3E00">
        <w:rPr>
          <w:rFonts w:cs="Times New Roman"/>
          <w:i/>
          <w:iCs/>
          <w:szCs w:val="24"/>
        </w:rPr>
        <w:t>-</w:t>
      </w:r>
      <w:r w:rsidRPr="007A3E00">
        <w:rPr>
          <w:rFonts w:cs="Times New Roman"/>
          <w:i/>
          <w:iCs/>
          <w:szCs w:val="24"/>
        </w:rPr>
        <w:t>in</w:t>
      </w:r>
      <w:r w:rsidRPr="003D5A37">
        <w:rPr>
          <w:rFonts w:cs="Times New Roman"/>
          <w:szCs w:val="24"/>
        </w:rPr>
        <w:t xml:space="preserve"> dhe pranë </w:t>
      </w:r>
      <w:r w:rsidRPr="007A3E00">
        <w:rPr>
          <w:rFonts w:cs="Times New Roman"/>
          <w:i/>
          <w:iCs/>
          <w:szCs w:val="24"/>
        </w:rPr>
        <w:t>gate</w:t>
      </w:r>
      <w:r w:rsidRPr="003D5A37">
        <w:rPr>
          <w:rFonts w:cs="Times New Roman"/>
          <w:szCs w:val="24"/>
        </w:rPr>
        <w:t>-</w:t>
      </w:r>
      <w:r w:rsidR="007A3E00">
        <w:rPr>
          <w:rFonts w:cs="Times New Roman"/>
          <w:szCs w:val="24"/>
        </w:rPr>
        <w:t>e</w:t>
      </w:r>
      <w:r w:rsidRPr="003D5A37">
        <w:rPr>
          <w:rFonts w:cs="Times New Roman"/>
          <w:szCs w:val="24"/>
        </w:rPr>
        <w:t>ve</w:t>
      </w:r>
      <w:r w:rsidR="007A3E00">
        <w:rPr>
          <w:rFonts w:cs="Times New Roman"/>
          <w:szCs w:val="24"/>
        </w:rPr>
        <w:t>.</w:t>
      </w:r>
    </w:p>
    <w:p w14:paraId="20D6756A" w14:textId="77777777" w:rsidR="003D5A37" w:rsidRPr="00F32E3B" w:rsidRDefault="003D5A37" w:rsidP="00AD558F">
      <w:pPr>
        <w:spacing w:after="0" w:line="240" w:lineRule="auto"/>
        <w:jc w:val="right"/>
        <w:rPr>
          <w:rFonts w:cs="Times New Roman"/>
          <w:i/>
          <w:iCs/>
          <w:szCs w:val="24"/>
        </w:rPr>
      </w:pPr>
    </w:p>
    <w:p w14:paraId="2BF249FC" w14:textId="70788DE3" w:rsidR="00AD558F" w:rsidRPr="004E1146" w:rsidRDefault="00AD558F" w:rsidP="007A3E00">
      <w:pPr>
        <w:jc w:val="both"/>
        <w:rPr>
          <w:rFonts w:cs="Times New Roman"/>
          <w:szCs w:val="24"/>
          <w:lang w:val="sq-AL"/>
        </w:rPr>
      </w:pPr>
      <w:r w:rsidRPr="009475CC">
        <w:rPr>
          <w:rFonts w:cs="Times New Roman"/>
          <w:b/>
          <w:bCs/>
          <w:szCs w:val="24"/>
          <w:lang w:val="sq-AL"/>
        </w:rPr>
        <w:t xml:space="preserve">Masa </w:t>
      </w:r>
      <w:r w:rsidR="007A3E00">
        <w:rPr>
          <w:rFonts w:cs="Times New Roman"/>
          <w:b/>
          <w:bCs/>
          <w:szCs w:val="24"/>
          <w:lang w:val="sq-AL"/>
        </w:rPr>
        <w:t>53.</w:t>
      </w:r>
      <w:r w:rsidRPr="009475CC">
        <w:rPr>
          <w:rFonts w:cs="Times New Roman"/>
          <w:b/>
          <w:bCs/>
          <w:szCs w:val="24"/>
          <w:lang w:val="sq-AL"/>
        </w:rPr>
        <w:t>1</w:t>
      </w:r>
      <w:r w:rsidR="00124CB0" w:rsidRPr="009475CC">
        <w:rPr>
          <w:rFonts w:cs="Times New Roman"/>
          <w:b/>
          <w:bCs/>
          <w:szCs w:val="24"/>
          <w:lang w:val="sq-AL"/>
        </w:rPr>
        <w:t>:</w:t>
      </w:r>
      <w:r w:rsidRPr="00E45C0D">
        <w:rPr>
          <w:rFonts w:cs="Times New Roman"/>
          <w:szCs w:val="24"/>
          <w:lang w:val="sq-AL"/>
        </w:rPr>
        <w:t xml:space="preserve"> </w:t>
      </w:r>
      <w:r w:rsidR="00124CB0">
        <w:rPr>
          <w:rFonts w:cs="Times New Roman"/>
          <w:szCs w:val="24"/>
          <w:lang w:val="sq-AL"/>
        </w:rPr>
        <w:t>P</w:t>
      </w:r>
      <w:r w:rsidRPr="00E45C0D">
        <w:rPr>
          <w:rFonts w:cs="Times New Roman"/>
          <w:szCs w:val="24"/>
          <w:lang w:val="sq-AL"/>
        </w:rPr>
        <w:t>ublikimi i materiale</w:t>
      </w:r>
      <w:r w:rsidR="00124CB0">
        <w:rPr>
          <w:rFonts w:cs="Times New Roman"/>
          <w:szCs w:val="24"/>
          <w:lang w:val="sq-AL"/>
        </w:rPr>
        <w:t>ve</w:t>
      </w:r>
      <w:r w:rsidRPr="00E45C0D">
        <w:rPr>
          <w:rFonts w:cs="Times New Roman"/>
          <w:szCs w:val="24"/>
          <w:lang w:val="sq-AL"/>
        </w:rPr>
        <w:t xml:space="preserve">  informuese dhe ankimimit </w:t>
      </w:r>
      <w:r w:rsidRPr="003F476D">
        <w:rPr>
          <w:rFonts w:cs="Times New Roman"/>
          <w:szCs w:val="24"/>
          <w:lang w:val="sq-AL"/>
        </w:rPr>
        <w:t>(social media, etj).</w:t>
      </w:r>
    </w:p>
    <w:p w14:paraId="4763ECFF" w14:textId="28BD606C" w:rsidR="00EA42A0" w:rsidRDefault="00AD558F" w:rsidP="007A3E00">
      <w:pPr>
        <w:jc w:val="both"/>
        <w:rPr>
          <w:rFonts w:cs="Times New Roman"/>
          <w:szCs w:val="24"/>
          <w:lang w:val="sq-AL"/>
        </w:rPr>
      </w:pPr>
      <w:r w:rsidRPr="009475CC">
        <w:rPr>
          <w:rFonts w:cs="Times New Roman"/>
          <w:b/>
          <w:bCs/>
          <w:szCs w:val="24"/>
          <w:lang w:val="sq-AL"/>
        </w:rPr>
        <w:t xml:space="preserve">Masa </w:t>
      </w:r>
      <w:r w:rsidR="007A3E00">
        <w:rPr>
          <w:rFonts w:cs="Times New Roman"/>
          <w:b/>
          <w:bCs/>
          <w:szCs w:val="24"/>
          <w:lang w:val="sq-AL"/>
        </w:rPr>
        <w:t>53.</w:t>
      </w:r>
      <w:r w:rsidRPr="009475CC">
        <w:rPr>
          <w:rFonts w:cs="Times New Roman"/>
          <w:b/>
          <w:bCs/>
          <w:szCs w:val="24"/>
          <w:lang w:val="sq-AL"/>
        </w:rPr>
        <w:t>2</w:t>
      </w:r>
      <w:r w:rsidR="00124CB0" w:rsidRPr="009475CC">
        <w:rPr>
          <w:rFonts w:cs="Times New Roman"/>
          <w:b/>
          <w:bCs/>
          <w:szCs w:val="24"/>
          <w:lang w:val="sq-AL"/>
        </w:rPr>
        <w:t>:</w:t>
      </w:r>
      <w:r w:rsidR="00124CB0">
        <w:rPr>
          <w:rFonts w:cs="Times New Roman"/>
          <w:szCs w:val="24"/>
          <w:lang w:val="sq-AL"/>
        </w:rPr>
        <w:t xml:space="preserve"> A</w:t>
      </w:r>
      <w:r w:rsidRPr="005D4962">
        <w:rPr>
          <w:rFonts w:cs="Times New Roman"/>
          <w:szCs w:val="24"/>
          <w:lang w:val="sq-AL"/>
        </w:rPr>
        <w:t>sistencë ndaj konsumtorit direkte në help desk për udhëtarët  mbi plotësimin e e formularëve pasagjerët</w:t>
      </w:r>
      <w:r w:rsidR="00EA42A0">
        <w:rPr>
          <w:rFonts w:cs="Times New Roman"/>
          <w:szCs w:val="24"/>
          <w:lang w:val="sq-AL"/>
        </w:rPr>
        <w:t>.</w:t>
      </w:r>
    </w:p>
    <w:p w14:paraId="3E8424AB" w14:textId="77A9BCCA" w:rsidR="00DD6F67" w:rsidRDefault="00AD558F" w:rsidP="007A3E00">
      <w:pPr>
        <w:jc w:val="both"/>
        <w:rPr>
          <w:rFonts w:cs="Times New Roman"/>
          <w:szCs w:val="24"/>
          <w:lang w:val="sq-AL"/>
        </w:rPr>
      </w:pPr>
      <w:r w:rsidRPr="00EA42A0">
        <w:rPr>
          <w:rFonts w:cs="Times New Roman"/>
          <w:b/>
          <w:szCs w:val="24"/>
          <w:lang w:val="sq-AL"/>
        </w:rPr>
        <w:t xml:space="preserve"> </w:t>
      </w:r>
      <w:r w:rsidR="007A3E00" w:rsidRPr="00EA42A0">
        <w:rPr>
          <w:rFonts w:cs="Times New Roman"/>
          <w:b/>
          <w:szCs w:val="24"/>
          <w:lang w:val="sq-AL"/>
        </w:rPr>
        <w:t>Indikator</w:t>
      </w:r>
      <w:r w:rsidR="007A3E00">
        <w:rPr>
          <w:rFonts w:cs="Times New Roman"/>
          <w:b/>
          <w:szCs w:val="24"/>
          <w:lang w:val="sq-AL"/>
        </w:rPr>
        <w:t>ët</w:t>
      </w:r>
      <w:r w:rsidR="00EA42A0" w:rsidRPr="00EA42A0">
        <w:rPr>
          <w:rFonts w:cs="Times New Roman"/>
          <w:szCs w:val="24"/>
          <w:lang w:val="sq-AL"/>
        </w:rPr>
        <w:t>:</w:t>
      </w:r>
    </w:p>
    <w:p w14:paraId="090D0851" w14:textId="27C83A61" w:rsidR="00AD558F" w:rsidRPr="00DD6F67" w:rsidRDefault="00DD6F67" w:rsidP="00623352">
      <w:pPr>
        <w:pStyle w:val="ListParagraph"/>
        <w:numPr>
          <w:ilvl w:val="0"/>
          <w:numId w:val="27"/>
        </w:numPr>
        <w:spacing w:after="0"/>
        <w:jc w:val="both"/>
        <w:rPr>
          <w:rFonts w:cs="Times New Roman"/>
          <w:szCs w:val="24"/>
          <w:lang w:val="sq-AL"/>
        </w:rPr>
      </w:pPr>
      <w:r w:rsidRPr="00DD6F67">
        <w:rPr>
          <w:rFonts w:cs="Times New Roman"/>
          <w:szCs w:val="24"/>
          <w:lang w:val="sq-AL"/>
        </w:rPr>
        <w:t>Krijimi i një</w:t>
      </w:r>
      <w:r w:rsidR="00386B8A" w:rsidRPr="00DD6F67">
        <w:rPr>
          <w:rFonts w:cs="Times New Roman"/>
          <w:szCs w:val="24"/>
          <w:lang w:val="sq-AL"/>
        </w:rPr>
        <w:t xml:space="preserve"> helpdesk funksional me inf</w:t>
      </w:r>
      <w:r w:rsidR="00EA42A0" w:rsidRPr="00DD6F67">
        <w:rPr>
          <w:rFonts w:cs="Times New Roman"/>
          <w:szCs w:val="24"/>
          <w:lang w:val="sq-AL"/>
        </w:rPr>
        <w:t>ormacione për konsumatorët</w:t>
      </w:r>
      <w:r w:rsidR="00386B8A" w:rsidRPr="00DD6F67">
        <w:rPr>
          <w:rFonts w:cs="Times New Roman"/>
          <w:szCs w:val="24"/>
          <w:lang w:val="sq-AL"/>
        </w:rPr>
        <w:t>.</w:t>
      </w:r>
    </w:p>
    <w:p w14:paraId="5AEEC201" w14:textId="45BC9003" w:rsidR="00386B8A" w:rsidRPr="00DD6F67" w:rsidRDefault="00386B8A" w:rsidP="00623352">
      <w:pPr>
        <w:pStyle w:val="ListParagraph"/>
        <w:numPr>
          <w:ilvl w:val="0"/>
          <w:numId w:val="27"/>
        </w:numPr>
        <w:spacing w:after="0"/>
        <w:jc w:val="both"/>
        <w:rPr>
          <w:rFonts w:cs="Times New Roman"/>
          <w:szCs w:val="24"/>
          <w:lang w:val="sq-AL"/>
        </w:rPr>
      </w:pPr>
      <w:r w:rsidRPr="00DD6F67">
        <w:rPr>
          <w:rFonts w:cs="Times New Roman"/>
          <w:szCs w:val="24"/>
          <w:lang w:val="sq-AL"/>
        </w:rPr>
        <w:t xml:space="preserve">Publikimi i 4 </w:t>
      </w:r>
      <w:r w:rsidR="005C70D4">
        <w:rPr>
          <w:rFonts w:cs="Times New Roman"/>
          <w:szCs w:val="24"/>
          <w:lang w:val="sq-AL"/>
        </w:rPr>
        <w:t>(</w:t>
      </w:r>
      <w:r w:rsidR="007A3E00">
        <w:rPr>
          <w:rFonts w:cs="Times New Roman"/>
          <w:szCs w:val="24"/>
          <w:lang w:val="sq-AL"/>
        </w:rPr>
        <w:t>katër</w:t>
      </w:r>
      <w:r w:rsidR="005C70D4">
        <w:rPr>
          <w:rFonts w:cs="Times New Roman"/>
          <w:szCs w:val="24"/>
          <w:lang w:val="sq-AL"/>
        </w:rPr>
        <w:t>)</w:t>
      </w:r>
      <w:r w:rsidR="007A3E00">
        <w:rPr>
          <w:rFonts w:cs="Times New Roman"/>
          <w:szCs w:val="24"/>
          <w:lang w:val="sq-AL"/>
        </w:rPr>
        <w:t xml:space="preserve"> </w:t>
      </w:r>
      <w:r w:rsidRPr="00DD6F67">
        <w:rPr>
          <w:rFonts w:cs="Times New Roman"/>
          <w:szCs w:val="24"/>
          <w:lang w:val="sq-AL"/>
        </w:rPr>
        <w:t xml:space="preserve">temave informuese. </w:t>
      </w:r>
    </w:p>
    <w:p w14:paraId="55E879A7" w14:textId="77777777" w:rsidR="00124CB0" w:rsidRPr="009475CC" w:rsidRDefault="00124CB0" w:rsidP="00B86A9F">
      <w:pPr>
        <w:rPr>
          <w:rFonts w:cs="Times New Roman"/>
          <w:szCs w:val="24"/>
          <w:lang w:val="sq-AL"/>
        </w:rPr>
      </w:pPr>
    </w:p>
    <w:p w14:paraId="5EF50521" w14:textId="21A363B2" w:rsidR="00126667" w:rsidRPr="00DD6F67" w:rsidRDefault="00126667" w:rsidP="00623352">
      <w:pPr>
        <w:pStyle w:val="Heading1"/>
      </w:pPr>
      <w:bookmarkStart w:id="196" w:name="_Toc132277412"/>
      <w:bookmarkStart w:id="197" w:name="_Hlk121706057"/>
      <w:r w:rsidRPr="00DD6F67">
        <w:t>KAPITULLI I</w:t>
      </w:r>
      <w:r w:rsidR="00120281" w:rsidRPr="00DD6F67">
        <w:t>II</w:t>
      </w:r>
      <w:r w:rsidR="007A3E00">
        <w:t xml:space="preserve">: </w:t>
      </w:r>
      <w:r w:rsidRPr="00DD6F67">
        <w:t>BURIMET FINANCIARE</w:t>
      </w:r>
      <w:bookmarkEnd w:id="196"/>
    </w:p>
    <w:p w14:paraId="0F6D0093" w14:textId="77777777" w:rsidR="007A3E00" w:rsidRDefault="00EA42A0" w:rsidP="00EA42A0">
      <w:pPr>
        <w:spacing w:after="0" w:line="240" w:lineRule="auto"/>
        <w:jc w:val="both"/>
        <w:rPr>
          <w:rFonts w:eastAsia="Times New Roman" w:cs="Times New Roman"/>
          <w:szCs w:val="24"/>
          <w:lang w:val="sq-AL"/>
        </w:rPr>
      </w:pPr>
      <w:r>
        <w:rPr>
          <w:rFonts w:eastAsia="Times New Roman" w:cs="Times New Roman"/>
          <w:szCs w:val="24"/>
          <w:lang w:val="sq-AL"/>
        </w:rPr>
        <w:t xml:space="preserve">Vlerësimi i kostove të nevojshme për zbatimin e strategjisë </w:t>
      </w:r>
      <w:r w:rsidR="00DD6F67">
        <w:rPr>
          <w:rFonts w:eastAsia="Times New Roman" w:cs="Times New Roman"/>
          <w:szCs w:val="24"/>
          <w:lang w:val="sq-AL"/>
        </w:rPr>
        <w:t xml:space="preserve">Për </w:t>
      </w:r>
      <w:r>
        <w:rPr>
          <w:rFonts w:eastAsia="Times New Roman" w:cs="Times New Roman"/>
          <w:szCs w:val="24"/>
          <w:lang w:val="sq-AL"/>
        </w:rPr>
        <w:t>mbrojtje</w:t>
      </w:r>
      <w:r w:rsidR="00DD6F67">
        <w:rPr>
          <w:rFonts w:eastAsia="Times New Roman" w:cs="Times New Roman"/>
          <w:szCs w:val="24"/>
          <w:lang w:val="sq-AL"/>
        </w:rPr>
        <w:t xml:space="preserve">n </w:t>
      </w:r>
      <w:r>
        <w:rPr>
          <w:rFonts w:eastAsia="Times New Roman" w:cs="Times New Roman"/>
          <w:szCs w:val="24"/>
          <w:lang w:val="sq-AL"/>
        </w:rPr>
        <w:t>e konsumatorëve dhe mbikëqyrje</w:t>
      </w:r>
      <w:r w:rsidR="00DD6F67">
        <w:rPr>
          <w:rFonts w:eastAsia="Times New Roman" w:cs="Times New Roman"/>
          <w:szCs w:val="24"/>
          <w:lang w:val="sq-AL"/>
        </w:rPr>
        <w:t>n e</w:t>
      </w:r>
      <w:r>
        <w:rPr>
          <w:rFonts w:eastAsia="Times New Roman" w:cs="Times New Roman"/>
          <w:szCs w:val="24"/>
          <w:lang w:val="sq-AL"/>
        </w:rPr>
        <w:t xml:space="preserve"> tregut, për periudhën deri në vitin 2030, është bërë në bazë të objektivave të parashikuara në planet buxhetore afatmesëm dhe afatgjatë. </w:t>
      </w:r>
    </w:p>
    <w:p w14:paraId="6CFD5F86" w14:textId="77777777" w:rsidR="007A3E00" w:rsidRDefault="007A3E00" w:rsidP="00EA42A0">
      <w:pPr>
        <w:spacing w:after="0" w:line="240" w:lineRule="auto"/>
        <w:jc w:val="both"/>
        <w:rPr>
          <w:rFonts w:eastAsia="Times New Roman" w:cs="Times New Roman"/>
          <w:szCs w:val="24"/>
          <w:lang w:val="sq-AL"/>
        </w:rPr>
      </w:pPr>
    </w:p>
    <w:p w14:paraId="0B977EF3" w14:textId="48AE97AB" w:rsidR="007A3E00" w:rsidRDefault="00EA42A0" w:rsidP="00EA42A0">
      <w:pPr>
        <w:spacing w:after="0" w:line="240" w:lineRule="auto"/>
        <w:jc w:val="both"/>
        <w:rPr>
          <w:rFonts w:eastAsia="Times New Roman" w:cs="Times New Roman"/>
          <w:szCs w:val="24"/>
          <w:lang w:val="sq-AL"/>
        </w:rPr>
      </w:pPr>
      <w:r>
        <w:rPr>
          <w:rFonts w:eastAsia="Times New Roman" w:cs="Times New Roman"/>
          <w:szCs w:val="24"/>
          <w:lang w:val="sq-AL"/>
        </w:rPr>
        <w:t xml:space="preserve">Në këtë përllogaritje janë marrë parasysh parashikimet e PBA sipas sektorëve dhe sipas këtij trendi, një parashikim i përafërt në planin afatgjatë. Burimet financiare për objektivat afatshkurtra bazohen pothuajse plotësisht në buxhetin e shtetit.  Kostimi i objektivave afatgjata është përllogaritur gjithashtu duke parashikuar trendin e buxhetit të shtetit, duke përcaktuar fushat kryesore të ndërhyrjes, por duke lënë hapësirë për mundësinë e mbështetjes nga donatoret apo financimeve të huaja (kryesisht në forcime të kapaciteteve institucionale). Këto të fundit paraqiten në zërin “hendek financiar”.  </w:t>
      </w:r>
    </w:p>
    <w:p w14:paraId="56020362" w14:textId="77777777" w:rsidR="007A3E00" w:rsidRDefault="007A3E00" w:rsidP="00EA42A0">
      <w:pPr>
        <w:spacing w:after="0" w:line="240" w:lineRule="auto"/>
        <w:jc w:val="both"/>
        <w:rPr>
          <w:rFonts w:eastAsia="Times New Roman" w:cs="Times New Roman"/>
          <w:szCs w:val="24"/>
          <w:lang w:val="sq-AL"/>
        </w:rPr>
      </w:pPr>
    </w:p>
    <w:p w14:paraId="50F8B596" w14:textId="79D0B022" w:rsidR="00EA42A0" w:rsidRDefault="00EA42A0" w:rsidP="00EA42A0">
      <w:pPr>
        <w:spacing w:after="0" w:line="240" w:lineRule="auto"/>
        <w:jc w:val="both"/>
        <w:rPr>
          <w:rFonts w:eastAsia="Times New Roman" w:cs="Times New Roman"/>
          <w:szCs w:val="24"/>
          <w:lang w:val="sq-AL"/>
        </w:rPr>
      </w:pPr>
      <w:r>
        <w:rPr>
          <w:rFonts w:eastAsia="Times New Roman" w:cs="Times New Roman"/>
          <w:szCs w:val="24"/>
          <w:lang w:val="sq-AL"/>
        </w:rPr>
        <w:t xml:space="preserve">Ky dokument strategjik shoqërohet me një Plan Veprimesh ku kostohen gjithë objektivat sipas produkteve në planin afatmesëm dhe afatgjatë, duke parashikuar pjesën e mbuluar nga buxheti i shtetit dhe atë që kërkon financim të huaj. </w:t>
      </w:r>
    </w:p>
    <w:p w14:paraId="78D29BED" w14:textId="56A7F30A" w:rsidR="00126667" w:rsidRPr="00DD6F67" w:rsidRDefault="00126667" w:rsidP="00623352">
      <w:pPr>
        <w:pStyle w:val="Heading1"/>
      </w:pPr>
      <w:bookmarkStart w:id="198" w:name="_Toc132277413"/>
      <w:r w:rsidRPr="00DD6F67">
        <w:t xml:space="preserve">KAPITULLI </w:t>
      </w:r>
      <w:r w:rsidR="00124CB0" w:rsidRPr="00DD6F67">
        <w:t>I</w:t>
      </w:r>
      <w:r w:rsidRPr="00DD6F67">
        <w:t>V</w:t>
      </w:r>
      <w:r w:rsidR="007A3E00">
        <w:t xml:space="preserve">: </w:t>
      </w:r>
      <w:r w:rsidRPr="00DD6F67">
        <w:t>LLOGARIDHËNIA, MONITORIMI DHE ANALIZA VLERË</w:t>
      </w:r>
      <w:r w:rsidR="00D878D9" w:rsidRPr="00DD6F67">
        <w:t>SUESE</w:t>
      </w:r>
      <w:bookmarkEnd w:id="198"/>
    </w:p>
    <w:p w14:paraId="05DC2BAC" w14:textId="01B51801" w:rsidR="00BD45A3" w:rsidRPr="00DE5AEF" w:rsidRDefault="00BD45A3" w:rsidP="00CD6F88">
      <w:pPr>
        <w:pStyle w:val="Heading2"/>
        <w:rPr>
          <w:rFonts w:eastAsia="Times New Roman"/>
        </w:rPr>
      </w:pPr>
      <w:bookmarkStart w:id="199" w:name="_Toc132277414"/>
      <w:r w:rsidRPr="00DE5AEF">
        <w:rPr>
          <w:rFonts w:eastAsia="Times New Roman"/>
        </w:rPr>
        <w:t>4.1 Monitorimi i strategjisë, strukturat përgjegjëse</w:t>
      </w:r>
      <w:bookmarkEnd w:id="199"/>
      <w:r w:rsidRPr="00DE5AEF">
        <w:rPr>
          <w:rFonts w:eastAsia="Times New Roman"/>
        </w:rPr>
        <w:t xml:space="preserve"> </w:t>
      </w:r>
    </w:p>
    <w:p w14:paraId="38D6D2A0" w14:textId="622608EA" w:rsidR="00BD45A3" w:rsidRPr="00BD45A3" w:rsidRDefault="00BD45A3" w:rsidP="007A3E00">
      <w:pPr>
        <w:jc w:val="both"/>
        <w:rPr>
          <w:rFonts w:eastAsia="Times New Roman" w:cs="Times New Roman"/>
          <w:szCs w:val="24"/>
        </w:rPr>
      </w:pPr>
      <w:r w:rsidRPr="00BD45A3">
        <w:rPr>
          <w:rFonts w:eastAsia="Times New Roman" w:cs="Times New Roman"/>
          <w:szCs w:val="24"/>
        </w:rPr>
        <w:t>MFE</w:t>
      </w:r>
      <w:r w:rsidR="00D21F98">
        <w:rPr>
          <w:rFonts w:eastAsia="Times New Roman" w:cs="Times New Roman"/>
          <w:szCs w:val="24"/>
        </w:rPr>
        <w:t>,</w:t>
      </w:r>
      <w:r w:rsidR="00C564A6">
        <w:rPr>
          <w:rFonts w:eastAsia="Times New Roman" w:cs="Times New Roman"/>
          <w:szCs w:val="24"/>
        </w:rPr>
        <w:t xml:space="preserve"> </w:t>
      </w:r>
      <w:r w:rsidR="007A3E00">
        <w:rPr>
          <w:rFonts w:eastAsia="Times New Roman" w:cs="Times New Roman"/>
          <w:szCs w:val="24"/>
        </w:rPr>
        <w:t>në</w:t>
      </w:r>
      <w:r w:rsidR="00C564A6">
        <w:rPr>
          <w:rFonts w:eastAsia="Times New Roman" w:cs="Times New Roman"/>
          <w:szCs w:val="24"/>
        </w:rPr>
        <w:t>p</w:t>
      </w:r>
      <w:r w:rsidR="007A3E00">
        <w:rPr>
          <w:rFonts w:eastAsia="Times New Roman" w:cs="Times New Roman"/>
          <w:szCs w:val="24"/>
        </w:rPr>
        <w:t>ë</w:t>
      </w:r>
      <w:r w:rsidR="00C564A6">
        <w:rPr>
          <w:rFonts w:eastAsia="Times New Roman" w:cs="Times New Roman"/>
          <w:szCs w:val="24"/>
        </w:rPr>
        <w:t>rmjet sektorit t</w:t>
      </w:r>
      <w:r w:rsidR="007A3E00">
        <w:rPr>
          <w:rFonts w:eastAsia="Times New Roman" w:cs="Times New Roman"/>
          <w:szCs w:val="24"/>
        </w:rPr>
        <w:t>ë</w:t>
      </w:r>
      <w:r w:rsidR="00C564A6">
        <w:rPr>
          <w:rFonts w:eastAsia="Times New Roman" w:cs="Times New Roman"/>
          <w:szCs w:val="24"/>
        </w:rPr>
        <w:t xml:space="preserve"> Integrimit dhe Standar</w:t>
      </w:r>
      <w:r w:rsidR="007A3E00">
        <w:rPr>
          <w:rFonts w:eastAsia="Times New Roman" w:cs="Times New Roman"/>
          <w:szCs w:val="24"/>
        </w:rPr>
        <w:t>d</w:t>
      </w:r>
      <w:r w:rsidR="00C564A6">
        <w:rPr>
          <w:rFonts w:eastAsia="Times New Roman" w:cs="Times New Roman"/>
          <w:szCs w:val="24"/>
        </w:rPr>
        <w:t>izimit n</w:t>
      </w:r>
      <w:r w:rsidR="007A3E00">
        <w:rPr>
          <w:rFonts w:eastAsia="Times New Roman" w:cs="Times New Roman"/>
          <w:szCs w:val="24"/>
        </w:rPr>
        <w:t>ë</w:t>
      </w:r>
      <w:r w:rsidR="00C564A6">
        <w:rPr>
          <w:rFonts w:eastAsia="Times New Roman" w:cs="Times New Roman"/>
          <w:szCs w:val="24"/>
        </w:rPr>
        <w:t>n Drejtorin</w:t>
      </w:r>
      <w:r w:rsidR="007A3E00">
        <w:rPr>
          <w:rFonts w:eastAsia="Times New Roman" w:cs="Times New Roman"/>
          <w:szCs w:val="24"/>
        </w:rPr>
        <w:t>ë</w:t>
      </w:r>
      <w:r w:rsidR="00C564A6">
        <w:rPr>
          <w:rFonts w:eastAsia="Times New Roman" w:cs="Times New Roman"/>
          <w:szCs w:val="24"/>
        </w:rPr>
        <w:t xml:space="preserve"> e Politikave t</w:t>
      </w:r>
      <w:r w:rsidR="007A3E00">
        <w:rPr>
          <w:rFonts w:eastAsia="Times New Roman" w:cs="Times New Roman"/>
          <w:szCs w:val="24"/>
        </w:rPr>
        <w:t>ë</w:t>
      </w:r>
      <w:r w:rsidR="00C564A6">
        <w:rPr>
          <w:rFonts w:eastAsia="Times New Roman" w:cs="Times New Roman"/>
          <w:szCs w:val="24"/>
        </w:rPr>
        <w:t xml:space="preserve"> Tregut t</w:t>
      </w:r>
      <w:r w:rsidR="007A3E00">
        <w:rPr>
          <w:rFonts w:eastAsia="Times New Roman" w:cs="Times New Roman"/>
          <w:szCs w:val="24"/>
        </w:rPr>
        <w:t>ë</w:t>
      </w:r>
      <w:r w:rsidR="00C564A6">
        <w:rPr>
          <w:rFonts w:eastAsia="Times New Roman" w:cs="Times New Roman"/>
          <w:szCs w:val="24"/>
        </w:rPr>
        <w:t xml:space="preserve"> </w:t>
      </w:r>
      <w:r w:rsidR="00D21F98">
        <w:rPr>
          <w:rFonts w:eastAsia="Times New Roman" w:cs="Times New Roman"/>
          <w:szCs w:val="24"/>
        </w:rPr>
        <w:t>B</w:t>
      </w:r>
      <w:r w:rsidR="00C564A6">
        <w:rPr>
          <w:rFonts w:eastAsia="Times New Roman" w:cs="Times New Roman"/>
          <w:szCs w:val="24"/>
        </w:rPr>
        <w:t>rendsh</w:t>
      </w:r>
      <w:r w:rsidR="007A3E00">
        <w:rPr>
          <w:rFonts w:eastAsia="Times New Roman" w:cs="Times New Roman"/>
          <w:szCs w:val="24"/>
        </w:rPr>
        <w:t>ë</w:t>
      </w:r>
      <w:r w:rsidR="00C564A6">
        <w:rPr>
          <w:rFonts w:eastAsia="Times New Roman" w:cs="Times New Roman"/>
          <w:szCs w:val="24"/>
        </w:rPr>
        <w:t>m</w:t>
      </w:r>
      <w:r w:rsidR="00D21F98">
        <w:rPr>
          <w:rFonts w:eastAsia="Times New Roman" w:cs="Times New Roman"/>
          <w:szCs w:val="24"/>
        </w:rPr>
        <w:t>,</w:t>
      </w:r>
      <w:r w:rsidR="00C564A6">
        <w:rPr>
          <w:rFonts w:eastAsia="Times New Roman" w:cs="Times New Roman"/>
          <w:szCs w:val="24"/>
        </w:rPr>
        <w:t xml:space="preserve"> </w:t>
      </w:r>
      <w:r w:rsidRPr="00BD45A3">
        <w:rPr>
          <w:rFonts w:eastAsia="Times New Roman" w:cs="Times New Roman"/>
          <w:szCs w:val="24"/>
        </w:rPr>
        <w:t xml:space="preserve">është përgjegjëse për realizimin e procesit </w:t>
      </w:r>
      <w:r w:rsidR="00DE5AEF">
        <w:rPr>
          <w:rFonts w:eastAsia="Times New Roman" w:cs="Times New Roman"/>
          <w:szCs w:val="24"/>
        </w:rPr>
        <w:t xml:space="preserve">të </w:t>
      </w:r>
      <w:r w:rsidRPr="00BD45A3">
        <w:rPr>
          <w:rFonts w:eastAsia="Times New Roman" w:cs="Times New Roman"/>
          <w:szCs w:val="24"/>
        </w:rPr>
        <w:t>monitorimit periodik dhe vjetor të strategjisë.</w:t>
      </w:r>
      <w:r w:rsidR="00DE5AEF">
        <w:rPr>
          <w:rFonts w:eastAsia="Times New Roman" w:cs="Times New Roman"/>
          <w:szCs w:val="24"/>
        </w:rPr>
        <w:t xml:space="preserve"> </w:t>
      </w:r>
      <w:r w:rsidRPr="00BD45A3">
        <w:rPr>
          <w:rFonts w:eastAsia="Times New Roman" w:cs="Times New Roman"/>
          <w:szCs w:val="24"/>
        </w:rPr>
        <w:t xml:space="preserve">Procesi garanton zbatimin e standardeve të monitorimit të përcaktuara në udhëzimet përkatëse të Këshillit të Ministrave dhe zhvillohet nën drejtimin e Agjencisë Shtetërore të Programimit Strategjik dhe Koordinimit të Ndihmës (SASPAC). </w:t>
      </w:r>
    </w:p>
    <w:p w14:paraId="55576CE3" w14:textId="6DED9C07" w:rsidR="00BD45A3" w:rsidRPr="00BD45A3" w:rsidRDefault="00BD45A3" w:rsidP="007A3E00">
      <w:pPr>
        <w:jc w:val="both"/>
        <w:rPr>
          <w:rFonts w:eastAsia="Times New Roman" w:cs="Times New Roman"/>
          <w:szCs w:val="24"/>
        </w:rPr>
      </w:pPr>
      <w:r w:rsidRPr="00BD45A3">
        <w:rPr>
          <w:rFonts w:eastAsia="Times New Roman" w:cs="Times New Roman"/>
          <w:szCs w:val="24"/>
        </w:rPr>
        <w:t>Mbështetur në sektorët kryesorë që përbëjnë bazën e kësaj strategjie ndër-sektoriale, MFE koordinon punën me strukturat e saj t</w:t>
      </w:r>
      <w:r w:rsidR="00DE5AEF">
        <w:rPr>
          <w:rFonts w:eastAsia="Times New Roman" w:cs="Times New Roman"/>
          <w:szCs w:val="24"/>
        </w:rPr>
        <w:t>ë</w:t>
      </w:r>
      <w:r w:rsidRPr="00BD45A3">
        <w:rPr>
          <w:rFonts w:eastAsia="Times New Roman" w:cs="Times New Roman"/>
          <w:szCs w:val="24"/>
        </w:rPr>
        <w:t xml:space="preserve"> varësisë, përfshirë ato të Infrastrukturës së C</w:t>
      </w:r>
      <w:r w:rsidR="00E85651">
        <w:rPr>
          <w:rFonts w:eastAsia="Times New Roman" w:cs="Times New Roman"/>
          <w:szCs w:val="24"/>
        </w:rPr>
        <w:t xml:space="preserve">ilësisë, Inspektoratet </w:t>
      </w:r>
      <w:r w:rsidRPr="00BD45A3">
        <w:rPr>
          <w:rFonts w:eastAsia="Times New Roman" w:cs="Times New Roman"/>
          <w:szCs w:val="24"/>
        </w:rPr>
        <w:t>Sh</w:t>
      </w:r>
      <w:r w:rsidR="00E85651">
        <w:rPr>
          <w:rFonts w:eastAsia="Times New Roman" w:cs="Times New Roman"/>
          <w:szCs w:val="24"/>
        </w:rPr>
        <w:t>tetërore</w:t>
      </w:r>
      <w:r w:rsidRPr="00BD45A3">
        <w:rPr>
          <w:rFonts w:eastAsia="Times New Roman" w:cs="Times New Roman"/>
          <w:szCs w:val="24"/>
        </w:rPr>
        <w:t xml:space="preserve">, si dhe me ministritë dhe institucionet e tjera që </w:t>
      </w:r>
      <w:r w:rsidR="00D21F98">
        <w:rPr>
          <w:rFonts w:eastAsia="Times New Roman" w:cs="Times New Roman"/>
          <w:szCs w:val="24"/>
        </w:rPr>
        <w:t>kontribuojnë në</w:t>
      </w:r>
      <w:r w:rsidRPr="00BD45A3">
        <w:rPr>
          <w:rFonts w:eastAsia="Times New Roman" w:cs="Times New Roman"/>
          <w:szCs w:val="24"/>
        </w:rPr>
        <w:t xml:space="preserve"> zbatimin e saj: MIE; MBZHR; MSHMS; MTM, Entet dhe Autoritetet Rregullatore, Banka e Shqipërisë,</w:t>
      </w:r>
      <w:r w:rsidR="00DE5AEF">
        <w:rPr>
          <w:rFonts w:eastAsia="Times New Roman" w:cs="Times New Roman"/>
          <w:szCs w:val="24"/>
        </w:rPr>
        <w:t xml:space="preserve"> AAC</w:t>
      </w:r>
      <w:r w:rsidR="00E85651">
        <w:rPr>
          <w:rFonts w:eastAsia="Times New Roman" w:cs="Times New Roman"/>
          <w:szCs w:val="24"/>
        </w:rPr>
        <w:t xml:space="preserve"> </w:t>
      </w:r>
      <w:r w:rsidRPr="00BD45A3">
        <w:rPr>
          <w:rFonts w:eastAsia="Times New Roman" w:cs="Times New Roman"/>
          <w:szCs w:val="24"/>
        </w:rPr>
        <w:t xml:space="preserve">etj. </w:t>
      </w:r>
    </w:p>
    <w:p w14:paraId="108FB2B8" w14:textId="6B37EA5B" w:rsidR="00BD45A3" w:rsidRPr="00BD45A3" w:rsidRDefault="00BD45A3" w:rsidP="007A3E00">
      <w:pPr>
        <w:jc w:val="both"/>
        <w:rPr>
          <w:rFonts w:eastAsia="Times New Roman" w:cs="Times New Roman"/>
          <w:szCs w:val="24"/>
        </w:rPr>
      </w:pPr>
      <w:r w:rsidRPr="00BD45A3">
        <w:rPr>
          <w:rFonts w:eastAsia="Times New Roman" w:cs="Times New Roman"/>
          <w:szCs w:val="24"/>
        </w:rPr>
        <w:t xml:space="preserve">Për këtë qëllim MFE nëpërmjet </w:t>
      </w:r>
      <w:r w:rsidR="00D21F98">
        <w:rPr>
          <w:rFonts w:eastAsia="Times New Roman" w:cs="Times New Roman"/>
          <w:szCs w:val="24"/>
        </w:rPr>
        <w:pgNum/>
      </w:r>
      <w:r w:rsidR="00D21F98">
        <w:rPr>
          <w:rFonts w:eastAsia="Times New Roman" w:cs="Times New Roman"/>
          <w:szCs w:val="24"/>
        </w:rPr>
        <w:t>tructures</w:t>
      </w:r>
      <w:r w:rsidRPr="00BD45A3">
        <w:rPr>
          <w:rFonts w:eastAsia="Times New Roman" w:cs="Times New Roman"/>
          <w:szCs w:val="24"/>
        </w:rPr>
        <w:t xml:space="preserve"> përkatëse</w:t>
      </w:r>
      <w:r w:rsidR="00D21F98">
        <w:rPr>
          <w:rFonts w:eastAsia="Times New Roman" w:cs="Times New Roman"/>
          <w:szCs w:val="24"/>
        </w:rPr>
        <w:t xml:space="preserve"> të përmendur më sipër</w:t>
      </w:r>
      <w:r w:rsidRPr="00BD45A3">
        <w:rPr>
          <w:rFonts w:eastAsia="Times New Roman" w:cs="Times New Roman"/>
          <w:szCs w:val="24"/>
        </w:rPr>
        <w:t>,</w:t>
      </w:r>
      <w:r w:rsidR="00D21F98">
        <w:rPr>
          <w:rFonts w:eastAsia="Times New Roman" w:cs="Times New Roman"/>
          <w:szCs w:val="24"/>
        </w:rPr>
        <w:t xml:space="preserve"> </w:t>
      </w:r>
      <w:r w:rsidRPr="00BD45A3">
        <w:rPr>
          <w:rFonts w:eastAsia="Times New Roman" w:cs="Times New Roman"/>
          <w:szCs w:val="24"/>
        </w:rPr>
        <w:t xml:space="preserve"> mbledh, përpunon dhe menaxhon informacionin për analizimin e treguesve të kësaj strategjie ndër sektoriale. Gjithashtu, sigurimit të të dhënave do t’i shërbejë një bashkëpunim i ngushtë me institucionet si</w:t>
      </w:r>
      <w:r w:rsidR="00DE5AEF">
        <w:rPr>
          <w:rFonts w:eastAsia="Times New Roman" w:cs="Times New Roman"/>
          <w:szCs w:val="24"/>
        </w:rPr>
        <w:t>:</w:t>
      </w:r>
      <w:r w:rsidRPr="00BD45A3">
        <w:rPr>
          <w:rFonts w:eastAsia="Times New Roman" w:cs="Times New Roman"/>
          <w:szCs w:val="24"/>
        </w:rPr>
        <w:t xml:space="preserve"> INSTAT, Drejtoria e Përgjithshme e Doganave, etj. </w:t>
      </w:r>
    </w:p>
    <w:p w14:paraId="2752F406" w14:textId="5B2682F1" w:rsidR="00BD45A3" w:rsidRDefault="00BD45A3" w:rsidP="007A3E00">
      <w:pPr>
        <w:jc w:val="both"/>
        <w:rPr>
          <w:rFonts w:eastAsia="Times New Roman"/>
          <w:szCs w:val="24"/>
        </w:rPr>
      </w:pPr>
      <w:r w:rsidRPr="00BD45A3">
        <w:rPr>
          <w:rFonts w:eastAsia="Times New Roman" w:cs="Times New Roman"/>
          <w:szCs w:val="24"/>
        </w:rPr>
        <w:t>Bazën e procesit të monitorimi</w:t>
      </w:r>
      <w:r w:rsidR="00DE5AEF">
        <w:rPr>
          <w:rFonts w:eastAsia="Times New Roman" w:cs="Times New Roman"/>
          <w:szCs w:val="24"/>
        </w:rPr>
        <w:t>t</w:t>
      </w:r>
      <w:r w:rsidRPr="00BD45A3">
        <w:rPr>
          <w:rFonts w:eastAsia="Times New Roman" w:cs="Times New Roman"/>
          <w:szCs w:val="24"/>
        </w:rPr>
        <w:t xml:space="preserve"> brenda sistemit të MFE do ta përbëjë ecuria e realizimit të indikatorëve bazë të kësaj strategjie, për çdo vit raportues. Plani i veprimit t</w:t>
      </w:r>
      <w:r w:rsidR="00DE5AEF">
        <w:rPr>
          <w:rFonts w:eastAsia="Times New Roman" w:cs="Times New Roman"/>
          <w:szCs w:val="24"/>
        </w:rPr>
        <w:t>ë</w:t>
      </w:r>
      <w:r w:rsidRPr="00BD45A3">
        <w:rPr>
          <w:rFonts w:eastAsia="Times New Roman" w:cs="Times New Roman"/>
          <w:szCs w:val="24"/>
        </w:rPr>
        <w:t xml:space="preserve"> strategjisë, në mënyrë të drejtpërdrejtë dhe çdo vit, do të jetë pjesë përbërëse e planit vjetor të punës të çdo sektori, sipas parashikimeve dhe përcaktimeve përkatëse të strategjisë, duke përbërë kështu një instrument të rëndësishëm për realizimin e këtij procesi vit pas viti. Raportimet çdo gjashtëmujor për realizimin e planit të veprimit brenda institucioneve përkatëse do t’i shërbejnë një raportimi vjetor për të siguruar përgatitjen e raportit të monitorim vjetor të strategjisë. Në </w:t>
      </w:r>
      <w:r w:rsidRPr="00BD45A3">
        <w:rPr>
          <w:rFonts w:eastAsia="Times New Roman" w:cs="Times New Roman"/>
          <w:szCs w:val="24"/>
        </w:rPr>
        <w:lastRenderedPageBreak/>
        <w:t>funksion të realizimit të monitorimit të strategjisë, bashkëpunimi me INSTAT, është i nevojshëm, edhe në lidhje me kryerjen e anketimeve për konsumatorët për çështje t</w:t>
      </w:r>
      <w:r w:rsidR="00DE5AEF">
        <w:rPr>
          <w:rFonts w:eastAsia="Times New Roman" w:cs="Times New Roman"/>
          <w:szCs w:val="24"/>
        </w:rPr>
        <w:t>ë</w:t>
      </w:r>
      <w:r w:rsidRPr="00BD45A3">
        <w:rPr>
          <w:rFonts w:eastAsia="Times New Roman" w:cs="Times New Roman"/>
          <w:szCs w:val="24"/>
        </w:rPr>
        <w:t xml:space="preserve"> tilla si: njohja e legjislacionit dhe institucionet që veprojnë në këtë fushë, njohja e të drejtave të tyre, niveli i mbrojtjes së tyre ndaj masave të marra nga strukturat shtetërore</w:t>
      </w:r>
      <w:r w:rsidRPr="00AF4EB0">
        <w:rPr>
          <w:rFonts w:eastAsia="Times New Roman"/>
          <w:szCs w:val="24"/>
        </w:rPr>
        <w:t xml:space="preserve">. </w:t>
      </w:r>
    </w:p>
    <w:p w14:paraId="34684F31" w14:textId="1FF89E60" w:rsidR="00BD45A3" w:rsidRPr="00D21F98" w:rsidRDefault="00DE5AEF" w:rsidP="00D21F98">
      <w:pPr>
        <w:jc w:val="both"/>
        <w:rPr>
          <w:rFonts w:eastAsia="Times New Roman" w:cs="Times New Roman"/>
          <w:szCs w:val="24"/>
        </w:rPr>
      </w:pPr>
      <w:r w:rsidRPr="00446AD8">
        <w:rPr>
          <w:rFonts w:eastAsia="Times New Roman" w:cs="Times New Roman"/>
          <w:szCs w:val="24"/>
        </w:rPr>
        <w:t xml:space="preserve">Një rol të rëndësishëm në monitorimin e strategjisë luajnë dhe aktorët e jashtëm, si : organizatat </w:t>
      </w:r>
      <w:r w:rsidR="00086CE4" w:rsidRPr="00446AD8">
        <w:rPr>
          <w:rFonts w:eastAsia="Times New Roman" w:cs="Times New Roman"/>
          <w:szCs w:val="24"/>
        </w:rPr>
        <w:t xml:space="preserve">për mbrojtjen </w:t>
      </w:r>
      <w:r w:rsidRPr="00446AD8">
        <w:rPr>
          <w:rFonts w:eastAsia="Times New Roman" w:cs="Times New Roman"/>
          <w:szCs w:val="24"/>
        </w:rPr>
        <w:t>e konsumatorëve . Nëpërmjet raport</w:t>
      </w:r>
      <w:r w:rsidR="00086CE4" w:rsidRPr="00446AD8">
        <w:rPr>
          <w:rFonts w:eastAsia="Times New Roman" w:cs="Times New Roman"/>
          <w:szCs w:val="24"/>
        </w:rPr>
        <w:t>e</w:t>
      </w:r>
      <w:r w:rsidRPr="00446AD8">
        <w:rPr>
          <w:rFonts w:eastAsia="Times New Roman" w:cs="Times New Roman"/>
          <w:szCs w:val="24"/>
        </w:rPr>
        <w:t xml:space="preserve">ve të ndryshme të monitorimit, jo vetëm do të bëhet vlerësimi i zbatimit të strategjisë, niveli i përmbushjes së indikatorëve, por gjithashtu do të matet niveli </w:t>
      </w:r>
      <w:r w:rsidR="00086CE4" w:rsidRPr="00446AD8">
        <w:rPr>
          <w:rFonts w:eastAsia="Times New Roman" w:cs="Times New Roman"/>
          <w:szCs w:val="24"/>
        </w:rPr>
        <w:t>i</w:t>
      </w:r>
      <w:r w:rsidRPr="00446AD8">
        <w:rPr>
          <w:rFonts w:eastAsia="Times New Roman" w:cs="Times New Roman"/>
          <w:szCs w:val="24"/>
        </w:rPr>
        <w:t xml:space="preserve"> përgjegjësisë së këtyre institucioneve kundrejt konsumatorëve, por dhe niveli </w:t>
      </w:r>
      <w:r w:rsidR="00086CE4" w:rsidRPr="00446AD8">
        <w:rPr>
          <w:rFonts w:eastAsia="Times New Roman" w:cs="Times New Roman"/>
          <w:szCs w:val="24"/>
        </w:rPr>
        <w:t>i</w:t>
      </w:r>
      <w:r w:rsidRPr="00446AD8">
        <w:rPr>
          <w:rFonts w:eastAsia="Times New Roman" w:cs="Times New Roman"/>
          <w:szCs w:val="24"/>
        </w:rPr>
        <w:t xml:space="preserve"> kënaqësisë së konsumatorëve.</w:t>
      </w:r>
    </w:p>
    <w:p w14:paraId="72E25F20" w14:textId="21A22D08" w:rsidR="004A649F" w:rsidRPr="009475CC" w:rsidRDefault="00126667" w:rsidP="007A3E00">
      <w:pPr>
        <w:pStyle w:val="Heading1"/>
        <w:numPr>
          <w:ilvl w:val="0"/>
          <w:numId w:val="0"/>
        </w:numPr>
        <w:ind w:left="360"/>
      </w:pPr>
      <w:bookmarkStart w:id="200" w:name="_Toc132277415"/>
      <w:r w:rsidRPr="009475CC">
        <w:t xml:space="preserve">ANEKS: PLANI I VEPRIMIT </w:t>
      </w:r>
      <w:r w:rsidR="007A3E00">
        <w:t>T</w:t>
      </w:r>
      <w:r w:rsidR="007A3E00" w:rsidRPr="009475CC">
        <w:t>Ë</w:t>
      </w:r>
      <w:r w:rsidRPr="009475CC">
        <w:t xml:space="preserve"> STRATEGJIS</w:t>
      </w:r>
      <w:r w:rsidR="007A3E00" w:rsidRPr="009475CC">
        <w:t>Ë</w:t>
      </w:r>
      <w:r w:rsidRPr="009475CC">
        <w:t xml:space="preserve"> S</w:t>
      </w:r>
      <w:r w:rsidR="007A3E00" w:rsidRPr="009475CC">
        <w:t>Ë</w:t>
      </w:r>
      <w:r w:rsidRPr="009475CC">
        <w:t xml:space="preserve"> MBROJTJES S</w:t>
      </w:r>
      <w:r w:rsidR="007A3E00" w:rsidRPr="009475CC">
        <w:t>Ë</w:t>
      </w:r>
      <w:r w:rsidRPr="009475CC">
        <w:t xml:space="preserve"> KONSUMATOR</w:t>
      </w:r>
      <w:r w:rsidR="007A3E00" w:rsidRPr="009475CC">
        <w:t>Ë</w:t>
      </w:r>
      <w:r w:rsidRPr="009475CC">
        <w:t>VE DHE</w:t>
      </w:r>
      <w:r w:rsidR="00120281" w:rsidRPr="009475CC">
        <w:t xml:space="preserve"> MBIK</w:t>
      </w:r>
      <w:r w:rsidR="00AA5EEF" w:rsidRPr="009475CC">
        <w:t>Ë</w:t>
      </w:r>
      <w:r w:rsidR="00120281" w:rsidRPr="009475CC">
        <w:t>QYRJES S</w:t>
      </w:r>
      <w:r w:rsidR="007A3E00" w:rsidRPr="009475CC">
        <w:t>Ë</w:t>
      </w:r>
      <w:r w:rsidR="00120281" w:rsidRPr="009475CC">
        <w:t xml:space="preserve"> TREGUT</w:t>
      </w:r>
      <w:bookmarkEnd w:id="200"/>
      <w:r w:rsidR="00120281" w:rsidRPr="009475CC">
        <w:t xml:space="preserve"> </w:t>
      </w:r>
      <w:bookmarkEnd w:id="197"/>
    </w:p>
    <w:sectPr w:rsidR="004A649F" w:rsidRPr="009475CC" w:rsidSect="00EE4CB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083FB" w14:textId="77777777" w:rsidR="009B18B8" w:rsidRDefault="009B18B8" w:rsidP="00023A2D">
      <w:pPr>
        <w:spacing w:after="0" w:line="240" w:lineRule="auto"/>
      </w:pPr>
      <w:r>
        <w:separator/>
      </w:r>
    </w:p>
  </w:endnote>
  <w:endnote w:type="continuationSeparator" w:id="0">
    <w:p w14:paraId="48A678D8" w14:textId="77777777" w:rsidR="009B18B8" w:rsidRDefault="009B18B8" w:rsidP="0002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Gothic"/>
    <w:charset w:val="80"/>
    <w:family w:val="auto"/>
    <w:pitch w:val="variable"/>
    <w:sig w:usb0="00000001"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457826"/>
      <w:docPartObj>
        <w:docPartGallery w:val="Page Numbers (Bottom of Page)"/>
        <w:docPartUnique/>
      </w:docPartObj>
    </w:sdtPr>
    <w:sdtEndPr>
      <w:rPr>
        <w:noProof/>
      </w:rPr>
    </w:sdtEndPr>
    <w:sdtContent>
      <w:p w14:paraId="27FB0901" w14:textId="4884F523" w:rsidR="00AE3119" w:rsidRDefault="00AE3119">
        <w:pPr>
          <w:pStyle w:val="Footer"/>
          <w:jc w:val="right"/>
        </w:pPr>
        <w:r>
          <w:fldChar w:fldCharType="begin"/>
        </w:r>
        <w:r>
          <w:instrText xml:space="preserve"> PAGE   \* MERGEFORMAT </w:instrText>
        </w:r>
        <w:r>
          <w:fldChar w:fldCharType="separate"/>
        </w:r>
        <w:r w:rsidR="00627EA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9FBDA" w14:textId="77777777" w:rsidR="009B18B8" w:rsidRDefault="009B18B8" w:rsidP="00023A2D">
      <w:pPr>
        <w:spacing w:after="0" w:line="240" w:lineRule="auto"/>
      </w:pPr>
      <w:r>
        <w:separator/>
      </w:r>
    </w:p>
  </w:footnote>
  <w:footnote w:type="continuationSeparator" w:id="0">
    <w:p w14:paraId="1DFB5E18" w14:textId="77777777" w:rsidR="009B18B8" w:rsidRDefault="009B18B8" w:rsidP="00023A2D">
      <w:pPr>
        <w:spacing w:after="0" w:line="240" w:lineRule="auto"/>
      </w:pPr>
      <w:r>
        <w:continuationSeparator/>
      </w:r>
    </w:p>
  </w:footnote>
  <w:footnote w:id="1">
    <w:p w14:paraId="448D11E1" w14:textId="70071B70" w:rsidR="00AE3119" w:rsidRPr="00E45C0D" w:rsidRDefault="00AE3119" w:rsidP="007F174D">
      <w:pPr>
        <w:spacing w:after="0"/>
        <w:rPr>
          <w:lang w:val="sq-AL"/>
        </w:rPr>
      </w:pPr>
      <w:r>
        <w:rPr>
          <w:rStyle w:val="FootnoteReference"/>
        </w:rPr>
        <w:footnoteRef/>
      </w:r>
      <w:r w:rsidRPr="000B5A82">
        <w:rPr>
          <w:b/>
          <w:lang w:val="sq-AL"/>
        </w:rPr>
        <w:t xml:space="preserve"> </w:t>
      </w:r>
      <w:hyperlink r:id="rId1" w:history="1">
        <w:r w:rsidR="00952448" w:rsidRPr="00531617">
          <w:rPr>
            <w:rStyle w:val="Hyperlink"/>
            <w:lang w:val="sq-AL"/>
          </w:rPr>
          <w:t>www.aku.gov.al</w:t>
        </w:r>
      </w:hyperlink>
      <w:r w:rsidRPr="009475CC">
        <w:rPr>
          <w:lang w:val="sq-AL"/>
        </w:rPr>
        <w:t xml:space="preserve">, </w:t>
      </w:r>
      <w:hyperlink r:id="rId2" w:history="1">
        <w:r w:rsidR="00952448" w:rsidRPr="00531617">
          <w:rPr>
            <w:rStyle w:val="Hyperlink"/>
          </w:rPr>
          <w:t>www.bujqesia.gov.al</w:t>
        </w:r>
      </w:hyperlink>
    </w:p>
  </w:footnote>
  <w:footnote w:id="2">
    <w:p w14:paraId="6B07C1BF" w14:textId="23625F0E" w:rsidR="00AE3119" w:rsidRDefault="00AE3119">
      <w:pPr>
        <w:pStyle w:val="FootnoteText"/>
      </w:pPr>
      <w:r w:rsidRPr="00E45C0D">
        <w:rPr>
          <w:rStyle w:val="FootnoteReference"/>
        </w:rPr>
        <w:footnoteRef/>
      </w:r>
      <w:r w:rsidRPr="00E45C0D">
        <w:t xml:space="preserve"> </w:t>
      </w:r>
      <w:r w:rsidRPr="004E1146">
        <w:t xml:space="preserve"> </w:t>
      </w:r>
      <w:r w:rsidRPr="005D4962">
        <w:t xml:space="preserve">Ndryshuar </w:t>
      </w:r>
      <w:r w:rsidRPr="009475CC">
        <w:t>me Ligjin nr. 17/2013.</w:t>
      </w:r>
    </w:p>
  </w:footnote>
  <w:footnote w:id="3">
    <w:p w14:paraId="5021ED57" w14:textId="1CA753B1" w:rsidR="00AE3119" w:rsidRPr="009475CC" w:rsidRDefault="00AE3119" w:rsidP="009475CC">
      <w:pPr>
        <w:spacing w:after="0"/>
        <w:rPr>
          <w:lang w:val="sq-AL"/>
        </w:rPr>
      </w:pPr>
      <w:r w:rsidRPr="00E45C0D">
        <w:rPr>
          <w:rStyle w:val="FootnoteReference"/>
        </w:rPr>
        <w:footnoteRef/>
      </w:r>
      <w:r w:rsidRPr="004E1146">
        <w:t xml:space="preserve"> </w:t>
      </w:r>
      <w:r w:rsidRPr="009475CC">
        <w:rPr>
          <w:rFonts w:cs="Times New Roman"/>
          <w:sz w:val="20"/>
          <w:szCs w:val="20"/>
          <w:lang w:val="sq-AL"/>
        </w:rPr>
        <w:t xml:space="preserve">Për aktet nën ligjore  mbi kimikatet: </w:t>
      </w:r>
      <w:hyperlink r:id="rId3" w:history="1">
        <w:r w:rsidRPr="009475CC">
          <w:rPr>
            <w:rStyle w:val="Hyperlink"/>
            <w:rFonts w:cs="Times New Roman"/>
            <w:sz w:val="20"/>
            <w:szCs w:val="20"/>
            <w:lang w:val="sq-AL"/>
          </w:rPr>
          <w:t>https://turizmi.gov.al/kimikate</w:t>
        </w:r>
      </w:hyperlink>
      <w:r w:rsidRPr="009475CC">
        <w:rPr>
          <w:rFonts w:cs="Times New Roman"/>
          <w:sz w:val="20"/>
          <w:szCs w:val="20"/>
          <w:lang w:val="sq-AL"/>
        </w:rPr>
        <w:t xml:space="preserve"> , </w:t>
      </w:r>
      <w:hyperlink r:id="rId4" w:history="1">
        <w:r w:rsidRPr="009475CC">
          <w:rPr>
            <w:rStyle w:val="Hyperlink"/>
            <w:rFonts w:cs="Times New Roman"/>
            <w:sz w:val="20"/>
            <w:szCs w:val="20"/>
            <w:lang w:val="sq-AL"/>
          </w:rPr>
          <w:t>https://akm.gov.al/legjislacione/</w:t>
        </w:r>
      </w:hyperlink>
    </w:p>
  </w:footnote>
  <w:footnote w:id="4">
    <w:p w14:paraId="7ABC4195" w14:textId="6CCD5A93" w:rsidR="00AE3119" w:rsidRPr="009475CC" w:rsidRDefault="00AE3119" w:rsidP="00595444">
      <w:pPr>
        <w:rPr>
          <w:rFonts w:cs="Times New Roman"/>
          <w:sz w:val="20"/>
          <w:szCs w:val="20"/>
          <w:lang w:val="sq-AL"/>
        </w:rPr>
      </w:pPr>
      <w:r w:rsidRPr="009475CC">
        <w:rPr>
          <w:rStyle w:val="FootnoteReference"/>
          <w:rFonts w:cs="Times New Roman"/>
          <w:sz w:val="20"/>
          <w:szCs w:val="20"/>
        </w:rPr>
        <w:footnoteRef/>
      </w:r>
      <w:r w:rsidRPr="009475CC">
        <w:rPr>
          <w:rFonts w:cs="Times New Roman"/>
          <w:sz w:val="20"/>
          <w:szCs w:val="20"/>
        </w:rPr>
        <w:t xml:space="preserve"> </w:t>
      </w:r>
      <w:hyperlink r:id="rId5" w:history="1">
        <w:r w:rsidR="008E64A2" w:rsidRPr="00531617">
          <w:rPr>
            <w:rStyle w:val="Hyperlink"/>
            <w:rFonts w:cs="Times New Roman"/>
            <w:sz w:val="20"/>
            <w:szCs w:val="20"/>
            <w:lang w:val="sq-AL"/>
          </w:rPr>
          <w:t>https://shendetesia.gov.al/wp-content/uploads/2018/06/ligj_nr_89_dt_17_7_2014_18594_1.pdf</w:t>
        </w:r>
      </w:hyperlink>
      <w:r w:rsidR="00595444">
        <w:rPr>
          <w:rFonts w:cs="Times New Roman"/>
          <w:sz w:val="20"/>
          <w:szCs w:val="20"/>
          <w:lang w:val="sq-AL"/>
        </w:rPr>
        <w:t xml:space="preserve"> </w:t>
      </w:r>
    </w:p>
  </w:footnote>
  <w:footnote w:id="5">
    <w:p w14:paraId="60344499" w14:textId="6DCFC57C" w:rsidR="00AE3119" w:rsidRPr="009475CC" w:rsidRDefault="00AE3119" w:rsidP="006B635E">
      <w:pPr>
        <w:spacing w:after="0"/>
        <w:rPr>
          <w:rFonts w:cs="Times New Roman"/>
          <w:sz w:val="20"/>
          <w:szCs w:val="20"/>
          <w:lang w:val="sq-AL"/>
        </w:rPr>
      </w:pPr>
      <w:r w:rsidRPr="006B635E">
        <w:rPr>
          <w:rStyle w:val="FootnoteReference"/>
          <w:rFonts w:cs="Times New Roman"/>
          <w:sz w:val="20"/>
          <w:szCs w:val="20"/>
        </w:rPr>
        <w:footnoteRef/>
      </w:r>
      <w:r w:rsidRPr="006B635E">
        <w:rPr>
          <w:rFonts w:cs="Times New Roman"/>
          <w:sz w:val="20"/>
          <w:szCs w:val="20"/>
        </w:rPr>
        <w:t xml:space="preserve"> </w:t>
      </w:r>
      <w:hyperlink r:id="rId6" w:history="1">
        <w:r w:rsidRPr="006B635E">
          <w:rPr>
            <w:rStyle w:val="Hyperlink"/>
            <w:rFonts w:cs="Times New Roman"/>
            <w:sz w:val="20"/>
            <w:szCs w:val="20"/>
            <w:lang w:val="sq-AL"/>
          </w:rPr>
          <w:t>https://shendetesia.gov.al/publikime-kozmetika/</w:t>
        </w:r>
      </w:hyperlink>
      <w:r>
        <w:rPr>
          <w:rFonts w:cs="Times New Roman"/>
          <w:sz w:val="20"/>
          <w:szCs w:val="20"/>
          <w:lang w:val="sq-AL"/>
        </w:rPr>
        <w:t xml:space="preserve"> </w:t>
      </w:r>
    </w:p>
  </w:footnote>
  <w:footnote w:id="6">
    <w:p w14:paraId="466E99AB" w14:textId="0FE85611" w:rsidR="00AE3119" w:rsidRPr="009475CC" w:rsidRDefault="00AE3119" w:rsidP="006B635E">
      <w:pPr>
        <w:pStyle w:val="FootnoteText"/>
        <w:rPr>
          <w:rFonts w:cs="Times New Roman"/>
          <w:lang w:val="sq-AL"/>
        </w:rPr>
      </w:pPr>
      <w:r w:rsidRPr="009475CC">
        <w:rPr>
          <w:rStyle w:val="FootnoteReference"/>
          <w:rFonts w:cs="Times New Roman"/>
        </w:rPr>
        <w:footnoteRef/>
      </w:r>
      <w:r w:rsidRPr="009475CC">
        <w:rPr>
          <w:rFonts w:cs="Times New Roman"/>
        </w:rPr>
        <w:t xml:space="preserve"> </w:t>
      </w:r>
      <w:hyperlink r:id="rId7" w:history="1">
        <w:r w:rsidR="008E64A2" w:rsidRPr="00531617">
          <w:rPr>
            <w:rStyle w:val="Hyperlink"/>
            <w:rFonts w:cs="Times New Roman"/>
            <w:lang w:val="sq-AL"/>
          </w:rPr>
          <w:t>www.dps.gov.al</w:t>
        </w:r>
      </w:hyperlink>
    </w:p>
  </w:footnote>
  <w:footnote w:id="7">
    <w:p w14:paraId="3923BC7D" w14:textId="49232054" w:rsidR="00AE3119" w:rsidRPr="009475CC" w:rsidRDefault="00AE3119">
      <w:pPr>
        <w:pStyle w:val="FootnoteText"/>
        <w:rPr>
          <w:lang w:val="sq-AL"/>
        </w:rPr>
      </w:pPr>
      <w:r>
        <w:rPr>
          <w:rStyle w:val="FootnoteReference"/>
        </w:rPr>
        <w:footnoteRef/>
      </w:r>
      <w:r>
        <w:t xml:space="preserve"> </w:t>
      </w:r>
      <w:hyperlink r:id="rId8" w:history="1">
        <w:r w:rsidR="008E64A2" w:rsidRPr="00531617">
          <w:rPr>
            <w:rStyle w:val="Hyperlink"/>
            <w:rFonts w:cs="Times New Roman"/>
            <w:lang w:val="sq-AL"/>
          </w:rPr>
          <w:t>http://dpa.gov.al/wp-content/uploads/2019/06/dpa_ligj_116-2014_11.09.2014.pdf</w:t>
        </w:r>
      </w:hyperlink>
      <w:r w:rsidRPr="009475CC">
        <w:rPr>
          <w:rFonts w:cs="Times New Roman"/>
          <w:lang w:val="sq-AL"/>
        </w:rPr>
        <w:t xml:space="preserve"> </w:t>
      </w:r>
    </w:p>
  </w:footnote>
  <w:footnote w:id="8">
    <w:p w14:paraId="58A00548" w14:textId="101DCBE3" w:rsidR="00AE3119" w:rsidRPr="009475CC" w:rsidRDefault="00AE3119">
      <w:pPr>
        <w:pStyle w:val="FootnoteText"/>
        <w:rPr>
          <w:lang w:val="sq-AL"/>
        </w:rPr>
      </w:pPr>
      <w:r w:rsidRPr="00E45C0D">
        <w:rPr>
          <w:rStyle w:val="FootnoteReference"/>
        </w:rPr>
        <w:footnoteRef/>
      </w:r>
      <w:r w:rsidRPr="00E45C0D">
        <w:t xml:space="preserve"> </w:t>
      </w:r>
      <w:r w:rsidRPr="004E1146">
        <w:rPr>
          <w:lang w:val="sq-AL"/>
        </w:rPr>
        <w:t xml:space="preserve"> </w:t>
      </w:r>
      <w:hyperlink r:id="rId9" w:history="1">
        <w:r w:rsidRPr="009475CC">
          <w:rPr>
            <w:rStyle w:val="Hyperlink"/>
            <w:rFonts w:cs="Times New Roman"/>
            <w:lang w:val="sq-AL"/>
          </w:rPr>
          <w:t>http://dpa.gov.al/</w:t>
        </w:r>
        <w:r w:rsidR="006D61C0">
          <w:rPr>
            <w:rStyle w:val="Hyperlink"/>
            <w:rFonts w:cs="Times New Roman"/>
            <w:lang w:val="sq-AL"/>
          </w:rPr>
          <w:t>ë</w:t>
        </w:r>
        <w:r w:rsidRPr="009475CC">
          <w:rPr>
            <w:rStyle w:val="Hyperlink"/>
            <w:rFonts w:cs="Times New Roman"/>
            <w:lang w:val="sq-AL"/>
          </w:rPr>
          <w:t>p-content/uploads/2019/09/667.pdf</w:t>
        </w:r>
      </w:hyperlink>
      <w:r>
        <w:rPr>
          <w:rFonts w:cs="Times New Roman"/>
          <w:sz w:val="24"/>
          <w:szCs w:val="24"/>
          <w:lang w:val="sq-AL"/>
        </w:rPr>
        <w:t xml:space="preserve"> </w:t>
      </w:r>
    </w:p>
  </w:footnote>
  <w:footnote w:id="9">
    <w:p w14:paraId="27CD018E" w14:textId="2A997231" w:rsidR="006B635E" w:rsidRPr="006B635E" w:rsidRDefault="006B635E">
      <w:pPr>
        <w:pStyle w:val="FootnoteText"/>
        <w:rPr>
          <w:lang w:val="sq-AL"/>
        </w:rPr>
      </w:pPr>
      <w:r>
        <w:rPr>
          <w:rStyle w:val="FootnoteReference"/>
        </w:rPr>
        <w:footnoteRef/>
      </w:r>
      <w:r>
        <w:t xml:space="preserve"> </w:t>
      </w:r>
      <w:hyperlink r:id="rId10" w:history="1">
        <w:r w:rsidRPr="00494495">
          <w:rPr>
            <w:rStyle w:val="Hyperlink"/>
            <w:rFonts w:cs="Times New Roman"/>
            <w:lang w:val="sq-AL"/>
          </w:rPr>
          <w:t>https://aku.gov.al/</w:t>
        </w:r>
      </w:hyperlink>
      <w:r>
        <w:rPr>
          <w:rFonts w:cs="Times New Roman"/>
          <w:lang w:val="sq-AL"/>
        </w:rPr>
        <w:t xml:space="preserve"> </w:t>
      </w:r>
    </w:p>
  </w:footnote>
  <w:footnote w:id="10">
    <w:p w14:paraId="58E7EC75" w14:textId="1D4082A5" w:rsidR="00AE3119" w:rsidRPr="009475CC" w:rsidRDefault="00AE3119" w:rsidP="009475CC">
      <w:pPr>
        <w:spacing w:after="0" w:line="240" w:lineRule="auto"/>
        <w:rPr>
          <w:lang w:val="sq-AL"/>
        </w:rPr>
      </w:pPr>
      <w:r w:rsidRPr="009475CC">
        <w:rPr>
          <w:rStyle w:val="FootnoteReference"/>
          <w:rFonts w:cs="Times New Roman"/>
          <w:sz w:val="20"/>
          <w:szCs w:val="20"/>
        </w:rPr>
        <w:footnoteRef/>
      </w:r>
      <w:r w:rsidRPr="009475CC">
        <w:rPr>
          <w:rFonts w:cs="Times New Roman"/>
          <w:sz w:val="20"/>
          <w:szCs w:val="20"/>
        </w:rPr>
        <w:t xml:space="preserve"> </w:t>
      </w:r>
      <w:r w:rsidRPr="009475CC">
        <w:rPr>
          <w:rFonts w:cs="Times New Roman"/>
          <w:sz w:val="20"/>
          <w:szCs w:val="20"/>
          <w:lang w:val="sq-AL"/>
        </w:rPr>
        <w:t>P</w:t>
      </w:r>
      <w:r>
        <w:rPr>
          <w:rFonts w:cs="Times New Roman"/>
          <w:sz w:val="20"/>
          <w:szCs w:val="20"/>
          <w:lang w:val="sq-AL"/>
        </w:rPr>
        <w:t>ë</w:t>
      </w:r>
      <w:r w:rsidRPr="009475CC">
        <w:rPr>
          <w:rFonts w:cs="Times New Roman"/>
          <w:sz w:val="20"/>
          <w:szCs w:val="20"/>
          <w:lang w:val="sq-AL"/>
        </w:rPr>
        <w:t>r m</w:t>
      </w:r>
      <w:r>
        <w:rPr>
          <w:rFonts w:cs="Times New Roman"/>
          <w:sz w:val="20"/>
          <w:szCs w:val="20"/>
          <w:lang w:val="sq-AL"/>
        </w:rPr>
        <w:t>ë</w:t>
      </w:r>
      <w:r w:rsidRPr="009475CC">
        <w:rPr>
          <w:rFonts w:cs="Times New Roman"/>
          <w:sz w:val="20"/>
          <w:szCs w:val="20"/>
          <w:lang w:val="sq-AL"/>
        </w:rPr>
        <w:t xml:space="preserve"> shum</w:t>
      </w:r>
      <w:r>
        <w:rPr>
          <w:rFonts w:cs="Times New Roman"/>
          <w:sz w:val="20"/>
          <w:szCs w:val="20"/>
          <w:lang w:val="sq-AL"/>
        </w:rPr>
        <w:t>ë</w:t>
      </w:r>
      <w:r w:rsidRPr="009475CC">
        <w:rPr>
          <w:rFonts w:cs="Times New Roman"/>
          <w:sz w:val="20"/>
          <w:szCs w:val="20"/>
          <w:lang w:val="sq-AL"/>
        </w:rPr>
        <w:t xml:space="preserve"> informacion</w:t>
      </w:r>
      <w:r>
        <w:rPr>
          <w:rFonts w:cs="Times New Roman"/>
          <w:sz w:val="20"/>
          <w:szCs w:val="20"/>
          <w:lang w:val="sq-AL"/>
        </w:rPr>
        <w:t>:</w:t>
      </w:r>
      <w:r w:rsidRPr="009475CC">
        <w:rPr>
          <w:rFonts w:cs="Times New Roman"/>
          <w:sz w:val="20"/>
          <w:szCs w:val="20"/>
          <w:lang w:val="sq-AL"/>
        </w:rPr>
        <w:t xml:space="preserve"> </w:t>
      </w:r>
      <w:hyperlink r:id="rId11" w:history="1">
        <w:r w:rsidR="006D61C0">
          <w:rPr>
            <w:rStyle w:val="Hyperlink"/>
            <w:rFonts w:cs="Times New Roman"/>
            <w:sz w:val="20"/>
            <w:szCs w:val="20"/>
            <w:lang w:val="sq-AL"/>
          </w:rPr>
          <w:t>ëëë</w:t>
        </w:r>
        <w:r w:rsidRPr="009475CC">
          <w:rPr>
            <w:rStyle w:val="Hyperlink"/>
            <w:rFonts w:cs="Times New Roman"/>
            <w:sz w:val="20"/>
            <w:szCs w:val="20"/>
            <w:lang w:val="sq-AL"/>
          </w:rPr>
          <w:t>.ins-shendetesor.gov.al</w:t>
        </w:r>
      </w:hyperlink>
      <w:r>
        <w:rPr>
          <w:rFonts w:cs="Times New Roman"/>
          <w:sz w:val="20"/>
          <w:szCs w:val="20"/>
          <w:lang w:val="sq-AL"/>
        </w:rPr>
        <w:t xml:space="preserve"> </w:t>
      </w:r>
    </w:p>
  </w:footnote>
  <w:footnote w:id="11">
    <w:p w14:paraId="7FEDF8EE" w14:textId="17F180E7" w:rsidR="00AE3119" w:rsidRPr="00EB6FC4" w:rsidRDefault="00AE3119" w:rsidP="008B59D6">
      <w:pPr>
        <w:pStyle w:val="FootnoteText"/>
        <w:rPr>
          <w:lang w:val="sq-AL"/>
        </w:rPr>
      </w:pPr>
      <w:r w:rsidRPr="009475CC">
        <w:rPr>
          <w:rStyle w:val="FootnoteReference"/>
          <w:rFonts w:cs="Times New Roman"/>
        </w:rPr>
        <w:footnoteRef/>
      </w:r>
      <w:r w:rsidRPr="009475CC">
        <w:rPr>
          <w:rFonts w:cs="Times New Roman"/>
        </w:rPr>
        <w:t xml:space="preserve"> Për m</w:t>
      </w:r>
      <w:r>
        <w:rPr>
          <w:rFonts w:cs="Times New Roman"/>
        </w:rPr>
        <w:t>ë</w:t>
      </w:r>
      <w:r w:rsidRPr="009475CC">
        <w:rPr>
          <w:rFonts w:cs="Times New Roman"/>
        </w:rPr>
        <w:t xml:space="preserve"> shumë informacion: </w:t>
      </w:r>
      <w:hyperlink r:id="rId12" w:history="1">
        <w:r w:rsidR="006D61C0">
          <w:rPr>
            <w:rStyle w:val="Hyperlink"/>
            <w:rFonts w:cs="Times New Roman"/>
          </w:rPr>
          <w:t>ëëë</w:t>
        </w:r>
        <w:r w:rsidR="00B360AF" w:rsidRPr="00494495">
          <w:rPr>
            <w:rStyle w:val="Hyperlink"/>
            <w:rFonts w:cs="Times New Roman"/>
          </w:rPr>
          <w:t>.ishmt.gov.al</w:t>
        </w:r>
      </w:hyperlink>
      <w:r w:rsidR="00B360AF">
        <w:rPr>
          <w:rFonts w:cs="Times New Roman"/>
        </w:rPr>
        <w:t xml:space="preserve"> </w:t>
      </w:r>
    </w:p>
  </w:footnote>
  <w:footnote w:id="12">
    <w:p w14:paraId="21EE10E1" w14:textId="77777777" w:rsidR="00AE3119" w:rsidRPr="009475CC" w:rsidRDefault="00AE3119" w:rsidP="00972736">
      <w:pPr>
        <w:pStyle w:val="FootnoteText"/>
        <w:rPr>
          <w:rFonts w:cs="Times New Roman"/>
          <w:lang w:val="sq-AL"/>
        </w:rPr>
      </w:pPr>
      <w:r>
        <w:rPr>
          <w:rStyle w:val="FootnoteReference"/>
        </w:rPr>
        <w:footnoteRef/>
      </w:r>
      <w:r>
        <w:t xml:space="preserve"> </w:t>
      </w:r>
      <w:r w:rsidRPr="009475CC">
        <w:rPr>
          <w:rFonts w:cs="Times New Roman"/>
          <w:lang w:val="sq-AL"/>
        </w:rPr>
        <w:t>Ky ligj është botuar në FZ nr. 61/2008 dhe është i ndryshuar me:</w:t>
      </w:r>
    </w:p>
    <w:p w14:paraId="450A4255" w14:textId="71796468" w:rsidR="00AE3119" w:rsidRPr="009475CC" w:rsidRDefault="00AE3119" w:rsidP="00972736">
      <w:pPr>
        <w:pStyle w:val="FootnoteText"/>
        <w:rPr>
          <w:rFonts w:cs="Times New Roman"/>
          <w:lang w:val="sq-AL"/>
        </w:rPr>
      </w:pPr>
      <w:r w:rsidRPr="009475CC">
        <w:rPr>
          <w:rFonts w:cs="Times New Roman"/>
          <w:lang w:val="sq-AL"/>
        </w:rPr>
        <w:tab/>
        <w:t xml:space="preserve">- Ligjin </w:t>
      </w:r>
      <w:r>
        <w:rPr>
          <w:rFonts w:cs="Times New Roman"/>
          <w:lang w:val="sq-AL"/>
        </w:rPr>
        <w:t>n</w:t>
      </w:r>
      <w:r w:rsidRPr="009475CC">
        <w:rPr>
          <w:rFonts w:cs="Times New Roman"/>
          <w:lang w:val="sq-AL"/>
        </w:rPr>
        <w:t xml:space="preserve">r.10444 date 14.07.2011 "Për disa ndryshime dhe shtesa në ligjin nr.9902, datë 17.4.2008 “Për mbrojtjen e konsumatorëve”, </w:t>
      </w:r>
    </w:p>
    <w:p w14:paraId="359F925E" w14:textId="18B6A364" w:rsidR="00AE3119" w:rsidRPr="009475CC" w:rsidRDefault="00AE3119" w:rsidP="00972736">
      <w:pPr>
        <w:pStyle w:val="FootnoteText"/>
        <w:rPr>
          <w:rFonts w:cs="Times New Roman"/>
          <w:lang w:val="sq-AL"/>
        </w:rPr>
      </w:pPr>
      <w:r w:rsidRPr="009475CC">
        <w:rPr>
          <w:rFonts w:cs="Times New Roman"/>
          <w:lang w:val="sq-AL"/>
        </w:rPr>
        <w:tab/>
        <w:t xml:space="preserve">-Ligjin </w:t>
      </w:r>
      <w:r>
        <w:rPr>
          <w:rFonts w:cs="Times New Roman"/>
          <w:lang w:val="sq-AL"/>
        </w:rPr>
        <w:t xml:space="preserve">nr. </w:t>
      </w:r>
      <w:r w:rsidRPr="009475CC">
        <w:rPr>
          <w:rFonts w:cs="Times New Roman"/>
          <w:lang w:val="sq-AL"/>
        </w:rPr>
        <w:t xml:space="preserve">15/2013 date 104.02.2013 “Per disa shtesa dhe ndryshime ne Ligjin 9902 datë 17.04.2008 "Për mbrojtjen e konsumatorëve", të ndryshuar. FZ nr. 29/20013  </w:t>
      </w:r>
    </w:p>
    <w:p w14:paraId="45BEF1AC" w14:textId="590DEFD4" w:rsidR="00AE3119" w:rsidRPr="009475CC" w:rsidRDefault="00AE3119" w:rsidP="00972736">
      <w:pPr>
        <w:pStyle w:val="FootnoteText"/>
        <w:rPr>
          <w:rFonts w:cs="Times New Roman"/>
          <w:lang w:val="sq-AL"/>
        </w:rPr>
      </w:pPr>
      <w:r w:rsidRPr="009475CC">
        <w:rPr>
          <w:rFonts w:cs="Times New Roman"/>
          <w:lang w:val="sq-AL"/>
        </w:rPr>
        <w:tab/>
        <w:t xml:space="preserve">- Ligjin </w:t>
      </w:r>
      <w:r>
        <w:rPr>
          <w:rFonts w:cs="Times New Roman"/>
          <w:lang w:val="sq-AL"/>
        </w:rPr>
        <w:t>n</w:t>
      </w:r>
      <w:r w:rsidRPr="009475CC">
        <w:rPr>
          <w:rFonts w:cs="Times New Roman"/>
          <w:lang w:val="sq-AL"/>
        </w:rPr>
        <w:t xml:space="preserve">r. 71/2018, datë 18.10.2018, "Për disa ndryshime dhe shtesa në ligjin nr. 9902, </w:t>
      </w:r>
    </w:p>
    <w:p w14:paraId="494A1EF0" w14:textId="77777777" w:rsidR="00AE3119" w:rsidRPr="00636018" w:rsidRDefault="00AE3119" w:rsidP="00972736">
      <w:pPr>
        <w:pStyle w:val="FootnoteText"/>
        <w:rPr>
          <w:lang w:val="sq-AL"/>
        </w:rPr>
      </w:pPr>
      <w:r w:rsidRPr="009475CC">
        <w:rPr>
          <w:rFonts w:cs="Times New Roman"/>
          <w:lang w:val="sq-AL"/>
        </w:rPr>
        <w:t>datë 17.4.2008, “Për mbrojtjen e konsumatorëve”, të ndryshuar.</w:t>
      </w:r>
    </w:p>
  </w:footnote>
  <w:footnote w:id="13">
    <w:p w14:paraId="7CE53D4C" w14:textId="59E4E258" w:rsidR="00AE3119" w:rsidRPr="009475CC" w:rsidRDefault="00AE3119">
      <w:pPr>
        <w:pStyle w:val="FootnoteText"/>
        <w:rPr>
          <w:lang w:val="sq-AL"/>
        </w:rPr>
      </w:pPr>
      <w:r w:rsidRPr="004E1146">
        <w:rPr>
          <w:rStyle w:val="FootnoteReference"/>
        </w:rPr>
        <w:footnoteRef/>
      </w:r>
      <w:r w:rsidRPr="004E1146">
        <w:t xml:space="preserve"> </w:t>
      </w:r>
      <w:hyperlink r:id="rId13" w:history="1">
        <w:r w:rsidR="00F260E2" w:rsidRPr="00771338">
          <w:rPr>
            <w:rStyle w:val="Hyperlink"/>
            <w:rFonts w:cs="Times New Roman"/>
            <w:lang w:val="sq-AL"/>
          </w:rPr>
          <w:t>https://www.ere.gov.al/images/archive/Ligj_43_2015_30_04_2015.pdf</w:t>
        </w:r>
      </w:hyperlink>
      <w:r>
        <w:rPr>
          <w:rFonts w:cs="Times New Roman"/>
          <w:lang w:val="sq-AL"/>
        </w:rPr>
        <w:t xml:space="preserve"> </w:t>
      </w:r>
    </w:p>
  </w:footnote>
  <w:footnote w:id="14">
    <w:p w14:paraId="55F3C161" w14:textId="25AC3697" w:rsidR="00C753E2" w:rsidRPr="003619C2" w:rsidRDefault="00C753E2">
      <w:pPr>
        <w:pStyle w:val="FootnoteText"/>
        <w:rPr>
          <w:rFonts w:cs="Times New Roman"/>
          <w:lang w:val="sq-AL"/>
        </w:rPr>
      </w:pPr>
      <w:r w:rsidRPr="003619C2">
        <w:rPr>
          <w:rStyle w:val="FootnoteReference"/>
          <w:rFonts w:cs="Times New Roman"/>
        </w:rPr>
        <w:footnoteRef/>
      </w:r>
      <w:r w:rsidRPr="003619C2">
        <w:rPr>
          <w:rFonts w:cs="Times New Roman"/>
        </w:rPr>
        <w:t xml:space="preserve"> </w:t>
      </w:r>
      <w:r w:rsidR="003619C2" w:rsidRPr="003619C2">
        <w:rPr>
          <w:rFonts w:cs="Times New Roman"/>
          <w:color w:val="222222"/>
          <w:spacing w:val="-11"/>
          <w:shd w:val="clear" w:color="auto" w:fill="FFFFFF"/>
        </w:rPr>
        <w:t>Ndryshuar me Ligjin nr. 54/2014 “Për disa ndryshime dhe shtesa në Ligjin nr. 9572, datë 3.7.2006 “Për Autoritetin e Mbikëqyrjes Financiare”</w:t>
      </w:r>
    </w:p>
  </w:footnote>
  <w:footnote w:id="15">
    <w:p w14:paraId="7806AF4A" w14:textId="22DF36B7" w:rsidR="00AE3119" w:rsidRPr="009475CC" w:rsidRDefault="00AE3119">
      <w:pPr>
        <w:pStyle w:val="FootnoteText"/>
        <w:rPr>
          <w:lang w:val="sq-AL"/>
        </w:rPr>
      </w:pPr>
      <w:r w:rsidRPr="009475CC">
        <w:rPr>
          <w:rStyle w:val="FootnoteReference"/>
          <w:rFonts w:cs="Times New Roman"/>
        </w:rPr>
        <w:footnoteRef/>
      </w:r>
      <w:r w:rsidRPr="009475CC">
        <w:rPr>
          <w:rFonts w:cs="Times New Roman"/>
        </w:rPr>
        <w:t xml:space="preserve"> </w:t>
      </w:r>
      <w:hyperlink r:id="rId14" w:history="1">
        <w:r w:rsidR="00D360AB" w:rsidRPr="00C27E36">
          <w:rPr>
            <w:rStyle w:val="Hyperlink"/>
            <w:rFonts w:cs="Times New Roman"/>
            <w:lang w:val="sq-AL"/>
          </w:rPr>
          <w:t>https://www.bankofalbania.org/Mbikeqyrja/Kuadri_Rregullativ_Mbikeqyres/Rregullore_te_mbikeqyrjes/</w:t>
        </w:r>
      </w:hyperlink>
      <w:r>
        <w:rPr>
          <w:rFonts w:cs="Times New Roman"/>
          <w:lang w:val="sq-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07F2B68"/>
    <w:multiLevelType w:val="hybridMultilevel"/>
    <w:tmpl w:val="36B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5AC0"/>
    <w:multiLevelType w:val="hybridMultilevel"/>
    <w:tmpl w:val="B5E46440"/>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38B1927"/>
    <w:multiLevelType w:val="hybridMultilevel"/>
    <w:tmpl w:val="B700ECC4"/>
    <w:lvl w:ilvl="0" w:tplc="A2AC3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D3E45"/>
    <w:multiLevelType w:val="hybridMultilevel"/>
    <w:tmpl w:val="4A342754"/>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2B0D93"/>
    <w:multiLevelType w:val="hybridMultilevel"/>
    <w:tmpl w:val="16925172"/>
    <w:lvl w:ilvl="0" w:tplc="2F903552">
      <w:start w:val="2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0F6B2505"/>
    <w:multiLevelType w:val="hybridMultilevel"/>
    <w:tmpl w:val="36D020AA"/>
    <w:lvl w:ilvl="0" w:tplc="DF1A948C">
      <w:start w:val="1"/>
      <w:numFmt w:val="bullet"/>
      <w:lvlText w:val="‐"/>
      <w:lvlJc w:val="left"/>
      <w:pPr>
        <w:ind w:left="360" w:hanging="360"/>
      </w:pPr>
      <w:rPr>
        <w:rFonts w:ascii="Calibri" w:hAnsi="Calibri" w:hint="default"/>
      </w:rPr>
    </w:lvl>
    <w:lvl w:ilvl="1" w:tplc="74461604">
      <w:numFmt w:val="bullet"/>
      <w:lvlText w:val="•"/>
      <w:lvlJc w:val="left"/>
      <w:pPr>
        <w:ind w:left="1440" w:hanging="720"/>
      </w:pPr>
      <w:rPr>
        <w:rFonts w:ascii="Times New Roman" w:eastAsiaTheme="minorHAnsi" w:hAnsi="Times New Roman" w:cs="Times New Roman"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E03C4A"/>
    <w:multiLevelType w:val="hybridMultilevel"/>
    <w:tmpl w:val="27CE65EA"/>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EB2320"/>
    <w:multiLevelType w:val="hybridMultilevel"/>
    <w:tmpl w:val="AEC41A08"/>
    <w:lvl w:ilvl="0" w:tplc="66100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91BFB"/>
    <w:multiLevelType w:val="hybridMultilevel"/>
    <w:tmpl w:val="0CF43A66"/>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14FC4E67"/>
    <w:multiLevelType w:val="hybridMultilevel"/>
    <w:tmpl w:val="F1A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E69CC"/>
    <w:multiLevelType w:val="hybridMultilevel"/>
    <w:tmpl w:val="1EAAA7B6"/>
    <w:lvl w:ilvl="0" w:tplc="DF1A948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96343E"/>
    <w:multiLevelType w:val="hybridMultilevel"/>
    <w:tmpl w:val="49F8175A"/>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1A9D3D17"/>
    <w:multiLevelType w:val="hybridMultilevel"/>
    <w:tmpl w:val="97E0DBB8"/>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B401C09"/>
    <w:multiLevelType w:val="hybridMultilevel"/>
    <w:tmpl w:val="8736B3E0"/>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51C5C0C"/>
    <w:multiLevelType w:val="hybridMultilevel"/>
    <w:tmpl w:val="E06ACC74"/>
    <w:lvl w:ilvl="0" w:tplc="A2AC3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64D89"/>
    <w:multiLevelType w:val="hybridMultilevel"/>
    <w:tmpl w:val="A4C475E6"/>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946241F"/>
    <w:multiLevelType w:val="hybridMultilevel"/>
    <w:tmpl w:val="C6485012"/>
    <w:lvl w:ilvl="0" w:tplc="A2AC3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42CD8"/>
    <w:multiLevelType w:val="hybridMultilevel"/>
    <w:tmpl w:val="B9D6D732"/>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2D7067B4"/>
    <w:multiLevelType w:val="hybridMultilevel"/>
    <w:tmpl w:val="82F44DBC"/>
    <w:lvl w:ilvl="0" w:tplc="1CBE04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92234"/>
    <w:multiLevelType w:val="hybridMultilevel"/>
    <w:tmpl w:val="D2FEE022"/>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E0540DB"/>
    <w:multiLevelType w:val="hybridMultilevel"/>
    <w:tmpl w:val="A770F68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EF4E55"/>
    <w:multiLevelType w:val="hybridMultilevel"/>
    <w:tmpl w:val="B494364A"/>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33E20A2"/>
    <w:multiLevelType w:val="hybridMultilevel"/>
    <w:tmpl w:val="2CF633B6"/>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4A13370"/>
    <w:multiLevelType w:val="hybridMultilevel"/>
    <w:tmpl w:val="ECFE6624"/>
    <w:lvl w:ilvl="0" w:tplc="92D22C40">
      <w:start w:val="15"/>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42664"/>
    <w:multiLevelType w:val="hybridMultilevel"/>
    <w:tmpl w:val="00E0D056"/>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B03140F"/>
    <w:multiLevelType w:val="hybridMultilevel"/>
    <w:tmpl w:val="40A8F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F75CFF"/>
    <w:multiLevelType w:val="hybridMultilevel"/>
    <w:tmpl w:val="B560CBD2"/>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421E3CBB"/>
    <w:multiLevelType w:val="hybridMultilevel"/>
    <w:tmpl w:val="31E21A48"/>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6F90426"/>
    <w:multiLevelType w:val="hybridMultilevel"/>
    <w:tmpl w:val="846498CC"/>
    <w:lvl w:ilvl="0" w:tplc="548CEC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41AE0"/>
    <w:multiLevelType w:val="hybridMultilevel"/>
    <w:tmpl w:val="5AF02BBE"/>
    <w:lvl w:ilvl="0" w:tplc="A2AC367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518AB"/>
    <w:multiLevelType w:val="hybridMultilevel"/>
    <w:tmpl w:val="FF0898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A532AC"/>
    <w:multiLevelType w:val="hybridMultilevel"/>
    <w:tmpl w:val="4E6E604E"/>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BCD4D32"/>
    <w:multiLevelType w:val="hybridMultilevel"/>
    <w:tmpl w:val="D9C4F030"/>
    <w:lvl w:ilvl="0" w:tplc="5CBAE028">
      <w:numFmt w:val="bullet"/>
      <w:lvlText w:val=""/>
      <w:lvlPicBulletId w:val="0"/>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A1606D"/>
    <w:multiLevelType w:val="hybridMultilevel"/>
    <w:tmpl w:val="0290A2BA"/>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60A7667"/>
    <w:multiLevelType w:val="hybridMultilevel"/>
    <w:tmpl w:val="3C9CBFA2"/>
    <w:lvl w:ilvl="0" w:tplc="DF1A948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B1191B"/>
    <w:multiLevelType w:val="hybridMultilevel"/>
    <w:tmpl w:val="ED9E7630"/>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nsid w:val="5DDD4399"/>
    <w:multiLevelType w:val="hybridMultilevel"/>
    <w:tmpl w:val="F86613BA"/>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DF24B47"/>
    <w:multiLevelType w:val="hybridMultilevel"/>
    <w:tmpl w:val="63EA8C66"/>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FED4B23"/>
    <w:multiLevelType w:val="hybridMultilevel"/>
    <w:tmpl w:val="5F3AC774"/>
    <w:lvl w:ilvl="0" w:tplc="DF1A948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0086FD9"/>
    <w:multiLevelType w:val="hybridMultilevel"/>
    <w:tmpl w:val="314EF2B0"/>
    <w:lvl w:ilvl="0" w:tplc="DF1A948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5497FA4"/>
    <w:multiLevelType w:val="multilevel"/>
    <w:tmpl w:val="B688F5AC"/>
    <w:lvl w:ilvl="0">
      <w:start w:val="1"/>
      <w:numFmt w:val="decimal"/>
      <w:pStyle w:val="NumberedHeading1"/>
      <w:lvlText w:val="%1."/>
      <w:lvlJc w:val="left"/>
      <w:pPr>
        <w:ind w:left="630" w:hanging="360"/>
      </w:pPr>
    </w:lvl>
    <w:lvl w:ilvl="1">
      <w:start w:val="1"/>
      <w:numFmt w:val="decimal"/>
      <w:pStyle w:val="NumberedHeading2"/>
      <w:lvlText w:val="%1.%2."/>
      <w:lvlJc w:val="left"/>
      <w:pPr>
        <w:ind w:left="1512" w:hanging="432"/>
      </w:pPr>
    </w:lvl>
    <w:lvl w:ilvl="2">
      <w:start w:val="1"/>
      <w:numFmt w:val="decimal"/>
      <w:pStyle w:val="NumberedHeading3"/>
      <w:lvlText w:val="%1.%2.%3."/>
      <w:lvlJc w:val="left"/>
      <w:pPr>
        <w:ind w:left="1134" w:hanging="504"/>
      </w:pPr>
      <w:rPr>
        <w:color w:val="1F4E79" w:themeColor="accent1" w:themeShade="80"/>
        <w:lang w:val="en-IE"/>
      </w:rPr>
    </w:lvl>
    <w:lvl w:ilvl="3">
      <w:start w:val="1"/>
      <w:numFmt w:val="decimal"/>
      <w:pStyle w:val="NumberedHeading4"/>
      <w:lvlText w:val="%1.%2.%3.%4."/>
      <w:lvlJc w:val="left"/>
      <w:pPr>
        <w:ind w:left="1728" w:hanging="648"/>
      </w:pPr>
    </w:lvl>
    <w:lvl w:ilvl="4">
      <w:start w:val="1"/>
      <w:numFmt w:val="decimal"/>
      <w:pStyle w:val="Numbered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58B47A5"/>
    <w:multiLevelType w:val="hybridMultilevel"/>
    <w:tmpl w:val="DB0E4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5BB03C4"/>
    <w:multiLevelType w:val="hybridMultilevel"/>
    <w:tmpl w:val="EC20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F64095"/>
    <w:multiLevelType w:val="hybridMultilevel"/>
    <w:tmpl w:val="EFB2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AB20CF9"/>
    <w:multiLevelType w:val="hybridMultilevel"/>
    <w:tmpl w:val="C5501B50"/>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nsid w:val="6AE65633"/>
    <w:multiLevelType w:val="hybridMultilevel"/>
    <w:tmpl w:val="15A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973C81"/>
    <w:multiLevelType w:val="hybridMultilevel"/>
    <w:tmpl w:val="B5B0C52E"/>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D256455"/>
    <w:multiLevelType w:val="hybridMultilevel"/>
    <w:tmpl w:val="49140AAC"/>
    <w:lvl w:ilvl="0" w:tplc="A4024F36">
      <w:start w:val="1"/>
      <w:numFmt w:val="upperRoman"/>
      <w:pStyle w:val="Heading1"/>
      <w:lvlText w:val="%1."/>
      <w:lvlJc w:val="left"/>
      <w:pPr>
        <w:ind w:left="108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D4E1498"/>
    <w:multiLevelType w:val="hybridMultilevel"/>
    <w:tmpl w:val="5FA47AB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9">
    <w:nsid w:val="703915B9"/>
    <w:multiLevelType w:val="hybridMultilevel"/>
    <w:tmpl w:val="E5802210"/>
    <w:lvl w:ilvl="0" w:tplc="7E2499F6">
      <w:start w:val="20"/>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0">
    <w:nsid w:val="73554659"/>
    <w:multiLevelType w:val="hybridMultilevel"/>
    <w:tmpl w:val="F03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8C3C3B"/>
    <w:multiLevelType w:val="hybridMultilevel"/>
    <w:tmpl w:val="070A6D3A"/>
    <w:lvl w:ilvl="0" w:tplc="EF9AA4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1B0049"/>
    <w:multiLevelType w:val="hybridMultilevel"/>
    <w:tmpl w:val="E828FD4C"/>
    <w:lvl w:ilvl="0" w:tplc="2DBC1000">
      <w:start w:val="1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8A22682"/>
    <w:multiLevelType w:val="hybridMultilevel"/>
    <w:tmpl w:val="0EE4B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nsid w:val="79C36DEC"/>
    <w:multiLevelType w:val="hybridMultilevel"/>
    <w:tmpl w:val="A982531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5">
    <w:nsid w:val="79D005D0"/>
    <w:multiLevelType w:val="hybridMultilevel"/>
    <w:tmpl w:val="36C48784"/>
    <w:lvl w:ilvl="0" w:tplc="DF1A948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7A1964F2"/>
    <w:multiLevelType w:val="hybridMultilevel"/>
    <w:tmpl w:val="C2B8918C"/>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A450870"/>
    <w:multiLevelType w:val="hybridMultilevel"/>
    <w:tmpl w:val="1BFCD764"/>
    <w:lvl w:ilvl="0" w:tplc="2DBC100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885526"/>
    <w:multiLevelType w:val="hybridMultilevel"/>
    <w:tmpl w:val="0FFEC1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7CC01511"/>
    <w:multiLevelType w:val="hybridMultilevel"/>
    <w:tmpl w:val="DE8A0418"/>
    <w:lvl w:ilvl="0" w:tplc="DF1A948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nsid w:val="7CC02FF6"/>
    <w:multiLevelType w:val="hybridMultilevel"/>
    <w:tmpl w:val="7AC2F6D4"/>
    <w:lvl w:ilvl="0" w:tplc="DF1A94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8"/>
  </w:num>
  <w:num w:numId="3">
    <w:abstractNumId w:val="42"/>
  </w:num>
  <w:num w:numId="4">
    <w:abstractNumId w:val="57"/>
  </w:num>
  <w:num w:numId="5">
    <w:abstractNumId w:val="2"/>
  </w:num>
  <w:num w:numId="6">
    <w:abstractNumId w:val="16"/>
  </w:num>
  <w:num w:numId="7">
    <w:abstractNumId w:val="14"/>
  </w:num>
  <w:num w:numId="8">
    <w:abstractNumId w:val="29"/>
  </w:num>
  <w:num w:numId="9">
    <w:abstractNumId w:val="23"/>
  </w:num>
  <w:num w:numId="10">
    <w:abstractNumId w:val="40"/>
  </w:num>
  <w:num w:numId="11">
    <w:abstractNumId w:val="53"/>
  </w:num>
  <w:num w:numId="12">
    <w:abstractNumId w:val="41"/>
  </w:num>
  <w:num w:numId="13">
    <w:abstractNumId w:val="7"/>
  </w:num>
  <w:num w:numId="14">
    <w:abstractNumId w:val="25"/>
  </w:num>
  <w:num w:numId="15">
    <w:abstractNumId w:val="28"/>
  </w:num>
  <w:num w:numId="16">
    <w:abstractNumId w:val="51"/>
  </w:num>
  <w:num w:numId="17">
    <w:abstractNumId w:val="34"/>
  </w:num>
  <w:num w:numId="18">
    <w:abstractNumId w:val="52"/>
  </w:num>
  <w:num w:numId="19">
    <w:abstractNumId w:val="45"/>
  </w:num>
  <w:num w:numId="20">
    <w:abstractNumId w:val="0"/>
  </w:num>
  <w:num w:numId="21">
    <w:abstractNumId w:val="9"/>
  </w:num>
  <w:num w:numId="22">
    <w:abstractNumId w:val="50"/>
  </w:num>
  <w:num w:numId="23">
    <w:abstractNumId w:val="54"/>
  </w:num>
  <w:num w:numId="24">
    <w:abstractNumId w:val="58"/>
  </w:num>
  <w:num w:numId="25">
    <w:abstractNumId w:val="30"/>
  </w:num>
  <w:num w:numId="26">
    <w:abstractNumId w:val="48"/>
  </w:num>
  <w:num w:numId="27">
    <w:abstractNumId w:val="43"/>
  </w:num>
  <w:num w:numId="28">
    <w:abstractNumId w:val="47"/>
  </w:num>
  <w:num w:numId="29">
    <w:abstractNumId w:val="47"/>
    <w:lvlOverride w:ilvl="0">
      <w:startOverride w:val="1"/>
    </w:lvlOverride>
  </w:num>
  <w:num w:numId="30">
    <w:abstractNumId w:val="20"/>
  </w:num>
  <w:num w:numId="31">
    <w:abstractNumId w:val="55"/>
  </w:num>
  <w:num w:numId="32">
    <w:abstractNumId w:val="33"/>
  </w:num>
  <w:num w:numId="33">
    <w:abstractNumId w:val="12"/>
  </w:num>
  <w:num w:numId="34">
    <w:abstractNumId w:val="24"/>
  </w:num>
  <w:num w:numId="35">
    <w:abstractNumId w:val="44"/>
  </w:num>
  <w:num w:numId="36">
    <w:abstractNumId w:val="19"/>
  </w:num>
  <w:num w:numId="37">
    <w:abstractNumId w:val="10"/>
  </w:num>
  <w:num w:numId="38">
    <w:abstractNumId w:val="15"/>
  </w:num>
  <w:num w:numId="39">
    <w:abstractNumId w:val="6"/>
  </w:num>
  <w:num w:numId="40">
    <w:abstractNumId w:val="5"/>
  </w:num>
  <w:num w:numId="41">
    <w:abstractNumId w:val="38"/>
  </w:num>
  <w:num w:numId="42">
    <w:abstractNumId w:val="46"/>
  </w:num>
  <w:num w:numId="43">
    <w:abstractNumId w:val="13"/>
  </w:num>
  <w:num w:numId="44">
    <w:abstractNumId w:val="37"/>
  </w:num>
  <w:num w:numId="45">
    <w:abstractNumId w:val="39"/>
  </w:num>
  <w:num w:numId="46">
    <w:abstractNumId w:val="27"/>
  </w:num>
  <w:num w:numId="47">
    <w:abstractNumId w:val="26"/>
  </w:num>
  <w:num w:numId="48">
    <w:abstractNumId w:val="56"/>
  </w:num>
  <w:num w:numId="49">
    <w:abstractNumId w:val="11"/>
  </w:num>
  <w:num w:numId="50">
    <w:abstractNumId w:val="1"/>
  </w:num>
  <w:num w:numId="51">
    <w:abstractNumId w:val="60"/>
  </w:num>
  <w:num w:numId="52">
    <w:abstractNumId w:val="3"/>
  </w:num>
  <w:num w:numId="53">
    <w:abstractNumId w:val="21"/>
  </w:num>
  <w:num w:numId="54">
    <w:abstractNumId w:val="36"/>
  </w:num>
  <w:num w:numId="55">
    <w:abstractNumId w:val="59"/>
  </w:num>
  <w:num w:numId="56">
    <w:abstractNumId w:val="31"/>
  </w:num>
  <w:num w:numId="57">
    <w:abstractNumId w:val="35"/>
  </w:num>
  <w:num w:numId="58">
    <w:abstractNumId w:val="17"/>
  </w:num>
  <w:num w:numId="59">
    <w:abstractNumId w:val="22"/>
  </w:num>
  <w:num w:numId="60">
    <w:abstractNumId w:val="8"/>
  </w:num>
  <w:num w:numId="61">
    <w:abstractNumId w:val="4"/>
  </w:num>
  <w:num w:numId="62">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67"/>
    <w:rsid w:val="00003497"/>
    <w:rsid w:val="0001518F"/>
    <w:rsid w:val="00015C1C"/>
    <w:rsid w:val="00023A2D"/>
    <w:rsid w:val="00027F29"/>
    <w:rsid w:val="00031723"/>
    <w:rsid w:val="00031FFE"/>
    <w:rsid w:val="00037C60"/>
    <w:rsid w:val="00040482"/>
    <w:rsid w:val="000448B9"/>
    <w:rsid w:val="0004714A"/>
    <w:rsid w:val="000508A5"/>
    <w:rsid w:val="00050D9D"/>
    <w:rsid w:val="00052A25"/>
    <w:rsid w:val="00056658"/>
    <w:rsid w:val="00063ADF"/>
    <w:rsid w:val="00067110"/>
    <w:rsid w:val="000676A0"/>
    <w:rsid w:val="0007179B"/>
    <w:rsid w:val="00072048"/>
    <w:rsid w:val="00075341"/>
    <w:rsid w:val="00076477"/>
    <w:rsid w:val="0008269A"/>
    <w:rsid w:val="00082C54"/>
    <w:rsid w:val="00086643"/>
    <w:rsid w:val="00086CE4"/>
    <w:rsid w:val="00096BE2"/>
    <w:rsid w:val="000A0299"/>
    <w:rsid w:val="000A05A8"/>
    <w:rsid w:val="000A0CCE"/>
    <w:rsid w:val="000A4434"/>
    <w:rsid w:val="000A4F7B"/>
    <w:rsid w:val="000A59D3"/>
    <w:rsid w:val="000A6D84"/>
    <w:rsid w:val="000A74CB"/>
    <w:rsid w:val="000A7B57"/>
    <w:rsid w:val="000B1D3A"/>
    <w:rsid w:val="000B5A82"/>
    <w:rsid w:val="000B5F89"/>
    <w:rsid w:val="000C1726"/>
    <w:rsid w:val="000C1C2A"/>
    <w:rsid w:val="000C39E8"/>
    <w:rsid w:val="000D04CB"/>
    <w:rsid w:val="000D085E"/>
    <w:rsid w:val="000D2C27"/>
    <w:rsid w:val="000D3C0B"/>
    <w:rsid w:val="000D6FD2"/>
    <w:rsid w:val="000E1D83"/>
    <w:rsid w:val="000E2B2E"/>
    <w:rsid w:val="000E3440"/>
    <w:rsid w:val="000E3DEC"/>
    <w:rsid w:val="000F1002"/>
    <w:rsid w:val="000F3405"/>
    <w:rsid w:val="000F4CFD"/>
    <w:rsid w:val="000F4EEA"/>
    <w:rsid w:val="00101CCB"/>
    <w:rsid w:val="00101D22"/>
    <w:rsid w:val="00102C42"/>
    <w:rsid w:val="001035E3"/>
    <w:rsid w:val="00104BF1"/>
    <w:rsid w:val="00104DCF"/>
    <w:rsid w:val="001054B4"/>
    <w:rsid w:val="001127C2"/>
    <w:rsid w:val="001166A9"/>
    <w:rsid w:val="00116857"/>
    <w:rsid w:val="00117EC6"/>
    <w:rsid w:val="00120281"/>
    <w:rsid w:val="0012113D"/>
    <w:rsid w:val="00121F69"/>
    <w:rsid w:val="00122EFD"/>
    <w:rsid w:val="00124B3E"/>
    <w:rsid w:val="00124CB0"/>
    <w:rsid w:val="00125F79"/>
    <w:rsid w:val="00126667"/>
    <w:rsid w:val="00136C99"/>
    <w:rsid w:val="00143213"/>
    <w:rsid w:val="00144357"/>
    <w:rsid w:val="001479CD"/>
    <w:rsid w:val="00153164"/>
    <w:rsid w:val="0015346E"/>
    <w:rsid w:val="00155F59"/>
    <w:rsid w:val="001649B3"/>
    <w:rsid w:val="001667E1"/>
    <w:rsid w:val="00166D94"/>
    <w:rsid w:val="00167C81"/>
    <w:rsid w:val="00176DB8"/>
    <w:rsid w:val="0018352A"/>
    <w:rsid w:val="001839ED"/>
    <w:rsid w:val="001852B2"/>
    <w:rsid w:val="0018774C"/>
    <w:rsid w:val="00193A98"/>
    <w:rsid w:val="00195872"/>
    <w:rsid w:val="00197959"/>
    <w:rsid w:val="00197E77"/>
    <w:rsid w:val="001A3504"/>
    <w:rsid w:val="001A6456"/>
    <w:rsid w:val="001A69DC"/>
    <w:rsid w:val="001A6B87"/>
    <w:rsid w:val="001B1DA4"/>
    <w:rsid w:val="001B2501"/>
    <w:rsid w:val="001B414F"/>
    <w:rsid w:val="001B547E"/>
    <w:rsid w:val="001C2047"/>
    <w:rsid w:val="001C46F5"/>
    <w:rsid w:val="001C7DAC"/>
    <w:rsid w:val="001D25B3"/>
    <w:rsid w:val="001E08E8"/>
    <w:rsid w:val="001E1559"/>
    <w:rsid w:val="001F0CB4"/>
    <w:rsid w:val="001F62E3"/>
    <w:rsid w:val="0020263A"/>
    <w:rsid w:val="00203D73"/>
    <w:rsid w:val="00206B80"/>
    <w:rsid w:val="00210826"/>
    <w:rsid w:val="00210D23"/>
    <w:rsid w:val="00214632"/>
    <w:rsid w:val="00217CC9"/>
    <w:rsid w:val="002207EC"/>
    <w:rsid w:val="0022569C"/>
    <w:rsid w:val="0022797D"/>
    <w:rsid w:val="0023382E"/>
    <w:rsid w:val="00234116"/>
    <w:rsid w:val="002404C8"/>
    <w:rsid w:val="00241AD2"/>
    <w:rsid w:val="002431E4"/>
    <w:rsid w:val="0024650D"/>
    <w:rsid w:val="002474D8"/>
    <w:rsid w:val="00247BF6"/>
    <w:rsid w:val="00255965"/>
    <w:rsid w:val="002616A7"/>
    <w:rsid w:val="0026471F"/>
    <w:rsid w:val="0027344D"/>
    <w:rsid w:val="002740C2"/>
    <w:rsid w:val="00274604"/>
    <w:rsid w:val="00274CDF"/>
    <w:rsid w:val="00274F14"/>
    <w:rsid w:val="00276821"/>
    <w:rsid w:val="00281B66"/>
    <w:rsid w:val="00282A23"/>
    <w:rsid w:val="00282DAF"/>
    <w:rsid w:val="00283E37"/>
    <w:rsid w:val="00286192"/>
    <w:rsid w:val="002861DC"/>
    <w:rsid w:val="002947F3"/>
    <w:rsid w:val="002A075B"/>
    <w:rsid w:val="002A331F"/>
    <w:rsid w:val="002A5595"/>
    <w:rsid w:val="002A7330"/>
    <w:rsid w:val="002B2A47"/>
    <w:rsid w:val="002B2F53"/>
    <w:rsid w:val="002B6648"/>
    <w:rsid w:val="002C3B0C"/>
    <w:rsid w:val="002D5243"/>
    <w:rsid w:val="002D6618"/>
    <w:rsid w:val="002D762D"/>
    <w:rsid w:val="002F2034"/>
    <w:rsid w:val="002F7454"/>
    <w:rsid w:val="00300B5F"/>
    <w:rsid w:val="00303809"/>
    <w:rsid w:val="003050D1"/>
    <w:rsid w:val="003122A5"/>
    <w:rsid w:val="00316B3F"/>
    <w:rsid w:val="00322AB0"/>
    <w:rsid w:val="003231CB"/>
    <w:rsid w:val="00334CD4"/>
    <w:rsid w:val="00335126"/>
    <w:rsid w:val="0033569F"/>
    <w:rsid w:val="0033680B"/>
    <w:rsid w:val="0033698C"/>
    <w:rsid w:val="00346D96"/>
    <w:rsid w:val="00351BFA"/>
    <w:rsid w:val="003619C2"/>
    <w:rsid w:val="003621BE"/>
    <w:rsid w:val="00371CB0"/>
    <w:rsid w:val="00374293"/>
    <w:rsid w:val="003769CD"/>
    <w:rsid w:val="00377DAA"/>
    <w:rsid w:val="00381980"/>
    <w:rsid w:val="003858F8"/>
    <w:rsid w:val="00386B8A"/>
    <w:rsid w:val="00390C47"/>
    <w:rsid w:val="003A27DB"/>
    <w:rsid w:val="003A3C60"/>
    <w:rsid w:val="003A75EF"/>
    <w:rsid w:val="003B2396"/>
    <w:rsid w:val="003B40AA"/>
    <w:rsid w:val="003B5137"/>
    <w:rsid w:val="003B7419"/>
    <w:rsid w:val="003C2EDE"/>
    <w:rsid w:val="003C33BF"/>
    <w:rsid w:val="003C73FC"/>
    <w:rsid w:val="003C7560"/>
    <w:rsid w:val="003C771A"/>
    <w:rsid w:val="003D5A37"/>
    <w:rsid w:val="003D7CA7"/>
    <w:rsid w:val="003D7E86"/>
    <w:rsid w:val="003E2FE1"/>
    <w:rsid w:val="003E46B7"/>
    <w:rsid w:val="003F0FA9"/>
    <w:rsid w:val="003F476D"/>
    <w:rsid w:val="004017E3"/>
    <w:rsid w:val="00405F5A"/>
    <w:rsid w:val="004120CC"/>
    <w:rsid w:val="004129C7"/>
    <w:rsid w:val="004145D2"/>
    <w:rsid w:val="0041506E"/>
    <w:rsid w:val="0041659D"/>
    <w:rsid w:val="0041702E"/>
    <w:rsid w:val="00421872"/>
    <w:rsid w:val="00423F87"/>
    <w:rsid w:val="00424D65"/>
    <w:rsid w:val="00426A2D"/>
    <w:rsid w:val="00430E69"/>
    <w:rsid w:val="00430FCE"/>
    <w:rsid w:val="00431372"/>
    <w:rsid w:val="0043305B"/>
    <w:rsid w:val="004332D1"/>
    <w:rsid w:val="004363A7"/>
    <w:rsid w:val="00437686"/>
    <w:rsid w:val="00443456"/>
    <w:rsid w:val="00446AD8"/>
    <w:rsid w:val="00446B07"/>
    <w:rsid w:val="00452821"/>
    <w:rsid w:val="0045334D"/>
    <w:rsid w:val="00455F34"/>
    <w:rsid w:val="00461657"/>
    <w:rsid w:val="004625E8"/>
    <w:rsid w:val="00463253"/>
    <w:rsid w:val="004646C6"/>
    <w:rsid w:val="00464FF5"/>
    <w:rsid w:val="004665C9"/>
    <w:rsid w:val="00467638"/>
    <w:rsid w:val="00467C92"/>
    <w:rsid w:val="0047000F"/>
    <w:rsid w:val="00471F27"/>
    <w:rsid w:val="00472C8E"/>
    <w:rsid w:val="00473FE6"/>
    <w:rsid w:val="00487862"/>
    <w:rsid w:val="00487909"/>
    <w:rsid w:val="00487B64"/>
    <w:rsid w:val="00487E06"/>
    <w:rsid w:val="004A0D27"/>
    <w:rsid w:val="004A19FE"/>
    <w:rsid w:val="004A34AD"/>
    <w:rsid w:val="004A43AD"/>
    <w:rsid w:val="004A5094"/>
    <w:rsid w:val="004A5A4A"/>
    <w:rsid w:val="004A5B7C"/>
    <w:rsid w:val="004A5DB2"/>
    <w:rsid w:val="004A649F"/>
    <w:rsid w:val="004B194C"/>
    <w:rsid w:val="004B4979"/>
    <w:rsid w:val="004C5807"/>
    <w:rsid w:val="004C58D8"/>
    <w:rsid w:val="004D214D"/>
    <w:rsid w:val="004D24BD"/>
    <w:rsid w:val="004D41E5"/>
    <w:rsid w:val="004D70E7"/>
    <w:rsid w:val="004D7462"/>
    <w:rsid w:val="004D79E1"/>
    <w:rsid w:val="004E1146"/>
    <w:rsid w:val="004E21B3"/>
    <w:rsid w:val="004F291D"/>
    <w:rsid w:val="004F48EC"/>
    <w:rsid w:val="0050599C"/>
    <w:rsid w:val="00507C48"/>
    <w:rsid w:val="00510B93"/>
    <w:rsid w:val="00516BC0"/>
    <w:rsid w:val="00520426"/>
    <w:rsid w:val="00520E21"/>
    <w:rsid w:val="00521356"/>
    <w:rsid w:val="00522A86"/>
    <w:rsid w:val="005276F6"/>
    <w:rsid w:val="00534E70"/>
    <w:rsid w:val="005448BF"/>
    <w:rsid w:val="005453B6"/>
    <w:rsid w:val="005512D8"/>
    <w:rsid w:val="005537AC"/>
    <w:rsid w:val="00554681"/>
    <w:rsid w:val="00555990"/>
    <w:rsid w:val="00555994"/>
    <w:rsid w:val="005560D2"/>
    <w:rsid w:val="005576CC"/>
    <w:rsid w:val="00557E85"/>
    <w:rsid w:val="005605CE"/>
    <w:rsid w:val="00562149"/>
    <w:rsid w:val="00562523"/>
    <w:rsid w:val="0057178C"/>
    <w:rsid w:val="00571797"/>
    <w:rsid w:val="005820EA"/>
    <w:rsid w:val="0059020B"/>
    <w:rsid w:val="00591D77"/>
    <w:rsid w:val="005925E7"/>
    <w:rsid w:val="00593CA5"/>
    <w:rsid w:val="00595444"/>
    <w:rsid w:val="00596A31"/>
    <w:rsid w:val="005A2049"/>
    <w:rsid w:val="005A4008"/>
    <w:rsid w:val="005A439E"/>
    <w:rsid w:val="005B22B4"/>
    <w:rsid w:val="005B33E1"/>
    <w:rsid w:val="005B33F1"/>
    <w:rsid w:val="005C3F60"/>
    <w:rsid w:val="005C70D4"/>
    <w:rsid w:val="005C7FCF"/>
    <w:rsid w:val="005D275D"/>
    <w:rsid w:val="005D4962"/>
    <w:rsid w:val="005E1C18"/>
    <w:rsid w:val="005F0A7E"/>
    <w:rsid w:val="005F79DB"/>
    <w:rsid w:val="00600157"/>
    <w:rsid w:val="00601086"/>
    <w:rsid w:val="00601BFD"/>
    <w:rsid w:val="00602554"/>
    <w:rsid w:val="00602624"/>
    <w:rsid w:val="0060303A"/>
    <w:rsid w:val="00603639"/>
    <w:rsid w:val="00603DA7"/>
    <w:rsid w:val="00603FD0"/>
    <w:rsid w:val="00604DA1"/>
    <w:rsid w:val="006142F6"/>
    <w:rsid w:val="00623352"/>
    <w:rsid w:val="00623CC3"/>
    <w:rsid w:val="00624B67"/>
    <w:rsid w:val="006257B9"/>
    <w:rsid w:val="00627EA2"/>
    <w:rsid w:val="00630CCF"/>
    <w:rsid w:val="00630D5E"/>
    <w:rsid w:val="00633A1E"/>
    <w:rsid w:val="006348C7"/>
    <w:rsid w:val="00635986"/>
    <w:rsid w:val="00636003"/>
    <w:rsid w:val="0063740F"/>
    <w:rsid w:val="00637880"/>
    <w:rsid w:val="006403B4"/>
    <w:rsid w:val="00645B36"/>
    <w:rsid w:val="00645B78"/>
    <w:rsid w:val="00645CE1"/>
    <w:rsid w:val="00653EBD"/>
    <w:rsid w:val="00655BE2"/>
    <w:rsid w:val="006574D1"/>
    <w:rsid w:val="00662248"/>
    <w:rsid w:val="006645D6"/>
    <w:rsid w:val="0066581E"/>
    <w:rsid w:val="00674B96"/>
    <w:rsid w:val="006817FE"/>
    <w:rsid w:val="00681C5A"/>
    <w:rsid w:val="00682721"/>
    <w:rsid w:val="006849BA"/>
    <w:rsid w:val="00684BBF"/>
    <w:rsid w:val="00690A8D"/>
    <w:rsid w:val="00691404"/>
    <w:rsid w:val="00697775"/>
    <w:rsid w:val="006A0CB7"/>
    <w:rsid w:val="006A0D25"/>
    <w:rsid w:val="006A2D01"/>
    <w:rsid w:val="006A3E27"/>
    <w:rsid w:val="006A59B7"/>
    <w:rsid w:val="006A76FA"/>
    <w:rsid w:val="006B3EC7"/>
    <w:rsid w:val="006B635E"/>
    <w:rsid w:val="006B7560"/>
    <w:rsid w:val="006C1E0E"/>
    <w:rsid w:val="006C3F60"/>
    <w:rsid w:val="006C3F7F"/>
    <w:rsid w:val="006C7ACC"/>
    <w:rsid w:val="006D1A00"/>
    <w:rsid w:val="006D1BDF"/>
    <w:rsid w:val="006D3740"/>
    <w:rsid w:val="006D61C0"/>
    <w:rsid w:val="006E16A2"/>
    <w:rsid w:val="006E2E8F"/>
    <w:rsid w:val="006E3071"/>
    <w:rsid w:val="006E353A"/>
    <w:rsid w:val="006E39E5"/>
    <w:rsid w:val="006E3BE9"/>
    <w:rsid w:val="006E44E7"/>
    <w:rsid w:val="006F4D41"/>
    <w:rsid w:val="006F51B3"/>
    <w:rsid w:val="006F6738"/>
    <w:rsid w:val="00706A2E"/>
    <w:rsid w:val="007071BB"/>
    <w:rsid w:val="00713F2A"/>
    <w:rsid w:val="00715EBC"/>
    <w:rsid w:val="00720A77"/>
    <w:rsid w:val="00730BDC"/>
    <w:rsid w:val="00730DBF"/>
    <w:rsid w:val="00732BC0"/>
    <w:rsid w:val="00736ED9"/>
    <w:rsid w:val="00740A9F"/>
    <w:rsid w:val="007422D7"/>
    <w:rsid w:val="00750C08"/>
    <w:rsid w:val="007510DE"/>
    <w:rsid w:val="0075193F"/>
    <w:rsid w:val="00752BF8"/>
    <w:rsid w:val="00753E9C"/>
    <w:rsid w:val="007575F0"/>
    <w:rsid w:val="00757D50"/>
    <w:rsid w:val="00762969"/>
    <w:rsid w:val="00765806"/>
    <w:rsid w:val="007666FB"/>
    <w:rsid w:val="00767F30"/>
    <w:rsid w:val="00771B15"/>
    <w:rsid w:val="00774A0C"/>
    <w:rsid w:val="00776832"/>
    <w:rsid w:val="00776B2A"/>
    <w:rsid w:val="007823A1"/>
    <w:rsid w:val="00783A6D"/>
    <w:rsid w:val="007855D5"/>
    <w:rsid w:val="00785703"/>
    <w:rsid w:val="00785AAF"/>
    <w:rsid w:val="00786E3C"/>
    <w:rsid w:val="00791632"/>
    <w:rsid w:val="00793D1A"/>
    <w:rsid w:val="007969D8"/>
    <w:rsid w:val="007A05E8"/>
    <w:rsid w:val="007A35A8"/>
    <w:rsid w:val="007A3E00"/>
    <w:rsid w:val="007B2079"/>
    <w:rsid w:val="007B29DC"/>
    <w:rsid w:val="007B5F0E"/>
    <w:rsid w:val="007B71CD"/>
    <w:rsid w:val="007B7707"/>
    <w:rsid w:val="007B7A75"/>
    <w:rsid w:val="007C3C4F"/>
    <w:rsid w:val="007C57F5"/>
    <w:rsid w:val="007C6B68"/>
    <w:rsid w:val="007D1824"/>
    <w:rsid w:val="007E2813"/>
    <w:rsid w:val="007E73C7"/>
    <w:rsid w:val="007F1485"/>
    <w:rsid w:val="007F174D"/>
    <w:rsid w:val="0080495C"/>
    <w:rsid w:val="00805A4A"/>
    <w:rsid w:val="0080773B"/>
    <w:rsid w:val="00814527"/>
    <w:rsid w:val="008226B7"/>
    <w:rsid w:val="008226F8"/>
    <w:rsid w:val="0082407B"/>
    <w:rsid w:val="0082694C"/>
    <w:rsid w:val="00833E9D"/>
    <w:rsid w:val="00841282"/>
    <w:rsid w:val="008431EB"/>
    <w:rsid w:val="00855F1D"/>
    <w:rsid w:val="0085795E"/>
    <w:rsid w:val="00861259"/>
    <w:rsid w:val="00861C90"/>
    <w:rsid w:val="008624E7"/>
    <w:rsid w:val="0086492A"/>
    <w:rsid w:val="00867BA2"/>
    <w:rsid w:val="008735E8"/>
    <w:rsid w:val="00874BDC"/>
    <w:rsid w:val="00886DF9"/>
    <w:rsid w:val="00891EDA"/>
    <w:rsid w:val="00894EB9"/>
    <w:rsid w:val="00896D72"/>
    <w:rsid w:val="008A1A96"/>
    <w:rsid w:val="008A1FF2"/>
    <w:rsid w:val="008A4FD2"/>
    <w:rsid w:val="008B0B47"/>
    <w:rsid w:val="008B3DCF"/>
    <w:rsid w:val="008B40CC"/>
    <w:rsid w:val="008B59D6"/>
    <w:rsid w:val="008C5FE3"/>
    <w:rsid w:val="008D1531"/>
    <w:rsid w:val="008D79F2"/>
    <w:rsid w:val="008E1014"/>
    <w:rsid w:val="008E64A2"/>
    <w:rsid w:val="008F0BF1"/>
    <w:rsid w:val="008F202A"/>
    <w:rsid w:val="008F3530"/>
    <w:rsid w:val="008F6E16"/>
    <w:rsid w:val="008F705E"/>
    <w:rsid w:val="008F7A24"/>
    <w:rsid w:val="0090539E"/>
    <w:rsid w:val="00911A4F"/>
    <w:rsid w:val="00911B5A"/>
    <w:rsid w:val="009122D3"/>
    <w:rsid w:val="0091527C"/>
    <w:rsid w:val="00915EC9"/>
    <w:rsid w:val="00920532"/>
    <w:rsid w:val="00921677"/>
    <w:rsid w:val="0092425E"/>
    <w:rsid w:val="009278BF"/>
    <w:rsid w:val="00927DD8"/>
    <w:rsid w:val="009301E1"/>
    <w:rsid w:val="0093120A"/>
    <w:rsid w:val="0093142A"/>
    <w:rsid w:val="00932FCD"/>
    <w:rsid w:val="00934CE8"/>
    <w:rsid w:val="009409B4"/>
    <w:rsid w:val="00944F23"/>
    <w:rsid w:val="009475CC"/>
    <w:rsid w:val="0095013B"/>
    <w:rsid w:val="009503E0"/>
    <w:rsid w:val="00952448"/>
    <w:rsid w:val="00957AD4"/>
    <w:rsid w:val="00957E7D"/>
    <w:rsid w:val="00957EB7"/>
    <w:rsid w:val="00963538"/>
    <w:rsid w:val="00967AF8"/>
    <w:rsid w:val="00967E14"/>
    <w:rsid w:val="00972736"/>
    <w:rsid w:val="00972897"/>
    <w:rsid w:val="00974663"/>
    <w:rsid w:val="009773DA"/>
    <w:rsid w:val="00977F53"/>
    <w:rsid w:val="00980B69"/>
    <w:rsid w:val="00981F27"/>
    <w:rsid w:val="009908EA"/>
    <w:rsid w:val="009912DA"/>
    <w:rsid w:val="0099172D"/>
    <w:rsid w:val="0099431E"/>
    <w:rsid w:val="00996959"/>
    <w:rsid w:val="009A0DA1"/>
    <w:rsid w:val="009A3F28"/>
    <w:rsid w:val="009B18B8"/>
    <w:rsid w:val="009B23E4"/>
    <w:rsid w:val="009B283A"/>
    <w:rsid w:val="009B31AE"/>
    <w:rsid w:val="009B515C"/>
    <w:rsid w:val="009B5592"/>
    <w:rsid w:val="009B5634"/>
    <w:rsid w:val="009B7C56"/>
    <w:rsid w:val="009B7C5F"/>
    <w:rsid w:val="009C0D97"/>
    <w:rsid w:val="009C213C"/>
    <w:rsid w:val="009C4088"/>
    <w:rsid w:val="009C5D5E"/>
    <w:rsid w:val="009D102B"/>
    <w:rsid w:val="009D2671"/>
    <w:rsid w:val="009D559A"/>
    <w:rsid w:val="009D6DB4"/>
    <w:rsid w:val="009E2F46"/>
    <w:rsid w:val="009F49BA"/>
    <w:rsid w:val="009F4D06"/>
    <w:rsid w:val="009F7873"/>
    <w:rsid w:val="009F7D2C"/>
    <w:rsid w:val="00A014A1"/>
    <w:rsid w:val="00A02381"/>
    <w:rsid w:val="00A108DA"/>
    <w:rsid w:val="00A10CB0"/>
    <w:rsid w:val="00A11F9E"/>
    <w:rsid w:val="00A13C33"/>
    <w:rsid w:val="00A17F04"/>
    <w:rsid w:val="00A24AEA"/>
    <w:rsid w:val="00A43E82"/>
    <w:rsid w:val="00A4497F"/>
    <w:rsid w:val="00A45016"/>
    <w:rsid w:val="00A46889"/>
    <w:rsid w:val="00A61D3D"/>
    <w:rsid w:val="00A6316C"/>
    <w:rsid w:val="00A655F0"/>
    <w:rsid w:val="00A674F1"/>
    <w:rsid w:val="00A734BC"/>
    <w:rsid w:val="00A77997"/>
    <w:rsid w:val="00A85315"/>
    <w:rsid w:val="00A860DF"/>
    <w:rsid w:val="00A900AF"/>
    <w:rsid w:val="00A94EAD"/>
    <w:rsid w:val="00A96C84"/>
    <w:rsid w:val="00AA48F4"/>
    <w:rsid w:val="00AA5EEF"/>
    <w:rsid w:val="00AA7A4C"/>
    <w:rsid w:val="00AA7B4F"/>
    <w:rsid w:val="00AB6638"/>
    <w:rsid w:val="00AC7156"/>
    <w:rsid w:val="00AC7A50"/>
    <w:rsid w:val="00AD09A6"/>
    <w:rsid w:val="00AD2B1F"/>
    <w:rsid w:val="00AD558F"/>
    <w:rsid w:val="00AD58BF"/>
    <w:rsid w:val="00AD798A"/>
    <w:rsid w:val="00AE0AB4"/>
    <w:rsid w:val="00AE3119"/>
    <w:rsid w:val="00AF189D"/>
    <w:rsid w:val="00AF1C44"/>
    <w:rsid w:val="00AF2562"/>
    <w:rsid w:val="00AF48CC"/>
    <w:rsid w:val="00AF6AC8"/>
    <w:rsid w:val="00AF7BD8"/>
    <w:rsid w:val="00B01AD7"/>
    <w:rsid w:val="00B033FB"/>
    <w:rsid w:val="00B03832"/>
    <w:rsid w:val="00B043CE"/>
    <w:rsid w:val="00B17863"/>
    <w:rsid w:val="00B23A36"/>
    <w:rsid w:val="00B23D35"/>
    <w:rsid w:val="00B24111"/>
    <w:rsid w:val="00B246D8"/>
    <w:rsid w:val="00B31C84"/>
    <w:rsid w:val="00B35A70"/>
    <w:rsid w:val="00B360AF"/>
    <w:rsid w:val="00B36201"/>
    <w:rsid w:val="00B37CAB"/>
    <w:rsid w:val="00B40EA6"/>
    <w:rsid w:val="00B52A45"/>
    <w:rsid w:val="00B625AB"/>
    <w:rsid w:val="00B6745F"/>
    <w:rsid w:val="00B7691C"/>
    <w:rsid w:val="00B853C6"/>
    <w:rsid w:val="00B86A9F"/>
    <w:rsid w:val="00B93E88"/>
    <w:rsid w:val="00B9450F"/>
    <w:rsid w:val="00B94CC2"/>
    <w:rsid w:val="00B95F2D"/>
    <w:rsid w:val="00BA0674"/>
    <w:rsid w:val="00BA0E0D"/>
    <w:rsid w:val="00BA1C2E"/>
    <w:rsid w:val="00BA38C7"/>
    <w:rsid w:val="00BA5462"/>
    <w:rsid w:val="00BA7B82"/>
    <w:rsid w:val="00BB2F76"/>
    <w:rsid w:val="00BC2990"/>
    <w:rsid w:val="00BC2A3F"/>
    <w:rsid w:val="00BC41ED"/>
    <w:rsid w:val="00BC465E"/>
    <w:rsid w:val="00BC5849"/>
    <w:rsid w:val="00BD40E3"/>
    <w:rsid w:val="00BD45A3"/>
    <w:rsid w:val="00BD5B8A"/>
    <w:rsid w:val="00BD71EE"/>
    <w:rsid w:val="00BE00F7"/>
    <w:rsid w:val="00BE6234"/>
    <w:rsid w:val="00BF0ED8"/>
    <w:rsid w:val="00BF45D7"/>
    <w:rsid w:val="00C00CEE"/>
    <w:rsid w:val="00C00D6D"/>
    <w:rsid w:val="00C04034"/>
    <w:rsid w:val="00C105AB"/>
    <w:rsid w:val="00C113B8"/>
    <w:rsid w:val="00C116E4"/>
    <w:rsid w:val="00C11EDB"/>
    <w:rsid w:val="00C22BF4"/>
    <w:rsid w:val="00C32617"/>
    <w:rsid w:val="00C32E89"/>
    <w:rsid w:val="00C35732"/>
    <w:rsid w:val="00C4044D"/>
    <w:rsid w:val="00C42649"/>
    <w:rsid w:val="00C5300A"/>
    <w:rsid w:val="00C5350C"/>
    <w:rsid w:val="00C564A6"/>
    <w:rsid w:val="00C56EA9"/>
    <w:rsid w:val="00C62627"/>
    <w:rsid w:val="00C63851"/>
    <w:rsid w:val="00C64F12"/>
    <w:rsid w:val="00C66938"/>
    <w:rsid w:val="00C67062"/>
    <w:rsid w:val="00C670A7"/>
    <w:rsid w:val="00C67720"/>
    <w:rsid w:val="00C753E2"/>
    <w:rsid w:val="00C83086"/>
    <w:rsid w:val="00C86B53"/>
    <w:rsid w:val="00C90EC8"/>
    <w:rsid w:val="00C93763"/>
    <w:rsid w:val="00CA6337"/>
    <w:rsid w:val="00CA639D"/>
    <w:rsid w:val="00CB252A"/>
    <w:rsid w:val="00CB4B7B"/>
    <w:rsid w:val="00CC70A7"/>
    <w:rsid w:val="00CD0666"/>
    <w:rsid w:val="00CD11BB"/>
    <w:rsid w:val="00CD2FBA"/>
    <w:rsid w:val="00CD6F88"/>
    <w:rsid w:val="00CD79C6"/>
    <w:rsid w:val="00CE396F"/>
    <w:rsid w:val="00CF3DDC"/>
    <w:rsid w:val="00CF5899"/>
    <w:rsid w:val="00CF7855"/>
    <w:rsid w:val="00D00763"/>
    <w:rsid w:val="00D00ABD"/>
    <w:rsid w:val="00D01DB9"/>
    <w:rsid w:val="00D02555"/>
    <w:rsid w:val="00D02601"/>
    <w:rsid w:val="00D13415"/>
    <w:rsid w:val="00D13857"/>
    <w:rsid w:val="00D21F98"/>
    <w:rsid w:val="00D3588D"/>
    <w:rsid w:val="00D360AB"/>
    <w:rsid w:val="00D37495"/>
    <w:rsid w:val="00D44F74"/>
    <w:rsid w:val="00D47B92"/>
    <w:rsid w:val="00D52BBB"/>
    <w:rsid w:val="00D52DC6"/>
    <w:rsid w:val="00D54632"/>
    <w:rsid w:val="00D5701A"/>
    <w:rsid w:val="00D6045B"/>
    <w:rsid w:val="00D708BC"/>
    <w:rsid w:val="00D714F4"/>
    <w:rsid w:val="00D730C2"/>
    <w:rsid w:val="00D74A2E"/>
    <w:rsid w:val="00D81181"/>
    <w:rsid w:val="00D85CC9"/>
    <w:rsid w:val="00D85E73"/>
    <w:rsid w:val="00D878D9"/>
    <w:rsid w:val="00DA23F7"/>
    <w:rsid w:val="00DB082D"/>
    <w:rsid w:val="00DB1609"/>
    <w:rsid w:val="00DB4067"/>
    <w:rsid w:val="00DB607F"/>
    <w:rsid w:val="00DB69A8"/>
    <w:rsid w:val="00DB6BC5"/>
    <w:rsid w:val="00DB71F9"/>
    <w:rsid w:val="00DC1055"/>
    <w:rsid w:val="00DC3902"/>
    <w:rsid w:val="00DC3C96"/>
    <w:rsid w:val="00DC3F81"/>
    <w:rsid w:val="00DD02FC"/>
    <w:rsid w:val="00DD4B1A"/>
    <w:rsid w:val="00DD6F67"/>
    <w:rsid w:val="00DD7F5A"/>
    <w:rsid w:val="00DE29F6"/>
    <w:rsid w:val="00DE5AEF"/>
    <w:rsid w:val="00DE7065"/>
    <w:rsid w:val="00DE7423"/>
    <w:rsid w:val="00DF1BD9"/>
    <w:rsid w:val="00DF2383"/>
    <w:rsid w:val="00DF35DA"/>
    <w:rsid w:val="00DF7537"/>
    <w:rsid w:val="00E0157D"/>
    <w:rsid w:val="00E05AF2"/>
    <w:rsid w:val="00E06A2E"/>
    <w:rsid w:val="00E105B0"/>
    <w:rsid w:val="00E11F2F"/>
    <w:rsid w:val="00E1313E"/>
    <w:rsid w:val="00E21479"/>
    <w:rsid w:val="00E2165D"/>
    <w:rsid w:val="00E2223C"/>
    <w:rsid w:val="00E22766"/>
    <w:rsid w:val="00E23645"/>
    <w:rsid w:val="00E2394B"/>
    <w:rsid w:val="00E2494B"/>
    <w:rsid w:val="00E25345"/>
    <w:rsid w:val="00E26FA5"/>
    <w:rsid w:val="00E30933"/>
    <w:rsid w:val="00E32C4C"/>
    <w:rsid w:val="00E35586"/>
    <w:rsid w:val="00E45C0D"/>
    <w:rsid w:val="00E53E19"/>
    <w:rsid w:val="00E558D3"/>
    <w:rsid w:val="00E60613"/>
    <w:rsid w:val="00E650D0"/>
    <w:rsid w:val="00E66371"/>
    <w:rsid w:val="00E71DEE"/>
    <w:rsid w:val="00E85651"/>
    <w:rsid w:val="00E90A95"/>
    <w:rsid w:val="00E91AEF"/>
    <w:rsid w:val="00E96CBD"/>
    <w:rsid w:val="00E97B84"/>
    <w:rsid w:val="00EA1B47"/>
    <w:rsid w:val="00EA3B2A"/>
    <w:rsid w:val="00EA42A0"/>
    <w:rsid w:val="00EA4747"/>
    <w:rsid w:val="00EC1623"/>
    <w:rsid w:val="00EC223C"/>
    <w:rsid w:val="00EC41E1"/>
    <w:rsid w:val="00EC7FD0"/>
    <w:rsid w:val="00ED1618"/>
    <w:rsid w:val="00ED1977"/>
    <w:rsid w:val="00ED2010"/>
    <w:rsid w:val="00ED5BA8"/>
    <w:rsid w:val="00ED5BA9"/>
    <w:rsid w:val="00ED5CD4"/>
    <w:rsid w:val="00ED60A3"/>
    <w:rsid w:val="00ED6C63"/>
    <w:rsid w:val="00ED6C8C"/>
    <w:rsid w:val="00EE482D"/>
    <w:rsid w:val="00EE4A2A"/>
    <w:rsid w:val="00EE4CB6"/>
    <w:rsid w:val="00EE6B45"/>
    <w:rsid w:val="00EF02FE"/>
    <w:rsid w:val="00EF0FE5"/>
    <w:rsid w:val="00EF4620"/>
    <w:rsid w:val="00F01496"/>
    <w:rsid w:val="00F01954"/>
    <w:rsid w:val="00F01F96"/>
    <w:rsid w:val="00F07E14"/>
    <w:rsid w:val="00F1072D"/>
    <w:rsid w:val="00F10D85"/>
    <w:rsid w:val="00F111E0"/>
    <w:rsid w:val="00F127AB"/>
    <w:rsid w:val="00F14F70"/>
    <w:rsid w:val="00F1790E"/>
    <w:rsid w:val="00F23263"/>
    <w:rsid w:val="00F23B30"/>
    <w:rsid w:val="00F260E2"/>
    <w:rsid w:val="00F3035B"/>
    <w:rsid w:val="00F40014"/>
    <w:rsid w:val="00F4155C"/>
    <w:rsid w:val="00F42A49"/>
    <w:rsid w:val="00F517F8"/>
    <w:rsid w:val="00F57CDD"/>
    <w:rsid w:val="00F60BD8"/>
    <w:rsid w:val="00F622BB"/>
    <w:rsid w:val="00F827A3"/>
    <w:rsid w:val="00F8456F"/>
    <w:rsid w:val="00F93689"/>
    <w:rsid w:val="00F9634C"/>
    <w:rsid w:val="00FA38A8"/>
    <w:rsid w:val="00FA4B87"/>
    <w:rsid w:val="00FB36DA"/>
    <w:rsid w:val="00FB63B4"/>
    <w:rsid w:val="00FC1203"/>
    <w:rsid w:val="00FC25EE"/>
    <w:rsid w:val="00FC4777"/>
    <w:rsid w:val="00FC670A"/>
    <w:rsid w:val="00FC7C5D"/>
    <w:rsid w:val="00FD17BB"/>
    <w:rsid w:val="00FD2F45"/>
    <w:rsid w:val="00FD36F3"/>
    <w:rsid w:val="00FD62A8"/>
    <w:rsid w:val="00FD62D1"/>
    <w:rsid w:val="00FE0B01"/>
    <w:rsid w:val="00FE4417"/>
    <w:rsid w:val="00FF0506"/>
    <w:rsid w:val="00FF3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20A2"/>
  <w15:docId w15:val="{B78C45CA-154E-4423-B188-BFA02C9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C81"/>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7A3E00"/>
    <w:pPr>
      <w:numPr>
        <w:numId w:val="28"/>
      </w:numPr>
      <w:spacing w:before="480" w:after="240" w:line="300" w:lineRule="exact"/>
      <w:outlineLvl w:val="0"/>
    </w:pPr>
    <w:rPr>
      <w:rFonts w:eastAsia="Times New Roman" w:cs="Arial"/>
      <w:b/>
      <w:bCs/>
      <w:color w:val="2F5496" w:themeColor="accent5" w:themeShade="BF"/>
      <w:kern w:val="32"/>
      <w:szCs w:val="32"/>
      <w:lang w:val="sq-AL" w:eastAsia="de-DE"/>
    </w:rPr>
  </w:style>
  <w:style w:type="paragraph" w:styleId="Heading2">
    <w:name w:val="heading 2"/>
    <w:basedOn w:val="NumberedHeading1"/>
    <w:next w:val="NumberedHeading3"/>
    <w:link w:val="Heading2Char"/>
    <w:autoRedefine/>
    <w:uiPriority w:val="9"/>
    <w:unhideWhenUsed/>
    <w:qFormat/>
    <w:rsid w:val="00CD6F88"/>
    <w:pPr>
      <w:keepNext/>
      <w:keepLines/>
      <w:numPr>
        <w:numId w:val="0"/>
      </w:numPr>
      <w:spacing w:after="240"/>
      <w:outlineLvl w:val="1"/>
    </w:pPr>
    <w:rPr>
      <w:rFonts w:ascii="Times New Roman" w:eastAsiaTheme="majorEastAsia" w:hAnsi="Times New Roman" w:cstheme="majorBidi"/>
      <w:b/>
      <w:color w:val="2F5496" w:themeColor="accent5" w:themeShade="BF"/>
      <w:sz w:val="26"/>
      <w:szCs w:val="26"/>
      <w:lang w:val="sq-AL"/>
    </w:rPr>
  </w:style>
  <w:style w:type="paragraph" w:styleId="Heading3">
    <w:name w:val="heading 3"/>
    <w:basedOn w:val="NumberedHeading2"/>
    <w:next w:val="Normal"/>
    <w:link w:val="Heading3Char"/>
    <w:uiPriority w:val="9"/>
    <w:unhideWhenUsed/>
    <w:qFormat/>
    <w:rsid w:val="00430E69"/>
    <w:pPr>
      <w:keepNext/>
      <w:keepLines/>
      <w:spacing w:before="240" w:after="120"/>
      <w:ind w:left="431" w:hanging="431"/>
      <w:outlineLvl w:val="2"/>
    </w:pPr>
    <w:rPr>
      <w:rFonts w:eastAsiaTheme="majorEastAsia" w:cstheme="majorBidi"/>
      <w:color w:val="1F4D78" w:themeColor="accent1" w:themeShade="7F"/>
      <w:sz w:val="24"/>
    </w:rPr>
  </w:style>
  <w:style w:type="paragraph" w:styleId="Heading4">
    <w:name w:val="heading 4"/>
    <w:basedOn w:val="Normal"/>
    <w:next w:val="Normal"/>
    <w:link w:val="Heading4Char"/>
    <w:autoRedefine/>
    <w:uiPriority w:val="9"/>
    <w:unhideWhenUsed/>
    <w:qFormat/>
    <w:rsid w:val="00FB63B4"/>
    <w:pPr>
      <w:keepNext/>
      <w:keepLines/>
      <w:spacing w:before="240" w:after="120"/>
      <w:outlineLvl w:val="3"/>
    </w:pPr>
    <w:rPr>
      <w:rFonts w:eastAsiaTheme="majorEastAsia" w:cstheme="majorBidi"/>
      <w:b/>
      <w:i/>
      <w:iCs/>
      <w:color w:val="2F5496" w:themeColor="accent5" w:themeShade="BF"/>
    </w:rPr>
  </w:style>
  <w:style w:type="paragraph" w:styleId="Heading5">
    <w:name w:val="heading 5"/>
    <w:basedOn w:val="NumberedHeading3"/>
    <w:next w:val="Normal"/>
    <w:link w:val="Heading5Char"/>
    <w:autoRedefine/>
    <w:uiPriority w:val="9"/>
    <w:unhideWhenUsed/>
    <w:qFormat/>
    <w:rsid w:val="00F260E2"/>
    <w:pPr>
      <w:keepNext/>
      <w:keepLines/>
      <w:ind w:left="505" w:hanging="505"/>
      <w:outlineLvl w:val="4"/>
    </w:pPr>
    <w:rPr>
      <w:rFonts w:eastAsiaTheme="majorEastAsia" w:cstheme="majorBidi"/>
      <w:caps w:val="0"/>
      <w:color w:val="1F4E79"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5CE"/>
    <w:rPr>
      <w:rFonts w:ascii="Segoe UI" w:hAnsi="Segoe UI" w:cs="Segoe UI"/>
      <w:sz w:val="18"/>
      <w:szCs w:val="18"/>
    </w:rPr>
  </w:style>
  <w:style w:type="paragraph" w:styleId="ListParagraph">
    <w:name w:val="List Paragraph"/>
    <w:aliases w:val="PDP DOCUMENT SUBTITLE,Normal 1,List Paragraph (numbered (a)),List Paragraph 1,Akapit z listą BS,Bullets,Dot pt,F5 List Paragraph,No Spacing1,List Paragraph Char Char Char,Indicator Text,Numbered Para 1,Bullet 1,Bullet Points,MAIN CONTENT"/>
    <w:basedOn w:val="Normal"/>
    <w:link w:val="ListParagraphChar"/>
    <w:uiPriority w:val="34"/>
    <w:qFormat/>
    <w:rsid w:val="00102C42"/>
    <w:pPr>
      <w:ind w:left="720"/>
      <w:contextualSpacing/>
    </w:pPr>
  </w:style>
  <w:style w:type="character" w:styleId="CommentReference">
    <w:name w:val="annotation reference"/>
    <w:basedOn w:val="DefaultParagraphFont"/>
    <w:uiPriority w:val="99"/>
    <w:semiHidden/>
    <w:unhideWhenUsed/>
    <w:rsid w:val="00886DF9"/>
    <w:rPr>
      <w:sz w:val="16"/>
      <w:szCs w:val="16"/>
    </w:rPr>
  </w:style>
  <w:style w:type="paragraph" w:styleId="CommentText">
    <w:name w:val="annotation text"/>
    <w:basedOn w:val="Normal"/>
    <w:link w:val="CommentTextChar"/>
    <w:uiPriority w:val="99"/>
    <w:unhideWhenUsed/>
    <w:rsid w:val="00886DF9"/>
    <w:pPr>
      <w:spacing w:line="240" w:lineRule="auto"/>
    </w:pPr>
    <w:rPr>
      <w:sz w:val="20"/>
      <w:szCs w:val="20"/>
    </w:rPr>
  </w:style>
  <w:style w:type="character" w:customStyle="1" w:styleId="CommentTextChar">
    <w:name w:val="Comment Text Char"/>
    <w:basedOn w:val="DefaultParagraphFont"/>
    <w:link w:val="CommentText"/>
    <w:uiPriority w:val="99"/>
    <w:rsid w:val="00886DF9"/>
    <w:rPr>
      <w:sz w:val="20"/>
      <w:szCs w:val="20"/>
    </w:rPr>
  </w:style>
  <w:style w:type="paragraph" w:styleId="CommentSubject">
    <w:name w:val="annotation subject"/>
    <w:basedOn w:val="CommentText"/>
    <w:next w:val="CommentText"/>
    <w:link w:val="CommentSubjectChar"/>
    <w:uiPriority w:val="99"/>
    <w:semiHidden/>
    <w:unhideWhenUsed/>
    <w:rsid w:val="00886DF9"/>
    <w:rPr>
      <w:b/>
      <w:bCs/>
    </w:rPr>
  </w:style>
  <w:style w:type="character" w:customStyle="1" w:styleId="CommentSubjectChar">
    <w:name w:val="Comment Subject Char"/>
    <w:basedOn w:val="CommentTextChar"/>
    <w:link w:val="CommentSubject"/>
    <w:uiPriority w:val="99"/>
    <w:semiHidden/>
    <w:rsid w:val="00886DF9"/>
    <w:rPr>
      <w:b/>
      <w:bCs/>
      <w:sz w:val="20"/>
      <w:szCs w:val="20"/>
    </w:rPr>
  </w:style>
  <w:style w:type="paragraph" w:styleId="FootnoteText">
    <w:name w:val="footnote text"/>
    <w:basedOn w:val="Normal"/>
    <w:link w:val="FootnoteTextChar"/>
    <w:uiPriority w:val="99"/>
    <w:unhideWhenUsed/>
    <w:rsid w:val="00023A2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23A2D"/>
    <w:rPr>
      <w:sz w:val="20"/>
      <w:szCs w:val="20"/>
      <w:lang w:val="en-US"/>
    </w:rPr>
  </w:style>
  <w:style w:type="character" w:styleId="FootnoteReference">
    <w:name w:val="footnote reference"/>
    <w:basedOn w:val="DefaultParagraphFont"/>
    <w:uiPriority w:val="99"/>
    <w:semiHidden/>
    <w:unhideWhenUsed/>
    <w:rsid w:val="00023A2D"/>
    <w:rPr>
      <w:vertAlign w:val="superscript"/>
    </w:rPr>
  </w:style>
  <w:style w:type="character" w:styleId="Hyperlink">
    <w:name w:val="Hyperlink"/>
    <w:basedOn w:val="DefaultParagraphFont"/>
    <w:uiPriority w:val="99"/>
    <w:unhideWhenUsed/>
    <w:rsid w:val="00972736"/>
    <w:rPr>
      <w:color w:val="0563C1" w:themeColor="hyperlink"/>
      <w:u w:val="single"/>
    </w:rPr>
  </w:style>
  <w:style w:type="paragraph" w:styleId="Header">
    <w:name w:val="header"/>
    <w:basedOn w:val="Normal"/>
    <w:link w:val="HeaderChar"/>
    <w:uiPriority w:val="99"/>
    <w:unhideWhenUsed/>
    <w:rsid w:val="0077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0C"/>
  </w:style>
  <w:style w:type="paragraph" w:styleId="Footer">
    <w:name w:val="footer"/>
    <w:basedOn w:val="Normal"/>
    <w:link w:val="FooterChar"/>
    <w:uiPriority w:val="99"/>
    <w:unhideWhenUsed/>
    <w:rsid w:val="0077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0C"/>
  </w:style>
  <w:style w:type="character" w:styleId="Strong">
    <w:name w:val="Strong"/>
    <w:basedOn w:val="DefaultParagraphFont"/>
    <w:uiPriority w:val="22"/>
    <w:qFormat/>
    <w:rsid w:val="006A2D01"/>
    <w:rPr>
      <w:b/>
      <w:bCs/>
    </w:rPr>
  </w:style>
  <w:style w:type="paragraph" w:customStyle="1" w:styleId="Default">
    <w:name w:val="Default"/>
    <w:rsid w:val="006A2D01"/>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character" w:customStyle="1" w:styleId="Heading1Char">
    <w:name w:val="Heading 1 Char"/>
    <w:basedOn w:val="DefaultParagraphFont"/>
    <w:link w:val="Heading1"/>
    <w:uiPriority w:val="9"/>
    <w:rsid w:val="007A3E00"/>
    <w:rPr>
      <w:rFonts w:ascii="Times New Roman" w:eastAsia="Times New Roman" w:hAnsi="Times New Roman" w:cs="Arial"/>
      <w:b/>
      <w:bCs/>
      <w:color w:val="2F5496" w:themeColor="accent5" w:themeShade="BF"/>
      <w:kern w:val="32"/>
      <w:sz w:val="24"/>
      <w:szCs w:val="32"/>
      <w:lang w:val="sq-AL" w:eastAsia="de-DE"/>
    </w:rPr>
  </w:style>
  <w:style w:type="paragraph" w:styleId="HTMLPreformatted">
    <w:name w:val="HTML Preformatted"/>
    <w:basedOn w:val="Normal"/>
    <w:link w:val="HTMLPreformattedChar"/>
    <w:uiPriority w:val="99"/>
    <w:unhideWhenUsed/>
    <w:rsid w:val="00BC2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C2A3F"/>
    <w:rPr>
      <w:rFonts w:ascii="Courier New" w:eastAsia="Times New Roman" w:hAnsi="Courier New" w:cs="Courier New"/>
      <w:sz w:val="20"/>
      <w:szCs w:val="20"/>
      <w:lang w:val="en-US"/>
    </w:rPr>
  </w:style>
  <w:style w:type="character" w:customStyle="1" w:styleId="textexposedshow">
    <w:name w:val="text_exposed_show"/>
    <w:basedOn w:val="DefaultParagraphFont"/>
    <w:rsid w:val="00096BE2"/>
  </w:style>
  <w:style w:type="character" w:customStyle="1" w:styleId="ListParagraphChar">
    <w:name w:val="List Paragraph Char"/>
    <w:aliases w:val="PDP DOCUMENT SUBTITLE Char,Normal 1 Char,List Paragraph (numbered (a)) Char,List Paragraph 1 Char,Akapit z listą BS Char,Bullets Char,Dot pt Char,F5 List Paragraph Char,No Spacing1 Char,List Paragraph Char Char Char Char"/>
    <w:basedOn w:val="DefaultParagraphFont"/>
    <w:link w:val="ListParagraph"/>
    <w:uiPriority w:val="34"/>
    <w:qFormat/>
    <w:rsid w:val="00096BE2"/>
  </w:style>
  <w:style w:type="character" w:customStyle="1" w:styleId="y2iqfc">
    <w:name w:val="y2iqfc"/>
    <w:basedOn w:val="DefaultParagraphFont"/>
    <w:rsid w:val="00096BE2"/>
  </w:style>
  <w:style w:type="paragraph" w:styleId="BodyText">
    <w:name w:val="Body Text"/>
    <w:basedOn w:val="Normal"/>
    <w:link w:val="BodyTextChar"/>
    <w:uiPriority w:val="1"/>
    <w:qFormat/>
    <w:rsid w:val="00096BE2"/>
    <w:pPr>
      <w:widowControl w:val="0"/>
      <w:autoSpaceDE w:val="0"/>
      <w:autoSpaceDN w:val="0"/>
      <w:spacing w:after="0" w:line="240" w:lineRule="auto"/>
    </w:pPr>
    <w:rPr>
      <w:rFonts w:eastAsia="Times New Roman" w:cs="Times New Roman"/>
      <w:i/>
      <w:iCs/>
      <w:szCs w:val="24"/>
      <w:lang w:val="en-US"/>
    </w:rPr>
  </w:style>
  <w:style w:type="character" w:customStyle="1" w:styleId="BodyTextChar">
    <w:name w:val="Body Text Char"/>
    <w:basedOn w:val="DefaultParagraphFont"/>
    <w:link w:val="BodyText"/>
    <w:uiPriority w:val="1"/>
    <w:rsid w:val="00096BE2"/>
    <w:rPr>
      <w:rFonts w:ascii="Times New Roman" w:eastAsia="Times New Roman" w:hAnsi="Times New Roman" w:cs="Times New Roman"/>
      <w:i/>
      <w:iCs/>
      <w:sz w:val="24"/>
      <w:szCs w:val="24"/>
      <w:lang w:val="en-US"/>
    </w:rPr>
  </w:style>
  <w:style w:type="table" w:styleId="TableGrid">
    <w:name w:val="Table Grid"/>
    <w:basedOn w:val="TableNormal"/>
    <w:uiPriority w:val="39"/>
    <w:rsid w:val="0043305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5">
    <w:name w:val="Plain Table 5"/>
    <w:basedOn w:val="TableNormal"/>
    <w:uiPriority w:val="45"/>
    <w:rsid w:val="00DC39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Grid">
    <w:name w:val="Light Grid"/>
    <w:basedOn w:val="TableNormal"/>
    <w:uiPriority w:val="62"/>
    <w:rsid w:val="004A5DB2"/>
    <w:pPr>
      <w:spacing w:after="0" w:line="240" w:lineRule="auto"/>
    </w:pPr>
    <w:rPr>
      <w:rFonts w:ascii="Calibri" w:eastAsia="Calibri" w:hAnsi="Calibri" w:cs="SimSun"/>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SimSun" w:hAnsi="Tahom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SimSun" w:hAnsi="Tahom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SimSun" w:hAnsi="Tahoma" w:cs="SimSun"/>
        <w:b/>
        <w:bCs/>
      </w:rPr>
    </w:tblStylePr>
    <w:tblStylePr w:type="lastCol">
      <w:rPr>
        <w:rFonts w:ascii="Tahoma" w:eastAsia="SimSun" w:hAnsi="Tahom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
    <w:name w:val="Light Grid1"/>
    <w:basedOn w:val="TableNormal"/>
    <w:next w:val="LightGrid"/>
    <w:uiPriority w:val="62"/>
    <w:rsid w:val="00E60613"/>
    <w:pPr>
      <w:spacing w:after="0" w:line="240" w:lineRule="auto"/>
    </w:pPr>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rmalWeb">
    <w:name w:val="Normal (Web)"/>
    <w:basedOn w:val="Normal"/>
    <w:uiPriority w:val="99"/>
    <w:unhideWhenUsed/>
    <w:rsid w:val="00241AD2"/>
    <w:pPr>
      <w:spacing w:before="100" w:beforeAutospacing="1" w:after="100" w:afterAutospacing="1" w:line="240" w:lineRule="auto"/>
    </w:pPr>
    <w:rPr>
      <w:rFonts w:eastAsia="Times New Roman" w:cs="Times New Roman"/>
      <w:szCs w:val="24"/>
      <w:lang w:val="en-US"/>
    </w:rPr>
  </w:style>
  <w:style w:type="character" w:customStyle="1" w:styleId="UnresolvedMention1">
    <w:name w:val="Unresolved Mention1"/>
    <w:basedOn w:val="DefaultParagraphFont"/>
    <w:uiPriority w:val="99"/>
    <w:semiHidden/>
    <w:unhideWhenUsed/>
    <w:rsid w:val="00F8456F"/>
    <w:rPr>
      <w:color w:val="605E5C"/>
      <w:shd w:val="clear" w:color="auto" w:fill="E1DFDD"/>
    </w:rPr>
  </w:style>
  <w:style w:type="paragraph" w:customStyle="1" w:styleId="NumberedHeading1">
    <w:name w:val="Numbered Heading 1"/>
    <w:basedOn w:val="Normal"/>
    <w:next w:val="Normal"/>
    <w:qFormat/>
    <w:rsid w:val="006E3071"/>
    <w:pPr>
      <w:numPr>
        <w:numId w:val="10"/>
      </w:numPr>
      <w:spacing w:before="240" w:after="120" w:line="240" w:lineRule="auto"/>
    </w:pPr>
    <w:rPr>
      <w:rFonts w:asciiTheme="majorHAnsi" w:eastAsia="PMingLiU" w:hAnsiTheme="majorHAnsi" w:cs="Book Antiqua"/>
      <w:color w:val="5B9BD5" w:themeColor="accent1"/>
      <w:sz w:val="48"/>
      <w:szCs w:val="48"/>
      <w:lang w:val="en-ZA" w:eastAsia="zh-TW"/>
    </w:rPr>
  </w:style>
  <w:style w:type="paragraph" w:customStyle="1" w:styleId="NumberedHeading2">
    <w:name w:val="Numbered Heading 2"/>
    <w:basedOn w:val="Normal"/>
    <w:next w:val="Normal"/>
    <w:qFormat/>
    <w:rsid w:val="006E3071"/>
    <w:pPr>
      <w:numPr>
        <w:ilvl w:val="1"/>
        <w:numId w:val="10"/>
      </w:numPr>
      <w:spacing w:before="120" w:after="240" w:line="240" w:lineRule="auto"/>
      <w:ind w:left="432"/>
      <w:outlineLvl w:val="1"/>
    </w:pPr>
    <w:rPr>
      <w:rFonts w:eastAsia="PMingLiU" w:cs="Book Antiqua"/>
      <w:b/>
      <w:color w:val="4472C4" w:themeColor="accent5"/>
      <w:sz w:val="28"/>
      <w:szCs w:val="24"/>
      <w:shd w:val="clear" w:color="auto" w:fill="FFFFFF"/>
      <w:lang w:val="en-ZA" w:eastAsia="zh-TW"/>
    </w:rPr>
  </w:style>
  <w:style w:type="paragraph" w:customStyle="1" w:styleId="NumberedHeading3">
    <w:name w:val="Numbered Heading 3"/>
    <w:basedOn w:val="Normal"/>
    <w:next w:val="Normal"/>
    <w:qFormat/>
    <w:rsid w:val="006E3071"/>
    <w:pPr>
      <w:numPr>
        <w:ilvl w:val="2"/>
        <w:numId w:val="10"/>
      </w:numPr>
      <w:spacing w:before="240" w:after="120" w:line="240" w:lineRule="auto"/>
    </w:pPr>
    <w:rPr>
      <w:rFonts w:eastAsia="PMingLiU" w:cs="Arial"/>
      <w:b/>
      <w:caps/>
      <w:color w:val="ED7D31" w:themeColor="accent2"/>
      <w:sz w:val="20"/>
      <w:shd w:val="clear" w:color="auto" w:fill="FFFFFF"/>
      <w:lang w:val="en-ZA" w:eastAsia="zh-TW"/>
    </w:rPr>
  </w:style>
  <w:style w:type="paragraph" w:customStyle="1" w:styleId="NumberedHeading4">
    <w:name w:val="Numbered Heading 4"/>
    <w:basedOn w:val="NumberedHeading3"/>
    <w:next w:val="Normal"/>
    <w:qFormat/>
    <w:rsid w:val="006E3071"/>
    <w:pPr>
      <w:numPr>
        <w:ilvl w:val="3"/>
      </w:numPr>
      <w:spacing w:before="120"/>
    </w:pPr>
    <w:rPr>
      <w:caps w:val="0"/>
      <w:color w:val="44546A" w:themeColor="text2"/>
      <w:szCs w:val="20"/>
    </w:rPr>
  </w:style>
  <w:style w:type="paragraph" w:customStyle="1" w:styleId="NumberedHeading5">
    <w:name w:val="Numbered Heading 5"/>
    <w:basedOn w:val="NumberedHeading4"/>
    <w:unhideWhenUsed/>
    <w:qFormat/>
    <w:rsid w:val="006E3071"/>
    <w:pPr>
      <w:numPr>
        <w:ilvl w:val="4"/>
      </w:numPr>
    </w:pPr>
    <w:rPr>
      <w:color w:val="757574"/>
      <w:sz w:val="18"/>
    </w:rPr>
  </w:style>
  <w:style w:type="paragraph" w:customStyle="1" w:styleId="Normal1">
    <w:name w:val="Normal1"/>
    <w:rsid w:val="003A27DB"/>
    <w:pPr>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F517F8"/>
    <w:pPr>
      <w:spacing w:after="0" w:line="240" w:lineRule="auto"/>
    </w:pPr>
  </w:style>
  <w:style w:type="character" w:customStyle="1" w:styleId="UnresolvedMention2">
    <w:name w:val="Unresolved Mention2"/>
    <w:basedOn w:val="DefaultParagraphFont"/>
    <w:uiPriority w:val="99"/>
    <w:semiHidden/>
    <w:unhideWhenUsed/>
    <w:rsid w:val="004F291D"/>
    <w:rPr>
      <w:color w:val="605E5C"/>
      <w:shd w:val="clear" w:color="auto" w:fill="E1DFDD"/>
    </w:rPr>
  </w:style>
  <w:style w:type="character" w:customStyle="1" w:styleId="UnresolvedMention3">
    <w:name w:val="Unresolved Mention3"/>
    <w:basedOn w:val="DefaultParagraphFont"/>
    <w:uiPriority w:val="99"/>
    <w:semiHidden/>
    <w:unhideWhenUsed/>
    <w:rsid w:val="00595444"/>
    <w:rPr>
      <w:color w:val="605E5C"/>
      <w:shd w:val="clear" w:color="auto" w:fill="E1DFDD"/>
    </w:rPr>
  </w:style>
  <w:style w:type="character" w:styleId="FollowedHyperlink">
    <w:name w:val="FollowedHyperlink"/>
    <w:basedOn w:val="DefaultParagraphFont"/>
    <w:uiPriority w:val="99"/>
    <w:semiHidden/>
    <w:unhideWhenUsed/>
    <w:rsid w:val="006B635E"/>
    <w:rPr>
      <w:color w:val="954F72" w:themeColor="followedHyperlink"/>
      <w:u w:val="single"/>
    </w:rPr>
  </w:style>
  <w:style w:type="character" w:customStyle="1" w:styleId="Heading2Char">
    <w:name w:val="Heading 2 Char"/>
    <w:basedOn w:val="DefaultParagraphFont"/>
    <w:link w:val="Heading2"/>
    <w:uiPriority w:val="9"/>
    <w:rsid w:val="00CD6F88"/>
    <w:rPr>
      <w:rFonts w:ascii="Times New Roman" w:eastAsiaTheme="majorEastAsia" w:hAnsi="Times New Roman" w:cstheme="majorBidi"/>
      <w:b/>
      <w:color w:val="2F5496" w:themeColor="accent5" w:themeShade="BF"/>
      <w:sz w:val="26"/>
      <w:szCs w:val="26"/>
      <w:lang w:val="sq-AL" w:eastAsia="zh-TW"/>
    </w:rPr>
  </w:style>
  <w:style w:type="character" w:customStyle="1" w:styleId="Heading3Char">
    <w:name w:val="Heading 3 Char"/>
    <w:basedOn w:val="DefaultParagraphFont"/>
    <w:link w:val="Heading3"/>
    <w:uiPriority w:val="9"/>
    <w:rsid w:val="00430E69"/>
    <w:rPr>
      <w:rFonts w:ascii="Times New Roman" w:eastAsiaTheme="majorEastAsia" w:hAnsi="Times New Roman" w:cstheme="majorBidi"/>
      <w:b/>
      <w:color w:val="1F4D78" w:themeColor="accent1" w:themeShade="7F"/>
      <w:sz w:val="24"/>
      <w:szCs w:val="24"/>
      <w:lang w:val="en-ZA" w:eastAsia="zh-TW"/>
    </w:rPr>
  </w:style>
  <w:style w:type="character" w:customStyle="1" w:styleId="Heading4Char">
    <w:name w:val="Heading 4 Char"/>
    <w:basedOn w:val="DefaultParagraphFont"/>
    <w:link w:val="Heading4"/>
    <w:uiPriority w:val="9"/>
    <w:rsid w:val="00FB63B4"/>
    <w:rPr>
      <w:rFonts w:ascii="Times New Roman" w:eastAsiaTheme="majorEastAsia" w:hAnsi="Times New Roman" w:cstheme="majorBidi"/>
      <w:b/>
      <w:i/>
      <w:iCs/>
      <w:color w:val="2F5496" w:themeColor="accent5" w:themeShade="BF"/>
      <w:sz w:val="24"/>
    </w:rPr>
  </w:style>
  <w:style w:type="character" w:customStyle="1" w:styleId="Heading5Char">
    <w:name w:val="Heading 5 Char"/>
    <w:basedOn w:val="DefaultParagraphFont"/>
    <w:link w:val="Heading5"/>
    <w:uiPriority w:val="9"/>
    <w:rsid w:val="00F260E2"/>
    <w:rPr>
      <w:rFonts w:ascii="Times New Roman" w:eastAsiaTheme="majorEastAsia" w:hAnsi="Times New Roman" w:cstheme="majorBidi"/>
      <w:b/>
      <w:color w:val="1F4E79" w:themeColor="accent1" w:themeShade="80"/>
      <w:sz w:val="24"/>
      <w:lang w:val="en-ZA" w:eastAsia="zh-TW"/>
    </w:rPr>
  </w:style>
  <w:style w:type="character" w:styleId="SubtleEmphasis">
    <w:name w:val="Subtle Emphasis"/>
    <w:basedOn w:val="DefaultParagraphFont"/>
    <w:uiPriority w:val="19"/>
    <w:qFormat/>
    <w:rsid w:val="00653EBD"/>
    <w:rPr>
      <w:i/>
      <w:iCs/>
      <w:color w:val="404040" w:themeColor="text1" w:themeTint="BF"/>
    </w:rPr>
  </w:style>
  <w:style w:type="character" w:customStyle="1" w:styleId="UnresolvedMention">
    <w:name w:val="Unresolved Mention"/>
    <w:basedOn w:val="DefaultParagraphFont"/>
    <w:uiPriority w:val="99"/>
    <w:semiHidden/>
    <w:unhideWhenUsed/>
    <w:rsid w:val="00952448"/>
    <w:rPr>
      <w:color w:val="605E5C"/>
      <w:shd w:val="clear" w:color="auto" w:fill="E1DFDD"/>
    </w:rPr>
  </w:style>
  <w:style w:type="paragraph" w:styleId="Title">
    <w:name w:val="Title"/>
    <w:basedOn w:val="Normal"/>
    <w:next w:val="Normal"/>
    <w:link w:val="TitleChar"/>
    <w:uiPriority w:val="10"/>
    <w:qFormat/>
    <w:rsid w:val="00B674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45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E353A"/>
    <w:pPr>
      <w:keepNext/>
      <w:keepLines/>
      <w:spacing w:before="240" w:after="0" w:line="259" w:lineRule="auto"/>
      <w:ind w:left="0" w:firstLine="0"/>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7B7A75"/>
    <w:pPr>
      <w:tabs>
        <w:tab w:val="right" w:leader="dot" w:pos="709"/>
      </w:tabs>
      <w:spacing w:before="120" w:after="120"/>
    </w:pPr>
    <w:rPr>
      <w:rFonts w:cstheme="minorHAnsi"/>
      <w:b/>
      <w:bCs/>
      <w:caps/>
      <w:sz w:val="20"/>
      <w:szCs w:val="20"/>
    </w:rPr>
  </w:style>
  <w:style w:type="paragraph" w:styleId="TOC2">
    <w:name w:val="toc 2"/>
    <w:basedOn w:val="Normal"/>
    <w:next w:val="Normal"/>
    <w:autoRedefine/>
    <w:uiPriority w:val="39"/>
    <w:unhideWhenUsed/>
    <w:rsid w:val="006E353A"/>
    <w:pPr>
      <w:spacing w:after="0"/>
      <w:ind w:left="220"/>
    </w:pPr>
    <w:rPr>
      <w:rFonts w:cstheme="minorHAnsi"/>
      <w:smallCaps/>
      <w:sz w:val="20"/>
      <w:szCs w:val="20"/>
    </w:rPr>
  </w:style>
  <w:style w:type="paragraph" w:styleId="TOC3">
    <w:name w:val="toc 3"/>
    <w:basedOn w:val="Normal"/>
    <w:next w:val="Normal"/>
    <w:autoRedefine/>
    <w:uiPriority w:val="39"/>
    <w:unhideWhenUsed/>
    <w:rsid w:val="006E353A"/>
    <w:pPr>
      <w:spacing w:after="0"/>
      <w:ind w:left="440"/>
    </w:pPr>
    <w:rPr>
      <w:rFonts w:cstheme="minorHAnsi"/>
      <w:i/>
      <w:iCs/>
      <w:sz w:val="20"/>
      <w:szCs w:val="20"/>
    </w:rPr>
  </w:style>
  <w:style w:type="paragraph" w:styleId="TOC4">
    <w:name w:val="toc 4"/>
    <w:basedOn w:val="Normal"/>
    <w:next w:val="Normal"/>
    <w:autoRedefine/>
    <w:uiPriority w:val="39"/>
    <w:unhideWhenUsed/>
    <w:rsid w:val="00E97B84"/>
    <w:pPr>
      <w:spacing w:after="0"/>
      <w:ind w:left="660"/>
    </w:pPr>
    <w:rPr>
      <w:rFonts w:cstheme="minorHAnsi"/>
      <w:sz w:val="18"/>
      <w:szCs w:val="18"/>
    </w:rPr>
  </w:style>
  <w:style w:type="paragraph" w:styleId="TOC5">
    <w:name w:val="toc 5"/>
    <w:basedOn w:val="Normal"/>
    <w:next w:val="Normal"/>
    <w:autoRedefine/>
    <w:uiPriority w:val="39"/>
    <w:unhideWhenUsed/>
    <w:rsid w:val="00E97B84"/>
    <w:pPr>
      <w:spacing w:after="0"/>
      <w:ind w:left="880"/>
    </w:pPr>
    <w:rPr>
      <w:rFonts w:cstheme="minorHAnsi"/>
      <w:sz w:val="18"/>
      <w:szCs w:val="18"/>
    </w:rPr>
  </w:style>
  <w:style w:type="paragraph" w:styleId="TOC6">
    <w:name w:val="toc 6"/>
    <w:basedOn w:val="Normal"/>
    <w:next w:val="Normal"/>
    <w:autoRedefine/>
    <w:uiPriority w:val="39"/>
    <w:unhideWhenUsed/>
    <w:rsid w:val="00E97B84"/>
    <w:pPr>
      <w:spacing w:after="0"/>
      <w:ind w:left="1100"/>
    </w:pPr>
    <w:rPr>
      <w:rFonts w:cstheme="minorHAnsi"/>
      <w:sz w:val="18"/>
      <w:szCs w:val="18"/>
    </w:rPr>
  </w:style>
  <w:style w:type="paragraph" w:styleId="TOC7">
    <w:name w:val="toc 7"/>
    <w:basedOn w:val="Normal"/>
    <w:next w:val="Normal"/>
    <w:autoRedefine/>
    <w:uiPriority w:val="39"/>
    <w:unhideWhenUsed/>
    <w:rsid w:val="00E97B84"/>
    <w:pPr>
      <w:spacing w:after="0"/>
      <w:ind w:left="1320"/>
    </w:pPr>
    <w:rPr>
      <w:rFonts w:cstheme="minorHAnsi"/>
      <w:sz w:val="18"/>
      <w:szCs w:val="18"/>
    </w:rPr>
  </w:style>
  <w:style w:type="paragraph" w:styleId="TOC8">
    <w:name w:val="toc 8"/>
    <w:basedOn w:val="Normal"/>
    <w:next w:val="Normal"/>
    <w:autoRedefine/>
    <w:uiPriority w:val="39"/>
    <w:unhideWhenUsed/>
    <w:rsid w:val="00E97B84"/>
    <w:pPr>
      <w:spacing w:after="0"/>
      <w:ind w:left="1540"/>
    </w:pPr>
    <w:rPr>
      <w:rFonts w:cstheme="minorHAnsi"/>
      <w:sz w:val="18"/>
      <w:szCs w:val="18"/>
    </w:rPr>
  </w:style>
  <w:style w:type="paragraph" w:styleId="TOC9">
    <w:name w:val="toc 9"/>
    <w:basedOn w:val="Normal"/>
    <w:next w:val="Normal"/>
    <w:autoRedefine/>
    <w:uiPriority w:val="39"/>
    <w:unhideWhenUsed/>
    <w:rsid w:val="00E97B84"/>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123">
      <w:bodyDiv w:val="1"/>
      <w:marLeft w:val="0"/>
      <w:marRight w:val="0"/>
      <w:marTop w:val="0"/>
      <w:marBottom w:val="0"/>
      <w:divBdr>
        <w:top w:val="none" w:sz="0" w:space="0" w:color="auto"/>
        <w:left w:val="none" w:sz="0" w:space="0" w:color="auto"/>
        <w:bottom w:val="none" w:sz="0" w:space="0" w:color="auto"/>
        <w:right w:val="none" w:sz="0" w:space="0" w:color="auto"/>
      </w:divBdr>
    </w:div>
    <w:div w:id="230774619">
      <w:bodyDiv w:val="1"/>
      <w:marLeft w:val="0"/>
      <w:marRight w:val="0"/>
      <w:marTop w:val="0"/>
      <w:marBottom w:val="0"/>
      <w:divBdr>
        <w:top w:val="none" w:sz="0" w:space="0" w:color="auto"/>
        <w:left w:val="none" w:sz="0" w:space="0" w:color="auto"/>
        <w:bottom w:val="none" w:sz="0" w:space="0" w:color="auto"/>
        <w:right w:val="none" w:sz="0" w:space="0" w:color="auto"/>
      </w:divBdr>
    </w:div>
    <w:div w:id="412288351">
      <w:bodyDiv w:val="1"/>
      <w:marLeft w:val="0"/>
      <w:marRight w:val="0"/>
      <w:marTop w:val="0"/>
      <w:marBottom w:val="0"/>
      <w:divBdr>
        <w:top w:val="none" w:sz="0" w:space="0" w:color="auto"/>
        <w:left w:val="none" w:sz="0" w:space="0" w:color="auto"/>
        <w:bottom w:val="none" w:sz="0" w:space="0" w:color="auto"/>
        <w:right w:val="none" w:sz="0" w:space="0" w:color="auto"/>
      </w:divBdr>
    </w:div>
    <w:div w:id="435097964">
      <w:bodyDiv w:val="1"/>
      <w:marLeft w:val="0"/>
      <w:marRight w:val="0"/>
      <w:marTop w:val="0"/>
      <w:marBottom w:val="0"/>
      <w:divBdr>
        <w:top w:val="none" w:sz="0" w:space="0" w:color="auto"/>
        <w:left w:val="none" w:sz="0" w:space="0" w:color="auto"/>
        <w:bottom w:val="none" w:sz="0" w:space="0" w:color="auto"/>
        <w:right w:val="none" w:sz="0" w:space="0" w:color="auto"/>
      </w:divBdr>
    </w:div>
    <w:div w:id="546767659">
      <w:bodyDiv w:val="1"/>
      <w:marLeft w:val="0"/>
      <w:marRight w:val="0"/>
      <w:marTop w:val="0"/>
      <w:marBottom w:val="0"/>
      <w:divBdr>
        <w:top w:val="none" w:sz="0" w:space="0" w:color="auto"/>
        <w:left w:val="none" w:sz="0" w:space="0" w:color="auto"/>
        <w:bottom w:val="none" w:sz="0" w:space="0" w:color="auto"/>
        <w:right w:val="none" w:sz="0" w:space="0" w:color="auto"/>
      </w:divBdr>
    </w:div>
    <w:div w:id="1019354024">
      <w:bodyDiv w:val="1"/>
      <w:marLeft w:val="0"/>
      <w:marRight w:val="0"/>
      <w:marTop w:val="0"/>
      <w:marBottom w:val="0"/>
      <w:divBdr>
        <w:top w:val="none" w:sz="0" w:space="0" w:color="auto"/>
        <w:left w:val="none" w:sz="0" w:space="0" w:color="auto"/>
        <w:bottom w:val="none" w:sz="0" w:space="0" w:color="auto"/>
        <w:right w:val="none" w:sz="0" w:space="0" w:color="auto"/>
      </w:divBdr>
    </w:div>
    <w:div w:id="1045134914">
      <w:bodyDiv w:val="1"/>
      <w:marLeft w:val="0"/>
      <w:marRight w:val="0"/>
      <w:marTop w:val="0"/>
      <w:marBottom w:val="0"/>
      <w:divBdr>
        <w:top w:val="none" w:sz="0" w:space="0" w:color="auto"/>
        <w:left w:val="none" w:sz="0" w:space="0" w:color="auto"/>
        <w:bottom w:val="none" w:sz="0" w:space="0" w:color="auto"/>
        <w:right w:val="none" w:sz="0" w:space="0" w:color="auto"/>
      </w:divBdr>
    </w:div>
    <w:div w:id="1231118141">
      <w:bodyDiv w:val="1"/>
      <w:marLeft w:val="0"/>
      <w:marRight w:val="0"/>
      <w:marTop w:val="0"/>
      <w:marBottom w:val="0"/>
      <w:divBdr>
        <w:top w:val="none" w:sz="0" w:space="0" w:color="auto"/>
        <w:left w:val="none" w:sz="0" w:space="0" w:color="auto"/>
        <w:bottom w:val="none" w:sz="0" w:space="0" w:color="auto"/>
        <w:right w:val="none" w:sz="0" w:space="0" w:color="auto"/>
      </w:divBdr>
    </w:div>
    <w:div w:id="1256670526">
      <w:bodyDiv w:val="1"/>
      <w:marLeft w:val="0"/>
      <w:marRight w:val="0"/>
      <w:marTop w:val="0"/>
      <w:marBottom w:val="0"/>
      <w:divBdr>
        <w:top w:val="none" w:sz="0" w:space="0" w:color="auto"/>
        <w:left w:val="none" w:sz="0" w:space="0" w:color="auto"/>
        <w:bottom w:val="none" w:sz="0" w:space="0" w:color="auto"/>
        <w:right w:val="none" w:sz="0" w:space="0" w:color="auto"/>
      </w:divBdr>
    </w:div>
    <w:div w:id="1304849584">
      <w:bodyDiv w:val="1"/>
      <w:marLeft w:val="0"/>
      <w:marRight w:val="0"/>
      <w:marTop w:val="0"/>
      <w:marBottom w:val="0"/>
      <w:divBdr>
        <w:top w:val="none" w:sz="0" w:space="0" w:color="auto"/>
        <w:left w:val="none" w:sz="0" w:space="0" w:color="auto"/>
        <w:bottom w:val="none" w:sz="0" w:space="0" w:color="auto"/>
        <w:right w:val="none" w:sz="0" w:space="0" w:color="auto"/>
      </w:divBdr>
    </w:div>
    <w:div w:id="1384408189">
      <w:bodyDiv w:val="1"/>
      <w:marLeft w:val="0"/>
      <w:marRight w:val="0"/>
      <w:marTop w:val="0"/>
      <w:marBottom w:val="0"/>
      <w:divBdr>
        <w:top w:val="none" w:sz="0" w:space="0" w:color="auto"/>
        <w:left w:val="none" w:sz="0" w:space="0" w:color="auto"/>
        <w:bottom w:val="none" w:sz="0" w:space="0" w:color="auto"/>
        <w:right w:val="none" w:sz="0" w:space="0" w:color="auto"/>
      </w:divBdr>
    </w:div>
    <w:div w:id="1623733688">
      <w:bodyDiv w:val="1"/>
      <w:marLeft w:val="0"/>
      <w:marRight w:val="0"/>
      <w:marTop w:val="0"/>
      <w:marBottom w:val="0"/>
      <w:divBdr>
        <w:top w:val="none" w:sz="0" w:space="0" w:color="auto"/>
        <w:left w:val="none" w:sz="0" w:space="0" w:color="auto"/>
        <w:bottom w:val="none" w:sz="0" w:space="0" w:color="auto"/>
        <w:right w:val="none" w:sz="0" w:space="0" w:color="auto"/>
      </w:divBdr>
    </w:div>
    <w:div w:id="1690062399">
      <w:bodyDiv w:val="1"/>
      <w:marLeft w:val="0"/>
      <w:marRight w:val="0"/>
      <w:marTop w:val="0"/>
      <w:marBottom w:val="0"/>
      <w:divBdr>
        <w:top w:val="none" w:sz="0" w:space="0" w:color="auto"/>
        <w:left w:val="none" w:sz="0" w:space="0" w:color="auto"/>
        <w:bottom w:val="none" w:sz="0" w:space="0" w:color="auto"/>
        <w:right w:val="none" w:sz="0" w:space="0" w:color="auto"/>
      </w:divBdr>
    </w:div>
    <w:div w:id="1738285098">
      <w:bodyDiv w:val="1"/>
      <w:marLeft w:val="0"/>
      <w:marRight w:val="0"/>
      <w:marTop w:val="0"/>
      <w:marBottom w:val="0"/>
      <w:divBdr>
        <w:top w:val="none" w:sz="0" w:space="0" w:color="auto"/>
        <w:left w:val="none" w:sz="0" w:space="0" w:color="auto"/>
        <w:bottom w:val="none" w:sz="0" w:space="0" w:color="auto"/>
        <w:right w:val="none" w:sz="0" w:space="0" w:color="auto"/>
      </w:divBdr>
    </w:div>
    <w:div w:id="2077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2.emf"/><Relationship Id="rId26" Type="http://schemas.openxmlformats.org/officeDocument/2006/relationships/image" Target="media/image4.png"/><Relationship Id="rId39" Type="http://schemas.openxmlformats.org/officeDocument/2006/relationships/hyperlink" Target="http://www.erru.al" TargetMode="External"/><Relationship Id="rId21" Type="http://schemas.openxmlformats.org/officeDocument/2006/relationships/hyperlink" Target="https://www.dpm.gov.al/wp-content/uploads/2022/08/vendim-2019-09-25-631.pdf" TargetMode="External"/><Relationship Id="rId34" Type="http://schemas.openxmlformats.org/officeDocument/2006/relationships/hyperlink" Target="http://kmk.financa.gov.al/publikime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s://www.dpm.gov.al/wp-content/uploads/2022/05/Vendim-Nr.325-dt.-18.05.2022-Per-organizimin-dhe-funksionimin-e-DPM.pdf" TargetMode="External"/><Relationship Id="rId29" Type="http://schemas.openxmlformats.org/officeDocument/2006/relationships/hyperlink" Target="http://www.ere.gov.al" TargetMode="External"/><Relationship Id="rId41" Type="http://schemas.openxmlformats.org/officeDocument/2006/relationships/hyperlink" Target="http://www.konsultimipublik.gov.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pm.gov.al/wp-content/uploads/2018/02/2-RREGULLORES-INSTRUMENTAT-LIGJERISHT-KONTROLLUARA.pdf" TargetMode="External"/><Relationship Id="rId32" Type="http://schemas.openxmlformats.org/officeDocument/2006/relationships/hyperlink" Target="https://amf.gov.al/readLaw.asp?id=20345" TargetMode="External"/><Relationship Id="rId37" Type="http://schemas.openxmlformats.org/officeDocument/2006/relationships/hyperlink" Target="https://ere.gov.al/sq" TargetMode="External"/><Relationship Id="rId40" Type="http://schemas.openxmlformats.org/officeDocument/2006/relationships/hyperlink" Target="http://www.erru.al"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www.dpm.gov.al/wp-content/uploads/2018/02/VKM-per-deklarimin-e-etaloneve-kombetare-dhjetor-2015-Nr.-1052-dat%C3%AB-23.12.2015.pdf" TargetMode="External"/><Relationship Id="rId28" Type="http://schemas.openxmlformats.org/officeDocument/2006/relationships/hyperlink" Target="mailto:erealb@ere.gov.al" TargetMode="External"/><Relationship Id="rId36" Type="http://schemas.openxmlformats.org/officeDocument/2006/relationships/hyperlink" Target="http://www.ishmt.gov.al"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amf.gov.al/readLaw.asp?id=203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dpm.gov.al/wp-content/uploads/2018/02/VKM-nr.-770-dat%C3%AB-2.11.2016.pdf" TargetMode="External"/><Relationship Id="rId27" Type="http://schemas.openxmlformats.org/officeDocument/2006/relationships/hyperlink" Target="mailto:info@turizmi.gov.al" TargetMode="External"/><Relationship Id="rId30" Type="http://schemas.openxmlformats.org/officeDocument/2006/relationships/hyperlink" Target="mailto:pax@acaa.gov.al" TargetMode="External"/><Relationship Id="rId35" Type="http://schemas.openxmlformats.org/officeDocument/2006/relationships/hyperlink" Target="http://www.dpm.gov.a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www.dpm.gov.al/legjislacioni-3/" TargetMode="External"/><Relationship Id="rId33" Type="http://schemas.openxmlformats.org/officeDocument/2006/relationships/hyperlink" Target="http://kmk.financa.gov.al/" TargetMode="External"/><Relationship Id="rId38" Type="http://schemas.openxmlformats.org/officeDocument/2006/relationships/hyperlink" Target="https://www.ere.gov.al/images/files/2022/06/14/Rregullorja_mbi_masat_e_t%C3%AB_licencuarve_n%C3%AB_aktivitetin_e_furnizimit_p%C3%ABr_arritjen_e_treguesve_t%C3%AB_matjes_dhe_vler%C3%ABsimit_nga_ERE_t%C3%AB_performanc%C3%ABs_s%C3%AB_sh%C3%ABrbimit_ndaj_klienti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pa.gov.al/wp-content/uploads/2019/06/dpa_ligj_116-2014_11.09.2014.pdf" TargetMode="External"/><Relationship Id="rId13" Type="http://schemas.openxmlformats.org/officeDocument/2006/relationships/hyperlink" Target="https://www.ere.gov.al/images/archive/Ligj_43_2015_30_04_2015.pdf" TargetMode="External"/><Relationship Id="rId3" Type="http://schemas.openxmlformats.org/officeDocument/2006/relationships/hyperlink" Target="https://turizmi.gov.al/kimikate" TargetMode="External"/><Relationship Id="rId7" Type="http://schemas.openxmlformats.org/officeDocument/2006/relationships/hyperlink" Target="http://www.dps.gov.al" TargetMode="External"/><Relationship Id="rId12" Type="http://schemas.openxmlformats.org/officeDocument/2006/relationships/hyperlink" Target="http://www.ishmt.gov.al" TargetMode="External"/><Relationship Id="rId2" Type="http://schemas.openxmlformats.org/officeDocument/2006/relationships/hyperlink" Target="http://www.bujqesia.gov.al" TargetMode="External"/><Relationship Id="rId1" Type="http://schemas.openxmlformats.org/officeDocument/2006/relationships/hyperlink" Target="http://www.aku.gov.al" TargetMode="External"/><Relationship Id="rId6" Type="http://schemas.openxmlformats.org/officeDocument/2006/relationships/hyperlink" Target="https://shendetesia.gov.al/publikime-kozmetika/" TargetMode="External"/><Relationship Id="rId11" Type="http://schemas.openxmlformats.org/officeDocument/2006/relationships/hyperlink" Target="http://www.ins-shendetesor.gov.al" TargetMode="External"/><Relationship Id="rId5" Type="http://schemas.openxmlformats.org/officeDocument/2006/relationships/hyperlink" Target="https://shendetesia.gov.al/wp-content/uploads/2018/06/ligj_nr_89_dt_17_7_2014_18594_1.pdf" TargetMode="External"/><Relationship Id="rId10" Type="http://schemas.openxmlformats.org/officeDocument/2006/relationships/hyperlink" Target="https://aku.gov.al/" TargetMode="External"/><Relationship Id="rId4" Type="http://schemas.openxmlformats.org/officeDocument/2006/relationships/hyperlink" Target="https://akm.gov.al/legjislacione/" TargetMode="External"/><Relationship Id="rId9" Type="http://schemas.openxmlformats.org/officeDocument/2006/relationships/hyperlink" Target="http://dpa.gov.al/wp-content/uploads/2019/09/667.pdf" TargetMode="External"/><Relationship Id="rId14" Type="http://schemas.openxmlformats.org/officeDocument/2006/relationships/hyperlink" Target="https://www.bankofalbania.org/Mbikeqyrja/Kuadri_Rregullativ_Mbikeqyres/Rregullore_te_mbikeqyrj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STRATEGJIA%202022\DMSHI%202017-2021%20%20%20Kalibrime%20GRAFIKU.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wnloads\Numri%20i%20Instrumenteve%20t&#235;%20verifikuara,%20sipas%20tipit,%20p&#235;r%20periudh&#235;n%202017-2021%20(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76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4D2-4556-84EE-CC0006CFB278}"/>
              </c:ext>
            </c:extLst>
          </c:dPt>
          <c:dPt>
            <c:idx val="1"/>
            <c:bubble3D val="0"/>
            <c:spPr>
              <a:solidFill>
                <a:schemeClr val="accent1">
                  <a:tint val="77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4D2-4556-84EE-CC0006CFB2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Sheet1!$B$6:$B$7</c:f>
              <c:strCache>
                <c:ptCount val="2"/>
                <c:pt idx="0">
                  <c:v>Akte ligjore/nënligjore me barriera</c:v>
                </c:pt>
                <c:pt idx="1">
                  <c:v>Akte ligjore/nënligjore pa barriera</c:v>
                </c:pt>
              </c:strCache>
            </c:strRef>
          </c:cat>
          <c:val>
            <c:numRef>
              <c:f>Sheet1!$C$6:$C$7</c:f>
              <c:numCache>
                <c:formatCode>General</c:formatCode>
                <c:ptCount val="2"/>
                <c:pt idx="0">
                  <c:v>24</c:v>
                </c:pt>
                <c:pt idx="1">
                  <c:v>36</c:v>
                </c:pt>
              </c:numCache>
            </c:numRef>
          </c:val>
          <c:extLst xmlns:c16r2="http://schemas.microsoft.com/office/drawing/2015/06/chart">
            <c:ext xmlns:c16="http://schemas.microsoft.com/office/drawing/2014/chart" uri="{C3380CC4-5D6E-409C-BE32-E72D297353CC}">
              <c16:uniqueId val="{00000004-34D2-4556-84EE-CC0006CFB27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0246654750978212"/>
          <c:y val="0.67795840904502336"/>
          <c:w val="0.89753345249021788"/>
          <c:h val="0.322041590954976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bg2"/>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139197717243814E-2"/>
          <c:y val="0.14177881818826701"/>
          <c:w val="0.41973990518713994"/>
          <c:h val="0.61554146272256505"/>
        </c:manualLayout>
      </c:layout>
      <c:pie3DChart>
        <c:varyColors val="1"/>
        <c:ser>
          <c:idx val="0"/>
          <c:order val="0"/>
          <c:explosion val="13"/>
          <c:dPt>
            <c:idx val="0"/>
            <c:bubble3D val="0"/>
            <c:spPr>
              <a:solidFill>
                <a:schemeClr val="accent5">
                  <a:shade val="76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2E1-493F-A5D1-D454B908D135}"/>
              </c:ext>
            </c:extLst>
          </c:dPt>
          <c:dPt>
            <c:idx val="1"/>
            <c:bubble3D val="0"/>
            <c:spPr>
              <a:solidFill>
                <a:schemeClr val="accent5">
                  <a:tint val="77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2E1-493F-A5D1-D454B908D1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Sheet1!$B$4:$B$5</c:f>
              <c:strCache>
                <c:ptCount val="2"/>
                <c:pt idx="0">
                  <c:v>Sektorë me barriera</c:v>
                </c:pt>
                <c:pt idx="1">
                  <c:v>Sektorë pa barriera</c:v>
                </c:pt>
              </c:strCache>
            </c:strRef>
          </c:cat>
          <c:val>
            <c:numRef>
              <c:f>Sheet1!$C$4:$C$5</c:f>
              <c:numCache>
                <c:formatCode>General</c:formatCode>
                <c:ptCount val="2"/>
                <c:pt idx="0">
                  <c:v>13</c:v>
                </c:pt>
                <c:pt idx="1">
                  <c:v>5</c:v>
                </c:pt>
              </c:numCache>
            </c:numRef>
          </c:val>
          <c:extLst xmlns:c16r2="http://schemas.microsoft.com/office/drawing/2015/06/chart">
            <c:ext xmlns:c16="http://schemas.microsoft.com/office/drawing/2014/chart" uri="{C3380CC4-5D6E-409C-BE32-E72D297353CC}">
              <c16:uniqueId val="{00000004-D2E1-493F-A5D1-D454B908D135}"/>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9.00586110946658E-2"/>
          <c:y val="0.77009690004965592"/>
          <c:w val="0.82998993546859279"/>
          <c:h val="0.229903099950344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bg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Realizuar</a:t>
            </a:r>
          </a:p>
        </c:rich>
      </c:tx>
      <c:layout>
        <c:manualLayout>
          <c:xMode val="edge"/>
          <c:yMode val="edge"/>
          <c:x val="0.41068861184018662"/>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Adoptimi</c:v>
                </c:pt>
              </c:strCache>
            </c:strRef>
          </c:tx>
          <c:spPr>
            <a:solidFill>
              <a:schemeClr val="accent2"/>
            </a:solidFill>
            <a:ln>
              <a:noFill/>
            </a:ln>
            <a:effectLst/>
          </c:spPr>
          <c:invertIfNegative val="0"/>
          <c:cat>
            <c:strRef>
              <c:f>Sheet1!$A$2:$A$5</c:f>
              <c:strCache>
                <c:ptCount val="4"/>
                <c:pt idx="0">
                  <c:v>Standarde te adoptuara</c:v>
                </c:pt>
                <c:pt idx="1">
                  <c:v>Standarde te shitura</c:v>
                </c:pt>
                <c:pt idx="2">
                  <c:v>Artikuj te publikuar</c:v>
                </c:pt>
                <c:pt idx="3">
                  <c:v>Fusha st.te publikuara</c:v>
                </c:pt>
              </c:strCache>
            </c:strRef>
          </c:cat>
          <c:val>
            <c:numRef>
              <c:f>Sheet1!$B$2:$B$5</c:f>
              <c:numCache>
                <c:formatCode>General</c:formatCode>
                <c:ptCount val="4"/>
                <c:pt idx="0" formatCode="#,##0">
                  <c:v>8465</c:v>
                </c:pt>
              </c:numCache>
            </c:numRef>
          </c:val>
          <c:extLst xmlns:c16r2="http://schemas.microsoft.com/office/drawing/2015/06/chart">
            <c:ext xmlns:c16="http://schemas.microsoft.com/office/drawing/2014/chart" uri="{C3380CC4-5D6E-409C-BE32-E72D297353CC}">
              <c16:uniqueId val="{00000000-5D33-4D03-95F7-B6181A549D08}"/>
            </c:ext>
          </c:extLst>
        </c:ser>
        <c:ser>
          <c:idx val="1"/>
          <c:order val="1"/>
          <c:tx>
            <c:strRef>
              <c:f>Sheet1!$C$1</c:f>
              <c:strCache>
                <c:ptCount val="1"/>
                <c:pt idx="0">
                  <c:v>Zbatimi</c:v>
                </c:pt>
              </c:strCache>
            </c:strRef>
          </c:tx>
          <c:spPr>
            <a:solidFill>
              <a:schemeClr val="accent4"/>
            </a:solidFill>
            <a:ln>
              <a:noFill/>
            </a:ln>
            <a:effectLst/>
          </c:spPr>
          <c:invertIfNegative val="0"/>
          <c:cat>
            <c:strRef>
              <c:f>Sheet1!$A$2:$A$5</c:f>
              <c:strCache>
                <c:ptCount val="4"/>
                <c:pt idx="0">
                  <c:v>Standarde te adoptuara</c:v>
                </c:pt>
                <c:pt idx="1">
                  <c:v>Standarde te shitura</c:v>
                </c:pt>
                <c:pt idx="2">
                  <c:v>Artikuj te publikuar</c:v>
                </c:pt>
                <c:pt idx="3">
                  <c:v>Fusha st.te publikuara</c:v>
                </c:pt>
              </c:strCache>
            </c:strRef>
          </c:cat>
          <c:val>
            <c:numRef>
              <c:f>Sheet1!$C$2:$C$5</c:f>
              <c:numCache>
                <c:formatCode>#,##0</c:formatCode>
                <c:ptCount val="4"/>
                <c:pt idx="1">
                  <c:v>7000</c:v>
                </c:pt>
              </c:numCache>
            </c:numRef>
          </c:val>
          <c:extLst xmlns:c16r2="http://schemas.microsoft.com/office/drawing/2015/06/chart">
            <c:ext xmlns:c16="http://schemas.microsoft.com/office/drawing/2014/chart" uri="{C3380CC4-5D6E-409C-BE32-E72D297353CC}">
              <c16:uniqueId val="{00000001-5D33-4D03-95F7-B6181A549D08}"/>
            </c:ext>
          </c:extLst>
        </c:ser>
        <c:ser>
          <c:idx val="2"/>
          <c:order val="2"/>
          <c:tx>
            <c:strRef>
              <c:f>Sheet1!$D$1</c:f>
              <c:strCache>
                <c:ptCount val="1"/>
                <c:pt idx="0">
                  <c:v>Promovimi</c:v>
                </c:pt>
              </c:strCache>
            </c:strRef>
          </c:tx>
          <c:spPr>
            <a:solidFill>
              <a:schemeClr val="accent6"/>
            </a:solidFill>
            <a:ln>
              <a:noFill/>
            </a:ln>
            <a:effectLst/>
          </c:spPr>
          <c:invertIfNegative val="0"/>
          <c:cat>
            <c:strRef>
              <c:f>Sheet1!$A$2:$A$5</c:f>
              <c:strCache>
                <c:ptCount val="4"/>
                <c:pt idx="0">
                  <c:v>Standarde te adoptuara</c:v>
                </c:pt>
                <c:pt idx="1">
                  <c:v>Standarde te shitura</c:v>
                </c:pt>
                <c:pt idx="2">
                  <c:v>Artikuj te publikuar</c:v>
                </c:pt>
                <c:pt idx="3">
                  <c:v>Fusha st.te publikuara</c:v>
                </c:pt>
              </c:strCache>
            </c:strRef>
          </c:cat>
          <c:val>
            <c:numRef>
              <c:f>Sheet1!$D$2:$D$5</c:f>
              <c:numCache>
                <c:formatCode>General</c:formatCode>
                <c:ptCount val="4"/>
                <c:pt idx="2">
                  <c:v>300</c:v>
                </c:pt>
              </c:numCache>
            </c:numRef>
          </c:val>
          <c:extLst xmlns:c16r2="http://schemas.microsoft.com/office/drawing/2015/06/chart">
            <c:ext xmlns:c16="http://schemas.microsoft.com/office/drawing/2014/chart" uri="{C3380CC4-5D6E-409C-BE32-E72D297353CC}">
              <c16:uniqueId val="{00000002-5D33-4D03-95F7-B6181A549D08}"/>
            </c:ext>
          </c:extLst>
        </c:ser>
        <c:ser>
          <c:idx val="3"/>
          <c:order val="3"/>
          <c:tx>
            <c:strRef>
              <c:f>Sheet1!$E$1</c:f>
              <c:strCache>
                <c:ptCount val="1"/>
                <c:pt idx="0">
                  <c:v>Informimi</c:v>
                </c:pt>
              </c:strCache>
            </c:strRef>
          </c:tx>
          <c:spPr>
            <a:solidFill>
              <a:schemeClr val="accent2">
                <a:lumMod val="60000"/>
              </a:schemeClr>
            </a:solidFill>
            <a:ln>
              <a:noFill/>
            </a:ln>
            <a:effectLst/>
          </c:spPr>
          <c:invertIfNegative val="0"/>
          <c:cat>
            <c:strRef>
              <c:f>Sheet1!$A$2:$A$5</c:f>
              <c:strCache>
                <c:ptCount val="4"/>
                <c:pt idx="0">
                  <c:v>Standarde te adoptuara</c:v>
                </c:pt>
                <c:pt idx="1">
                  <c:v>Standarde te shitura</c:v>
                </c:pt>
                <c:pt idx="2">
                  <c:v>Artikuj te publikuar</c:v>
                </c:pt>
                <c:pt idx="3">
                  <c:v>Fusha st.te publikuara</c:v>
                </c:pt>
              </c:strCache>
            </c:strRef>
          </c:cat>
          <c:val>
            <c:numRef>
              <c:f>Sheet1!$E$2:$E$5</c:f>
              <c:numCache>
                <c:formatCode>General</c:formatCode>
                <c:ptCount val="4"/>
                <c:pt idx="3">
                  <c:v>400</c:v>
                </c:pt>
              </c:numCache>
            </c:numRef>
          </c:val>
          <c:extLst xmlns:c16r2="http://schemas.microsoft.com/office/drawing/2015/06/chart">
            <c:ext xmlns:c16="http://schemas.microsoft.com/office/drawing/2014/chart" uri="{C3380CC4-5D6E-409C-BE32-E72D297353CC}">
              <c16:uniqueId val="{00000003-5D33-4D03-95F7-B6181A549D08}"/>
            </c:ext>
          </c:extLst>
        </c:ser>
        <c:dLbls>
          <c:showLegendKey val="0"/>
          <c:showVal val="0"/>
          <c:showCatName val="0"/>
          <c:showSerName val="0"/>
          <c:showPercent val="0"/>
          <c:showBubbleSize val="0"/>
        </c:dLbls>
        <c:gapWidth val="182"/>
        <c:axId val="-1724418064"/>
        <c:axId val="-1724416976"/>
      </c:barChart>
      <c:catAx>
        <c:axId val="-172441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416976"/>
        <c:crosses val="autoZero"/>
        <c:auto val="1"/>
        <c:lblAlgn val="ctr"/>
        <c:lblOffset val="100"/>
        <c:noMultiLvlLbl val="0"/>
      </c:catAx>
      <c:valAx>
        <c:axId val="-1724416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41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Akreditimi</a:t>
            </a:r>
            <a:r>
              <a:rPr lang="en-US" baseline="0"/>
              <a:t> ne vite</a:t>
            </a:r>
            <a:endParaRPr lang="en-US"/>
          </a:p>
        </c:rich>
      </c:tx>
      <c:layout>
        <c:manualLayout>
          <c:xMode val="edge"/>
          <c:yMode val="edge"/>
          <c:x val="0.40557042477313654"/>
          <c:y val="4.975124378109449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Numri total I akreditimeve te dhena</c:v>
                </c:pt>
                <c:pt idx="1">
                  <c:v>Numri i aplikmeve ne cdo vit</c:v>
                </c:pt>
                <c:pt idx="2">
                  <c:v>Vizita per akreditim fillestar</c:v>
                </c:pt>
                <c:pt idx="3">
                  <c:v>Vizita mbikeqyrese</c:v>
                </c:pt>
                <c:pt idx="4">
                  <c:v>Aplikime per zgjerim</c:v>
                </c:pt>
                <c:pt idx="5">
                  <c:v>Akreditime te dhena ne vit</c:v>
                </c:pt>
              </c:strCache>
            </c:strRef>
          </c:cat>
          <c:val>
            <c:numRef>
              <c:f>Sheet1!$B$2:$B$7</c:f>
              <c:numCache>
                <c:formatCode>General</c:formatCode>
                <c:ptCount val="6"/>
                <c:pt idx="0">
                  <c:v>60</c:v>
                </c:pt>
                <c:pt idx="1">
                  <c:v>25</c:v>
                </c:pt>
                <c:pt idx="2">
                  <c:v>19</c:v>
                </c:pt>
                <c:pt idx="3">
                  <c:v>51</c:v>
                </c:pt>
                <c:pt idx="4">
                  <c:v>16</c:v>
                </c:pt>
                <c:pt idx="5">
                  <c:v>14</c:v>
                </c:pt>
              </c:numCache>
            </c:numRef>
          </c:val>
          <c:extLst xmlns:c16r2="http://schemas.microsoft.com/office/drawing/2015/06/chart">
            <c:ext xmlns:c16="http://schemas.microsoft.com/office/drawing/2014/chart" uri="{C3380CC4-5D6E-409C-BE32-E72D297353CC}">
              <c16:uniqueId val="{00000000-F446-449A-AAA9-234057BD4CF8}"/>
            </c:ext>
          </c:extLst>
        </c:ser>
        <c:ser>
          <c:idx val="1"/>
          <c:order val="1"/>
          <c:tx>
            <c:strRef>
              <c:f>Sheet1!$C$1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Numri total I akreditimeve te dhena</c:v>
                </c:pt>
                <c:pt idx="1">
                  <c:v>Numri i aplikmeve ne cdo vit</c:v>
                </c:pt>
                <c:pt idx="2">
                  <c:v>Vizita per akreditim fillestar</c:v>
                </c:pt>
                <c:pt idx="3">
                  <c:v>Vizita mbikeqyrese</c:v>
                </c:pt>
                <c:pt idx="4">
                  <c:v>Aplikime per zgjerim</c:v>
                </c:pt>
                <c:pt idx="5">
                  <c:v>Akreditime te dhena ne vit</c:v>
                </c:pt>
              </c:strCache>
            </c:strRef>
          </c:cat>
          <c:val>
            <c:numRef>
              <c:f>Sheet1!$C$2:$C$7</c:f>
              <c:numCache>
                <c:formatCode>General</c:formatCode>
                <c:ptCount val="6"/>
                <c:pt idx="0">
                  <c:v>74</c:v>
                </c:pt>
                <c:pt idx="1">
                  <c:v>33</c:v>
                </c:pt>
                <c:pt idx="2">
                  <c:v>20</c:v>
                </c:pt>
                <c:pt idx="3">
                  <c:v>51</c:v>
                </c:pt>
                <c:pt idx="4">
                  <c:v>12</c:v>
                </c:pt>
                <c:pt idx="5">
                  <c:v>20</c:v>
                </c:pt>
              </c:numCache>
            </c:numRef>
          </c:val>
          <c:extLst xmlns:c16r2="http://schemas.microsoft.com/office/drawing/2015/06/chart">
            <c:ext xmlns:c16="http://schemas.microsoft.com/office/drawing/2014/chart" uri="{C3380CC4-5D6E-409C-BE32-E72D297353CC}">
              <c16:uniqueId val="{00000001-F446-449A-AAA9-234057BD4CF8}"/>
            </c:ext>
          </c:extLst>
        </c:ser>
        <c:ser>
          <c:idx val="2"/>
          <c:order val="2"/>
          <c:tx>
            <c:strRef>
              <c:f>Sheet1!$D$1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Numri total I akreditimeve te dhena</c:v>
                </c:pt>
                <c:pt idx="1">
                  <c:v>Numri i aplikmeve ne cdo vit</c:v>
                </c:pt>
                <c:pt idx="2">
                  <c:v>Vizita per akreditim fillestar</c:v>
                </c:pt>
                <c:pt idx="3">
                  <c:v>Vizita mbikeqyrese</c:v>
                </c:pt>
                <c:pt idx="4">
                  <c:v>Aplikime per zgjerim</c:v>
                </c:pt>
                <c:pt idx="5">
                  <c:v>Akreditime te dhena ne vit</c:v>
                </c:pt>
              </c:strCache>
            </c:strRef>
          </c:cat>
          <c:val>
            <c:numRef>
              <c:f>Sheet1!$D$2:$D$7</c:f>
              <c:numCache>
                <c:formatCode>General</c:formatCode>
                <c:ptCount val="6"/>
                <c:pt idx="0">
                  <c:v>80</c:v>
                </c:pt>
                <c:pt idx="1">
                  <c:v>19</c:v>
                </c:pt>
                <c:pt idx="2">
                  <c:v>20</c:v>
                </c:pt>
                <c:pt idx="3">
                  <c:v>52</c:v>
                </c:pt>
                <c:pt idx="4">
                  <c:v>12</c:v>
                </c:pt>
                <c:pt idx="5">
                  <c:v>17</c:v>
                </c:pt>
              </c:numCache>
            </c:numRef>
          </c:val>
          <c:extLst xmlns:c16r2="http://schemas.microsoft.com/office/drawing/2015/06/chart">
            <c:ext xmlns:c16="http://schemas.microsoft.com/office/drawing/2014/chart" uri="{C3380CC4-5D6E-409C-BE32-E72D297353CC}">
              <c16:uniqueId val="{00000002-F446-449A-AAA9-234057BD4CF8}"/>
            </c:ext>
          </c:extLst>
        </c:ser>
        <c:ser>
          <c:idx val="3"/>
          <c:order val="3"/>
          <c:tx>
            <c:strRef>
              <c:f>Sheet1!$E$1</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Numri total I akreditimeve te dhena</c:v>
                </c:pt>
                <c:pt idx="1">
                  <c:v>Numri i aplikmeve ne cdo vit</c:v>
                </c:pt>
                <c:pt idx="2">
                  <c:v>Vizita per akreditim fillestar</c:v>
                </c:pt>
                <c:pt idx="3">
                  <c:v>Vizita mbikeqyrese</c:v>
                </c:pt>
                <c:pt idx="4">
                  <c:v>Aplikime per zgjerim</c:v>
                </c:pt>
                <c:pt idx="5">
                  <c:v>Akreditime te dhena ne vit</c:v>
                </c:pt>
              </c:strCache>
            </c:strRef>
          </c:cat>
          <c:val>
            <c:numRef>
              <c:f>Sheet1!$E$2:$E$7</c:f>
              <c:numCache>
                <c:formatCode>General</c:formatCode>
                <c:ptCount val="6"/>
                <c:pt idx="0">
                  <c:v>81</c:v>
                </c:pt>
                <c:pt idx="1">
                  <c:v>17</c:v>
                </c:pt>
                <c:pt idx="2">
                  <c:v>12</c:v>
                </c:pt>
                <c:pt idx="3">
                  <c:v>53</c:v>
                </c:pt>
                <c:pt idx="4">
                  <c:v>17</c:v>
                </c:pt>
                <c:pt idx="5">
                  <c:v>23</c:v>
                </c:pt>
              </c:numCache>
            </c:numRef>
          </c:val>
          <c:extLst xmlns:c16r2="http://schemas.microsoft.com/office/drawing/2015/06/chart">
            <c:ext xmlns:c16="http://schemas.microsoft.com/office/drawing/2014/chart" uri="{C3380CC4-5D6E-409C-BE32-E72D297353CC}">
              <c16:uniqueId val="{00000003-F446-449A-AAA9-234057BD4CF8}"/>
            </c:ext>
          </c:extLst>
        </c:ser>
        <c:ser>
          <c:idx val="4"/>
          <c:order val="4"/>
          <c:tx>
            <c:strRef>
              <c:f>Sheet1!$F$1</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Numri total I akreditimeve te dhena</c:v>
                </c:pt>
                <c:pt idx="1">
                  <c:v>Numri i aplikmeve ne cdo vit</c:v>
                </c:pt>
                <c:pt idx="2">
                  <c:v>Vizita per akreditim fillestar</c:v>
                </c:pt>
                <c:pt idx="3">
                  <c:v>Vizita mbikeqyrese</c:v>
                </c:pt>
                <c:pt idx="4">
                  <c:v>Aplikime per zgjerim</c:v>
                </c:pt>
                <c:pt idx="5">
                  <c:v>Akreditime te dhena ne vit</c:v>
                </c:pt>
              </c:strCache>
            </c:strRef>
          </c:cat>
          <c:val>
            <c:numRef>
              <c:f>Sheet1!$F$2:$F$7</c:f>
              <c:numCache>
                <c:formatCode>General</c:formatCode>
                <c:ptCount val="6"/>
                <c:pt idx="0">
                  <c:v>93</c:v>
                </c:pt>
                <c:pt idx="1">
                  <c:v>33</c:v>
                </c:pt>
                <c:pt idx="2">
                  <c:v>10</c:v>
                </c:pt>
                <c:pt idx="3">
                  <c:v>58</c:v>
                </c:pt>
                <c:pt idx="4">
                  <c:v>15</c:v>
                </c:pt>
                <c:pt idx="5">
                  <c:v>32</c:v>
                </c:pt>
              </c:numCache>
            </c:numRef>
          </c:val>
          <c:extLst xmlns:c16r2="http://schemas.microsoft.com/office/drawing/2015/06/chart">
            <c:ext xmlns:c16="http://schemas.microsoft.com/office/drawing/2014/chart" uri="{C3380CC4-5D6E-409C-BE32-E72D297353CC}">
              <c16:uniqueId val="{00000004-F446-449A-AAA9-234057BD4CF8}"/>
            </c:ext>
          </c:extLst>
        </c:ser>
        <c:dLbls>
          <c:showLegendKey val="0"/>
          <c:showVal val="0"/>
          <c:showCatName val="0"/>
          <c:showSerName val="0"/>
          <c:showPercent val="0"/>
          <c:showBubbleSize val="0"/>
        </c:dLbls>
        <c:gapWidth val="219"/>
        <c:overlap val="-27"/>
        <c:axId val="-1730774448"/>
        <c:axId val="-1730762480"/>
      </c:barChart>
      <c:catAx>
        <c:axId val="-173077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762480"/>
        <c:crosses val="autoZero"/>
        <c:auto val="1"/>
        <c:lblAlgn val="ctr"/>
        <c:lblOffset val="100"/>
        <c:noMultiLvlLbl val="0"/>
      </c:catAx>
      <c:valAx>
        <c:axId val="-1730762480"/>
        <c:scaling>
          <c:orientation val="minMax"/>
        </c:scaling>
        <c:delete val="0"/>
        <c:axPos val="l"/>
        <c:majorGridlines>
          <c:spPr>
            <a:ln w="6350"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77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8670485756132E-2"/>
          <c:y val="0.13769867798748028"/>
          <c:w val="0.92729065183146575"/>
          <c:h val="0.62719301741461819"/>
        </c:manualLayout>
      </c:layout>
      <c:bar3DChart>
        <c:barDir val="col"/>
        <c:grouping val="stacked"/>
        <c:varyColors val="0"/>
        <c:ser>
          <c:idx val="0"/>
          <c:order val="0"/>
          <c:tx>
            <c:strRef>
              <c:f>Sheet2!$B$17</c:f>
              <c:strCache>
                <c:ptCount val="1"/>
                <c:pt idx="0">
                  <c:v>MASE DENSITET</c:v>
                </c:pt>
              </c:strCache>
            </c:strRef>
          </c:tx>
          <c:spPr>
            <a:solidFill>
              <a:srgbClr val="002060"/>
            </a:solidFill>
            <a:ln>
              <a:noFill/>
            </a:ln>
            <a:effectLst>
              <a:outerShdw blurRad="40000" dist="23000" dir="5400000" rotWithShape="0">
                <a:srgbClr val="000000">
                  <a:alpha val="35000"/>
                </a:srgbClr>
              </a:outerShdw>
            </a:effectLst>
            <a:sp3d/>
          </c:spPr>
          <c:invertIfNegative val="0"/>
          <c:cat>
            <c:numRef>
              <c:f>Sheet2!$C$16:$G$16</c:f>
              <c:numCache>
                <c:formatCode>General</c:formatCode>
                <c:ptCount val="5"/>
                <c:pt idx="0">
                  <c:v>2017</c:v>
                </c:pt>
                <c:pt idx="1">
                  <c:v>2018</c:v>
                </c:pt>
                <c:pt idx="2">
                  <c:v>2019</c:v>
                </c:pt>
                <c:pt idx="3">
                  <c:v>2020</c:v>
                </c:pt>
                <c:pt idx="4">
                  <c:v>2021</c:v>
                </c:pt>
              </c:numCache>
            </c:numRef>
          </c:cat>
          <c:val>
            <c:numRef>
              <c:f>Sheet2!$C$17:$G$17</c:f>
              <c:numCache>
                <c:formatCode>General</c:formatCode>
                <c:ptCount val="5"/>
                <c:pt idx="0">
                  <c:v>615</c:v>
                </c:pt>
                <c:pt idx="1">
                  <c:v>748</c:v>
                </c:pt>
                <c:pt idx="2">
                  <c:v>728</c:v>
                </c:pt>
                <c:pt idx="3">
                  <c:v>767</c:v>
                </c:pt>
                <c:pt idx="4">
                  <c:v>1110</c:v>
                </c:pt>
              </c:numCache>
            </c:numRef>
          </c:val>
          <c:extLst xmlns:c16r2="http://schemas.microsoft.com/office/drawing/2015/06/chart">
            <c:ext xmlns:c16="http://schemas.microsoft.com/office/drawing/2014/chart" uri="{C3380CC4-5D6E-409C-BE32-E72D297353CC}">
              <c16:uniqueId val="{00000000-0607-405D-B828-6A9EDC705C29}"/>
            </c:ext>
          </c:extLst>
        </c:ser>
        <c:ser>
          <c:idx val="1"/>
          <c:order val="1"/>
          <c:tx>
            <c:strRef>
              <c:f>Sheet2!$B$18</c:f>
              <c:strCache>
                <c:ptCount val="1"/>
                <c:pt idx="0">
                  <c:v>TEMEPRATURE, LAGESHTIRE &amp;MATJE ELEKTRIKE</c:v>
                </c:pt>
              </c:strCache>
            </c:strRef>
          </c:tx>
          <c:spPr>
            <a:solidFill>
              <a:srgbClr val="FF0000"/>
            </a:solidFill>
            <a:ln>
              <a:noFill/>
            </a:ln>
            <a:effectLst>
              <a:outerShdw blurRad="40000" dist="23000" dir="5400000" rotWithShape="0">
                <a:srgbClr val="000000">
                  <a:alpha val="35000"/>
                </a:srgbClr>
              </a:outerShdw>
            </a:effectLst>
            <a:sp3d/>
          </c:spPr>
          <c:invertIfNegative val="0"/>
          <c:cat>
            <c:numRef>
              <c:f>Sheet2!$C$16:$G$16</c:f>
              <c:numCache>
                <c:formatCode>General</c:formatCode>
                <c:ptCount val="5"/>
                <c:pt idx="0">
                  <c:v>2017</c:v>
                </c:pt>
                <c:pt idx="1">
                  <c:v>2018</c:v>
                </c:pt>
                <c:pt idx="2">
                  <c:v>2019</c:v>
                </c:pt>
                <c:pt idx="3">
                  <c:v>2020</c:v>
                </c:pt>
                <c:pt idx="4">
                  <c:v>2021</c:v>
                </c:pt>
              </c:numCache>
            </c:numRef>
          </c:cat>
          <c:val>
            <c:numRef>
              <c:f>Sheet2!$C$18:$G$18</c:f>
              <c:numCache>
                <c:formatCode>General</c:formatCode>
                <c:ptCount val="5"/>
                <c:pt idx="0">
                  <c:v>79</c:v>
                </c:pt>
                <c:pt idx="1">
                  <c:v>155</c:v>
                </c:pt>
                <c:pt idx="2">
                  <c:v>136</c:v>
                </c:pt>
                <c:pt idx="3">
                  <c:v>135</c:v>
                </c:pt>
                <c:pt idx="4">
                  <c:v>232</c:v>
                </c:pt>
              </c:numCache>
            </c:numRef>
          </c:val>
          <c:extLst xmlns:c16r2="http://schemas.microsoft.com/office/drawing/2015/06/chart">
            <c:ext xmlns:c16="http://schemas.microsoft.com/office/drawing/2014/chart" uri="{C3380CC4-5D6E-409C-BE32-E72D297353CC}">
              <c16:uniqueId val="{00000001-0607-405D-B828-6A9EDC705C29}"/>
            </c:ext>
          </c:extLst>
        </c:ser>
        <c:ser>
          <c:idx val="2"/>
          <c:order val="2"/>
          <c:tx>
            <c:strRef>
              <c:f>Sheet2!$B$19</c:f>
              <c:strCache>
                <c:ptCount val="1"/>
                <c:pt idx="0">
                  <c:v>PRESION, FORCE</c:v>
                </c:pt>
              </c:strCache>
            </c:strRef>
          </c:tx>
          <c:spPr>
            <a:solidFill>
              <a:srgbClr val="00B050"/>
            </a:solidFill>
            <a:ln>
              <a:noFill/>
            </a:ln>
            <a:effectLst>
              <a:outerShdw blurRad="40000" dist="23000" dir="5400000" rotWithShape="0">
                <a:srgbClr val="000000">
                  <a:alpha val="35000"/>
                </a:srgbClr>
              </a:outerShdw>
            </a:effectLst>
            <a:sp3d/>
          </c:spPr>
          <c:invertIfNegative val="0"/>
          <c:cat>
            <c:numRef>
              <c:f>Sheet2!$C$16:$G$16</c:f>
              <c:numCache>
                <c:formatCode>General</c:formatCode>
                <c:ptCount val="5"/>
                <c:pt idx="0">
                  <c:v>2017</c:v>
                </c:pt>
                <c:pt idx="1">
                  <c:v>2018</c:v>
                </c:pt>
                <c:pt idx="2">
                  <c:v>2019</c:v>
                </c:pt>
                <c:pt idx="3">
                  <c:v>2020</c:v>
                </c:pt>
                <c:pt idx="4">
                  <c:v>2021</c:v>
                </c:pt>
              </c:numCache>
            </c:numRef>
          </c:cat>
          <c:val>
            <c:numRef>
              <c:f>Sheet2!$C$19:$G$19</c:f>
              <c:numCache>
                <c:formatCode>General</c:formatCode>
                <c:ptCount val="5"/>
                <c:pt idx="0">
                  <c:v>121</c:v>
                </c:pt>
                <c:pt idx="1">
                  <c:v>130</c:v>
                </c:pt>
                <c:pt idx="2">
                  <c:v>113</c:v>
                </c:pt>
                <c:pt idx="3">
                  <c:v>97</c:v>
                </c:pt>
                <c:pt idx="4">
                  <c:v>98</c:v>
                </c:pt>
              </c:numCache>
            </c:numRef>
          </c:val>
          <c:extLst xmlns:c16r2="http://schemas.microsoft.com/office/drawing/2015/06/chart">
            <c:ext xmlns:c16="http://schemas.microsoft.com/office/drawing/2014/chart" uri="{C3380CC4-5D6E-409C-BE32-E72D297353CC}">
              <c16:uniqueId val="{00000002-0607-405D-B828-6A9EDC705C29}"/>
            </c:ext>
          </c:extLst>
        </c:ser>
        <c:ser>
          <c:idx val="3"/>
          <c:order val="3"/>
          <c:tx>
            <c:strRef>
              <c:f>Sheet2!$B$20</c:f>
              <c:strCache>
                <c:ptCount val="1"/>
                <c:pt idx="0">
                  <c:v>MATJE DIMENSIONALOE</c:v>
                </c:pt>
              </c:strCache>
            </c:strRef>
          </c:tx>
          <c:spPr>
            <a:solidFill>
              <a:srgbClr val="00B0F0"/>
            </a:solidFill>
            <a:ln>
              <a:noFill/>
            </a:ln>
            <a:effectLst>
              <a:outerShdw blurRad="40000" dist="23000" dir="5400000" rotWithShape="0">
                <a:srgbClr val="000000">
                  <a:alpha val="35000"/>
                </a:srgbClr>
              </a:outerShdw>
            </a:effectLst>
            <a:sp3d/>
          </c:spPr>
          <c:invertIfNegative val="0"/>
          <c:cat>
            <c:numRef>
              <c:f>Sheet2!$C$16:$G$16</c:f>
              <c:numCache>
                <c:formatCode>General</c:formatCode>
                <c:ptCount val="5"/>
                <c:pt idx="0">
                  <c:v>2017</c:v>
                </c:pt>
                <c:pt idx="1">
                  <c:v>2018</c:v>
                </c:pt>
                <c:pt idx="2">
                  <c:v>2019</c:v>
                </c:pt>
                <c:pt idx="3">
                  <c:v>2020</c:v>
                </c:pt>
                <c:pt idx="4">
                  <c:v>2021</c:v>
                </c:pt>
              </c:numCache>
            </c:numRef>
          </c:cat>
          <c:val>
            <c:numRef>
              <c:f>Sheet2!$C$20:$G$20</c:f>
              <c:numCache>
                <c:formatCode>General</c:formatCode>
                <c:ptCount val="5"/>
                <c:pt idx="0">
                  <c:v>165</c:v>
                </c:pt>
                <c:pt idx="1">
                  <c:v>49</c:v>
                </c:pt>
                <c:pt idx="2">
                  <c:v>85</c:v>
                </c:pt>
                <c:pt idx="3">
                  <c:v>80</c:v>
                </c:pt>
                <c:pt idx="4">
                  <c:v>70</c:v>
                </c:pt>
              </c:numCache>
            </c:numRef>
          </c:val>
          <c:extLst xmlns:c16r2="http://schemas.microsoft.com/office/drawing/2015/06/chart">
            <c:ext xmlns:c16="http://schemas.microsoft.com/office/drawing/2014/chart" uri="{C3380CC4-5D6E-409C-BE32-E72D297353CC}">
              <c16:uniqueId val="{00000003-0607-405D-B828-6A9EDC705C29}"/>
            </c:ext>
          </c:extLst>
        </c:ser>
        <c:ser>
          <c:idx val="4"/>
          <c:order val="4"/>
          <c:tx>
            <c:strRef>
              <c:f>Sheet2!$B$21</c:f>
              <c:strCache>
                <c:ptCount val="1"/>
                <c:pt idx="0">
                  <c:v>VOLUM, RRJEDHJE &amp; KIMI</c:v>
                </c:pt>
              </c:strCache>
            </c:strRef>
          </c:tx>
          <c:spPr>
            <a:solidFill>
              <a:srgbClr val="FFFF00"/>
            </a:solidFill>
            <a:ln>
              <a:noFill/>
            </a:ln>
            <a:effectLst>
              <a:outerShdw blurRad="40000" dist="23000" dir="5400000" rotWithShape="0">
                <a:srgbClr val="000000">
                  <a:alpha val="35000"/>
                </a:srgbClr>
              </a:outerShdw>
            </a:effectLst>
            <a:sp3d/>
          </c:spPr>
          <c:invertIfNegative val="0"/>
          <c:cat>
            <c:numRef>
              <c:f>Sheet2!$C$16:$G$16</c:f>
              <c:numCache>
                <c:formatCode>General</c:formatCode>
                <c:ptCount val="5"/>
                <c:pt idx="0">
                  <c:v>2017</c:v>
                </c:pt>
                <c:pt idx="1">
                  <c:v>2018</c:v>
                </c:pt>
                <c:pt idx="2">
                  <c:v>2019</c:v>
                </c:pt>
                <c:pt idx="3">
                  <c:v>2020</c:v>
                </c:pt>
                <c:pt idx="4">
                  <c:v>2021</c:v>
                </c:pt>
              </c:numCache>
            </c:numRef>
          </c:cat>
          <c:val>
            <c:numRef>
              <c:f>Sheet2!$C$21:$G$21</c:f>
              <c:numCache>
                <c:formatCode>General</c:formatCode>
                <c:ptCount val="5"/>
                <c:pt idx="0">
                  <c:v>500</c:v>
                </c:pt>
                <c:pt idx="1">
                  <c:v>480</c:v>
                </c:pt>
                <c:pt idx="2">
                  <c:v>220</c:v>
                </c:pt>
                <c:pt idx="3">
                  <c:v>213</c:v>
                </c:pt>
                <c:pt idx="4">
                  <c:v>311</c:v>
                </c:pt>
              </c:numCache>
            </c:numRef>
          </c:val>
          <c:extLst xmlns:c16r2="http://schemas.microsoft.com/office/drawing/2015/06/chart">
            <c:ext xmlns:c16="http://schemas.microsoft.com/office/drawing/2014/chart" uri="{C3380CC4-5D6E-409C-BE32-E72D297353CC}">
              <c16:uniqueId val="{00000004-0607-405D-B828-6A9EDC705C29}"/>
            </c:ext>
          </c:extLst>
        </c:ser>
        <c:dLbls>
          <c:showLegendKey val="0"/>
          <c:showVal val="0"/>
          <c:showCatName val="0"/>
          <c:showSerName val="0"/>
          <c:showPercent val="0"/>
          <c:showBubbleSize val="0"/>
        </c:dLbls>
        <c:gapWidth val="150"/>
        <c:shape val="box"/>
        <c:axId val="-1730773904"/>
        <c:axId val="-1853792624"/>
        <c:axId val="0"/>
      </c:bar3DChart>
      <c:catAx>
        <c:axId val="-1730773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853792624"/>
        <c:crosses val="autoZero"/>
        <c:auto val="1"/>
        <c:lblAlgn val="ctr"/>
        <c:lblOffset val="100"/>
        <c:noMultiLvlLbl val="0"/>
      </c:catAx>
      <c:valAx>
        <c:axId val="-18537926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307739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3"/>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4"/>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ayout>
        <c:manualLayout>
          <c:xMode val="edge"/>
          <c:yMode val="edge"/>
          <c:x val="0.24733447206757034"/>
          <c:y val="3.306133816542952E-2"/>
          <c:w val="0.63302375813703537"/>
          <c:h val="0.2346210116486156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lumMod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0"/>
          <c:tx>
            <c:strRef>
              <c:f>Sheet1!$B$5</c:f>
              <c:strCache>
                <c:ptCount val="1"/>
                <c:pt idx="0">
                  <c:v>peshore </c:v>
                </c:pt>
              </c:strCache>
            </c:strRef>
          </c:tx>
          <c:spPr>
            <a:solidFill>
              <a:srgbClr val="C00000"/>
            </a:solidFill>
            <a:ln>
              <a:noFill/>
            </a:ln>
            <a:effectLst/>
            <a:sp3d/>
          </c:spPr>
          <c:invertIfNegative val="0"/>
          <c:val>
            <c:numRef>
              <c:f>Sheet1!$B$6:$B$9</c:f>
              <c:numCache>
                <c:formatCode>General</c:formatCode>
                <c:ptCount val="4"/>
                <c:pt idx="0">
                  <c:v>9875</c:v>
                </c:pt>
                <c:pt idx="1">
                  <c:v>9667</c:v>
                </c:pt>
                <c:pt idx="2">
                  <c:v>8922</c:v>
                </c:pt>
                <c:pt idx="3">
                  <c:v>9791</c:v>
                </c:pt>
              </c:numCache>
            </c:numRef>
          </c:val>
          <c:extLst xmlns:c16r2="http://schemas.microsoft.com/office/drawing/2015/06/chart">
            <c:ext xmlns:c16="http://schemas.microsoft.com/office/drawing/2014/chart" uri="{C3380CC4-5D6E-409C-BE32-E72D297353CC}">
              <c16:uniqueId val="{00000000-545C-4217-BBAC-726CBB6F08BA}"/>
            </c:ext>
          </c:extLst>
        </c:ser>
        <c:ser>
          <c:idx val="2"/>
          <c:order val="1"/>
          <c:tx>
            <c:strRef>
              <c:f>Sheet1!$C$5</c:f>
              <c:strCache>
                <c:ptCount val="1"/>
                <c:pt idx="0">
                  <c:v>Gramarë</c:v>
                </c:pt>
              </c:strCache>
            </c:strRef>
          </c:tx>
          <c:spPr>
            <a:solidFill>
              <a:srgbClr val="00B0F0"/>
            </a:solidFill>
            <a:ln>
              <a:noFill/>
            </a:ln>
            <a:effectLst/>
            <a:sp3d/>
          </c:spPr>
          <c:invertIfNegative val="0"/>
          <c:val>
            <c:numRef>
              <c:f>Sheet1!$C$6:$C$9</c:f>
              <c:numCache>
                <c:formatCode>General</c:formatCode>
                <c:ptCount val="4"/>
                <c:pt idx="0">
                  <c:v>5572</c:v>
                </c:pt>
                <c:pt idx="1">
                  <c:v>5443</c:v>
                </c:pt>
                <c:pt idx="2">
                  <c:v>5041</c:v>
                </c:pt>
                <c:pt idx="3">
                  <c:v>4758</c:v>
                </c:pt>
              </c:numCache>
            </c:numRef>
          </c:val>
          <c:extLst xmlns:c16r2="http://schemas.microsoft.com/office/drawing/2015/06/chart">
            <c:ext xmlns:c16="http://schemas.microsoft.com/office/drawing/2014/chart" uri="{C3380CC4-5D6E-409C-BE32-E72D297353CC}">
              <c16:uniqueId val="{00000001-545C-4217-BBAC-726CBB6F08BA}"/>
            </c:ext>
          </c:extLst>
        </c:ser>
        <c:ser>
          <c:idx val="3"/>
          <c:order val="2"/>
          <c:tx>
            <c:strRef>
              <c:f>Sheet1!$D$5</c:f>
              <c:strCache>
                <c:ptCount val="1"/>
                <c:pt idx="0">
                  <c:v>Masa vëllimore</c:v>
                </c:pt>
              </c:strCache>
            </c:strRef>
          </c:tx>
          <c:spPr>
            <a:solidFill>
              <a:schemeClr val="accent4"/>
            </a:solidFill>
            <a:ln>
              <a:noFill/>
            </a:ln>
            <a:effectLst/>
            <a:sp3d/>
          </c:spPr>
          <c:invertIfNegative val="0"/>
          <c:val>
            <c:numRef>
              <c:f>Sheet1!$D$6:$D$9</c:f>
              <c:numCache>
                <c:formatCode>General</c:formatCode>
                <c:ptCount val="4"/>
                <c:pt idx="0">
                  <c:v>15212</c:v>
                </c:pt>
                <c:pt idx="1">
                  <c:v>15158</c:v>
                </c:pt>
                <c:pt idx="2">
                  <c:v>11772</c:v>
                </c:pt>
                <c:pt idx="3">
                  <c:v>13477</c:v>
                </c:pt>
              </c:numCache>
            </c:numRef>
          </c:val>
          <c:extLst xmlns:c16r2="http://schemas.microsoft.com/office/drawing/2015/06/chart">
            <c:ext xmlns:c16="http://schemas.microsoft.com/office/drawing/2014/chart" uri="{C3380CC4-5D6E-409C-BE32-E72D297353CC}">
              <c16:uniqueId val="{00000002-545C-4217-BBAC-726CBB6F08BA}"/>
            </c:ext>
          </c:extLst>
        </c:ser>
        <c:ser>
          <c:idx val="4"/>
          <c:order val="3"/>
          <c:tx>
            <c:strRef>
              <c:f>Sheet1!$E$5</c:f>
              <c:strCache>
                <c:ptCount val="1"/>
                <c:pt idx="0">
                  <c:v>Autobote</c:v>
                </c:pt>
              </c:strCache>
            </c:strRef>
          </c:tx>
          <c:spPr>
            <a:solidFill>
              <a:schemeClr val="accent5"/>
            </a:solidFill>
            <a:ln>
              <a:noFill/>
            </a:ln>
            <a:effectLst/>
            <a:sp3d/>
          </c:spPr>
          <c:invertIfNegative val="0"/>
          <c:val>
            <c:numRef>
              <c:f>Sheet1!$E$6:$E$9</c:f>
              <c:numCache>
                <c:formatCode>General</c:formatCode>
                <c:ptCount val="4"/>
                <c:pt idx="0">
                  <c:v>2</c:v>
                </c:pt>
                <c:pt idx="1">
                  <c:v>3</c:v>
                </c:pt>
              </c:numCache>
            </c:numRef>
          </c:val>
          <c:extLst xmlns:c16r2="http://schemas.microsoft.com/office/drawing/2015/06/chart">
            <c:ext xmlns:c16="http://schemas.microsoft.com/office/drawing/2014/chart" uri="{C3380CC4-5D6E-409C-BE32-E72D297353CC}">
              <c16:uniqueId val="{00000003-545C-4217-BBAC-726CBB6F08BA}"/>
            </c:ext>
          </c:extLst>
        </c:ser>
        <c:ser>
          <c:idx val="5"/>
          <c:order val="4"/>
          <c:tx>
            <c:strRef>
              <c:f>Sheet1!$F$5</c:f>
              <c:strCache>
                <c:ptCount val="1"/>
                <c:pt idx="0">
                  <c:v>Cisterna</c:v>
                </c:pt>
              </c:strCache>
            </c:strRef>
          </c:tx>
          <c:spPr>
            <a:solidFill>
              <a:schemeClr val="accent6"/>
            </a:solidFill>
            <a:ln>
              <a:noFill/>
            </a:ln>
            <a:effectLst/>
            <a:sp3d/>
          </c:spPr>
          <c:invertIfNegative val="0"/>
          <c:val>
            <c:numRef>
              <c:f>Sheet1!$F$6:$F$9</c:f>
              <c:numCache>
                <c:formatCode>General</c:formatCode>
                <c:ptCount val="4"/>
                <c:pt idx="0">
                  <c:v>201</c:v>
                </c:pt>
                <c:pt idx="1">
                  <c:v>14</c:v>
                </c:pt>
                <c:pt idx="2">
                  <c:v>57</c:v>
                </c:pt>
              </c:numCache>
            </c:numRef>
          </c:val>
          <c:extLst xmlns:c16r2="http://schemas.microsoft.com/office/drawing/2015/06/chart">
            <c:ext xmlns:c16="http://schemas.microsoft.com/office/drawing/2014/chart" uri="{C3380CC4-5D6E-409C-BE32-E72D297353CC}">
              <c16:uniqueId val="{00000004-545C-4217-BBAC-726CBB6F08BA}"/>
            </c:ext>
          </c:extLst>
        </c:ser>
        <c:ser>
          <c:idx val="6"/>
          <c:order val="5"/>
          <c:tx>
            <c:strRef>
              <c:f>Sheet1!$G$5</c:f>
              <c:strCache>
                <c:ptCount val="1"/>
                <c:pt idx="0">
                  <c:v>Rezervuarë</c:v>
                </c:pt>
              </c:strCache>
            </c:strRef>
          </c:tx>
          <c:spPr>
            <a:solidFill>
              <a:schemeClr val="accent1">
                <a:lumMod val="60000"/>
              </a:schemeClr>
            </a:solidFill>
            <a:ln>
              <a:noFill/>
            </a:ln>
            <a:effectLst/>
            <a:sp3d/>
          </c:spPr>
          <c:invertIfNegative val="0"/>
          <c:val>
            <c:numRef>
              <c:f>Sheet1!$G$6:$G$9</c:f>
              <c:numCache>
                <c:formatCode>General</c:formatCode>
                <c:ptCount val="4"/>
                <c:pt idx="1">
                  <c:v>397</c:v>
                </c:pt>
                <c:pt idx="2">
                  <c:v>270</c:v>
                </c:pt>
                <c:pt idx="3">
                  <c:v>342</c:v>
                </c:pt>
              </c:numCache>
            </c:numRef>
          </c:val>
          <c:extLst xmlns:c16r2="http://schemas.microsoft.com/office/drawing/2015/06/chart">
            <c:ext xmlns:c16="http://schemas.microsoft.com/office/drawing/2014/chart" uri="{C3380CC4-5D6E-409C-BE32-E72D297353CC}">
              <c16:uniqueId val="{00000005-545C-4217-BBAC-726CBB6F08BA}"/>
            </c:ext>
          </c:extLst>
        </c:ser>
        <c:ser>
          <c:idx val="7"/>
          <c:order val="6"/>
          <c:tx>
            <c:strRef>
              <c:f>Sheet1!$H$5</c:f>
              <c:strCache>
                <c:ptCount val="1"/>
                <c:pt idx="0">
                  <c:v>Distributor/Kontalitra</c:v>
                </c:pt>
              </c:strCache>
            </c:strRef>
          </c:tx>
          <c:spPr>
            <a:solidFill>
              <a:srgbClr val="00B050"/>
            </a:solidFill>
            <a:ln>
              <a:noFill/>
            </a:ln>
            <a:effectLst/>
            <a:sp3d/>
          </c:spPr>
          <c:invertIfNegative val="0"/>
          <c:val>
            <c:numRef>
              <c:f>Sheet1!$H$6:$H$9</c:f>
              <c:numCache>
                <c:formatCode>General</c:formatCode>
                <c:ptCount val="4"/>
                <c:pt idx="0">
                  <c:v>12425</c:v>
                </c:pt>
                <c:pt idx="1">
                  <c:v>12073</c:v>
                </c:pt>
                <c:pt idx="2">
                  <c:v>2364</c:v>
                </c:pt>
                <c:pt idx="3">
                  <c:v>367</c:v>
                </c:pt>
              </c:numCache>
            </c:numRef>
          </c:val>
          <c:extLst xmlns:c16r2="http://schemas.microsoft.com/office/drawing/2015/06/chart">
            <c:ext xmlns:c16="http://schemas.microsoft.com/office/drawing/2014/chart" uri="{C3380CC4-5D6E-409C-BE32-E72D297353CC}">
              <c16:uniqueId val="{00000006-545C-4217-BBAC-726CBB6F08BA}"/>
            </c:ext>
          </c:extLst>
        </c:ser>
        <c:ser>
          <c:idx val="8"/>
          <c:order val="7"/>
          <c:tx>
            <c:strRef>
              <c:f>Sheet1!$I$5</c:f>
              <c:strCache>
                <c:ptCount val="1"/>
                <c:pt idx="0">
                  <c:v>Metra</c:v>
                </c:pt>
              </c:strCache>
            </c:strRef>
          </c:tx>
          <c:spPr>
            <a:solidFill>
              <a:schemeClr val="accent3">
                <a:lumMod val="60000"/>
              </a:schemeClr>
            </a:solidFill>
            <a:ln>
              <a:noFill/>
            </a:ln>
            <a:effectLst/>
            <a:sp3d/>
          </c:spPr>
          <c:invertIfNegative val="0"/>
          <c:val>
            <c:numRef>
              <c:f>Sheet1!$I$6:$I$9</c:f>
              <c:numCache>
                <c:formatCode>General</c:formatCode>
                <c:ptCount val="4"/>
                <c:pt idx="0">
                  <c:v>273</c:v>
                </c:pt>
                <c:pt idx="1">
                  <c:v>317</c:v>
                </c:pt>
                <c:pt idx="2">
                  <c:v>298</c:v>
                </c:pt>
                <c:pt idx="3">
                  <c:v>339</c:v>
                </c:pt>
              </c:numCache>
            </c:numRef>
          </c:val>
          <c:extLst xmlns:c16r2="http://schemas.microsoft.com/office/drawing/2015/06/chart">
            <c:ext xmlns:c16="http://schemas.microsoft.com/office/drawing/2014/chart" uri="{C3380CC4-5D6E-409C-BE32-E72D297353CC}">
              <c16:uniqueId val="{00000007-545C-4217-BBAC-726CBB6F08BA}"/>
            </c:ext>
          </c:extLst>
        </c:ser>
        <c:ser>
          <c:idx val="9"/>
          <c:order val="8"/>
          <c:tx>
            <c:strRef>
              <c:f>Sheet1!$J$5</c:f>
              <c:strCache>
                <c:ptCount val="1"/>
                <c:pt idx="0">
                  <c:v>Dozatore</c:v>
                </c:pt>
              </c:strCache>
            </c:strRef>
          </c:tx>
          <c:spPr>
            <a:solidFill>
              <a:schemeClr val="accent4">
                <a:lumMod val="60000"/>
              </a:schemeClr>
            </a:solidFill>
            <a:ln>
              <a:noFill/>
            </a:ln>
            <a:effectLst/>
            <a:sp3d/>
          </c:spPr>
          <c:invertIfNegative val="0"/>
          <c:val>
            <c:numRef>
              <c:f>Sheet1!$J$6:$J$9</c:f>
              <c:numCache>
                <c:formatCode>General</c:formatCode>
                <c:ptCount val="4"/>
                <c:pt idx="0">
                  <c:v>2108</c:v>
                </c:pt>
                <c:pt idx="1">
                  <c:v>1845</c:v>
                </c:pt>
                <c:pt idx="2">
                  <c:v>2224</c:v>
                </c:pt>
                <c:pt idx="3">
                  <c:v>2423</c:v>
                </c:pt>
              </c:numCache>
            </c:numRef>
          </c:val>
          <c:extLst xmlns:c16r2="http://schemas.microsoft.com/office/drawing/2015/06/chart">
            <c:ext xmlns:c16="http://schemas.microsoft.com/office/drawing/2014/chart" uri="{C3380CC4-5D6E-409C-BE32-E72D297353CC}">
              <c16:uniqueId val="{00000008-545C-4217-BBAC-726CBB6F08BA}"/>
            </c:ext>
          </c:extLst>
        </c:ser>
        <c:ser>
          <c:idx val="10"/>
          <c:order val="9"/>
          <c:tx>
            <c:strRef>
              <c:f>Sheet1!$K$5</c:f>
              <c:strCache>
                <c:ptCount val="1"/>
                <c:pt idx="0">
                  <c:v>Taksimetra</c:v>
                </c:pt>
              </c:strCache>
            </c:strRef>
          </c:tx>
          <c:spPr>
            <a:solidFill>
              <a:schemeClr val="accent5">
                <a:lumMod val="60000"/>
              </a:schemeClr>
            </a:solidFill>
            <a:ln>
              <a:noFill/>
            </a:ln>
            <a:effectLst/>
            <a:sp3d/>
          </c:spPr>
          <c:invertIfNegative val="0"/>
          <c:val>
            <c:numRef>
              <c:f>Sheet1!$K$6:$K$9</c:f>
              <c:numCache>
                <c:formatCode>General</c:formatCode>
                <c:ptCount val="4"/>
                <c:pt idx="0">
                  <c:v>1505</c:v>
                </c:pt>
                <c:pt idx="1">
                  <c:v>1836</c:v>
                </c:pt>
                <c:pt idx="2">
                  <c:v>2123</c:v>
                </c:pt>
                <c:pt idx="3">
                  <c:v>2089</c:v>
                </c:pt>
              </c:numCache>
            </c:numRef>
          </c:val>
          <c:extLst xmlns:c16r2="http://schemas.microsoft.com/office/drawing/2015/06/chart">
            <c:ext xmlns:c16="http://schemas.microsoft.com/office/drawing/2014/chart" uri="{C3380CC4-5D6E-409C-BE32-E72D297353CC}">
              <c16:uniqueId val="{00000009-545C-4217-BBAC-726CBB6F08BA}"/>
            </c:ext>
          </c:extLst>
        </c:ser>
        <c:ser>
          <c:idx val="11"/>
          <c:order val="10"/>
          <c:tx>
            <c:strRef>
              <c:f>Sheet1!$L$5</c:f>
              <c:strCache>
                <c:ptCount val="1"/>
                <c:pt idx="0">
                  <c:v>Mikroskopë</c:v>
                </c:pt>
              </c:strCache>
            </c:strRef>
          </c:tx>
          <c:spPr>
            <a:solidFill>
              <a:schemeClr val="accent6">
                <a:lumMod val="60000"/>
              </a:schemeClr>
            </a:solidFill>
            <a:ln>
              <a:noFill/>
            </a:ln>
            <a:effectLst/>
            <a:sp3d/>
          </c:spPr>
          <c:invertIfNegative val="0"/>
          <c:val>
            <c:numRef>
              <c:f>Sheet1!$L$6:$L$9</c:f>
              <c:numCache>
                <c:formatCode>General</c:formatCode>
                <c:ptCount val="4"/>
                <c:pt idx="0">
                  <c:v>9</c:v>
                </c:pt>
                <c:pt idx="1">
                  <c:v>11</c:v>
                </c:pt>
                <c:pt idx="2">
                  <c:v>5</c:v>
                </c:pt>
              </c:numCache>
            </c:numRef>
          </c:val>
          <c:extLst xmlns:c16r2="http://schemas.microsoft.com/office/drawing/2015/06/chart">
            <c:ext xmlns:c16="http://schemas.microsoft.com/office/drawing/2014/chart" uri="{C3380CC4-5D6E-409C-BE32-E72D297353CC}">
              <c16:uniqueId val="{0000000A-545C-4217-BBAC-726CBB6F08BA}"/>
            </c:ext>
          </c:extLst>
        </c:ser>
        <c:ser>
          <c:idx val="12"/>
          <c:order val="11"/>
          <c:tx>
            <c:strRef>
              <c:f>Sheet1!#REF!</c:f>
              <c:strCache>
                <c:ptCount val="1"/>
                <c:pt idx="0">
                  <c:v>#REF!</c:v>
                </c:pt>
              </c:strCache>
            </c:strRef>
          </c:tx>
          <c:spPr>
            <a:solidFill>
              <a:schemeClr val="accent1">
                <a:lumMod val="80000"/>
                <a:lumOff val="20000"/>
              </a:schemeClr>
            </a:solidFill>
            <a:ln>
              <a:noFill/>
            </a:ln>
            <a:effectLst/>
            <a:sp3d/>
          </c:spPr>
          <c:invertIfNegative val="0"/>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B-545C-4217-BBAC-726CBB6F08BA}"/>
            </c:ext>
          </c:extLst>
        </c:ser>
        <c:ser>
          <c:idx val="13"/>
          <c:order val="12"/>
          <c:tx>
            <c:strRef>
              <c:f>Sheet1!$M$5</c:f>
              <c:strCache>
                <c:ptCount val="1"/>
                <c:pt idx="0">
                  <c:v>ene volumore druri</c:v>
                </c:pt>
              </c:strCache>
            </c:strRef>
          </c:tx>
          <c:spPr>
            <a:solidFill>
              <a:schemeClr val="accent2">
                <a:lumMod val="80000"/>
                <a:lumOff val="20000"/>
              </a:schemeClr>
            </a:solidFill>
            <a:ln>
              <a:noFill/>
            </a:ln>
            <a:effectLst/>
            <a:sp3d/>
          </c:spPr>
          <c:invertIfNegative val="0"/>
          <c:val>
            <c:numRef>
              <c:f>Sheet1!$M$6:$M$9</c:f>
              <c:numCache>
                <c:formatCode>General</c:formatCode>
                <c:ptCount val="4"/>
                <c:pt idx="0">
                  <c:v>11</c:v>
                </c:pt>
                <c:pt idx="1">
                  <c:v>60</c:v>
                </c:pt>
                <c:pt idx="2">
                  <c:v>160</c:v>
                </c:pt>
              </c:numCache>
            </c:numRef>
          </c:val>
          <c:extLst xmlns:c16r2="http://schemas.microsoft.com/office/drawing/2015/06/chart">
            <c:ext xmlns:c16="http://schemas.microsoft.com/office/drawing/2014/chart" uri="{C3380CC4-5D6E-409C-BE32-E72D297353CC}">
              <c16:uniqueId val="{0000000C-545C-4217-BBAC-726CBB6F08BA}"/>
            </c:ext>
          </c:extLst>
        </c:ser>
        <c:ser>
          <c:idx val="14"/>
          <c:order val="13"/>
          <c:tx>
            <c:strRef>
              <c:f>Sheet1!$N$5</c:f>
              <c:strCache>
                <c:ptCount val="1"/>
                <c:pt idx="0">
                  <c:v>Peshore automobilistike</c:v>
                </c:pt>
              </c:strCache>
            </c:strRef>
          </c:tx>
          <c:spPr>
            <a:solidFill>
              <a:srgbClr val="7030A0"/>
            </a:solidFill>
            <a:ln>
              <a:noFill/>
            </a:ln>
            <a:effectLst/>
            <a:sp3d/>
          </c:spPr>
          <c:invertIfNegative val="0"/>
          <c:val>
            <c:numRef>
              <c:f>Sheet1!$N$6:$N$9</c:f>
              <c:numCache>
                <c:formatCode>General</c:formatCode>
                <c:ptCount val="4"/>
                <c:pt idx="0">
                  <c:v>47</c:v>
                </c:pt>
                <c:pt idx="1">
                  <c:v>47</c:v>
                </c:pt>
                <c:pt idx="2">
                  <c:v>137</c:v>
                </c:pt>
                <c:pt idx="3">
                  <c:v>111</c:v>
                </c:pt>
              </c:numCache>
            </c:numRef>
          </c:val>
          <c:extLst xmlns:c16r2="http://schemas.microsoft.com/office/drawing/2015/06/chart">
            <c:ext xmlns:c16="http://schemas.microsoft.com/office/drawing/2014/chart" uri="{C3380CC4-5D6E-409C-BE32-E72D297353CC}">
              <c16:uniqueId val="{0000000D-545C-4217-BBAC-726CBB6F08BA}"/>
            </c:ext>
          </c:extLst>
        </c:ser>
        <c:dLbls>
          <c:showLegendKey val="0"/>
          <c:showVal val="0"/>
          <c:showCatName val="0"/>
          <c:showSerName val="0"/>
          <c:showPercent val="0"/>
          <c:showBubbleSize val="0"/>
        </c:dLbls>
        <c:gapWidth val="150"/>
        <c:shape val="box"/>
        <c:axId val="-1692380640"/>
        <c:axId val="-1692366496"/>
        <c:axId val="0"/>
      </c:bar3DChart>
      <c:catAx>
        <c:axId val="-1692380640"/>
        <c:scaling>
          <c:orientation val="minMax"/>
        </c:scaling>
        <c:delete val="1"/>
        <c:axPos val="b"/>
        <c:title>
          <c:tx>
            <c:rich>
              <a:bodyPr rot="0" spcFirstLastPara="1" vertOverflow="ellipsis" vert="horz" wrap="square" anchor="ctr" anchorCtr="1"/>
              <a:lstStyle/>
              <a:p>
                <a:pPr>
                  <a:defRPr sz="1000" b="0" i="0" u="none" strike="noStrike" kern="1200" baseline="0">
                    <a:ln>
                      <a:solidFill>
                        <a:schemeClr val="accent1">
                          <a:lumMod val="50000"/>
                        </a:schemeClr>
                      </a:solidFill>
                    </a:ln>
                    <a:solidFill>
                      <a:schemeClr val="tx1">
                        <a:lumMod val="65000"/>
                        <a:lumOff val="35000"/>
                      </a:schemeClr>
                    </a:solidFill>
                    <a:latin typeface="+mn-lt"/>
                    <a:ea typeface="+mn-ea"/>
                    <a:cs typeface="+mn-cs"/>
                  </a:defRPr>
                </a:pPr>
                <a:r>
                  <a:rPr lang="en-US" sz="1200" b="1">
                    <a:solidFill>
                      <a:schemeClr val="tx1"/>
                    </a:solidFill>
                  </a:rPr>
                  <a:t>Viti</a:t>
                </a:r>
              </a:p>
            </c:rich>
          </c:tx>
          <c:layout>
            <c:manualLayout>
              <c:xMode val="edge"/>
              <c:yMode val="edge"/>
              <c:x val="0.53306894692672613"/>
              <c:y val="0.58545813733779184"/>
            </c:manualLayout>
          </c:layout>
          <c:overlay val="0"/>
          <c:spPr>
            <a:noFill/>
            <a:ln>
              <a:noFill/>
            </a:ln>
            <a:effectLst/>
          </c:spPr>
          <c:txPr>
            <a:bodyPr rot="0" spcFirstLastPara="1" vertOverflow="ellipsis" vert="horz" wrap="square" anchor="ctr" anchorCtr="1"/>
            <a:lstStyle/>
            <a:p>
              <a:pPr>
                <a:defRPr sz="1000" b="0" i="0" u="none" strike="noStrike" kern="1200" baseline="0">
                  <a:ln>
                    <a:solidFill>
                      <a:schemeClr val="accent1">
                        <a:lumMod val="50000"/>
                      </a:schemeClr>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692366496"/>
        <c:crosses val="autoZero"/>
        <c:auto val="1"/>
        <c:lblAlgn val="ctr"/>
        <c:lblOffset val="100"/>
        <c:noMultiLvlLbl val="0"/>
      </c:catAx>
      <c:valAx>
        <c:axId val="-169236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accent1">
                          <a:lumMod val="50000"/>
                        </a:schemeClr>
                      </a:solidFill>
                    </a:ln>
                    <a:solidFill>
                      <a:sysClr val="windowText" lastClr="000000"/>
                    </a:solidFill>
                    <a:latin typeface="+mn-lt"/>
                    <a:ea typeface="+mn-ea"/>
                    <a:cs typeface="+mn-cs"/>
                  </a:defRPr>
                </a:pPr>
                <a:r>
                  <a:rPr lang="en-US">
                    <a:solidFill>
                      <a:sysClr val="windowText" lastClr="000000"/>
                    </a:solidFill>
                  </a:rPr>
                  <a:t>nr Im</a:t>
                </a:r>
                <a:r>
                  <a:rPr lang="en-US" baseline="0">
                    <a:solidFill>
                      <a:sysClr val="windowText" lastClr="000000"/>
                    </a:solidFill>
                  </a:rPr>
                  <a:t> te verifikuara </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accent1">
                        <a:lumMod val="50000"/>
                      </a:schemeClr>
                    </a:solidFill>
                  </a:ln>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692380640"/>
        <c:crosses val="autoZero"/>
        <c:crossBetween val="between"/>
      </c:valAx>
      <c:spPr>
        <a:noFill/>
        <a:ln>
          <a:noFill/>
        </a:ln>
        <a:effectLst/>
      </c:spPr>
    </c:plotArea>
    <c:legend>
      <c:legendPos val="b"/>
      <c:legendEntry>
        <c:idx val="11"/>
        <c:delete val="1"/>
      </c:legendEntry>
      <c:layout>
        <c:manualLayout>
          <c:xMode val="edge"/>
          <c:yMode val="edge"/>
          <c:x val="4.3554490875877393E-2"/>
          <c:y val="0.75624932783801269"/>
          <c:w val="0.8929486295932485"/>
          <c:h val="0.21853529077934386"/>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lumMod val="50000"/>
        </a:schemeClr>
      </a:solidFill>
      <a:round/>
    </a:ln>
    <a:effectLst/>
  </c:spPr>
  <c:txPr>
    <a:bodyPr/>
    <a:lstStyle/>
    <a:p>
      <a:pPr>
        <a:defRPr>
          <a:ln>
            <a:solidFill>
              <a:schemeClr val="accent1">
                <a:lumMod val="50000"/>
              </a:schemeClr>
            </a:solidFill>
          </a:ln>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0.21966</cdr:x>
      <cdr:y>0.66144</cdr:y>
    </cdr:from>
    <cdr:to>
      <cdr:x>0.88787</cdr:x>
      <cdr:y>0.76398</cdr:y>
    </cdr:to>
    <cdr:sp macro="" textlink="">
      <cdr:nvSpPr>
        <cdr:cNvPr id="3" name="Text Box 2"/>
        <cdr:cNvSpPr txBox="1">
          <a:spLocks xmlns:a="http://schemas.openxmlformats.org/drawingml/2006/main" noChangeArrowheads="1"/>
        </cdr:cNvSpPr>
      </cdr:nvSpPr>
      <cdr:spPr bwMode="auto">
        <a:xfrm xmlns:a="http://schemas.openxmlformats.org/drawingml/2006/main">
          <a:off x="1258955" y="1998842"/>
          <a:ext cx="3829879" cy="30988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GB" sz="1100" b="1">
              <a:effectLst/>
              <a:latin typeface="Calibri" panose="020F0502020204030204" pitchFamily="34" charset="0"/>
              <a:ea typeface="Calibri" panose="020F0502020204030204" pitchFamily="34" charset="0"/>
              <a:cs typeface="Times New Roman" panose="02020603050405020304" pitchFamily="18" charset="0"/>
            </a:rPr>
            <a:t>2018                        2019                      2020                        2021  </a:t>
          </a:r>
          <a:endParaRPr lang="en-US" sz="11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nutzerdefiniert 47">
    <a:dk1>
      <a:sysClr val="windowText" lastClr="000000"/>
    </a:dk1>
    <a:lt1>
      <a:sysClr val="window" lastClr="FFFFFF"/>
    </a:lt1>
    <a:dk2>
      <a:srgbClr val="6F6F6F"/>
    </a:dk2>
    <a:lt2>
      <a:srgbClr val="E6E6E6"/>
    </a:lt2>
    <a:accent1>
      <a:srgbClr val="C80F0F"/>
    </a:accent1>
    <a:accent2>
      <a:srgbClr val="89AE10"/>
    </a:accent2>
    <a:accent3>
      <a:srgbClr val="FDC400"/>
    </a:accent3>
    <a:accent4>
      <a:srgbClr val="F8E946"/>
    </a:accent4>
    <a:accent5>
      <a:srgbClr val="0077B2"/>
    </a:accent5>
    <a:accent6>
      <a:srgbClr val="AAAAAA"/>
    </a:accent6>
    <a:hlink>
      <a:srgbClr val="C80F0F"/>
    </a:hlink>
    <a:folHlink>
      <a:srgbClr val="C80F0F"/>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6" ma:contentTypeDescription="Ein neues Dokument erstellen." ma:contentTypeScope="" ma:versionID="5c4aa04ad91f42979117bbd0c820a669">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11e6ee0f179b0f23d6a5e4cd50da12ea"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4782-2C2D-4761-88E5-F4F3C8869A82}">
  <ds:schemaRefs>
    <ds:schemaRef ds:uri="http://schemas.microsoft.com/sharepoint/v3/contenttype/forms"/>
  </ds:schemaRefs>
</ds:datastoreItem>
</file>

<file path=customXml/itemProps2.xml><?xml version="1.0" encoding="utf-8"?>
<ds:datastoreItem xmlns:ds="http://schemas.openxmlformats.org/officeDocument/2006/customXml" ds:itemID="{E363D78B-BC3E-479E-96DF-B58BFD8C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79DB1-4BDB-48B6-948F-55A90B2D6FB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4.xml><?xml version="1.0" encoding="utf-8"?>
<ds:datastoreItem xmlns:ds="http://schemas.openxmlformats.org/officeDocument/2006/customXml" ds:itemID="{F973253B-0EC7-4064-B9A8-BBB03BA7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39997</Words>
  <Characters>227984</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Klotilda Neziri</dc:creator>
  <cp:keywords/>
  <cp:lastModifiedBy>Anila Panajoti</cp:lastModifiedBy>
  <cp:revision>2</cp:revision>
  <cp:lastPrinted>2022-12-12T09:22:00Z</cp:lastPrinted>
  <dcterms:created xsi:type="dcterms:W3CDTF">2023-10-12T12:52:00Z</dcterms:created>
  <dcterms:modified xsi:type="dcterms:W3CDTF">2023-10-12T12:52:00Z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