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580" w:type="dxa"/>
        <w:tblInd w:w="-995" w:type="dxa"/>
        <w:shd w:val="clear" w:color="auto" w:fill="FFFFFF" w:themeFill="background1"/>
        <w:tblLayout w:type="fixed"/>
        <w:tblLook w:val="04A0" w:firstRow="1" w:lastRow="0" w:firstColumn="1" w:lastColumn="0" w:noHBand="0" w:noVBand="1"/>
      </w:tblPr>
      <w:tblGrid>
        <w:gridCol w:w="2973"/>
        <w:gridCol w:w="7"/>
        <w:gridCol w:w="13"/>
        <w:gridCol w:w="3301"/>
        <w:gridCol w:w="8"/>
        <w:gridCol w:w="7"/>
        <w:gridCol w:w="29"/>
        <w:gridCol w:w="464"/>
        <w:gridCol w:w="139"/>
        <w:gridCol w:w="2475"/>
        <w:gridCol w:w="39"/>
        <w:gridCol w:w="27"/>
        <w:gridCol w:w="1149"/>
        <w:gridCol w:w="3949"/>
      </w:tblGrid>
      <w:tr w:rsidR="00734862" w:rsidRPr="00A9548E" w:rsidTr="00FB2DFB">
        <w:trPr>
          <w:trHeight w:val="670"/>
        </w:trPr>
        <w:tc>
          <w:tcPr>
            <w:tcW w:w="2973" w:type="dxa"/>
            <w:shd w:val="clear" w:color="auto" w:fill="BDD6EE" w:themeFill="accent1" w:themeFillTint="66"/>
          </w:tcPr>
          <w:p w:rsidR="00E7325E" w:rsidRDefault="00E7325E">
            <w:bookmarkStart w:id="0" w:name="_GoBack"/>
            <w:bookmarkEnd w:id="0"/>
          </w:p>
          <w:p w:rsidR="00734862" w:rsidRPr="00A9548E" w:rsidRDefault="002116F9" w:rsidP="00734862">
            <w:pPr>
              <w:jc w:val="both"/>
              <w:textAlignment w:val="baseline"/>
              <w:rPr>
                <w:rFonts w:ascii="Times New Roman" w:eastAsia="Times New Roman" w:hAnsi="Times New Roman" w:cs="Times New Roman"/>
                <w:b/>
                <w:bCs/>
                <w:color w:val="000000" w:themeColor="text1"/>
                <w:sz w:val="20"/>
                <w:szCs w:val="20"/>
                <w:lang w:val="en-GB"/>
              </w:rPr>
            </w:pPr>
            <w:r w:rsidRPr="00890036">
              <w:rPr>
                <w:rFonts w:ascii="Times New Roman" w:eastAsia="Times New Roman" w:hAnsi="Times New Roman" w:cs="Times New Roman"/>
                <w:b/>
                <w:bCs/>
                <w:color w:val="000000" w:themeColor="text1"/>
                <w:sz w:val="20"/>
                <w:szCs w:val="20"/>
                <w:lang w:val="en-GB"/>
              </w:rPr>
              <w:t>FUSHAT DHE OBJEKTIVAT</w:t>
            </w:r>
          </w:p>
        </w:tc>
        <w:tc>
          <w:tcPr>
            <w:tcW w:w="3321" w:type="dxa"/>
            <w:gridSpan w:val="3"/>
            <w:shd w:val="clear" w:color="auto" w:fill="BDD6EE" w:themeFill="accent1" w:themeFillTint="66"/>
          </w:tcPr>
          <w:p w:rsidR="002116F9" w:rsidRPr="00890036" w:rsidRDefault="002116F9" w:rsidP="002116F9">
            <w:pPr>
              <w:jc w:val="both"/>
              <w:textAlignment w:val="baseline"/>
              <w:rPr>
                <w:rFonts w:ascii="Times New Roman" w:eastAsia="Times New Roman" w:hAnsi="Times New Roman" w:cs="Times New Roman"/>
                <w:b/>
                <w:bCs/>
                <w:color w:val="000000" w:themeColor="text1"/>
                <w:sz w:val="20"/>
                <w:szCs w:val="20"/>
                <w:lang w:val="en-GB"/>
              </w:rPr>
            </w:pPr>
            <w:r w:rsidRPr="00890036">
              <w:rPr>
                <w:rFonts w:ascii="Times New Roman" w:eastAsia="Times New Roman" w:hAnsi="Times New Roman" w:cs="Times New Roman"/>
                <w:b/>
                <w:bCs/>
                <w:color w:val="000000" w:themeColor="text1"/>
                <w:sz w:val="20"/>
                <w:szCs w:val="20"/>
                <w:lang w:val="en-GB"/>
              </w:rPr>
              <w:t>MASA STRATEGJIKE/LEGJISLATIV/ KORNIZA INSTITUCIONALE</w:t>
            </w:r>
          </w:p>
          <w:p w:rsidR="00734862" w:rsidRPr="00A9548E" w:rsidRDefault="00734862" w:rsidP="00734862">
            <w:pPr>
              <w:jc w:val="both"/>
              <w:textAlignment w:val="baseline"/>
              <w:rPr>
                <w:rFonts w:ascii="Times New Roman" w:eastAsia="Times New Roman" w:hAnsi="Times New Roman" w:cs="Times New Roman"/>
                <w:b/>
                <w:bCs/>
                <w:color w:val="000000" w:themeColor="text1"/>
                <w:sz w:val="20"/>
                <w:szCs w:val="20"/>
                <w:lang w:val="en-GB"/>
              </w:rPr>
            </w:pPr>
          </w:p>
        </w:tc>
        <w:tc>
          <w:tcPr>
            <w:tcW w:w="4337" w:type="dxa"/>
            <w:gridSpan w:val="9"/>
            <w:shd w:val="clear" w:color="auto" w:fill="BDD6EE" w:themeFill="accent1" w:themeFillTint="66"/>
          </w:tcPr>
          <w:p w:rsidR="002116F9" w:rsidRDefault="002116F9" w:rsidP="00734862">
            <w:pPr>
              <w:jc w:val="both"/>
              <w:textAlignment w:val="baseline"/>
              <w:rPr>
                <w:rFonts w:ascii="Times New Roman" w:eastAsia="Times New Roman" w:hAnsi="Times New Roman" w:cs="Times New Roman"/>
                <w:b/>
                <w:bCs/>
                <w:color w:val="000000" w:themeColor="text1"/>
                <w:sz w:val="20"/>
                <w:szCs w:val="20"/>
                <w:lang w:val="en-GB"/>
              </w:rPr>
            </w:pPr>
          </w:p>
          <w:p w:rsidR="00734862" w:rsidRPr="00A9548E" w:rsidRDefault="002116F9" w:rsidP="00734862">
            <w:pPr>
              <w:jc w:val="both"/>
              <w:textAlignment w:val="baseline"/>
              <w:rPr>
                <w:rFonts w:ascii="Times New Roman" w:eastAsia="Times New Roman" w:hAnsi="Times New Roman" w:cs="Times New Roman"/>
                <w:b/>
                <w:bCs/>
                <w:color w:val="000000" w:themeColor="text1"/>
                <w:sz w:val="20"/>
                <w:szCs w:val="20"/>
                <w:lang w:val="en-GB"/>
              </w:rPr>
            </w:pPr>
            <w:r>
              <w:rPr>
                <w:rFonts w:ascii="Times New Roman" w:eastAsia="Times New Roman" w:hAnsi="Times New Roman" w:cs="Times New Roman"/>
                <w:b/>
                <w:bCs/>
                <w:color w:val="000000" w:themeColor="text1"/>
                <w:sz w:val="20"/>
                <w:szCs w:val="20"/>
                <w:lang w:val="en-GB"/>
              </w:rPr>
              <w:t xml:space="preserve">ZBATIMI DHE </w:t>
            </w:r>
            <w:r w:rsidR="00734862" w:rsidRPr="00A9548E">
              <w:rPr>
                <w:rFonts w:ascii="Times New Roman" w:eastAsia="Times New Roman" w:hAnsi="Times New Roman" w:cs="Times New Roman"/>
                <w:b/>
                <w:bCs/>
                <w:color w:val="000000" w:themeColor="text1"/>
                <w:sz w:val="20"/>
                <w:szCs w:val="20"/>
                <w:lang w:val="en-GB"/>
              </w:rPr>
              <w:t>KAPACITETI</w:t>
            </w:r>
          </w:p>
        </w:tc>
        <w:tc>
          <w:tcPr>
            <w:tcW w:w="3949" w:type="dxa"/>
            <w:shd w:val="clear" w:color="auto" w:fill="BDD6EE" w:themeFill="accent1" w:themeFillTint="66"/>
          </w:tcPr>
          <w:p w:rsidR="002116F9" w:rsidRDefault="002116F9" w:rsidP="00734862">
            <w:pPr>
              <w:jc w:val="both"/>
              <w:textAlignment w:val="baseline"/>
              <w:rPr>
                <w:rFonts w:ascii="Times New Roman" w:eastAsia="Times New Roman" w:hAnsi="Times New Roman" w:cs="Times New Roman"/>
                <w:b/>
                <w:bCs/>
                <w:color w:val="000000" w:themeColor="text1"/>
                <w:sz w:val="20"/>
                <w:szCs w:val="20"/>
                <w:lang w:val="en-GB"/>
              </w:rPr>
            </w:pPr>
          </w:p>
          <w:p w:rsidR="00734862" w:rsidRPr="00A9548E" w:rsidRDefault="00734862" w:rsidP="00734862">
            <w:pPr>
              <w:jc w:val="both"/>
              <w:textAlignment w:val="baseline"/>
              <w:rPr>
                <w:rFonts w:ascii="Times New Roman" w:eastAsia="Times New Roman" w:hAnsi="Times New Roman" w:cs="Times New Roman"/>
                <w:b/>
                <w:bCs/>
                <w:color w:val="000000" w:themeColor="text1"/>
                <w:sz w:val="20"/>
                <w:szCs w:val="20"/>
                <w:lang w:val="en-GB"/>
              </w:rPr>
            </w:pPr>
            <w:r w:rsidRPr="00A9548E">
              <w:rPr>
                <w:rFonts w:ascii="Times New Roman" w:eastAsia="Times New Roman" w:hAnsi="Times New Roman" w:cs="Times New Roman"/>
                <w:b/>
                <w:bCs/>
                <w:color w:val="000000" w:themeColor="text1"/>
                <w:sz w:val="20"/>
                <w:szCs w:val="20"/>
                <w:lang w:val="en-GB"/>
              </w:rPr>
              <w:t>PERFORMANCA</w:t>
            </w:r>
          </w:p>
        </w:tc>
      </w:tr>
      <w:tr w:rsidR="00734862" w:rsidRPr="00A9548E" w:rsidTr="00734862">
        <w:trPr>
          <w:trHeight w:val="51"/>
        </w:trPr>
        <w:tc>
          <w:tcPr>
            <w:tcW w:w="14580" w:type="dxa"/>
            <w:gridSpan w:val="14"/>
            <w:shd w:val="clear" w:color="auto" w:fill="BDD6EE" w:themeFill="accent1" w:themeFillTint="66"/>
          </w:tcPr>
          <w:p w:rsidR="00734862" w:rsidRPr="00A9548E" w:rsidRDefault="00734862" w:rsidP="00734862">
            <w:pPr>
              <w:pStyle w:val="ListParagraph"/>
              <w:numPr>
                <w:ilvl w:val="0"/>
                <w:numId w:val="10"/>
              </w:numPr>
              <w:jc w:val="both"/>
              <w:textAlignment w:val="baseline"/>
              <w:rPr>
                <w:rFonts w:ascii="Times New Roman" w:eastAsia="Times New Roman" w:hAnsi="Times New Roman" w:cs="Times New Roman"/>
                <w:color w:val="000000" w:themeColor="text1"/>
                <w:sz w:val="20"/>
                <w:szCs w:val="20"/>
                <w:lang w:val="en-GB"/>
              </w:rPr>
            </w:pPr>
            <w:r w:rsidRPr="00A9548E">
              <w:rPr>
                <w:rFonts w:ascii="Times New Roman" w:eastAsia="Times New Roman" w:hAnsi="Times New Roman" w:cs="Times New Roman"/>
                <w:b/>
                <w:bCs/>
                <w:color w:val="000000" w:themeColor="text1"/>
                <w:sz w:val="20"/>
                <w:szCs w:val="20"/>
                <w:lang w:val="en-GB"/>
              </w:rPr>
              <w:t>REFORMA NË DREJTËSI</w:t>
            </w:r>
          </w:p>
        </w:tc>
      </w:tr>
      <w:tr w:rsidR="00734862" w:rsidRPr="00A9548E" w:rsidTr="00734862">
        <w:trPr>
          <w:trHeight w:val="51"/>
        </w:trPr>
        <w:tc>
          <w:tcPr>
            <w:tcW w:w="14580" w:type="dxa"/>
            <w:gridSpan w:val="14"/>
            <w:shd w:val="clear" w:color="auto" w:fill="BDD6EE" w:themeFill="accent1" w:themeFillTint="66"/>
          </w:tcPr>
          <w:p w:rsidR="00734862" w:rsidRPr="004709C4" w:rsidRDefault="00734862" w:rsidP="00734862">
            <w:pPr>
              <w:jc w:val="both"/>
              <w:textAlignment w:val="baseline"/>
              <w:rPr>
                <w:rFonts w:ascii="Times New Roman" w:eastAsia="Times New Roman" w:hAnsi="Times New Roman" w:cs="Times New Roman"/>
                <w:b/>
                <w:bCs/>
                <w:color w:val="000000" w:themeColor="text1"/>
                <w:sz w:val="20"/>
                <w:szCs w:val="20"/>
                <w:lang w:val="en-GB"/>
              </w:rPr>
            </w:pPr>
          </w:p>
        </w:tc>
      </w:tr>
      <w:tr w:rsidR="00734862" w:rsidRPr="00083AD4" w:rsidTr="00FB2DFB">
        <w:trPr>
          <w:trHeight w:val="512"/>
        </w:trPr>
        <w:tc>
          <w:tcPr>
            <w:tcW w:w="2980" w:type="dxa"/>
            <w:gridSpan w:val="2"/>
            <w:shd w:val="clear" w:color="auto" w:fill="auto"/>
          </w:tcPr>
          <w:p w:rsidR="00734862" w:rsidRPr="004709C4" w:rsidRDefault="00734862" w:rsidP="00734862">
            <w:pPr>
              <w:jc w:val="both"/>
              <w:textAlignment w:val="baseline"/>
              <w:rPr>
                <w:rFonts w:ascii="Times New Roman" w:eastAsia="Times New Roman" w:hAnsi="Times New Roman" w:cs="Times New Roman"/>
                <w:b/>
                <w:bCs/>
                <w:color w:val="000000" w:themeColor="text1"/>
                <w:sz w:val="20"/>
                <w:szCs w:val="20"/>
                <w:lang w:val="en-GB"/>
              </w:rPr>
            </w:pPr>
          </w:p>
        </w:tc>
        <w:tc>
          <w:tcPr>
            <w:tcW w:w="11600" w:type="dxa"/>
            <w:gridSpan w:val="12"/>
            <w:shd w:val="clear" w:color="auto" w:fill="auto"/>
          </w:tcPr>
          <w:p w:rsidR="00734862" w:rsidRPr="00083AD4" w:rsidRDefault="00734862" w:rsidP="00734862">
            <w:pPr>
              <w:jc w:val="both"/>
              <w:textAlignment w:val="baseline"/>
              <w:rPr>
                <w:rFonts w:ascii="Times New Roman" w:eastAsia="Times New Roman" w:hAnsi="Times New Roman" w:cs="Times New Roman"/>
                <w:b/>
                <w:bCs/>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t>Konsolidimi i arritjeve të reformës</w:t>
            </w:r>
          </w:p>
        </w:tc>
      </w:tr>
      <w:tr w:rsidR="00734862" w:rsidRPr="00083AD4" w:rsidTr="00FB2DFB">
        <w:trPr>
          <w:trHeight w:val="416"/>
        </w:trPr>
        <w:tc>
          <w:tcPr>
            <w:tcW w:w="2980" w:type="dxa"/>
            <w:gridSpan w:val="2"/>
            <w:vMerge w:val="restart"/>
            <w:shd w:val="clear" w:color="auto" w:fill="FFFFFF" w:themeFill="background1"/>
          </w:tcPr>
          <w:p w:rsidR="00734862" w:rsidRPr="00EB3BCF" w:rsidRDefault="00734862" w:rsidP="00734862">
            <w:pPr>
              <w:rPr>
                <w:b/>
                <w:bCs/>
              </w:rPr>
            </w:pPr>
            <w:r w:rsidRPr="00EB3BCF">
              <w:rPr>
                <w:b/>
                <w:bCs/>
              </w:rPr>
              <w:t>REFORMA NË DREJTËSI</w:t>
            </w:r>
          </w:p>
          <w:p w:rsidR="00734862" w:rsidRPr="00DB7D99" w:rsidRDefault="00734862" w:rsidP="00734862">
            <w:pPr>
              <w:jc w:val="both"/>
              <w:textAlignment w:val="baseline"/>
              <w:rPr>
                <w:rFonts w:ascii="Times New Roman" w:eastAsia="Times New Roman" w:hAnsi="Times New Roman" w:cs="Times New Roman"/>
                <w:color w:val="000000" w:themeColor="text1"/>
                <w:sz w:val="20"/>
                <w:szCs w:val="20"/>
                <w:lang w:val="en-GB"/>
              </w:rPr>
            </w:pPr>
          </w:p>
          <w:p w:rsidR="00734862" w:rsidRPr="00DB7D99" w:rsidRDefault="00734862" w:rsidP="00734862">
            <w:pPr>
              <w:jc w:val="both"/>
              <w:textAlignment w:val="baseline"/>
              <w:rPr>
                <w:rFonts w:ascii="Times New Roman" w:eastAsia="Times New Roman" w:hAnsi="Times New Roman" w:cs="Times New Roman"/>
                <w:color w:val="000000" w:themeColor="text1"/>
                <w:sz w:val="20"/>
                <w:szCs w:val="20"/>
                <w:lang w:val="en-GB"/>
              </w:rPr>
            </w:pPr>
          </w:p>
          <w:p w:rsidR="00734862" w:rsidRPr="00DB7D99" w:rsidRDefault="00734862" w:rsidP="00734862">
            <w:pPr>
              <w:numPr>
                <w:ilvl w:val="0"/>
                <w:numId w:val="3"/>
              </w:numPr>
              <w:spacing w:after="120"/>
              <w:jc w:val="both"/>
              <w:rPr>
                <w:rFonts w:ascii="Times New Roman" w:hAnsi="Times New Roman" w:cs="Times New Roman"/>
                <w:b/>
                <w:sz w:val="20"/>
                <w:szCs w:val="20"/>
                <w:lang w:val="en-IE"/>
              </w:rPr>
            </w:pPr>
            <w:r w:rsidRPr="00DB7D99">
              <w:rPr>
                <w:rFonts w:ascii="Times New Roman" w:hAnsi="Times New Roman" w:cs="Times New Roman"/>
                <w:b/>
                <w:sz w:val="20"/>
                <w:szCs w:val="20"/>
                <w:lang w:val="en-IE"/>
              </w:rPr>
              <w:t>Organet drejtuese</w:t>
            </w:r>
          </w:p>
          <w:p w:rsidR="00734862" w:rsidRPr="00DB7D99" w:rsidRDefault="00734862" w:rsidP="00734862">
            <w:pPr>
              <w:pStyle w:val="ListParagraph"/>
              <w:numPr>
                <w:ilvl w:val="0"/>
                <w:numId w:val="4"/>
              </w:numPr>
              <w:spacing w:after="120"/>
              <w:jc w:val="both"/>
              <w:rPr>
                <w:rFonts w:ascii="Times New Roman" w:hAnsi="Times New Roman" w:cs="Times New Roman"/>
                <w:sz w:val="20"/>
                <w:szCs w:val="20"/>
                <w:lang w:val="en-GB"/>
              </w:rPr>
            </w:pPr>
            <w:r w:rsidRPr="00DB7D99">
              <w:rPr>
                <w:rFonts w:ascii="Times New Roman" w:hAnsi="Times New Roman" w:cs="Times New Roman"/>
                <w:sz w:val="20"/>
                <w:szCs w:val="20"/>
                <w:lang w:val="en-GB"/>
              </w:rPr>
              <w:t>Këshilli(</w:t>
            </w:r>
            <w:r w:rsidR="00664399">
              <w:rPr>
                <w:rFonts w:ascii="Times New Roman" w:hAnsi="Times New Roman" w:cs="Times New Roman"/>
                <w:sz w:val="20"/>
                <w:szCs w:val="20"/>
                <w:lang w:val="en-GB"/>
              </w:rPr>
              <w:t>et) gjyqësor dhe/</w:t>
            </w:r>
            <w:proofErr w:type="gramStart"/>
            <w:r w:rsidR="00664399">
              <w:rPr>
                <w:rFonts w:ascii="Times New Roman" w:hAnsi="Times New Roman" w:cs="Times New Roman"/>
                <w:sz w:val="20"/>
                <w:szCs w:val="20"/>
                <w:lang w:val="en-GB"/>
              </w:rPr>
              <w:t>ose  i</w:t>
            </w:r>
            <w:proofErr w:type="gramEnd"/>
            <w:r w:rsidR="00664399">
              <w:rPr>
                <w:rFonts w:ascii="Times New Roman" w:hAnsi="Times New Roman" w:cs="Times New Roman"/>
                <w:sz w:val="20"/>
                <w:szCs w:val="20"/>
                <w:lang w:val="en-GB"/>
              </w:rPr>
              <w:t xml:space="preserve"> prokurorisë</w:t>
            </w:r>
            <w:r w:rsidRPr="00DB7D99">
              <w:rPr>
                <w:rFonts w:ascii="Times New Roman" w:hAnsi="Times New Roman" w:cs="Times New Roman"/>
                <w:sz w:val="20"/>
                <w:szCs w:val="20"/>
                <w:lang w:val="en-GB"/>
              </w:rPr>
              <w:t xml:space="preserve"> plotësisht i pavarur dhe organet e tjera drejtuese për sistemin gjyqësor janë përgjegjës për menaxhimin e sistemit të drejtësisë/shërbimeve të prokurorisë në kohën e duhur dhe efektive, duke përfshirë emërimin, promovimin, shkarkimet dhe përparimin në karrierë t</w:t>
            </w:r>
            <w:r w:rsidR="00664399">
              <w:rPr>
                <w:rFonts w:ascii="Times New Roman" w:hAnsi="Times New Roman" w:cs="Times New Roman"/>
                <w:sz w:val="20"/>
                <w:szCs w:val="20"/>
                <w:lang w:val="en-GB"/>
              </w:rPr>
              <w:t>ë gjyqtarëve dhe/ apo prokurorëve</w:t>
            </w:r>
            <w:r w:rsidRPr="00DB7D99">
              <w:rPr>
                <w:rFonts w:ascii="Times New Roman" w:hAnsi="Times New Roman" w:cs="Times New Roman"/>
                <w:sz w:val="20"/>
                <w:szCs w:val="20"/>
                <w:lang w:val="en-GB"/>
              </w:rPr>
              <w:t>.</w:t>
            </w:r>
          </w:p>
          <w:p w:rsidR="00734862" w:rsidRPr="00DB7D99" w:rsidRDefault="00734862" w:rsidP="00734862">
            <w:pPr>
              <w:pStyle w:val="ListParagraph"/>
              <w:numPr>
                <w:ilvl w:val="0"/>
                <w:numId w:val="4"/>
              </w:numPr>
              <w:spacing w:after="120"/>
              <w:jc w:val="both"/>
              <w:rPr>
                <w:rFonts w:ascii="Times New Roman" w:hAnsi="Times New Roman" w:cs="Times New Roman"/>
                <w:sz w:val="20"/>
                <w:szCs w:val="20"/>
                <w:lang w:val="en-GB"/>
              </w:rPr>
            </w:pPr>
            <w:r w:rsidRPr="00DB7D99">
              <w:rPr>
                <w:rFonts w:ascii="Times New Roman" w:hAnsi="Times New Roman" w:cs="Times New Roman"/>
                <w:sz w:val="20"/>
                <w:szCs w:val="20"/>
                <w:lang w:val="en-GB"/>
              </w:rPr>
              <w:t>Të paktën gjysma e anëtarëve të këshillit gjyqësor dhe një pjesë e konsiderueshme e an</w:t>
            </w:r>
            <w:r w:rsidR="00664399">
              <w:rPr>
                <w:rFonts w:ascii="Times New Roman" w:hAnsi="Times New Roman" w:cs="Times New Roman"/>
                <w:sz w:val="20"/>
                <w:szCs w:val="20"/>
                <w:lang w:val="en-GB"/>
              </w:rPr>
              <w:t xml:space="preserve">ëtarëve të këshillit të prokurorisë </w:t>
            </w:r>
            <w:r w:rsidRPr="00DB7D99">
              <w:rPr>
                <w:rFonts w:ascii="Times New Roman" w:hAnsi="Times New Roman" w:cs="Times New Roman"/>
                <w:sz w:val="20"/>
                <w:szCs w:val="20"/>
                <w:lang w:val="en-GB"/>
              </w:rPr>
              <w:t>janë gjyqtarë/prokurorë të zgjedhur nga kolegët e tyre nga të gjitha nivelet e gjyqësorit.</w:t>
            </w:r>
          </w:p>
          <w:p w:rsidR="00734862" w:rsidRPr="00DB7D99" w:rsidRDefault="00734862" w:rsidP="00734862">
            <w:pPr>
              <w:pStyle w:val="ListParagraph"/>
              <w:numPr>
                <w:ilvl w:val="0"/>
                <w:numId w:val="4"/>
              </w:numPr>
              <w:spacing w:after="120"/>
              <w:jc w:val="both"/>
              <w:rPr>
                <w:rFonts w:ascii="Times New Roman" w:hAnsi="Times New Roman" w:cs="Times New Roman"/>
                <w:sz w:val="20"/>
                <w:szCs w:val="20"/>
                <w:lang w:val="en-GB"/>
              </w:rPr>
            </w:pPr>
            <w:r w:rsidRPr="00DB7D99">
              <w:rPr>
                <w:rFonts w:ascii="Times New Roman" w:hAnsi="Times New Roman" w:cs="Times New Roman"/>
                <w:sz w:val="20"/>
                <w:szCs w:val="20"/>
                <w:lang w:val="en-GB"/>
              </w:rPr>
              <w:lastRenderedPageBreak/>
              <w:t>Ç</w:t>
            </w:r>
            <w:r w:rsidR="008465A6">
              <w:rPr>
                <w:rFonts w:ascii="Times New Roman" w:hAnsi="Times New Roman" w:cs="Times New Roman"/>
                <w:sz w:val="20"/>
                <w:szCs w:val="20"/>
                <w:lang w:val="en-GB"/>
              </w:rPr>
              <w:t>do përzgjedhje e anëtarëve</w:t>
            </w:r>
            <w:r w:rsidRPr="00DB7D99">
              <w:rPr>
                <w:rFonts w:ascii="Times New Roman" w:hAnsi="Times New Roman" w:cs="Times New Roman"/>
                <w:sz w:val="20"/>
                <w:szCs w:val="20"/>
                <w:lang w:val="en-GB"/>
              </w:rPr>
              <w:t xml:space="preserve"> nga Parlamenti duhet të bëhet ose me shumicë të cilësuar duke përfshirë një mekanizëm kundër bllokimit ose me një sistem proporcional në mënyrë që të sigurohet pluralizëm i mjaftueshëm.</w:t>
            </w:r>
          </w:p>
          <w:p w:rsidR="00734862" w:rsidRPr="00DB7D99" w:rsidRDefault="00734862" w:rsidP="00734862">
            <w:pPr>
              <w:pStyle w:val="ListParagraph"/>
              <w:numPr>
                <w:ilvl w:val="0"/>
                <w:numId w:val="4"/>
              </w:numPr>
              <w:spacing w:after="120"/>
              <w:jc w:val="both"/>
              <w:rPr>
                <w:rFonts w:ascii="Times New Roman" w:hAnsi="Times New Roman" w:cs="Times New Roman"/>
                <w:sz w:val="20"/>
                <w:szCs w:val="20"/>
                <w:lang w:val="en-GB"/>
              </w:rPr>
            </w:pPr>
            <w:r w:rsidRPr="00DB7D99">
              <w:rPr>
                <w:rFonts w:ascii="Times New Roman" w:hAnsi="Times New Roman" w:cs="Times New Roman"/>
                <w:sz w:val="20"/>
                <w:szCs w:val="20"/>
                <w:lang w:val="en-GB"/>
              </w:rPr>
              <w:t>Anëtarët zgjidhen në mënyrë transparente dhe të bazuar në merita dhe nuk mund të shkarkohen para përfundimit të mandatit të tyre, me përjashtim të rasteve të daljes në pension, dorëheqjes, vdekjes ose shkarkimit disiplinor.</w:t>
            </w:r>
          </w:p>
          <w:p w:rsidR="00734862" w:rsidRPr="00DB7D99" w:rsidRDefault="008465A6" w:rsidP="00734862">
            <w:pPr>
              <w:jc w:val="both"/>
              <w:textAlignment w:val="baseline"/>
              <w:rPr>
                <w:rFonts w:ascii="Times New Roman" w:eastAsia="Times New Roman" w:hAnsi="Times New Roman" w:cs="Times New Roman"/>
                <w:b/>
                <w:bCs/>
                <w:color w:val="000000" w:themeColor="text1"/>
                <w:sz w:val="20"/>
                <w:szCs w:val="20"/>
                <w:lang w:val="en-GB"/>
              </w:rPr>
            </w:pPr>
            <w:r>
              <w:rPr>
                <w:rFonts w:ascii="Times New Roman" w:eastAsia="Times New Roman" w:hAnsi="Times New Roman" w:cs="Times New Roman"/>
                <w:color w:val="000000" w:themeColor="text1"/>
                <w:sz w:val="20"/>
                <w:szCs w:val="20"/>
              </w:rPr>
              <w:t>Këshillet</w:t>
            </w:r>
            <w:r w:rsidR="00734862" w:rsidRPr="00293B76">
              <w:rPr>
                <w:rFonts w:ascii="Times New Roman" w:eastAsia="Times New Roman" w:hAnsi="Times New Roman" w:cs="Times New Roman"/>
                <w:color w:val="000000" w:themeColor="text1"/>
                <w:sz w:val="20"/>
                <w:szCs w:val="20"/>
              </w:rPr>
              <w:t xml:space="preserve"> disponojnë burime të mjaftueshme dhe kryejnë funksionet e tyre me shkallën më të lartë të profesionalizmit dhe transparencës, duke përfshirë publikimin e raporteve të veprimtarisë dhe vendimeve të arsyetuara në lidhje me emërimet, ngritjet në detyrë dhe procedimet disiplinore.</w:t>
            </w:r>
            <w:r w:rsidR="00734862" w:rsidRPr="00DB7D99">
              <w:rPr>
                <w:rFonts w:ascii="Times New Roman" w:hAnsi="Times New Roman" w:cs="Times New Roman"/>
                <w:sz w:val="20"/>
                <w:szCs w:val="20"/>
                <w:lang w:val="en-GB"/>
              </w:rPr>
              <w:t xml:space="preserve"> </w:t>
            </w:r>
          </w:p>
        </w:tc>
        <w:tc>
          <w:tcPr>
            <w:tcW w:w="3329" w:type="dxa"/>
            <w:gridSpan w:val="4"/>
            <w:shd w:val="clear" w:color="auto" w:fill="FFFFFF" w:themeFill="background1"/>
          </w:tcPr>
          <w:p w:rsidR="00734862" w:rsidRPr="00B25015" w:rsidRDefault="00734862" w:rsidP="00734862">
            <w:pPr>
              <w:shd w:val="clear" w:color="auto" w:fill="FFFFFF"/>
              <w:spacing w:before="100" w:beforeAutospacing="1" w:after="100" w:afterAutospacing="1"/>
              <w:jc w:val="both"/>
              <w:rPr>
                <w:rFonts w:ascii="Times New Roman" w:hAnsi="Times New Roman" w:cs="Times New Roman"/>
                <w:color w:val="000000"/>
              </w:rPr>
            </w:pPr>
            <w:r w:rsidRPr="00B25015">
              <w:rPr>
                <w:rFonts w:ascii="Times New Roman" w:eastAsia="Times New Roman" w:hAnsi="Times New Roman" w:cs="Times New Roman"/>
                <w:color w:val="000000" w:themeColor="text1"/>
                <w:sz w:val="20"/>
                <w:szCs w:val="20"/>
              </w:rPr>
              <w:lastRenderedPageBreak/>
              <w:t xml:space="preserve">Shqipëria konsolidon arritjet e reformës në fushën e drejtësisë </w:t>
            </w:r>
            <w:r w:rsidR="00162C41">
              <w:rPr>
                <w:rFonts w:ascii="Times New Roman" w:eastAsia="Times New Roman" w:hAnsi="Times New Roman" w:cs="Times New Roman"/>
                <w:color w:val="000000" w:themeColor="text1"/>
                <w:sz w:val="20"/>
                <w:szCs w:val="20"/>
              </w:rPr>
              <w:t xml:space="preserve">në mënyrë të qëndrueshme </w:t>
            </w:r>
            <w:proofErr w:type="gramStart"/>
            <w:r w:rsidR="00664399">
              <w:rPr>
                <w:rFonts w:ascii="Times New Roman" w:eastAsia="Times New Roman" w:hAnsi="Times New Roman" w:cs="Times New Roman"/>
                <w:color w:val="000000" w:themeColor="text1"/>
                <w:sz w:val="20"/>
                <w:szCs w:val="20"/>
              </w:rPr>
              <w:t xml:space="preserve">dhe </w:t>
            </w:r>
            <w:r w:rsidRPr="00EF0F1E">
              <w:rPr>
                <w:rFonts w:ascii="Times New Roman" w:hAnsi="Times New Roman" w:cs="Times New Roman"/>
                <w:color w:val="000000"/>
                <w:sz w:val="20"/>
                <w:szCs w:val="20"/>
              </w:rPr>
              <w:t xml:space="preserve"> konsistente</w:t>
            </w:r>
            <w:proofErr w:type="gramEnd"/>
            <w:r w:rsidRPr="00EF0F1E">
              <w:rPr>
                <w:rFonts w:ascii="Times New Roman" w:hAnsi="Times New Roman" w:cs="Times New Roman"/>
                <w:color w:val="000000"/>
                <w:sz w:val="20"/>
                <w:szCs w:val="20"/>
              </w:rPr>
              <w:t>.</w:t>
            </w:r>
          </w:p>
          <w:p w:rsidR="00734862" w:rsidRDefault="00734862" w:rsidP="00734862">
            <w:pPr>
              <w:jc w:val="both"/>
              <w:textAlignment w:val="baseline"/>
              <w:rPr>
                <w:rFonts w:ascii="Times New Roman" w:eastAsia="Times New Roman" w:hAnsi="Times New Roman" w:cs="Times New Roman"/>
                <w:color w:val="000000" w:themeColor="text1"/>
                <w:sz w:val="20"/>
                <w:szCs w:val="20"/>
                <w:lang w:val="en-GB"/>
              </w:rPr>
            </w:pPr>
            <w:r w:rsidRPr="00560779">
              <w:rPr>
                <w:rFonts w:ascii="Times New Roman" w:eastAsia="Times New Roman" w:hAnsi="Times New Roman" w:cs="Times New Roman"/>
                <w:color w:val="000000" w:themeColor="text1"/>
                <w:sz w:val="20"/>
                <w:szCs w:val="20"/>
              </w:rPr>
              <w:t>Kontrollet e rregullta të përshtatshmërisë ligjore dhe miratimi i ndryshimeve ligjore të nevojshme për konsolidimin, pavarësinë, integritetin, efikasitetin dhe rritjen e besimit të publikut, ndërmerren në përputhje me standardet e BE-së brenda vitit 2025.</w:t>
            </w:r>
          </w:p>
          <w:p w:rsidR="00734862" w:rsidRDefault="00734862" w:rsidP="00734862">
            <w:pPr>
              <w:jc w:val="both"/>
              <w:textAlignment w:val="baseline"/>
              <w:rPr>
                <w:rFonts w:ascii="Times New Roman" w:eastAsia="Times New Roman" w:hAnsi="Times New Roman" w:cs="Times New Roman"/>
                <w:color w:val="000000" w:themeColor="text1"/>
                <w:sz w:val="20"/>
                <w:szCs w:val="20"/>
                <w:lang w:val="en-GB"/>
              </w:rPr>
            </w:pPr>
          </w:p>
          <w:p w:rsidR="00734862" w:rsidRDefault="00734862" w:rsidP="00734862">
            <w:pPr>
              <w:jc w:val="both"/>
              <w:textAlignment w:val="baseline"/>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Shqipëria vijon finalizimin progresiv të reformës duke mbështetur më tej nëpërmjet ndryshimeve ligjore:</w:t>
            </w:r>
          </w:p>
          <w:p w:rsidR="00734862" w:rsidRDefault="00734862" w:rsidP="00734862">
            <w:pPr>
              <w:pStyle w:val="ListParagraph"/>
              <w:numPr>
                <w:ilvl w:val="0"/>
                <w:numId w:val="16"/>
              </w:numPr>
              <w:jc w:val="both"/>
              <w:textAlignment w:val="baseline"/>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Rezultatet pozitive të procesit të verifikimit duke forcuar rregullat për kontro</w:t>
            </w:r>
            <w:r w:rsidR="00162C41">
              <w:rPr>
                <w:rFonts w:ascii="Times New Roman" w:eastAsia="Times New Roman" w:hAnsi="Times New Roman" w:cs="Times New Roman"/>
                <w:color w:val="000000" w:themeColor="text1"/>
                <w:sz w:val="20"/>
                <w:szCs w:val="20"/>
                <w:lang w:val="en-GB"/>
              </w:rPr>
              <w:t>llin e pasurisë dhe kontrollit të  aktorëve</w:t>
            </w:r>
            <w:r>
              <w:rPr>
                <w:rFonts w:ascii="Times New Roman" w:eastAsia="Times New Roman" w:hAnsi="Times New Roman" w:cs="Times New Roman"/>
                <w:color w:val="000000" w:themeColor="text1"/>
                <w:sz w:val="20"/>
                <w:szCs w:val="20"/>
                <w:lang w:val="en-GB"/>
              </w:rPr>
              <w:t xml:space="preserve"> kryesorë të sistemit të drejtësisë</w:t>
            </w:r>
          </w:p>
          <w:p w:rsidR="00734862" w:rsidRPr="00405167" w:rsidRDefault="00734862" w:rsidP="00734862">
            <w:pPr>
              <w:pStyle w:val="ListParagraph"/>
              <w:numPr>
                <w:ilvl w:val="0"/>
                <w:numId w:val="16"/>
              </w:numPr>
              <w:jc w:val="both"/>
              <w:textAlignment w:val="baseline"/>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rPr>
              <w:t xml:space="preserve">Ndalimi i përfshirjes së ish-magjistratëve të shkarkuar/dorëhequr gjatë vettingut në </w:t>
            </w:r>
            <w:r w:rsidR="00162C41">
              <w:rPr>
                <w:rFonts w:ascii="Times New Roman" w:eastAsia="Times New Roman" w:hAnsi="Times New Roman" w:cs="Times New Roman"/>
                <w:color w:val="000000" w:themeColor="text1"/>
                <w:sz w:val="20"/>
                <w:szCs w:val="20"/>
              </w:rPr>
              <w:t>veprimtaritë e institucioneve qeverisëse t</w:t>
            </w:r>
            <w:r>
              <w:rPr>
                <w:rFonts w:ascii="Times New Roman" w:eastAsia="Times New Roman" w:hAnsi="Times New Roman" w:cs="Times New Roman"/>
                <w:color w:val="000000" w:themeColor="text1"/>
                <w:sz w:val="20"/>
                <w:szCs w:val="20"/>
              </w:rPr>
              <w:t>ë drejtësisë</w:t>
            </w:r>
          </w:p>
          <w:p w:rsidR="00734862" w:rsidRPr="00083AD4" w:rsidRDefault="00734862" w:rsidP="00734862">
            <w:pPr>
              <w:pStyle w:val="ListParagraph"/>
              <w:numPr>
                <w:ilvl w:val="0"/>
                <w:numId w:val="16"/>
              </w:numPr>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Forcimi i kapaciteteve të Shkollës së Magjistraturës</w:t>
            </w:r>
          </w:p>
        </w:tc>
        <w:tc>
          <w:tcPr>
            <w:tcW w:w="4322" w:type="dxa"/>
            <w:gridSpan w:val="7"/>
            <w:shd w:val="clear" w:color="auto" w:fill="FFFFFF" w:themeFill="background1"/>
          </w:tcPr>
          <w:p w:rsidR="00734862" w:rsidRPr="00083AD4" w:rsidRDefault="00C57C26" w:rsidP="00C57C26">
            <w:pPr>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Vijimësia e mbulimit me personelin e duhur me qëllim sigurimin e progresit të objektivave të reformës në drejtësi brenda 2030</w:t>
            </w:r>
          </w:p>
        </w:tc>
        <w:tc>
          <w:tcPr>
            <w:tcW w:w="3949" w:type="dxa"/>
            <w:shd w:val="clear" w:color="auto" w:fill="FFFFFF" w:themeFill="background1"/>
          </w:tcPr>
          <w:p w:rsidR="00734862" w:rsidRPr="00083AD4" w:rsidRDefault="00734862" w:rsidP="00734862">
            <w:pPr>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Avancimi i reform</w:t>
            </w:r>
            <w:r w:rsidR="00C57C26" w:rsidRPr="00083AD4">
              <w:rPr>
                <w:rFonts w:ascii="Times New Roman" w:eastAsia="Times New Roman" w:hAnsi="Times New Roman" w:cs="Times New Roman"/>
                <w:color w:val="000000" w:themeColor="text1"/>
                <w:sz w:val="20"/>
                <w:szCs w:val="20"/>
                <w:lang w:val="it-IT"/>
              </w:rPr>
              <w:t>ë</w:t>
            </w:r>
            <w:r w:rsidRPr="00083AD4">
              <w:rPr>
                <w:rFonts w:ascii="Times New Roman" w:eastAsia="Times New Roman" w:hAnsi="Times New Roman" w:cs="Times New Roman"/>
                <w:color w:val="000000" w:themeColor="text1"/>
                <w:sz w:val="20"/>
                <w:szCs w:val="20"/>
                <w:lang w:val="it-IT"/>
              </w:rPr>
              <w:t>s në drejtësi kryhet në mënyrë të vazhdueshme dhe të qëndrueshme në përputhje me standardet evropiane deri në vitin 2030.</w:t>
            </w:r>
          </w:p>
          <w:p w:rsidR="00734862" w:rsidRPr="00083AD4" w:rsidRDefault="00734862" w:rsidP="00734862">
            <w:pPr>
              <w:jc w:val="both"/>
              <w:textAlignment w:val="baseline"/>
              <w:rPr>
                <w:rFonts w:ascii="Times New Roman" w:eastAsia="Times New Roman" w:hAnsi="Times New Roman" w:cs="Times New Roman"/>
                <w:color w:val="000000" w:themeColor="text1"/>
                <w:sz w:val="20"/>
                <w:szCs w:val="20"/>
                <w:lang w:val="it-IT"/>
              </w:rPr>
            </w:pPr>
          </w:p>
          <w:p w:rsidR="00734862" w:rsidRPr="00083AD4" w:rsidRDefault="00734862" w:rsidP="00734862">
            <w:pPr>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Ndryshimet ligjore miratohen vazhdimisht në përputhje me parimet e reformës në drejtësi, duke garantuar dhënien efikase të drejtësisë.</w:t>
            </w:r>
          </w:p>
          <w:p w:rsidR="00734862" w:rsidRPr="00083AD4" w:rsidRDefault="00734862" w:rsidP="00734862">
            <w:pPr>
              <w:jc w:val="both"/>
              <w:textAlignment w:val="baseline"/>
              <w:rPr>
                <w:rFonts w:ascii="Times New Roman" w:eastAsia="Times New Roman" w:hAnsi="Times New Roman" w:cs="Times New Roman"/>
                <w:bCs/>
                <w:color w:val="000000" w:themeColor="text1"/>
                <w:sz w:val="20"/>
                <w:szCs w:val="20"/>
                <w:lang w:val="it-IT"/>
              </w:rPr>
            </w:pPr>
          </w:p>
          <w:p w:rsidR="00734862" w:rsidRPr="00083AD4" w:rsidRDefault="00734862" w:rsidP="00734862">
            <w:pPr>
              <w:jc w:val="both"/>
              <w:textAlignment w:val="baseline"/>
              <w:rPr>
                <w:rFonts w:ascii="Times New Roman" w:eastAsia="Times New Roman" w:hAnsi="Times New Roman" w:cs="Times New Roman"/>
                <w:bCs/>
                <w:color w:val="000000" w:themeColor="text1"/>
                <w:sz w:val="20"/>
                <w:szCs w:val="20"/>
                <w:lang w:val="it-IT"/>
              </w:rPr>
            </w:pPr>
          </w:p>
        </w:tc>
      </w:tr>
      <w:tr w:rsidR="00734862" w:rsidRPr="00083AD4" w:rsidTr="00FB2DFB">
        <w:trPr>
          <w:trHeight w:val="710"/>
        </w:trPr>
        <w:tc>
          <w:tcPr>
            <w:tcW w:w="2980" w:type="dxa"/>
            <w:gridSpan w:val="2"/>
            <w:vMerge/>
            <w:shd w:val="clear" w:color="auto" w:fill="FFFFFF" w:themeFill="background1"/>
          </w:tcPr>
          <w:p w:rsidR="00734862" w:rsidRPr="00083AD4" w:rsidRDefault="00734862" w:rsidP="00734862">
            <w:pPr>
              <w:rPr>
                <w:b/>
                <w:bCs/>
                <w:lang w:val="it-IT"/>
              </w:rPr>
            </w:pPr>
          </w:p>
        </w:tc>
        <w:tc>
          <w:tcPr>
            <w:tcW w:w="11600" w:type="dxa"/>
            <w:gridSpan w:val="12"/>
            <w:shd w:val="clear" w:color="auto" w:fill="FFFFFF" w:themeFill="background1"/>
          </w:tcPr>
          <w:p w:rsidR="00734862" w:rsidRPr="00083AD4" w:rsidRDefault="00734862" w:rsidP="00734862">
            <w:pPr>
              <w:textAlignment w:val="baseline"/>
              <w:rPr>
                <w:rFonts w:ascii="Times New Roman" w:eastAsia="Times New Roman" w:hAnsi="Times New Roman" w:cs="Times New Roman"/>
                <w:b/>
                <w:bCs/>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t>Finalizimi i procesit të vetingut dhe qëndrueshmëria e trashëgimisë së vetingut për magjistratët gjatë gjithë karrierës së tyre</w:t>
            </w:r>
          </w:p>
          <w:p w:rsidR="00734862" w:rsidRPr="00083AD4" w:rsidRDefault="00734862" w:rsidP="00734862">
            <w:pPr>
              <w:jc w:val="both"/>
              <w:textAlignment w:val="baseline"/>
              <w:rPr>
                <w:rFonts w:ascii="Times New Roman" w:eastAsia="Times New Roman" w:hAnsi="Times New Roman" w:cs="Times New Roman"/>
                <w:color w:val="000000" w:themeColor="text1"/>
                <w:sz w:val="20"/>
                <w:szCs w:val="20"/>
                <w:lang w:val="it-IT"/>
              </w:rPr>
            </w:pPr>
          </w:p>
        </w:tc>
      </w:tr>
      <w:tr w:rsidR="00734862" w:rsidRPr="00083AD4" w:rsidTr="00FB2DFB">
        <w:trPr>
          <w:trHeight w:val="1430"/>
        </w:trPr>
        <w:tc>
          <w:tcPr>
            <w:tcW w:w="2980" w:type="dxa"/>
            <w:gridSpan w:val="2"/>
            <w:vMerge/>
            <w:shd w:val="clear" w:color="auto" w:fill="FFFFFF" w:themeFill="background1"/>
          </w:tcPr>
          <w:p w:rsidR="00734862" w:rsidRPr="00083AD4" w:rsidRDefault="00734862" w:rsidP="00734862">
            <w:pPr>
              <w:pStyle w:val="ListParagraph"/>
              <w:shd w:val="clear" w:color="auto" w:fill="E2EFD9" w:themeFill="accent6" w:themeFillTint="33"/>
              <w:jc w:val="both"/>
              <w:textAlignment w:val="baseline"/>
              <w:rPr>
                <w:rFonts w:ascii="Times New Roman" w:eastAsia="Times New Roman" w:hAnsi="Times New Roman" w:cs="Times New Roman"/>
                <w:b/>
                <w:bCs/>
                <w:color w:val="000000" w:themeColor="text1"/>
                <w:sz w:val="20"/>
                <w:szCs w:val="20"/>
                <w:lang w:val="it-IT"/>
              </w:rPr>
            </w:pPr>
          </w:p>
        </w:tc>
        <w:tc>
          <w:tcPr>
            <w:tcW w:w="3329" w:type="dxa"/>
            <w:gridSpan w:val="4"/>
            <w:shd w:val="clear" w:color="auto" w:fill="FFFFFF" w:themeFill="background1"/>
          </w:tcPr>
          <w:p w:rsidR="00734862" w:rsidRPr="00083AD4" w:rsidRDefault="00734862" w:rsidP="00734862">
            <w:pPr>
              <w:textAlignment w:val="baseline"/>
              <w:rPr>
                <w:rFonts w:ascii="Times New Roman" w:eastAsia="Times New Roman" w:hAnsi="Times New Roman" w:cs="Times New Roman"/>
                <w:color w:val="000000" w:themeColor="text1"/>
                <w:sz w:val="20"/>
                <w:szCs w:val="20"/>
                <w:lang w:val="it-IT"/>
              </w:rPr>
            </w:pPr>
          </w:p>
        </w:tc>
        <w:tc>
          <w:tcPr>
            <w:tcW w:w="4322" w:type="dxa"/>
            <w:gridSpan w:val="7"/>
            <w:shd w:val="clear" w:color="auto" w:fill="FFFFFF" w:themeFill="background1"/>
          </w:tcPr>
          <w:p w:rsidR="00734862" w:rsidRPr="00083AD4" w:rsidRDefault="00734862" w:rsidP="00734862">
            <w:pPr>
              <w:jc w:val="both"/>
              <w:textAlignment w:val="baseline"/>
              <w:rPr>
                <w:rFonts w:ascii="Times New Roman" w:eastAsia="Times New Roman" w:hAnsi="Times New Roman" w:cs="Times New Roman"/>
                <w:bCs/>
                <w:color w:val="000000" w:themeColor="text1"/>
                <w:sz w:val="20"/>
                <w:szCs w:val="20"/>
                <w:lang w:val="it-IT"/>
              </w:rPr>
            </w:pPr>
            <w:r w:rsidRPr="00083AD4">
              <w:rPr>
                <w:rFonts w:ascii="Times New Roman" w:eastAsia="Times New Roman" w:hAnsi="Times New Roman" w:cs="Times New Roman"/>
                <w:bCs/>
                <w:color w:val="000000" w:themeColor="text1"/>
                <w:sz w:val="20"/>
                <w:szCs w:val="20"/>
                <w:lang w:val="it-IT"/>
              </w:rPr>
              <w:t xml:space="preserve">Komisioni i Pavarur i Kualifikimit dhe Komisioneri Publik sigurojnë përfundimin e të gjitha çështjeve të verifikimit në </w:t>
            </w:r>
            <w:r w:rsidR="00C57C26" w:rsidRPr="00083AD4">
              <w:rPr>
                <w:rFonts w:ascii="Times New Roman" w:eastAsia="Times New Roman" w:hAnsi="Times New Roman" w:cs="Times New Roman"/>
                <w:bCs/>
                <w:color w:val="000000" w:themeColor="text1"/>
                <w:sz w:val="20"/>
                <w:szCs w:val="20"/>
                <w:lang w:val="it-IT"/>
              </w:rPr>
              <w:t>pritje deri në vitin 2024. Kolegji  i</w:t>
            </w:r>
            <w:r w:rsidRPr="00083AD4">
              <w:rPr>
                <w:rFonts w:ascii="Times New Roman" w:eastAsia="Times New Roman" w:hAnsi="Times New Roman" w:cs="Times New Roman"/>
                <w:bCs/>
                <w:color w:val="000000" w:themeColor="text1"/>
                <w:sz w:val="20"/>
                <w:szCs w:val="20"/>
                <w:lang w:val="it-IT"/>
              </w:rPr>
              <w:t xml:space="preserve"> Posaç</w:t>
            </w:r>
            <w:r w:rsidR="00C57C26" w:rsidRPr="00083AD4">
              <w:rPr>
                <w:rFonts w:ascii="Times New Roman" w:eastAsia="Times New Roman" w:hAnsi="Times New Roman" w:cs="Times New Roman"/>
                <w:color w:val="000000" w:themeColor="text1"/>
                <w:sz w:val="20"/>
                <w:szCs w:val="20"/>
                <w:lang w:val="it-IT"/>
              </w:rPr>
              <w:t>ë</w:t>
            </w:r>
            <w:r w:rsidR="00C57C26" w:rsidRPr="00083AD4">
              <w:rPr>
                <w:rFonts w:ascii="Times New Roman" w:eastAsia="Times New Roman" w:hAnsi="Times New Roman" w:cs="Times New Roman"/>
                <w:bCs/>
                <w:color w:val="000000" w:themeColor="text1"/>
                <w:sz w:val="20"/>
                <w:szCs w:val="20"/>
                <w:lang w:val="it-IT"/>
              </w:rPr>
              <w:t>m i</w:t>
            </w:r>
            <w:r w:rsidRPr="00083AD4">
              <w:rPr>
                <w:rFonts w:ascii="Times New Roman" w:eastAsia="Times New Roman" w:hAnsi="Times New Roman" w:cs="Times New Roman"/>
                <w:bCs/>
                <w:color w:val="000000" w:themeColor="text1"/>
                <w:sz w:val="20"/>
                <w:szCs w:val="20"/>
                <w:lang w:val="it-IT"/>
              </w:rPr>
              <w:t xml:space="preserve"> Apelimit ndërmerr të gjitha hapat përkatës për të siguruar përfundimin e çështjeve brenda afatit kushtetues.</w:t>
            </w:r>
          </w:p>
          <w:p w:rsidR="00734862" w:rsidRPr="00083AD4" w:rsidRDefault="00734862" w:rsidP="00734862">
            <w:pPr>
              <w:jc w:val="both"/>
              <w:textAlignment w:val="baseline"/>
              <w:rPr>
                <w:rFonts w:ascii="Times New Roman" w:eastAsia="Times New Roman" w:hAnsi="Times New Roman" w:cs="Times New Roman"/>
                <w:bCs/>
                <w:color w:val="000000" w:themeColor="text1"/>
                <w:sz w:val="20"/>
                <w:szCs w:val="20"/>
                <w:lang w:val="it-IT"/>
              </w:rPr>
            </w:pPr>
          </w:p>
          <w:p w:rsidR="00734862" w:rsidRPr="00083AD4" w:rsidRDefault="00734862" w:rsidP="00734862">
            <w:pPr>
              <w:jc w:val="both"/>
              <w:textAlignment w:val="baseline"/>
              <w:rPr>
                <w:rFonts w:ascii="Times New Roman" w:eastAsia="Times New Roman" w:hAnsi="Times New Roman" w:cs="Times New Roman"/>
                <w:bCs/>
                <w:color w:val="000000" w:themeColor="text1"/>
                <w:sz w:val="20"/>
                <w:szCs w:val="20"/>
                <w:lang w:val="it-IT"/>
              </w:rPr>
            </w:pPr>
            <w:r w:rsidRPr="00083AD4">
              <w:rPr>
                <w:rFonts w:ascii="Times New Roman" w:eastAsia="Times New Roman" w:hAnsi="Times New Roman" w:cs="Times New Roman"/>
                <w:bCs/>
                <w:color w:val="000000" w:themeColor="text1"/>
                <w:sz w:val="20"/>
                <w:szCs w:val="20"/>
                <w:lang w:val="it-IT"/>
              </w:rPr>
              <w:t>Institucionet e vettingut sigurojnë referimin sistematik të çështjeve në prokurori, ku ka dyshime për elementë kriminalë.</w:t>
            </w:r>
          </w:p>
          <w:p w:rsidR="00734862" w:rsidRPr="00083AD4" w:rsidRDefault="00734862" w:rsidP="00734862">
            <w:pPr>
              <w:jc w:val="both"/>
              <w:textAlignment w:val="baseline"/>
              <w:rPr>
                <w:rFonts w:ascii="Times New Roman" w:eastAsia="Times New Roman" w:hAnsi="Times New Roman" w:cs="Times New Roman"/>
                <w:bCs/>
                <w:color w:val="000000" w:themeColor="text1"/>
                <w:sz w:val="20"/>
                <w:szCs w:val="20"/>
                <w:lang w:val="it-IT"/>
              </w:rPr>
            </w:pPr>
          </w:p>
          <w:p w:rsidR="00734862" w:rsidRPr="00083AD4" w:rsidRDefault="00734862" w:rsidP="00734862">
            <w:pPr>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 xml:space="preserve">Ruajtja e burimeve njerëzore të kualifikuara të zhvilluara nga institucionet e Vettingut për </w:t>
            </w:r>
            <w:r w:rsidR="00C944EA" w:rsidRPr="00083AD4">
              <w:rPr>
                <w:rFonts w:ascii="Times New Roman" w:eastAsia="Times New Roman" w:hAnsi="Times New Roman" w:cs="Times New Roman"/>
                <w:color w:val="000000" w:themeColor="text1"/>
                <w:sz w:val="20"/>
                <w:szCs w:val="20"/>
                <w:lang w:val="it-IT"/>
              </w:rPr>
              <w:t xml:space="preserve">kontrollin e figures </w:t>
            </w:r>
            <w:r w:rsidRPr="00083AD4">
              <w:rPr>
                <w:rFonts w:ascii="Times New Roman" w:eastAsia="Times New Roman" w:hAnsi="Times New Roman" w:cs="Times New Roman"/>
                <w:color w:val="000000" w:themeColor="text1"/>
                <w:sz w:val="20"/>
                <w:szCs w:val="20"/>
                <w:lang w:val="it-IT"/>
              </w:rPr>
              <w:t xml:space="preserve"> dhe të pasurisë/in</w:t>
            </w:r>
            <w:r w:rsidR="008465A6" w:rsidRPr="00083AD4">
              <w:rPr>
                <w:rFonts w:ascii="Times New Roman" w:eastAsia="Times New Roman" w:hAnsi="Times New Roman" w:cs="Times New Roman"/>
                <w:color w:val="000000" w:themeColor="text1"/>
                <w:sz w:val="20"/>
                <w:szCs w:val="20"/>
                <w:lang w:val="it-IT"/>
              </w:rPr>
              <w:t>tegritetit të kryer nga këshille</w:t>
            </w:r>
            <w:r w:rsidRPr="00083AD4">
              <w:rPr>
                <w:rFonts w:ascii="Times New Roman" w:eastAsia="Times New Roman" w:hAnsi="Times New Roman" w:cs="Times New Roman"/>
                <w:color w:val="000000" w:themeColor="text1"/>
                <w:sz w:val="20"/>
                <w:szCs w:val="20"/>
                <w:lang w:val="it-IT"/>
              </w:rPr>
              <w:t>t pas përfundimit të mandatit të tyre pas vitit 2024 e në vazhdim.</w:t>
            </w:r>
          </w:p>
        </w:tc>
        <w:tc>
          <w:tcPr>
            <w:tcW w:w="3949" w:type="dxa"/>
            <w:shd w:val="clear" w:color="auto" w:fill="FFFFFF" w:themeFill="background1"/>
          </w:tcPr>
          <w:p w:rsidR="00734862" w:rsidRPr="00083AD4" w:rsidRDefault="00734862" w:rsidP="00734862">
            <w:pPr>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Procesi i vetingut finalizohet brenda afatit kushtetues, me cilësi të lartë dhe çështjet me dy</w:t>
            </w:r>
            <w:r w:rsidR="00C57C26" w:rsidRPr="00083AD4">
              <w:rPr>
                <w:rFonts w:ascii="Times New Roman" w:eastAsia="Times New Roman" w:hAnsi="Times New Roman" w:cs="Times New Roman"/>
                <w:color w:val="000000" w:themeColor="text1"/>
                <w:sz w:val="20"/>
                <w:szCs w:val="20"/>
                <w:lang w:val="it-IT"/>
              </w:rPr>
              <w:t>shime për elementë kriminalë referohen</w:t>
            </w:r>
            <w:r w:rsidRPr="00083AD4">
              <w:rPr>
                <w:rFonts w:ascii="Times New Roman" w:eastAsia="Times New Roman" w:hAnsi="Times New Roman" w:cs="Times New Roman"/>
                <w:color w:val="000000" w:themeColor="text1"/>
                <w:sz w:val="20"/>
                <w:szCs w:val="20"/>
                <w:lang w:val="it-IT"/>
              </w:rPr>
              <w:t xml:space="preserve"> në prokurori.</w:t>
            </w:r>
          </w:p>
          <w:p w:rsidR="00734862" w:rsidRPr="00083AD4" w:rsidRDefault="00734862" w:rsidP="00734862">
            <w:pPr>
              <w:jc w:val="both"/>
              <w:textAlignment w:val="baseline"/>
              <w:rPr>
                <w:rFonts w:ascii="Times New Roman" w:eastAsia="Times New Roman" w:hAnsi="Times New Roman" w:cs="Times New Roman"/>
                <w:color w:val="000000" w:themeColor="text1"/>
                <w:sz w:val="20"/>
                <w:szCs w:val="20"/>
                <w:lang w:val="it-IT"/>
              </w:rPr>
            </w:pPr>
          </w:p>
          <w:p w:rsidR="00734862" w:rsidRPr="00083AD4" w:rsidRDefault="00734862" w:rsidP="00C57C26">
            <w:pPr>
              <w:jc w:val="both"/>
              <w:textAlignment w:val="baseline"/>
              <w:rPr>
                <w:rFonts w:ascii="Times New Roman" w:eastAsia="Times New Roman" w:hAnsi="Times New Roman" w:cs="Times New Roman"/>
                <w:bCs/>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Standardet e verifikimit mbështeten nga institucionet e qever</w:t>
            </w:r>
            <w:r w:rsidR="00C57C26" w:rsidRPr="00083AD4">
              <w:rPr>
                <w:rFonts w:ascii="Times New Roman" w:eastAsia="Times New Roman" w:hAnsi="Times New Roman" w:cs="Times New Roman"/>
                <w:color w:val="000000" w:themeColor="text1"/>
                <w:sz w:val="20"/>
                <w:szCs w:val="20"/>
                <w:lang w:val="it-IT"/>
              </w:rPr>
              <w:t>isjes dhe</w:t>
            </w:r>
            <w:r w:rsidR="008465A6" w:rsidRPr="00083AD4">
              <w:rPr>
                <w:rFonts w:ascii="Times New Roman" w:eastAsia="Times New Roman" w:hAnsi="Times New Roman" w:cs="Times New Roman"/>
                <w:color w:val="000000" w:themeColor="text1"/>
                <w:sz w:val="20"/>
                <w:szCs w:val="20"/>
                <w:lang w:val="it-IT"/>
              </w:rPr>
              <w:t xml:space="preserve"> sigurojnë konsistencë</w:t>
            </w:r>
            <w:r w:rsidRPr="00083AD4">
              <w:rPr>
                <w:rFonts w:ascii="Times New Roman" w:eastAsia="Times New Roman" w:hAnsi="Times New Roman" w:cs="Times New Roman"/>
                <w:color w:val="000000" w:themeColor="text1"/>
                <w:sz w:val="20"/>
                <w:szCs w:val="20"/>
                <w:lang w:val="it-IT"/>
              </w:rPr>
              <w:t xml:space="preserve"> dhe qëndrueshmëri të standardeve </w:t>
            </w:r>
            <w:r w:rsidR="00C57C26" w:rsidRPr="00083AD4">
              <w:rPr>
                <w:rFonts w:ascii="Times New Roman" w:eastAsia="Times New Roman" w:hAnsi="Times New Roman" w:cs="Times New Roman"/>
                <w:color w:val="000000" w:themeColor="text1"/>
                <w:sz w:val="20"/>
                <w:szCs w:val="20"/>
                <w:lang w:val="it-IT"/>
              </w:rPr>
              <w:t>të vettingut</w:t>
            </w:r>
            <w:r w:rsidR="008465A6" w:rsidRPr="00083AD4">
              <w:rPr>
                <w:rFonts w:ascii="Times New Roman" w:eastAsia="Times New Roman" w:hAnsi="Times New Roman" w:cs="Times New Roman"/>
                <w:color w:val="000000" w:themeColor="text1"/>
                <w:sz w:val="20"/>
                <w:szCs w:val="20"/>
                <w:lang w:val="it-IT"/>
              </w:rPr>
              <w:t xml:space="preserve"> gjatë </w:t>
            </w:r>
            <w:r w:rsidR="00C57C26" w:rsidRPr="00083AD4">
              <w:rPr>
                <w:rFonts w:ascii="Times New Roman" w:eastAsia="Times New Roman" w:hAnsi="Times New Roman" w:cs="Times New Roman"/>
                <w:color w:val="000000" w:themeColor="text1"/>
                <w:sz w:val="20"/>
                <w:szCs w:val="20"/>
                <w:lang w:val="it-IT"/>
              </w:rPr>
              <w:t xml:space="preserve">kontrollit të </w:t>
            </w:r>
            <w:r w:rsidRPr="00083AD4">
              <w:rPr>
                <w:rFonts w:ascii="Times New Roman" w:eastAsia="Times New Roman" w:hAnsi="Times New Roman" w:cs="Times New Roman"/>
                <w:color w:val="000000" w:themeColor="text1"/>
                <w:sz w:val="20"/>
                <w:szCs w:val="20"/>
                <w:lang w:val="it-IT"/>
              </w:rPr>
              <w:t xml:space="preserve"> integritetit dhe</w:t>
            </w:r>
            <w:r w:rsidR="00C57C26" w:rsidRPr="00083AD4">
              <w:rPr>
                <w:rFonts w:ascii="Times New Roman" w:eastAsia="Times New Roman" w:hAnsi="Times New Roman" w:cs="Times New Roman"/>
                <w:color w:val="000000" w:themeColor="text1"/>
                <w:sz w:val="20"/>
                <w:szCs w:val="20"/>
                <w:lang w:val="it-IT"/>
              </w:rPr>
              <w:t xml:space="preserve"> </w:t>
            </w:r>
            <w:r w:rsidR="00C944EA" w:rsidRPr="00083AD4">
              <w:rPr>
                <w:rFonts w:ascii="Times New Roman" w:eastAsia="Times New Roman" w:hAnsi="Times New Roman" w:cs="Times New Roman"/>
                <w:color w:val="000000" w:themeColor="text1"/>
                <w:sz w:val="20"/>
                <w:szCs w:val="20"/>
                <w:lang w:val="it-IT"/>
              </w:rPr>
              <w:t>kontrollit të figurës</w:t>
            </w:r>
            <w:r w:rsidRPr="00083AD4">
              <w:rPr>
                <w:rFonts w:ascii="Times New Roman" w:eastAsia="Times New Roman" w:hAnsi="Times New Roman" w:cs="Times New Roman"/>
                <w:color w:val="000000" w:themeColor="text1"/>
                <w:sz w:val="20"/>
                <w:szCs w:val="20"/>
                <w:lang w:val="it-IT"/>
              </w:rPr>
              <w:t>.</w:t>
            </w:r>
          </w:p>
        </w:tc>
      </w:tr>
      <w:tr w:rsidR="00734862" w:rsidRPr="00083AD4" w:rsidTr="00FB2DFB">
        <w:trPr>
          <w:trHeight w:val="413"/>
        </w:trPr>
        <w:tc>
          <w:tcPr>
            <w:tcW w:w="2980" w:type="dxa"/>
            <w:gridSpan w:val="2"/>
            <w:vMerge/>
            <w:shd w:val="clear" w:color="auto" w:fill="FFFFFF" w:themeFill="background1"/>
          </w:tcPr>
          <w:p w:rsidR="00734862" w:rsidRPr="00083AD4" w:rsidRDefault="00734862" w:rsidP="00734862">
            <w:pPr>
              <w:pStyle w:val="ListParagraph"/>
              <w:shd w:val="clear" w:color="auto" w:fill="E2EFD9" w:themeFill="accent6" w:themeFillTint="33"/>
              <w:jc w:val="both"/>
              <w:textAlignment w:val="baseline"/>
              <w:rPr>
                <w:rFonts w:ascii="Times New Roman" w:eastAsia="Times New Roman" w:hAnsi="Times New Roman" w:cs="Times New Roman"/>
                <w:b/>
                <w:bCs/>
                <w:color w:val="000000" w:themeColor="text1"/>
                <w:sz w:val="20"/>
                <w:szCs w:val="20"/>
                <w:lang w:val="it-IT"/>
              </w:rPr>
            </w:pPr>
          </w:p>
        </w:tc>
        <w:tc>
          <w:tcPr>
            <w:tcW w:w="11600" w:type="dxa"/>
            <w:gridSpan w:val="12"/>
            <w:shd w:val="clear" w:color="auto" w:fill="FFFFFF" w:themeFill="background1"/>
          </w:tcPr>
          <w:p w:rsidR="00734862" w:rsidRPr="00083AD4" w:rsidRDefault="00734862" w:rsidP="00083AD4">
            <w:pPr>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t xml:space="preserve">Ruajtja dhe zhvillimi i mëtejshëm i </w:t>
            </w:r>
            <w:r w:rsidR="00083AD4" w:rsidRPr="00083AD4">
              <w:rPr>
                <w:rFonts w:ascii="Times New Roman" w:eastAsia="Times New Roman" w:hAnsi="Times New Roman" w:cs="Times New Roman"/>
                <w:b/>
                <w:bCs/>
                <w:color w:val="000000" w:themeColor="text1"/>
                <w:sz w:val="20"/>
                <w:szCs w:val="20"/>
                <w:lang w:val="it-IT"/>
              </w:rPr>
              <w:t>të dhënave</w:t>
            </w:r>
            <w:r w:rsidR="00083AD4">
              <w:rPr>
                <w:rFonts w:ascii="Times New Roman" w:eastAsia="Times New Roman" w:hAnsi="Times New Roman" w:cs="Times New Roman"/>
                <w:b/>
                <w:bCs/>
                <w:color w:val="000000" w:themeColor="text1"/>
                <w:sz w:val="20"/>
                <w:szCs w:val="20"/>
                <w:lang w:val="it-IT"/>
              </w:rPr>
              <w:t xml:space="preserve"> për sa i përket llogaridhënies</w:t>
            </w:r>
            <w:r w:rsidRPr="00083AD4">
              <w:rPr>
                <w:rFonts w:ascii="Times New Roman" w:eastAsia="Times New Roman" w:hAnsi="Times New Roman" w:cs="Times New Roman"/>
                <w:b/>
                <w:bCs/>
                <w:color w:val="000000" w:themeColor="text1"/>
                <w:sz w:val="20"/>
                <w:szCs w:val="20"/>
                <w:lang w:val="it-IT"/>
              </w:rPr>
              <w:t xml:space="preserve"> për organet menaxhuese</w:t>
            </w:r>
          </w:p>
        </w:tc>
      </w:tr>
      <w:tr w:rsidR="00734862" w:rsidRPr="00083AD4" w:rsidTr="00FB2DFB">
        <w:trPr>
          <w:trHeight w:val="1430"/>
        </w:trPr>
        <w:tc>
          <w:tcPr>
            <w:tcW w:w="2980" w:type="dxa"/>
            <w:gridSpan w:val="2"/>
            <w:vMerge/>
            <w:shd w:val="clear" w:color="auto" w:fill="FFFFFF" w:themeFill="background1"/>
          </w:tcPr>
          <w:p w:rsidR="00734862" w:rsidRPr="00083AD4" w:rsidRDefault="00734862" w:rsidP="00734862">
            <w:pPr>
              <w:pStyle w:val="ListParagraph"/>
              <w:shd w:val="clear" w:color="auto" w:fill="E2EFD9" w:themeFill="accent6" w:themeFillTint="33"/>
              <w:jc w:val="both"/>
              <w:textAlignment w:val="baseline"/>
              <w:rPr>
                <w:rFonts w:ascii="Times New Roman" w:eastAsia="Times New Roman" w:hAnsi="Times New Roman" w:cs="Times New Roman"/>
                <w:b/>
                <w:bCs/>
                <w:color w:val="000000" w:themeColor="text1"/>
                <w:sz w:val="20"/>
                <w:szCs w:val="20"/>
                <w:lang w:val="it-IT"/>
              </w:rPr>
            </w:pPr>
          </w:p>
        </w:tc>
        <w:tc>
          <w:tcPr>
            <w:tcW w:w="3329" w:type="dxa"/>
            <w:gridSpan w:val="4"/>
            <w:shd w:val="clear" w:color="auto" w:fill="FFFFFF" w:themeFill="background1"/>
          </w:tcPr>
          <w:p w:rsidR="00734862" w:rsidRPr="00083AD4" w:rsidRDefault="00734862" w:rsidP="00734862">
            <w:pPr>
              <w:textAlignment w:val="baseline"/>
              <w:rPr>
                <w:rFonts w:ascii="Times New Roman" w:eastAsia="Times New Roman" w:hAnsi="Times New Roman" w:cs="Times New Roman"/>
                <w:color w:val="000000" w:themeColor="text1"/>
                <w:sz w:val="20"/>
                <w:szCs w:val="20"/>
                <w:lang w:val="it-IT"/>
              </w:rPr>
            </w:pPr>
          </w:p>
        </w:tc>
        <w:tc>
          <w:tcPr>
            <w:tcW w:w="4322" w:type="dxa"/>
            <w:gridSpan w:val="7"/>
            <w:shd w:val="clear" w:color="auto" w:fill="FFFFFF" w:themeFill="background1"/>
          </w:tcPr>
          <w:p w:rsidR="00734862" w:rsidRPr="00083AD4" w:rsidRDefault="00734862" w:rsidP="00734862">
            <w:pPr>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Organet e qeverisjes së drejtësisë të përfshira në 'vettingun' e anëtarëve jo-magjistratë të Këshillave ose Inspektorit të Lartë të Drejtësisë:</w:t>
            </w:r>
          </w:p>
          <w:p w:rsidR="00734862" w:rsidRPr="00083AD4" w:rsidRDefault="008626C5" w:rsidP="00734862">
            <w:pPr>
              <w:pStyle w:val="ListParagraph"/>
              <w:numPr>
                <w:ilvl w:val="0"/>
                <w:numId w:val="2"/>
              </w:numPr>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 xml:space="preserve">ndërmarrin </w:t>
            </w:r>
            <w:r w:rsidR="00734862" w:rsidRPr="00083AD4">
              <w:rPr>
                <w:rFonts w:ascii="Times New Roman" w:eastAsia="Times New Roman" w:hAnsi="Times New Roman" w:cs="Times New Roman"/>
                <w:color w:val="000000" w:themeColor="text1"/>
                <w:sz w:val="20"/>
                <w:szCs w:val="20"/>
                <w:lang w:val="it-IT"/>
              </w:rPr>
              <w:t>masa</w:t>
            </w:r>
            <w:r w:rsidRPr="00083AD4">
              <w:rPr>
                <w:rFonts w:ascii="Times New Roman" w:eastAsia="Times New Roman" w:hAnsi="Times New Roman" w:cs="Times New Roman"/>
                <w:color w:val="000000" w:themeColor="text1"/>
                <w:sz w:val="20"/>
                <w:szCs w:val="20"/>
                <w:lang w:val="it-IT"/>
              </w:rPr>
              <w:t xml:space="preserve"> të rregullta për rritjen</w:t>
            </w:r>
            <w:r w:rsidR="00734862" w:rsidRPr="00083AD4">
              <w:rPr>
                <w:rFonts w:ascii="Times New Roman" w:eastAsia="Times New Roman" w:hAnsi="Times New Roman" w:cs="Times New Roman"/>
                <w:color w:val="000000" w:themeColor="text1"/>
                <w:sz w:val="20"/>
                <w:szCs w:val="20"/>
                <w:lang w:val="it-IT"/>
              </w:rPr>
              <w:t xml:space="preserve"> e kapaciteteve </w:t>
            </w:r>
            <w:r w:rsidR="00C944EA" w:rsidRPr="00083AD4">
              <w:rPr>
                <w:rFonts w:ascii="Times New Roman" w:eastAsia="Times New Roman" w:hAnsi="Times New Roman" w:cs="Times New Roman"/>
                <w:color w:val="000000" w:themeColor="text1"/>
                <w:sz w:val="20"/>
                <w:szCs w:val="20"/>
                <w:lang w:val="it-IT"/>
              </w:rPr>
              <w:t>për kontrollin e figurës</w:t>
            </w:r>
            <w:r w:rsidR="00734862" w:rsidRPr="00083AD4">
              <w:rPr>
                <w:rFonts w:ascii="Times New Roman" w:eastAsia="Times New Roman" w:hAnsi="Times New Roman" w:cs="Times New Roman"/>
                <w:color w:val="000000" w:themeColor="text1"/>
                <w:sz w:val="20"/>
                <w:szCs w:val="20"/>
                <w:lang w:val="it-IT"/>
              </w:rPr>
              <w:t xml:space="preserve"> dhe të aseteve/integritetit</w:t>
            </w:r>
          </w:p>
          <w:p w:rsidR="00734862" w:rsidRPr="00083AD4" w:rsidRDefault="00734862" w:rsidP="00734862">
            <w:pPr>
              <w:jc w:val="both"/>
              <w:textAlignment w:val="baseline"/>
              <w:rPr>
                <w:rFonts w:ascii="Times New Roman" w:eastAsia="Times New Roman" w:hAnsi="Times New Roman" w:cs="Times New Roman"/>
                <w:color w:val="000000" w:themeColor="text1"/>
                <w:sz w:val="20"/>
                <w:szCs w:val="20"/>
                <w:lang w:val="it-IT"/>
              </w:rPr>
            </w:pPr>
          </w:p>
        </w:tc>
        <w:tc>
          <w:tcPr>
            <w:tcW w:w="3949" w:type="dxa"/>
            <w:shd w:val="clear" w:color="auto" w:fill="FFFFFF" w:themeFill="background1"/>
          </w:tcPr>
          <w:p w:rsidR="00734862" w:rsidRPr="00083AD4" w:rsidRDefault="00083AD4" w:rsidP="00083AD4">
            <w:pPr>
              <w:jc w:val="both"/>
              <w:textAlignment w:val="baseline"/>
              <w:rPr>
                <w:rFonts w:ascii="Times New Roman" w:eastAsia="Times New Roman" w:hAnsi="Times New Roman" w:cs="Times New Roman"/>
                <w:bCs/>
                <w:color w:val="000000" w:themeColor="text1"/>
                <w:sz w:val="20"/>
                <w:szCs w:val="20"/>
                <w:lang w:val="it-IT"/>
              </w:rPr>
            </w:pPr>
            <w:r>
              <w:rPr>
                <w:rFonts w:ascii="Times New Roman" w:eastAsia="Times New Roman" w:hAnsi="Times New Roman" w:cs="Times New Roman"/>
                <w:color w:val="000000" w:themeColor="text1"/>
                <w:sz w:val="20"/>
                <w:szCs w:val="20"/>
                <w:lang w:val="it-IT"/>
              </w:rPr>
              <w:t>K</w:t>
            </w:r>
            <w:r w:rsidR="00734862" w:rsidRPr="00083AD4">
              <w:rPr>
                <w:rFonts w:ascii="Times New Roman" w:eastAsia="Times New Roman" w:hAnsi="Times New Roman" w:cs="Times New Roman"/>
                <w:color w:val="000000" w:themeColor="text1"/>
                <w:sz w:val="20"/>
                <w:szCs w:val="20"/>
                <w:lang w:val="it-IT"/>
              </w:rPr>
              <w:t xml:space="preserve">ontrollet e </w:t>
            </w:r>
            <w:r w:rsidR="00C944EA" w:rsidRPr="00083AD4">
              <w:rPr>
                <w:rFonts w:ascii="Times New Roman" w:eastAsia="Times New Roman" w:hAnsi="Times New Roman" w:cs="Times New Roman"/>
                <w:color w:val="000000" w:themeColor="text1"/>
                <w:sz w:val="20"/>
                <w:szCs w:val="20"/>
                <w:lang w:val="it-IT"/>
              </w:rPr>
              <w:t xml:space="preserve">figurës </w:t>
            </w:r>
            <w:r w:rsidR="00734862" w:rsidRPr="00083AD4">
              <w:rPr>
                <w:rFonts w:ascii="Times New Roman" w:eastAsia="Times New Roman" w:hAnsi="Times New Roman" w:cs="Times New Roman"/>
                <w:color w:val="000000" w:themeColor="text1"/>
                <w:sz w:val="20"/>
                <w:szCs w:val="20"/>
                <w:lang w:val="it-IT"/>
              </w:rPr>
              <w:t xml:space="preserve">dhe të pasurisë/integritetit </w:t>
            </w:r>
            <w:r>
              <w:rPr>
                <w:rFonts w:ascii="Times New Roman" w:eastAsia="Times New Roman" w:hAnsi="Times New Roman" w:cs="Times New Roman"/>
                <w:color w:val="000000" w:themeColor="text1"/>
                <w:sz w:val="20"/>
                <w:szCs w:val="20"/>
                <w:lang w:val="it-IT"/>
              </w:rPr>
              <w:t>kryhen</w:t>
            </w:r>
            <w:r w:rsidR="00734862" w:rsidRPr="00083AD4">
              <w:rPr>
                <w:rFonts w:ascii="Times New Roman" w:eastAsia="Times New Roman" w:hAnsi="Times New Roman" w:cs="Times New Roman"/>
                <w:color w:val="000000" w:themeColor="text1"/>
                <w:sz w:val="20"/>
                <w:szCs w:val="20"/>
                <w:lang w:val="it-IT"/>
              </w:rPr>
              <w:t xml:space="preserve"> në përputhje me standardet e vettingut dhe në kohë siç parashi</w:t>
            </w:r>
            <w:r w:rsidR="00C944EA" w:rsidRPr="00083AD4">
              <w:rPr>
                <w:rFonts w:ascii="Times New Roman" w:eastAsia="Times New Roman" w:hAnsi="Times New Roman" w:cs="Times New Roman"/>
                <w:color w:val="000000" w:themeColor="text1"/>
                <w:sz w:val="20"/>
                <w:szCs w:val="20"/>
                <w:lang w:val="it-IT"/>
              </w:rPr>
              <w:t>kohet me ligj nga KLGJ, KLP, KPA</w:t>
            </w:r>
            <w:r w:rsidR="00734862" w:rsidRPr="00083AD4">
              <w:rPr>
                <w:rFonts w:ascii="Times New Roman" w:eastAsia="Times New Roman" w:hAnsi="Times New Roman" w:cs="Times New Roman"/>
                <w:color w:val="000000" w:themeColor="text1"/>
                <w:sz w:val="20"/>
                <w:szCs w:val="20"/>
                <w:lang w:val="it-IT"/>
              </w:rPr>
              <w:t xml:space="preserve">, organet përgjegjëse për 'vettingun' e zyrtarëve të </w:t>
            </w:r>
            <w:r w:rsidR="00C944EA" w:rsidRPr="00083AD4">
              <w:rPr>
                <w:rFonts w:ascii="Times New Roman" w:eastAsia="Times New Roman" w:hAnsi="Times New Roman" w:cs="Times New Roman"/>
                <w:color w:val="000000" w:themeColor="text1"/>
                <w:sz w:val="20"/>
                <w:szCs w:val="20"/>
                <w:lang w:val="it-IT"/>
              </w:rPr>
              <w:t>tjerë të drejtësisë dhe emërime</w:t>
            </w:r>
            <w:r>
              <w:rPr>
                <w:rFonts w:ascii="Times New Roman" w:eastAsia="Times New Roman" w:hAnsi="Times New Roman" w:cs="Times New Roman"/>
                <w:color w:val="000000" w:themeColor="text1"/>
                <w:sz w:val="20"/>
                <w:szCs w:val="20"/>
                <w:lang w:val="it-IT"/>
              </w:rPr>
              <w:t>t sigurohet</w:t>
            </w:r>
            <w:r w:rsidR="00C944EA" w:rsidRPr="00083AD4">
              <w:rPr>
                <w:rFonts w:ascii="Times New Roman" w:eastAsia="Times New Roman" w:hAnsi="Times New Roman" w:cs="Times New Roman"/>
                <w:color w:val="000000" w:themeColor="text1"/>
                <w:sz w:val="20"/>
                <w:szCs w:val="20"/>
                <w:lang w:val="it-IT"/>
              </w:rPr>
              <w:t xml:space="preserve"> të </w:t>
            </w:r>
            <w:r>
              <w:rPr>
                <w:rFonts w:ascii="Times New Roman" w:eastAsia="Times New Roman" w:hAnsi="Times New Roman" w:cs="Times New Roman"/>
                <w:color w:val="000000" w:themeColor="text1"/>
                <w:sz w:val="20"/>
                <w:szCs w:val="20"/>
                <w:lang w:val="it-IT"/>
              </w:rPr>
              <w:t xml:space="preserve">jenë të </w:t>
            </w:r>
            <w:r w:rsidR="00C944EA" w:rsidRPr="00083AD4">
              <w:rPr>
                <w:rFonts w:ascii="Times New Roman" w:eastAsia="Times New Roman" w:hAnsi="Times New Roman" w:cs="Times New Roman"/>
                <w:color w:val="000000" w:themeColor="text1"/>
                <w:sz w:val="20"/>
                <w:szCs w:val="20"/>
                <w:lang w:val="it-IT"/>
              </w:rPr>
              <w:t>bazuara në merita</w:t>
            </w:r>
            <w:r w:rsidR="00734862" w:rsidRPr="00083AD4">
              <w:rPr>
                <w:rFonts w:ascii="Times New Roman" w:eastAsia="Times New Roman" w:hAnsi="Times New Roman" w:cs="Times New Roman"/>
                <w:color w:val="000000" w:themeColor="text1"/>
                <w:sz w:val="20"/>
                <w:szCs w:val="20"/>
                <w:lang w:val="it-IT"/>
              </w:rPr>
              <w:t xml:space="preserve"> deri në vitin 2027.</w:t>
            </w:r>
          </w:p>
        </w:tc>
      </w:tr>
      <w:tr w:rsidR="00734862" w:rsidRPr="00083AD4" w:rsidTr="00FB2DFB">
        <w:trPr>
          <w:trHeight w:val="274"/>
        </w:trPr>
        <w:tc>
          <w:tcPr>
            <w:tcW w:w="2980" w:type="dxa"/>
            <w:gridSpan w:val="2"/>
            <w:vMerge/>
            <w:shd w:val="clear" w:color="auto" w:fill="FFFFFF" w:themeFill="background1"/>
          </w:tcPr>
          <w:p w:rsidR="00734862" w:rsidRPr="00083AD4" w:rsidRDefault="00734862" w:rsidP="00734862">
            <w:pPr>
              <w:pStyle w:val="ListParagraph"/>
              <w:shd w:val="clear" w:color="auto" w:fill="E2EFD9" w:themeFill="accent6" w:themeFillTint="33"/>
              <w:jc w:val="both"/>
              <w:textAlignment w:val="baseline"/>
              <w:rPr>
                <w:rFonts w:ascii="Times New Roman" w:eastAsia="Times New Roman" w:hAnsi="Times New Roman" w:cs="Times New Roman"/>
                <w:b/>
                <w:bCs/>
                <w:color w:val="000000" w:themeColor="text1"/>
                <w:sz w:val="20"/>
                <w:szCs w:val="20"/>
                <w:lang w:val="it-IT"/>
              </w:rPr>
            </w:pPr>
          </w:p>
        </w:tc>
        <w:tc>
          <w:tcPr>
            <w:tcW w:w="11600" w:type="dxa"/>
            <w:gridSpan w:val="12"/>
            <w:shd w:val="clear" w:color="auto" w:fill="FFFFFF" w:themeFill="background1"/>
          </w:tcPr>
          <w:p w:rsidR="00734862" w:rsidRPr="00083AD4" w:rsidRDefault="00734862" w:rsidP="00083AD4">
            <w:pPr>
              <w:jc w:val="both"/>
              <w:textAlignment w:val="baseline"/>
              <w:rPr>
                <w:rFonts w:ascii="Times New Roman" w:eastAsia="Times New Roman" w:hAnsi="Times New Roman" w:cs="Times New Roman"/>
                <w:bCs/>
                <w:color w:val="000000" w:themeColor="text1"/>
                <w:sz w:val="20"/>
                <w:szCs w:val="20"/>
                <w:lang w:val="it-IT"/>
              </w:rPr>
            </w:pPr>
            <w:r w:rsidRPr="00083AD4">
              <w:rPr>
                <w:rFonts w:ascii="Times New Roman" w:eastAsia="Times New Roman" w:hAnsi="Times New Roman" w:cs="Times New Roman"/>
                <w:b/>
                <w:color w:val="000000" w:themeColor="text1"/>
                <w:sz w:val="20"/>
                <w:szCs w:val="20"/>
                <w:lang w:val="it-IT"/>
              </w:rPr>
              <w:t>Thellimi i bashkëpunimit dhe koordinimit ndërinstitucional përmes një kuadri strategjik</w:t>
            </w:r>
            <w:r w:rsidR="00083AD4">
              <w:rPr>
                <w:rFonts w:ascii="Times New Roman" w:eastAsia="Times New Roman" w:hAnsi="Times New Roman" w:cs="Times New Roman"/>
                <w:b/>
                <w:color w:val="000000" w:themeColor="text1"/>
                <w:sz w:val="20"/>
                <w:szCs w:val="20"/>
                <w:lang w:val="it-IT"/>
              </w:rPr>
              <w:t xml:space="preserve"> solid</w:t>
            </w:r>
          </w:p>
        </w:tc>
      </w:tr>
      <w:tr w:rsidR="00734862" w:rsidRPr="00083AD4" w:rsidTr="00FB2DFB">
        <w:trPr>
          <w:trHeight w:val="1430"/>
        </w:trPr>
        <w:tc>
          <w:tcPr>
            <w:tcW w:w="2980" w:type="dxa"/>
            <w:gridSpan w:val="2"/>
            <w:vMerge/>
            <w:shd w:val="clear" w:color="auto" w:fill="FFFFFF" w:themeFill="background1"/>
          </w:tcPr>
          <w:p w:rsidR="00734862" w:rsidRPr="00083AD4" w:rsidRDefault="00734862" w:rsidP="00734862">
            <w:pPr>
              <w:pStyle w:val="ListParagraph"/>
              <w:shd w:val="clear" w:color="auto" w:fill="E2EFD9" w:themeFill="accent6" w:themeFillTint="33"/>
              <w:jc w:val="both"/>
              <w:textAlignment w:val="baseline"/>
              <w:rPr>
                <w:rFonts w:ascii="Times New Roman" w:eastAsia="Times New Roman" w:hAnsi="Times New Roman" w:cs="Times New Roman"/>
                <w:b/>
                <w:bCs/>
                <w:color w:val="000000" w:themeColor="text1"/>
                <w:sz w:val="20"/>
                <w:szCs w:val="20"/>
                <w:lang w:val="it-IT"/>
              </w:rPr>
            </w:pPr>
          </w:p>
        </w:tc>
        <w:tc>
          <w:tcPr>
            <w:tcW w:w="3329" w:type="dxa"/>
            <w:gridSpan w:val="4"/>
            <w:shd w:val="clear" w:color="auto" w:fill="FFFFFF" w:themeFill="background1"/>
          </w:tcPr>
          <w:p w:rsidR="00734862" w:rsidRPr="00083AD4" w:rsidRDefault="00734862" w:rsidP="00734862">
            <w:pPr>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Konsolidimi i zbatimit të reformës nëpërmjet Strategjisë së rishikuar të Drejtësisë 2024-2030 duke mundësuar rritjen e bashkëpunimit ndërinstitucional, monitorimin e rregullt dhe përmirësimin e mbledhjes dhe analizës së të dhënave.</w:t>
            </w:r>
          </w:p>
        </w:tc>
        <w:tc>
          <w:tcPr>
            <w:tcW w:w="4322" w:type="dxa"/>
            <w:gridSpan w:val="7"/>
            <w:shd w:val="clear" w:color="auto" w:fill="FFFFFF" w:themeFill="background1"/>
          </w:tcPr>
          <w:p w:rsidR="00734862" w:rsidRPr="00083AD4" w:rsidRDefault="003564B6" w:rsidP="003564B6">
            <w:pPr>
              <w:jc w:val="both"/>
              <w:textAlignment w:val="baseline"/>
              <w:rPr>
                <w:rFonts w:ascii="Times New Roman" w:eastAsia="Times New Roman" w:hAnsi="Times New Roman" w:cs="Times New Roman"/>
                <w:color w:val="000000" w:themeColor="text1"/>
                <w:sz w:val="20"/>
                <w:szCs w:val="20"/>
                <w:lang w:val="it-IT"/>
              </w:rPr>
            </w:pPr>
            <w:r>
              <w:rPr>
                <w:rFonts w:ascii="Times New Roman" w:eastAsia="Times New Roman" w:hAnsi="Times New Roman" w:cs="Times New Roman"/>
                <w:color w:val="000000" w:themeColor="text1"/>
                <w:sz w:val="20"/>
                <w:szCs w:val="20"/>
                <w:lang w:val="it-IT"/>
              </w:rPr>
              <w:t>Kapacitete të  përshtatshme</w:t>
            </w:r>
            <w:r w:rsidR="00083AD4">
              <w:rPr>
                <w:rFonts w:ascii="Times New Roman" w:eastAsia="Times New Roman" w:hAnsi="Times New Roman" w:cs="Times New Roman"/>
                <w:color w:val="000000" w:themeColor="text1"/>
                <w:sz w:val="20"/>
                <w:szCs w:val="20"/>
                <w:lang w:val="it-IT"/>
              </w:rPr>
              <w:t xml:space="preserve"> të</w:t>
            </w:r>
            <w:r w:rsidR="00734862" w:rsidRPr="00083AD4">
              <w:rPr>
                <w:rFonts w:ascii="Times New Roman" w:eastAsia="Times New Roman" w:hAnsi="Times New Roman" w:cs="Times New Roman"/>
                <w:color w:val="000000" w:themeColor="text1"/>
                <w:sz w:val="20"/>
                <w:szCs w:val="20"/>
                <w:lang w:val="it-IT"/>
              </w:rPr>
              <w:t xml:space="preserve"> institucioneve të drejtësisë për të siguruar bashkëpunimin e duhur, si dhe mbledhjen e të dhënave, monitorimin dhe raportimin për avancimin e reformës në drejtësi deri në vitin 2026.</w:t>
            </w:r>
          </w:p>
        </w:tc>
        <w:tc>
          <w:tcPr>
            <w:tcW w:w="3949" w:type="dxa"/>
            <w:shd w:val="clear" w:color="auto" w:fill="FFFFFF" w:themeFill="background1"/>
          </w:tcPr>
          <w:p w:rsidR="00734862" w:rsidRPr="00083AD4" w:rsidRDefault="00734862" w:rsidP="00734862">
            <w:pPr>
              <w:jc w:val="both"/>
              <w:textAlignment w:val="baseline"/>
              <w:rPr>
                <w:rFonts w:ascii="Times New Roman" w:eastAsia="Times New Roman" w:hAnsi="Times New Roman" w:cs="Times New Roman"/>
                <w:bCs/>
                <w:color w:val="000000" w:themeColor="text1"/>
                <w:sz w:val="20"/>
                <w:szCs w:val="20"/>
                <w:lang w:val="it-IT"/>
              </w:rPr>
            </w:pPr>
            <w:r w:rsidRPr="00083AD4">
              <w:rPr>
                <w:rFonts w:ascii="Times New Roman" w:eastAsia="Times New Roman" w:hAnsi="Times New Roman" w:cs="Times New Roman"/>
                <w:bCs/>
                <w:color w:val="000000" w:themeColor="text1"/>
                <w:sz w:val="20"/>
                <w:szCs w:val="20"/>
                <w:lang w:val="it-IT"/>
              </w:rPr>
              <w:t>Vazhdimi i zbatimit të mirë të reformës në drejtësi për të garantuar funksionimin sistematik të sektorit të drejtësisë përmes zgjerimit të bashkëpunimit ndërinstitucional dhe forcimit të monitorimit deri në vitin 2030.</w:t>
            </w:r>
          </w:p>
        </w:tc>
      </w:tr>
      <w:tr w:rsidR="00734862" w:rsidRPr="00083AD4" w:rsidTr="00FB2DFB">
        <w:trPr>
          <w:trHeight w:val="521"/>
        </w:trPr>
        <w:tc>
          <w:tcPr>
            <w:tcW w:w="2980" w:type="dxa"/>
            <w:gridSpan w:val="2"/>
            <w:vMerge/>
            <w:shd w:val="clear" w:color="auto" w:fill="FFFFFF" w:themeFill="background1"/>
          </w:tcPr>
          <w:p w:rsidR="00734862" w:rsidRPr="00083AD4" w:rsidRDefault="00734862" w:rsidP="00734862">
            <w:pPr>
              <w:pStyle w:val="ListParagraph"/>
              <w:shd w:val="clear" w:color="auto" w:fill="E2EFD9" w:themeFill="accent6" w:themeFillTint="33"/>
              <w:jc w:val="both"/>
              <w:textAlignment w:val="baseline"/>
              <w:rPr>
                <w:rFonts w:ascii="Times New Roman" w:eastAsia="Times New Roman" w:hAnsi="Times New Roman" w:cs="Times New Roman"/>
                <w:b/>
                <w:bCs/>
                <w:color w:val="000000" w:themeColor="text1"/>
                <w:sz w:val="20"/>
                <w:szCs w:val="20"/>
                <w:lang w:val="it-IT"/>
              </w:rPr>
            </w:pPr>
          </w:p>
        </w:tc>
        <w:tc>
          <w:tcPr>
            <w:tcW w:w="11600" w:type="dxa"/>
            <w:gridSpan w:val="12"/>
            <w:shd w:val="clear" w:color="auto" w:fill="FFFFFF" w:themeFill="background1"/>
          </w:tcPr>
          <w:p w:rsidR="00734862" w:rsidRPr="00083AD4" w:rsidRDefault="00734862" w:rsidP="00734862">
            <w:pPr>
              <w:jc w:val="both"/>
              <w:textAlignment w:val="baseline"/>
              <w:rPr>
                <w:rFonts w:ascii="Times New Roman" w:eastAsia="Times New Roman" w:hAnsi="Times New Roman" w:cs="Times New Roman"/>
                <w:bCs/>
                <w:color w:val="000000" w:themeColor="text1"/>
                <w:sz w:val="20"/>
                <w:szCs w:val="20"/>
                <w:lang w:val="it-IT"/>
              </w:rPr>
            </w:pPr>
            <w:r w:rsidRPr="00083AD4">
              <w:rPr>
                <w:rFonts w:ascii="Times New Roman" w:eastAsia="Times New Roman" w:hAnsi="Times New Roman" w:cs="Times New Roman"/>
                <w:b/>
                <w:color w:val="000000" w:themeColor="text1"/>
                <w:sz w:val="20"/>
                <w:szCs w:val="20"/>
                <w:lang w:val="it-IT"/>
              </w:rPr>
              <w:t>Rritja e komunikimit publik të reformës në drejtësi dhe institucioneve</w:t>
            </w:r>
          </w:p>
        </w:tc>
      </w:tr>
      <w:tr w:rsidR="00734862" w:rsidRPr="00083AD4" w:rsidTr="00FB2DFB">
        <w:trPr>
          <w:trHeight w:val="1430"/>
        </w:trPr>
        <w:tc>
          <w:tcPr>
            <w:tcW w:w="2980" w:type="dxa"/>
            <w:gridSpan w:val="2"/>
            <w:vMerge/>
            <w:shd w:val="clear" w:color="auto" w:fill="FFFFFF" w:themeFill="background1"/>
          </w:tcPr>
          <w:p w:rsidR="00734862" w:rsidRPr="00083AD4" w:rsidRDefault="00734862" w:rsidP="00734862">
            <w:pPr>
              <w:pStyle w:val="ListParagraph"/>
              <w:shd w:val="clear" w:color="auto" w:fill="E2EFD9" w:themeFill="accent6" w:themeFillTint="33"/>
              <w:jc w:val="both"/>
              <w:textAlignment w:val="baseline"/>
              <w:rPr>
                <w:rFonts w:ascii="Times New Roman" w:eastAsia="Times New Roman" w:hAnsi="Times New Roman" w:cs="Times New Roman"/>
                <w:b/>
                <w:bCs/>
                <w:color w:val="000000" w:themeColor="text1"/>
                <w:sz w:val="20"/>
                <w:szCs w:val="20"/>
                <w:lang w:val="it-IT"/>
              </w:rPr>
            </w:pPr>
          </w:p>
        </w:tc>
        <w:tc>
          <w:tcPr>
            <w:tcW w:w="3329" w:type="dxa"/>
            <w:gridSpan w:val="4"/>
            <w:shd w:val="clear" w:color="auto" w:fill="FFFFFF" w:themeFill="background1"/>
          </w:tcPr>
          <w:p w:rsidR="00734862" w:rsidRPr="00083AD4" w:rsidRDefault="00734862" w:rsidP="00F93F6E">
            <w:pPr>
              <w:jc w:val="both"/>
              <w:textAlignment w:val="baseline"/>
              <w:rPr>
                <w:rFonts w:ascii="Times New Roman" w:eastAsia="Times New Roman" w:hAnsi="Times New Roman" w:cs="Times New Roman"/>
                <w:bCs/>
                <w:color w:val="000000" w:themeColor="text1"/>
                <w:sz w:val="20"/>
                <w:szCs w:val="20"/>
                <w:lang w:val="it-IT"/>
              </w:rPr>
            </w:pPr>
            <w:r w:rsidRPr="00083AD4">
              <w:rPr>
                <w:rFonts w:ascii="Times New Roman" w:eastAsia="Times New Roman" w:hAnsi="Times New Roman" w:cs="Times New Roman"/>
                <w:bCs/>
                <w:color w:val="000000" w:themeColor="text1"/>
                <w:sz w:val="20"/>
                <w:szCs w:val="20"/>
                <w:lang w:val="it-IT"/>
              </w:rPr>
              <w:t>Planet e komunikimit të zhvilluar</w:t>
            </w:r>
            <w:r w:rsidR="00F93F6E" w:rsidRPr="00083AD4">
              <w:rPr>
                <w:rFonts w:ascii="Times New Roman" w:eastAsia="Times New Roman" w:hAnsi="Times New Roman" w:cs="Times New Roman"/>
                <w:bCs/>
                <w:color w:val="000000" w:themeColor="text1"/>
                <w:sz w:val="20"/>
                <w:szCs w:val="20"/>
                <w:lang w:val="it-IT"/>
              </w:rPr>
              <w:t>a nga KLGJ, KLP, SPAK, PP dhe MD</w:t>
            </w:r>
            <w:r w:rsidRPr="00083AD4">
              <w:rPr>
                <w:rFonts w:ascii="Times New Roman" w:eastAsia="Times New Roman" w:hAnsi="Times New Roman" w:cs="Times New Roman"/>
                <w:bCs/>
                <w:color w:val="000000" w:themeColor="text1"/>
                <w:sz w:val="20"/>
                <w:szCs w:val="20"/>
                <w:lang w:val="it-IT"/>
              </w:rPr>
              <w:t>, për të zhvilluar më tej kuptimin dhe rritjen e besimit të publikut për reformën në drejtësi</w:t>
            </w:r>
            <w:r w:rsidR="00F93F6E" w:rsidRPr="00083AD4">
              <w:rPr>
                <w:rFonts w:ascii="Times New Roman" w:eastAsia="Times New Roman" w:hAnsi="Times New Roman" w:cs="Times New Roman"/>
                <w:bCs/>
                <w:color w:val="000000" w:themeColor="text1"/>
                <w:sz w:val="20"/>
                <w:szCs w:val="20"/>
                <w:lang w:val="it-IT"/>
              </w:rPr>
              <w:t xml:space="preserve">, </w:t>
            </w:r>
            <w:r w:rsidRPr="00083AD4">
              <w:rPr>
                <w:rFonts w:ascii="Times New Roman" w:eastAsia="Times New Roman" w:hAnsi="Times New Roman" w:cs="Times New Roman"/>
                <w:bCs/>
                <w:color w:val="000000" w:themeColor="text1"/>
                <w:sz w:val="20"/>
                <w:szCs w:val="20"/>
                <w:lang w:val="it-IT"/>
              </w:rPr>
              <w:t xml:space="preserve"> kuadrin </w:t>
            </w:r>
            <w:r w:rsidR="00F93F6E" w:rsidRPr="00083AD4">
              <w:rPr>
                <w:rFonts w:ascii="Times New Roman" w:eastAsia="Times New Roman" w:hAnsi="Times New Roman" w:cs="Times New Roman"/>
                <w:bCs/>
                <w:color w:val="000000" w:themeColor="text1"/>
                <w:sz w:val="20"/>
                <w:szCs w:val="20"/>
                <w:lang w:val="it-IT"/>
              </w:rPr>
              <w:t xml:space="preserve">institucional </w:t>
            </w:r>
            <w:r w:rsidRPr="00083AD4">
              <w:rPr>
                <w:rFonts w:ascii="Times New Roman" w:eastAsia="Times New Roman" w:hAnsi="Times New Roman" w:cs="Times New Roman"/>
                <w:bCs/>
                <w:color w:val="000000" w:themeColor="text1"/>
                <w:sz w:val="20"/>
                <w:szCs w:val="20"/>
                <w:lang w:val="it-IT"/>
              </w:rPr>
              <w:t>dhe vendimmarrjen  deri në vitin 2024.</w:t>
            </w:r>
          </w:p>
        </w:tc>
        <w:tc>
          <w:tcPr>
            <w:tcW w:w="4322" w:type="dxa"/>
            <w:gridSpan w:val="7"/>
            <w:shd w:val="clear" w:color="auto" w:fill="FFFFFF" w:themeFill="background1"/>
          </w:tcPr>
          <w:p w:rsidR="00734862" w:rsidRPr="00083AD4" w:rsidRDefault="00734862" w:rsidP="00734862">
            <w:pPr>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Kapacitete të qëndrueshme të institucioneve të drejtësisë, veçanërisht KLGJ, KLP, MD, SPAK dhe PP për të hartuar dhe zbatuar komunikimin mbi zhvillimet në sistemin e drejtësisë deri në vitin 2026.</w:t>
            </w:r>
          </w:p>
        </w:tc>
        <w:tc>
          <w:tcPr>
            <w:tcW w:w="3949" w:type="dxa"/>
            <w:shd w:val="clear" w:color="auto" w:fill="FFFFFF" w:themeFill="background1"/>
          </w:tcPr>
          <w:p w:rsidR="00734862" w:rsidRPr="00083AD4" w:rsidRDefault="00734862" w:rsidP="00F93F6E">
            <w:pPr>
              <w:jc w:val="both"/>
              <w:textAlignment w:val="baseline"/>
              <w:rPr>
                <w:rFonts w:ascii="Times New Roman" w:eastAsia="Times New Roman" w:hAnsi="Times New Roman" w:cs="Times New Roman"/>
                <w:bCs/>
                <w:color w:val="000000" w:themeColor="text1"/>
                <w:sz w:val="20"/>
                <w:szCs w:val="20"/>
                <w:lang w:val="it-IT"/>
              </w:rPr>
            </w:pPr>
            <w:r w:rsidRPr="00083AD4">
              <w:rPr>
                <w:rFonts w:ascii="Times New Roman" w:eastAsia="Times New Roman" w:hAnsi="Times New Roman" w:cs="Times New Roman"/>
                <w:bCs/>
                <w:color w:val="000000" w:themeColor="text1"/>
                <w:sz w:val="20"/>
                <w:szCs w:val="20"/>
                <w:lang w:val="it-IT"/>
              </w:rPr>
              <w:t>Ruajtja e një komunikimi të vazhdueshëm, duke i mbajtur qytetarët të</w:t>
            </w:r>
            <w:r w:rsidR="00F93F6E" w:rsidRPr="00083AD4">
              <w:rPr>
                <w:rFonts w:ascii="Times New Roman" w:eastAsia="Times New Roman" w:hAnsi="Times New Roman" w:cs="Times New Roman"/>
                <w:bCs/>
                <w:color w:val="000000" w:themeColor="text1"/>
                <w:sz w:val="20"/>
                <w:szCs w:val="20"/>
                <w:lang w:val="it-IT"/>
              </w:rPr>
              <w:t xml:space="preserve"> mirë</w:t>
            </w:r>
            <w:r w:rsidRPr="00083AD4">
              <w:rPr>
                <w:rFonts w:ascii="Times New Roman" w:eastAsia="Times New Roman" w:hAnsi="Times New Roman" w:cs="Times New Roman"/>
                <w:bCs/>
                <w:color w:val="000000" w:themeColor="text1"/>
                <w:sz w:val="20"/>
                <w:szCs w:val="20"/>
                <w:lang w:val="it-IT"/>
              </w:rPr>
              <w:t xml:space="preserve">informuar mbi zhvillimet në </w:t>
            </w:r>
            <w:r w:rsidR="00F93F6E" w:rsidRPr="00083AD4">
              <w:rPr>
                <w:rFonts w:ascii="Times New Roman" w:eastAsia="Times New Roman" w:hAnsi="Times New Roman" w:cs="Times New Roman"/>
                <w:bCs/>
                <w:color w:val="000000" w:themeColor="text1"/>
                <w:sz w:val="20"/>
                <w:szCs w:val="20"/>
                <w:lang w:val="it-IT"/>
              </w:rPr>
              <w:t xml:space="preserve">reformën në drejtësi dhe mbi </w:t>
            </w:r>
            <w:r w:rsidRPr="00083AD4">
              <w:rPr>
                <w:rFonts w:ascii="Times New Roman" w:eastAsia="Times New Roman" w:hAnsi="Times New Roman" w:cs="Times New Roman"/>
                <w:bCs/>
                <w:color w:val="000000" w:themeColor="text1"/>
                <w:sz w:val="20"/>
                <w:szCs w:val="20"/>
                <w:lang w:val="it-IT"/>
              </w:rPr>
              <w:t>shërbimet e drejtësisë deri në vitin 2030.</w:t>
            </w:r>
          </w:p>
        </w:tc>
      </w:tr>
      <w:tr w:rsidR="00734862" w:rsidRPr="00083AD4" w:rsidTr="00734862">
        <w:trPr>
          <w:trHeight w:val="132"/>
        </w:trPr>
        <w:tc>
          <w:tcPr>
            <w:tcW w:w="14580" w:type="dxa"/>
            <w:gridSpan w:val="14"/>
            <w:shd w:val="clear" w:color="auto" w:fill="BDD6EE" w:themeFill="accent1" w:themeFillTint="66"/>
          </w:tcPr>
          <w:p w:rsidR="00734862" w:rsidRPr="00083AD4" w:rsidRDefault="00734862" w:rsidP="00734862">
            <w:pPr>
              <w:jc w:val="both"/>
              <w:rPr>
                <w:rFonts w:ascii="Times New Roman" w:eastAsia="Times New Roman" w:hAnsi="Times New Roman" w:cs="Times New Roman"/>
                <w:b/>
                <w:bCs/>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t>I</w:t>
            </w:r>
            <w:r w:rsidR="00D54D81" w:rsidRPr="00083AD4">
              <w:rPr>
                <w:rFonts w:ascii="Times New Roman" w:eastAsia="Times New Roman" w:hAnsi="Times New Roman" w:cs="Times New Roman"/>
                <w:b/>
                <w:bCs/>
                <w:color w:val="000000" w:themeColor="text1"/>
                <w:sz w:val="20"/>
                <w:szCs w:val="20"/>
                <w:lang w:val="it-IT"/>
              </w:rPr>
              <w:t>.B PAVARËSIA DHE PAANSHMËRIA</w:t>
            </w:r>
          </w:p>
        </w:tc>
      </w:tr>
      <w:tr w:rsidR="00734862" w:rsidRPr="00083AD4" w:rsidTr="00734862">
        <w:trPr>
          <w:trHeight w:val="132"/>
        </w:trPr>
        <w:tc>
          <w:tcPr>
            <w:tcW w:w="14580" w:type="dxa"/>
            <w:gridSpan w:val="14"/>
            <w:shd w:val="clear" w:color="auto" w:fill="FFFFFF" w:themeFill="background1"/>
          </w:tcPr>
          <w:p w:rsidR="00734862" w:rsidRPr="00083AD4" w:rsidRDefault="00734862" w:rsidP="00734862">
            <w:pPr>
              <w:jc w:val="both"/>
              <w:rPr>
                <w:rFonts w:ascii="Times New Roman" w:eastAsia="Times New Roman" w:hAnsi="Times New Roman" w:cs="Times New Roman"/>
                <w:b/>
                <w:bCs/>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t>Vazhdimi i emërimeve të bazuara në merita dhe sistemi i avancimit në karrierë</w:t>
            </w:r>
          </w:p>
        </w:tc>
      </w:tr>
      <w:tr w:rsidR="00734862" w:rsidRPr="00083AD4" w:rsidTr="00FB2DFB">
        <w:trPr>
          <w:trHeight w:val="132"/>
        </w:trPr>
        <w:tc>
          <w:tcPr>
            <w:tcW w:w="2980" w:type="dxa"/>
            <w:gridSpan w:val="2"/>
            <w:shd w:val="clear" w:color="auto" w:fill="FFFFFF" w:themeFill="background1"/>
          </w:tcPr>
          <w:p w:rsidR="00734862" w:rsidRPr="00083AD4" w:rsidRDefault="00734862" w:rsidP="00734862">
            <w:pPr>
              <w:spacing w:after="160" w:line="259" w:lineRule="auto"/>
              <w:rPr>
                <w:rFonts w:ascii="Times New Roman" w:eastAsia="Times New Roman" w:hAnsi="Times New Roman" w:cs="Times New Roman"/>
                <w:color w:val="000000" w:themeColor="text1"/>
                <w:sz w:val="20"/>
                <w:szCs w:val="20"/>
                <w:lang w:val="it-IT"/>
              </w:rPr>
            </w:pPr>
          </w:p>
        </w:tc>
        <w:tc>
          <w:tcPr>
            <w:tcW w:w="3358" w:type="dxa"/>
            <w:gridSpan w:val="5"/>
            <w:shd w:val="clear" w:color="auto" w:fill="FFFFFF" w:themeFill="background1"/>
          </w:tcPr>
          <w:p w:rsidR="00734862" w:rsidRPr="00083AD4" w:rsidRDefault="00734862" w:rsidP="00734862">
            <w:pPr>
              <w:jc w:val="both"/>
              <w:rPr>
                <w:rFonts w:ascii="Times New Roman" w:eastAsia="Times New Roman" w:hAnsi="Times New Roman" w:cs="Times New Roman"/>
                <w:color w:val="000000" w:themeColor="text1"/>
                <w:sz w:val="20"/>
                <w:szCs w:val="20"/>
                <w:lang w:val="it-IT"/>
              </w:rPr>
            </w:pPr>
            <w:r>
              <w:rPr>
                <w:rFonts w:ascii="Times New Roman" w:eastAsia="Times New Roman" w:hAnsi="Times New Roman" w:cs="Times New Roman"/>
                <w:color w:val="000000" w:themeColor="text1"/>
                <w:sz w:val="20"/>
                <w:szCs w:val="20"/>
              </w:rPr>
              <w:t xml:space="preserve">Shih ndryshimet ligjore më sipër nën 1. </w:t>
            </w:r>
            <w:r w:rsidRPr="00083AD4">
              <w:rPr>
                <w:rFonts w:ascii="Times New Roman" w:eastAsia="Times New Roman" w:hAnsi="Times New Roman" w:cs="Times New Roman"/>
                <w:color w:val="000000" w:themeColor="text1"/>
                <w:sz w:val="20"/>
                <w:szCs w:val="20"/>
                <w:lang w:val="it-IT"/>
              </w:rPr>
              <w:t>Konsolidimi i arritjeve të reformës</w:t>
            </w:r>
          </w:p>
        </w:tc>
        <w:tc>
          <w:tcPr>
            <w:tcW w:w="3117" w:type="dxa"/>
            <w:gridSpan w:val="4"/>
            <w:shd w:val="clear" w:color="auto" w:fill="FFFFFF" w:themeFill="background1"/>
          </w:tcPr>
          <w:p w:rsidR="00734862" w:rsidRPr="00083AD4" w:rsidRDefault="00D54D81" w:rsidP="00734862">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Këshille</w:t>
            </w:r>
            <w:r w:rsidR="00734862" w:rsidRPr="00083AD4">
              <w:rPr>
                <w:rFonts w:ascii="Times New Roman" w:eastAsia="Times New Roman" w:hAnsi="Times New Roman" w:cs="Times New Roman"/>
                <w:color w:val="000000" w:themeColor="text1"/>
                <w:sz w:val="20"/>
                <w:szCs w:val="20"/>
                <w:lang w:val="it-IT"/>
              </w:rPr>
              <w:t xml:space="preserve">t organizojnë trajnime të brendshme </w:t>
            </w:r>
            <w:r w:rsidR="00F93F6E" w:rsidRPr="00083AD4">
              <w:rPr>
                <w:rFonts w:ascii="Times New Roman" w:eastAsia="Times New Roman" w:hAnsi="Times New Roman" w:cs="Times New Roman"/>
                <w:color w:val="000000" w:themeColor="text1"/>
                <w:sz w:val="20"/>
                <w:szCs w:val="20"/>
                <w:lang w:val="it-IT"/>
              </w:rPr>
              <w:t xml:space="preserve">dhe mentorim </w:t>
            </w:r>
            <w:r w:rsidR="00734862" w:rsidRPr="00083AD4">
              <w:rPr>
                <w:rFonts w:ascii="Times New Roman" w:eastAsia="Times New Roman" w:hAnsi="Times New Roman" w:cs="Times New Roman"/>
                <w:color w:val="000000" w:themeColor="text1"/>
                <w:sz w:val="20"/>
                <w:szCs w:val="20"/>
                <w:lang w:val="it-IT"/>
              </w:rPr>
              <w:t xml:space="preserve">me synimin për të forcuar integritetin dhe pavarësinë e sistemit të zhvillimit të karrierës bazuar </w:t>
            </w:r>
            <w:r w:rsidR="00F93F6E" w:rsidRPr="00083AD4">
              <w:rPr>
                <w:rFonts w:ascii="Times New Roman" w:eastAsia="Times New Roman" w:hAnsi="Times New Roman" w:cs="Times New Roman"/>
                <w:color w:val="000000" w:themeColor="text1"/>
                <w:sz w:val="20"/>
                <w:szCs w:val="20"/>
                <w:lang w:val="it-IT"/>
              </w:rPr>
              <w:t>në meritë  dhe në vlerësimin  drejtë të performancës sipas projeksioneve</w:t>
            </w:r>
            <w:r w:rsidR="00734862" w:rsidRPr="00083AD4">
              <w:rPr>
                <w:rFonts w:ascii="Times New Roman" w:eastAsia="Times New Roman" w:hAnsi="Times New Roman" w:cs="Times New Roman"/>
                <w:color w:val="000000" w:themeColor="text1"/>
                <w:sz w:val="20"/>
                <w:szCs w:val="20"/>
                <w:lang w:val="it-IT"/>
              </w:rPr>
              <w:t xml:space="preserve"> vjetore deri në vitin 2025.</w:t>
            </w:r>
          </w:p>
          <w:p w:rsidR="00734862" w:rsidRPr="00083AD4" w:rsidRDefault="00734862" w:rsidP="00734862">
            <w:pPr>
              <w:jc w:val="both"/>
              <w:rPr>
                <w:rFonts w:ascii="Times New Roman" w:eastAsia="Times New Roman" w:hAnsi="Times New Roman" w:cs="Times New Roman"/>
                <w:color w:val="000000" w:themeColor="text1"/>
                <w:sz w:val="20"/>
                <w:szCs w:val="20"/>
                <w:lang w:val="it-IT"/>
              </w:rPr>
            </w:pPr>
          </w:p>
          <w:p w:rsidR="00734862" w:rsidRPr="00083AD4" w:rsidRDefault="00D54D81" w:rsidP="00734862">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Këshille</w:t>
            </w:r>
            <w:r w:rsidR="00734862" w:rsidRPr="00083AD4">
              <w:rPr>
                <w:rFonts w:ascii="Times New Roman" w:eastAsia="Times New Roman" w:hAnsi="Times New Roman" w:cs="Times New Roman"/>
                <w:color w:val="000000" w:themeColor="text1"/>
                <w:sz w:val="20"/>
                <w:szCs w:val="20"/>
                <w:lang w:val="it-IT"/>
              </w:rPr>
              <w:t>t rishikojnë rregullat e tyre të brendshme dhe përpi</w:t>
            </w:r>
            <w:r w:rsidR="00F93F6E" w:rsidRPr="00083AD4">
              <w:rPr>
                <w:rFonts w:ascii="Times New Roman" w:eastAsia="Times New Roman" w:hAnsi="Times New Roman" w:cs="Times New Roman"/>
                <w:color w:val="000000" w:themeColor="text1"/>
                <w:sz w:val="20"/>
                <w:szCs w:val="20"/>
                <w:lang w:val="it-IT"/>
              </w:rPr>
              <w:t>qen deri në fund të vitit 2025 t</w:t>
            </w:r>
            <w:r w:rsidR="00734862" w:rsidRPr="00083AD4">
              <w:rPr>
                <w:rFonts w:ascii="Times New Roman" w:eastAsia="Times New Roman" w:hAnsi="Times New Roman" w:cs="Times New Roman"/>
                <w:color w:val="000000" w:themeColor="text1"/>
                <w:sz w:val="20"/>
                <w:szCs w:val="20"/>
                <w:lang w:val="it-IT"/>
              </w:rPr>
              <w:t>ë:</w:t>
            </w:r>
          </w:p>
          <w:p w:rsidR="00734862" w:rsidRPr="00083AD4" w:rsidRDefault="00734862" w:rsidP="00734862">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 xml:space="preserve">- </w:t>
            </w:r>
            <w:r w:rsidR="00F93F6E" w:rsidRPr="00083AD4">
              <w:rPr>
                <w:rFonts w:ascii="Times New Roman" w:eastAsia="Times New Roman" w:hAnsi="Times New Roman" w:cs="Times New Roman"/>
                <w:color w:val="000000" w:themeColor="text1"/>
                <w:sz w:val="20"/>
                <w:szCs w:val="20"/>
                <w:lang w:val="it-IT"/>
              </w:rPr>
              <w:t xml:space="preserve">kryejnë </w:t>
            </w:r>
            <w:r w:rsidRPr="00083AD4">
              <w:rPr>
                <w:rFonts w:ascii="Times New Roman" w:eastAsia="Times New Roman" w:hAnsi="Times New Roman" w:cs="Times New Roman"/>
                <w:color w:val="000000" w:themeColor="text1"/>
                <w:sz w:val="20"/>
                <w:szCs w:val="20"/>
                <w:lang w:val="it-IT"/>
              </w:rPr>
              <w:t>vlerësimet</w:t>
            </w:r>
            <w:r w:rsidR="00F93F6E" w:rsidRPr="00083AD4">
              <w:rPr>
                <w:rFonts w:ascii="Times New Roman" w:eastAsia="Times New Roman" w:hAnsi="Times New Roman" w:cs="Times New Roman"/>
                <w:color w:val="000000" w:themeColor="text1"/>
                <w:sz w:val="20"/>
                <w:szCs w:val="20"/>
                <w:lang w:val="it-IT"/>
              </w:rPr>
              <w:t xml:space="preserve"> e</w:t>
            </w:r>
            <w:r w:rsidRPr="00083AD4">
              <w:rPr>
                <w:rFonts w:ascii="Times New Roman" w:eastAsia="Times New Roman" w:hAnsi="Times New Roman" w:cs="Times New Roman"/>
                <w:color w:val="000000" w:themeColor="text1"/>
                <w:sz w:val="20"/>
                <w:szCs w:val="20"/>
                <w:lang w:val="it-IT"/>
              </w:rPr>
              <w:t xml:space="preserve"> </w:t>
            </w:r>
            <w:r w:rsidR="00F93F6E" w:rsidRPr="00083AD4">
              <w:rPr>
                <w:rFonts w:ascii="Times New Roman" w:eastAsia="Times New Roman" w:hAnsi="Times New Roman" w:cs="Times New Roman"/>
                <w:color w:val="000000" w:themeColor="text1"/>
                <w:sz w:val="20"/>
                <w:szCs w:val="20"/>
                <w:lang w:val="it-IT"/>
              </w:rPr>
              <w:t xml:space="preserve">performancës në kohë </w:t>
            </w:r>
            <w:r w:rsidRPr="00083AD4">
              <w:rPr>
                <w:rFonts w:ascii="Times New Roman" w:eastAsia="Times New Roman" w:hAnsi="Times New Roman" w:cs="Times New Roman"/>
                <w:color w:val="000000" w:themeColor="text1"/>
                <w:sz w:val="20"/>
                <w:szCs w:val="20"/>
                <w:lang w:val="it-IT"/>
              </w:rPr>
              <w:t xml:space="preserve"> </w:t>
            </w:r>
          </w:p>
          <w:p w:rsidR="00734862" w:rsidRPr="00083AD4" w:rsidRDefault="00F93F6E" w:rsidP="00F93F6E">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 shqyrtojnë në mënyrë</w:t>
            </w:r>
            <w:r w:rsidR="00734862" w:rsidRPr="00083AD4">
              <w:rPr>
                <w:rFonts w:ascii="Times New Roman" w:eastAsia="Times New Roman" w:hAnsi="Times New Roman" w:cs="Times New Roman"/>
                <w:color w:val="000000" w:themeColor="text1"/>
                <w:sz w:val="20"/>
                <w:szCs w:val="20"/>
                <w:lang w:val="it-IT"/>
              </w:rPr>
              <w:t xml:space="preserve"> rigoroz</w:t>
            </w:r>
            <w:r w:rsidRPr="00083AD4">
              <w:rPr>
                <w:rFonts w:ascii="Times New Roman" w:eastAsia="Times New Roman" w:hAnsi="Times New Roman" w:cs="Times New Roman"/>
                <w:color w:val="000000" w:themeColor="text1"/>
                <w:sz w:val="20"/>
                <w:szCs w:val="20"/>
                <w:lang w:val="it-IT"/>
              </w:rPr>
              <w:t>e</w:t>
            </w:r>
            <w:r w:rsidR="00734862" w:rsidRPr="00083AD4">
              <w:rPr>
                <w:rFonts w:ascii="Times New Roman" w:eastAsia="Times New Roman" w:hAnsi="Times New Roman" w:cs="Times New Roman"/>
                <w:color w:val="000000" w:themeColor="text1"/>
                <w:sz w:val="20"/>
                <w:szCs w:val="20"/>
                <w:lang w:val="it-IT"/>
              </w:rPr>
              <w:t xml:space="preserve"> d</w:t>
            </w:r>
            <w:r w:rsidRPr="00083AD4">
              <w:rPr>
                <w:rFonts w:ascii="Times New Roman" w:eastAsia="Times New Roman" w:hAnsi="Times New Roman" w:cs="Times New Roman"/>
                <w:color w:val="000000" w:themeColor="text1"/>
                <w:sz w:val="20"/>
                <w:szCs w:val="20"/>
                <w:lang w:val="it-IT"/>
              </w:rPr>
              <w:t>he në kohë asetet</w:t>
            </w:r>
            <w:r w:rsidR="00C90231" w:rsidRPr="00083AD4">
              <w:rPr>
                <w:rFonts w:ascii="Times New Roman" w:eastAsia="Times New Roman" w:hAnsi="Times New Roman" w:cs="Times New Roman"/>
                <w:color w:val="000000" w:themeColor="text1"/>
                <w:sz w:val="20"/>
                <w:szCs w:val="20"/>
                <w:lang w:val="it-IT"/>
              </w:rPr>
              <w:t xml:space="preserve"> dhe </w:t>
            </w:r>
            <w:r w:rsidRPr="00083AD4">
              <w:rPr>
                <w:rFonts w:ascii="Times New Roman" w:eastAsia="Times New Roman" w:hAnsi="Times New Roman" w:cs="Times New Roman"/>
                <w:color w:val="000000" w:themeColor="text1"/>
                <w:sz w:val="20"/>
                <w:szCs w:val="20"/>
                <w:lang w:val="it-IT"/>
              </w:rPr>
              <w:t xml:space="preserve">figurën </w:t>
            </w:r>
            <w:r w:rsidR="00734862" w:rsidRPr="00083AD4">
              <w:rPr>
                <w:rFonts w:ascii="Times New Roman" w:eastAsia="Times New Roman" w:hAnsi="Times New Roman" w:cs="Times New Roman"/>
                <w:color w:val="000000" w:themeColor="text1"/>
                <w:sz w:val="20"/>
                <w:szCs w:val="20"/>
                <w:lang w:val="it-IT"/>
              </w:rPr>
              <w:t xml:space="preserve">bazuar në standardet e zhvilluara nga verifikimi </w:t>
            </w:r>
            <w:r w:rsidRPr="00083AD4">
              <w:rPr>
                <w:rFonts w:ascii="Times New Roman" w:eastAsia="Times New Roman" w:hAnsi="Times New Roman" w:cs="Times New Roman"/>
                <w:color w:val="000000" w:themeColor="text1"/>
                <w:sz w:val="20"/>
                <w:szCs w:val="20"/>
                <w:lang w:val="it-IT"/>
              </w:rPr>
              <w:t>paraprak promovimit</w:t>
            </w:r>
          </w:p>
        </w:tc>
        <w:tc>
          <w:tcPr>
            <w:tcW w:w="5125" w:type="dxa"/>
            <w:gridSpan w:val="3"/>
            <w:shd w:val="clear" w:color="auto" w:fill="FFFFFF" w:themeFill="background1"/>
          </w:tcPr>
          <w:p w:rsidR="00734862" w:rsidRPr="00083AD4" w:rsidRDefault="00734862" w:rsidP="00734862">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 xml:space="preserve">Vendimet e zhvillimit të karrierës bazohen vazhdimisht në merita dhe në vijim të kontrollit të aseteve dhe </w:t>
            </w:r>
            <w:r w:rsidR="00A47602" w:rsidRPr="00083AD4">
              <w:rPr>
                <w:rFonts w:ascii="Times New Roman" w:eastAsia="Times New Roman" w:hAnsi="Times New Roman" w:cs="Times New Roman"/>
                <w:color w:val="000000" w:themeColor="text1"/>
                <w:sz w:val="20"/>
                <w:szCs w:val="20"/>
                <w:lang w:val="it-IT"/>
              </w:rPr>
              <w:t>figures së barazvlefshëm me ve</w:t>
            </w:r>
            <w:r w:rsidR="00E141B8" w:rsidRPr="00083AD4">
              <w:rPr>
                <w:rFonts w:ascii="Times New Roman" w:eastAsia="Times New Roman" w:hAnsi="Times New Roman" w:cs="Times New Roman"/>
                <w:color w:val="000000" w:themeColor="text1"/>
                <w:sz w:val="20"/>
                <w:szCs w:val="20"/>
                <w:lang w:val="it-IT"/>
              </w:rPr>
              <w:t>tting</w:t>
            </w:r>
            <w:r w:rsidRPr="00083AD4">
              <w:rPr>
                <w:rFonts w:ascii="Times New Roman" w:eastAsia="Times New Roman" w:hAnsi="Times New Roman" w:cs="Times New Roman"/>
                <w:color w:val="000000" w:themeColor="text1"/>
                <w:sz w:val="20"/>
                <w:szCs w:val="20"/>
                <w:lang w:val="it-IT"/>
              </w:rPr>
              <w:t xml:space="preserve"> deri në vitin 2030.</w:t>
            </w:r>
          </w:p>
          <w:p w:rsidR="00734862" w:rsidRPr="00083AD4" w:rsidRDefault="00734862" w:rsidP="00734862">
            <w:pPr>
              <w:jc w:val="both"/>
              <w:rPr>
                <w:rFonts w:ascii="Times New Roman" w:eastAsia="Times New Roman" w:hAnsi="Times New Roman" w:cs="Times New Roman"/>
                <w:color w:val="000000" w:themeColor="text1"/>
                <w:sz w:val="20"/>
                <w:szCs w:val="20"/>
                <w:lang w:val="it-IT"/>
              </w:rPr>
            </w:pPr>
          </w:p>
          <w:p w:rsidR="00734862" w:rsidRPr="00083AD4" w:rsidRDefault="00734862" w:rsidP="00734862">
            <w:pPr>
              <w:jc w:val="both"/>
              <w:rPr>
                <w:rFonts w:ascii="Times New Roman" w:eastAsia="Times New Roman" w:hAnsi="Times New Roman" w:cs="Times New Roman"/>
                <w:color w:val="000000" w:themeColor="text1"/>
                <w:sz w:val="20"/>
                <w:szCs w:val="20"/>
                <w:lang w:val="it-IT"/>
              </w:rPr>
            </w:pPr>
          </w:p>
        </w:tc>
      </w:tr>
      <w:tr w:rsidR="00734862" w:rsidRPr="00083AD4" w:rsidTr="00734862">
        <w:trPr>
          <w:trHeight w:val="132"/>
        </w:trPr>
        <w:tc>
          <w:tcPr>
            <w:tcW w:w="14580" w:type="dxa"/>
            <w:gridSpan w:val="14"/>
            <w:shd w:val="clear" w:color="auto" w:fill="FFFFFF" w:themeFill="background1"/>
          </w:tcPr>
          <w:p w:rsidR="00734862" w:rsidRPr="00083AD4" w:rsidRDefault="00734862" w:rsidP="00734862">
            <w:pPr>
              <w:jc w:val="both"/>
              <w:rPr>
                <w:rFonts w:ascii="Times New Roman" w:eastAsia="Times New Roman" w:hAnsi="Times New Roman" w:cs="Times New Roman"/>
                <w:b/>
                <w:bCs/>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t>Rezistenca ndaj ndërhyrjeve të brendshme dhe të jashtme</w:t>
            </w:r>
          </w:p>
        </w:tc>
      </w:tr>
      <w:tr w:rsidR="00734862" w:rsidRPr="00083AD4" w:rsidTr="00FB2DFB">
        <w:trPr>
          <w:trHeight w:val="1266"/>
        </w:trPr>
        <w:tc>
          <w:tcPr>
            <w:tcW w:w="2980" w:type="dxa"/>
            <w:gridSpan w:val="2"/>
            <w:shd w:val="clear" w:color="auto" w:fill="FFFFFF" w:themeFill="background1"/>
          </w:tcPr>
          <w:p w:rsidR="00734862" w:rsidRPr="00083AD4" w:rsidRDefault="00734862" w:rsidP="00734862">
            <w:pPr>
              <w:jc w:val="both"/>
              <w:rPr>
                <w:rFonts w:ascii="Times New Roman" w:eastAsia="Times New Roman" w:hAnsi="Times New Roman" w:cs="Times New Roman"/>
                <w:color w:val="000000" w:themeColor="text1"/>
                <w:sz w:val="20"/>
                <w:szCs w:val="20"/>
                <w:lang w:val="it-IT"/>
              </w:rPr>
            </w:pPr>
          </w:p>
          <w:p w:rsidR="00734862" w:rsidRPr="00083AD4" w:rsidRDefault="00734862" w:rsidP="00734862">
            <w:pPr>
              <w:jc w:val="both"/>
              <w:rPr>
                <w:rFonts w:ascii="Times New Roman" w:eastAsia="Times New Roman" w:hAnsi="Times New Roman" w:cs="Times New Roman"/>
                <w:color w:val="000000" w:themeColor="text1"/>
                <w:sz w:val="20"/>
                <w:szCs w:val="20"/>
                <w:lang w:val="it-IT"/>
              </w:rPr>
            </w:pPr>
          </w:p>
        </w:tc>
        <w:tc>
          <w:tcPr>
            <w:tcW w:w="3358" w:type="dxa"/>
            <w:gridSpan w:val="5"/>
            <w:shd w:val="clear" w:color="auto" w:fill="FFFFFF" w:themeFill="background1"/>
          </w:tcPr>
          <w:p w:rsidR="00734862" w:rsidRPr="00083AD4" w:rsidRDefault="00734862" w:rsidP="00734862">
            <w:pPr>
              <w:jc w:val="both"/>
              <w:rPr>
                <w:rFonts w:ascii="Times New Roman" w:eastAsia="Times New Roman" w:hAnsi="Times New Roman" w:cs="Times New Roman"/>
                <w:color w:val="000000" w:themeColor="text1"/>
                <w:sz w:val="20"/>
                <w:szCs w:val="20"/>
                <w:lang w:val="it-IT"/>
              </w:rPr>
            </w:pPr>
          </w:p>
        </w:tc>
        <w:tc>
          <w:tcPr>
            <w:tcW w:w="3117" w:type="dxa"/>
            <w:gridSpan w:val="4"/>
            <w:shd w:val="clear" w:color="auto" w:fill="FFFFFF" w:themeFill="background1"/>
          </w:tcPr>
          <w:p w:rsidR="00734862" w:rsidRPr="00083AD4" w:rsidRDefault="00C90231" w:rsidP="00734862">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Trajnimi</w:t>
            </w:r>
            <w:r w:rsidR="00734862" w:rsidRPr="00083AD4">
              <w:rPr>
                <w:rFonts w:ascii="Times New Roman" w:eastAsia="Times New Roman" w:hAnsi="Times New Roman" w:cs="Times New Roman"/>
                <w:color w:val="000000" w:themeColor="text1"/>
                <w:sz w:val="20"/>
                <w:szCs w:val="20"/>
                <w:lang w:val="it-IT"/>
              </w:rPr>
              <w:t xml:space="preserve"> </w:t>
            </w:r>
            <w:r w:rsidR="003564B6">
              <w:rPr>
                <w:rFonts w:ascii="Times New Roman" w:eastAsia="Times New Roman" w:hAnsi="Times New Roman" w:cs="Times New Roman"/>
                <w:color w:val="000000" w:themeColor="text1"/>
                <w:sz w:val="20"/>
                <w:szCs w:val="20"/>
                <w:lang w:val="it-IT"/>
              </w:rPr>
              <w:t>i përshtatshëm</w:t>
            </w:r>
            <w:r w:rsidR="00734862" w:rsidRPr="00083AD4">
              <w:rPr>
                <w:rFonts w:ascii="Times New Roman" w:eastAsia="Times New Roman" w:hAnsi="Times New Roman" w:cs="Times New Roman"/>
                <w:color w:val="000000" w:themeColor="text1"/>
                <w:sz w:val="20"/>
                <w:szCs w:val="20"/>
                <w:lang w:val="it-IT"/>
              </w:rPr>
              <w:t xml:space="preserve"> i ofruar nga Shkolla e Magjistraturës dhe institucionet e qeverisjes nga viti 2024 e në vazhdim për t'i rezistuar presionit të panevojshëm në rastet e konfliktit të interesit </w:t>
            </w:r>
            <w:r w:rsidR="003564B6">
              <w:rPr>
                <w:rFonts w:ascii="Times New Roman" w:eastAsia="Times New Roman" w:hAnsi="Times New Roman" w:cs="Times New Roman"/>
                <w:color w:val="000000" w:themeColor="text1"/>
                <w:sz w:val="20"/>
                <w:szCs w:val="20"/>
                <w:lang w:val="it-IT"/>
              </w:rPr>
              <w:t>të gjyqtarëve,</w:t>
            </w:r>
            <w:r w:rsidR="00734862" w:rsidRPr="00083AD4">
              <w:rPr>
                <w:rFonts w:ascii="Times New Roman" w:eastAsia="Times New Roman" w:hAnsi="Times New Roman" w:cs="Times New Roman"/>
                <w:color w:val="000000" w:themeColor="text1"/>
                <w:sz w:val="20"/>
                <w:szCs w:val="20"/>
                <w:lang w:val="it-IT"/>
              </w:rPr>
              <w:t xml:space="preserve"> </w:t>
            </w:r>
            <w:r w:rsidR="003564B6">
              <w:rPr>
                <w:rFonts w:ascii="Times New Roman" w:eastAsia="Times New Roman" w:hAnsi="Times New Roman" w:cs="Times New Roman"/>
                <w:color w:val="000000" w:themeColor="text1"/>
                <w:sz w:val="20"/>
                <w:szCs w:val="20"/>
                <w:lang w:val="it-IT"/>
              </w:rPr>
              <w:t>prokurorëve dhe stafit  të</w:t>
            </w:r>
            <w:r w:rsidR="00734862" w:rsidRPr="00083AD4">
              <w:rPr>
                <w:rFonts w:ascii="Times New Roman" w:eastAsia="Times New Roman" w:hAnsi="Times New Roman" w:cs="Times New Roman"/>
                <w:color w:val="000000" w:themeColor="text1"/>
                <w:sz w:val="20"/>
                <w:szCs w:val="20"/>
                <w:lang w:val="it-IT"/>
              </w:rPr>
              <w:t xml:space="preserve"> gjykatave.</w:t>
            </w:r>
          </w:p>
          <w:p w:rsidR="00734862" w:rsidRPr="00083AD4" w:rsidRDefault="003564B6" w:rsidP="003564B6">
            <w:pPr>
              <w:jc w:val="both"/>
              <w:rPr>
                <w:rFonts w:ascii="Times New Roman" w:eastAsia="Times New Roman" w:hAnsi="Times New Roman" w:cs="Times New Roman"/>
                <w:color w:val="000000" w:themeColor="text1"/>
                <w:sz w:val="20"/>
                <w:szCs w:val="20"/>
                <w:lang w:val="it-IT"/>
              </w:rPr>
            </w:pPr>
            <w:r>
              <w:rPr>
                <w:rFonts w:ascii="Times New Roman" w:eastAsia="Times New Roman" w:hAnsi="Times New Roman" w:cs="Times New Roman"/>
                <w:color w:val="000000" w:themeColor="text1"/>
                <w:sz w:val="20"/>
                <w:szCs w:val="20"/>
                <w:lang w:val="it-IT"/>
              </w:rPr>
              <w:t>Këshillat angazhohen të bëjnë deklarata publike në rastet kur ushtrohet ndikim i padrejtë ndaj magjistratëve me synim reduktimin e presionit ndaj magjistratëve.</w:t>
            </w:r>
          </w:p>
        </w:tc>
        <w:tc>
          <w:tcPr>
            <w:tcW w:w="5125" w:type="dxa"/>
            <w:gridSpan w:val="3"/>
            <w:shd w:val="clear" w:color="auto" w:fill="FFFFFF" w:themeFill="background1"/>
          </w:tcPr>
          <w:p w:rsidR="00734862" w:rsidRPr="00083AD4" w:rsidRDefault="003564B6" w:rsidP="00734862">
            <w:pPr>
              <w:jc w:val="both"/>
              <w:rPr>
                <w:rFonts w:ascii="Times New Roman" w:eastAsia="Times New Roman" w:hAnsi="Times New Roman" w:cs="Times New Roman"/>
                <w:color w:val="000000" w:themeColor="text1"/>
                <w:sz w:val="20"/>
                <w:szCs w:val="20"/>
                <w:lang w:val="it-IT"/>
              </w:rPr>
            </w:pPr>
            <w:r>
              <w:rPr>
                <w:rFonts w:ascii="Times New Roman" w:eastAsia="Times New Roman" w:hAnsi="Times New Roman" w:cs="Times New Roman"/>
                <w:color w:val="000000" w:themeColor="text1"/>
                <w:sz w:val="20"/>
                <w:szCs w:val="20"/>
                <w:lang w:val="it-IT"/>
              </w:rPr>
              <w:t>Rezistenca e qendrueshme ndaj presionit</w:t>
            </w:r>
            <w:r w:rsidR="00734862" w:rsidRPr="00083AD4">
              <w:rPr>
                <w:rFonts w:ascii="Times New Roman" w:eastAsia="Times New Roman" w:hAnsi="Times New Roman" w:cs="Times New Roman"/>
                <w:color w:val="000000" w:themeColor="text1"/>
                <w:sz w:val="20"/>
                <w:szCs w:val="20"/>
                <w:lang w:val="it-IT"/>
              </w:rPr>
              <w:t xml:space="preserve"> të brendshëm dhe të jashtëm forcohet gradualisht dhe vazhdimisht.</w:t>
            </w:r>
          </w:p>
          <w:p w:rsidR="00734862" w:rsidRPr="00083AD4" w:rsidRDefault="00734862" w:rsidP="00734862">
            <w:pPr>
              <w:jc w:val="both"/>
              <w:rPr>
                <w:rFonts w:ascii="Times New Roman" w:eastAsia="Times New Roman" w:hAnsi="Times New Roman" w:cs="Times New Roman"/>
                <w:color w:val="000000" w:themeColor="text1"/>
                <w:sz w:val="20"/>
                <w:szCs w:val="20"/>
                <w:lang w:val="it-IT"/>
              </w:rPr>
            </w:pPr>
          </w:p>
          <w:p w:rsidR="00734862" w:rsidRPr="00083AD4" w:rsidRDefault="00734862" w:rsidP="00734862">
            <w:pPr>
              <w:jc w:val="both"/>
              <w:rPr>
                <w:rFonts w:ascii="Times New Roman" w:eastAsia="Times New Roman" w:hAnsi="Times New Roman" w:cs="Times New Roman"/>
                <w:color w:val="000000" w:themeColor="text1"/>
                <w:sz w:val="20"/>
                <w:szCs w:val="20"/>
                <w:lang w:val="it-IT"/>
              </w:rPr>
            </w:pPr>
          </w:p>
        </w:tc>
      </w:tr>
      <w:tr w:rsidR="00734862" w:rsidRPr="00083AD4" w:rsidTr="00734862">
        <w:trPr>
          <w:trHeight w:val="132"/>
        </w:trPr>
        <w:tc>
          <w:tcPr>
            <w:tcW w:w="14580" w:type="dxa"/>
            <w:gridSpan w:val="14"/>
            <w:shd w:val="clear" w:color="auto" w:fill="FFFFFF" w:themeFill="background1"/>
          </w:tcPr>
          <w:p w:rsidR="00734862" w:rsidRPr="00083AD4" w:rsidRDefault="00734862" w:rsidP="00734862">
            <w:pPr>
              <w:jc w:val="both"/>
              <w:rPr>
                <w:rFonts w:ascii="Times New Roman" w:eastAsia="Times New Roman" w:hAnsi="Times New Roman" w:cs="Times New Roman"/>
                <w:b/>
                <w:bCs/>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t>Transparenca e funksionimit të Këshillit të Emërimeve në Drejtësi (KED)</w:t>
            </w:r>
          </w:p>
        </w:tc>
      </w:tr>
      <w:tr w:rsidR="00734862" w:rsidRPr="00083AD4" w:rsidTr="00FB2DFB">
        <w:trPr>
          <w:trHeight w:val="132"/>
        </w:trPr>
        <w:tc>
          <w:tcPr>
            <w:tcW w:w="2980" w:type="dxa"/>
            <w:gridSpan w:val="2"/>
            <w:shd w:val="clear" w:color="auto" w:fill="FFFFFF" w:themeFill="background1"/>
          </w:tcPr>
          <w:p w:rsidR="00734862" w:rsidRPr="00083AD4" w:rsidRDefault="00734862" w:rsidP="00734862">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lastRenderedPageBreak/>
              <w:t>Këshilli i Emërimeve në Drejtësi duhet të përafrojë plotësisht procedurat e tij me rekomandimet e Komisionit të Venecias dhe të rrisë transparencën.</w:t>
            </w:r>
          </w:p>
        </w:tc>
        <w:tc>
          <w:tcPr>
            <w:tcW w:w="3358" w:type="dxa"/>
            <w:gridSpan w:val="5"/>
            <w:shd w:val="clear" w:color="auto" w:fill="FFFFFF" w:themeFill="background1"/>
          </w:tcPr>
          <w:p w:rsidR="00734862" w:rsidRPr="00083AD4" w:rsidRDefault="00C90231" w:rsidP="00734862">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 xml:space="preserve">KED </w:t>
            </w:r>
            <w:r w:rsidR="00734862" w:rsidRPr="00083AD4">
              <w:rPr>
                <w:rFonts w:ascii="Times New Roman" w:eastAsia="Times New Roman" w:hAnsi="Times New Roman" w:cs="Times New Roman"/>
                <w:color w:val="000000" w:themeColor="text1"/>
                <w:sz w:val="20"/>
                <w:szCs w:val="20"/>
                <w:lang w:val="it-IT"/>
              </w:rPr>
              <w:t>deri në fund të vitit 2024 rishikon rregullat e brendshme për t'i sjellë ato plotësisht në përputhje me rekomandimet e Komisionit të Venecias dhe</w:t>
            </w:r>
          </w:p>
          <w:p w:rsidR="00734862" w:rsidRPr="00083AD4" w:rsidRDefault="00734862" w:rsidP="00734862">
            <w:pPr>
              <w:jc w:val="both"/>
              <w:rPr>
                <w:rFonts w:ascii="Times New Roman" w:eastAsia="Times New Roman" w:hAnsi="Times New Roman" w:cs="Times New Roman"/>
                <w:b/>
                <w:bCs/>
                <w:color w:val="000000" w:themeColor="text1"/>
                <w:sz w:val="20"/>
                <w:szCs w:val="20"/>
                <w:lang w:val="it-IT"/>
              </w:rPr>
            </w:pPr>
          </w:p>
        </w:tc>
        <w:tc>
          <w:tcPr>
            <w:tcW w:w="3117" w:type="dxa"/>
            <w:gridSpan w:val="4"/>
            <w:shd w:val="clear" w:color="auto" w:fill="FFFFFF" w:themeFill="background1"/>
          </w:tcPr>
          <w:p w:rsidR="00734862" w:rsidRPr="00083AD4" w:rsidRDefault="00734862" w:rsidP="00734862">
            <w:pPr>
              <w:jc w:val="both"/>
              <w:rPr>
                <w:rFonts w:ascii="Times New Roman" w:eastAsia="Times New Roman" w:hAnsi="Times New Roman" w:cs="Times New Roman"/>
                <w:b/>
                <w:bCs/>
                <w:color w:val="000000" w:themeColor="text1"/>
                <w:sz w:val="20"/>
                <w:szCs w:val="20"/>
                <w:lang w:val="it-IT"/>
              </w:rPr>
            </w:pPr>
          </w:p>
        </w:tc>
        <w:tc>
          <w:tcPr>
            <w:tcW w:w="5125" w:type="dxa"/>
            <w:gridSpan w:val="3"/>
            <w:shd w:val="clear" w:color="auto" w:fill="FFFFFF" w:themeFill="background1"/>
          </w:tcPr>
          <w:p w:rsidR="00734862" w:rsidRPr="00083AD4" w:rsidRDefault="00734862" w:rsidP="00734862">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KED po funksionon në përputhje të plotë me rekomandimet e Komisionit të Venecias për transparencën.</w:t>
            </w:r>
          </w:p>
        </w:tc>
      </w:tr>
      <w:tr w:rsidR="00734862" w:rsidRPr="00083AD4" w:rsidTr="00734862">
        <w:trPr>
          <w:trHeight w:val="132"/>
        </w:trPr>
        <w:tc>
          <w:tcPr>
            <w:tcW w:w="14580" w:type="dxa"/>
            <w:gridSpan w:val="14"/>
            <w:shd w:val="clear" w:color="auto" w:fill="FFFFFF" w:themeFill="background1"/>
          </w:tcPr>
          <w:p w:rsidR="00734862" w:rsidRPr="00083AD4" w:rsidRDefault="00734862" w:rsidP="00E141B8">
            <w:pPr>
              <w:jc w:val="both"/>
              <w:rPr>
                <w:rFonts w:ascii="Times New Roman" w:eastAsia="Times New Roman" w:hAnsi="Times New Roman" w:cs="Times New Roman"/>
                <w:b/>
                <w:bCs/>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t>Shpërndarja e vazhdueshme</w:t>
            </w:r>
            <w:r w:rsidR="00E141B8" w:rsidRPr="00083AD4">
              <w:rPr>
                <w:rFonts w:ascii="Times New Roman" w:eastAsia="Times New Roman" w:hAnsi="Times New Roman" w:cs="Times New Roman"/>
                <w:b/>
                <w:bCs/>
                <w:color w:val="000000" w:themeColor="text1"/>
                <w:sz w:val="20"/>
                <w:szCs w:val="20"/>
                <w:lang w:val="it-IT"/>
              </w:rPr>
              <w:t xml:space="preserve"> në mënyrë të rastësishme</w:t>
            </w:r>
            <w:r w:rsidRPr="00083AD4">
              <w:rPr>
                <w:rFonts w:ascii="Times New Roman" w:eastAsia="Times New Roman" w:hAnsi="Times New Roman" w:cs="Times New Roman"/>
                <w:b/>
                <w:bCs/>
                <w:color w:val="000000" w:themeColor="text1"/>
                <w:sz w:val="20"/>
                <w:szCs w:val="20"/>
                <w:lang w:val="it-IT"/>
              </w:rPr>
              <w:t xml:space="preserve"> e rasteve</w:t>
            </w:r>
          </w:p>
        </w:tc>
      </w:tr>
      <w:tr w:rsidR="00734862" w:rsidRPr="00083AD4" w:rsidTr="00FB2DFB">
        <w:trPr>
          <w:trHeight w:val="132"/>
        </w:trPr>
        <w:tc>
          <w:tcPr>
            <w:tcW w:w="2980" w:type="dxa"/>
            <w:gridSpan w:val="2"/>
            <w:shd w:val="clear" w:color="auto" w:fill="FFFFFF" w:themeFill="background1"/>
          </w:tcPr>
          <w:p w:rsidR="00734862" w:rsidRPr="00083AD4" w:rsidRDefault="00734862" w:rsidP="00734862">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Ndarja e rastësishme e detyrueshme e çështjeve</w:t>
            </w:r>
            <w:r w:rsidR="00E141B8" w:rsidRPr="00083AD4">
              <w:rPr>
                <w:rFonts w:ascii="Times New Roman" w:eastAsia="Times New Roman" w:hAnsi="Times New Roman" w:cs="Times New Roman"/>
                <w:color w:val="000000" w:themeColor="text1"/>
                <w:sz w:val="20"/>
                <w:szCs w:val="20"/>
                <w:lang w:val="it-IT"/>
              </w:rPr>
              <w:t xml:space="preserve"> tek  gjyqtarët dhe prokurorët</w:t>
            </w:r>
            <w:r w:rsidRPr="00083AD4">
              <w:rPr>
                <w:rFonts w:ascii="Times New Roman" w:eastAsia="Times New Roman" w:hAnsi="Times New Roman" w:cs="Times New Roman"/>
                <w:color w:val="000000" w:themeColor="text1"/>
                <w:sz w:val="20"/>
                <w:szCs w:val="20"/>
                <w:lang w:val="it-IT"/>
              </w:rPr>
              <w:t xml:space="preserve"> duhet të sigurohet plotësisht në praktikë</w:t>
            </w:r>
          </w:p>
          <w:p w:rsidR="00734862" w:rsidRPr="00083AD4" w:rsidRDefault="00734862" w:rsidP="00734862">
            <w:pPr>
              <w:jc w:val="both"/>
              <w:rPr>
                <w:rFonts w:ascii="Times New Roman" w:eastAsia="Times New Roman" w:hAnsi="Times New Roman" w:cs="Times New Roman"/>
                <w:b/>
                <w:bCs/>
                <w:color w:val="000000" w:themeColor="text1"/>
                <w:sz w:val="20"/>
                <w:szCs w:val="20"/>
                <w:lang w:val="it-IT"/>
              </w:rPr>
            </w:pPr>
          </w:p>
        </w:tc>
        <w:tc>
          <w:tcPr>
            <w:tcW w:w="3358" w:type="dxa"/>
            <w:gridSpan w:val="5"/>
            <w:shd w:val="clear" w:color="auto" w:fill="FFFFFF" w:themeFill="background1"/>
          </w:tcPr>
          <w:p w:rsidR="00734862" w:rsidRPr="00083AD4" w:rsidRDefault="00734862" w:rsidP="00734862">
            <w:pPr>
              <w:jc w:val="both"/>
              <w:rPr>
                <w:rFonts w:ascii="Times New Roman" w:eastAsia="Times New Roman" w:hAnsi="Times New Roman" w:cs="Times New Roman"/>
                <w:color w:val="000000" w:themeColor="text1"/>
                <w:sz w:val="20"/>
                <w:szCs w:val="20"/>
                <w:lang w:val="it-IT"/>
              </w:rPr>
            </w:pPr>
          </w:p>
          <w:p w:rsidR="00734862" w:rsidRPr="00083AD4" w:rsidRDefault="00734862" w:rsidP="00734862">
            <w:pPr>
              <w:jc w:val="both"/>
              <w:rPr>
                <w:rFonts w:ascii="Times New Roman" w:eastAsia="Times New Roman" w:hAnsi="Times New Roman" w:cs="Times New Roman"/>
                <w:color w:val="000000" w:themeColor="text1"/>
                <w:sz w:val="20"/>
                <w:szCs w:val="20"/>
                <w:lang w:val="it-IT"/>
              </w:rPr>
            </w:pPr>
          </w:p>
        </w:tc>
        <w:tc>
          <w:tcPr>
            <w:tcW w:w="3117" w:type="dxa"/>
            <w:gridSpan w:val="4"/>
            <w:shd w:val="clear" w:color="auto" w:fill="FFFFFF" w:themeFill="background1"/>
          </w:tcPr>
          <w:p w:rsidR="00734862" w:rsidRPr="00083AD4" w:rsidRDefault="00D54D81" w:rsidP="00734862">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 xml:space="preserve">SHM </w:t>
            </w:r>
            <w:r w:rsidR="00734862" w:rsidRPr="00083AD4">
              <w:rPr>
                <w:rFonts w:ascii="Times New Roman" w:eastAsia="Times New Roman" w:hAnsi="Times New Roman" w:cs="Times New Roman"/>
                <w:color w:val="000000" w:themeColor="text1"/>
                <w:sz w:val="20"/>
                <w:szCs w:val="20"/>
                <w:lang w:val="it-IT"/>
              </w:rPr>
              <w:t xml:space="preserve">ofron trajnime dhe sesione </w:t>
            </w:r>
            <w:r w:rsidR="00F44ACC">
              <w:rPr>
                <w:rFonts w:ascii="Times New Roman" w:eastAsia="Times New Roman" w:hAnsi="Times New Roman" w:cs="Times New Roman"/>
                <w:color w:val="000000" w:themeColor="text1"/>
                <w:sz w:val="20"/>
                <w:szCs w:val="20"/>
                <w:lang w:val="it-IT"/>
              </w:rPr>
              <w:t>coaching</w:t>
            </w:r>
            <w:r w:rsidR="00734862" w:rsidRPr="00083AD4">
              <w:rPr>
                <w:rFonts w:ascii="Times New Roman" w:eastAsia="Times New Roman" w:hAnsi="Times New Roman" w:cs="Times New Roman"/>
                <w:color w:val="000000" w:themeColor="text1"/>
                <w:sz w:val="20"/>
                <w:szCs w:val="20"/>
                <w:lang w:val="it-IT"/>
              </w:rPr>
              <w:t xml:space="preserve"> për zyrtarët e sistemit të drejtësisë në nivel menaxherial</w:t>
            </w:r>
            <w:r w:rsidR="00F44ACC">
              <w:rPr>
                <w:rFonts w:ascii="Times New Roman" w:eastAsia="Times New Roman" w:hAnsi="Times New Roman" w:cs="Times New Roman"/>
                <w:color w:val="000000" w:themeColor="text1"/>
                <w:sz w:val="20"/>
                <w:szCs w:val="20"/>
                <w:lang w:val="it-IT"/>
              </w:rPr>
              <w:t>,</w:t>
            </w:r>
            <w:r w:rsidR="00734862" w:rsidRPr="00083AD4">
              <w:rPr>
                <w:rFonts w:ascii="Times New Roman" w:eastAsia="Times New Roman" w:hAnsi="Times New Roman" w:cs="Times New Roman"/>
                <w:color w:val="000000" w:themeColor="text1"/>
                <w:sz w:val="20"/>
                <w:szCs w:val="20"/>
                <w:lang w:val="it-IT"/>
              </w:rPr>
              <w:t xml:space="preserve"> mbi indekset e korrupsionit dhe se si të trajtohen akuzat ose dyshimet për korrupsion aktiv dhe pasiv dhe si dhe kujt </w:t>
            </w:r>
            <w:r w:rsidR="00F44ACC">
              <w:rPr>
                <w:rFonts w:ascii="Times New Roman" w:eastAsia="Times New Roman" w:hAnsi="Times New Roman" w:cs="Times New Roman"/>
                <w:color w:val="000000" w:themeColor="text1"/>
                <w:sz w:val="20"/>
                <w:szCs w:val="20"/>
                <w:lang w:val="it-IT"/>
              </w:rPr>
              <w:t xml:space="preserve">duhet </w:t>
            </w:r>
            <w:r w:rsidR="00734862" w:rsidRPr="00083AD4">
              <w:rPr>
                <w:rFonts w:ascii="Times New Roman" w:eastAsia="Times New Roman" w:hAnsi="Times New Roman" w:cs="Times New Roman"/>
                <w:color w:val="000000" w:themeColor="text1"/>
                <w:sz w:val="20"/>
                <w:szCs w:val="20"/>
                <w:lang w:val="it-IT"/>
              </w:rPr>
              <w:t>t'i raportojnë raste të tilla nga viti 2025 e në vazhdim.</w:t>
            </w:r>
          </w:p>
          <w:p w:rsidR="00734862" w:rsidRPr="00083AD4" w:rsidRDefault="00734862" w:rsidP="00734862">
            <w:pPr>
              <w:jc w:val="both"/>
              <w:rPr>
                <w:rFonts w:ascii="Times New Roman" w:eastAsia="Times New Roman" w:hAnsi="Times New Roman" w:cs="Times New Roman"/>
                <w:color w:val="000000" w:themeColor="text1"/>
                <w:sz w:val="20"/>
                <w:szCs w:val="20"/>
                <w:lang w:val="it-IT"/>
              </w:rPr>
            </w:pPr>
          </w:p>
          <w:p w:rsidR="00734862" w:rsidRPr="00083AD4" w:rsidRDefault="00E141B8" w:rsidP="00734862">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KLGJ dhe Prokuroria e P</w:t>
            </w:r>
            <w:r w:rsidR="00162C41" w:rsidRPr="00083AD4">
              <w:rPr>
                <w:rFonts w:ascii="Times New Roman" w:eastAsia="Times New Roman" w:hAnsi="Times New Roman" w:cs="Times New Roman"/>
                <w:color w:val="000000" w:themeColor="text1"/>
                <w:sz w:val="20"/>
                <w:szCs w:val="20"/>
                <w:lang w:val="it-IT"/>
              </w:rPr>
              <w:t>ërgjithshme</w:t>
            </w:r>
            <w:r w:rsidR="00734862" w:rsidRPr="00083AD4">
              <w:rPr>
                <w:rFonts w:ascii="Times New Roman" w:eastAsia="Times New Roman" w:hAnsi="Times New Roman" w:cs="Times New Roman"/>
                <w:color w:val="000000" w:themeColor="text1"/>
                <w:sz w:val="20"/>
                <w:szCs w:val="20"/>
                <w:lang w:val="it-IT"/>
              </w:rPr>
              <w:t xml:space="preserve"> sigurojnë që rregullat për ndarjen e rastësishme të çështjeve të zbatohen në mënyrë të vazhdueshme në gjykata dhe prokurori bazuar në kritere transparente dhe të drejta nga viti 2025 e në vazhdim.</w:t>
            </w:r>
          </w:p>
        </w:tc>
        <w:tc>
          <w:tcPr>
            <w:tcW w:w="5125" w:type="dxa"/>
            <w:gridSpan w:val="3"/>
            <w:shd w:val="clear" w:color="auto" w:fill="FFFFFF" w:themeFill="background1"/>
          </w:tcPr>
          <w:p w:rsidR="00734862" w:rsidRPr="00083AD4" w:rsidRDefault="00734862" w:rsidP="00734862">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Rastet vazhdojnë të ndahen në mënyrë të rastësishme në bazë të rregullave në përputhje me standardet evropiane.</w:t>
            </w:r>
          </w:p>
        </w:tc>
      </w:tr>
      <w:tr w:rsidR="00734862" w:rsidTr="00734862">
        <w:trPr>
          <w:trHeight w:val="132"/>
        </w:trPr>
        <w:tc>
          <w:tcPr>
            <w:tcW w:w="14580" w:type="dxa"/>
            <w:gridSpan w:val="14"/>
            <w:shd w:val="clear" w:color="auto" w:fill="BDD6EE" w:themeFill="accent1" w:themeFillTint="66"/>
          </w:tcPr>
          <w:p w:rsidR="00734862" w:rsidRPr="00D54D81" w:rsidRDefault="00D54D81" w:rsidP="00D54D81">
            <w:pPr>
              <w:jc w:val="both"/>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 xml:space="preserve">I.C </w:t>
            </w:r>
            <w:r w:rsidR="005D2164">
              <w:rPr>
                <w:rFonts w:ascii="Times New Roman" w:eastAsia="Times New Roman" w:hAnsi="Times New Roman" w:cs="Times New Roman"/>
                <w:b/>
                <w:bCs/>
                <w:color w:val="000000" w:themeColor="text1"/>
                <w:sz w:val="20"/>
                <w:szCs w:val="20"/>
              </w:rPr>
              <w:t>LLOGARIDHËNIA</w:t>
            </w:r>
          </w:p>
        </w:tc>
      </w:tr>
      <w:tr w:rsidR="00734862" w:rsidRPr="00083AD4" w:rsidTr="00734862">
        <w:trPr>
          <w:trHeight w:val="132"/>
        </w:trPr>
        <w:tc>
          <w:tcPr>
            <w:tcW w:w="14580" w:type="dxa"/>
            <w:gridSpan w:val="14"/>
            <w:shd w:val="clear" w:color="auto" w:fill="FFFFFF" w:themeFill="background1"/>
          </w:tcPr>
          <w:p w:rsidR="00734862" w:rsidRPr="00083AD4" w:rsidRDefault="00734862" w:rsidP="00734862">
            <w:pPr>
              <w:jc w:val="both"/>
              <w:rPr>
                <w:rFonts w:ascii="Times New Roman" w:eastAsia="Times New Roman" w:hAnsi="Times New Roman" w:cs="Times New Roman"/>
                <w:b/>
                <w:bCs/>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t>Deklaratat e pasurisë të përditësuara vazhdimisht</w:t>
            </w:r>
          </w:p>
        </w:tc>
      </w:tr>
      <w:tr w:rsidR="00734862" w:rsidRPr="00083AD4" w:rsidTr="00FB2DFB">
        <w:trPr>
          <w:trHeight w:val="132"/>
        </w:trPr>
        <w:tc>
          <w:tcPr>
            <w:tcW w:w="2993" w:type="dxa"/>
            <w:gridSpan w:val="3"/>
            <w:shd w:val="clear" w:color="auto" w:fill="FFFFFF" w:themeFill="background1"/>
          </w:tcPr>
          <w:p w:rsidR="00734862" w:rsidRPr="00083AD4" w:rsidRDefault="00734862" w:rsidP="00734862">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Deklaratat e pasurisë së anëtarëve të sistemit gjyqësor dhe prokurorial duhet të përditësohen vazhdimisht dhe të verifikohen periodikisht.</w:t>
            </w:r>
          </w:p>
          <w:p w:rsidR="00734862" w:rsidRPr="00083AD4" w:rsidRDefault="00734862" w:rsidP="00734862">
            <w:pPr>
              <w:jc w:val="both"/>
              <w:rPr>
                <w:rFonts w:ascii="Times New Roman" w:eastAsia="Times New Roman" w:hAnsi="Times New Roman" w:cs="Times New Roman"/>
                <w:color w:val="000000" w:themeColor="text1"/>
                <w:sz w:val="20"/>
                <w:szCs w:val="20"/>
                <w:lang w:val="it-IT"/>
              </w:rPr>
            </w:pPr>
          </w:p>
          <w:p w:rsidR="00734862" w:rsidRPr="00083AD4" w:rsidRDefault="00734862" w:rsidP="00734862">
            <w:pPr>
              <w:jc w:val="both"/>
              <w:rPr>
                <w:rFonts w:ascii="Times New Roman" w:eastAsia="Times New Roman" w:hAnsi="Times New Roman" w:cs="Times New Roman"/>
                <w:color w:val="000000" w:themeColor="text1"/>
                <w:sz w:val="20"/>
                <w:szCs w:val="20"/>
                <w:lang w:val="it-IT"/>
              </w:rPr>
            </w:pPr>
          </w:p>
        </w:tc>
        <w:tc>
          <w:tcPr>
            <w:tcW w:w="3345" w:type="dxa"/>
            <w:gridSpan w:val="4"/>
            <w:shd w:val="clear" w:color="auto" w:fill="FFFFFF" w:themeFill="background1"/>
          </w:tcPr>
          <w:p w:rsidR="00734862" w:rsidRPr="00083AD4" w:rsidRDefault="00734862" w:rsidP="00734862">
            <w:pPr>
              <w:jc w:val="both"/>
              <w:rPr>
                <w:rFonts w:ascii="Times New Roman" w:eastAsia="Times New Roman" w:hAnsi="Times New Roman" w:cs="Times New Roman"/>
                <w:color w:val="000000" w:themeColor="text1"/>
                <w:sz w:val="20"/>
                <w:szCs w:val="20"/>
                <w:lang w:val="it-IT"/>
              </w:rPr>
            </w:pPr>
          </w:p>
        </w:tc>
        <w:tc>
          <w:tcPr>
            <w:tcW w:w="3144" w:type="dxa"/>
            <w:gridSpan w:val="5"/>
            <w:shd w:val="clear" w:color="auto" w:fill="FFFFFF" w:themeFill="background1"/>
          </w:tcPr>
          <w:p w:rsidR="00734862" w:rsidRPr="00083AD4" w:rsidRDefault="00734862" w:rsidP="00734862">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ILDKPKI siguron përditësime t</w:t>
            </w:r>
            <w:r w:rsidR="00E141B8" w:rsidRPr="00083AD4">
              <w:rPr>
                <w:rFonts w:ascii="Times New Roman" w:eastAsia="Times New Roman" w:hAnsi="Times New Roman" w:cs="Times New Roman"/>
                <w:color w:val="000000" w:themeColor="text1"/>
                <w:sz w:val="20"/>
                <w:szCs w:val="20"/>
                <w:lang w:val="it-IT"/>
              </w:rPr>
              <w:t>ë vazhdueshme dhe të konsistente</w:t>
            </w:r>
            <w:r w:rsidRPr="00083AD4">
              <w:rPr>
                <w:rFonts w:ascii="Times New Roman" w:eastAsia="Times New Roman" w:hAnsi="Times New Roman" w:cs="Times New Roman"/>
                <w:color w:val="000000" w:themeColor="text1"/>
                <w:sz w:val="20"/>
                <w:szCs w:val="20"/>
                <w:lang w:val="it-IT"/>
              </w:rPr>
              <w:t xml:space="preserve"> të deklaratave të pasurisë së anëtarëve të sistemit gjyqësor dhe prokurorial dhe heton d</w:t>
            </w:r>
            <w:r w:rsidR="00E141B8" w:rsidRPr="00083AD4">
              <w:rPr>
                <w:rFonts w:ascii="Times New Roman" w:eastAsia="Times New Roman" w:hAnsi="Times New Roman" w:cs="Times New Roman"/>
                <w:color w:val="000000" w:themeColor="text1"/>
                <w:sz w:val="20"/>
                <w:szCs w:val="20"/>
                <w:lang w:val="it-IT"/>
              </w:rPr>
              <w:t>he raporton rastet, sipas nevoj</w:t>
            </w:r>
            <w:r w:rsidR="000355FF" w:rsidRPr="00083AD4">
              <w:rPr>
                <w:rFonts w:ascii="Times New Roman" w:eastAsia="Times New Roman" w:hAnsi="Times New Roman" w:cs="Times New Roman"/>
                <w:color w:val="000000" w:themeColor="text1"/>
                <w:sz w:val="20"/>
                <w:szCs w:val="20"/>
                <w:lang w:val="it-IT"/>
              </w:rPr>
              <w:t>ës</w:t>
            </w:r>
            <w:r w:rsidRPr="00083AD4">
              <w:rPr>
                <w:rFonts w:ascii="Times New Roman" w:eastAsia="Times New Roman" w:hAnsi="Times New Roman" w:cs="Times New Roman"/>
                <w:color w:val="000000" w:themeColor="text1"/>
                <w:sz w:val="20"/>
                <w:szCs w:val="20"/>
                <w:lang w:val="it-IT"/>
              </w:rPr>
              <w:t>, në prokurori.</w:t>
            </w:r>
          </w:p>
          <w:p w:rsidR="00734862" w:rsidRPr="00083AD4" w:rsidRDefault="00734862" w:rsidP="00734862">
            <w:pPr>
              <w:jc w:val="both"/>
              <w:rPr>
                <w:rFonts w:ascii="Times New Roman" w:eastAsia="Times New Roman" w:hAnsi="Times New Roman" w:cs="Times New Roman"/>
                <w:color w:val="000000" w:themeColor="text1"/>
                <w:sz w:val="20"/>
                <w:szCs w:val="20"/>
                <w:lang w:val="it-IT"/>
              </w:rPr>
            </w:pPr>
          </w:p>
          <w:p w:rsidR="00734862" w:rsidRPr="00083AD4" w:rsidRDefault="00734862" w:rsidP="00734862">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KLGJ dhe KLP sigurojnë ndjekjen sistematike të raporteve të deklarimit të pasuri</w:t>
            </w:r>
            <w:r w:rsidR="00F44ACC">
              <w:rPr>
                <w:rFonts w:ascii="Times New Roman" w:eastAsia="Times New Roman" w:hAnsi="Times New Roman" w:cs="Times New Roman"/>
                <w:color w:val="000000" w:themeColor="text1"/>
                <w:sz w:val="20"/>
                <w:szCs w:val="20"/>
                <w:lang w:val="it-IT"/>
              </w:rPr>
              <w:t>së nga ILDKPKI dhe ndërmarrin</w:t>
            </w:r>
            <w:r w:rsidRPr="00083AD4">
              <w:rPr>
                <w:rFonts w:ascii="Times New Roman" w:eastAsia="Times New Roman" w:hAnsi="Times New Roman" w:cs="Times New Roman"/>
                <w:color w:val="000000" w:themeColor="text1"/>
                <w:sz w:val="20"/>
                <w:szCs w:val="20"/>
                <w:lang w:val="it-IT"/>
              </w:rPr>
              <w:t xml:space="preserve"> hetime të mëtejshme në kontekstin e shqyrti</w:t>
            </w:r>
            <w:r w:rsidR="00583003" w:rsidRPr="00083AD4">
              <w:rPr>
                <w:rFonts w:ascii="Times New Roman" w:eastAsia="Times New Roman" w:hAnsi="Times New Roman" w:cs="Times New Roman"/>
                <w:color w:val="000000" w:themeColor="text1"/>
                <w:sz w:val="20"/>
                <w:szCs w:val="20"/>
                <w:lang w:val="it-IT"/>
              </w:rPr>
              <w:t>mit të pasurisë dhe të figurës</w:t>
            </w:r>
            <w:r w:rsidR="00F44ACC">
              <w:rPr>
                <w:rFonts w:ascii="Times New Roman" w:eastAsia="Times New Roman" w:hAnsi="Times New Roman" w:cs="Times New Roman"/>
                <w:color w:val="000000" w:themeColor="text1"/>
                <w:sz w:val="20"/>
                <w:szCs w:val="20"/>
                <w:lang w:val="it-IT"/>
              </w:rPr>
              <w:t xml:space="preserve"> së magjistratëve.</w:t>
            </w:r>
          </w:p>
        </w:tc>
        <w:tc>
          <w:tcPr>
            <w:tcW w:w="5098" w:type="dxa"/>
            <w:gridSpan w:val="2"/>
            <w:shd w:val="clear" w:color="auto" w:fill="FFFFFF" w:themeFill="background1"/>
          </w:tcPr>
          <w:p w:rsidR="00734862" w:rsidRPr="00083AD4" w:rsidRDefault="00734862" w:rsidP="00734862">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Deklaratat e pasurisë së anëtarëve të institucioneve të pavarura të drejtësisë përditësohen vazhdimisht dhe verifikohen periodikisht deri në vitin 2030.</w:t>
            </w:r>
          </w:p>
        </w:tc>
      </w:tr>
      <w:tr w:rsidR="00734862" w:rsidRPr="00083AD4" w:rsidTr="00734862">
        <w:trPr>
          <w:trHeight w:val="132"/>
        </w:trPr>
        <w:tc>
          <w:tcPr>
            <w:tcW w:w="14580" w:type="dxa"/>
            <w:gridSpan w:val="14"/>
            <w:shd w:val="clear" w:color="auto" w:fill="FFFFFF" w:themeFill="background1"/>
          </w:tcPr>
          <w:p w:rsidR="00734862" w:rsidRPr="00083AD4" w:rsidRDefault="00734862" w:rsidP="00734862">
            <w:pPr>
              <w:jc w:val="both"/>
              <w:rPr>
                <w:rFonts w:ascii="Times New Roman" w:eastAsia="Times New Roman" w:hAnsi="Times New Roman" w:cs="Times New Roman"/>
                <w:b/>
                <w:bCs/>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lastRenderedPageBreak/>
              <w:t>Kapaciteti i rritur i mekanizmave të llogaridhënies</w:t>
            </w:r>
          </w:p>
        </w:tc>
      </w:tr>
      <w:tr w:rsidR="00734862" w:rsidTr="00FB2DFB">
        <w:trPr>
          <w:trHeight w:val="132"/>
        </w:trPr>
        <w:tc>
          <w:tcPr>
            <w:tcW w:w="2993" w:type="dxa"/>
            <w:gridSpan w:val="3"/>
            <w:shd w:val="clear" w:color="auto" w:fill="FFFFFF" w:themeFill="background1"/>
          </w:tcPr>
          <w:p w:rsidR="00734862" w:rsidRPr="00083AD4" w:rsidRDefault="00734862" w:rsidP="00734862">
            <w:pPr>
              <w:jc w:val="both"/>
              <w:rPr>
                <w:rFonts w:ascii="Times New Roman" w:eastAsia="Times New Roman" w:hAnsi="Times New Roman" w:cs="Times New Roman"/>
                <w:color w:val="000000" w:themeColor="text1"/>
                <w:sz w:val="20"/>
                <w:szCs w:val="20"/>
                <w:lang w:val="it-IT"/>
              </w:rPr>
            </w:pPr>
          </w:p>
        </w:tc>
        <w:tc>
          <w:tcPr>
            <w:tcW w:w="3345" w:type="dxa"/>
            <w:gridSpan w:val="4"/>
            <w:shd w:val="clear" w:color="auto" w:fill="FFFFFF" w:themeFill="background1"/>
          </w:tcPr>
          <w:p w:rsidR="00734862" w:rsidRPr="00083AD4" w:rsidRDefault="00734862" w:rsidP="00734862">
            <w:pPr>
              <w:jc w:val="both"/>
              <w:rPr>
                <w:rFonts w:ascii="Times New Roman" w:eastAsia="Times New Roman" w:hAnsi="Times New Roman" w:cs="Times New Roman"/>
                <w:color w:val="000000" w:themeColor="text1"/>
                <w:sz w:val="20"/>
                <w:szCs w:val="20"/>
                <w:lang w:val="it-IT"/>
              </w:rPr>
            </w:pPr>
          </w:p>
          <w:p w:rsidR="00734862" w:rsidRPr="00083AD4" w:rsidRDefault="00734862" w:rsidP="00734862">
            <w:pPr>
              <w:jc w:val="both"/>
              <w:rPr>
                <w:rFonts w:ascii="Times New Roman" w:eastAsia="Times New Roman" w:hAnsi="Times New Roman" w:cs="Times New Roman"/>
                <w:color w:val="000000" w:themeColor="text1"/>
                <w:sz w:val="20"/>
                <w:szCs w:val="20"/>
                <w:lang w:val="it-IT"/>
              </w:rPr>
            </w:pPr>
          </w:p>
        </w:tc>
        <w:tc>
          <w:tcPr>
            <w:tcW w:w="3144" w:type="dxa"/>
            <w:gridSpan w:val="5"/>
            <w:shd w:val="clear" w:color="auto" w:fill="FFFFFF" w:themeFill="background1"/>
          </w:tcPr>
          <w:p w:rsidR="00734862" w:rsidRPr="00083AD4" w:rsidRDefault="000355FF" w:rsidP="00734862">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ILD</w:t>
            </w:r>
            <w:r w:rsidR="00734862" w:rsidRPr="00083AD4">
              <w:rPr>
                <w:rFonts w:ascii="Times New Roman" w:eastAsia="Times New Roman" w:hAnsi="Times New Roman" w:cs="Times New Roman"/>
                <w:color w:val="000000" w:themeColor="text1"/>
                <w:sz w:val="20"/>
                <w:szCs w:val="20"/>
                <w:lang w:val="it-IT"/>
              </w:rPr>
              <w:t>-ja ndërmerr në vitin 2024 dhe 2025 në bashkëpunim me partnerët dhe me institu</w:t>
            </w:r>
            <w:r w:rsidR="00F44ACC">
              <w:rPr>
                <w:rFonts w:ascii="Times New Roman" w:eastAsia="Times New Roman" w:hAnsi="Times New Roman" w:cs="Times New Roman"/>
                <w:color w:val="000000" w:themeColor="text1"/>
                <w:sz w:val="20"/>
                <w:szCs w:val="20"/>
                <w:lang w:val="it-IT"/>
              </w:rPr>
              <w:t>cionet e tjera (të drejtësisë) masa</w:t>
            </w:r>
            <w:r w:rsidR="00734862" w:rsidRPr="00083AD4">
              <w:rPr>
                <w:rFonts w:ascii="Times New Roman" w:eastAsia="Times New Roman" w:hAnsi="Times New Roman" w:cs="Times New Roman"/>
                <w:color w:val="000000" w:themeColor="text1"/>
                <w:sz w:val="20"/>
                <w:szCs w:val="20"/>
                <w:lang w:val="it-IT"/>
              </w:rPr>
              <w:t xml:space="preserve"> për:</w:t>
            </w:r>
          </w:p>
          <w:p w:rsidR="00734862" w:rsidRPr="00452F43" w:rsidRDefault="00F44ACC" w:rsidP="00734862">
            <w:pPr>
              <w:numPr>
                <w:ilvl w:val="0"/>
                <w:numId w:val="23"/>
              </w:numPr>
              <w:jc w:val="both"/>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promovimin e imazhit</w:t>
            </w:r>
            <w:r w:rsidR="00734862" w:rsidRPr="00452F43">
              <w:rPr>
                <w:rFonts w:ascii="Times New Roman" w:eastAsia="Times New Roman" w:hAnsi="Times New Roman" w:cs="Times New Roman"/>
                <w:color w:val="000000" w:themeColor="text1"/>
                <w:sz w:val="20"/>
                <w:szCs w:val="20"/>
                <w:lang w:val="en-GB"/>
              </w:rPr>
              <w:t xml:space="preserve"> publik të inspektorëve</w:t>
            </w:r>
            <w:r>
              <w:rPr>
                <w:rFonts w:ascii="Times New Roman" w:eastAsia="Times New Roman" w:hAnsi="Times New Roman" w:cs="Times New Roman"/>
                <w:color w:val="000000" w:themeColor="text1"/>
                <w:sz w:val="20"/>
                <w:szCs w:val="20"/>
                <w:lang w:val="en-GB"/>
              </w:rPr>
              <w:t>;</w:t>
            </w:r>
          </w:p>
          <w:p w:rsidR="00734862" w:rsidRPr="00452F43" w:rsidRDefault="00F44ACC" w:rsidP="00734862">
            <w:pPr>
              <w:numPr>
                <w:ilvl w:val="0"/>
                <w:numId w:val="23"/>
              </w:numPr>
              <w:jc w:val="both"/>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 xml:space="preserve">hapjen </w:t>
            </w:r>
            <w:r w:rsidR="00734862" w:rsidRPr="00452F43">
              <w:rPr>
                <w:rFonts w:ascii="Times New Roman" w:eastAsia="Times New Roman" w:hAnsi="Times New Roman" w:cs="Times New Roman"/>
                <w:color w:val="000000" w:themeColor="text1"/>
                <w:sz w:val="20"/>
                <w:szCs w:val="20"/>
                <w:lang w:val="en-GB"/>
              </w:rPr>
              <w:t xml:space="preserve"> e thirrjeve me qëllim tërheqjen e inspektorëve të profilit të lartë</w:t>
            </w:r>
          </w:p>
          <w:p w:rsidR="00734862" w:rsidRDefault="00F44ACC" w:rsidP="00734862">
            <w:pPr>
              <w:numPr>
                <w:ilvl w:val="0"/>
                <w:numId w:val="23"/>
              </w:numPr>
              <w:jc w:val="both"/>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Rekrutimin e</w:t>
            </w:r>
            <w:r w:rsidR="00734862" w:rsidRPr="00452F43">
              <w:rPr>
                <w:rFonts w:ascii="Times New Roman" w:eastAsia="Times New Roman" w:hAnsi="Times New Roman" w:cs="Times New Roman"/>
                <w:color w:val="000000" w:themeColor="text1"/>
                <w:sz w:val="20"/>
                <w:szCs w:val="20"/>
                <w:lang w:val="en-GB"/>
              </w:rPr>
              <w:t xml:space="preserve"> inspektorë</w:t>
            </w:r>
            <w:r>
              <w:rPr>
                <w:rFonts w:ascii="Times New Roman" w:eastAsia="Times New Roman" w:hAnsi="Times New Roman" w:cs="Times New Roman"/>
                <w:color w:val="000000" w:themeColor="text1"/>
                <w:sz w:val="20"/>
                <w:szCs w:val="20"/>
                <w:lang w:val="en-GB"/>
              </w:rPr>
              <w:t>ve</w:t>
            </w:r>
            <w:r w:rsidR="00734862" w:rsidRPr="00452F43">
              <w:rPr>
                <w:rFonts w:ascii="Times New Roman" w:eastAsia="Times New Roman" w:hAnsi="Times New Roman" w:cs="Times New Roman"/>
                <w:color w:val="000000" w:themeColor="text1"/>
                <w:sz w:val="20"/>
                <w:szCs w:val="20"/>
                <w:lang w:val="en-GB"/>
              </w:rPr>
              <w:t xml:space="preserve"> me inspektorë të profilit të lartë.</w:t>
            </w:r>
          </w:p>
          <w:p w:rsidR="00734862" w:rsidRDefault="00734862" w:rsidP="00734862">
            <w:pPr>
              <w:ind w:left="360"/>
              <w:jc w:val="both"/>
              <w:rPr>
                <w:rFonts w:ascii="Times New Roman" w:eastAsia="Times New Roman" w:hAnsi="Times New Roman" w:cs="Times New Roman"/>
                <w:color w:val="000000" w:themeColor="text1"/>
                <w:sz w:val="20"/>
                <w:szCs w:val="20"/>
                <w:lang w:val="en-GB"/>
              </w:rPr>
            </w:pPr>
          </w:p>
          <w:p w:rsidR="00734862" w:rsidRPr="00452F43" w:rsidRDefault="000355FF" w:rsidP="00734862">
            <w:pPr>
              <w:jc w:val="both"/>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rPr>
              <w:t>Gradat e inspektorëve në ILD</w:t>
            </w:r>
            <w:r w:rsidR="00734862">
              <w:rPr>
                <w:rFonts w:ascii="Times New Roman" w:eastAsia="Times New Roman" w:hAnsi="Times New Roman" w:cs="Times New Roman"/>
                <w:color w:val="000000" w:themeColor="text1"/>
                <w:sz w:val="20"/>
                <w:szCs w:val="20"/>
              </w:rPr>
              <w:t xml:space="preserve"> do të plotësohen gradualisht deri në vitin 2026.</w:t>
            </w:r>
          </w:p>
          <w:p w:rsidR="00734862" w:rsidRPr="00452F43" w:rsidRDefault="00734862" w:rsidP="00734862">
            <w:pPr>
              <w:jc w:val="both"/>
              <w:rPr>
                <w:rFonts w:ascii="Times New Roman" w:eastAsia="Times New Roman" w:hAnsi="Times New Roman" w:cs="Times New Roman"/>
                <w:color w:val="000000" w:themeColor="text1"/>
                <w:sz w:val="20"/>
                <w:szCs w:val="20"/>
                <w:lang w:val="en-GB"/>
              </w:rPr>
            </w:pPr>
          </w:p>
        </w:tc>
        <w:tc>
          <w:tcPr>
            <w:tcW w:w="5098" w:type="dxa"/>
            <w:gridSpan w:val="2"/>
            <w:shd w:val="clear" w:color="auto" w:fill="FFFFFF" w:themeFill="background1"/>
          </w:tcPr>
          <w:p w:rsidR="00734862" w:rsidRPr="00452F43" w:rsidRDefault="00734862" w:rsidP="00734862">
            <w:pPr>
              <w:jc w:val="both"/>
              <w:rPr>
                <w:rFonts w:ascii="Times New Roman" w:eastAsia="Times New Roman" w:hAnsi="Times New Roman" w:cs="Times New Roman"/>
                <w:color w:val="000000" w:themeColor="text1"/>
                <w:sz w:val="20"/>
                <w:szCs w:val="20"/>
              </w:rPr>
            </w:pPr>
          </w:p>
        </w:tc>
      </w:tr>
      <w:tr w:rsidR="00734862" w:rsidTr="00734862">
        <w:trPr>
          <w:trHeight w:val="132"/>
        </w:trPr>
        <w:tc>
          <w:tcPr>
            <w:tcW w:w="14580" w:type="dxa"/>
            <w:gridSpan w:val="14"/>
            <w:shd w:val="clear" w:color="auto" w:fill="BDD6EE" w:themeFill="accent1" w:themeFillTint="66"/>
          </w:tcPr>
          <w:p w:rsidR="00734862" w:rsidRDefault="00734862" w:rsidP="00734862">
            <w:pPr>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ID CILËSIA E DREJTËSISË</w:t>
            </w:r>
          </w:p>
        </w:tc>
      </w:tr>
      <w:tr w:rsidR="00734862" w:rsidTr="00FB2DFB">
        <w:trPr>
          <w:trHeight w:val="132"/>
        </w:trPr>
        <w:tc>
          <w:tcPr>
            <w:tcW w:w="2980" w:type="dxa"/>
            <w:gridSpan w:val="2"/>
            <w:vMerge w:val="restart"/>
            <w:shd w:val="clear" w:color="auto" w:fill="FFFFFF" w:themeFill="background1"/>
          </w:tcPr>
          <w:p w:rsidR="00734862" w:rsidRPr="00C50056" w:rsidRDefault="00734862" w:rsidP="00734862">
            <w:pPr>
              <w:jc w:val="both"/>
              <w:rPr>
                <w:rFonts w:ascii="Times New Roman" w:eastAsia="Times New Roman" w:hAnsi="Times New Roman" w:cs="Times New Roman"/>
                <w:b/>
                <w:bCs/>
                <w:color w:val="000000" w:themeColor="text1"/>
                <w:sz w:val="20"/>
                <w:szCs w:val="20"/>
              </w:rPr>
            </w:pPr>
          </w:p>
          <w:p w:rsidR="00734862" w:rsidRPr="004E2EE3" w:rsidRDefault="00734862" w:rsidP="00734862">
            <w:pPr>
              <w:numPr>
                <w:ilvl w:val="0"/>
                <w:numId w:val="7"/>
              </w:numPr>
              <w:spacing w:after="120"/>
              <w:jc w:val="both"/>
              <w:rPr>
                <w:rFonts w:ascii="Times New Roman" w:hAnsi="Times New Roman" w:cs="Times New Roman"/>
                <w:b/>
                <w:sz w:val="20"/>
                <w:szCs w:val="20"/>
                <w:lang w:val="en-GB"/>
              </w:rPr>
            </w:pPr>
            <w:r w:rsidRPr="004E2EE3">
              <w:rPr>
                <w:rFonts w:ascii="Times New Roman" w:hAnsi="Times New Roman" w:cs="Times New Roman"/>
                <w:b/>
                <w:sz w:val="20"/>
                <w:szCs w:val="20"/>
                <w:lang w:val="en-GB"/>
              </w:rPr>
              <w:t>Cilësia e drejtësisë</w:t>
            </w:r>
          </w:p>
          <w:p w:rsidR="00734862" w:rsidRPr="004E2EE3" w:rsidRDefault="00734862" w:rsidP="00734862">
            <w:pPr>
              <w:pStyle w:val="ListParagraph"/>
              <w:numPr>
                <w:ilvl w:val="0"/>
                <w:numId w:val="6"/>
              </w:numPr>
              <w:spacing w:after="120"/>
              <w:jc w:val="both"/>
              <w:rPr>
                <w:rFonts w:ascii="Times New Roman" w:hAnsi="Times New Roman" w:cs="Times New Roman"/>
                <w:sz w:val="20"/>
                <w:szCs w:val="20"/>
                <w:lang w:val="en-GB"/>
              </w:rPr>
            </w:pPr>
            <w:r w:rsidRPr="004E2EE3">
              <w:rPr>
                <w:rFonts w:ascii="Times New Roman" w:hAnsi="Times New Roman" w:cs="Times New Roman"/>
                <w:sz w:val="20"/>
                <w:szCs w:val="20"/>
              </w:rPr>
              <w:t>Cilësia dhe efektiviteti i trajnimit fillestar dhe të vazhdueshëm të gjyqtarëve, prokurorëve dhe perso</w:t>
            </w:r>
            <w:r w:rsidR="000355FF">
              <w:rPr>
                <w:rFonts w:ascii="Times New Roman" w:hAnsi="Times New Roman" w:cs="Times New Roman"/>
                <w:sz w:val="20"/>
                <w:szCs w:val="20"/>
              </w:rPr>
              <w:t>nelit gjyqësor sigurohet nga Shkolla</w:t>
            </w:r>
            <w:r w:rsidRPr="004E2EE3">
              <w:rPr>
                <w:rFonts w:ascii="Times New Roman" w:hAnsi="Times New Roman" w:cs="Times New Roman"/>
                <w:sz w:val="20"/>
                <w:szCs w:val="20"/>
              </w:rPr>
              <w:t xml:space="preserve"> e Magjistraturës </w:t>
            </w:r>
            <w:r w:rsidR="00406971">
              <w:rPr>
                <w:rFonts w:ascii="Times New Roman" w:hAnsi="Times New Roman" w:cs="Times New Roman"/>
                <w:sz w:val="20"/>
                <w:szCs w:val="20"/>
              </w:rPr>
              <w:t xml:space="preserve">e pajisur </w:t>
            </w:r>
            <w:r w:rsidRPr="004E2EE3">
              <w:rPr>
                <w:rFonts w:ascii="Times New Roman" w:hAnsi="Times New Roman" w:cs="Times New Roman"/>
                <w:sz w:val="20"/>
                <w:szCs w:val="20"/>
              </w:rPr>
              <w:t xml:space="preserve">me burime të </w:t>
            </w:r>
            <w:r w:rsidR="00406971">
              <w:rPr>
                <w:rFonts w:ascii="Times New Roman" w:hAnsi="Times New Roman" w:cs="Times New Roman"/>
                <w:sz w:val="20"/>
                <w:szCs w:val="20"/>
              </w:rPr>
              <w:t>mjaftueshme</w:t>
            </w:r>
            <w:r w:rsidRPr="004E2EE3">
              <w:rPr>
                <w:rFonts w:ascii="Times New Roman" w:hAnsi="Times New Roman" w:cs="Times New Roman"/>
                <w:sz w:val="20"/>
                <w:szCs w:val="20"/>
              </w:rPr>
              <w:t>.</w:t>
            </w:r>
          </w:p>
          <w:p w:rsidR="00734862" w:rsidRPr="004E2EE3" w:rsidRDefault="00734862" w:rsidP="00734862">
            <w:pPr>
              <w:pStyle w:val="ListParagraph"/>
              <w:numPr>
                <w:ilvl w:val="0"/>
                <w:numId w:val="6"/>
              </w:numPr>
              <w:spacing w:after="120"/>
              <w:jc w:val="both"/>
              <w:rPr>
                <w:rFonts w:ascii="Times New Roman" w:hAnsi="Times New Roman" w:cs="Times New Roman"/>
                <w:sz w:val="20"/>
                <w:szCs w:val="20"/>
                <w:lang w:val="en-GB"/>
              </w:rPr>
            </w:pPr>
            <w:r w:rsidRPr="004E2EE3">
              <w:rPr>
                <w:rFonts w:ascii="Times New Roman" w:hAnsi="Times New Roman" w:cs="Times New Roman"/>
                <w:sz w:val="20"/>
                <w:szCs w:val="20"/>
                <w:lang w:val="en-GB"/>
              </w:rPr>
              <w:t>Sigurohet menaxhimi i shëndoshë i veprimtarisë gjyqësore bazuar në të dhënat statistikore dhe raportet publike si dhe autonomia financiare e sistemit gjyqësor.</w:t>
            </w:r>
          </w:p>
          <w:p w:rsidR="00734862" w:rsidRPr="004E2EE3" w:rsidRDefault="00734862" w:rsidP="00734862">
            <w:pPr>
              <w:pStyle w:val="ListParagraph"/>
              <w:numPr>
                <w:ilvl w:val="0"/>
                <w:numId w:val="6"/>
              </w:numPr>
              <w:spacing w:after="120"/>
              <w:jc w:val="both"/>
              <w:rPr>
                <w:rFonts w:ascii="Times New Roman" w:hAnsi="Times New Roman" w:cs="Times New Roman"/>
                <w:sz w:val="20"/>
                <w:szCs w:val="20"/>
                <w:lang w:val="en-GB"/>
              </w:rPr>
            </w:pPr>
            <w:r w:rsidRPr="004E2EE3">
              <w:rPr>
                <w:rFonts w:ascii="Times New Roman" w:hAnsi="Times New Roman" w:cs="Times New Roman"/>
                <w:sz w:val="20"/>
                <w:szCs w:val="20"/>
                <w:lang w:val="en-GB"/>
              </w:rPr>
              <w:t xml:space="preserve">Qasja në drejtësi sigurohet nga buxheti i mjaftueshëm, duke </w:t>
            </w:r>
            <w:r w:rsidRPr="004E2EE3">
              <w:rPr>
                <w:rFonts w:ascii="Times New Roman" w:hAnsi="Times New Roman" w:cs="Times New Roman"/>
                <w:sz w:val="20"/>
                <w:szCs w:val="20"/>
                <w:lang w:val="en-GB"/>
              </w:rPr>
              <w:lastRenderedPageBreak/>
              <w:t>përfshirë burimet dhe personelin adekuat dhe një sistem efektiv të ndihmës juridike.</w:t>
            </w:r>
          </w:p>
          <w:p w:rsidR="00734862" w:rsidRPr="004E2EE3" w:rsidRDefault="00734862" w:rsidP="00734862">
            <w:pPr>
              <w:pStyle w:val="ListParagraph"/>
              <w:numPr>
                <w:ilvl w:val="0"/>
                <w:numId w:val="6"/>
              </w:numPr>
              <w:spacing w:after="120"/>
              <w:jc w:val="both"/>
              <w:rPr>
                <w:rFonts w:ascii="Times New Roman" w:hAnsi="Times New Roman" w:cs="Times New Roman"/>
                <w:sz w:val="20"/>
                <w:szCs w:val="20"/>
                <w:lang w:val="en-GB"/>
              </w:rPr>
            </w:pPr>
            <w:r w:rsidRPr="004E2EE3">
              <w:rPr>
                <w:rFonts w:ascii="Times New Roman" w:hAnsi="Times New Roman" w:cs="Times New Roman"/>
                <w:sz w:val="20"/>
                <w:szCs w:val="20"/>
                <w:lang w:val="en-GB"/>
              </w:rPr>
              <w:t>Numri dhe aksesi i gjykatave dhe prokurorive reflekton nevojat e sistemit.</w:t>
            </w:r>
          </w:p>
          <w:p w:rsidR="00734862" w:rsidRPr="004E2EE3" w:rsidRDefault="00734862" w:rsidP="00734862">
            <w:pPr>
              <w:pStyle w:val="ListParagraph"/>
              <w:numPr>
                <w:ilvl w:val="0"/>
                <w:numId w:val="6"/>
              </w:numPr>
              <w:spacing w:after="120"/>
              <w:jc w:val="both"/>
              <w:rPr>
                <w:rFonts w:ascii="Times New Roman" w:hAnsi="Times New Roman" w:cs="Times New Roman"/>
                <w:sz w:val="20"/>
                <w:szCs w:val="20"/>
                <w:lang w:val="en-GB"/>
              </w:rPr>
            </w:pPr>
            <w:r w:rsidRPr="004E2EE3">
              <w:rPr>
                <w:rFonts w:ascii="Times New Roman" w:hAnsi="Times New Roman" w:cs="Times New Roman"/>
                <w:iCs/>
                <w:sz w:val="20"/>
                <w:szCs w:val="20"/>
                <w:lang w:val="en-GB"/>
              </w:rPr>
              <w:t>Përdoren mjete dixhitale/elektronike të informacionit dhe komunikimit, të sigurta dhe sipas standardeve, duke përfshirë përdorimin e një sistemi të integruar të menaxhimit të rasteve.</w:t>
            </w:r>
          </w:p>
          <w:p w:rsidR="00734862" w:rsidRPr="004E2EE3" w:rsidRDefault="00734862" w:rsidP="00734862">
            <w:pPr>
              <w:pStyle w:val="ListParagraph"/>
              <w:numPr>
                <w:ilvl w:val="0"/>
                <w:numId w:val="6"/>
              </w:numPr>
              <w:spacing w:after="120"/>
              <w:jc w:val="both"/>
              <w:rPr>
                <w:rFonts w:ascii="Times New Roman" w:hAnsi="Times New Roman" w:cs="Times New Roman"/>
                <w:sz w:val="20"/>
                <w:szCs w:val="20"/>
                <w:lang w:val="en-GB"/>
              </w:rPr>
            </w:pPr>
            <w:r w:rsidRPr="004E2EE3">
              <w:rPr>
                <w:rFonts w:ascii="Times New Roman" w:hAnsi="Times New Roman" w:cs="Times New Roman"/>
                <w:iCs/>
                <w:sz w:val="20"/>
                <w:szCs w:val="20"/>
                <w:lang w:val="en-GB"/>
              </w:rPr>
              <w:t>Jurisprudenca është konsistente.</w:t>
            </w:r>
          </w:p>
          <w:p w:rsidR="00734862" w:rsidRPr="004E2EE3" w:rsidRDefault="00734862" w:rsidP="00734862">
            <w:pPr>
              <w:pStyle w:val="ListParagraph"/>
              <w:numPr>
                <w:ilvl w:val="0"/>
                <w:numId w:val="6"/>
              </w:numPr>
              <w:spacing w:after="120"/>
              <w:jc w:val="both"/>
              <w:rPr>
                <w:rFonts w:ascii="Times New Roman" w:hAnsi="Times New Roman" w:cs="Times New Roman"/>
                <w:sz w:val="20"/>
                <w:szCs w:val="20"/>
                <w:lang w:val="en-GB"/>
              </w:rPr>
            </w:pPr>
            <w:r w:rsidRPr="004E2EE3">
              <w:rPr>
                <w:rFonts w:ascii="Times New Roman" w:hAnsi="Times New Roman" w:cs="Times New Roman"/>
                <w:iCs/>
                <w:sz w:val="20"/>
                <w:szCs w:val="20"/>
                <w:lang w:val="en-GB"/>
              </w:rPr>
              <w:t>Vendimet e</w:t>
            </w:r>
            <w:r w:rsidR="005D2164">
              <w:rPr>
                <w:rFonts w:ascii="Times New Roman" w:hAnsi="Times New Roman" w:cs="Times New Roman"/>
                <w:iCs/>
                <w:sz w:val="20"/>
                <w:szCs w:val="20"/>
                <w:lang w:val="en-GB"/>
              </w:rPr>
              <w:t xml:space="preserve"> gjykatës janë të </w:t>
            </w:r>
            <w:r w:rsidRPr="004E2EE3">
              <w:rPr>
                <w:rFonts w:ascii="Times New Roman" w:hAnsi="Times New Roman" w:cs="Times New Roman"/>
                <w:iCs/>
                <w:sz w:val="20"/>
                <w:szCs w:val="20"/>
                <w:lang w:val="en-GB"/>
              </w:rPr>
              <w:t>disponueshme publikisht dhe lehtësisht të arritshme përmes këtyre mjeteve.</w:t>
            </w:r>
            <w:r w:rsidRPr="004E2EE3">
              <w:rPr>
                <w:rFonts w:ascii="Times New Roman" w:hAnsi="Times New Roman" w:cs="Times New Roman"/>
                <w:sz w:val="20"/>
                <w:szCs w:val="20"/>
              </w:rPr>
              <w:t xml:space="preserve"> </w:t>
            </w:r>
          </w:p>
          <w:p w:rsidR="00734862" w:rsidRPr="004E2EE3" w:rsidRDefault="00734862" w:rsidP="00734862">
            <w:pPr>
              <w:jc w:val="both"/>
              <w:rPr>
                <w:rFonts w:ascii="Times New Roman" w:eastAsia="Times New Roman" w:hAnsi="Times New Roman" w:cs="Times New Roman"/>
                <w:b/>
                <w:bCs/>
                <w:color w:val="000000" w:themeColor="text1"/>
                <w:sz w:val="20"/>
                <w:szCs w:val="20"/>
              </w:rPr>
            </w:pPr>
            <w:r w:rsidRPr="004E2EE3">
              <w:rPr>
                <w:rFonts w:ascii="Times New Roman" w:hAnsi="Times New Roman" w:cs="Times New Roman"/>
                <w:sz w:val="20"/>
                <w:szCs w:val="20"/>
              </w:rPr>
              <w:t>Metodat alternative të zgjidhjes së mosmarrëveshjeve janë të disponueshme dhe përdoren gjerësisht.</w:t>
            </w:r>
          </w:p>
        </w:tc>
        <w:tc>
          <w:tcPr>
            <w:tcW w:w="11600" w:type="dxa"/>
            <w:gridSpan w:val="12"/>
            <w:shd w:val="clear" w:color="auto" w:fill="FFFFFF" w:themeFill="background1"/>
          </w:tcPr>
          <w:p w:rsidR="00734862" w:rsidRDefault="00734862" w:rsidP="00734862">
            <w:pPr>
              <w:spacing w:line="257" w:lineRule="auto"/>
              <w:jc w:val="both"/>
              <w:rPr>
                <w:rFonts w:ascii="Times New Roman" w:eastAsia="Times New Roman" w:hAnsi="Times New Roman" w:cs="Times New Roman"/>
                <w:color w:val="000000" w:themeColor="text1"/>
                <w:sz w:val="20"/>
                <w:szCs w:val="20"/>
              </w:rPr>
            </w:pPr>
            <w:r w:rsidRPr="00F771E6">
              <w:rPr>
                <w:rFonts w:ascii="Times New Roman" w:eastAsia="Times New Roman" w:hAnsi="Times New Roman" w:cs="Times New Roman"/>
                <w:b/>
                <w:bCs/>
                <w:color w:val="000000" w:themeColor="text1"/>
                <w:sz w:val="20"/>
                <w:szCs w:val="20"/>
              </w:rPr>
              <w:lastRenderedPageBreak/>
              <w:t>Mbajtja e një baze të mirë për mbështetjen e sistemit të drejtësisë</w:t>
            </w:r>
          </w:p>
        </w:tc>
      </w:tr>
      <w:tr w:rsidR="00734862" w:rsidTr="00FB2DFB">
        <w:trPr>
          <w:trHeight w:val="132"/>
        </w:trPr>
        <w:tc>
          <w:tcPr>
            <w:tcW w:w="2980" w:type="dxa"/>
            <w:gridSpan w:val="2"/>
            <w:vMerge/>
            <w:shd w:val="clear" w:color="auto" w:fill="FFFFFF" w:themeFill="background1"/>
          </w:tcPr>
          <w:p w:rsidR="00734862" w:rsidRPr="00C50056" w:rsidRDefault="00734862" w:rsidP="00734862">
            <w:pPr>
              <w:jc w:val="both"/>
              <w:rPr>
                <w:rFonts w:ascii="Times New Roman" w:eastAsia="Times New Roman" w:hAnsi="Times New Roman" w:cs="Times New Roman"/>
                <w:b/>
                <w:bCs/>
                <w:color w:val="000000" w:themeColor="text1"/>
                <w:sz w:val="20"/>
                <w:szCs w:val="20"/>
              </w:rPr>
            </w:pPr>
          </w:p>
        </w:tc>
        <w:tc>
          <w:tcPr>
            <w:tcW w:w="3358" w:type="dxa"/>
            <w:gridSpan w:val="5"/>
            <w:shd w:val="clear" w:color="auto" w:fill="FFFFFF" w:themeFill="background1"/>
          </w:tcPr>
          <w:p w:rsidR="00734862" w:rsidRPr="4AF6503D" w:rsidRDefault="00734862" w:rsidP="00734862">
            <w:pPr>
              <w:jc w:val="both"/>
              <w:rPr>
                <w:rFonts w:ascii="Times New Roman" w:eastAsia="Times New Roman" w:hAnsi="Times New Roman" w:cs="Times New Roman"/>
                <w:color w:val="000000" w:themeColor="text1"/>
                <w:sz w:val="20"/>
                <w:szCs w:val="20"/>
              </w:rPr>
            </w:pPr>
          </w:p>
        </w:tc>
        <w:tc>
          <w:tcPr>
            <w:tcW w:w="3078" w:type="dxa"/>
            <w:gridSpan w:val="3"/>
            <w:shd w:val="clear" w:color="auto" w:fill="FFFFFF" w:themeFill="background1"/>
          </w:tcPr>
          <w:p w:rsidR="00734862" w:rsidRDefault="00734862" w:rsidP="00734862">
            <w:pPr>
              <w:pStyle w:val="pf0"/>
              <w:spacing w:after="0" w:afterAutospacing="0"/>
              <w:rPr>
                <w:color w:val="000000" w:themeColor="text1"/>
                <w:sz w:val="20"/>
                <w:szCs w:val="20"/>
                <w:lang w:val="en-US" w:eastAsia="en-US"/>
              </w:rPr>
            </w:pPr>
            <w:r w:rsidRPr="002858F2">
              <w:rPr>
                <w:color w:val="000000" w:themeColor="text1"/>
                <w:sz w:val="20"/>
                <w:szCs w:val="20"/>
                <w:lang w:val="en-US" w:eastAsia="en-US"/>
              </w:rPr>
              <w:t xml:space="preserve">Qeveria/Kuvendi siguron vazhdimin </w:t>
            </w:r>
            <w:r w:rsidR="00406971">
              <w:rPr>
                <w:color w:val="000000" w:themeColor="text1"/>
                <w:sz w:val="20"/>
                <w:szCs w:val="20"/>
                <w:lang w:val="en-US" w:eastAsia="en-US"/>
              </w:rPr>
              <w:t xml:space="preserve">e alokimit të duhur të </w:t>
            </w:r>
            <w:r w:rsidRPr="002858F2">
              <w:rPr>
                <w:color w:val="000000" w:themeColor="text1"/>
                <w:sz w:val="20"/>
                <w:szCs w:val="20"/>
                <w:lang w:val="en-US" w:eastAsia="en-US"/>
              </w:rPr>
              <w:t>burimeve për institucionet e sistemit të drejtësisë.</w:t>
            </w:r>
          </w:p>
          <w:p w:rsidR="00734862" w:rsidRPr="004F6F21" w:rsidRDefault="00734862" w:rsidP="00734862">
            <w:pPr>
              <w:pStyle w:val="pf0"/>
              <w:spacing w:after="0" w:afterAutospacing="0"/>
              <w:rPr>
                <w:color w:val="000000" w:themeColor="text1"/>
                <w:sz w:val="20"/>
                <w:szCs w:val="20"/>
                <w:lang w:val="en-US" w:eastAsia="en-US"/>
              </w:rPr>
            </w:pPr>
            <w:r w:rsidRPr="002858F2">
              <w:rPr>
                <w:color w:val="000000" w:themeColor="text1"/>
                <w:sz w:val="20"/>
                <w:szCs w:val="20"/>
                <w:lang w:val="en-US" w:eastAsia="en-US"/>
              </w:rPr>
              <w:t>Përmirësimi gradual i infrastrukturës gjyqësore, duke përfshirë ambiente të përshtatshme për gjykatën e apelit deri në vitin 2027.</w:t>
            </w:r>
          </w:p>
        </w:tc>
        <w:tc>
          <w:tcPr>
            <w:tcW w:w="5164" w:type="dxa"/>
            <w:gridSpan w:val="4"/>
            <w:shd w:val="clear" w:color="auto" w:fill="FFFFFF" w:themeFill="background1"/>
          </w:tcPr>
          <w:p w:rsidR="00734862" w:rsidRDefault="00734862" w:rsidP="00734862">
            <w:pPr>
              <w:spacing w:line="257"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Institucionet </w:t>
            </w:r>
            <w:r w:rsidR="00406971">
              <w:rPr>
                <w:rFonts w:ascii="Times New Roman" w:eastAsia="Times New Roman" w:hAnsi="Times New Roman" w:cs="Times New Roman"/>
                <w:color w:val="000000" w:themeColor="text1"/>
                <w:sz w:val="20"/>
                <w:szCs w:val="20"/>
              </w:rPr>
              <w:t>e drejtësisë</w:t>
            </w:r>
            <w:r>
              <w:rPr>
                <w:rFonts w:ascii="Times New Roman" w:eastAsia="Times New Roman" w:hAnsi="Times New Roman" w:cs="Times New Roman"/>
                <w:color w:val="000000" w:themeColor="text1"/>
                <w:sz w:val="20"/>
                <w:szCs w:val="20"/>
              </w:rPr>
              <w:t xml:space="preserve"> konsolidojnë gradualisht funksionimin e tyre duke rezultuar në përmirësimin e cilësisë së shërbimeve gjyqësore deri në vitin 2030.</w:t>
            </w:r>
          </w:p>
          <w:p w:rsidR="00734862" w:rsidRDefault="00734862" w:rsidP="00734862">
            <w:pPr>
              <w:spacing w:line="257" w:lineRule="auto"/>
              <w:jc w:val="both"/>
              <w:rPr>
                <w:rFonts w:ascii="Times New Roman" w:eastAsia="Times New Roman" w:hAnsi="Times New Roman" w:cs="Times New Roman"/>
                <w:color w:val="000000" w:themeColor="text1"/>
                <w:sz w:val="20"/>
                <w:szCs w:val="20"/>
              </w:rPr>
            </w:pPr>
          </w:p>
          <w:p w:rsidR="00734862" w:rsidRDefault="00734862" w:rsidP="00734862">
            <w:pPr>
              <w:spacing w:line="257" w:lineRule="auto"/>
              <w:jc w:val="both"/>
              <w:rPr>
                <w:rFonts w:ascii="Times New Roman" w:eastAsia="Times New Roman" w:hAnsi="Times New Roman" w:cs="Times New Roman"/>
                <w:color w:val="000000" w:themeColor="text1"/>
                <w:sz w:val="20"/>
                <w:szCs w:val="20"/>
              </w:rPr>
            </w:pPr>
          </w:p>
        </w:tc>
      </w:tr>
      <w:tr w:rsidR="00734862" w:rsidTr="00FB2DFB">
        <w:trPr>
          <w:trHeight w:val="317"/>
        </w:trPr>
        <w:tc>
          <w:tcPr>
            <w:tcW w:w="2980" w:type="dxa"/>
            <w:gridSpan w:val="2"/>
            <w:vMerge/>
            <w:shd w:val="clear" w:color="auto" w:fill="FFFFFF" w:themeFill="background1"/>
          </w:tcPr>
          <w:p w:rsidR="00734862" w:rsidRPr="4AF6503D" w:rsidRDefault="00734862" w:rsidP="00734862">
            <w:pPr>
              <w:jc w:val="both"/>
              <w:rPr>
                <w:rFonts w:ascii="Times New Roman" w:eastAsia="Times New Roman" w:hAnsi="Times New Roman" w:cs="Times New Roman"/>
                <w:b/>
                <w:bCs/>
                <w:color w:val="000000" w:themeColor="text1"/>
                <w:sz w:val="20"/>
                <w:szCs w:val="20"/>
              </w:rPr>
            </w:pPr>
          </w:p>
        </w:tc>
        <w:tc>
          <w:tcPr>
            <w:tcW w:w="11600" w:type="dxa"/>
            <w:gridSpan w:val="12"/>
            <w:tcBorders>
              <w:bottom w:val="single" w:sz="4" w:space="0" w:color="auto"/>
            </w:tcBorders>
            <w:shd w:val="clear" w:color="auto" w:fill="FFFFFF" w:themeFill="background1"/>
          </w:tcPr>
          <w:p w:rsidR="00734862" w:rsidRDefault="00734862" w:rsidP="00734862">
            <w:pPr>
              <w:spacing w:line="257" w:lineRule="auto"/>
              <w:jc w:val="both"/>
              <w:rPr>
                <w:rFonts w:ascii="Times New Roman" w:eastAsia="Times New Roman" w:hAnsi="Times New Roman" w:cs="Times New Roman"/>
                <w:color w:val="000000" w:themeColor="text1"/>
                <w:sz w:val="20"/>
                <w:szCs w:val="20"/>
              </w:rPr>
            </w:pPr>
            <w:r w:rsidRPr="00F771E6">
              <w:rPr>
                <w:rFonts w:ascii="Times New Roman" w:eastAsia="Times New Roman" w:hAnsi="Times New Roman" w:cs="Times New Roman"/>
                <w:b/>
                <w:bCs/>
                <w:color w:val="000000" w:themeColor="text1"/>
                <w:sz w:val="20"/>
                <w:szCs w:val="20"/>
              </w:rPr>
              <w:t>Rritje e vlerësimit të performancës së magjistratëve dhe gjykatave dhe prokurorive</w:t>
            </w:r>
          </w:p>
        </w:tc>
      </w:tr>
      <w:tr w:rsidR="00734862" w:rsidRPr="00083AD4" w:rsidTr="00FB2DFB">
        <w:trPr>
          <w:trHeight w:val="699"/>
        </w:trPr>
        <w:tc>
          <w:tcPr>
            <w:tcW w:w="2980" w:type="dxa"/>
            <w:gridSpan w:val="2"/>
            <w:vMerge/>
            <w:shd w:val="clear" w:color="auto" w:fill="FFFFFF" w:themeFill="background1"/>
          </w:tcPr>
          <w:p w:rsidR="00734862" w:rsidRPr="4AF6503D" w:rsidRDefault="00734862" w:rsidP="00734862">
            <w:pPr>
              <w:jc w:val="both"/>
              <w:rPr>
                <w:rFonts w:ascii="Times New Roman" w:eastAsia="Times New Roman" w:hAnsi="Times New Roman" w:cs="Times New Roman"/>
                <w:b/>
                <w:bCs/>
                <w:color w:val="000000" w:themeColor="text1"/>
                <w:sz w:val="20"/>
                <w:szCs w:val="20"/>
              </w:rPr>
            </w:pPr>
          </w:p>
        </w:tc>
        <w:tc>
          <w:tcPr>
            <w:tcW w:w="3358" w:type="dxa"/>
            <w:gridSpan w:val="5"/>
            <w:tcBorders>
              <w:bottom w:val="single" w:sz="4" w:space="0" w:color="auto"/>
            </w:tcBorders>
            <w:shd w:val="clear" w:color="auto" w:fill="FFFFFF" w:themeFill="background1"/>
          </w:tcPr>
          <w:p w:rsidR="00734862" w:rsidRDefault="00734862" w:rsidP="00734862">
            <w:pPr>
              <w:jc w:val="both"/>
              <w:rPr>
                <w:rFonts w:ascii="Times New Roman" w:eastAsia="Times New Roman" w:hAnsi="Times New Roman" w:cs="Times New Roman"/>
                <w:color w:val="000000" w:themeColor="text1"/>
                <w:sz w:val="20"/>
                <w:szCs w:val="20"/>
              </w:rPr>
            </w:pPr>
            <w:r w:rsidRPr="4AF6503D">
              <w:rPr>
                <w:rFonts w:ascii="Times New Roman" w:eastAsia="Times New Roman" w:hAnsi="Times New Roman" w:cs="Times New Roman"/>
                <w:color w:val="000000" w:themeColor="text1"/>
                <w:sz w:val="20"/>
                <w:szCs w:val="20"/>
              </w:rPr>
              <w:t>Kës</w:t>
            </w:r>
            <w:r w:rsidR="00406971">
              <w:rPr>
                <w:rFonts w:ascii="Times New Roman" w:eastAsia="Times New Roman" w:hAnsi="Times New Roman" w:cs="Times New Roman"/>
                <w:color w:val="000000" w:themeColor="text1"/>
                <w:sz w:val="20"/>
                <w:szCs w:val="20"/>
              </w:rPr>
              <w:t>hillat avancojnë</w:t>
            </w:r>
            <w:r w:rsidR="00661A76">
              <w:rPr>
                <w:rFonts w:ascii="Times New Roman" w:eastAsia="Times New Roman" w:hAnsi="Times New Roman" w:cs="Times New Roman"/>
                <w:color w:val="000000" w:themeColor="text1"/>
                <w:sz w:val="20"/>
                <w:szCs w:val="20"/>
              </w:rPr>
              <w:t xml:space="preserve"> në</w:t>
            </w:r>
            <w:r w:rsidRPr="4AF6503D">
              <w:rPr>
                <w:rFonts w:ascii="Times New Roman" w:eastAsia="Times New Roman" w:hAnsi="Times New Roman" w:cs="Times New Roman"/>
                <w:color w:val="000000" w:themeColor="text1"/>
                <w:sz w:val="20"/>
                <w:szCs w:val="20"/>
              </w:rPr>
              <w:t xml:space="preserve"> miratimin e akteve nënligjore </w:t>
            </w:r>
            <w:r w:rsidR="00661A76">
              <w:rPr>
                <w:rFonts w:ascii="Times New Roman" w:eastAsia="Times New Roman" w:hAnsi="Times New Roman" w:cs="Times New Roman"/>
                <w:color w:val="000000" w:themeColor="text1"/>
                <w:sz w:val="20"/>
                <w:szCs w:val="20"/>
              </w:rPr>
              <w:t>për vlerësimin</w:t>
            </w:r>
            <w:r w:rsidRPr="4AF6503D">
              <w:rPr>
                <w:rFonts w:ascii="Times New Roman" w:eastAsia="Times New Roman" w:hAnsi="Times New Roman" w:cs="Times New Roman"/>
                <w:color w:val="000000" w:themeColor="text1"/>
                <w:sz w:val="20"/>
                <w:szCs w:val="20"/>
              </w:rPr>
              <w:t xml:space="preserve"> </w:t>
            </w:r>
            <w:r w:rsidR="00661A76">
              <w:rPr>
                <w:rFonts w:ascii="Times New Roman" w:eastAsia="Times New Roman" w:hAnsi="Times New Roman" w:cs="Times New Roman"/>
                <w:color w:val="000000" w:themeColor="text1"/>
                <w:sz w:val="20"/>
                <w:szCs w:val="20"/>
              </w:rPr>
              <w:t xml:space="preserve">e </w:t>
            </w:r>
            <w:r w:rsidRPr="4AF6503D">
              <w:rPr>
                <w:rFonts w:ascii="Times New Roman" w:eastAsia="Times New Roman" w:hAnsi="Times New Roman" w:cs="Times New Roman"/>
                <w:color w:val="000000" w:themeColor="text1"/>
                <w:sz w:val="20"/>
                <w:szCs w:val="20"/>
              </w:rPr>
              <w:t>performancës deri në vitin 2024.</w:t>
            </w:r>
          </w:p>
          <w:p w:rsidR="00734862" w:rsidRDefault="00734862" w:rsidP="00734862">
            <w:pPr>
              <w:jc w:val="both"/>
              <w:rPr>
                <w:rFonts w:ascii="Times New Roman" w:eastAsia="Times New Roman" w:hAnsi="Times New Roman" w:cs="Times New Roman"/>
                <w:color w:val="000000" w:themeColor="text1"/>
                <w:sz w:val="20"/>
                <w:szCs w:val="20"/>
              </w:rPr>
            </w:pPr>
          </w:p>
          <w:p w:rsidR="00734862" w:rsidRDefault="000355FF" w:rsidP="00734862">
            <w:pPr>
              <w:spacing w:after="160" w:line="257" w:lineRule="auto"/>
              <w:jc w:val="both"/>
            </w:pPr>
            <w:r>
              <w:rPr>
                <w:rFonts w:ascii="Times New Roman" w:eastAsia="Times New Roman" w:hAnsi="Times New Roman" w:cs="Times New Roman"/>
                <w:color w:val="000000" w:themeColor="text1"/>
                <w:sz w:val="20"/>
                <w:szCs w:val="20"/>
              </w:rPr>
              <w:t>Këshilli</w:t>
            </w:r>
            <w:r w:rsidR="00734862" w:rsidRPr="33B4A2BA">
              <w:rPr>
                <w:rFonts w:ascii="Times New Roman" w:eastAsia="Times New Roman" w:hAnsi="Times New Roman" w:cs="Times New Roman"/>
                <w:color w:val="000000" w:themeColor="text1"/>
                <w:sz w:val="20"/>
                <w:szCs w:val="20"/>
              </w:rPr>
              <w:t xml:space="preserve"> do të rishikojnë metodologjinë e tyre për vlerësimin e performancës deri në qershor 2024 për të arritur një balancë më të madhe midis kritereve cilësore dhe sasiore dhe rritje të </w:t>
            </w:r>
            <w:r w:rsidR="00734862" w:rsidRPr="33B4A2BA">
              <w:rPr>
                <w:rFonts w:ascii="Times New Roman" w:eastAsia="Times New Roman" w:hAnsi="Times New Roman" w:cs="Times New Roman"/>
                <w:color w:val="000000" w:themeColor="text1"/>
                <w:sz w:val="20"/>
                <w:szCs w:val="20"/>
              </w:rPr>
              <w:lastRenderedPageBreak/>
              <w:t>transparencës së procesit dhe zbatojnë metodologjinë.</w:t>
            </w:r>
          </w:p>
          <w:p w:rsidR="00734862" w:rsidRDefault="00734862" w:rsidP="00734862">
            <w:pPr>
              <w:jc w:val="both"/>
              <w:rPr>
                <w:rFonts w:ascii="Times New Roman" w:eastAsia="Times New Roman" w:hAnsi="Times New Roman" w:cs="Times New Roman"/>
                <w:color w:val="000000" w:themeColor="text1"/>
                <w:sz w:val="20"/>
                <w:szCs w:val="20"/>
              </w:rPr>
            </w:pPr>
          </w:p>
          <w:p w:rsidR="00734862" w:rsidRDefault="00734862" w:rsidP="00734862">
            <w:pPr>
              <w:jc w:val="both"/>
              <w:rPr>
                <w:rFonts w:ascii="Times New Roman" w:eastAsia="Times New Roman" w:hAnsi="Times New Roman" w:cs="Times New Roman"/>
                <w:color w:val="000000" w:themeColor="text1"/>
                <w:sz w:val="20"/>
                <w:szCs w:val="20"/>
              </w:rPr>
            </w:pPr>
          </w:p>
          <w:p w:rsidR="00734862" w:rsidRDefault="00734862" w:rsidP="00734862">
            <w:pPr>
              <w:jc w:val="both"/>
              <w:rPr>
                <w:rFonts w:ascii="Times New Roman" w:eastAsia="Times New Roman" w:hAnsi="Times New Roman" w:cs="Times New Roman"/>
                <w:color w:val="000000" w:themeColor="text1"/>
                <w:sz w:val="20"/>
                <w:szCs w:val="20"/>
              </w:rPr>
            </w:pPr>
          </w:p>
        </w:tc>
        <w:tc>
          <w:tcPr>
            <w:tcW w:w="3078" w:type="dxa"/>
            <w:gridSpan w:val="3"/>
            <w:shd w:val="clear" w:color="auto" w:fill="FFFFFF" w:themeFill="background1"/>
          </w:tcPr>
          <w:p w:rsidR="00734862" w:rsidRDefault="00734862" w:rsidP="00734862">
            <w:pPr>
              <w:jc w:val="both"/>
              <w:rPr>
                <w:rFonts w:ascii="Times New Roman" w:eastAsia="Times New Roman" w:hAnsi="Times New Roman" w:cs="Times New Roman"/>
                <w:color w:val="000000" w:themeColor="text1"/>
                <w:sz w:val="20"/>
                <w:szCs w:val="20"/>
              </w:rPr>
            </w:pPr>
            <w:r w:rsidRPr="4AF6503D">
              <w:rPr>
                <w:rFonts w:ascii="Times New Roman" w:eastAsia="Times New Roman" w:hAnsi="Times New Roman" w:cs="Times New Roman"/>
                <w:color w:val="000000" w:themeColor="text1"/>
                <w:sz w:val="20"/>
                <w:szCs w:val="20"/>
              </w:rPr>
              <w:lastRenderedPageBreak/>
              <w:t>KLP dhe KLGJ kryejnë trajnime në punë të anëtarëve dhe stafit të përfshirë në vlerësimin e performancës.</w:t>
            </w:r>
          </w:p>
          <w:p w:rsidR="00734862" w:rsidRDefault="00734862" w:rsidP="00734862">
            <w:pPr>
              <w:jc w:val="both"/>
              <w:rPr>
                <w:rFonts w:ascii="Times New Roman" w:eastAsia="Times New Roman" w:hAnsi="Times New Roman" w:cs="Times New Roman"/>
                <w:b/>
                <w:bCs/>
                <w:color w:val="000000" w:themeColor="text1"/>
                <w:sz w:val="20"/>
                <w:szCs w:val="20"/>
              </w:rPr>
            </w:pPr>
          </w:p>
          <w:p w:rsidR="00734862" w:rsidRPr="00083AD4" w:rsidRDefault="00734862" w:rsidP="00734862">
            <w:pPr>
              <w:spacing w:line="257" w:lineRule="auto"/>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Performanca e gjykatave dhe prokurorive rritet deri në vitin 2030</w:t>
            </w:r>
            <w:r w:rsidR="0095477A">
              <w:rPr>
                <w:rFonts w:ascii="Times New Roman" w:eastAsia="Times New Roman" w:hAnsi="Times New Roman" w:cs="Times New Roman"/>
                <w:color w:val="000000" w:themeColor="text1"/>
                <w:sz w:val="20"/>
                <w:szCs w:val="20"/>
                <w:lang w:val="it-IT"/>
              </w:rPr>
              <w:t xml:space="preserve"> përmes:</w:t>
            </w:r>
          </w:p>
          <w:p w:rsidR="00734862" w:rsidRPr="00083AD4" w:rsidRDefault="00734862" w:rsidP="00734862">
            <w:pPr>
              <w:pStyle w:val="ListParagraph"/>
              <w:numPr>
                <w:ilvl w:val="0"/>
                <w:numId w:val="22"/>
              </w:numPr>
              <w:spacing w:line="257" w:lineRule="auto"/>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miratimi</w:t>
            </w:r>
            <w:r w:rsidR="0095477A">
              <w:rPr>
                <w:rFonts w:ascii="Times New Roman" w:eastAsia="Times New Roman" w:hAnsi="Times New Roman" w:cs="Times New Roman"/>
                <w:color w:val="000000" w:themeColor="text1"/>
                <w:sz w:val="20"/>
                <w:szCs w:val="20"/>
                <w:lang w:val="it-IT"/>
              </w:rPr>
              <w:t xml:space="preserve">t të </w:t>
            </w:r>
            <w:r w:rsidRPr="00083AD4">
              <w:rPr>
                <w:rFonts w:ascii="Times New Roman" w:eastAsia="Times New Roman" w:hAnsi="Times New Roman" w:cs="Times New Roman"/>
                <w:color w:val="000000" w:themeColor="text1"/>
                <w:sz w:val="20"/>
                <w:szCs w:val="20"/>
                <w:lang w:val="it-IT"/>
              </w:rPr>
              <w:t xml:space="preserve"> Rregullave të </w:t>
            </w:r>
            <w:r w:rsidRPr="00083AD4">
              <w:rPr>
                <w:rFonts w:ascii="Times New Roman" w:eastAsia="Times New Roman" w:hAnsi="Times New Roman" w:cs="Times New Roman"/>
                <w:color w:val="000000" w:themeColor="text1"/>
                <w:sz w:val="20"/>
                <w:szCs w:val="20"/>
                <w:lang w:val="it-IT"/>
              </w:rPr>
              <w:lastRenderedPageBreak/>
              <w:t>Brendshme për cilësinë e drejtësisë (deri në fund të vitit 2024,</w:t>
            </w:r>
          </w:p>
          <w:p w:rsidR="00734862" w:rsidRPr="00083AD4" w:rsidRDefault="00734862" w:rsidP="00734862">
            <w:pPr>
              <w:pStyle w:val="ListParagraph"/>
              <w:numPr>
                <w:ilvl w:val="0"/>
                <w:numId w:val="22"/>
              </w:numPr>
              <w:spacing w:line="257" w:lineRule="auto"/>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inspektimeve të rregullta tematike të synuara nga Inspektori i Lartë i Drejtësisë</w:t>
            </w:r>
          </w:p>
          <w:p w:rsidR="00734862" w:rsidRPr="00083AD4" w:rsidRDefault="0095477A" w:rsidP="0095477A">
            <w:pPr>
              <w:pStyle w:val="ListParagraph"/>
              <w:numPr>
                <w:ilvl w:val="0"/>
                <w:numId w:val="22"/>
              </w:numPr>
              <w:spacing w:line="257" w:lineRule="auto"/>
              <w:jc w:val="both"/>
              <w:rPr>
                <w:rFonts w:ascii="Times New Roman" w:eastAsia="Times New Roman" w:hAnsi="Times New Roman" w:cs="Times New Roman"/>
                <w:color w:val="000000" w:themeColor="text1"/>
                <w:sz w:val="20"/>
                <w:szCs w:val="20"/>
                <w:lang w:val="it-IT"/>
              </w:rPr>
            </w:pPr>
            <w:r>
              <w:rPr>
                <w:rFonts w:ascii="Times New Roman" w:eastAsia="Times New Roman" w:hAnsi="Times New Roman" w:cs="Times New Roman"/>
                <w:color w:val="000000" w:themeColor="text1"/>
                <w:sz w:val="20"/>
                <w:szCs w:val="20"/>
                <w:lang w:val="it-IT"/>
              </w:rPr>
              <w:t xml:space="preserve">Nëpërmjet anketave drejtuar përdoruesve </w:t>
            </w:r>
            <w:r w:rsidR="00734862" w:rsidRPr="00083AD4">
              <w:rPr>
                <w:rFonts w:ascii="Times New Roman" w:eastAsia="Times New Roman" w:hAnsi="Times New Roman" w:cs="Times New Roman"/>
                <w:color w:val="000000" w:themeColor="text1"/>
                <w:sz w:val="20"/>
                <w:szCs w:val="20"/>
                <w:lang w:val="it-IT"/>
              </w:rPr>
              <w:t>të gjykatës për</w:t>
            </w:r>
            <w:r>
              <w:rPr>
                <w:rFonts w:ascii="Times New Roman" w:eastAsia="Times New Roman" w:hAnsi="Times New Roman" w:cs="Times New Roman"/>
                <w:color w:val="000000" w:themeColor="text1"/>
                <w:sz w:val="20"/>
                <w:szCs w:val="20"/>
                <w:lang w:val="it-IT"/>
              </w:rPr>
              <w:t xml:space="preserve"> sa i përket nivelit të vlerësimit, të kryera nga </w:t>
            </w:r>
            <w:r w:rsidR="00734862" w:rsidRPr="00083AD4">
              <w:rPr>
                <w:rFonts w:ascii="Times New Roman" w:eastAsia="Times New Roman" w:hAnsi="Times New Roman" w:cs="Times New Roman"/>
                <w:color w:val="000000" w:themeColor="text1"/>
                <w:sz w:val="20"/>
                <w:szCs w:val="20"/>
                <w:lang w:val="it-IT"/>
              </w:rPr>
              <w:t>KLGJ/gjykatat çdo dy vjet</w:t>
            </w:r>
          </w:p>
        </w:tc>
        <w:tc>
          <w:tcPr>
            <w:tcW w:w="5164" w:type="dxa"/>
            <w:gridSpan w:val="4"/>
            <w:shd w:val="clear" w:color="auto" w:fill="FFFFFF" w:themeFill="background1"/>
          </w:tcPr>
          <w:p w:rsidR="00734862" w:rsidRPr="00083AD4" w:rsidRDefault="00734862" w:rsidP="00734862">
            <w:pPr>
              <w:spacing w:line="257" w:lineRule="auto"/>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lastRenderedPageBreak/>
              <w:t xml:space="preserve">Vlerësimi i performancës nga Këshillat është përmirësuar </w:t>
            </w:r>
            <w:r w:rsidR="00661A76">
              <w:rPr>
                <w:rFonts w:ascii="Times New Roman" w:eastAsia="Times New Roman" w:hAnsi="Times New Roman" w:cs="Times New Roman"/>
                <w:color w:val="000000" w:themeColor="text1"/>
                <w:sz w:val="20"/>
                <w:szCs w:val="20"/>
                <w:lang w:val="it-IT"/>
              </w:rPr>
              <w:t xml:space="preserve">me fokus të veçantë ndaj cilsësisë së </w:t>
            </w:r>
            <w:r w:rsidRPr="00083AD4">
              <w:rPr>
                <w:rFonts w:ascii="Times New Roman" w:eastAsia="Times New Roman" w:hAnsi="Times New Roman" w:cs="Times New Roman"/>
                <w:color w:val="000000" w:themeColor="text1"/>
                <w:sz w:val="20"/>
                <w:szCs w:val="20"/>
                <w:lang w:val="it-IT"/>
              </w:rPr>
              <w:t>ofrimit të shërbimit të drejtësisë deri në vitin 2030.</w:t>
            </w:r>
          </w:p>
          <w:p w:rsidR="00734862" w:rsidRPr="00083AD4" w:rsidRDefault="00734862" w:rsidP="00734862">
            <w:pPr>
              <w:spacing w:line="257" w:lineRule="auto"/>
              <w:jc w:val="both"/>
              <w:rPr>
                <w:rFonts w:ascii="Times New Roman" w:eastAsia="Times New Roman" w:hAnsi="Times New Roman" w:cs="Times New Roman"/>
                <w:color w:val="000000" w:themeColor="text1"/>
                <w:sz w:val="20"/>
                <w:szCs w:val="20"/>
                <w:lang w:val="it-IT"/>
              </w:rPr>
            </w:pPr>
          </w:p>
          <w:p w:rsidR="00734862" w:rsidRPr="00083AD4" w:rsidRDefault="00734862" w:rsidP="00734862">
            <w:pPr>
              <w:spacing w:line="257" w:lineRule="auto"/>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Performanca e gjykatave dhe prokurorive përmirësohet gradualisht dhe promovon shërbime cilësore të drejtësisë.</w:t>
            </w:r>
          </w:p>
        </w:tc>
      </w:tr>
      <w:tr w:rsidR="00734862" w:rsidTr="00FB2DFB">
        <w:trPr>
          <w:trHeight w:val="418"/>
        </w:trPr>
        <w:tc>
          <w:tcPr>
            <w:tcW w:w="2980" w:type="dxa"/>
            <w:gridSpan w:val="2"/>
            <w:vMerge/>
            <w:shd w:val="clear" w:color="auto" w:fill="FFFFFF" w:themeFill="background1"/>
          </w:tcPr>
          <w:p w:rsidR="00734862" w:rsidRPr="00083AD4" w:rsidRDefault="00734862" w:rsidP="00734862">
            <w:pPr>
              <w:jc w:val="both"/>
              <w:rPr>
                <w:rFonts w:ascii="Times New Roman" w:eastAsia="Times New Roman" w:hAnsi="Times New Roman" w:cs="Times New Roman"/>
                <w:b/>
                <w:bCs/>
                <w:color w:val="000000" w:themeColor="text1"/>
                <w:sz w:val="20"/>
                <w:szCs w:val="20"/>
                <w:lang w:val="it-IT"/>
              </w:rPr>
            </w:pPr>
          </w:p>
        </w:tc>
        <w:tc>
          <w:tcPr>
            <w:tcW w:w="11600" w:type="dxa"/>
            <w:gridSpan w:val="12"/>
            <w:tcBorders>
              <w:bottom w:val="single" w:sz="4" w:space="0" w:color="auto"/>
            </w:tcBorders>
            <w:shd w:val="clear" w:color="auto" w:fill="FFFFFF" w:themeFill="background1"/>
          </w:tcPr>
          <w:p w:rsidR="00734862" w:rsidRPr="00F102B7" w:rsidRDefault="00734862" w:rsidP="00734862">
            <w:pPr>
              <w:jc w:val="both"/>
              <w:rPr>
                <w:rFonts w:ascii="Times New Roman" w:eastAsia="Times New Roman" w:hAnsi="Times New Roman" w:cs="Times New Roman"/>
                <w:b/>
                <w:bCs/>
                <w:color w:val="000000" w:themeColor="text1"/>
                <w:sz w:val="20"/>
                <w:szCs w:val="20"/>
              </w:rPr>
            </w:pPr>
            <w:r w:rsidRPr="00F102B7">
              <w:rPr>
                <w:rFonts w:ascii="Times New Roman" w:eastAsia="Times New Roman" w:hAnsi="Times New Roman" w:cs="Times New Roman"/>
                <w:b/>
                <w:bCs/>
                <w:color w:val="000000" w:themeColor="text1"/>
                <w:sz w:val="20"/>
                <w:szCs w:val="20"/>
              </w:rPr>
              <w:t>Forcimi i kapaciteteve të trajnimit gjyqësor</w:t>
            </w:r>
          </w:p>
        </w:tc>
      </w:tr>
      <w:tr w:rsidR="00734862" w:rsidRPr="00083AD4" w:rsidTr="00FB2DFB">
        <w:trPr>
          <w:trHeight w:val="1125"/>
        </w:trPr>
        <w:tc>
          <w:tcPr>
            <w:tcW w:w="2980" w:type="dxa"/>
            <w:gridSpan w:val="2"/>
            <w:vMerge/>
            <w:shd w:val="clear" w:color="auto" w:fill="FFFFFF" w:themeFill="background1"/>
          </w:tcPr>
          <w:p w:rsidR="00734862" w:rsidRPr="4AF6503D" w:rsidRDefault="00734862" w:rsidP="00734862">
            <w:pPr>
              <w:jc w:val="both"/>
              <w:rPr>
                <w:rFonts w:ascii="Times New Roman" w:eastAsia="Times New Roman" w:hAnsi="Times New Roman" w:cs="Times New Roman"/>
                <w:b/>
                <w:bCs/>
                <w:color w:val="000000" w:themeColor="text1"/>
                <w:sz w:val="20"/>
                <w:szCs w:val="20"/>
              </w:rPr>
            </w:pPr>
          </w:p>
        </w:tc>
        <w:tc>
          <w:tcPr>
            <w:tcW w:w="3358" w:type="dxa"/>
            <w:gridSpan w:val="5"/>
            <w:tcBorders>
              <w:bottom w:val="single" w:sz="4" w:space="0" w:color="auto"/>
            </w:tcBorders>
            <w:shd w:val="clear" w:color="auto" w:fill="FFFFFF" w:themeFill="background1"/>
          </w:tcPr>
          <w:p w:rsidR="00734862" w:rsidRDefault="005D2164" w:rsidP="00522C54">
            <w:pPr>
              <w:jc w:val="both"/>
            </w:pPr>
            <w:r>
              <w:rPr>
                <w:rFonts w:ascii="Times New Roman" w:eastAsia="Times New Roman" w:hAnsi="Times New Roman" w:cs="Times New Roman"/>
                <w:color w:val="000000" w:themeColor="text1"/>
                <w:sz w:val="20"/>
                <w:szCs w:val="20"/>
              </w:rPr>
              <w:t>SHM</w:t>
            </w:r>
            <w:r w:rsidR="00734862" w:rsidRPr="4AF6503D">
              <w:rPr>
                <w:rFonts w:ascii="Times New Roman" w:eastAsia="Times New Roman" w:hAnsi="Times New Roman" w:cs="Times New Roman"/>
                <w:color w:val="000000" w:themeColor="text1"/>
                <w:sz w:val="20"/>
                <w:szCs w:val="20"/>
              </w:rPr>
              <w:t xml:space="preserve"> ndryshon Rregulloren e saj të Brendshme për të siguruar që provimi i pranimit të pasqyrojë standardet më të mira të BE-së </w:t>
            </w:r>
            <w:r w:rsidR="0095477A">
              <w:rPr>
                <w:rFonts w:ascii="Times New Roman" w:eastAsia="Times New Roman" w:hAnsi="Times New Roman" w:cs="Times New Roman"/>
                <w:color w:val="000000" w:themeColor="text1"/>
                <w:sz w:val="20"/>
                <w:szCs w:val="20"/>
              </w:rPr>
              <w:t xml:space="preserve">duke e orientuar nga një provim i bazuar në njohuri në një provim të bazuar në </w:t>
            </w:r>
            <w:proofErr w:type="gramStart"/>
            <w:r w:rsidR="0095477A">
              <w:rPr>
                <w:rFonts w:ascii="Times New Roman" w:eastAsia="Times New Roman" w:hAnsi="Times New Roman" w:cs="Times New Roman"/>
                <w:color w:val="000000" w:themeColor="text1"/>
                <w:sz w:val="20"/>
                <w:szCs w:val="20"/>
              </w:rPr>
              <w:t xml:space="preserve">aftësi </w:t>
            </w:r>
            <w:r w:rsidR="00734862" w:rsidRPr="4AF6503D">
              <w:rPr>
                <w:rFonts w:ascii="Times New Roman" w:eastAsia="Times New Roman" w:hAnsi="Times New Roman" w:cs="Times New Roman"/>
                <w:color w:val="000000" w:themeColor="text1"/>
                <w:sz w:val="20"/>
                <w:szCs w:val="20"/>
              </w:rPr>
              <w:t xml:space="preserve"> deri</w:t>
            </w:r>
            <w:proofErr w:type="gramEnd"/>
            <w:r w:rsidR="00734862" w:rsidRPr="4AF6503D">
              <w:rPr>
                <w:rFonts w:ascii="Times New Roman" w:eastAsia="Times New Roman" w:hAnsi="Times New Roman" w:cs="Times New Roman"/>
                <w:color w:val="000000" w:themeColor="text1"/>
                <w:sz w:val="20"/>
                <w:szCs w:val="20"/>
              </w:rPr>
              <w:t xml:space="preserve"> në vitin 2024.</w:t>
            </w:r>
          </w:p>
          <w:p w:rsidR="00734862" w:rsidRDefault="00734862" w:rsidP="00734862">
            <w:r w:rsidRPr="4AF6503D">
              <w:rPr>
                <w:rFonts w:ascii="Times New Roman" w:eastAsia="Times New Roman" w:hAnsi="Times New Roman" w:cs="Times New Roman"/>
                <w:color w:val="000000" w:themeColor="text1"/>
                <w:sz w:val="20"/>
                <w:szCs w:val="20"/>
              </w:rPr>
              <w:t xml:space="preserve"> </w:t>
            </w:r>
          </w:p>
          <w:p w:rsidR="00734862" w:rsidRPr="00B61777" w:rsidRDefault="005D2164" w:rsidP="00734862">
            <w:r>
              <w:rPr>
                <w:rFonts w:ascii="Times New Roman" w:eastAsia="Times New Roman" w:hAnsi="Times New Roman" w:cs="Times New Roman"/>
                <w:color w:val="000000" w:themeColor="text1"/>
                <w:sz w:val="20"/>
                <w:szCs w:val="20"/>
              </w:rPr>
              <w:t>SHM</w:t>
            </w:r>
            <w:r w:rsidR="00734862" w:rsidRPr="4AF6503D">
              <w:rPr>
                <w:rFonts w:ascii="Times New Roman" w:eastAsia="Times New Roman" w:hAnsi="Times New Roman" w:cs="Times New Roman"/>
                <w:color w:val="000000" w:themeColor="text1"/>
                <w:sz w:val="20"/>
                <w:szCs w:val="20"/>
              </w:rPr>
              <w:t xml:space="preserve"> rishikon programin e tij të Trajnimit Fillestar dhe metodologjinë e programit të trajnimit të vazhdueshëm në mënyrë që të reflektojë standardet më të mira të BE-së, për të vënë më shumë theksin në praktikë, për të gjykuar aftësitë e zanatit, etikën dhe integritetin dhe për të forcuar programin e mentorimit deri në vitin 2025.</w:t>
            </w:r>
          </w:p>
        </w:tc>
        <w:tc>
          <w:tcPr>
            <w:tcW w:w="3078" w:type="dxa"/>
            <w:gridSpan w:val="3"/>
            <w:shd w:val="clear" w:color="auto" w:fill="FFFFFF" w:themeFill="background1"/>
          </w:tcPr>
          <w:p w:rsidR="00734862" w:rsidRDefault="005D2164" w:rsidP="00734862">
            <w:pPr>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SHM</w:t>
            </w:r>
            <w:r w:rsidR="00734862" w:rsidRPr="4AF6503D">
              <w:rPr>
                <w:rFonts w:ascii="Times New Roman" w:eastAsia="Times New Roman" w:hAnsi="Times New Roman" w:cs="Times New Roman"/>
                <w:color w:val="000000" w:themeColor="text1"/>
                <w:sz w:val="20"/>
                <w:szCs w:val="20"/>
              </w:rPr>
              <w:t xml:space="preserve"> siguron staf dhe burime adekuate duke analizuar, rishikuar dhe projektuar nevojat për burime njerëzor</w:t>
            </w:r>
            <w:r>
              <w:rPr>
                <w:rFonts w:ascii="Times New Roman" w:eastAsia="Times New Roman" w:hAnsi="Times New Roman" w:cs="Times New Roman"/>
                <w:color w:val="000000" w:themeColor="text1"/>
                <w:sz w:val="20"/>
                <w:szCs w:val="20"/>
              </w:rPr>
              <w:t>e dhe akademike duke filluar nga 2024 deri ne 2030.</w:t>
            </w:r>
          </w:p>
          <w:p w:rsidR="00734862" w:rsidRDefault="00734862" w:rsidP="00734862">
            <w:pPr>
              <w:jc w:val="both"/>
              <w:rPr>
                <w:rFonts w:ascii="Times New Roman" w:eastAsia="Times New Roman" w:hAnsi="Times New Roman" w:cs="Times New Roman"/>
                <w:color w:val="000000" w:themeColor="text1"/>
                <w:sz w:val="20"/>
                <w:szCs w:val="20"/>
              </w:rPr>
            </w:pPr>
          </w:p>
          <w:p w:rsidR="00734862" w:rsidRDefault="00734862" w:rsidP="00734862">
            <w:pPr>
              <w:spacing w:after="160" w:line="257" w:lineRule="auto"/>
              <w:jc w:val="both"/>
              <w:rPr>
                <w:rFonts w:ascii="Times New Roman" w:eastAsia="Times New Roman" w:hAnsi="Times New Roman" w:cs="Times New Roman"/>
                <w:color w:val="000000" w:themeColor="text1"/>
                <w:sz w:val="20"/>
                <w:szCs w:val="20"/>
              </w:rPr>
            </w:pPr>
            <w:r w:rsidRPr="2F2E1511">
              <w:rPr>
                <w:rFonts w:ascii="Times New Roman" w:eastAsia="Times New Roman" w:hAnsi="Times New Roman" w:cs="Times New Roman"/>
                <w:color w:val="000000" w:themeColor="text1"/>
                <w:sz w:val="20"/>
                <w:szCs w:val="20"/>
              </w:rPr>
              <w:t>Provimi i pranimit kryhet bazuar në metodologjinë e rishikuar në përputhje me praktikat më të mira të BE-së dhe përfshin testimin e bazuar në aftësi nga viti 2025 e në vazhdim.</w:t>
            </w:r>
          </w:p>
          <w:p w:rsidR="00734862" w:rsidRPr="00083AD4" w:rsidRDefault="00734862" w:rsidP="00734862">
            <w:pPr>
              <w:spacing w:after="160" w:line="257" w:lineRule="auto"/>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Programi i rishikuar dhe i përmirës</w:t>
            </w:r>
            <w:r w:rsidR="005D2164" w:rsidRPr="00083AD4">
              <w:rPr>
                <w:rFonts w:ascii="Times New Roman" w:eastAsia="Times New Roman" w:hAnsi="Times New Roman" w:cs="Times New Roman"/>
                <w:color w:val="000000" w:themeColor="text1"/>
                <w:sz w:val="20"/>
                <w:szCs w:val="20"/>
                <w:lang w:val="it-IT"/>
              </w:rPr>
              <w:t>uar i mentorëve zbatohet nga SHM</w:t>
            </w:r>
            <w:r w:rsidRPr="00083AD4">
              <w:rPr>
                <w:rFonts w:ascii="Times New Roman" w:eastAsia="Times New Roman" w:hAnsi="Times New Roman" w:cs="Times New Roman"/>
                <w:color w:val="000000" w:themeColor="text1"/>
                <w:sz w:val="20"/>
                <w:szCs w:val="20"/>
                <w:lang w:val="it-IT"/>
              </w:rPr>
              <w:t>/gjykatat nga viti 2026 e në vazhdim.</w:t>
            </w:r>
          </w:p>
          <w:p w:rsidR="00734862" w:rsidRPr="00083AD4" w:rsidRDefault="00734862" w:rsidP="00734862">
            <w:pPr>
              <w:spacing w:after="160" w:line="257" w:lineRule="auto"/>
              <w:jc w:val="both"/>
              <w:rPr>
                <w:lang w:val="it-IT"/>
              </w:rPr>
            </w:pPr>
            <w:r w:rsidRPr="00083AD4">
              <w:rPr>
                <w:rFonts w:ascii="Times New Roman" w:eastAsia="Times New Roman" w:hAnsi="Times New Roman" w:cs="Times New Roman"/>
                <w:color w:val="000000" w:themeColor="text1"/>
                <w:sz w:val="20"/>
                <w:szCs w:val="20"/>
                <w:lang w:val="it-IT"/>
              </w:rPr>
              <w:t>Kurrikula e trajnimit fillestar miratohet dhe zbatohet nga viti akademik 2026 e në vazhdim.</w:t>
            </w:r>
          </w:p>
          <w:p w:rsidR="00734862" w:rsidRPr="00083AD4" w:rsidRDefault="00734862" w:rsidP="00734862">
            <w:pPr>
              <w:spacing w:after="160" w:line="257" w:lineRule="auto"/>
              <w:jc w:val="both"/>
              <w:rPr>
                <w:lang w:val="it-IT"/>
              </w:rPr>
            </w:pPr>
            <w:r w:rsidRPr="00083AD4">
              <w:rPr>
                <w:rFonts w:ascii="Times New Roman" w:eastAsia="Times New Roman" w:hAnsi="Times New Roman" w:cs="Times New Roman"/>
                <w:color w:val="000000" w:themeColor="text1"/>
                <w:sz w:val="20"/>
                <w:szCs w:val="20"/>
                <w:lang w:val="it-IT"/>
              </w:rPr>
              <w:t xml:space="preserve">Programi i pasuruar dhe përmirësuar i trajnimit të </w:t>
            </w:r>
            <w:r w:rsidRPr="00083AD4">
              <w:rPr>
                <w:rFonts w:ascii="Times New Roman" w:eastAsia="Times New Roman" w:hAnsi="Times New Roman" w:cs="Times New Roman"/>
                <w:color w:val="000000" w:themeColor="text1"/>
                <w:sz w:val="20"/>
                <w:szCs w:val="20"/>
                <w:lang w:val="it-IT"/>
              </w:rPr>
              <w:lastRenderedPageBreak/>
              <w:t>vazhdueshëm për magjistratët në detyrë nga viti 2025 e në vazhdim.</w:t>
            </w:r>
          </w:p>
        </w:tc>
        <w:tc>
          <w:tcPr>
            <w:tcW w:w="5164" w:type="dxa"/>
            <w:gridSpan w:val="4"/>
            <w:shd w:val="clear" w:color="auto" w:fill="FFFFFF" w:themeFill="background1"/>
          </w:tcPr>
          <w:p w:rsidR="00734862" w:rsidRPr="00083AD4" w:rsidRDefault="00734862" w:rsidP="00734862">
            <w:pPr>
              <w:spacing w:after="160" w:line="257" w:lineRule="auto"/>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lastRenderedPageBreak/>
              <w:t xml:space="preserve">Trajnimi fillestar dhe i vazhdueshëm </w:t>
            </w:r>
            <w:r w:rsidR="00522C54">
              <w:rPr>
                <w:rFonts w:ascii="Times New Roman" w:eastAsia="Times New Roman" w:hAnsi="Times New Roman" w:cs="Times New Roman"/>
                <w:color w:val="000000" w:themeColor="text1"/>
                <w:sz w:val="20"/>
                <w:szCs w:val="20"/>
                <w:lang w:val="it-IT"/>
              </w:rPr>
              <w:t xml:space="preserve">i magjistratëve është i </w:t>
            </w:r>
            <w:r w:rsidRPr="00083AD4">
              <w:rPr>
                <w:rFonts w:ascii="Times New Roman" w:eastAsia="Times New Roman" w:hAnsi="Times New Roman" w:cs="Times New Roman"/>
                <w:color w:val="000000" w:themeColor="text1"/>
                <w:sz w:val="20"/>
                <w:szCs w:val="20"/>
                <w:lang w:val="it-IT"/>
              </w:rPr>
              <w:t xml:space="preserve"> pasuruar dhe rishikuar </w:t>
            </w:r>
            <w:r w:rsidR="00522C54">
              <w:rPr>
                <w:rFonts w:ascii="Times New Roman" w:eastAsia="Times New Roman" w:hAnsi="Times New Roman" w:cs="Times New Roman"/>
                <w:color w:val="000000" w:themeColor="text1"/>
                <w:sz w:val="20"/>
                <w:szCs w:val="20"/>
                <w:lang w:val="it-IT"/>
              </w:rPr>
              <w:t xml:space="preserve">si dhe </w:t>
            </w:r>
            <w:r w:rsidRPr="00083AD4">
              <w:rPr>
                <w:rFonts w:ascii="Times New Roman" w:eastAsia="Times New Roman" w:hAnsi="Times New Roman" w:cs="Times New Roman"/>
                <w:color w:val="000000" w:themeColor="text1"/>
                <w:sz w:val="20"/>
                <w:szCs w:val="20"/>
                <w:lang w:val="it-IT"/>
              </w:rPr>
              <w:t xml:space="preserve"> siguron burime njerëzore </w:t>
            </w:r>
            <w:r w:rsidR="00385E48">
              <w:rPr>
                <w:rFonts w:ascii="Times New Roman" w:eastAsia="Times New Roman" w:hAnsi="Times New Roman" w:cs="Times New Roman"/>
                <w:color w:val="000000" w:themeColor="text1"/>
                <w:sz w:val="20"/>
                <w:szCs w:val="20"/>
                <w:lang w:val="it-IT"/>
              </w:rPr>
              <w:t xml:space="preserve">thelbësore </w:t>
            </w:r>
            <w:r w:rsidRPr="00083AD4">
              <w:rPr>
                <w:rFonts w:ascii="Times New Roman" w:eastAsia="Times New Roman" w:hAnsi="Times New Roman" w:cs="Times New Roman"/>
                <w:color w:val="000000" w:themeColor="text1"/>
                <w:sz w:val="20"/>
                <w:szCs w:val="20"/>
                <w:lang w:val="it-IT"/>
              </w:rPr>
              <w:t>të përmirësuara dhe cilësore të gjyqësorit dhe prokurorisë deri në vitin 2030.</w:t>
            </w:r>
          </w:p>
          <w:p w:rsidR="00734862" w:rsidRPr="00083AD4" w:rsidRDefault="00734862" w:rsidP="00734862">
            <w:pPr>
              <w:spacing w:line="257" w:lineRule="auto"/>
              <w:jc w:val="both"/>
              <w:rPr>
                <w:rFonts w:ascii="Times New Roman" w:eastAsia="Times New Roman" w:hAnsi="Times New Roman" w:cs="Times New Roman"/>
                <w:color w:val="000000" w:themeColor="text1"/>
                <w:sz w:val="20"/>
                <w:szCs w:val="20"/>
                <w:lang w:val="it-IT"/>
              </w:rPr>
            </w:pPr>
          </w:p>
        </w:tc>
      </w:tr>
      <w:tr w:rsidR="00734862" w:rsidRPr="00083AD4" w:rsidTr="00FB2DFB">
        <w:trPr>
          <w:trHeight w:val="280"/>
        </w:trPr>
        <w:tc>
          <w:tcPr>
            <w:tcW w:w="2980" w:type="dxa"/>
            <w:gridSpan w:val="2"/>
            <w:vMerge/>
            <w:shd w:val="clear" w:color="auto" w:fill="FFFFFF" w:themeFill="background1"/>
          </w:tcPr>
          <w:p w:rsidR="00734862" w:rsidRPr="00083AD4" w:rsidRDefault="00734862" w:rsidP="00734862">
            <w:pPr>
              <w:jc w:val="both"/>
              <w:rPr>
                <w:rFonts w:ascii="Times New Roman" w:eastAsia="Times New Roman" w:hAnsi="Times New Roman" w:cs="Times New Roman"/>
                <w:b/>
                <w:bCs/>
                <w:color w:val="000000" w:themeColor="text1"/>
                <w:sz w:val="20"/>
                <w:szCs w:val="20"/>
                <w:lang w:val="it-IT"/>
              </w:rPr>
            </w:pPr>
          </w:p>
        </w:tc>
        <w:tc>
          <w:tcPr>
            <w:tcW w:w="11600" w:type="dxa"/>
            <w:gridSpan w:val="12"/>
            <w:tcBorders>
              <w:bottom w:val="single" w:sz="4" w:space="0" w:color="auto"/>
            </w:tcBorders>
            <w:shd w:val="clear" w:color="auto" w:fill="FFFFFF" w:themeFill="background1"/>
          </w:tcPr>
          <w:p w:rsidR="00734862" w:rsidRPr="00083AD4" w:rsidRDefault="00734862" w:rsidP="00734862">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t>Rritja e konsistencës së praktikës gjyqësore dhe cilësisë së arsyetimit</w:t>
            </w:r>
          </w:p>
          <w:p w:rsidR="00734862" w:rsidRPr="00083AD4" w:rsidRDefault="00734862" w:rsidP="00734862">
            <w:pPr>
              <w:spacing w:line="257" w:lineRule="auto"/>
              <w:jc w:val="both"/>
              <w:rPr>
                <w:rFonts w:ascii="Times New Roman" w:eastAsia="Times New Roman" w:hAnsi="Times New Roman" w:cs="Times New Roman"/>
                <w:color w:val="000000" w:themeColor="text1"/>
                <w:sz w:val="20"/>
                <w:szCs w:val="20"/>
                <w:lang w:val="it-IT"/>
              </w:rPr>
            </w:pPr>
          </w:p>
        </w:tc>
      </w:tr>
      <w:tr w:rsidR="00734862" w:rsidRPr="00385E48" w:rsidTr="00FB2DFB">
        <w:trPr>
          <w:trHeight w:val="176"/>
        </w:trPr>
        <w:tc>
          <w:tcPr>
            <w:tcW w:w="2980" w:type="dxa"/>
            <w:gridSpan w:val="2"/>
            <w:vMerge/>
            <w:shd w:val="clear" w:color="auto" w:fill="FFFFFF" w:themeFill="background1"/>
          </w:tcPr>
          <w:p w:rsidR="00734862" w:rsidRPr="00083AD4" w:rsidRDefault="00734862" w:rsidP="00734862">
            <w:pPr>
              <w:jc w:val="both"/>
              <w:rPr>
                <w:rFonts w:ascii="Times New Roman" w:eastAsia="Times New Roman" w:hAnsi="Times New Roman" w:cs="Times New Roman"/>
                <w:b/>
                <w:bCs/>
                <w:color w:val="000000" w:themeColor="text1"/>
                <w:sz w:val="20"/>
                <w:szCs w:val="20"/>
                <w:lang w:val="it-IT"/>
              </w:rPr>
            </w:pPr>
          </w:p>
        </w:tc>
        <w:tc>
          <w:tcPr>
            <w:tcW w:w="3358" w:type="dxa"/>
            <w:gridSpan w:val="5"/>
            <w:tcBorders>
              <w:bottom w:val="single" w:sz="4" w:space="0" w:color="auto"/>
            </w:tcBorders>
            <w:shd w:val="clear" w:color="auto" w:fill="FFFFFF" w:themeFill="background1"/>
          </w:tcPr>
          <w:p w:rsidR="00734862" w:rsidRPr="00083AD4" w:rsidRDefault="00734862" w:rsidP="00734862">
            <w:pPr>
              <w:jc w:val="both"/>
              <w:rPr>
                <w:rFonts w:ascii="Times New Roman" w:eastAsia="Times New Roman" w:hAnsi="Times New Roman" w:cs="Times New Roman"/>
                <w:color w:val="000000" w:themeColor="text1"/>
                <w:sz w:val="20"/>
                <w:szCs w:val="20"/>
                <w:lang w:val="it-IT"/>
              </w:rPr>
            </w:pPr>
          </w:p>
        </w:tc>
        <w:tc>
          <w:tcPr>
            <w:tcW w:w="3078" w:type="dxa"/>
            <w:gridSpan w:val="3"/>
            <w:shd w:val="clear" w:color="auto" w:fill="FFFFFF" w:themeFill="background1"/>
          </w:tcPr>
          <w:p w:rsidR="00734862" w:rsidRPr="00083AD4" w:rsidRDefault="00734862" w:rsidP="00734862">
            <w:pPr>
              <w:spacing w:after="160" w:line="257" w:lineRule="auto"/>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 xml:space="preserve">KLGJ bën përpjekje për të përmirësuar </w:t>
            </w:r>
            <w:r w:rsidR="00385E48">
              <w:rPr>
                <w:rFonts w:ascii="Times New Roman" w:eastAsia="Times New Roman" w:hAnsi="Times New Roman" w:cs="Times New Roman"/>
                <w:color w:val="000000" w:themeColor="text1"/>
                <w:sz w:val="20"/>
                <w:szCs w:val="20"/>
                <w:lang w:val="it-IT"/>
              </w:rPr>
              <w:t>kërkueshmërinë e vendimeve të Gjykatës së Lartë</w:t>
            </w:r>
            <w:r w:rsidRPr="00083AD4">
              <w:rPr>
                <w:rFonts w:ascii="Times New Roman" w:eastAsia="Times New Roman" w:hAnsi="Times New Roman" w:cs="Times New Roman"/>
                <w:color w:val="000000" w:themeColor="text1"/>
                <w:sz w:val="20"/>
                <w:szCs w:val="20"/>
                <w:lang w:val="it-IT"/>
              </w:rPr>
              <w:t xml:space="preserve"> deri në vitin 2024.</w:t>
            </w:r>
          </w:p>
          <w:p w:rsidR="00734862" w:rsidRDefault="005D2164" w:rsidP="00734862">
            <w:pPr>
              <w:spacing w:after="160" w:line="257"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SHM</w:t>
            </w:r>
            <w:r w:rsidR="00734862">
              <w:rPr>
                <w:rFonts w:ascii="Times New Roman" w:eastAsia="Times New Roman" w:hAnsi="Times New Roman" w:cs="Times New Roman"/>
                <w:color w:val="000000" w:themeColor="text1"/>
                <w:sz w:val="20"/>
                <w:szCs w:val="20"/>
              </w:rPr>
              <w:t xml:space="preserve"> ofron trajnime për hulumtimin dhe analizën e rasteve gjyqësore brenda 2024/2025.</w:t>
            </w:r>
          </w:p>
        </w:tc>
        <w:tc>
          <w:tcPr>
            <w:tcW w:w="5164" w:type="dxa"/>
            <w:gridSpan w:val="4"/>
            <w:shd w:val="clear" w:color="auto" w:fill="FFFFFF" w:themeFill="background1"/>
          </w:tcPr>
          <w:p w:rsidR="00734862" w:rsidRPr="00385E48" w:rsidRDefault="00385E48" w:rsidP="00734862">
            <w:pPr>
              <w:spacing w:line="257" w:lineRule="auto"/>
              <w:jc w:val="both"/>
              <w:rPr>
                <w:rFonts w:ascii="Times New Roman" w:eastAsia="Times New Roman" w:hAnsi="Times New Roman" w:cs="Times New Roman"/>
                <w:color w:val="000000" w:themeColor="text1"/>
                <w:sz w:val="20"/>
                <w:szCs w:val="20"/>
                <w:lang w:val="it-IT"/>
              </w:rPr>
            </w:pPr>
            <w:r w:rsidRPr="00385E48">
              <w:rPr>
                <w:rFonts w:ascii="Times New Roman" w:eastAsia="Times New Roman" w:hAnsi="Times New Roman" w:cs="Times New Roman"/>
                <w:color w:val="000000" w:themeColor="text1"/>
                <w:sz w:val="20"/>
                <w:szCs w:val="20"/>
                <w:lang w:val="it-IT"/>
              </w:rPr>
              <w:t xml:space="preserve">Rritje konsistente e </w:t>
            </w:r>
            <w:r w:rsidR="00734862" w:rsidRPr="00385E48">
              <w:rPr>
                <w:rFonts w:ascii="Times New Roman" w:eastAsia="Times New Roman" w:hAnsi="Times New Roman" w:cs="Times New Roman"/>
                <w:color w:val="000000" w:themeColor="text1"/>
                <w:sz w:val="20"/>
                <w:szCs w:val="20"/>
                <w:lang w:val="it-IT"/>
              </w:rPr>
              <w:t xml:space="preserve"> së praktikës gjyqësore deri në vitin 2025.</w:t>
            </w:r>
          </w:p>
        </w:tc>
      </w:tr>
      <w:tr w:rsidR="00734862" w:rsidRPr="009545A1" w:rsidTr="00734862">
        <w:trPr>
          <w:trHeight w:val="270"/>
        </w:trPr>
        <w:tc>
          <w:tcPr>
            <w:tcW w:w="14580" w:type="dxa"/>
            <w:gridSpan w:val="14"/>
            <w:shd w:val="clear" w:color="auto" w:fill="BDD6EE" w:themeFill="accent1" w:themeFillTint="66"/>
          </w:tcPr>
          <w:p w:rsidR="00734862" w:rsidRPr="0072549B" w:rsidRDefault="00734862" w:rsidP="00734862">
            <w:pPr>
              <w:jc w:val="both"/>
              <w:textAlignment w:val="baseline"/>
              <w:rPr>
                <w:rFonts w:ascii="Times New Roman" w:eastAsia="Times New Roman" w:hAnsi="Times New Roman" w:cs="Times New Roman"/>
                <w:b/>
                <w:bCs/>
                <w:color w:val="000000" w:themeColor="text1"/>
                <w:sz w:val="20"/>
                <w:szCs w:val="20"/>
                <w:lang w:val="en-GB"/>
              </w:rPr>
            </w:pPr>
            <w:r>
              <w:rPr>
                <w:rFonts w:ascii="Times New Roman" w:eastAsia="Times New Roman" w:hAnsi="Times New Roman" w:cs="Times New Roman"/>
                <w:b/>
                <w:bCs/>
                <w:color w:val="000000" w:themeColor="text1"/>
                <w:sz w:val="20"/>
                <w:szCs w:val="20"/>
                <w:lang w:val="en-GB"/>
              </w:rPr>
              <w:t>I. E</w:t>
            </w:r>
            <w:r w:rsidR="00D54D81">
              <w:rPr>
                <w:rFonts w:ascii="Times New Roman" w:eastAsia="Times New Roman" w:hAnsi="Times New Roman" w:cs="Times New Roman"/>
                <w:b/>
                <w:bCs/>
                <w:color w:val="000000" w:themeColor="text1"/>
                <w:sz w:val="20"/>
                <w:szCs w:val="20"/>
                <w:lang w:val="en-GB"/>
              </w:rPr>
              <w:t xml:space="preserve"> </w:t>
            </w:r>
            <w:r w:rsidR="005D2164">
              <w:rPr>
                <w:rFonts w:ascii="Times New Roman" w:eastAsia="Times New Roman" w:hAnsi="Times New Roman" w:cs="Times New Roman"/>
                <w:b/>
                <w:bCs/>
                <w:color w:val="000000" w:themeColor="text1"/>
                <w:sz w:val="20"/>
                <w:szCs w:val="20"/>
                <w:lang w:val="en-GB"/>
              </w:rPr>
              <w:t xml:space="preserve">  </w:t>
            </w:r>
            <w:r w:rsidRPr="002F3911">
              <w:rPr>
                <w:rFonts w:ascii="Times New Roman" w:hAnsi="Times New Roman" w:cs="Times New Roman"/>
                <w:b/>
                <w:bCs/>
                <w:sz w:val="18"/>
                <w:szCs w:val="18"/>
              </w:rPr>
              <w:t>E</w:t>
            </w:r>
            <w:r w:rsidR="005D2164" w:rsidRPr="002F3911">
              <w:rPr>
                <w:rFonts w:ascii="Times New Roman" w:hAnsi="Times New Roman" w:cs="Times New Roman"/>
                <w:b/>
                <w:bCs/>
                <w:sz w:val="18"/>
                <w:szCs w:val="18"/>
              </w:rPr>
              <w:t>FIKASITETI</w:t>
            </w:r>
          </w:p>
        </w:tc>
      </w:tr>
      <w:tr w:rsidR="00734862" w:rsidRPr="009545A1" w:rsidTr="00734862">
        <w:trPr>
          <w:trHeight w:val="270"/>
        </w:trPr>
        <w:tc>
          <w:tcPr>
            <w:tcW w:w="14580" w:type="dxa"/>
            <w:gridSpan w:val="14"/>
            <w:shd w:val="clear" w:color="auto" w:fill="FFFFFF" w:themeFill="background1"/>
          </w:tcPr>
          <w:p w:rsidR="00734862" w:rsidRPr="003662FD" w:rsidRDefault="00734862" w:rsidP="00734862">
            <w:pPr>
              <w:contextualSpacing/>
              <w:jc w:val="both"/>
              <w:textAlignment w:val="baseline"/>
              <w:rPr>
                <w:rFonts w:ascii="Times New Roman" w:eastAsia="Times New Roman" w:hAnsi="Times New Roman" w:cs="Times New Roman"/>
                <w:b/>
                <w:bCs/>
                <w:color w:val="000000" w:themeColor="text1"/>
                <w:sz w:val="20"/>
                <w:szCs w:val="20"/>
                <w:lang w:val="en-GB"/>
              </w:rPr>
            </w:pPr>
            <w:r w:rsidRPr="00FA6486">
              <w:rPr>
                <w:rFonts w:ascii="Times New Roman" w:eastAsia="Times New Roman" w:hAnsi="Times New Roman" w:cs="Times New Roman"/>
                <w:b/>
                <w:bCs/>
                <w:color w:val="000000" w:themeColor="text1"/>
                <w:sz w:val="20"/>
                <w:szCs w:val="20"/>
                <w:lang w:val="en-GB"/>
              </w:rPr>
              <w:t>Qasje strategjike e përmirësuar për të rritur efikasitetin</w:t>
            </w:r>
          </w:p>
        </w:tc>
      </w:tr>
      <w:tr w:rsidR="00734862" w:rsidRPr="00083AD4" w:rsidTr="00FB2DFB">
        <w:trPr>
          <w:trHeight w:val="270"/>
        </w:trPr>
        <w:tc>
          <w:tcPr>
            <w:tcW w:w="2973" w:type="dxa"/>
            <w:shd w:val="clear" w:color="auto" w:fill="FFFFFF" w:themeFill="background1"/>
          </w:tcPr>
          <w:p w:rsidR="00734862" w:rsidRPr="0072549B" w:rsidRDefault="00734862" w:rsidP="00734862">
            <w:pPr>
              <w:contextualSpacing/>
              <w:jc w:val="both"/>
              <w:textAlignment w:val="baseline"/>
              <w:rPr>
                <w:rFonts w:ascii="Times New Roman" w:eastAsia="Times New Roman" w:hAnsi="Times New Roman" w:cs="Times New Roman"/>
                <w:color w:val="000000" w:themeColor="text1"/>
                <w:sz w:val="20"/>
                <w:szCs w:val="20"/>
                <w:lang w:val="en-GB"/>
              </w:rPr>
            </w:pPr>
            <w:r w:rsidRPr="0072549B">
              <w:rPr>
                <w:rFonts w:ascii="Times New Roman" w:eastAsia="Times New Roman" w:hAnsi="Times New Roman" w:cs="Times New Roman"/>
                <w:color w:val="000000" w:themeColor="text1"/>
                <w:sz w:val="20"/>
                <w:szCs w:val="20"/>
                <w:lang w:val="en-GB"/>
              </w:rPr>
              <w:t>.</w:t>
            </w:r>
          </w:p>
        </w:tc>
        <w:tc>
          <w:tcPr>
            <w:tcW w:w="3365" w:type="dxa"/>
            <w:gridSpan w:val="6"/>
            <w:shd w:val="clear" w:color="auto" w:fill="FFFFFF" w:themeFill="background1"/>
          </w:tcPr>
          <w:p w:rsidR="00734862" w:rsidRPr="00596ED9" w:rsidRDefault="00734862" w:rsidP="00734862">
            <w:pPr>
              <w:contextualSpacing/>
              <w:jc w:val="both"/>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Analizë </w:t>
            </w:r>
            <w:r w:rsidR="002F3911">
              <w:rPr>
                <w:rFonts w:ascii="Times New Roman" w:eastAsia="Times New Roman" w:hAnsi="Times New Roman" w:cs="Times New Roman"/>
                <w:color w:val="000000" w:themeColor="text1"/>
                <w:sz w:val="20"/>
                <w:szCs w:val="20"/>
              </w:rPr>
              <w:t>e plotë e kryer nga KLGJ dhe Prokuroria e Përgjithshme</w:t>
            </w:r>
            <w:r w:rsidR="00292183">
              <w:rPr>
                <w:rFonts w:ascii="Times New Roman" w:eastAsia="Times New Roman" w:hAnsi="Times New Roman" w:cs="Times New Roman"/>
                <w:color w:val="000000" w:themeColor="text1"/>
                <w:sz w:val="20"/>
                <w:szCs w:val="20"/>
              </w:rPr>
              <w:t>/Struktura e Posaҫme Antikorrupsion</w:t>
            </w:r>
            <w:r>
              <w:rPr>
                <w:rFonts w:ascii="Times New Roman" w:eastAsia="Times New Roman" w:hAnsi="Times New Roman" w:cs="Times New Roman"/>
                <w:color w:val="000000" w:themeColor="text1"/>
                <w:sz w:val="20"/>
                <w:szCs w:val="20"/>
              </w:rPr>
              <w:t xml:space="preserve"> për përmirësimin e ligjeve procedurale për përfitime të mëtejshme të efikasitetit përmes ndryshimeve në ligjin procedural deri në vitin 2024.</w:t>
            </w:r>
          </w:p>
          <w:p w:rsidR="00734862" w:rsidRDefault="00734862" w:rsidP="00734862">
            <w:pPr>
              <w:contextualSpacing/>
              <w:textAlignment w:val="baseline"/>
              <w:rPr>
                <w:rFonts w:ascii="Times New Roman" w:eastAsia="Times New Roman" w:hAnsi="Times New Roman" w:cs="Times New Roman"/>
                <w:color w:val="000000" w:themeColor="text1"/>
                <w:sz w:val="20"/>
                <w:szCs w:val="20"/>
              </w:rPr>
            </w:pPr>
          </w:p>
          <w:p w:rsidR="00734862" w:rsidRDefault="00734862" w:rsidP="00734862">
            <w:pPr>
              <w:contextualSpacing/>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KL</w:t>
            </w:r>
            <w:r w:rsidR="002F3911">
              <w:rPr>
                <w:rFonts w:ascii="Times New Roman" w:eastAsia="Times New Roman" w:hAnsi="Times New Roman" w:cs="Times New Roman"/>
                <w:color w:val="000000" w:themeColor="text1"/>
                <w:sz w:val="20"/>
                <w:szCs w:val="20"/>
              </w:rPr>
              <w:t>GJ/këshillat e gjykatave dhe Prokuroria e Pergjithshme</w:t>
            </w:r>
            <w:r>
              <w:rPr>
                <w:rFonts w:ascii="Times New Roman" w:eastAsia="Times New Roman" w:hAnsi="Times New Roman" w:cs="Times New Roman"/>
                <w:color w:val="000000" w:themeColor="text1"/>
                <w:sz w:val="20"/>
                <w:szCs w:val="20"/>
              </w:rPr>
              <w:t xml:space="preserve"> zhvillojnë dhe miratojnë një strategji të reduktimit të </w:t>
            </w:r>
            <w:r w:rsidR="00385E48">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/proceseve të mbetura/shpërndarje të barabartë të ngarkesës së punës për gjykatat dhe prokuroritë në të gjitha nivelet brenda vitit 2024, duke përfshirë në veçanti:</w:t>
            </w:r>
          </w:p>
          <w:p w:rsidR="00734862" w:rsidRDefault="00734862" w:rsidP="00734862">
            <w:pPr>
              <w:pStyle w:val="ListParagraph"/>
              <w:numPr>
                <w:ilvl w:val="0"/>
                <w:numId w:val="22"/>
              </w:numP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Masat organizative dhe menaxheriale</w:t>
            </w:r>
          </w:p>
          <w:p w:rsidR="00734862" w:rsidRDefault="005F2CA6" w:rsidP="00734862">
            <w:pPr>
              <w:pStyle w:val="ListParagraph"/>
              <w:numPr>
                <w:ilvl w:val="0"/>
                <w:numId w:val="22"/>
              </w:numP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Menaxhimin e</w:t>
            </w:r>
            <w:r w:rsidR="00734862">
              <w:rPr>
                <w:rFonts w:ascii="Times New Roman" w:eastAsia="Times New Roman" w:hAnsi="Times New Roman" w:cs="Times New Roman"/>
                <w:color w:val="000000" w:themeColor="text1"/>
                <w:sz w:val="20"/>
                <w:szCs w:val="20"/>
              </w:rPr>
              <w:t xml:space="preserve"> gjykimit dhe zvog</w:t>
            </w:r>
            <w:r>
              <w:rPr>
                <w:rFonts w:ascii="Times New Roman" w:eastAsia="Times New Roman" w:hAnsi="Times New Roman" w:cs="Times New Roman"/>
                <w:color w:val="000000" w:themeColor="text1"/>
                <w:sz w:val="20"/>
                <w:szCs w:val="20"/>
              </w:rPr>
              <w:t>ëlimi i numrit të seancave për çështje;</w:t>
            </w:r>
          </w:p>
          <w:p w:rsidR="00734862" w:rsidRDefault="00734862" w:rsidP="00734862">
            <w:pPr>
              <w:pStyle w:val="ListParagraph"/>
              <w:numPr>
                <w:ilvl w:val="0"/>
                <w:numId w:val="22"/>
              </w:numP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Automatizimi përmes </w:t>
            </w:r>
            <w:r>
              <w:rPr>
                <w:rFonts w:ascii="Times New Roman" w:eastAsia="Times New Roman" w:hAnsi="Times New Roman" w:cs="Times New Roman"/>
                <w:color w:val="000000" w:themeColor="text1"/>
                <w:sz w:val="20"/>
                <w:szCs w:val="20"/>
              </w:rPr>
              <w:lastRenderedPageBreak/>
              <w:t>mbështetjes IT</w:t>
            </w:r>
          </w:p>
          <w:p w:rsidR="00734862" w:rsidRDefault="00734862" w:rsidP="00734862">
            <w:pPr>
              <w:pStyle w:val="ListParagraph"/>
              <w:numPr>
                <w:ilvl w:val="0"/>
                <w:numId w:val="22"/>
              </w:numP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Përdorimi i zgjidhjes alternative të mosmarrëveshjeve</w:t>
            </w:r>
          </w:p>
          <w:p w:rsidR="00734862" w:rsidRDefault="00734862" w:rsidP="00734862">
            <w:pPr>
              <w:pStyle w:val="ListParagraph"/>
              <w:numPr>
                <w:ilvl w:val="0"/>
                <w:numId w:val="22"/>
              </w:numP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Standardizimi i proceseve dhe vendimmarrja</w:t>
            </w:r>
          </w:p>
          <w:p w:rsidR="00734862" w:rsidRPr="00083AD4" w:rsidRDefault="00734862" w:rsidP="00734862">
            <w:pPr>
              <w:pStyle w:val="ListParagraph"/>
              <w:numPr>
                <w:ilvl w:val="0"/>
                <w:numId w:val="22"/>
              </w:numPr>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Përdorimi më i mirë i personelit jo-magjistrat</w:t>
            </w:r>
          </w:p>
        </w:tc>
        <w:tc>
          <w:tcPr>
            <w:tcW w:w="3078" w:type="dxa"/>
            <w:gridSpan w:val="3"/>
            <w:shd w:val="clear" w:color="auto" w:fill="FFFFFF" w:themeFill="background1"/>
          </w:tcPr>
          <w:p w:rsidR="00734862" w:rsidRPr="00083AD4" w:rsidRDefault="005F2CA6" w:rsidP="00734862">
            <w:pPr>
              <w:contextualSpacing/>
              <w:textAlignment w:val="baseline"/>
              <w:rPr>
                <w:rFonts w:ascii="Times New Roman" w:eastAsia="Times New Roman" w:hAnsi="Times New Roman" w:cs="Times New Roman"/>
                <w:color w:val="000000" w:themeColor="text1"/>
                <w:sz w:val="20"/>
                <w:szCs w:val="20"/>
                <w:lang w:val="it-IT"/>
              </w:rPr>
            </w:pPr>
            <w:r>
              <w:rPr>
                <w:rFonts w:ascii="Times New Roman" w:eastAsia="Times New Roman" w:hAnsi="Times New Roman" w:cs="Times New Roman"/>
                <w:color w:val="000000" w:themeColor="text1"/>
                <w:sz w:val="20"/>
                <w:szCs w:val="20"/>
                <w:lang w:val="it-IT"/>
              </w:rPr>
              <w:lastRenderedPageBreak/>
              <w:t>Burime të duhura njerëzore dhe mbështetje</w:t>
            </w:r>
            <w:r w:rsidR="00734862" w:rsidRPr="00083AD4">
              <w:rPr>
                <w:rFonts w:ascii="Times New Roman" w:eastAsia="Times New Roman" w:hAnsi="Times New Roman" w:cs="Times New Roman"/>
                <w:color w:val="000000" w:themeColor="text1"/>
                <w:sz w:val="20"/>
                <w:szCs w:val="20"/>
                <w:lang w:val="it-IT"/>
              </w:rPr>
              <w:t xml:space="preserve"> buxhetore për të siguruar zbatimin praktik të strategjisë së efikasitetit/reduktimit të ngarkesës/shpërndarjes së ngarkesës së punës nga 2024.</w:t>
            </w:r>
          </w:p>
          <w:p w:rsidR="00734862" w:rsidRPr="00083AD4" w:rsidRDefault="00734862" w:rsidP="00734862">
            <w:pPr>
              <w:contextualSpacing/>
              <w:textAlignment w:val="baseline"/>
              <w:rPr>
                <w:rFonts w:ascii="Times New Roman" w:eastAsia="Times New Roman" w:hAnsi="Times New Roman" w:cs="Times New Roman"/>
                <w:color w:val="000000" w:themeColor="text1"/>
                <w:sz w:val="20"/>
                <w:szCs w:val="20"/>
                <w:lang w:val="it-IT"/>
              </w:rPr>
            </w:pPr>
          </w:p>
        </w:tc>
        <w:tc>
          <w:tcPr>
            <w:tcW w:w="5164" w:type="dxa"/>
            <w:gridSpan w:val="4"/>
            <w:shd w:val="clear" w:color="auto" w:fill="FFFFFF" w:themeFill="background1"/>
          </w:tcPr>
          <w:p w:rsidR="00734862" w:rsidRPr="00083AD4" w:rsidRDefault="00734862" w:rsidP="00734862">
            <w:pPr>
              <w:contextualSpacing/>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Kuadri i përgjithshëm ligjor dhe institucional dhe kapaciteti për të siguru</w:t>
            </w:r>
            <w:r w:rsidR="002F3911" w:rsidRPr="00083AD4">
              <w:rPr>
                <w:rFonts w:ascii="Times New Roman" w:eastAsia="Times New Roman" w:hAnsi="Times New Roman" w:cs="Times New Roman"/>
                <w:color w:val="000000" w:themeColor="text1"/>
                <w:sz w:val="20"/>
                <w:szCs w:val="20"/>
                <w:lang w:val="it-IT"/>
              </w:rPr>
              <w:t xml:space="preserve">ar reduktimin gradual të </w:t>
            </w:r>
            <w:r w:rsidR="005F2CA6">
              <w:rPr>
                <w:rFonts w:ascii="Times New Roman" w:eastAsia="Times New Roman" w:hAnsi="Times New Roman" w:cs="Times New Roman"/>
                <w:color w:val="000000" w:themeColor="text1"/>
                <w:sz w:val="20"/>
                <w:szCs w:val="20"/>
                <w:lang w:val="it-IT"/>
              </w:rPr>
              <w:t>cçshtjeve të mbartura dhe kohëzgjatja</w:t>
            </w:r>
            <w:r w:rsidR="002F3911" w:rsidRPr="00083AD4">
              <w:rPr>
                <w:rFonts w:ascii="Times New Roman" w:eastAsia="Times New Roman" w:hAnsi="Times New Roman" w:cs="Times New Roman"/>
                <w:color w:val="000000" w:themeColor="text1"/>
                <w:sz w:val="20"/>
                <w:szCs w:val="20"/>
                <w:lang w:val="it-IT"/>
              </w:rPr>
              <w:t xml:space="preserve"> e arsyeshme </w:t>
            </w:r>
            <w:r w:rsidR="005F2CA6">
              <w:rPr>
                <w:rFonts w:ascii="Times New Roman" w:eastAsia="Times New Roman" w:hAnsi="Times New Roman" w:cs="Times New Roman"/>
                <w:color w:val="000000" w:themeColor="text1"/>
                <w:sz w:val="20"/>
                <w:szCs w:val="20"/>
                <w:lang w:val="it-IT"/>
              </w:rPr>
              <w:t xml:space="preserve">e </w:t>
            </w:r>
            <w:r w:rsidR="002F3911" w:rsidRPr="00083AD4">
              <w:rPr>
                <w:rFonts w:ascii="Times New Roman" w:eastAsia="Times New Roman" w:hAnsi="Times New Roman" w:cs="Times New Roman"/>
                <w:color w:val="000000" w:themeColor="text1"/>
                <w:sz w:val="20"/>
                <w:szCs w:val="20"/>
                <w:lang w:val="it-IT"/>
              </w:rPr>
              <w:t xml:space="preserve">procedurave </w:t>
            </w:r>
            <w:r w:rsidRPr="00083AD4">
              <w:rPr>
                <w:rFonts w:ascii="Times New Roman" w:eastAsia="Times New Roman" w:hAnsi="Times New Roman" w:cs="Times New Roman"/>
                <w:color w:val="000000" w:themeColor="text1"/>
                <w:sz w:val="20"/>
                <w:szCs w:val="20"/>
                <w:lang w:val="it-IT"/>
              </w:rPr>
              <w:t>në proporcion me rritjen e personelit në gjykata d</w:t>
            </w:r>
            <w:r w:rsidR="002F3911" w:rsidRPr="00083AD4">
              <w:rPr>
                <w:rFonts w:ascii="Times New Roman" w:eastAsia="Times New Roman" w:hAnsi="Times New Roman" w:cs="Times New Roman"/>
                <w:color w:val="000000" w:themeColor="text1"/>
                <w:sz w:val="20"/>
                <w:szCs w:val="20"/>
                <w:lang w:val="it-IT"/>
              </w:rPr>
              <w:t xml:space="preserve">he prokurori do të përmirsohet </w:t>
            </w:r>
            <w:r w:rsidRPr="00083AD4">
              <w:rPr>
                <w:rFonts w:ascii="Times New Roman" w:eastAsia="Times New Roman" w:hAnsi="Times New Roman" w:cs="Times New Roman"/>
                <w:color w:val="000000" w:themeColor="text1"/>
                <w:sz w:val="20"/>
                <w:szCs w:val="20"/>
                <w:lang w:val="it-IT"/>
              </w:rPr>
              <w:t>deri në vitin 2030.</w:t>
            </w:r>
          </w:p>
          <w:p w:rsidR="00734862" w:rsidRPr="00083AD4" w:rsidRDefault="00734862" w:rsidP="00734862">
            <w:pPr>
              <w:contextualSpacing/>
              <w:textAlignment w:val="baseline"/>
              <w:rPr>
                <w:rFonts w:ascii="Times New Roman" w:eastAsia="Times New Roman" w:hAnsi="Times New Roman" w:cs="Times New Roman"/>
                <w:color w:val="000000" w:themeColor="text1"/>
                <w:sz w:val="20"/>
                <w:szCs w:val="20"/>
                <w:lang w:val="it-IT"/>
              </w:rPr>
            </w:pPr>
          </w:p>
        </w:tc>
      </w:tr>
      <w:tr w:rsidR="00734862" w:rsidRPr="00083AD4" w:rsidTr="00734862">
        <w:trPr>
          <w:trHeight w:val="270"/>
        </w:trPr>
        <w:tc>
          <w:tcPr>
            <w:tcW w:w="14580" w:type="dxa"/>
            <w:gridSpan w:val="14"/>
            <w:shd w:val="clear" w:color="auto" w:fill="FFFFFF" w:themeFill="background1"/>
          </w:tcPr>
          <w:p w:rsidR="00734862" w:rsidRPr="00083AD4" w:rsidRDefault="00734862" w:rsidP="00734862">
            <w:pPr>
              <w:contextualSpacing/>
              <w:jc w:val="both"/>
              <w:textAlignment w:val="baseline"/>
              <w:rPr>
                <w:rFonts w:ascii="Times New Roman" w:eastAsia="Times New Roman" w:hAnsi="Times New Roman" w:cs="Times New Roman"/>
                <w:b/>
                <w:bCs/>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t>Harta gjyqësore e zbatuar dhe rivlerësuar periodikisht</w:t>
            </w:r>
          </w:p>
        </w:tc>
      </w:tr>
      <w:tr w:rsidR="00734862" w:rsidRPr="00083AD4" w:rsidTr="00FB2DFB">
        <w:trPr>
          <w:trHeight w:val="270"/>
        </w:trPr>
        <w:tc>
          <w:tcPr>
            <w:tcW w:w="2973" w:type="dxa"/>
            <w:shd w:val="clear" w:color="auto" w:fill="FFFFFF" w:themeFill="background1"/>
          </w:tcPr>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p>
        </w:tc>
        <w:tc>
          <w:tcPr>
            <w:tcW w:w="3365" w:type="dxa"/>
            <w:gridSpan w:val="6"/>
            <w:shd w:val="clear" w:color="auto" w:fill="FFFFFF" w:themeFill="background1"/>
          </w:tcPr>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p>
        </w:tc>
        <w:tc>
          <w:tcPr>
            <w:tcW w:w="3078" w:type="dxa"/>
            <w:gridSpan w:val="3"/>
            <w:shd w:val="clear" w:color="auto" w:fill="FFFFFF" w:themeFill="background1"/>
          </w:tcPr>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Burimet e duhura njerëzore dhe mbështetja buxhetore sigurohet për zbatimin praktik të hartës së re gjyqësore deri në vitin 2024.</w:t>
            </w:r>
          </w:p>
          <w:p w:rsidR="00292183" w:rsidRPr="00083AD4" w:rsidRDefault="00292183" w:rsidP="00734862">
            <w:pPr>
              <w:contextualSpacing/>
              <w:jc w:val="both"/>
              <w:textAlignment w:val="baseline"/>
              <w:rPr>
                <w:rFonts w:ascii="Times New Roman" w:eastAsia="Times New Roman" w:hAnsi="Times New Roman" w:cs="Times New Roman"/>
                <w:color w:val="000000" w:themeColor="text1"/>
                <w:sz w:val="20"/>
                <w:szCs w:val="20"/>
                <w:lang w:val="it-IT"/>
              </w:rPr>
            </w:pPr>
          </w:p>
          <w:p w:rsidR="00734862" w:rsidRPr="00083AD4" w:rsidRDefault="00292183" w:rsidP="00734862">
            <w:pPr>
              <w:contextualSpacing/>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Prokuroria e Përgjithshme-</w:t>
            </w:r>
            <w:r w:rsidR="00734862" w:rsidRPr="00083AD4">
              <w:rPr>
                <w:rFonts w:ascii="Times New Roman" w:eastAsia="Times New Roman" w:hAnsi="Times New Roman" w:cs="Times New Roman"/>
                <w:color w:val="000000" w:themeColor="text1"/>
                <w:sz w:val="20"/>
                <w:szCs w:val="20"/>
                <w:lang w:val="it-IT"/>
              </w:rPr>
              <w:t xml:space="preserve"> ndërmerr masa organizative dhe proceduriale me qëllim koordinimin dhe monitorimin e zbatimit të hartës së re gjyqësore në Prokuroritë brenda vitit 2024.</w:t>
            </w:r>
          </w:p>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p>
          <w:p w:rsidR="00734862" w:rsidRPr="00083AD4" w:rsidRDefault="00292183" w:rsidP="00734862">
            <w:pPr>
              <w:contextualSpacing/>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KLGJ dhe PP</w:t>
            </w:r>
            <w:r w:rsidR="00734862" w:rsidRPr="00083AD4">
              <w:rPr>
                <w:rFonts w:ascii="Times New Roman" w:eastAsia="Times New Roman" w:hAnsi="Times New Roman" w:cs="Times New Roman"/>
                <w:color w:val="000000" w:themeColor="text1"/>
                <w:sz w:val="20"/>
                <w:szCs w:val="20"/>
                <w:lang w:val="it-IT"/>
              </w:rPr>
              <w:t xml:space="preserve"> shoqërojnë zbatimin e hartës gjyqësore me një aktivitet të duhur komunikimi deri në vitin 2024.</w:t>
            </w:r>
          </w:p>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p>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KL</w:t>
            </w:r>
            <w:r w:rsidR="00292183" w:rsidRPr="00083AD4">
              <w:rPr>
                <w:rFonts w:ascii="Times New Roman" w:eastAsia="Times New Roman" w:hAnsi="Times New Roman" w:cs="Times New Roman"/>
                <w:color w:val="000000" w:themeColor="text1"/>
                <w:sz w:val="20"/>
                <w:szCs w:val="20"/>
                <w:lang w:val="it-IT"/>
              </w:rPr>
              <w:t>GJ dhe SHM</w:t>
            </w:r>
            <w:r w:rsidRPr="00083AD4">
              <w:rPr>
                <w:rFonts w:ascii="Times New Roman" w:eastAsia="Times New Roman" w:hAnsi="Times New Roman" w:cs="Times New Roman"/>
                <w:color w:val="000000" w:themeColor="text1"/>
                <w:sz w:val="20"/>
                <w:szCs w:val="20"/>
                <w:lang w:val="it-IT"/>
              </w:rPr>
              <w:t xml:space="preserve"> shqyrtojnë hartën gjyqësore në afatin e parashikuar me ligj.</w:t>
            </w:r>
          </w:p>
        </w:tc>
        <w:tc>
          <w:tcPr>
            <w:tcW w:w="5164" w:type="dxa"/>
            <w:gridSpan w:val="4"/>
            <w:shd w:val="clear" w:color="auto" w:fill="FFFFFF" w:themeFill="background1"/>
          </w:tcPr>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Zbatimi dhe rishikimi konsistent i hartës gjyqësore ndërmerret dhe i komunikohet vazhdimisht publikut.</w:t>
            </w:r>
          </w:p>
        </w:tc>
      </w:tr>
      <w:tr w:rsidR="00734862" w:rsidRPr="00083AD4" w:rsidTr="00734862">
        <w:trPr>
          <w:trHeight w:val="270"/>
        </w:trPr>
        <w:tc>
          <w:tcPr>
            <w:tcW w:w="14580" w:type="dxa"/>
            <w:gridSpan w:val="14"/>
            <w:shd w:val="clear" w:color="auto" w:fill="FFFFFF" w:themeFill="background1"/>
          </w:tcPr>
          <w:p w:rsidR="00734862" w:rsidRPr="00083AD4" w:rsidRDefault="00292183" w:rsidP="00734862">
            <w:pPr>
              <w:contextualSpacing/>
              <w:jc w:val="both"/>
              <w:textAlignment w:val="baseline"/>
              <w:rPr>
                <w:rFonts w:ascii="Times New Roman" w:eastAsia="Times New Roman" w:hAnsi="Times New Roman" w:cs="Times New Roman"/>
                <w:b/>
                <w:bCs/>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t>Përmirësimi i qasjes s</w:t>
            </w:r>
            <w:r w:rsidR="00734862" w:rsidRPr="00083AD4">
              <w:rPr>
                <w:rFonts w:ascii="Times New Roman" w:eastAsia="Times New Roman" w:hAnsi="Times New Roman" w:cs="Times New Roman"/>
                <w:b/>
                <w:bCs/>
                <w:color w:val="000000" w:themeColor="text1"/>
                <w:sz w:val="20"/>
                <w:szCs w:val="20"/>
                <w:lang w:val="it-IT"/>
              </w:rPr>
              <w:t>ë zgjidhjes alternative të mosmarrëveshjeve</w:t>
            </w:r>
          </w:p>
        </w:tc>
      </w:tr>
      <w:tr w:rsidR="00734862" w:rsidRPr="00083AD4" w:rsidTr="00FB2DFB">
        <w:trPr>
          <w:trHeight w:val="270"/>
        </w:trPr>
        <w:tc>
          <w:tcPr>
            <w:tcW w:w="2973" w:type="dxa"/>
            <w:shd w:val="clear" w:color="auto" w:fill="FFFFFF" w:themeFill="background1"/>
          </w:tcPr>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p>
        </w:tc>
        <w:tc>
          <w:tcPr>
            <w:tcW w:w="3365" w:type="dxa"/>
            <w:gridSpan w:val="6"/>
            <w:shd w:val="clear" w:color="auto" w:fill="FFFFFF" w:themeFill="background1"/>
          </w:tcPr>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p>
        </w:tc>
        <w:tc>
          <w:tcPr>
            <w:tcW w:w="3078" w:type="dxa"/>
            <w:gridSpan w:val="3"/>
            <w:shd w:val="clear" w:color="auto" w:fill="FFFFFF" w:themeFill="background1"/>
          </w:tcPr>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Dhoma e Ndërmjetësuesve vazhdon të forcojë sistemin e ndërmjetësimit duke</w:t>
            </w:r>
          </w:p>
          <w:p w:rsidR="00734862" w:rsidRPr="00083AD4" w:rsidRDefault="006B4F63" w:rsidP="00734862">
            <w:pPr>
              <w:contextualSpacing/>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-vazhduar</w:t>
            </w:r>
            <w:r w:rsidR="00897C18">
              <w:rPr>
                <w:rFonts w:ascii="Times New Roman" w:eastAsia="Times New Roman" w:hAnsi="Times New Roman" w:cs="Times New Roman"/>
                <w:color w:val="000000" w:themeColor="text1"/>
                <w:sz w:val="20"/>
                <w:szCs w:val="20"/>
                <w:lang w:val="it-IT"/>
              </w:rPr>
              <w:t xml:space="preserve"> ofrimin e</w:t>
            </w:r>
            <w:r w:rsidR="00734862" w:rsidRPr="00083AD4">
              <w:rPr>
                <w:rFonts w:ascii="Times New Roman" w:eastAsia="Times New Roman" w:hAnsi="Times New Roman" w:cs="Times New Roman"/>
                <w:color w:val="000000" w:themeColor="text1"/>
                <w:sz w:val="20"/>
                <w:szCs w:val="20"/>
                <w:lang w:val="it-IT"/>
              </w:rPr>
              <w:t xml:space="preserve"> trajnimeve fillestare dhe të vazhdueshme për n</w:t>
            </w:r>
            <w:r w:rsidR="00897C18">
              <w:rPr>
                <w:rFonts w:ascii="Times New Roman" w:eastAsia="Times New Roman" w:hAnsi="Times New Roman" w:cs="Times New Roman"/>
                <w:color w:val="000000" w:themeColor="text1"/>
                <w:sz w:val="20"/>
                <w:szCs w:val="20"/>
                <w:lang w:val="it-IT"/>
              </w:rPr>
              <w:t>dërmjetësuesit kandidatë dhe të diplomuar</w:t>
            </w:r>
          </w:p>
          <w:p w:rsidR="00734862" w:rsidRPr="00083AD4" w:rsidRDefault="00897C18" w:rsidP="00734862">
            <w:pPr>
              <w:contextualSpacing/>
              <w:jc w:val="both"/>
              <w:textAlignment w:val="baseline"/>
              <w:rPr>
                <w:rFonts w:ascii="Times New Roman" w:eastAsia="Times New Roman" w:hAnsi="Times New Roman" w:cs="Times New Roman"/>
                <w:color w:val="000000" w:themeColor="text1"/>
                <w:sz w:val="20"/>
                <w:szCs w:val="20"/>
                <w:lang w:val="it-IT"/>
              </w:rPr>
            </w:pPr>
            <w:r>
              <w:rPr>
                <w:rFonts w:ascii="Times New Roman" w:eastAsia="Times New Roman" w:hAnsi="Times New Roman" w:cs="Times New Roman"/>
                <w:color w:val="000000" w:themeColor="text1"/>
                <w:sz w:val="20"/>
                <w:szCs w:val="20"/>
                <w:lang w:val="it-IT"/>
              </w:rPr>
              <w:t>- kryer</w:t>
            </w:r>
            <w:r w:rsidR="00734862" w:rsidRPr="00083AD4">
              <w:rPr>
                <w:rFonts w:ascii="Times New Roman" w:eastAsia="Times New Roman" w:hAnsi="Times New Roman" w:cs="Times New Roman"/>
                <w:color w:val="000000" w:themeColor="text1"/>
                <w:sz w:val="20"/>
                <w:szCs w:val="20"/>
                <w:lang w:val="it-IT"/>
              </w:rPr>
              <w:t xml:space="preserve"> fushata ndërgjegjësuese për ndërmjetësimin</w:t>
            </w:r>
          </w:p>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p>
          <w:p w:rsidR="00897C18" w:rsidRDefault="00734862" w:rsidP="00897C18">
            <w:pPr>
              <w:contextualSpacing/>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lastRenderedPageBreak/>
              <w:t xml:space="preserve">Detyrimi ligjor nga gjykatat për të informuar siç duhet palët për mundësinë e përdorimit të ndërmjetësimit </w:t>
            </w:r>
          </w:p>
          <w:p w:rsidR="00897C18" w:rsidRDefault="00897C18" w:rsidP="00897C18">
            <w:pPr>
              <w:pStyle w:val="ListParagraph"/>
              <w:numPr>
                <w:ilvl w:val="0"/>
                <w:numId w:val="9"/>
              </w:numPr>
              <w:jc w:val="both"/>
              <w:textAlignment w:val="baseline"/>
              <w:rPr>
                <w:rFonts w:ascii="Times New Roman" w:eastAsia="Times New Roman" w:hAnsi="Times New Roman" w:cs="Times New Roman"/>
                <w:color w:val="000000" w:themeColor="text1"/>
                <w:sz w:val="20"/>
                <w:szCs w:val="20"/>
                <w:lang w:val="it-IT"/>
              </w:rPr>
            </w:pPr>
            <w:r>
              <w:rPr>
                <w:rFonts w:ascii="Times New Roman" w:eastAsia="Times New Roman" w:hAnsi="Times New Roman" w:cs="Times New Roman"/>
                <w:color w:val="000000" w:themeColor="text1"/>
                <w:sz w:val="20"/>
                <w:szCs w:val="20"/>
                <w:lang w:val="it-IT"/>
              </w:rPr>
              <w:t xml:space="preserve">merret parasysh nga KLGJ ne vlerësimin e performaancës </w:t>
            </w:r>
          </w:p>
          <w:p w:rsidR="00734862" w:rsidRPr="00083AD4" w:rsidRDefault="00897C18" w:rsidP="00897C18">
            <w:pPr>
              <w:pStyle w:val="ListParagraph"/>
              <w:ind w:left="410"/>
              <w:jc w:val="both"/>
              <w:textAlignment w:val="baseline"/>
              <w:rPr>
                <w:rFonts w:ascii="Times New Roman" w:eastAsia="Times New Roman" w:hAnsi="Times New Roman" w:cs="Times New Roman"/>
                <w:color w:val="000000" w:themeColor="text1"/>
                <w:sz w:val="20"/>
                <w:szCs w:val="20"/>
                <w:lang w:val="it-IT"/>
              </w:rPr>
            </w:pPr>
            <w:r>
              <w:rPr>
                <w:rFonts w:ascii="Times New Roman" w:eastAsia="Times New Roman" w:hAnsi="Times New Roman" w:cs="Times New Roman"/>
                <w:color w:val="000000" w:themeColor="text1"/>
                <w:sz w:val="20"/>
                <w:szCs w:val="20"/>
                <w:lang w:val="it-IT"/>
              </w:rPr>
              <w:t xml:space="preserve">- </w:t>
            </w:r>
            <w:r w:rsidR="006B4F63" w:rsidRPr="00083AD4">
              <w:rPr>
                <w:rFonts w:ascii="Times New Roman" w:eastAsia="Times New Roman" w:hAnsi="Times New Roman" w:cs="Times New Roman"/>
                <w:color w:val="000000" w:themeColor="text1"/>
                <w:sz w:val="20"/>
                <w:szCs w:val="20"/>
                <w:lang w:val="it-IT"/>
              </w:rPr>
              <w:t>Vlerësohet periodikisht nga ILD</w:t>
            </w:r>
            <w:r w:rsidR="00734862" w:rsidRPr="00083AD4">
              <w:rPr>
                <w:rFonts w:ascii="Times New Roman" w:eastAsia="Times New Roman" w:hAnsi="Times New Roman" w:cs="Times New Roman"/>
                <w:color w:val="000000" w:themeColor="text1"/>
                <w:sz w:val="20"/>
                <w:szCs w:val="20"/>
                <w:lang w:val="it-IT"/>
              </w:rPr>
              <w:t xml:space="preserve"> në kuadër të inspektimeve tematike</w:t>
            </w:r>
          </w:p>
        </w:tc>
        <w:tc>
          <w:tcPr>
            <w:tcW w:w="5164" w:type="dxa"/>
            <w:gridSpan w:val="4"/>
            <w:shd w:val="clear" w:color="auto" w:fill="FFFFFF" w:themeFill="background1"/>
          </w:tcPr>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lastRenderedPageBreak/>
              <w:t>Mjetet alternative të zgjidhjes së mosmarrëveshjeve janë gjithnjë e më konsistente dhe mundësia e përdorimit të zgjidhjes alternative të mosmarrëveshjeve u komunikohet vazhdimisht</w:t>
            </w:r>
            <w:r w:rsidR="006B4F63" w:rsidRPr="00083AD4">
              <w:rPr>
                <w:rFonts w:ascii="Times New Roman" w:eastAsia="Times New Roman" w:hAnsi="Times New Roman" w:cs="Times New Roman"/>
                <w:color w:val="000000" w:themeColor="text1"/>
                <w:sz w:val="20"/>
                <w:szCs w:val="20"/>
                <w:lang w:val="it-IT"/>
              </w:rPr>
              <w:t xml:space="preserve"> palëve nga gjykatat, nga</w:t>
            </w:r>
            <w:r w:rsidRPr="00083AD4">
              <w:rPr>
                <w:rFonts w:ascii="Times New Roman" w:eastAsia="Times New Roman" w:hAnsi="Times New Roman" w:cs="Times New Roman"/>
                <w:color w:val="000000" w:themeColor="text1"/>
                <w:sz w:val="20"/>
                <w:szCs w:val="20"/>
                <w:lang w:val="it-IT"/>
              </w:rPr>
              <w:t xml:space="preserve"> 2025 e në vazhdim.</w:t>
            </w:r>
          </w:p>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p>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p>
        </w:tc>
      </w:tr>
      <w:tr w:rsidR="00734862" w:rsidRPr="00083AD4" w:rsidTr="00734862">
        <w:trPr>
          <w:trHeight w:val="270"/>
        </w:trPr>
        <w:tc>
          <w:tcPr>
            <w:tcW w:w="14580" w:type="dxa"/>
            <w:gridSpan w:val="14"/>
            <w:shd w:val="clear" w:color="auto" w:fill="FFFFFF" w:themeFill="background1"/>
          </w:tcPr>
          <w:p w:rsidR="00734862" w:rsidRPr="00083AD4" w:rsidRDefault="00734862" w:rsidP="00734862">
            <w:pPr>
              <w:contextualSpacing/>
              <w:jc w:val="both"/>
              <w:textAlignment w:val="baseline"/>
              <w:rPr>
                <w:rFonts w:ascii="Times New Roman" w:eastAsia="Times New Roman" w:hAnsi="Times New Roman" w:cs="Times New Roman"/>
                <w:b/>
                <w:bCs/>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t>Mbështetje e efikasitetit nëpërmjet teknologjisë së informacionit dhe komunikimit</w:t>
            </w:r>
          </w:p>
        </w:tc>
      </w:tr>
      <w:tr w:rsidR="00734862" w:rsidRPr="00083AD4" w:rsidTr="00FB2DFB">
        <w:trPr>
          <w:trHeight w:val="1833"/>
        </w:trPr>
        <w:tc>
          <w:tcPr>
            <w:tcW w:w="2973" w:type="dxa"/>
            <w:shd w:val="clear" w:color="auto" w:fill="FFFFFF" w:themeFill="background1"/>
          </w:tcPr>
          <w:p w:rsidR="00734862" w:rsidRPr="00083AD4" w:rsidRDefault="00734862" w:rsidP="00734862">
            <w:pPr>
              <w:contextualSpacing/>
              <w:jc w:val="both"/>
              <w:textAlignment w:val="baseline"/>
              <w:rPr>
                <w:rFonts w:ascii="Times New Roman" w:eastAsia="Times New Roman" w:hAnsi="Times New Roman" w:cs="Times New Roman"/>
                <w:b/>
                <w:bCs/>
                <w:color w:val="000000" w:themeColor="text1"/>
                <w:sz w:val="20"/>
                <w:szCs w:val="20"/>
                <w:lang w:val="it-IT"/>
              </w:rPr>
            </w:pPr>
          </w:p>
        </w:tc>
        <w:tc>
          <w:tcPr>
            <w:tcW w:w="3365" w:type="dxa"/>
            <w:gridSpan w:val="6"/>
            <w:shd w:val="clear" w:color="auto" w:fill="FFFFFF" w:themeFill="background1"/>
          </w:tcPr>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Dizajni i sistemit të integruar të menaxhimit të rasteve (ICMIS), duke përfshirë hartimin e të gjitha proceseve, detajet e funksionaliteteve është përf</w:t>
            </w:r>
            <w:r w:rsidR="006B4F63" w:rsidRPr="00083AD4">
              <w:rPr>
                <w:rFonts w:ascii="Times New Roman" w:eastAsia="Times New Roman" w:hAnsi="Times New Roman" w:cs="Times New Roman"/>
                <w:color w:val="000000" w:themeColor="text1"/>
                <w:sz w:val="20"/>
                <w:szCs w:val="20"/>
                <w:lang w:val="it-IT"/>
              </w:rPr>
              <w:t>unduar nga Bordi i Qendrës së IT</w:t>
            </w:r>
            <w:r w:rsidRPr="00083AD4">
              <w:rPr>
                <w:rFonts w:ascii="Times New Roman" w:eastAsia="Times New Roman" w:hAnsi="Times New Roman" w:cs="Times New Roman"/>
                <w:color w:val="000000" w:themeColor="text1"/>
                <w:sz w:val="20"/>
                <w:szCs w:val="20"/>
                <w:lang w:val="it-IT"/>
              </w:rPr>
              <w:t>-së brenda vitit 2024.</w:t>
            </w:r>
          </w:p>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p>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Plani strategjik për zbatimin e sistemit të teknologjisë së informacionit duke përfshirë ndërveprueshmërinë në sistemin e drejtësisë, përfshirë prokurorinë e gjykatave dhe institucionet e tjera të drejtësisë, miratohet nga Bordi i Qendrës së IT brenda vitit 2024.</w:t>
            </w:r>
          </w:p>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p>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p>
        </w:tc>
        <w:tc>
          <w:tcPr>
            <w:tcW w:w="3078" w:type="dxa"/>
            <w:gridSpan w:val="3"/>
            <w:shd w:val="clear" w:color="auto" w:fill="FFFFFF" w:themeFill="background1"/>
          </w:tcPr>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Burimet adekuate njerëzore dhe mbështetja buxhetore ndahen brenda 5 viteve nga ndarja e fondeve të dedikuara për projektin ICMIS dhe ndërveprueshmërinë.</w:t>
            </w:r>
          </w:p>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p>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Qendra e IT siguron koordinimin e duhur në zbatimin e sistemeve të menaxhimit të rasteve brenda vitit 2024 e në vazhdim.</w:t>
            </w:r>
          </w:p>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p>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Trajnimi është ofruar për funksionet dhe përdorimin e sistemit të integruar të menaxhimit të rasteve brenda 5 viteve nga ndarja e fondeve të dedikuara për projektin ICMIS.</w:t>
            </w:r>
          </w:p>
        </w:tc>
        <w:tc>
          <w:tcPr>
            <w:tcW w:w="5164" w:type="dxa"/>
            <w:gridSpan w:val="4"/>
            <w:shd w:val="clear" w:color="auto" w:fill="FFFFFF" w:themeFill="background1"/>
          </w:tcPr>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Efikasiteti po rritet vazhdimisht përmes zbatimit të duhur të sistemeve të menaxhimit të rasteve deri në vitin 2030.</w:t>
            </w:r>
          </w:p>
          <w:p w:rsidR="00734862" w:rsidRPr="00083AD4" w:rsidRDefault="00734862" w:rsidP="00734862">
            <w:pPr>
              <w:contextualSpacing/>
              <w:jc w:val="both"/>
              <w:textAlignment w:val="baseline"/>
              <w:rPr>
                <w:rFonts w:ascii="Times New Roman" w:eastAsia="Times New Roman" w:hAnsi="Times New Roman" w:cs="Times New Roman"/>
                <w:color w:val="000000" w:themeColor="text1"/>
                <w:sz w:val="20"/>
                <w:szCs w:val="20"/>
                <w:lang w:val="it-IT"/>
              </w:rPr>
            </w:pPr>
          </w:p>
        </w:tc>
      </w:tr>
      <w:tr w:rsidR="00734862" w:rsidRPr="009545A1" w:rsidTr="00734862">
        <w:trPr>
          <w:trHeight w:val="260"/>
        </w:trPr>
        <w:tc>
          <w:tcPr>
            <w:tcW w:w="14580" w:type="dxa"/>
            <w:gridSpan w:val="14"/>
            <w:shd w:val="clear" w:color="auto" w:fill="BDD6EE" w:themeFill="accent1" w:themeFillTint="66"/>
          </w:tcPr>
          <w:p w:rsidR="00734862" w:rsidRPr="00207821" w:rsidRDefault="00D54D81" w:rsidP="00734862">
            <w:pPr>
              <w:pStyle w:val="ListParagraph"/>
              <w:numPr>
                <w:ilvl w:val="0"/>
                <w:numId w:val="10"/>
              </w:numPr>
              <w:jc w:val="both"/>
              <w:textAlignment w:val="baseline"/>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b/>
                <w:bCs/>
                <w:color w:val="000000" w:themeColor="text1"/>
                <w:sz w:val="20"/>
                <w:szCs w:val="20"/>
                <w:lang w:val="en-GB"/>
              </w:rPr>
              <w:t>LUFTA</w:t>
            </w:r>
            <w:r w:rsidR="00734862" w:rsidRPr="00207821">
              <w:rPr>
                <w:rFonts w:ascii="Times New Roman" w:eastAsia="Times New Roman" w:hAnsi="Times New Roman" w:cs="Times New Roman"/>
                <w:b/>
                <w:bCs/>
                <w:color w:val="000000" w:themeColor="text1"/>
                <w:sz w:val="20"/>
                <w:szCs w:val="20"/>
                <w:lang w:val="en-GB"/>
              </w:rPr>
              <w:t xml:space="preserve"> KUNDËR KORRUPSIONIT</w:t>
            </w:r>
          </w:p>
        </w:tc>
      </w:tr>
      <w:tr w:rsidR="00734862" w:rsidRPr="009545A1" w:rsidTr="00FB2DFB">
        <w:trPr>
          <w:trHeight w:val="280"/>
        </w:trPr>
        <w:tc>
          <w:tcPr>
            <w:tcW w:w="2973" w:type="dxa"/>
            <w:vMerge w:val="restart"/>
            <w:shd w:val="clear" w:color="auto" w:fill="auto"/>
          </w:tcPr>
          <w:p w:rsidR="00734862" w:rsidRPr="00AC744C" w:rsidRDefault="00734862" w:rsidP="00734862">
            <w:pPr>
              <w:jc w:val="both"/>
              <w:textAlignment w:val="baseline"/>
              <w:rPr>
                <w:rFonts w:ascii="Times New Roman" w:eastAsia="Times New Roman" w:hAnsi="Times New Roman" w:cs="Times New Roman"/>
                <w:color w:val="000000"/>
                <w:sz w:val="20"/>
                <w:szCs w:val="20"/>
                <w:lang w:val="en-GB"/>
              </w:rPr>
            </w:pPr>
            <w:r w:rsidRPr="00AC744C">
              <w:rPr>
                <w:rFonts w:ascii="Times New Roman" w:eastAsia="Times New Roman" w:hAnsi="Times New Roman" w:cs="Times New Roman"/>
                <w:b/>
                <w:color w:val="000000"/>
                <w:sz w:val="20"/>
                <w:szCs w:val="20"/>
                <w:lang w:val="en-GB"/>
              </w:rPr>
              <w:t>II.1. Kuadri i përgjithshëm</w:t>
            </w:r>
          </w:p>
          <w:p w:rsidR="00734862" w:rsidRPr="00AC744C" w:rsidRDefault="00734862" w:rsidP="00734862">
            <w:pPr>
              <w:jc w:val="both"/>
              <w:textAlignment w:val="baseline"/>
              <w:rPr>
                <w:rFonts w:ascii="Times New Roman" w:eastAsia="Times New Roman" w:hAnsi="Times New Roman" w:cs="Times New Roman"/>
                <w:color w:val="000000"/>
                <w:sz w:val="20"/>
                <w:szCs w:val="20"/>
                <w:lang w:val="en-GB"/>
              </w:rPr>
            </w:pPr>
          </w:p>
          <w:p w:rsidR="00734862" w:rsidRDefault="00734862" w:rsidP="00734862">
            <w:pPr>
              <w:jc w:val="both"/>
              <w:textAlignment w:val="baseline"/>
              <w:rPr>
                <w:rFonts w:ascii="Times New Roman" w:eastAsia="Times New Roman" w:hAnsi="Times New Roman" w:cs="Times New Roman"/>
                <w:color w:val="000000"/>
                <w:sz w:val="20"/>
                <w:szCs w:val="20"/>
                <w:lang w:val="en-GB"/>
              </w:rPr>
            </w:pPr>
            <w:r w:rsidRPr="00AC744C">
              <w:rPr>
                <w:rFonts w:ascii="Times New Roman" w:eastAsia="Times New Roman" w:hAnsi="Times New Roman" w:cs="Times New Roman"/>
                <w:color w:val="000000"/>
                <w:sz w:val="20"/>
                <w:szCs w:val="20"/>
                <w:lang w:val="en-GB"/>
              </w:rPr>
              <w:t>Ekziston një kornizë e fuqishme ligjore dhe politikash kundër korrupsionit dhe është në gjendje të trajtojë në mënyrë efektive korrupsionin në të gjitha nivelet, në përputhje me standardet evropiane dhe ndërkombëtare. Sigurohet monitorimi, vlerësimi dhe koordinimi.</w:t>
            </w:r>
          </w:p>
          <w:p w:rsidR="00734862" w:rsidRDefault="00734862" w:rsidP="00734862">
            <w:pPr>
              <w:jc w:val="both"/>
              <w:textAlignment w:val="baseline"/>
              <w:rPr>
                <w:rFonts w:ascii="Times New Roman" w:eastAsia="Times New Roman" w:hAnsi="Times New Roman" w:cs="Times New Roman"/>
                <w:color w:val="000000"/>
                <w:sz w:val="20"/>
                <w:szCs w:val="20"/>
                <w:lang w:val="en-GB"/>
              </w:rPr>
            </w:pPr>
          </w:p>
          <w:p w:rsidR="00734862" w:rsidRPr="00207821" w:rsidRDefault="00734862" w:rsidP="00FD3945">
            <w:pPr>
              <w:jc w:val="both"/>
              <w:textAlignment w:val="baseline"/>
              <w:rPr>
                <w:rFonts w:ascii="Times New Roman" w:eastAsia="Times New Roman" w:hAnsi="Times New Roman" w:cs="Times New Roman"/>
                <w:b/>
                <w:bCs/>
                <w:color w:val="000000" w:themeColor="text1"/>
                <w:sz w:val="20"/>
                <w:szCs w:val="20"/>
                <w:lang w:val="en-GB"/>
              </w:rPr>
            </w:pPr>
            <w:r w:rsidRPr="00AC744C">
              <w:rPr>
                <w:rFonts w:ascii="Times New Roman" w:eastAsia="Times New Roman" w:hAnsi="Times New Roman" w:cs="Times New Roman"/>
                <w:sz w:val="20"/>
                <w:szCs w:val="20"/>
              </w:rPr>
              <w:lastRenderedPageBreak/>
              <w:t>ILDKPKI duhet të vazhdojë të përmirësojë kapacitetet e saj për të kryer verifikimin efikas të deklaratave të pasurisë dhe interesave private, si dhe duhet të siguro</w:t>
            </w:r>
            <w:r w:rsidR="00FD3945">
              <w:rPr>
                <w:rFonts w:ascii="Times New Roman" w:eastAsia="Times New Roman" w:hAnsi="Times New Roman" w:cs="Times New Roman"/>
                <w:sz w:val="20"/>
                <w:szCs w:val="20"/>
              </w:rPr>
              <w:t>jë</w:t>
            </w:r>
            <w:r w:rsidRPr="00AC744C">
              <w:rPr>
                <w:rFonts w:ascii="Times New Roman" w:eastAsia="Times New Roman" w:hAnsi="Times New Roman" w:cs="Times New Roman"/>
                <w:sz w:val="20"/>
                <w:szCs w:val="20"/>
              </w:rPr>
              <w:t xml:space="preserve"> burimet e nevojshme njerëzore dhe financiare.</w:t>
            </w:r>
          </w:p>
        </w:tc>
        <w:tc>
          <w:tcPr>
            <w:tcW w:w="11607" w:type="dxa"/>
            <w:gridSpan w:val="13"/>
            <w:shd w:val="clear" w:color="auto" w:fill="auto"/>
          </w:tcPr>
          <w:p w:rsidR="00734862" w:rsidRPr="00207821" w:rsidRDefault="00734862" w:rsidP="00734862">
            <w:pPr>
              <w:jc w:val="both"/>
              <w:textAlignment w:val="baseline"/>
              <w:rPr>
                <w:rFonts w:ascii="Times New Roman" w:eastAsia="Times New Roman" w:hAnsi="Times New Roman" w:cs="Times New Roman"/>
                <w:b/>
                <w:bCs/>
                <w:color w:val="000000" w:themeColor="text1"/>
                <w:sz w:val="20"/>
                <w:szCs w:val="20"/>
                <w:lang w:val="en-GB"/>
              </w:rPr>
            </w:pPr>
            <w:r w:rsidRPr="00E13CE2">
              <w:rPr>
                <w:rFonts w:ascii="Times New Roman" w:eastAsia="Arial" w:hAnsi="Times New Roman" w:cs="Times New Roman"/>
                <w:b/>
                <w:bCs/>
                <w:color w:val="000000"/>
                <w:sz w:val="20"/>
                <w:szCs w:val="20"/>
                <w:lang w:val="sq-AL"/>
              </w:rPr>
              <w:lastRenderedPageBreak/>
              <w:t>Kuadri strategjik dhe ligjor për antikorrupsionin është përmirësuar më tej</w:t>
            </w:r>
          </w:p>
        </w:tc>
      </w:tr>
      <w:tr w:rsidR="00734862" w:rsidRPr="00083AD4" w:rsidTr="00FB2DFB">
        <w:trPr>
          <w:trHeight w:val="1833"/>
        </w:trPr>
        <w:tc>
          <w:tcPr>
            <w:tcW w:w="2973" w:type="dxa"/>
            <w:vMerge/>
            <w:shd w:val="clear" w:color="auto" w:fill="auto"/>
          </w:tcPr>
          <w:p w:rsidR="00734862" w:rsidRPr="00AC744C" w:rsidRDefault="00734862" w:rsidP="00734862">
            <w:pPr>
              <w:jc w:val="both"/>
              <w:textAlignment w:val="baseline"/>
              <w:rPr>
                <w:rFonts w:ascii="Times New Roman" w:eastAsia="Times New Roman" w:hAnsi="Times New Roman" w:cs="Times New Roman"/>
                <w:b/>
                <w:color w:val="000000"/>
                <w:sz w:val="20"/>
                <w:szCs w:val="20"/>
                <w:lang w:val="en-GB"/>
              </w:rPr>
            </w:pPr>
          </w:p>
        </w:tc>
        <w:tc>
          <w:tcPr>
            <w:tcW w:w="3365" w:type="dxa"/>
            <w:gridSpan w:val="6"/>
            <w:shd w:val="clear" w:color="auto" w:fill="auto"/>
          </w:tcPr>
          <w:p w:rsidR="00734862" w:rsidRDefault="00734862" w:rsidP="00734862">
            <w:pPr>
              <w:jc w:val="both"/>
              <w:textAlignment w:val="baseline"/>
              <w:rPr>
                <w:rFonts w:ascii="Times New Roman" w:eastAsia="Calibri" w:hAnsi="Times New Roman" w:cs="Times New Roman"/>
                <w:sz w:val="20"/>
                <w:szCs w:val="20"/>
              </w:rPr>
            </w:pPr>
            <w:r>
              <w:rPr>
                <w:rFonts w:ascii="Times New Roman" w:eastAsia="Times New Roman" w:hAnsi="Times New Roman" w:cs="Times New Roman"/>
                <w:sz w:val="20"/>
                <w:szCs w:val="20"/>
                <w:lang w:val="en-GB"/>
              </w:rPr>
              <w:t xml:space="preserve">Mbajtja e </w:t>
            </w:r>
            <w:r w:rsidR="00FD3945">
              <w:rPr>
                <w:rFonts w:ascii="Times New Roman" w:eastAsia="Times New Roman" w:hAnsi="Times New Roman" w:cs="Times New Roman"/>
                <w:sz w:val="20"/>
                <w:szCs w:val="20"/>
                <w:lang w:val="en-GB"/>
              </w:rPr>
              <w:t>rekordeve të</w:t>
            </w:r>
            <w:r>
              <w:rPr>
                <w:rFonts w:ascii="Times New Roman" w:eastAsia="Times New Roman" w:hAnsi="Times New Roman" w:cs="Times New Roman"/>
                <w:sz w:val="20"/>
                <w:szCs w:val="20"/>
                <w:lang w:val="en-GB"/>
              </w:rPr>
              <w:t xml:space="preserve"> mira</w:t>
            </w:r>
            <w:r w:rsidR="00FD3945">
              <w:rPr>
                <w:rFonts w:ascii="Times New Roman" w:eastAsia="Times New Roman" w:hAnsi="Times New Roman" w:cs="Times New Roman"/>
                <w:sz w:val="20"/>
                <w:szCs w:val="20"/>
                <w:lang w:val="en-GB"/>
              </w:rPr>
              <w:t xml:space="preserve"> në adresimin e masave</w:t>
            </w:r>
            <w:r>
              <w:rPr>
                <w:rFonts w:ascii="Times New Roman" w:eastAsia="Times New Roman" w:hAnsi="Times New Roman" w:cs="Times New Roman"/>
                <w:sz w:val="20"/>
                <w:szCs w:val="20"/>
                <w:lang w:val="en-GB"/>
              </w:rPr>
              <w:t xml:space="preserve"> të lidhura me integritetin dhe korrupsionin, rritjen e transparencës dhe llogaridhënies përmes miratimit të Strategjisë Ndërsektoriale Antikorrupsion 2023-2030, në</w:t>
            </w:r>
            <w:r w:rsidR="006B4F63">
              <w:rPr>
                <w:rFonts w:ascii="Times New Roman" w:eastAsia="Times New Roman" w:hAnsi="Times New Roman" w:cs="Times New Roman"/>
                <w:sz w:val="20"/>
                <w:szCs w:val="20"/>
                <w:lang w:val="en-GB"/>
              </w:rPr>
              <w:t xml:space="preserve"> </w:t>
            </w:r>
            <w:r w:rsidRPr="00AC744C">
              <w:rPr>
                <w:rFonts w:ascii="Times New Roman" w:eastAsia="Calibri" w:hAnsi="Times New Roman" w:cs="Times New Roman"/>
                <w:sz w:val="20"/>
                <w:szCs w:val="20"/>
              </w:rPr>
              <w:t>bashkëpunim me organizatat e shoqërisë civile.</w:t>
            </w:r>
          </w:p>
          <w:p w:rsidR="00734862" w:rsidRDefault="00734862" w:rsidP="00734862">
            <w:pPr>
              <w:jc w:val="both"/>
              <w:textAlignment w:val="baseline"/>
              <w:rPr>
                <w:rFonts w:ascii="Times New Roman" w:eastAsia="Calibri" w:hAnsi="Times New Roman" w:cs="Times New Roman"/>
                <w:sz w:val="20"/>
                <w:szCs w:val="20"/>
              </w:rPr>
            </w:pPr>
          </w:p>
          <w:p w:rsidR="00734862" w:rsidRDefault="00734862" w:rsidP="00734862">
            <w:pPr>
              <w:jc w:val="both"/>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 xml:space="preserve">Përafrimi i mëtejshëm me acquis të </w:t>
            </w:r>
            <w:r>
              <w:rPr>
                <w:rFonts w:ascii="Times New Roman" w:eastAsia="Calibri" w:hAnsi="Times New Roman" w:cs="Times New Roman"/>
                <w:sz w:val="20"/>
                <w:szCs w:val="20"/>
              </w:rPr>
              <w:lastRenderedPageBreak/>
              <w:t xml:space="preserve">BE-së dhe Standardet e BE-së për Antikorrupsionin </w:t>
            </w:r>
            <w:r w:rsidR="00FD3945">
              <w:rPr>
                <w:rFonts w:ascii="Times New Roman" w:eastAsia="Calibri" w:hAnsi="Times New Roman" w:cs="Times New Roman"/>
                <w:sz w:val="20"/>
                <w:szCs w:val="20"/>
              </w:rPr>
              <w:t>mundësohet</w:t>
            </w:r>
            <w:r>
              <w:rPr>
                <w:rFonts w:ascii="Times New Roman" w:eastAsia="Calibri" w:hAnsi="Times New Roman" w:cs="Times New Roman"/>
                <w:sz w:val="20"/>
                <w:szCs w:val="20"/>
              </w:rPr>
              <w:t xml:space="preserve"> përmes miratimit të legjislacionit të mëposhtëm:</w:t>
            </w:r>
          </w:p>
          <w:p w:rsidR="00734862" w:rsidRPr="00083AD4" w:rsidRDefault="00734862" w:rsidP="00734862">
            <w:pPr>
              <w:pStyle w:val="ListParagraph"/>
              <w:numPr>
                <w:ilvl w:val="0"/>
                <w:numId w:val="26"/>
              </w:numPr>
              <w:jc w:val="both"/>
              <w:textAlignment w:val="baseline"/>
              <w:rPr>
                <w:rFonts w:ascii="Times New Roman" w:eastAsia="Calibri" w:hAnsi="Times New Roman" w:cs="Times New Roman"/>
                <w:sz w:val="20"/>
                <w:szCs w:val="20"/>
                <w:lang w:val="it-IT"/>
              </w:rPr>
            </w:pPr>
            <w:r w:rsidRPr="00083AD4">
              <w:rPr>
                <w:rFonts w:ascii="Times New Roman" w:eastAsia="Times New Roman" w:hAnsi="Times New Roman" w:cs="Times New Roman"/>
                <w:sz w:val="20"/>
                <w:szCs w:val="20"/>
                <w:lang w:val="it-IT"/>
              </w:rPr>
              <w:t>Ligji për Konfliktin e Interesit i miratuar në vitin 2025</w:t>
            </w:r>
          </w:p>
          <w:p w:rsidR="00734862" w:rsidRPr="00083AD4" w:rsidRDefault="00734862" w:rsidP="00734862">
            <w:pPr>
              <w:pStyle w:val="ListParagraph"/>
              <w:numPr>
                <w:ilvl w:val="0"/>
                <w:numId w:val="26"/>
              </w:numPr>
              <w:jc w:val="both"/>
              <w:textAlignment w:val="baseline"/>
              <w:rPr>
                <w:rFonts w:ascii="Times New Roman" w:eastAsia="Calibri" w:hAnsi="Times New Roman" w:cs="Times New Roman"/>
                <w:sz w:val="20"/>
                <w:szCs w:val="20"/>
                <w:lang w:val="it-IT"/>
              </w:rPr>
            </w:pPr>
            <w:r w:rsidRPr="00083AD4">
              <w:rPr>
                <w:rFonts w:ascii="Times New Roman" w:eastAsia="Times New Roman" w:hAnsi="Times New Roman" w:cs="Times New Roman"/>
                <w:sz w:val="20"/>
                <w:szCs w:val="20"/>
                <w:lang w:val="it-IT"/>
              </w:rPr>
              <w:t>Ligji për financimin e partive politike i miratuar në vitin 2027.</w:t>
            </w:r>
          </w:p>
          <w:p w:rsidR="00734862" w:rsidRPr="00083AD4" w:rsidRDefault="00734862" w:rsidP="00734862">
            <w:pPr>
              <w:pStyle w:val="ListParagraph"/>
              <w:numPr>
                <w:ilvl w:val="0"/>
                <w:numId w:val="26"/>
              </w:numPr>
              <w:jc w:val="both"/>
              <w:textAlignment w:val="baseline"/>
              <w:rPr>
                <w:rFonts w:ascii="Times New Roman" w:eastAsia="Calibri" w:hAnsi="Times New Roman" w:cs="Times New Roman"/>
                <w:sz w:val="20"/>
                <w:szCs w:val="20"/>
                <w:lang w:val="it-IT"/>
              </w:rPr>
            </w:pPr>
            <w:r w:rsidRPr="00C83867">
              <w:rPr>
                <w:rFonts w:ascii="Times New Roman" w:eastAsia="Calibri" w:hAnsi="Times New Roman" w:cs="Times New Roman"/>
                <w:sz w:val="20"/>
                <w:szCs w:val="20"/>
                <w:lang w:val="sq-AL"/>
              </w:rPr>
              <w:t>Metodologjia e përditësuar për kontrollin dhe verifikimin e financave të partive politike deri në vitin 2027.</w:t>
            </w:r>
          </w:p>
          <w:p w:rsidR="00734862" w:rsidRPr="00083AD4" w:rsidRDefault="00734862" w:rsidP="00734862">
            <w:pPr>
              <w:pStyle w:val="ListParagraph"/>
              <w:numPr>
                <w:ilvl w:val="0"/>
                <w:numId w:val="26"/>
              </w:numPr>
              <w:jc w:val="both"/>
              <w:textAlignment w:val="baseline"/>
              <w:rPr>
                <w:rFonts w:ascii="Times New Roman" w:eastAsia="Calibri" w:hAnsi="Times New Roman" w:cs="Times New Roman"/>
                <w:sz w:val="20"/>
                <w:szCs w:val="20"/>
                <w:lang w:val="it-IT"/>
              </w:rPr>
            </w:pPr>
            <w:r w:rsidRPr="00083AD4">
              <w:rPr>
                <w:rFonts w:ascii="Times New Roman" w:eastAsia="Times New Roman" w:hAnsi="Times New Roman" w:cs="Times New Roman"/>
                <w:sz w:val="20"/>
                <w:szCs w:val="20"/>
                <w:lang w:val="it-IT"/>
              </w:rPr>
              <w:t>Ratifikimi i Konve</w:t>
            </w:r>
            <w:r w:rsidR="00023FA4" w:rsidRPr="00083AD4">
              <w:rPr>
                <w:rFonts w:ascii="Times New Roman" w:eastAsia="Times New Roman" w:hAnsi="Times New Roman" w:cs="Times New Roman"/>
                <w:sz w:val="20"/>
                <w:szCs w:val="20"/>
                <w:lang w:val="it-IT"/>
              </w:rPr>
              <w:t>ntës për Luftën kundër korrupsionit</w:t>
            </w:r>
            <w:r w:rsidRPr="00083AD4">
              <w:rPr>
                <w:rFonts w:ascii="Times New Roman" w:eastAsia="Times New Roman" w:hAnsi="Times New Roman" w:cs="Times New Roman"/>
                <w:sz w:val="20"/>
                <w:szCs w:val="20"/>
                <w:lang w:val="it-IT"/>
              </w:rPr>
              <w:t xml:space="preserve"> të zyrtarëve publikë të huaj në transaksionet e biznesit ndërkombëtar deri në vitin 2027.</w:t>
            </w:r>
          </w:p>
          <w:p w:rsidR="00734862" w:rsidRPr="00083AD4" w:rsidRDefault="00734862" w:rsidP="00734862">
            <w:pPr>
              <w:pStyle w:val="ListParagraph"/>
              <w:numPr>
                <w:ilvl w:val="0"/>
                <w:numId w:val="26"/>
              </w:numPr>
              <w:jc w:val="both"/>
              <w:textAlignment w:val="baseline"/>
              <w:rPr>
                <w:rFonts w:ascii="Times New Roman" w:eastAsia="Calibri" w:hAnsi="Times New Roman" w:cs="Times New Roman"/>
                <w:sz w:val="20"/>
                <w:szCs w:val="20"/>
                <w:lang w:val="it-IT"/>
              </w:rPr>
            </w:pPr>
            <w:r w:rsidRPr="00083AD4">
              <w:rPr>
                <w:rFonts w:ascii="Times New Roman" w:eastAsia="Times New Roman" w:hAnsi="Times New Roman" w:cs="Times New Roman"/>
                <w:sz w:val="20"/>
                <w:szCs w:val="20"/>
                <w:lang w:val="it-IT"/>
              </w:rPr>
              <w:t>Amendamentet e ligjit për sinjalizimin dhe mbrojtjen e sinjalizuesve deri në vitin 2025.</w:t>
            </w:r>
          </w:p>
          <w:p w:rsidR="00734862" w:rsidRPr="00083AD4" w:rsidRDefault="00734862" w:rsidP="00734862">
            <w:pPr>
              <w:jc w:val="both"/>
              <w:textAlignment w:val="baseline"/>
              <w:rPr>
                <w:rFonts w:ascii="Times New Roman" w:eastAsia="Times New Roman" w:hAnsi="Times New Roman" w:cs="Times New Roman"/>
                <w:sz w:val="20"/>
                <w:szCs w:val="20"/>
                <w:lang w:val="it-IT"/>
              </w:rPr>
            </w:pPr>
            <w:r w:rsidRPr="00083AD4">
              <w:rPr>
                <w:rFonts w:ascii="Times New Roman" w:eastAsia="Times New Roman" w:hAnsi="Times New Roman" w:cs="Times New Roman"/>
                <w:sz w:val="20"/>
                <w:szCs w:val="20"/>
                <w:lang w:val="it-IT"/>
              </w:rPr>
              <w:t>Ligji për lobim</w:t>
            </w:r>
            <w:r w:rsidR="00FD3945">
              <w:rPr>
                <w:rFonts w:ascii="Times New Roman" w:eastAsia="Times New Roman" w:hAnsi="Times New Roman" w:cs="Times New Roman"/>
                <w:sz w:val="20"/>
                <w:szCs w:val="20"/>
                <w:lang w:val="it-IT"/>
              </w:rPr>
              <w:t>in</w:t>
            </w:r>
            <w:r w:rsidRPr="00083AD4">
              <w:rPr>
                <w:rFonts w:ascii="Times New Roman" w:eastAsia="Times New Roman" w:hAnsi="Times New Roman" w:cs="Times New Roman"/>
                <w:sz w:val="20"/>
                <w:szCs w:val="20"/>
                <w:lang w:val="it-IT"/>
              </w:rPr>
              <w:t xml:space="preserve"> i miratuar në vitin 2027.</w:t>
            </w:r>
          </w:p>
          <w:p w:rsidR="00734862" w:rsidRPr="00083AD4" w:rsidRDefault="00734862" w:rsidP="00734862">
            <w:pPr>
              <w:jc w:val="both"/>
              <w:textAlignment w:val="baseline"/>
              <w:rPr>
                <w:rFonts w:ascii="Times New Roman" w:eastAsia="Times New Roman" w:hAnsi="Times New Roman" w:cs="Times New Roman"/>
                <w:b/>
                <w:bCs/>
                <w:color w:val="000000" w:themeColor="text1"/>
                <w:sz w:val="20"/>
                <w:szCs w:val="20"/>
                <w:lang w:val="it-IT"/>
              </w:rPr>
            </w:pPr>
          </w:p>
        </w:tc>
        <w:tc>
          <w:tcPr>
            <w:tcW w:w="3078" w:type="dxa"/>
            <w:gridSpan w:val="3"/>
            <w:shd w:val="clear" w:color="auto" w:fill="auto"/>
          </w:tcPr>
          <w:p w:rsidR="00734862" w:rsidRDefault="00734862" w:rsidP="00734862">
            <w:pPr>
              <w:tabs>
                <w:tab w:val="left" w:pos="567"/>
              </w:tabs>
              <w:spacing w:after="120"/>
              <w:jc w:val="both"/>
              <w:rPr>
                <w:rFonts w:ascii="Times New Roman" w:eastAsia="Calibri" w:hAnsi="Times New Roman" w:cs="Times New Roman"/>
                <w:bCs/>
                <w:sz w:val="20"/>
                <w:szCs w:val="20"/>
                <w:lang w:val="sq-AL" w:eastAsia="en-GB"/>
              </w:rPr>
            </w:pPr>
            <w:r w:rsidRPr="00AC744C">
              <w:rPr>
                <w:rFonts w:ascii="Times New Roman" w:eastAsia="Calibri" w:hAnsi="Times New Roman" w:cs="Times New Roman"/>
                <w:bCs/>
                <w:sz w:val="20"/>
                <w:szCs w:val="20"/>
                <w:lang w:val="sq-AL" w:eastAsia="en-GB"/>
              </w:rPr>
              <w:lastRenderedPageBreak/>
              <w:t>Forcimi i rrjetit të komunikimit me</w:t>
            </w:r>
            <w:r w:rsidR="00FD3945">
              <w:rPr>
                <w:rFonts w:ascii="Times New Roman" w:eastAsia="Calibri" w:hAnsi="Times New Roman" w:cs="Times New Roman"/>
                <w:bCs/>
                <w:sz w:val="20"/>
                <w:szCs w:val="20"/>
                <w:lang w:val="sq-AL" w:eastAsia="en-GB"/>
              </w:rPr>
              <w:t xml:space="preserve"> rrjetin e</w:t>
            </w:r>
            <w:r w:rsidRPr="00AC744C">
              <w:rPr>
                <w:rFonts w:ascii="Times New Roman" w:eastAsia="Calibri" w:hAnsi="Times New Roman" w:cs="Times New Roman"/>
                <w:bCs/>
                <w:sz w:val="20"/>
                <w:szCs w:val="20"/>
                <w:lang w:val="sq-AL" w:eastAsia="en-GB"/>
              </w:rPr>
              <w:t xml:space="preserve"> OSHC-</w:t>
            </w:r>
            <w:r w:rsidR="00FD3945">
              <w:rPr>
                <w:rFonts w:ascii="Times New Roman" w:eastAsia="Calibri" w:hAnsi="Times New Roman" w:cs="Times New Roman"/>
                <w:bCs/>
                <w:sz w:val="20"/>
                <w:szCs w:val="20"/>
                <w:lang w:val="sq-AL" w:eastAsia="en-GB"/>
              </w:rPr>
              <w:t>ve</w:t>
            </w:r>
            <w:r w:rsidRPr="00AC744C">
              <w:rPr>
                <w:rFonts w:ascii="Times New Roman" w:eastAsia="Calibri" w:hAnsi="Times New Roman" w:cs="Times New Roman"/>
                <w:bCs/>
                <w:sz w:val="20"/>
                <w:szCs w:val="20"/>
                <w:lang w:val="sq-AL" w:eastAsia="en-GB"/>
              </w:rPr>
              <w:t xml:space="preserve"> kundër korrupsionit deri në vitin 2025.</w:t>
            </w:r>
          </w:p>
          <w:p w:rsidR="00734862" w:rsidRDefault="00734862" w:rsidP="00734862">
            <w:pPr>
              <w:tabs>
                <w:tab w:val="left" w:pos="567"/>
              </w:tabs>
              <w:spacing w:after="120"/>
              <w:jc w:val="both"/>
              <w:rPr>
                <w:rFonts w:ascii="Times New Roman" w:eastAsia="Calibri" w:hAnsi="Times New Roman" w:cs="Times New Roman"/>
                <w:bCs/>
                <w:sz w:val="20"/>
                <w:szCs w:val="20"/>
                <w:lang w:val="sq-AL" w:eastAsia="en-GB"/>
              </w:rPr>
            </w:pPr>
          </w:p>
          <w:p w:rsidR="00734862" w:rsidRDefault="00734862" w:rsidP="00734862">
            <w:pPr>
              <w:tabs>
                <w:tab w:val="left" w:pos="567"/>
              </w:tabs>
              <w:spacing w:after="120"/>
              <w:jc w:val="both"/>
              <w:rPr>
                <w:rFonts w:ascii="Times New Roman" w:eastAsia="Calibri" w:hAnsi="Times New Roman" w:cs="Times New Roman"/>
                <w:bCs/>
                <w:sz w:val="20"/>
                <w:szCs w:val="20"/>
                <w:lang w:val="sq-AL" w:eastAsia="en-GB"/>
              </w:rPr>
            </w:pPr>
            <w:r w:rsidRPr="00AC744C">
              <w:rPr>
                <w:rFonts w:ascii="Times New Roman" w:eastAsia="Calibri" w:hAnsi="Times New Roman" w:cs="Times New Roman"/>
                <w:bCs/>
                <w:sz w:val="20"/>
                <w:szCs w:val="20"/>
                <w:lang w:val="sq-AL" w:eastAsia="en-GB"/>
              </w:rPr>
              <w:t>Krijimi i regjistrit të lobimit nga autoritetet qendrore, publik dhe i aksesueshëm online deri në vitin 2027.</w:t>
            </w:r>
          </w:p>
          <w:p w:rsidR="00734862" w:rsidRPr="00083AD4" w:rsidRDefault="00734862" w:rsidP="00734862">
            <w:pPr>
              <w:tabs>
                <w:tab w:val="left" w:pos="567"/>
              </w:tabs>
              <w:spacing w:after="120"/>
              <w:jc w:val="both"/>
              <w:rPr>
                <w:rFonts w:ascii="Times New Roman" w:eastAsia="Times New Roman" w:hAnsi="Times New Roman" w:cs="Times New Roman"/>
                <w:sz w:val="20"/>
                <w:szCs w:val="20"/>
                <w:lang w:val="sq-AL"/>
              </w:rPr>
            </w:pPr>
            <w:r w:rsidRPr="00083AD4">
              <w:rPr>
                <w:rFonts w:ascii="Times New Roman" w:eastAsia="Times New Roman" w:hAnsi="Times New Roman" w:cs="Times New Roman"/>
                <w:color w:val="000000"/>
                <w:sz w:val="20"/>
                <w:szCs w:val="20"/>
                <w:lang w:val="sq-AL"/>
              </w:rPr>
              <w:t>S</w:t>
            </w:r>
            <w:r w:rsidR="00FD3945">
              <w:rPr>
                <w:rFonts w:ascii="Times New Roman" w:eastAsia="Times New Roman" w:hAnsi="Times New Roman" w:cs="Times New Roman"/>
                <w:color w:val="000000"/>
                <w:sz w:val="20"/>
                <w:szCs w:val="20"/>
                <w:lang w:val="sq-AL"/>
              </w:rPr>
              <w:t xml:space="preserve">igurohen burime të qëndrueshme </w:t>
            </w:r>
            <w:r w:rsidR="00FD3945">
              <w:rPr>
                <w:rFonts w:ascii="Times New Roman" w:eastAsia="Times New Roman" w:hAnsi="Times New Roman" w:cs="Times New Roman"/>
                <w:color w:val="000000"/>
                <w:sz w:val="20"/>
                <w:szCs w:val="20"/>
                <w:lang w:val="sq-AL"/>
              </w:rPr>
              <w:lastRenderedPageBreak/>
              <w:t>dhe të përshtatshme</w:t>
            </w:r>
            <w:r w:rsidRPr="00083AD4">
              <w:rPr>
                <w:rFonts w:ascii="Times New Roman" w:eastAsia="Times New Roman" w:hAnsi="Times New Roman" w:cs="Times New Roman"/>
                <w:color w:val="000000"/>
                <w:sz w:val="20"/>
                <w:szCs w:val="20"/>
                <w:lang w:val="sq-AL"/>
              </w:rPr>
              <w:t xml:space="preserve"> për ILDKPKI duke përfshirë kapacitetin e </w:t>
            </w:r>
            <w:r w:rsidR="00FD3945">
              <w:rPr>
                <w:rFonts w:ascii="Times New Roman" w:eastAsia="Times New Roman" w:hAnsi="Times New Roman" w:cs="Times New Roman"/>
                <w:color w:val="000000"/>
                <w:sz w:val="20"/>
                <w:szCs w:val="20"/>
                <w:lang w:val="sq-AL"/>
              </w:rPr>
              <w:t xml:space="preserve">saj </w:t>
            </w:r>
            <w:r w:rsidRPr="00083AD4">
              <w:rPr>
                <w:rFonts w:ascii="Times New Roman" w:eastAsia="Times New Roman" w:hAnsi="Times New Roman" w:cs="Times New Roman"/>
                <w:color w:val="000000"/>
                <w:sz w:val="20"/>
                <w:szCs w:val="20"/>
                <w:lang w:val="sq-AL"/>
              </w:rPr>
              <w:t>në zbatimin e ligjit për sinjalizuesit dhe</w:t>
            </w:r>
            <w:r w:rsidR="00023FA4" w:rsidRPr="00083AD4">
              <w:rPr>
                <w:rFonts w:ascii="Times New Roman" w:eastAsia="Times New Roman" w:hAnsi="Times New Roman" w:cs="Times New Roman"/>
                <w:color w:val="000000"/>
                <w:sz w:val="20"/>
                <w:szCs w:val="20"/>
                <w:lang w:val="sq-AL"/>
              </w:rPr>
              <w:t xml:space="preserve"> </w:t>
            </w:r>
            <w:r w:rsidRPr="00083AD4">
              <w:rPr>
                <w:rFonts w:ascii="Times New Roman" w:eastAsia="Times New Roman" w:hAnsi="Times New Roman" w:cs="Times New Roman"/>
                <w:sz w:val="20"/>
                <w:szCs w:val="20"/>
                <w:lang w:val="sq-AL"/>
              </w:rPr>
              <w:t>kapacitet për të kryer verifikimin efikas të deklaratave të pasurisë brenda vitit 2027.</w:t>
            </w:r>
          </w:p>
          <w:p w:rsidR="00734862" w:rsidRPr="00083AD4" w:rsidRDefault="00734862" w:rsidP="00734862">
            <w:pPr>
              <w:jc w:val="both"/>
              <w:textAlignment w:val="baseline"/>
              <w:rPr>
                <w:rFonts w:ascii="Times New Roman" w:eastAsia="Times New Roman" w:hAnsi="Times New Roman" w:cs="Times New Roman"/>
                <w:b/>
                <w:bCs/>
                <w:color w:val="000000" w:themeColor="text1"/>
                <w:sz w:val="20"/>
                <w:szCs w:val="20"/>
                <w:lang w:val="sq-AL"/>
              </w:rPr>
            </w:pPr>
          </w:p>
        </w:tc>
        <w:tc>
          <w:tcPr>
            <w:tcW w:w="5164" w:type="dxa"/>
            <w:gridSpan w:val="4"/>
            <w:shd w:val="clear" w:color="auto" w:fill="auto"/>
          </w:tcPr>
          <w:p w:rsidR="00734862" w:rsidRPr="00AC744C" w:rsidRDefault="00734862" w:rsidP="00734862">
            <w:pPr>
              <w:jc w:val="both"/>
              <w:textAlignment w:val="baseline"/>
              <w:rPr>
                <w:rFonts w:ascii="Times New Roman" w:eastAsia="Arial" w:hAnsi="Times New Roman" w:cs="Times New Roman"/>
                <w:color w:val="000000"/>
                <w:sz w:val="20"/>
                <w:szCs w:val="20"/>
                <w:lang w:val="sq-AL"/>
              </w:rPr>
            </w:pPr>
            <w:r>
              <w:rPr>
                <w:rFonts w:ascii="Times New Roman" w:eastAsia="Arial" w:hAnsi="Times New Roman" w:cs="Times New Roman"/>
                <w:color w:val="000000"/>
                <w:sz w:val="20"/>
                <w:szCs w:val="20"/>
                <w:lang w:val="sq-AL"/>
              </w:rPr>
              <w:lastRenderedPageBreak/>
              <w:t>Rishikimi i vazhdueshëm dhe zbatimi i kuadrit strategjik dhe ligjor për korrupsionin mundësuar deri në vitin 2030, në bashkëpunim me shoqërinë civile aktive në fushën e antikorrupsionit.</w:t>
            </w:r>
          </w:p>
          <w:p w:rsidR="00734862" w:rsidRPr="00083AD4" w:rsidRDefault="00734862" w:rsidP="00734862">
            <w:pPr>
              <w:jc w:val="both"/>
              <w:textAlignment w:val="baseline"/>
              <w:rPr>
                <w:rFonts w:ascii="Times New Roman" w:eastAsia="Times New Roman" w:hAnsi="Times New Roman" w:cs="Times New Roman"/>
                <w:b/>
                <w:bCs/>
                <w:color w:val="000000" w:themeColor="text1"/>
                <w:sz w:val="20"/>
                <w:szCs w:val="20"/>
                <w:lang w:val="sq-AL"/>
              </w:rPr>
            </w:pPr>
          </w:p>
        </w:tc>
      </w:tr>
      <w:tr w:rsidR="00734862" w:rsidRPr="00083AD4" w:rsidTr="00FB2DFB">
        <w:trPr>
          <w:trHeight w:val="250"/>
        </w:trPr>
        <w:tc>
          <w:tcPr>
            <w:tcW w:w="2973" w:type="dxa"/>
            <w:vMerge w:val="restart"/>
            <w:shd w:val="clear" w:color="auto" w:fill="auto"/>
          </w:tcPr>
          <w:p w:rsidR="00734862" w:rsidRPr="00083AD4" w:rsidRDefault="00734862" w:rsidP="00734862">
            <w:pPr>
              <w:jc w:val="both"/>
              <w:textAlignment w:val="baseline"/>
              <w:rPr>
                <w:rFonts w:ascii="Times New Roman" w:eastAsia="Times New Roman" w:hAnsi="Times New Roman" w:cs="Times New Roman"/>
                <w:b/>
                <w:color w:val="000000"/>
                <w:sz w:val="20"/>
                <w:szCs w:val="20"/>
                <w:lang w:val="sq-AL"/>
              </w:rPr>
            </w:pPr>
          </w:p>
        </w:tc>
        <w:tc>
          <w:tcPr>
            <w:tcW w:w="11607" w:type="dxa"/>
            <w:gridSpan w:val="13"/>
            <w:shd w:val="clear" w:color="auto" w:fill="auto"/>
          </w:tcPr>
          <w:p w:rsidR="00734862" w:rsidRDefault="00FD3945" w:rsidP="00FD3945">
            <w:pPr>
              <w:jc w:val="both"/>
              <w:textAlignment w:val="baseline"/>
              <w:rPr>
                <w:rFonts w:ascii="Times New Roman" w:eastAsia="Arial" w:hAnsi="Times New Roman" w:cs="Times New Roman"/>
                <w:color w:val="000000"/>
                <w:sz w:val="20"/>
                <w:szCs w:val="20"/>
                <w:lang w:val="sq-AL"/>
              </w:rPr>
            </w:pPr>
            <w:r>
              <w:rPr>
                <w:rFonts w:ascii="Times New Roman" w:eastAsia="Calibri" w:hAnsi="Times New Roman" w:cs="Times New Roman"/>
                <w:b/>
                <w:bCs/>
                <w:sz w:val="20"/>
                <w:szCs w:val="20"/>
                <w:lang w:val="sq-AL"/>
              </w:rPr>
              <w:t>Sigurimi i</w:t>
            </w:r>
            <w:r w:rsidR="00734862" w:rsidRPr="00083AD4">
              <w:rPr>
                <w:rFonts w:ascii="Times New Roman" w:eastAsia="Calibri" w:hAnsi="Times New Roman" w:cs="Times New Roman"/>
                <w:b/>
                <w:bCs/>
                <w:sz w:val="20"/>
                <w:szCs w:val="20"/>
                <w:lang w:val="sq-AL"/>
              </w:rPr>
              <w:t xml:space="preserve"> legjislacion</w:t>
            </w:r>
            <w:r>
              <w:rPr>
                <w:rFonts w:ascii="Times New Roman" w:eastAsia="Calibri" w:hAnsi="Times New Roman" w:cs="Times New Roman"/>
                <w:b/>
                <w:bCs/>
                <w:sz w:val="20"/>
                <w:szCs w:val="20"/>
                <w:lang w:val="sq-AL"/>
              </w:rPr>
              <w:t xml:space="preserve">it të </w:t>
            </w:r>
            <w:r w:rsidR="00734862" w:rsidRPr="00083AD4">
              <w:rPr>
                <w:rFonts w:ascii="Times New Roman" w:eastAsia="Calibri" w:hAnsi="Times New Roman" w:cs="Times New Roman"/>
                <w:b/>
                <w:bCs/>
                <w:sz w:val="20"/>
                <w:szCs w:val="20"/>
                <w:lang w:val="sq-AL"/>
              </w:rPr>
              <w:t xml:space="preserve">harmonizuar dhe </w:t>
            </w:r>
            <w:r>
              <w:rPr>
                <w:rFonts w:ascii="Times New Roman" w:eastAsia="Calibri" w:hAnsi="Times New Roman" w:cs="Times New Roman"/>
                <w:b/>
                <w:bCs/>
                <w:sz w:val="20"/>
                <w:szCs w:val="20"/>
                <w:lang w:val="sq-AL"/>
              </w:rPr>
              <w:t xml:space="preserve">i </w:t>
            </w:r>
            <w:r w:rsidR="00734862" w:rsidRPr="00083AD4">
              <w:rPr>
                <w:rFonts w:ascii="Times New Roman" w:eastAsia="Calibri" w:hAnsi="Times New Roman" w:cs="Times New Roman"/>
                <w:b/>
                <w:bCs/>
                <w:sz w:val="20"/>
                <w:szCs w:val="20"/>
                <w:lang w:val="sq-AL"/>
              </w:rPr>
              <w:t>koordinim</w:t>
            </w:r>
            <w:r>
              <w:rPr>
                <w:rFonts w:ascii="Times New Roman" w:eastAsia="Calibri" w:hAnsi="Times New Roman" w:cs="Times New Roman"/>
                <w:b/>
                <w:bCs/>
                <w:sz w:val="20"/>
                <w:szCs w:val="20"/>
                <w:lang w:val="sq-AL"/>
              </w:rPr>
              <w:t>it</w:t>
            </w:r>
            <w:r w:rsidR="00734862" w:rsidRPr="00083AD4">
              <w:rPr>
                <w:rFonts w:ascii="Times New Roman" w:eastAsia="Calibri" w:hAnsi="Times New Roman" w:cs="Times New Roman"/>
                <w:b/>
                <w:bCs/>
                <w:sz w:val="20"/>
                <w:szCs w:val="20"/>
                <w:lang w:val="sq-AL"/>
              </w:rPr>
              <w:t xml:space="preserve"> ndërinstitucional për antikorrupsionin</w:t>
            </w:r>
          </w:p>
        </w:tc>
      </w:tr>
      <w:tr w:rsidR="00734862" w:rsidRPr="00083AD4" w:rsidTr="00DC1F61">
        <w:trPr>
          <w:trHeight w:val="350"/>
        </w:trPr>
        <w:tc>
          <w:tcPr>
            <w:tcW w:w="2973" w:type="dxa"/>
            <w:vMerge/>
            <w:shd w:val="clear" w:color="auto" w:fill="auto"/>
          </w:tcPr>
          <w:p w:rsidR="00734862" w:rsidRPr="00083AD4" w:rsidRDefault="00734862" w:rsidP="00734862">
            <w:pPr>
              <w:jc w:val="both"/>
              <w:textAlignment w:val="baseline"/>
              <w:rPr>
                <w:rFonts w:ascii="Times New Roman" w:eastAsia="Times New Roman" w:hAnsi="Times New Roman" w:cs="Times New Roman"/>
                <w:b/>
                <w:color w:val="000000"/>
                <w:sz w:val="20"/>
                <w:szCs w:val="20"/>
                <w:lang w:val="sq-AL"/>
              </w:rPr>
            </w:pPr>
          </w:p>
        </w:tc>
        <w:tc>
          <w:tcPr>
            <w:tcW w:w="3365" w:type="dxa"/>
            <w:gridSpan w:val="6"/>
            <w:shd w:val="clear" w:color="auto" w:fill="auto"/>
          </w:tcPr>
          <w:p w:rsidR="00734862" w:rsidRPr="00083AD4" w:rsidRDefault="00FD3945" w:rsidP="00FD3945">
            <w:pPr>
              <w:jc w:val="both"/>
              <w:textAlignment w:val="baseline"/>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Zgjerimi i koordinimit adresohet</w:t>
            </w:r>
            <w:r w:rsidR="00734862" w:rsidRPr="00083AD4">
              <w:rPr>
                <w:rFonts w:ascii="Times New Roman" w:eastAsia="Times New Roman" w:hAnsi="Times New Roman" w:cs="Times New Roman"/>
                <w:sz w:val="20"/>
                <w:szCs w:val="20"/>
                <w:lang w:val="it-IT"/>
              </w:rPr>
              <w:t xml:space="preserve"> përmes Strategjisë Ndërsektoriale Antikorrupsion 2024-2030.</w:t>
            </w:r>
          </w:p>
        </w:tc>
        <w:tc>
          <w:tcPr>
            <w:tcW w:w="3078" w:type="dxa"/>
            <w:gridSpan w:val="3"/>
            <w:shd w:val="clear" w:color="auto" w:fill="auto"/>
          </w:tcPr>
          <w:p w:rsidR="00734862" w:rsidRDefault="00734862" w:rsidP="00734862">
            <w:pPr>
              <w:tabs>
                <w:tab w:val="left" w:pos="567"/>
              </w:tabs>
              <w:spacing w:after="120"/>
              <w:jc w:val="both"/>
              <w:rPr>
                <w:rFonts w:ascii="Times New Roman" w:eastAsia="Calibri" w:hAnsi="Times New Roman" w:cs="Times New Roman"/>
                <w:bCs/>
                <w:sz w:val="20"/>
                <w:szCs w:val="20"/>
                <w:lang w:val="sq-AL" w:eastAsia="en-GB"/>
              </w:rPr>
            </w:pPr>
            <w:r>
              <w:rPr>
                <w:rFonts w:ascii="Times New Roman" w:eastAsia="Calibri" w:hAnsi="Times New Roman" w:cs="Times New Roman"/>
                <w:bCs/>
                <w:sz w:val="20"/>
                <w:szCs w:val="20"/>
                <w:lang w:val="sq-AL" w:eastAsia="en-GB"/>
              </w:rPr>
              <w:t xml:space="preserve">Agjencia për Dialog dhe Bashkëqeverisje dhe Drejtoria e Përgjithshme Kundër Korrupsionit vendosin bashkëpunim përmes Memorandumit të Mirëkuptimit të </w:t>
            </w:r>
            <w:r w:rsidR="00667A59">
              <w:rPr>
                <w:rFonts w:ascii="Times New Roman" w:eastAsia="Calibri" w:hAnsi="Times New Roman" w:cs="Times New Roman"/>
                <w:bCs/>
                <w:sz w:val="20"/>
                <w:szCs w:val="20"/>
                <w:lang w:val="sq-AL" w:eastAsia="en-GB"/>
              </w:rPr>
              <w:t>nënshkruar</w:t>
            </w:r>
            <w:r>
              <w:rPr>
                <w:rFonts w:ascii="Times New Roman" w:eastAsia="Calibri" w:hAnsi="Times New Roman" w:cs="Times New Roman"/>
                <w:bCs/>
                <w:sz w:val="20"/>
                <w:szCs w:val="20"/>
                <w:lang w:val="sq-AL" w:eastAsia="en-GB"/>
              </w:rPr>
              <w:t xml:space="preserve"> që përcakton bashkëpunimin në raportimin e rasteve të korrupsionit deri në vitin 2024.</w:t>
            </w:r>
          </w:p>
          <w:p w:rsidR="00734862" w:rsidRPr="00AC744C" w:rsidRDefault="00734862" w:rsidP="00734862">
            <w:pPr>
              <w:tabs>
                <w:tab w:val="left" w:pos="567"/>
              </w:tabs>
              <w:spacing w:after="120"/>
              <w:jc w:val="both"/>
              <w:rPr>
                <w:rFonts w:ascii="Times New Roman" w:eastAsia="Calibri" w:hAnsi="Times New Roman" w:cs="Times New Roman"/>
                <w:bCs/>
                <w:sz w:val="20"/>
                <w:szCs w:val="20"/>
                <w:lang w:val="sq-AL" w:eastAsia="en-GB"/>
              </w:rPr>
            </w:pPr>
            <w:r>
              <w:rPr>
                <w:rFonts w:ascii="Times New Roman" w:eastAsia="Calibri" w:hAnsi="Times New Roman" w:cs="Times New Roman"/>
                <w:bCs/>
                <w:sz w:val="20"/>
                <w:szCs w:val="20"/>
                <w:lang w:val="sq-AL" w:eastAsia="en-GB"/>
              </w:rPr>
              <w:t xml:space="preserve">Formalizimi i bashkëpunimit ndërmjet Drejtorisë së Përgjithshme Kundër Korrupsionit </w:t>
            </w:r>
            <w:r>
              <w:rPr>
                <w:rFonts w:ascii="Times New Roman" w:eastAsia="Calibri" w:hAnsi="Times New Roman" w:cs="Times New Roman"/>
                <w:bCs/>
                <w:sz w:val="20"/>
                <w:szCs w:val="20"/>
                <w:lang w:val="sq-AL" w:eastAsia="en-GB"/>
              </w:rPr>
              <w:lastRenderedPageBreak/>
              <w:t>dhe prokurorive deri në vitin 2024.</w:t>
            </w:r>
          </w:p>
        </w:tc>
        <w:tc>
          <w:tcPr>
            <w:tcW w:w="5164" w:type="dxa"/>
            <w:gridSpan w:val="4"/>
            <w:shd w:val="clear" w:color="auto" w:fill="auto"/>
          </w:tcPr>
          <w:p w:rsidR="00734862" w:rsidRPr="00207821" w:rsidRDefault="00734862" w:rsidP="00734862">
            <w:pPr>
              <w:tabs>
                <w:tab w:val="left" w:pos="1460"/>
              </w:tabs>
              <w:rPr>
                <w:rFonts w:ascii="Times New Roman" w:eastAsia="Arial" w:hAnsi="Times New Roman" w:cs="Times New Roman"/>
                <w:sz w:val="20"/>
                <w:szCs w:val="20"/>
                <w:lang w:val="sq-AL"/>
              </w:rPr>
            </w:pPr>
          </w:p>
        </w:tc>
      </w:tr>
      <w:tr w:rsidR="00734862" w:rsidRPr="00DC1F61" w:rsidTr="00FB2DFB">
        <w:trPr>
          <w:trHeight w:val="300"/>
        </w:trPr>
        <w:tc>
          <w:tcPr>
            <w:tcW w:w="2973" w:type="dxa"/>
            <w:vMerge w:val="restart"/>
            <w:shd w:val="clear" w:color="auto" w:fill="auto"/>
          </w:tcPr>
          <w:p w:rsidR="00734862" w:rsidRPr="00DC1F61" w:rsidRDefault="00734862" w:rsidP="00734862">
            <w:pPr>
              <w:jc w:val="both"/>
              <w:textAlignment w:val="baseline"/>
              <w:rPr>
                <w:rFonts w:ascii="Times New Roman" w:eastAsia="Times New Roman" w:hAnsi="Times New Roman" w:cs="Times New Roman"/>
                <w:b/>
                <w:color w:val="000000"/>
                <w:sz w:val="20"/>
                <w:szCs w:val="20"/>
                <w:lang w:val="sq-AL"/>
              </w:rPr>
            </w:pPr>
            <w:r w:rsidRPr="00DC1F61">
              <w:rPr>
                <w:rFonts w:ascii="Times New Roman" w:eastAsia="Times New Roman" w:hAnsi="Times New Roman" w:cs="Times New Roman"/>
                <w:b/>
                <w:color w:val="000000"/>
                <w:sz w:val="20"/>
                <w:szCs w:val="20"/>
                <w:lang w:val="sq-AL"/>
              </w:rPr>
              <w:t>II.2. Parandalimi</w:t>
            </w:r>
          </w:p>
          <w:p w:rsidR="00734862" w:rsidRPr="00DC1F61" w:rsidRDefault="00734862" w:rsidP="00734862">
            <w:pPr>
              <w:jc w:val="both"/>
              <w:textAlignment w:val="baseline"/>
              <w:rPr>
                <w:rFonts w:ascii="Times New Roman" w:eastAsia="Times New Roman" w:hAnsi="Times New Roman" w:cs="Times New Roman"/>
                <w:b/>
                <w:color w:val="000000"/>
                <w:sz w:val="20"/>
                <w:szCs w:val="20"/>
                <w:lang w:val="sq-AL"/>
              </w:rPr>
            </w:pPr>
          </w:p>
          <w:p w:rsidR="00734862" w:rsidRPr="00DC1F61" w:rsidRDefault="00734862" w:rsidP="00734862">
            <w:pPr>
              <w:jc w:val="both"/>
              <w:textAlignment w:val="baseline"/>
              <w:rPr>
                <w:rFonts w:ascii="Times New Roman" w:eastAsia="Times New Roman" w:hAnsi="Times New Roman" w:cs="Times New Roman"/>
                <w:color w:val="000000"/>
                <w:sz w:val="20"/>
                <w:szCs w:val="20"/>
                <w:lang w:val="sq-AL"/>
              </w:rPr>
            </w:pPr>
            <w:r w:rsidRPr="00DC1F61">
              <w:rPr>
                <w:rFonts w:ascii="Times New Roman" w:eastAsia="Times New Roman" w:hAnsi="Times New Roman" w:cs="Times New Roman"/>
                <w:bCs/>
                <w:color w:val="000000"/>
                <w:sz w:val="20"/>
                <w:szCs w:val="20"/>
                <w:lang w:val="sq-AL"/>
              </w:rPr>
              <w:t>Kuadri i parandalimit të korrupsionit është efektiv</w:t>
            </w:r>
            <w:r w:rsidR="00DC1F61" w:rsidRPr="00DC1F61">
              <w:rPr>
                <w:rFonts w:ascii="Times New Roman" w:eastAsia="Times New Roman" w:hAnsi="Times New Roman" w:cs="Times New Roman"/>
                <w:bCs/>
                <w:color w:val="000000"/>
                <w:sz w:val="20"/>
                <w:szCs w:val="20"/>
                <w:lang w:val="sq-AL"/>
              </w:rPr>
              <w:t xml:space="preserve"> </w:t>
            </w:r>
            <w:r w:rsidRPr="00DC1F61">
              <w:rPr>
                <w:rFonts w:ascii="Times New Roman" w:eastAsia="Times New Roman" w:hAnsi="Times New Roman" w:cs="Times New Roman"/>
                <w:color w:val="000000"/>
                <w:sz w:val="20"/>
                <w:szCs w:val="20"/>
                <w:lang w:val="sq-AL"/>
              </w:rPr>
              <w:t>në parandalimin dhe uljen e ndjeshme të incidencës së korrupsionit në të gjitha nivelet, veçanërisht në fushat me rrezik.</w:t>
            </w:r>
          </w:p>
          <w:p w:rsidR="00734862" w:rsidRPr="00AC744C" w:rsidRDefault="00734862" w:rsidP="00734862">
            <w:pPr>
              <w:jc w:val="both"/>
              <w:textAlignment w:val="baseline"/>
              <w:rPr>
                <w:rFonts w:ascii="Times New Roman" w:eastAsia="Times New Roman" w:hAnsi="Times New Roman" w:cs="Times New Roman"/>
                <w:b/>
                <w:color w:val="000000"/>
                <w:sz w:val="20"/>
                <w:szCs w:val="20"/>
                <w:lang w:val="en-GB"/>
              </w:rPr>
            </w:pPr>
            <w:r w:rsidRPr="00AC744C">
              <w:rPr>
                <w:rFonts w:ascii="Times New Roman" w:eastAsia="Times New Roman" w:hAnsi="Times New Roman" w:cs="Times New Roman"/>
                <w:sz w:val="20"/>
                <w:szCs w:val="20"/>
              </w:rPr>
              <w:t>Sistemet e prokurimit elektronik, e-apelimit dhe e-ankesave kanë ndihmuar tashmë në rritjen e transparencës në fushën e prokurimit publik.</w:t>
            </w:r>
          </w:p>
        </w:tc>
        <w:tc>
          <w:tcPr>
            <w:tcW w:w="11607" w:type="dxa"/>
            <w:gridSpan w:val="13"/>
            <w:shd w:val="clear" w:color="auto" w:fill="auto"/>
          </w:tcPr>
          <w:p w:rsidR="00734862" w:rsidRPr="00207821" w:rsidRDefault="00DC1F61" w:rsidP="00DC1F61">
            <w:pPr>
              <w:tabs>
                <w:tab w:val="left" w:pos="1460"/>
              </w:tabs>
              <w:rPr>
                <w:rFonts w:ascii="Times New Roman" w:eastAsia="Arial" w:hAnsi="Times New Roman" w:cs="Times New Roman"/>
                <w:sz w:val="20"/>
                <w:szCs w:val="20"/>
                <w:lang w:val="sq-AL"/>
              </w:rPr>
            </w:pPr>
            <w:r w:rsidRPr="00DC1F61">
              <w:rPr>
                <w:rFonts w:ascii="Times New Roman" w:eastAsia="Times New Roman" w:hAnsi="Times New Roman" w:cs="Times New Roman"/>
                <w:b/>
                <w:bCs/>
                <w:color w:val="000000"/>
                <w:sz w:val="20"/>
                <w:szCs w:val="20"/>
                <w:lang w:val="en-GB"/>
              </w:rPr>
              <w:t>Trajtimi tërësor i parandalimit</w:t>
            </w:r>
            <w:r>
              <w:rPr>
                <w:rFonts w:ascii="Times New Roman" w:eastAsia="Times New Roman" w:hAnsi="Times New Roman" w:cs="Times New Roman"/>
                <w:b/>
                <w:bCs/>
                <w:color w:val="000000"/>
                <w:sz w:val="20"/>
                <w:szCs w:val="20"/>
                <w:lang w:val="en-GB"/>
              </w:rPr>
              <w:t xml:space="preserve"> të </w:t>
            </w:r>
            <w:r w:rsidR="00734862" w:rsidRPr="00DC1F61">
              <w:rPr>
                <w:rFonts w:ascii="Times New Roman" w:eastAsia="Times New Roman" w:hAnsi="Times New Roman" w:cs="Times New Roman"/>
                <w:b/>
                <w:bCs/>
                <w:color w:val="000000"/>
                <w:sz w:val="20"/>
                <w:szCs w:val="20"/>
                <w:lang w:val="en-GB"/>
              </w:rPr>
              <w:t xml:space="preserve"> korrupsionit në sektorët e cenueshëm nga korrupsioni</w:t>
            </w:r>
          </w:p>
        </w:tc>
      </w:tr>
      <w:tr w:rsidR="00734862" w:rsidRPr="00083AD4" w:rsidTr="00FB2DFB">
        <w:trPr>
          <w:trHeight w:val="841"/>
        </w:trPr>
        <w:tc>
          <w:tcPr>
            <w:tcW w:w="2973" w:type="dxa"/>
            <w:vMerge/>
            <w:shd w:val="clear" w:color="auto" w:fill="auto"/>
          </w:tcPr>
          <w:p w:rsidR="00734862" w:rsidRPr="00DC1F61" w:rsidRDefault="00734862" w:rsidP="00734862">
            <w:pPr>
              <w:jc w:val="both"/>
              <w:textAlignment w:val="baseline"/>
              <w:rPr>
                <w:rFonts w:ascii="Times New Roman" w:eastAsia="Times New Roman" w:hAnsi="Times New Roman" w:cs="Times New Roman"/>
                <w:b/>
                <w:color w:val="000000"/>
                <w:sz w:val="20"/>
                <w:szCs w:val="20"/>
                <w:lang w:val="en-GB"/>
              </w:rPr>
            </w:pPr>
          </w:p>
        </w:tc>
        <w:tc>
          <w:tcPr>
            <w:tcW w:w="3365" w:type="dxa"/>
            <w:gridSpan w:val="6"/>
            <w:shd w:val="clear" w:color="auto" w:fill="auto"/>
          </w:tcPr>
          <w:p w:rsidR="00734862" w:rsidRPr="00A72EFD" w:rsidRDefault="00DC1F61" w:rsidP="00734862">
            <w:pPr>
              <w:jc w:val="both"/>
              <w:rPr>
                <w:rFonts w:ascii="Times New Roman" w:eastAsia="Calibri" w:hAnsi="Times New Roman" w:cs="Times New Roman"/>
                <w:sz w:val="20"/>
                <w:szCs w:val="20"/>
                <w:lang w:val="en-GB"/>
              </w:rPr>
            </w:pPr>
            <w:r>
              <w:rPr>
                <w:rFonts w:ascii="Times New Roman" w:eastAsia="Arial" w:hAnsi="Times New Roman" w:cs="Times New Roman"/>
                <w:color w:val="000000"/>
                <w:sz w:val="20"/>
                <w:szCs w:val="20"/>
                <w:lang w:val="sq-AL"/>
              </w:rPr>
              <w:t xml:space="preserve">Kryerja e vlerësimit të rrezikut në sektorët vulnerabël dhe një plan </w:t>
            </w:r>
            <w:r w:rsidR="00734862" w:rsidRPr="00A72EFD">
              <w:rPr>
                <w:rFonts w:ascii="Times New Roman" w:eastAsia="Arial" w:hAnsi="Times New Roman" w:cs="Times New Roman"/>
                <w:color w:val="000000"/>
                <w:sz w:val="20"/>
                <w:szCs w:val="20"/>
                <w:lang w:val="sq-AL"/>
              </w:rPr>
              <w:t xml:space="preserve">për </w:t>
            </w:r>
            <w:r>
              <w:rPr>
                <w:rFonts w:ascii="Times New Roman" w:eastAsia="Arial" w:hAnsi="Times New Roman" w:cs="Times New Roman"/>
                <w:color w:val="000000"/>
                <w:sz w:val="20"/>
                <w:szCs w:val="20"/>
                <w:lang w:val="sq-AL"/>
              </w:rPr>
              <w:t xml:space="preserve">adresimin </w:t>
            </w:r>
            <w:r w:rsidR="00734862" w:rsidRPr="00A72EFD">
              <w:rPr>
                <w:rFonts w:ascii="Times New Roman" w:eastAsia="Arial" w:hAnsi="Times New Roman" w:cs="Times New Roman"/>
                <w:color w:val="000000"/>
                <w:sz w:val="20"/>
                <w:szCs w:val="20"/>
                <w:lang w:val="sq-AL"/>
              </w:rPr>
              <w:t>e rrezikut të integritetit dhe korrupsionit në sektorët e cenueshëm ndaj korrupsionit</w:t>
            </w:r>
            <w:r w:rsidR="00023FA4">
              <w:rPr>
                <w:rFonts w:ascii="Times New Roman" w:eastAsia="Arial" w:hAnsi="Times New Roman" w:cs="Times New Roman"/>
                <w:color w:val="000000"/>
                <w:sz w:val="20"/>
                <w:szCs w:val="20"/>
                <w:lang w:val="sq-AL"/>
              </w:rPr>
              <w:t xml:space="preserve"> </w:t>
            </w:r>
            <w:r w:rsidR="00734862" w:rsidRPr="00A72EFD">
              <w:rPr>
                <w:rFonts w:ascii="Times New Roman" w:eastAsia="Times New Roman" w:hAnsi="Times New Roman" w:cs="Times New Roman"/>
                <w:color w:val="000000"/>
                <w:sz w:val="20"/>
                <w:szCs w:val="20"/>
                <w:lang w:val="en-GB"/>
              </w:rPr>
              <w:t>(</w:t>
            </w:r>
            <w:r w:rsidR="00734862" w:rsidRPr="00A72EFD">
              <w:rPr>
                <w:rFonts w:ascii="Times New Roman" w:eastAsia="Calibri" w:hAnsi="Times New Roman" w:cs="Times New Roman"/>
                <w:w w:val="105"/>
                <w:sz w:val="20"/>
                <w:szCs w:val="20"/>
              </w:rPr>
              <w:t>prona, shëndetësia, arsimi, prokurimet publike dhe PPP-të, taksat dhe doganat)</w:t>
            </w:r>
            <w:r w:rsidR="00023FA4">
              <w:rPr>
                <w:rFonts w:ascii="Times New Roman" w:eastAsia="Calibri" w:hAnsi="Times New Roman" w:cs="Times New Roman"/>
                <w:w w:val="105"/>
                <w:sz w:val="20"/>
                <w:szCs w:val="20"/>
              </w:rPr>
              <w:t xml:space="preserve"> </w:t>
            </w:r>
            <w:r>
              <w:rPr>
                <w:rFonts w:ascii="Times New Roman" w:eastAsia="Arial" w:hAnsi="Times New Roman" w:cs="Times New Roman"/>
                <w:color w:val="000000"/>
                <w:sz w:val="20"/>
                <w:szCs w:val="20"/>
                <w:lang w:val="sq-AL"/>
              </w:rPr>
              <w:t>miratohet</w:t>
            </w:r>
            <w:r w:rsidR="00734862" w:rsidRPr="00A72EFD">
              <w:rPr>
                <w:rFonts w:ascii="Times New Roman" w:eastAsia="Arial" w:hAnsi="Times New Roman" w:cs="Times New Roman"/>
                <w:color w:val="000000"/>
                <w:sz w:val="20"/>
                <w:szCs w:val="20"/>
                <w:lang w:val="sq-AL"/>
              </w:rPr>
              <w:t xml:space="preserve"> </w:t>
            </w:r>
            <w:r>
              <w:rPr>
                <w:rFonts w:ascii="Times New Roman" w:eastAsia="Arial" w:hAnsi="Times New Roman" w:cs="Times New Roman"/>
                <w:color w:val="000000"/>
                <w:sz w:val="20"/>
                <w:szCs w:val="20"/>
                <w:lang w:val="sq-AL"/>
              </w:rPr>
              <w:t>brenda vitit</w:t>
            </w:r>
            <w:r w:rsidR="00734862" w:rsidRPr="00A72EFD">
              <w:rPr>
                <w:rFonts w:ascii="Times New Roman" w:eastAsia="Arial" w:hAnsi="Times New Roman" w:cs="Times New Roman"/>
                <w:color w:val="000000"/>
                <w:sz w:val="20"/>
                <w:szCs w:val="20"/>
                <w:lang w:val="sq-AL"/>
              </w:rPr>
              <w:t xml:space="preserve"> 2025.</w:t>
            </w:r>
            <w:r w:rsidR="00734862" w:rsidRPr="00A72EFD">
              <w:rPr>
                <w:rFonts w:ascii="Times New Roman" w:eastAsia="Calibri" w:hAnsi="Times New Roman" w:cs="Times New Roman"/>
                <w:sz w:val="20"/>
                <w:szCs w:val="20"/>
                <w:lang w:val="en-GB"/>
              </w:rPr>
              <w:t xml:space="preserve"> </w:t>
            </w:r>
          </w:p>
          <w:p w:rsidR="00734862" w:rsidRPr="00A72EFD" w:rsidRDefault="00734862" w:rsidP="00734862">
            <w:pPr>
              <w:jc w:val="both"/>
              <w:rPr>
                <w:rFonts w:ascii="Times New Roman" w:eastAsia="Calibri" w:hAnsi="Times New Roman" w:cs="Times New Roman"/>
                <w:sz w:val="20"/>
                <w:szCs w:val="20"/>
                <w:lang w:val="en-GB"/>
              </w:rPr>
            </w:pPr>
          </w:p>
          <w:p w:rsidR="00734862" w:rsidRPr="00DC1F61" w:rsidRDefault="00734862" w:rsidP="00734862">
            <w:pPr>
              <w:tabs>
                <w:tab w:val="left" w:pos="567"/>
              </w:tabs>
              <w:jc w:val="both"/>
              <w:rPr>
                <w:rFonts w:ascii="Times New Roman" w:eastAsia="Times New Roman" w:hAnsi="Times New Roman" w:cs="Times New Roman"/>
                <w:color w:val="000000"/>
                <w:sz w:val="20"/>
                <w:szCs w:val="20"/>
                <w:lang w:val="en-GB"/>
              </w:rPr>
            </w:pPr>
            <w:r w:rsidRPr="00DC1F61">
              <w:rPr>
                <w:rFonts w:ascii="Times New Roman" w:eastAsia="Times New Roman" w:hAnsi="Times New Roman" w:cs="Times New Roman"/>
                <w:color w:val="000000"/>
                <w:sz w:val="20"/>
                <w:szCs w:val="20"/>
                <w:lang w:val="en-GB"/>
              </w:rPr>
              <w:t xml:space="preserve">Udhëzues për auditimin e PPP-ve dhe kontratave të prokurimit </w:t>
            </w:r>
            <w:r w:rsidR="00DC1F61" w:rsidRPr="00DC1F61">
              <w:rPr>
                <w:rFonts w:ascii="Times New Roman" w:eastAsia="Times New Roman" w:hAnsi="Times New Roman" w:cs="Times New Roman"/>
                <w:color w:val="000000"/>
                <w:sz w:val="20"/>
                <w:szCs w:val="20"/>
                <w:lang w:val="en-GB"/>
              </w:rPr>
              <w:t xml:space="preserve">publik i miratuar nga  </w:t>
            </w:r>
            <w:r w:rsidRPr="00DC1F61">
              <w:rPr>
                <w:rFonts w:ascii="Times New Roman" w:eastAsia="Times New Roman" w:hAnsi="Times New Roman" w:cs="Times New Roman"/>
                <w:color w:val="000000"/>
                <w:sz w:val="20"/>
                <w:szCs w:val="20"/>
                <w:lang w:val="en-GB"/>
              </w:rPr>
              <w:t xml:space="preserve"> KLSH </w:t>
            </w:r>
            <w:r w:rsidR="00DC1F61">
              <w:rPr>
                <w:rFonts w:ascii="Times New Roman" w:eastAsia="Times New Roman" w:hAnsi="Times New Roman" w:cs="Times New Roman"/>
                <w:color w:val="000000"/>
                <w:sz w:val="20"/>
                <w:szCs w:val="20"/>
                <w:lang w:val="en-GB"/>
              </w:rPr>
              <w:t>brenda vitit</w:t>
            </w:r>
            <w:r w:rsidRPr="00DC1F61">
              <w:rPr>
                <w:rFonts w:ascii="Times New Roman" w:eastAsia="Times New Roman" w:hAnsi="Times New Roman" w:cs="Times New Roman"/>
                <w:color w:val="000000"/>
                <w:sz w:val="20"/>
                <w:szCs w:val="20"/>
                <w:lang w:val="en-GB"/>
              </w:rPr>
              <w:t>2025.</w:t>
            </w:r>
          </w:p>
          <w:p w:rsidR="00734862" w:rsidRPr="00DC1F61" w:rsidRDefault="00734862" w:rsidP="00734862">
            <w:pPr>
              <w:tabs>
                <w:tab w:val="left" w:pos="567"/>
              </w:tabs>
              <w:jc w:val="both"/>
              <w:rPr>
                <w:rFonts w:ascii="Times New Roman" w:eastAsia="Times New Roman" w:hAnsi="Times New Roman" w:cs="Times New Roman"/>
                <w:color w:val="000000"/>
                <w:sz w:val="20"/>
                <w:szCs w:val="20"/>
                <w:lang w:val="en-GB"/>
              </w:rPr>
            </w:pPr>
          </w:p>
          <w:p w:rsidR="00734862" w:rsidRPr="00A72EFD" w:rsidRDefault="00734862" w:rsidP="00734862">
            <w:pPr>
              <w:tabs>
                <w:tab w:val="left" w:pos="567"/>
              </w:tabs>
              <w:jc w:val="both"/>
              <w:rPr>
                <w:rFonts w:ascii="Times New Roman" w:eastAsia="Times New Roman" w:hAnsi="Times New Roman" w:cs="Times New Roman"/>
                <w:color w:val="000000"/>
                <w:sz w:val="20"/>
                <w:szCs w:val="20"/>
                <w:lang w:val="en-GB"/>
              </w:rPr>
            </w:pPr>
            <w:r w:rsidRPr="00A72EFD">
              <w:rPr>
                <w:rFonts w:ascii="Times New Roman" w:eastAsia="Times New Roman" w:hAnsi="Times New Roman" w:cs="Times New Roman"/>
                <w:color w:val="000000"/>
                <w:sz w:val="20"/>
                <w:szCs w:val="20"/>
                <w:lang w:val="en-GB"/>
              </w:rPr>
              <w:t xml:space="preserve">Rishikimi i legjislacionit për prokurimin publik për të garantuar një llogaridhënie më të madhe, gjurmueshmëri të zbatimit të kontratës së dhënë dhe përfshirjen e zyrtarëve publikë në abuzime të mundshme </w:t>
            </w:r>
            <w:r w:rsidR="00DC1F61">
              <w:rPr>
                <w:rFonts w:ascii="Times New Roman" w:eastAsia="Times New Roman" w:hAnsi="Times New Roman" w:cs="Times New Roman"/>
                <w:color w:val="000000"/>
                <w:sz w:val="20"/>
                <w:szCs w:val="20"/>
                <w:lang w:val="en-GB"/>
              </w:rPr>
              <w:t>Brenda vitit</w:t>
            </w:r>
            <w:r w:rsidRPr="00A72EFD">
              <w:rPr>
                <w:rFonts w:ascii="Times New Roman" w:eastAsia="Times New Roman" w:hAnsi="Times New Roman" w:cs="Times New Roman"/>
                <w:color w:val="000000"/>
                <w:sz w:val="20"/>
                <w:szCs w:val="20"/>
                <w:lang w:val="en-GB"/>
              </w:rPr>
              <w:t xml:space="preserve"> 2024.</w:t>
            </w:r>
          </w:p>
          <w:p w:rsidR="00734862" w:rsidRDefault="00734862" w:rsidP="00734862">
            <w:pPr>
              <w:jc w:val="both"/>
              <w:textAlignment w:val="baseline"/>
              <w:rPr>
                <w:rFonts w:ascii="Times New Roman" w:eastAsia="Times New Roman" w:hAnsi="Times New Roman" w:cs="Times New Roman"/>
                <w:sz w:val="20"/>
                <w:szCs w:val="20"/>
                <w:lang w:val="en-GB"/>
              </w:rPr>
            </w:pPr>
          </w:p>
        </w:tc>
        <w:tc>
          <w:tcPr>
            <w:tcW w:w="3078" w:type="dxa"/>
            <w:gridSpan w:val="3"/>
            <w:shd w:val="clear" w:color="auto" w:fill="auto"/>
          </w:tcPr>
          <w:p w:rsidR="00734862" w:rsidRDefault="00734862" w:rsidP="00734862">
            <w:pPr>
              <w:jc w:val="both"/>
              <w:rPr>
                <w:rFonts w:ascii="Times New Roman" w:eastAsia="Calibri" w:hAnsi="Times New Roman" w:cs="Times New Roman"/>
                <w:bCs/>
                <w:sz w:val="20"/>
                <w:szCs w:val="20"/>
                <w:lang w:val="sq-AL" w:eastAsia="en-GB"/>
              </w:rPr>
            </w:pPr>
            <w:r w:rsidRPr="00A72EFD">
              <w:rPr>
                <w:rFonts w:ascii="Times New Roman" w:eastAsia="Calibri" w:hAnsi="Times New Roman" w:cs="Times New Roman"/>
                <w:bCs/>
                <w:sz w:val="20"/>
                <w:szCs w:val="20"/>
                <w:lang w:val="sq-AL" w:eastAsia="en-GB"/>
              </w:rPr>
              <w:t>Ruajtja e konsistencës në forcimin e burimeve të Drejtorisë së Përgjithshme të Antikorrupsionit dhe institucioneve përkatëse për të analizuar, vlerësuar në mënyrë adekuate korrupsionin në sektorët m</w:t>
            </w:r>
            <w:r w:rsidR="00DC1F61">
              <w:rPr>
                <w:rFonts w:ascii="Times New Roman" w:eastAsia="Calibri" w:hAnsi="Times New Roman" w:cs="Times New Roman"/>
                <w:bCs/>
                <w:sz w:val="20"/>
                <w:szCs w:val="20"/>
                <w:lang w:val="sq-AL" w:eastAsia="en-GB"/>
              </w:rPr>
              <w:t xml:space="preserve">e rrezik dhe zbatimin e masave mitiguese </w:t>
            </w:r>
            <w:r w:rsidRPr="00A72EFD">
              <w:rPr>
                <w:rFonts w:ascii="Times New Roman" w:eastAsia="Calibri" w:hAnsi="Times New Roman" w:cs="Times New Roman"/>
                <w:bCs/>
                <w:sz w:val="20"/>
                <w:szCs w:val="20"/>
                <w:lang w:val="sq-AL" w:eastAsia="en-GB"/>
              </w:rPr>
              <w:t xml:space="preserve"> për </w:t>
            </w:r>
            <w:r w:rsidR="00DC1F61">
              <w:rPr>
                <w:rFonts w:ascii="Times New Roman" w:eastAsia="Calibri" w:hAnsi="Times New Roman" w:cs="Times New Roman"/>
                <w:bCs/>
                <w:sz w:val="20"/>
                <w:szCs w:val="20"/>
                <w:lang w:val="sq-AL" w:eastAsia="en-GB"/>
              </w:rPr>
              <w:t>sektorë</w:t>
            </w:r>
            <w:r w:rsidRPr="00A72EFD">
              <w:rPr>
                <w:rFonts w:ascii="Times New Roman" w:eastAsia="Calibri" w:hAnsi="Times New Roman" w:cs="Times New Roman"/>
                <w:bCs/>
                <w:sz w:val="20"/>
                <w:szCs w:val="20"/>
                <w:lang w:val="sq-AL" w:eastAsia="en-GB"/>
              </w:rPr>
              <w:t>t</w:t>
            </w:r>
            <w:r w:rsidR="00DC1F61">
              <w:rPr>
                <w:rFonts w:ascii="Times New Roman" w:eastAsia="Calibri" w:hAnsi="Times New Roman" w:cs="Times New Roman"/>
                <w:bCs/>
                <w:sz w:val="20"/>
                <w:szCs w:val="20"/>
                <w:lang w:val="sq-AL" w:eastAsia="en-GB"/>
              </w:rPr>
              <w:t xml:space="preserve"> vulnerabël</w:t>
            </w:r>
            <w:r w:rsidR="00512CCF">
              <w:rPr>
                <w:rFonts w:ascii="Times New Roman" w:eastAsia="Calibri" w:hAnsi="Times New Roman" w:cs="Times New Roman"/>
                <w:bCs/>
                <w:sz w:val="20"/>
                <w:szCs w:val="20"/>
                <w:lang w:val="sq-AL" w:eastAsia="en-GB"/>
              </w:rPr>
              <w:t xml:space="preserve"> ndaj korrupsionit brenda vitit</w:t>
            </w:r>
            <w:r w:rsidRPr="00A72EFD">
              <w:rPr>
                <w:rFonts w:ascii="Times New Roman" w:eastAsia="Calibri" w:hAnsi="Times New Roman" w:cs="Times New Roman"/>
                <w:bCs/>
                <w:sz w:val="20"/>
                <w:szCs w:val="20"/>
                <w:lang w:val="sq-AL" w:eastAsia="en-GB"/>
              </w:rPr>
              <w:t>2027.</w:t>
            </w:r>
          </w:p>
          <w:p w:rsidR="00734862" w:rsidRDefault="00734862" w:rsidP="00734862">
            <w:pPr>
              <w:jc w:val="both"/>
              <w:rPr>
                <w:rFonts w:ascii="Times New Roman" w:eastAsia="Calibri" w:hAnsi="Times New Roman" w:cs="Times New Roman"/>
                <w:bCs/>
                <w:sz w:val="20"/>
                <w:szCs w:val="20"/>
                <w:lang w:val="sq-AL" w:eastAsia="en-GB"/>
              </w:rPr>
            </w:pPr>
          </w:p>
          <w:p w:rsidR="00734862" w:rsidRPr="00A72EFD" w:rsidRDefault="00734862" w:rsidP="00734862">
            <w:pPr>
              <w:jc w:val="both"/>
              <w:rPr>
                <w:rFonts w:ascii="Times New Roman" w:eastAsia="Calibri" w:hAnsi="Times New Roman" w:cs="Times New Roman"/>
                <w:bCs/>
                <w:sz w:val="20"/>
                <w:szCs w:val="20"/>
                <w:lang w:val="sq-AL" w:eastAsia="en-GB"/>
              </w:rPr>
            </w:pPr>
            <w:r>
              <w:rPr>
                <w:rFonts w:ascii="Times New Roman" w:eastAsia="Calibri" w:hAnsi="Times New Roman" w:cs="Times New Roman"/>
                <w:bCs/>
                <w:sz w:val="20"/>
                <w:szCs w:val="20"/>
                <w:lang w:val="sq-AL" w:eastAsia="en-GB"/>
              </w:rPr>
              <w:t>Vazhdimi i bashkëpunimit të frytshëm dhe të vazhdueshëm me shoqërinë civile në kryerjen e vlerësimeve të rrezikut të integritetit në institucionet shqiptare në baza të rregullta.</w:t>
            </w:r>
          </w:p>
          <w:p w:rsidR="00734862" w:rsidRPr="00083AD4" w:rsidRDefault="00734862" w:rsidP="00734862">
            <w:pPr>
              <w:jc w:val="both"/>
              <w:rPr>
                <w:rFonts w:ascii="Times New Roman" w:eastAsia="Calibri" w:hAnsi="Times New Roman" w:cs="Times New Roman"/>
                <w:color w:val="000000"/>
                <w:sz w:val="20"/>
                <w:szCs w:val="20"/>
                <w:lang w:val="sq-AL"/>
              </w:rPr>
            </w:pPr>
          </w:p>
          <w:p w:rsidR="00734862" w:rsidRDefault="00211CD2" w:rsidP="00734862">
            <w:pPr>
              <w:tabs>
                <w:tab w:val="left" w:pos="567"/>
              </w:tabs>
              <w:spacing w:after="120"/>
              <w:jc w:val="both"/>
              <w:rPr>
                <w:rFonts w:ascii="Times New Roman" w:eastAsia="Calibri" w:hAnsi="Times New Roman" w:cs="Times New Roman"/>
                <w:bCs/>
                <w:sz w:val="20"/>
                <w:szCs w:val="20"/>
                <w:lang w:val="sq-AL" w:eastAsia="en-GB"/>
              </w:rPr>
            </w:pPr>
            <w:r w:rsidRPr="00083AD4">
              <w:rPr>
                <w:rFonts w:ascii="Times New Roman" w:eastAsia="Calibri" w:hAnsi="Times New Roman" w:cs="Times New Roman"/>
                <w:color w:val="000000"/>
                <w:sz w:val="20"/>
                <w:szCs w:val="20"/>
                <w:lang w:val="it-IT"/>
              </w:rPr>
              <w:t>Mbrojtja nga k</w:t>
            </w:r>
            <w:r w:rsidR="00734862" w:rsidRPr="00083AD4">
              <w:rPr>
                <w:rFonts w:ascii="Times New Roman" w:eastAsia="Calibri" w:hAnsi="Times New Roman" w:cs="Times New Roman"/>
                <w:color w:val="000000"/>
                <w:sz w:val="20"/>
                <w:szCs w:val="20"/>
                <w:lang w:val="it-IT"/>
              </w:rPr>
              <w:t>orrupsi</w:t>
            </w:r>
            <w:r w:rsidRPr="00083AD4">
              <w:rPr>
                <w:rFonts w:ascii="Times New Roman" w:eastAsia="Calibri" w:hAnsi="Times New Roman" w:cs="Times New Roman"/>
                <w:color w:val="000000"/>
                <w:sz w:val="20"/>
                <w:szCs w:val="20"/>
                <w:lang w:val="it-IT"/>
              </w:rPr>
              <w:t xml:space="preserve">oni i legjislacionit të zbatohet </w:t>
            </w:r>
            <w:r w:rsidR="00734862" w:rsidRPr="00083AD4">
              <w:rPr>
                <w:rFonts w:ascii="Times New Roman" w:eastAsia="Calibri" w:hAnsi="Times New Roman" w:cs="Times New Roman"/>
                <w:color w:val="000000"/>
                <w:sz w:val="20"/>
                <w:szCs w:val="20"/>
                <w:lang w:val="it-IT"/>
              </w:rPr>
              <w:t>vazhdimisht nga Parlamenti deri në vitin 2027.</w:t>
            </w:r>
          </w:p>
        </w:tc>
        <w:tc>
          <w:tcPr>
            <w:tcW w:w="5164" w:type="dxa"/>
            <w:gridSpan w:val="4"/>
            <w:shd w:val="clear" w:color="auto" w:fill="auto"/>
          </w:tcPr>
          <w:p w:rsidR="00734862" w:rsidRPr="00083AD4" w:rsidRDefault="00734862" w:rsidP="00734862">
            <w:pPr>
              <w:jc w:val="both"/>
              <w:rPr>
                <w:rFonts w:ascii="Times New Roman" w:eastAsia="Times New Roman" w:hAnsi="Times New Roman" w:cs="Times New Roman"/>
                <w:color w:val="000000"/>
                <w:sz w:val="20"/>
                <w:szCs w:val="20"/>
                <w:lang w:val="sq-AL"/>
              </w:rPr>
            </w:pPr>
            <w:r w:rsidRPr="00083AD4">
              <w:rPr>
                <w:rFonts w:ascii="Times New Roman" w:eastAsia="Times New Roman" w:hAnsi="Times New Roman" w:cs="Times New Roman"/>
                <w:color w:val="000000"/>
                <w:sz w:val="20"/>
                <w:szCs w:val="20"/>
                <w:lang w:val="sq-AL"/>
              </w:rPr>
              <w:t>Ulja e rrezikut të korrupsionit në zonat e sektorëve vulnerabël deri në vitin 2030.</w:t>
            </w:r>
          </w:p>
          <w:p w:rsidR="00734862" w:rsidRPr="00083AD4" w:rsidRDefault="00734862" w:rsidP="00734862">
            <w:pPr>
              <w:jc w:val="both"/>
              <w:rPr>
                <w:rFonts w:ascii="Times New Roman" w:eastAsia="Times New Roman" w:hAnsi="Times New Roman" w:cs="Times New Roman"/>
                <w:color w:val="000000"/>
                <w:sz w:val="20"/>
                <w:szCs w:val="20"/>
                <w:highlight w:val="yellow"/>
                <w:lang w:val="sq-AL"/>
              </w:rPr>
            </w:pPr>
          </w:p>
          <w:p w:rsidR="00734862" w:rsidRPr="00207821" w:rsidRDefault="00734862" w:rsidP="00734862">
            <w:pPr>
              <w:tabs>
                <w:tab w:val="left" w:pos="1460"/>
              </w:tabs>
              <w:rPr>
                <w:rFonts w:ascii="Times New Roman" w:eastAsia="Arial" w:hAnsi="Times New Roman" w:cs="Times New Roman"/>
                <w:sz w:val="20"/>
                <w:szCs w:val="20"/>
                <w:lang w:val="sq-AL"/>
              </w:rPr>
            </w:pPr>
          </w:p>
        </w:tc>
      </w:tr>
      <w:tr w:rsidR="00734862" w:rsidRPr="00083AD4" w:rsidTr="00FB2DFB">
        <w:trPr>
          <w:trHeight w:val="340"/>
        </w:trPr>
        <w:tc>
          <w:tcPr>
            <w:tcW w:w="2973" w:type="dxa"/>
            <w:vMerge w:val="restart"/>
            <w:shd w:val="clear" w:color="auto" w:fill="auto"/>
          </w:tcPr>
          <w:p w:rsidR="00734862" w:rsidRPr="00083AD4" w:rsidRDefault="00734862" w:rsidP="00734862">
            <w:pPr>
              <w:spacing w:line="239" w:lineRule="auto"/>
              <w:jc w:val="both"/>
              <w:rPr>
                <w:rFonts w:ascii="Times New Roman" w:eastAsia="Times New Roman" w:hAnsi="Times New Roman" w:cs="Times New Roman"/>
                <w:sz w:val="20"/>
                <w:szCs w:val="20"/>
                <w:lang w:val="sq-AL"/>
              </w:rPr>
            </w:pPr>
            <w:r w:rsidRPr="00083AD4">
              <w:rPr>
                <w:rFonts w:ascii="Times New Roman" w:eastAsia="Times New Roman" w:hAnsi="Times New Roman" w:cs="Times New Roman"/>
                <w:sz w:val="20"/>
                <w:szCs w:val="20"/>
                <w:lang w:val="sq-AL"/>
              </w:rPr>
              <w:t>Duhet të merret në konsideratë ngritja e njësive më të speci</w:t>
            </w:r>
            <w:r w:rsidR="00211CD2" w:rsidRPr="00083AD4">
              <w:rPr>
                <w:rFonts w:ascii="Times New Roman" w:eastAsia="Times New Roman" w:hAnsi="Times New Roman" w:cs="Times New Roman"/>
                <w:sz w:val="20"/>
                <w:szCs w:val="20"/>
                <w:lang w:val="sq-AL"/>
              </w:rPr>
              <w:t>alizuara nga SPAK, përfshirë BKH</w:t>
            </w:r>
            <w:r w:rsidRPr="00083AD4">
              <w:rPr>
                <w:rFonts w:ascii="Times New Roman" w:eastAsia="Times New Roman" w:hAnsi="Times New Roman" w:cs="Times New Roman"/>
                <w:sz w:val="20"/>
                <w:szCs w:val="20"/>
                <w:lang w:val="sq-AL"/>
              </w:rPr>
              <w:t>-në. Kërkohet bashkëpunim i mëtejshëm midis prokurorëve, hetuesve dhe autoriteteve shtetërore për të trajtuar në mënyrë efektive korrupsionin.</w:t>
            </w:r>
          </w:p>
          <w:p w:rsidR="00734862" w:rsidRPr="00083AD4" w:rsidRDefault="00734862" w:rsidP="00734862">
            <w:pPr>
              <w:jc w:val="both"/>
              <w:textAlignment w:val="baseline"/>
              <w:rPr>
                <w:rFonts w:ascii="Times New Roman" w:eastAsia="Times New Roman" w:hAnsi="Times New Roman" w:cs="Times New Roman"/>
                <w:b/>
                <w:color w:val="000000"/>
                <w:sz w:val="20"/>
                <w:szCs w:val="20"/>
                <w:lang w:val="sq-AL"/>
              </w:rPr>
            </w:pPr>
          </w:p>
        </w:tc>
        <w:tc>
          <w:tcPr>
            <w:tcW w:w="11607" w:type="dxa"/>
            <w:gridSpan w:val="13"/>
            <w:shd w:val="clear" w:color="auto" w:fill="auto"/>
          </w:tcPr>
          <w:p w:rsidR="00734862" w:rsidRPr="00083AD4" w:rsidRDefault="00734862" w:rsidP="00734862">
            <w:pPr>
              <w:jc w:val="both"/>
              <w:rPr>
                <w:rFonts w:ascii="Times New Roman" w:eastAsia="Times New Roman" w:hAnsi="Times New Roman" w:cs="Times New Roman"/>
                <w:color w:val="000000"/>
                <w:sz w:val="20"/>
                <w:szCs w:val="20"/>
                <w:lang w:val="it-IT"/>
              </w:rPr>
            </w:pPr>
            <w:r w:rsidRPr="00083AD4">
              <w:rPr>
                <w:rFonts w:ascii="Times New Roman" w:hAnsi="Times New Roman" w:cs="Times New Roman"/>
                <w:b/>
                <w:bCs/>
                <w:color w:val="000000"/>
                <w:sz w:val="20"/>
                <w:szCs w:val="20"/>
                <w:lang w:val="it-IT"/>
              </w:rPr>
              <w:t>Mbajtja e progresit në zbatimin e rekomandimeve të GRECO</w:t>
            </w:r>
          </w:p>
        </w:tc>
      </w:tr>
      <w:tr w:rsidR="00734862" w:rsidRPr="00083AD4" w:rsidTr="00FB2DFB">
        <w:trPr>
          <w:trHeight w:val="2660"/>
        </w:trPr>
        <w:tc>
          <w:tcPr>
            <w:tcW w:w="2973" w:type="dxa"/>
            <w:vMerge/>
            <w:shd w:val="clear" w:color="auto" w:fill="auto"/>
          </w:tcPr>
          <w:p w:rsidR="00734862" w:rsidRPr="00083AD4" w:rsidRDefault="00734862" w:rsidP="00734862">
            <w:pPr>
              <w:jc w:val="both"/>
              <w:textAlignment w:val="baseline"/>
              <w:rPr>
                <w:rFonts w:ascii="Times New Roman" w:eastAsia="Times New Roman" w:hAnsi="Times New Roman" w:cs="Times New Roman"/>
                <w:b/>
                <w:color w:val="000000"/>
                <w:sz w:val="20"/>
                <w:szCs w:val="20"/>
                <w:lang w:val="it-IT"/>
              </w:rPr>
            </w:pPr>
          </w:p>
        </w:tc>
        <w:tc>
          <w:tcPr>
            <w:tcW w:w="3365" w:type="dxa"/>
            <w:gridSpan w:val="6"/>
            <w:shd w:val="clear" w:color="auto" w:fill="auto"/>
          </w:tcPr>
          <w:p w:rsidR="00734862" w:rsidRPr="00A72EFD" w:rsidRDefault="00734862" w:rsidP="00734862">
            <w:pPr>
              <w:jc w:val="both"/>
              <w:rPr>
                <w:rFonts w:ascii="Times New Roman" w:eastAsia="Arial" w:hAnsi="Times New Roman" w:cs="Times New Roman"/>
                <w:color w:val="000000"/>
                <w:sz w:val="20"/>
                <w:szCs w:val="20"/>
                <w:lang w:val="sq-AL"/>
              </w:rPr>
            </w:pPr>
          </w:p>
        </w:tc>
        <w:tc>
          <w:tcPr>
            <w:tcW w:w="3078" w:type="dxa"/>
            <w:gridSpan w:val="3"/>
            <w:shd w:val="clear" w:color="auto" w:fill="auto"/>
          </w:tcPr>
          <w:p w:rsidR="00734862" w:rsidRPr="00083AD4" w:rsidRDefault="00512CCF" w:rsidP="00734862">
            <w:pPr>
              <w:jc w:val="both"/>
              <w:rPr>
                <w:rFonts w:ascii="Times New Roman" w:eastAsia="Times New Roman" w:hAnsi="Times New Roman" w:cs="Times New Roman"/>
                <w:color w:val="000000"/>
                <w:sz w:val="20"/>
                <w:szCs w:val="20"/>
                <w:lang w:val="sq-AL"/>
              </w:rPr>
            </w:pPr>
            <w:r>
              <w:rPr>
                <w:rFonts w:ascii="Times New Roman" w:eastAsia="Times New Roman" w:hAnsi="Times New Roman" w:cs="Times New Roman"/>
                <w:color w:val="000000"/>
                <w:sz w:val="20"/>
                <w:szCs w:val="20"/>
                <w:lang w:val="sq-AL"/>
              </w:rPr>
              <w:t xml:space="preserve">Vendosja e përpjekjeve </w:t>
            </w:r>
            <w:r w:rsidR="00734862" w:rsidRPr="00083AD4">
              <w:rPr>
                <w:rFonts w:ascii="Times New Roman" w:eastAsia="Times New Roman" w:hAnsi="Times New Roman" w:cs="Times New Roman"/>
                <w:color w:val="000000"/>
                <w:sz w:val="20"/>
                <w:szCs w:val="20"/>
                <w:lang w:val="sq-AL"/>
              </w:rPr>
              <w:t xml:space="preserve"> institucionale për të përmbushur rekomandimet e Grupit të Shteteve të Këshillit të Evropës kundër Korrupsionit (GRECO) dhe zba</w:t>
            </w:r>
            <w:r>
              <w:rPr>
                <w:rFonts w:ascii="Times New Roman" w:eastAsia="Times New Roman" w:hAnsi="Times New Roman" w:cs="Times New Roman"/>
                <w:color w:val="000000"/>
                <w:sz w:val="20"/>
                <w:szCs w:val="20"/>
                <w:lang w:val="sq-AL"/>
              </w:rPr>
              <w:t>timi</w:t>
            </w:r>
            <w:r w:rsidR="00734862" w:rsidRPr="00083AD4">
              <w:rPr>
                <w:rFonts w:ascii="Times New Roman" w:eastAsia="Times New Roman" w:hAnsi="Times New Roman" w:cs="Times New Roman"/>
                <w:color w:val="000000"/>
                <w:sz w:val="20"/>
                <w:szCs w:val="20"/>
                <w:lang w:val="sq-AL"/>
              </w:rPr>
              <w:t xml:space="preserve"> në kohë </w:t>
            </w:r>
            <w:r>
              <w:rPr>
                <w:rFonts w:ascii="Times New Roman" w:eastAsia="Times New Roman" w:hAnsi="Times New Roman" w:cs="Times New Roman"/>
                <w:color w:val="000000"/>
                <w:sz w:val="20"/>
                <w:szCs w:val="20"/>
                <w:lang w:val="sq-AL"/>
              </w:rPr>
              <w:t xml:space="preserve">i planit të </w:t>
            </w:r>
            <w:r w:rsidR="00734862" w:rsidRPr="00083AD4">
              <w:rPr>
                <w:rFonts w:ascii="Times New Roman" w:eastAsia="Times New Roman" w:hAnsi="Times New Roman" w:cs="Times New Roman"/>
                <w:color w:val="000000"/>
                <w:sz w:val="20"/>
                <w:szCs w:val="20"/>
                <w:lang w:val="sq-AL"/>
              </w:rPr>
              <w:t>veprimit përkatës deri në vitin 2024, në lidhje me:</w:t>
            </w:r>
          </w:p>
          <w:p w:rsidR="00734862" w:rsidRPr="00083AD4" w:rsidRDefault="00734862" w:rsidP="00734862">
            <w:pPr>
              <w:pStyle w:val="ListParagraph"/>
              <w:numPr>
                <w:ilvl w:val="0"/>
                <w:numId w:val="25"/>
              </w:numPr>
              <w:jc w:val="both"/>
              <w:rPr>
                <w:rFonts w:ascii="Times New Roman" w:eastAsia="Times New Roman" w:hAnsi="Times New Roman" w:cs="Times New Roman"/>
                <w:color w:val="000000"/>
                <w:sz w:val="20"/>
                <w:szCs w:val="20"/>
                <w:lang w:val="sq-AL"/>
              </w:rPr>
            </w:pPr>
            <w:r w:rsidRPr="00083AD4">
              <w:rPr>
                <w:rFonts w:ascii="Times New Roman" w:eastAsia="Times New Roman" w:hAnsi="Times New Roman" w:cs="Times New Roman"/>
                <w:color w:val="000000"/>
                <w:sz w:val="20"/>
                <w:szCs w:val="20"/>
                <w:lang w:val="sq-AL"/>
              </w:rPr>
              <w:t>Rregullat për angazhimin e zyrtarëve të nivelit të lartë me lobistët</w:t>
            </w:r>
          </w:p>
          <w:p w:rsidR="00734862" w:rsidRDefault="00512CCF" w:rsidP="00734862">
            <w:pPr>
              <w:pStyle w:val="ListParagraph"/>
              <w:numPr>
                <w:ilvl w:val="0"/>
                <w:numId w:val="25"/>
              </w:num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Vendosjen e </w:t>
            </w:r>
            <w:r w:rsidR="00734862">
              <w:rPr>
                <w:rFonts w:ascii="Times New Roman" w:eastAsia="Times New Roman" w:hAnsi="Times New Roman" w:cs="Times New Roman"/>
                <w:color w:val="000000"/>
                <w:sz w:val="20"/>
                <w:szCs w:val="20"/>
              </w:rPr>
              <w:t xml:space="preserve"> rregulla</w:t>
            </w:r>
            <w:r>
              <w:rPr>
                <w:rFonts w:ascii="Times New Roman" w:eastAsia="Times New Roman" w:hAnsi="Times New Roman" w:cs="Times New Roman"/>
                <w:color w:val="000000"/>
                <w:sz w:val="20"/>
                <w:szCs w:val="20"/>
              </w:rPr>
              <w:t>ve</w:t>
            </w:r>
            <w:r w:rsidR="00734862">
              <w:rPr>
                <w:rFonts w:ascii="Times New Roman" w:eastAsia="Times New Roman" w:hAnsi="Times New Roman" w:cs="Times New Roman"/>
                <w:color w:val="000000"/>
                <w:sz w:val="20"/>
                <w:szCs w:val="20"/>
              </w:rPr>
              <w:t xml:space="preserve"> për kufizimet pas punësimit</w:t>
            </w:r>
          </w:p>
          <w:p w:rsidR="00734862" w:rsidRDefault="00734862" w:rsidP="00734862">
            <w:pPr>
              <w:pStyle w:val="ListParagraph"/>
              <w:numPr>
                <w:ilvl w:val="0"/>
                <w:numId w:val="25"/>
              </w:num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Mundësoi funksionimin e Komisionit të Etikës duke mundësuar rishikimin e përbërjes së tij</w:t>
            </w:r>
          </w:p>
          <w:p w:rsidR="00734862" w:rsidRPr="00083AD4" w:rsidRDefault="00734862" w:rsidP="00734862">
            <w:pPr>
              <w:pStyle w:val="ListParagraph"/>
              <w:numPr>
                <w:ilvl w:val="0"/>
                <w:numId w:val="25"/>
              </w:numPr>
              <w:jc w:val="both"/>
              <w:rPr>
                <w:rFonts w:ascii="Times New Roman" w:eastAsia="Times New Roman" w:hAnsi="Times New Roman" w:cs="Times New Roman"/>
                <w:color w:val="000000"/>
                <w:sz w:val="20"/>
                <w:szCs w:val="20"/>
                <w:lang w:val="it-IT"/>
              </w:rPr>
            </w:pPr>
            <w:r w:rsidRPr="00083AD4">
              <w:rPr>
                <w:rFonts w:ascii="Times New Roman" w:eastAsia="Times New Roman" w:hAnsi="Times New Roman" w:cs="Times New Roman"/>
                <w:color w:val="000000"/>
                <w:sz w:val="20"/>
                <w:szCs w:val="20"/>
                <w:lang w:val="it-IT"/>
              </w:rPr>
              <w:t>Procesi i konsultimit publik u zgjerua me kalimin e kohës</w:t>
            </w:r>
          </w:p>
          <w:p w:rsidR="00734862" w:rsidRPr="00A72EFD" w:rsidRDefault="00734862" w:rsidP="00734862">
            <w:pPr>
              <w:jc w:val="both"/>
              <w:rPr>
                <w:rFonts w:ascii="Times New Roman" w:eastAsia="Calibri" w:hAnsi="Times New Roman" w:cs="Times New Roman"/>
                <w:bCs/>
                <w:sz w:val="20"/>
                <w:szCs w:val="20"/>
                <w:lang w:val="sq-AL" w:eastAsia="en-GB"/>
              </w:rPr>
            </w:pPr>
            <w:r w:rsidRPr="00083AD4">
              <w:rPr>
                <w:rFonts w:ascii="Times New Roman" w:eastAsia="Times New Roman" w:hAnsi="Times New Roman" w:cs="Times New Roman"/>
                <w:color w:val="000000"/>
                <w:sz w:val="20"/>
                <w:szCs w:val="20"/>
                <w:lang w:val="it-IT"/>
              </w:rPr>
              <w:t>Kuadri për donacionet dhe sponsorizimet për Polici</w:t>
            </w:r>
            <w:r w:rsidR="00211CD2" w:rsidRPr="00083AD4">
              <w:rPr>
                <w:rFonts w:ascii="Times New Roman" w:eastAsia="Times New Roman" w:hAnsi="Times New Roman" w:cs="Times New Roman"/>
                <w:color w:val="000000"/>
                <w:sz w:val="20"/>
                <w:szCs w:val="20"/>
                <w:lang w:val="it-IT"/>
              </w:rPr>
              <w:t>në e Shtetit në fuqi dhe e zbatueshme</w:t>
            </w:r>
          </w:p>
        </w:tc>
        <w:tc>
          <w:tcPr>
            <w:tcW w:w="5164" w:type="dxa"/>
            <w:gridSpan w:val="4"/>
            <w:shd w:val="clear" w:color="auto" w:fill="auto"/>
          </w:tcPr>
          <w:p w:rsidR="00734862" w:rsidRPr="00083AD4" w:rsidRDefault="00734862" w:rsidP="00512CCF">
            <w:pPr>
              <w:jc w:val="both"/>
              <w:rPr>
                <w:rFonts w:ascii="Times New Roman" w:eastAsia="Times New Roman" w:hAnsi="Times New Roman" w:cs="Times New Roman"/>
                <w:color w:val="000000"/>
                <w:sz w:val="20"/>
                <w:szCs w:val="20"/>
                <w:lang w:val="sq-AL"/>
              </w:rPr>
            </w:pPr>
            <w:r w:rsidRPr="00083AD4">
              <w:rPr>
                <w:rFonts w:ascii="Times New Roman" w:eastAsia="Times New Roman" w:hAnsi="Times New Roman" w:cs="Times New Roman"/>
                <w:color w:val="000000"/>
                <w:sz w:val="20"/>
                <w:szCs w:val="20"/>
                <w:lang w:val="sq-AL"/>
              </w:rPr>
              <w:lastRenderedPageBreak/>
              <w:t>Rekomandimet e Raundit V të Vlerësimit të GRECO</w:t>
            </w:r>
            <w:r w:rsidR="00512CCF">
              <w:rPr>
                <w:rFonts w:ascii="Times New Roman" w:eastAsia="Times New Roman" w:hAnsi="Times New Roman" w:cs="Times New Roman"/>
                <w:color w:val="000000"/>
                <w:sz w:val="20"/>
                <w:szCs w:val="20"/>
                <w:lang w:val="sq-AL"/>
              </w:rPr>
              <w:t xml:space="preserve">-s për Shqipërinë të adresuara në mënyrë konsistente brenda vitit </w:t>
            </w:r>
            <w:r w:rsidRPr="00083AD4">
              <w:rPr>
                <w:rFonts w:ascii="Times New Roman" w:eastAsia="Times New Roman" w:hAnsi="Times New Roman" w:cs="Times New Roman"/>
                <w:color w:val="000000"/>
                <w:sz w:val="20"/>
                <w:szCs w:val="20"/>
                <w:lang w:val="sq-AL"/>
              </w:rPr>
              <w:t>2024</w:t>
            </w:r>
          </w:p>
        </w:tc>
      </w:tr>
      <w:tr w:rsidR="00734862" w:rsidRPr="00083AD4" w:rsidTr="00FB2DFB">
        <w:trPr>
          <w:trHeight w:val="300"/>
        </w:trPr>
        <w:tc>
          <w:tcPr>
            <w:tcW w:w="2973" w:type="dxa"/>
            <w:vMerge w:val="restart"/>
            <w:shd w:val="clear" w:color="auto" w:fill="auto"/>
          </w:tcPr>
          <w:p w:rsidR="00734862" w:rsidRPr="00083AD4" w:rsidRDefault="00734862" w:rsidP="00734862">
            <w:pPr>
              <w:jc w:val="both"/>
              <w:textAlignment w:val="baseline"/>
              <w:rPr>
                <w:rFonts w:ascii="Times New Roman" w:eastAsia="Times New Roman" w:hAnsi="Times New Roman" w:cs="Times New Roman"/>
                <w:b/>
                <w:color w:val="000000"/>
                <w:sz w:val="20"/>
                <w:szCs w:val="20"/>
                <w:lang w:val="sq-AL"/>
              </w:rPr>
            </w:pPr>
            <w:r w:rsidRPr="00083AD4">
              <w:rPr>
                <w:rFonts w:ascii="Times New Roman" w:eastAsia="Times New Roman" w:hAnsi="Times New Roman" w:cs="Times New Roman"/>
                <w:b/>
                <w:color w:val="000000"/>
                <w:sz w:val="20"/>
                <w:szCs w:val="20"/>
                <w:lang w:val="sq-AL"/>
              </w:rPr>
              <w:t>3. Zbatimi i ligjit</w:t>
            </w:r>
          </w:p>
          <w:p w:rsidR="00734862" w:rsidRPr="00083AD4" w:rsidRDefault="00734862" w:rsidP="00734862">
            <w:pPr>
              <w:jc w:val="both"/>
              <w:textAlignment w:val="baseline"/>
              <w:rPr>
                <w:rFonts w:ascii="Times New Roman" w:eastAsia="Times New Roman" w:hAnsi="Times New Roman" w:cs="Times New Roman"/>
                <w:color w:val="000000"/>
                <w:sz w:val="20"/>
                <w:szCs w:val="20"/>
                <w:lang w:val="sq-AL"/>
              </w:rPr>
            </w:pPr>
          </w:p>
          <w:p w:rsidR="00734862" w:rsidRPr="00083AD4" w:rsidRDefault="00734862" w:rsidP="00734862">
            <w:pPr>
              <w:jc w:val="both"/>
              <w:textAlignment w:val="baseline"/>
              <w:rPr>
                <w:rFonts w:ascii="Times New Roman" w:eastAsia="Times New Roman" w:hAnsi="Times New Roman" w:cs="Times New Roman"/>
                <w:color w:val="000000"/>
                <w:sz w:val="20"/>
                <w:szCs w:val="20"/>
                <w:lang w:val="sq-AL"/>
              </w:rPr>
            </w:pPr>
            <w:r w:rsidRPr="00083AD4">
              <w:rPr>
                <w:rFonts w:ascii="Times New Roman" w:eastAsia="Times New Roman" w:hAnsi="Times New Roman" w:cs="Times New Roman"/>
                <w:color w:val="000000"/>
                <w:sz w:val="20"/>
                <w:szCs w:val="20"/>
                <w:lang w:val="sq-AL"/>
              </w:rPr>
              <w:t>Autoritetet e zbatimit të ligjit po e shtypin në mënyrë proaktive dhe efektive korrupsionin, veçanërisht në nivel të lartë. Sanksionet janë mjaftueshëm parandaluese.</w:t>
            </w:r>
          </w:p>
          <w:p w:rsidR="00734862" w:rsidRPr="00083AD4" w:rsidRDefault="00734862" w:rsidP="00734862">
            <w:pPr>
              <w:jc w:val="both"/>
              <w:textAlignment w:val="baseline"/>
              <w:rPr>
                <w:rFonts w:ascii="Times New Roman" w:eastAsia="Times New Roman" w:hAnsi="Times New Roman" w:cs="Times New Roman"/>
                <w:color w:val="000000"/>
                <w:sz w:val="20"/>
                <w:szCs w:val="20"/>
                <w:lang w:val="sq-AL"/>
              </w:rPr>
            </w:pPr>
          </w:p>
          <w:p w:rsidR="00734862" w:rsidRPr="00083AD4" w:rsidRDefault="00734862" w:rsidP="00734862">
            <w:pPr>
              <w:jc w:val="both"/>
              <w:textAlignment w:val="baseline"/>
              <w:rPr>
                <w:rFonts w:ascii="Times New Roman" w:eastAsia="Times New Roman" w:hAnsi="Times New Roman" w:cs="Times New Roman"/>
                <w:color w:val="000000"/>
                <w:sz w:val="20"/>
                <w:szCs w:val="20"/>
                <w:lang w:val="sq-AL"/>
              </w:rPr>
            </w:pPr>
            <w:r w:rsidRPr="00083AD4">
              <w:rPr>
                <w:rFonts w:ascii="Times New Roman" w:eastAsia="Times New Roman" w:hAnsi="Times New Roman" w:cs="Times New Roman"/>
                <w:color w:val="000000"/>
                <w:sz w:val="20"/>
                <w:szCs w:val="20"/>
                <w:lang w:val="sq-AL"/>
              </w:rPr>
              <w:t>Raportet e korrupsionit janë të aksesueshme dhe pretendimet për korrupsion hetohen sistematikisht</w:t>
            </w:r>
          </w:p>
          <w:p w:rsidR="00734862" w:rsidRPr="00083AD4" w:rsidRDefault="00734862" w:rsidP="00734862">
            <w:pPr>
              <w:jc w:val="both"/>
              <w:textAlignment w:val="baseline"/>
              <w:rPr>
                <w:rFonts w:ascii="Times New Roman" w:eastAsia="Times New Roman" w:hAnsi="Times New Roman" w:cs="Times New Roman"/>
                <w:color w:val="000000"/>
                <w:sz w:val="20"/>
                <w:szCs w:val="20"/>
                <w:lang w:val="sq-AL"/>
              </w:rPr>
            </w:pPr>
          </w:p>
          <w:p w:rsidR="00734862" w:rsidRPr="00083AD4" w:rsidRDefault="00734862" w:rsidP="00734862">
            <w:pPr>
              <w:spacing w:line="239" w:lineRule="auto"/>
              <w:jc w:val="both"/>
              <w:rPr>
                <w:rFonts w:ascii="Times New Roman" w:eastAsia="Times New Roman" w:hAnsi="Times New Roman" w:cs="Times New Roman"/>
                <w:sz w:val="20"/>
                <w:szCs w:val="20"/>
                <w:lang w:val="sq-AL"/>
              </w:rPr>
            </w:pPr>
            <w:r w:rsidRPr="00083AD4">
              <w:rPr>
                <w:rFonts w:ascii="Times New Roman" w:eastAsia="Times New Roman" w:hAnsi="Times New Roman" w:cs="Times New Roman"/>
                <w:sz w:val="20"/>
                <w:szCs w:val="20"/>
                <w:lang w:val="sq-AL"/>
              </w:rPr>
              <w:t>Duhet të trajtohet çështja e ambienteve të mbipopulluara. Shqipëria duhet të sigurojë që SPAK të ketë akses në të gjitha mjetet përkatëse, duke përfshirë ekspertizën e specializuar në hetimet financiare, masat e veçanta hetimore dhe aksesin cilësor në të gjitha bazat e të dhënave përkatëse.</w:t>
            </w:r>
          </w:p>
          <w:p w:rsidR="00734862" w:rsidRPr="00083AD4" w:rsidRDefault="00734862" w:rsidP="00734862">
            <w:pPr>
              <w:spacing w:line="239" w:lineRule="auto"/>
              <w:jc w:val="both"/>
              <w:rPr>
                <w:rFonts w:ascii="Times New Roman" w:eastAsia="Times New Roman" w:hAnsi="Times New Roman" w:cs="Times New Roman"/>
                <w:sz w:val="20"/>
                <w:szCs w:val="20"/>
                <w:lang w:val="sq-AL"/>
              </w:rPr>
            </w:pPr>
          </w:p>
          <w:p w:rsidR="00734862" w:rsidRPr="00083AD4" w:rsidRDefault="00734862" w:rsidP="00734862">
            <w:pPr>
              <w:jc w:val="both"/>
              <w:textAlignment w:val="baseline"/>
              <w:rPr>
                <w:rFonts w:ascii="Times New Roman" w:eastAsia="Times New Roman" w:hAnsi="Times New Roman" w:cs="Times New Roman"/>
                <w:b/>
                <w:color w:val="000000"/>
                <w:sz w:val="20"/>
                <w:szCs w:val="20"/>
                <w:lang w:val="sq-AL"/>
              </w:rPr>
            </w:pPr>
            <w:r w:rsidRPr="00083AD4">
              <w:rPr>
                <w:rFonts w:ascii="Times New Roman" w:eastAsia="Times New Roman" w:hAnsi="Times New Roman" w:cs="Times New Roman"/>
                <w:sz w:val="20"/>
                <w:szCs w:val="20"/>
                <w:lang w:val="sq-AL"/>
              </w:rPr>
              <w:t>Numri i prokurorëve, hetuesve, përfshirë hetuesit financiarë, asistentët ligjorë dhe stafi administrativ duhet të rritet për të reflektuar nevojat operacionale të SPAK.</w:t>
            </w:r>
          </w:p>
        </w:tc>
        <w:tc>
          <w:tcPr>
            <w:tcW w:w="11607" w:type="dxa"/>
            <w:gridSpan w:val="13"/>
            <w:shd w:val="clear" w:color="auto" w:fill="auto"/>
          </w:tcPr>
          <w:p w:rsidR="00734862" w:rsidRPr="00083AD4" w:rsidRDefault="00734862" w:rsidP="00512CCF">
            <w:pPr>
              <w:jc w:val="both"/>
              <w:rPr>
                <w:rFonts w:ascii="Times New Roman" w:eastAsia="Times New Roman" w:hAnsi="Times New Roman" w:cs="Times New Roman"/>
                <w:color w:val="000000"/>
                <w:sz w:val="20"/>
                <w:szCs w:val="20"/>
                <w:lang w:val="sq-AL"/>
              </w:rPr>
            </w:pPr>
            <w:r w:rsidRPr="00083AD4">
              <w:rPr>
                <w:rFonts w:ascii="Times New Roman" w:eastAsia="Times New Roman" w:hAnsi="Times New Roman" w:cs="Times New Roman"/>
                <w:b/>
                <w:bCs/>
                <w:color w:val="000000"/>
                <w:sz w:val="20"/>
                <w:szCs w:val="20"/>
                <w:lang w:val="sq-AL"/>
              </w:rPr>
              <w:t>Sanksionet parandaluese ndaj korrupsionit dhe niveli i qëndrueshëm i</w:t>
            </w:r>
            <w:r w:rsidR="00693BC8" w:rsidRPr="00083AD4">
              <w:rPr>
                <w:rFonts w:ascii="Times New Roman" w:eastAsia="Times New Roman" w:hAnsi="Times New Roman" w:cs="Times New Roman"/>
                <w:b/>
                <w:bCs/>
                <w:color w:val="000000"/>
                <w:sz w:val="20"/>
                <w:szCs w:val="20"/>
                <w:lang w:val="sq-AL"/>
              </w:rPr>
              <w:t xml:space="preserve"> kapaciteteve për gjykatat e</w:t>
            </w:r>
            <w:r w:rsidR="00512CCF">
              <w:rPr>
                <w:rFonts w:ascii="Times New Roman" w:eastAsia="Times New Roman" w:hAnsi="Times New Roman" w:cs="Times New Roman"/>
                <w:b/>
                <w:bCs/>
                <w:color w:val="000000"/>
                <w:sz w:val="20"/>
                <w:szCs w:val="20"/>
                <w:lang w:val="sq-AL"/>
              </w:rPr>
              <w:t xml:space="preserve">  antikorrupsion</w:t>
            </w:r>
            <w:r w:rsidR="00693BC8" w:rsidRPr="00083AD4">
              <w:rPr>
                <w:rFonts w:ascii="Times New Roman" w:eastAsia="Times New Roman" w:hAnsi="Times New Roman" w:cs="Times New Roman"/>
                <w:b/>
                <w:bCs/>
                <w:color w:val="000000"/>
                <w:sz w:val="20"/>
                <w:szCs w:val="20"/>
                <w:lang w:val="sq-AL"/>
              </w:rPr>
              <w:t>, BKH</w:t>
            </w:r>
            <w:r w:rsidRPr="00083AD4">
              <w:rPr>
                <w:rFonts w:ascii="Times New Roman" w:eastAsia="Times New Roman" w:hAnsi="Times New Roman" w:cs="Times New Roman"/>
                <w:b/>
                <w:bCs/>
                <w:color w:val="000000"/>
                <w:sz w:val="20"/>
                <w:szCs w:val="20"/>
                <w:lang w:val="sq-AL"/>
              </w:rPr>
              <w:t>, SPAK</w:t>
            </w:r>
          </w:p>
        </w:tc>
      </w:tr>
      <w:tr w:rsidR="00734862" w:rsidRPr="00083AD4" w:rsidTr="00EF61F7">
        <w:trPr>
          <w:trHeight w:val="68"/>
        </w:trPr>
        <w:tc>
          <w:tcPr>
            <w:tcW w:w="2973" w:type="dxa"/>
            <w:vMerge/>
            <w:shd w:val="clear" w:color="auto" w:fill="auto"/>
          </w:tcPr>
          <w:p w:rsidR="00734862" w:rsidRPr="00083AD4" w:rsidRDefault="00734862" w:rsidP="00734862">
            <w:pPr>
              <w:jc w:val="both"/>
              <w:textAlignment w:val="baseline"/>
              <w:rPr>
                <w:rFonts w:ascii="Times New Roman" w:eastAsia="Times New Roman" w:hAnsi="Times New Roman" w:cs="Times New Roman"/>
                <w:b/>
                <w:color w:val="000000"/>
                <w:sz w:val="20"/>
                <w:szCs w:val="20"/>
                <w:lang w:val="sq-AL"/>
              </w:rPr>
            </w:pPr>
          </w:p>
        </w:tc>
        <w:tc>
          <w:tcPr>
            <w:tcW w:w="3365" w:type="dxa"/>
            <w:gridSpan w:val="6"/>
            <w:shd w:val="clear" w:color="auto" w:fill="auto"/>
          </w:tcPr>
          <w:p w:rsidR="00734862" w:rsidRPr="00083AD4" w:rsidRDefault="00734862" w:rsidP="00734862">
            <w:pPr>
              <w:jc w:val="both"/>
              <w:rPr>
                <w:rFonts w:ascii="Times New Roman" w:eastAsia="Times New Roman" w:hAnsi="Times New Roman" w:cs="Times New Roman"/>
                <w:color w:val="000000"/>
                <w:sz w:val="20"/>
                <w:szCs w:val="20"/>
                <w:lang w:val="sq-AL"/>
              </w:rPr>
            </w:pPr>
            <w:r w:rsidRPr="00083AD4">
              <w:rPr>
                <w:rFonts w:ascii="Times New Roman" w:eastAsia="Times New Roman" w:hAnsi="Times New Roman" w:cs="Times New Roman"/>
                <w:color w:val="000000"/>
                <w:sz w:val="20"/>
                <w:szCs w:val="20"/>
                <w:lang w:val="sq-AL"/>
              </w:rPr>
              <w:t>Sanksione të mjaftueshme parandaluese ndaj korrupsionit në përputhje me acquis të BE-së dhe Konventën e OKB-së kundër Korrupsionit të sanksionuara në Kodin Penal deri në vitin 2025.</w:t>
            </w:r>
          </w:p>
          <w:p w:rsidR="00734862" w:rsidRPr="00083AD4" w:rsidRDefault="00734862" w:rsidP="00734862">
            <w:pPr>
              <w:jc w:val="both"/>
              <w:textAlignment w:val="baseline"/>
              <w:rPr>
                <w:rFonts w:ascii="Times New Roman" w:eastAsia="Times New Roman" w:hAnsi="Times New Roman" w:cs="Times New Roman"/>
                <w:color w:val="000000"/>
                <w:sz w:val="20"/>
                <w:szCs w:val="20"/>
                <w:lang w:val="sq-AL"/>
              </w:rPr>
            </w:pPr>
          </w:p>
          <w:p w:rsidR="00734862" w:rsidRPr="00083AD4" w:rsidRDefault="00734862" w:rsidP="00734862">
            <w:pPr>
              <w:jc w:val="both"/>
              <w:textAlignment w:val="baseline"/>
              <w:rPr>
                <w:rFonts w:ascii="Times New Roman" w:eastAsia="Times New Roman" w:hAnsi="Times New Roman" w:cs="Times New Roman"/>
                <w:color w:val="000000"/>
                <w:sz w:val="20"/>
                <w:szCs w:val="20"/>
                <w:lang w:val="sq-AL"/>
              </w:rPr>
            </w:pPr>
            <w:r w:rsidRPr="00083AD4">
              <w:rPr>
                <w:rFonts w:ascii="Times New Roman" w:eastAsia="Times New Roman" w:hAnsi="Times New Roman" w:cs="Times New Roman"/>
                <w:color w:val="000000"/>
                <w:sz w:val="20"/>
                <w:szCs w:val="20"/>
                <w:lang w:val="sq-AL"/>
              </w:rPr>
              <w:t>Zyrtarizimi i bashkëpunimit ndërmjet Policisë së S</w:t>
            </w:r>
            <w:r w:rsidR="00211CD2" w:rsidRPr="00083AD4">
              <w:rPr>
                <w:rFonts w:ascii="Times New Roman" w:eastAsia="Times New Roman" w:hAnsi="Times New Roman" w:cs="Times New Roman"/>
                <w:color w:val="000000"/>
                <w:sz w:val="20"/>
                <w:szCs w:val="20"/>
                <w:lang w:val="sq-AL"/>
              </w:rPr>
              <w:t>htetit Shqiptar, SPAK-ut dhe BKH</w:t>
            </w:r>
            <w:r w:rsidRPr="00083AD4">
              <w:rPr>
                <w:rFonts w:ascii="Times New Roman" w:eastAsia="Times New Roman" w:hAnsi="Times New Roman" w:cs="Times New Roman"/>
                <w:color w:val="000000"/>
                <w:sz w:val="20"/>
                <w:szCs w:val="20"/>
                <w:lang w:val="sq-AL"/>
              </w:rPr>
              <w:t>-së me qëllim vendosjen e modaliteteve të punës së bashkëpunimit brenda vitit 2024.</w:t>
            </w:r>
          </w:p>
          <w:p w:rsidR="00734862" w:rsidRPr="00083AD4" w:rsidRDefault="00734862" w:rsidP="00734862">
            <w:pPr>
              <w:jc w:val="both"/>
              <w:textAlignment w:val="baseline"/>
              <w:rPr>
                <w:rFonts w:ascii="Times New Roman" w:eastAsia="Times New Roman" w:hAnsi="Times New Roman" w:cs="Times New Roman"/>
                <w:color w:val="000000"/>
                <w:sz w:val="20"/>
                <w:szCs w:val="20"/>
                <w:lang w:val="sq-AL"/>
              </w:rPr>
            </w:pPr>
          </w:p>
          <w:p w:rsidR="00734862" w:rsidRPr="00083AD4" w:rsidRDefault="00734862" w:rsidP="00734862">
            <w:pPr>
              <w:jc w:val="both"/>
              <w:textAlignment w:val="baseline"/>
              <w:rPr>
                <w:rFonts w:ascii="Times New Roman" w:eastAsia="Times New Roman" w:hAnsi="Times New Roman" w:cs="Times New Roman"/>
                <w:color w:val="000000"/>
                <w:sz w:val="20"/>
                <w:szCs w:val="20"/>
                <w:lang w:val="sq-AL"/>
              </w:rPr>
            </w:pPr>
          </w:p>
          <w:p w:rsidR="00734862" w:rsidRPr="00A72EFD" w:rsidRDefault="00734862" w:rsidP="00734862">
            <w:pPr>
              <w:jc w:val="both"/>
              <w:rPr>
                <w:rFonts w:ascii="Times New Roman" w:eastAsia="Arial" w:hAnsi="Times New Roman" w:cs="Times New Roman"/>
                <w:color w:val="000000"/>
                <w:sz w:val="20"/>
                <w:szCs w:val="20"/>
                <w:lang w:val="sq-AL"/>
              </w:rPr>
            </w:pPr>
          </w:p>
        </w:tc>
        <w:tc>
          <w:tcPr>
            <w:tcW w:w="3078" w:type="dxa"/>
            <w:gridSpan w:val="3"/>
            <w:shd w:val="clear" w:color="auto" w:fill="auto"/>
          </w:tcPr>
          <w:p w:rsidR="00734862" w:rsidRPr="00083AD4" w:rsidRDefault="00734862" w:rsidP="00734862">
            <w:pPr>
              <w:jc w:val="both"/>
              <w:textAlignment w:val="baseline"/>
              <w:rPr>
                <w:rFonts w:ascii="Times New Roman" w:eastAsia="Times New Roman" w:hAnsi="Times New Roman" w:cs="Times New Roman"/>
                <w:color w:val="000000" w:themeColor="text1"/>
                <w:sz w:val="20"/>
                <w:szCs w:val="20"/>
                <w:lang w:val="sq-AL"/>
              </w:rPr>
            </w:pPr>
            <w:r w:rsidRPr="00083AD4">
              <w:rPr>
                <w:rFonts w:ascii="Times New Roman" w:eastAsia="Times New Roman" w:hAnsi="Times New Roman" w:cs="Times New Roman"/>
                <w:color w:val="000000" w:themeColor="text1"/>
                <w:sz w:val="20"/>
                <w:szCs w:val="20"/>
                <w:lang w:val="sq-AL"/>
              </w:rPr>
              <w:t>Mbajtja e nivelit adekuat të shpërndarjes së burimeve për SPAK-un mbi bazën e rishikimit vjetor për të mbështetur kapacitetet e sektorit të tij për korrupsionin bazuar në vitin 2030.</w:t>
            </w:r>
          </w:p>
          <w:p w:rsidR="00734862" w:rsidRPr="00083AD4" w:rsidRDefault="00734862" w:rsidP="00734862">
            <w:pPr>
              <w:jc w:val="both"/>
              <w:textAlignment w:val="baseline"/>
              <w:rPr>
                <w:rFonts w:ascii="Times New Roman" w:eastAsia="Times New Roman" w:hAnsi="Times New Roman" w:cs="Times New Roman"/>
                <w:color w:val="000000" w:themeColor="text1"/>
                <w:sz w:val="20"/>
                <w:szCs w:val="20"/>
                <w:lang w:val="sq-AL"/>
              </w:rPr>
            </w:pPr>
          </w:p>
          <w:p w:rsidR="00734862" w:rsidRPr="00083AD4" w:rsidRDefault="00512CCF" w:rsidP="00734862">
            <w:pPr>
              <w:jc w:val="both"/>
              <w:textAlignment w:val="baseline"/>
              <w:rPr>
                <w:rFonts w:ascii="Times New Roman" w:eastAsia="Times New Roman" w:hAnsi="Times New Roman" w:cs="Times New Roman"/>
                <w:color w:val="000000" w:themeColor="text1"/>
                <w:sz w:val="20"/>
                <w:szCs w:val="20"/>
                <w:lang w:val="sq-AL"/>
              </w:rPr>
            </w:pPr>
            <w:r w:rsidRPr="00512CCF">
              <w:rPr>
                <w:rFonts w:ascii="Times New Roman" w:eastAsia="Calibri" w:hAnsi="Times New Roman" w:cs="Times New Roman"/>
                <w:color w:val="000000"/>
                <w:sz w:val="20"/>
                <w:szCs w:val="20"/>
                <w:lang w:val="sq-AL"/>
              </w:rPr>
              <w:t>Fuqizimi i BKH-së përmes rekrutimit të oficerëve të Policisë Gjyqësore</w:t>
            </w:r>
            <w:r w:rsidRPr="00083AD4">
              <w:rPr>
                <w:rFonts w:ascii="Times New Roman" w:eastAsia="Calibri" w:hAnsi="Times New Roman" w:cs="Times New Roman"/>
                <w:color w:val="000000"/>
                <w:sz w:val="20"/>
                <w:szCs w:val="20"/>
                <w:lang w:val="sq-AL"/>
              </w:rPr>
              <w:t xml:space="preserve"> </w:t>
            </w:r>
            <w:r>
              <w:rPr>
                <w:rFonts w:ascii="Times New Roman" w:eastAsia="Calibri" w:hAnsi="Times New Roman" w:cs="Times New Roman"/>
                <w:color w:val="000000"/>
                <w:sz w:val="20"/>
                <w:szCs w:val="20"/>
                <w:lang w:val="sq-AL"/>
              </w:rPr>
              <w:t xml:space="preserve"> brenda vitit </w:t>
            </w:r>
            <w:r w:rsidR="00734862" w:rsidRPr="00083AD4">
              <w:rPr>
                <w:rFonts w:ascii="Times New Roman" w:eastAsia="Calibri" w:hAnsi="Times New Roman" w:cs="Times New Roman"/>
                <w:color w:val="000000"/>
                <w:sz w:val="20"/>
                <w:szCs w:val="20"/>
                <w:lang w:val="sq-AL"/>
              </w:rPr>
              <w:t>2025.</w:t>
            </w:r>
          </w:p>
          <w:p w:rsidR="00734862" w:rsidRPr="00083AD4" w:rsidRDefault="00734862" w:rsidP="00734862">
            <w:pPr>
              <w:jc w:val="both"/>
              <w:rPr>
                <w:rFonts w:ascii="Times New Roman" w:hAnsi="Times New Roman" w:cs="Times New Roman"/>
                <w:color w:val="000000" w:themeColor="text1"/>
                <w:sz w:val="20"/>
                <w:szCs w:val="20"/>
                <w:lang w:val="sq-AL"/>
              </w:rPr>
            </w:pPr>
          </w:p>
          <w:p w:rsidR="00734862" w:rsidRPr="00083AD4" w:rsidRDefault="009A3016" w:rsidP="00734862">
            <w:pPr>
              <w:jc w:val="both"/>
              <w:rPr>
                <w:rFonts w:ascii="Times New Roman" w:hAnsi="Times New Roman" w:cs="Times New Roman"/>
                <w:color w:val="000000" w:themeColor="text1"/>
                <w:sz w:val="20"/>
                <w:szCs w:val="20"/>
                <w:lang w:val="sq-AL"/>
              </w:rPr>
            </w:pPr>
            <w:r>
              <w:rPr>
                <w:rFonts w:ascii="Times New Roman" w:eastAsia="Calibri" w:hAnsi="Times New Roman" w:cs="Times New Roman"/>
                <w:color w:val="000000"/>
                <w:sz w:val="20"/>
                <w:szCs w:val="20"/>
                <w:lang w:val="sq-AL"/>
              </w:rPr>
              <w:t xml:space="preserve">Krijimi i </w:t>
            </w:r>
            <w:r w:rsidRPr="009A3016">
              <w:rPr>
                <w:rFonts w:ascii="Times New Roman" w:eastAsia="Calibri" w:hAnsi="Times New Roman" w:cs="Times New Roman"/>
                <w:color w:val="000000"/>
                <w:sz w:val="20"/>
                <w:szCs w:val="20"/>
                <w:lang w:val="sq-AL"/>
              </w:rPr>
              <w:t xml:space="preserve">një njësie efektive të përgjimit parandalues, njësisë së vlerësimit të rrezikut dhe njësisë së bashkëpunimit ndërkombëtar funksional </w:t>
            </w:r>
            <w:r w:rsidR="00693BC8" w:rsidRPr="00083AD4">
              <w:rPr>
                <w:rFonts w:ascii="Times New Roman" w:hAnsi="Times New Roman" w:cs="Times New Roman"/>
                <w:color w:val="000000" w:themeColor="text1"/>
                <w:sz w:val="20"/>
                <w:szCs w:val="20"/>
                <w:lang w:val="sq-AL"/>
              </w:rPr>
              <w:t xml:space="preserve"> në BKH</w:t>
            </w:r>
            <w:r w:rsidR="00734862" w:rsidRPr="00083AD4">
              <w:rPr>
                <w:rFonts w:ascii="Times New Roman" w:hAnsi="Times New Roman" w:cs="Times New Roman"/>
                <w:color w:val="000000" w:themeColor="text1"/>
                <w:sz w:val="20"/>
                <w:szCs w:val="20"/>
                <w:lang w:val="sq-AL"/>
              </w:rPr>
              <w:t xml:space="preserve"> </w:t>
            </w:r>
            <w:r>
              <w:rPr>
                <w:rFonts w:ascii="Times New Roman" w:hAnsi="Times New Roman" w:cs="Times New Roman"/>
                <w:color w:val="000000" w:themeColor="text1"/>
                <w:sz w:val="20"/>
                <w:szCs w:val="20"/>
                <w:lang w:val="sq-AL"/>
              </w:rPr>
              <w:t>brenda vitit</w:t>
            </w:r>
            <w:r w:rsidR="00734862" w:rsidRPr="00083AD4">
              <w:rPr>
                <w:rFonts w:ascii="Times New Roman" w:hAnsi="Times New Roman" w:cs="Times New Roman"/>
                <w:color w:val="000000" w:themeColor="text1"/>
                <w:sz w:val="20"/>
                <w:szCs w:val="20"/>
                <w:lang w:val="sq-AL"/>
              </w:rPr>
              <w:t xml:space="preserve"> 2025.</w:t>
            </w:r>
          </w:p>
          <w:p w:rsidR="00734862" w:rsidRPr="00083AD4" w:rsidRDefault="00734862" w:rsidP="00734862">
            <w:pPr>
              <w:jc w:val="both"/>
              <w:rPr>
                <w:rFonts w:ascii="Times New Roman" w:hAnsi="Times New Roman" w:cs="Times New Roman"/>
                <w:color w:val="000000" w:themeColor="text1"/>
                <w:sz w:val="20"/>
                <w:szCs w:val="20"/>
                <w:lang w:val="sq-AL"/>
              </w:rPr>
            </w:pPr>
          </w:p>
          <w:p w:rsidR="00734862" w:rsidRPr="009A3016" w:rsidRDefault="009A3016" w:rsidP="00734862">
            <w:pPr>
              <w:jc w:val="both"/>
              <w:textAlignment w:val="baseline"/>
              <w:rPr>
                <w:rFonts w:ascii="Times New Roman" w:eastAsia="Times New Roman" w:hAnsi="Times New Roman" w:cs="Times New Roman"/>
                <w:bCs/>
                <w:color w:val="000000" w:themeColor="text1"/>
                <w:sz w:val="20"/>
                <w:szCs w:val="20"/>
                <w:lang w:val="sq-AL"/>
              </w:rPr>
            </w:pPr>
            <w:r w:rsidRPr="009A3016">
              <w:rPr>
                <w:rFonts w:ascii="Times New Roman" w:eastAsia="Times New Roman" w:hAnsi="Times New Roman" w:cs="Times New Roman"/>
                <w:bCs/>
                <w:color w:val="000000" w:themeColor="text1"/>
                <w:sz w:val="20"/>
                <w:szCs w:val="20"/>
                <w:lang w:val="sq-AL"/>
              </w:rPr>
              <w:t xml:space="preserve">SPAK dhe gjykatat e </w:t>
            </w:r>
            <w:r w:rsidR="00734862" w:rsidRPr="009A3016">
              <w:rPr>
                <w:rFonts w:ascii="Times New Roman" w:eastAsia="Times New Roman" w:hAnsi="Times New Roman" w:cs="Times New Roman"/>
                <w:bCs/>
                <w:color w:val="000000" w:themeColor="text1"/>
                <w:sz w:val="20"/>
                <w:szCs w:val="20"/>
                <w:lang w:val="sq-AL"/>
              </w:rPr>
              <w:t xml:space="preserve">posaçme </w:t>
            </w:r>
            <w:r w:rsidRPr="009A3016">
              <w:rPr>
                <w:rFonts w:ascii="Times New Roman" w:eastAsia="Times New Roman" w:hAnsi="Times New Roman" w:cs="Times New Roman"/>
                <w:bCs/>
                <w:color w:val="000000" w:themeColor="text1"/>
                <w:sz w:val="20"/>
                <w:szCs w:val="20"/>
                <w:lang w:val="sq-AL"/>
              </w:rPr>
              <w:t>kan</w:t>
            </w:r>
            <w:r>
              <w:rPr>
                <w:rFonts w:ascii="Times New Roman" w:eastAsia="Times New Roman" w:hAnsi="Times New Roman" w:cs="Times New Roman"/>
                <w:bCs/>
                <w:color w:val="000000" w:themeColor="text1"/>
                <w:sz w:val="20"/>
                <w:szCs w:val="20"/>
                <w:lang w:val="sq-AL"/>
              </w:rPr>
              <w:t xml:space="preserve">ë </w:t>
            </w:r>
            <w:r w:rsidR="00734862" w:rsidRPr="009A3016">
              <w:rPr>
                <w:rFonts w:ascii="Times New Roman" w:eastAsia="Times New Roman" w:hAnsi="Times New Roman" w:cs="Times New Roman"/>
                <w:bCs/>
                <w:color w:val="000000" w:themeColor="text1"/>
                <w:sz w:val="20"/>
                <w:szCs w:val="20"/>
                <w:lang w:val="sq-AL"/>
              </w:rPr>
              <w:t>personel të plotë deri në vitin 2024.</w:t>
            </w:r>
          </w:p>
          <w:p w:rsidR="00734862" w:rsidRPr="009A3016" w:rsidRDefault="00734862" w:rsidP="00734862">
            <w:pPr>
              <w:jc w:val="both"/>
              <w:textAlignment w:val="baseline"/>
              <w:rPr>
                <w:rFonts w:ascii="Times New Roman" w:eastAsia="Times New Roman" w:hAnsi="Times New Roman" w:cs="Times New Roman"/>
                <w:bCs/>
                <w:color w:val="000000" w:themeColor="text1"/>
                <w:sz w:val="20"/>
                <w:szCs w:val="20"/>
                <w:lang w:val="sq-AL"/>
              </w:rPr>
            </w:pPr>
          </w:p>
          <w:p w:rsidR="00734862" w:rsidRPr="009A3016" w:rsidRDefault="00734862" w:rsidP="00734862">
            <w:pPr>
              <w:tabs>
                <w:tab w:val="left" w:pos="567"/>
              </w:tabs>
              <w:spacing w:after="120"/>
              <w:jc w:val="both"/>
              <w:rPr>
                <w:rFonts w:ascii="Times New Roman" w:eastAsia="Calibri" w:hAnsi="Times New Roman" w:cs="Times New Roman"/>
                <w:color w:val="000000"/>
                <w:sz w:val="20"/>
                <w:szCs w:val="20"/>
                <w:lang w:val="sq-AL"/>
              </w:rPr>
            </w:pPr>
            <w:r w:rsidRPr="009A3016">
              <w:rPr>
                <w:rFonts w:ascii="Times New Roman" w:eastAsia="Times New Roman" w:hAnsi="Times New Roman" w:cs="Times New Roman"/>
                <w:color w:val="000000"/>
                <w:sz w:val="20"/>
                <w:szCs w:val="20"/>
                <w:lang w:val="sq-AL"/>
              </w:rPr>
              <w:t>SPAK ka</w:t>
            </w:r>
            <w:r w:rsidR="009A3016" w:rsidRPr="009A3016">
              <w:rPr>
                <w:rFonts w:ascii="Times New Roman" w:eastAsia="Times New Roman" w:hAnsi="Times New Roman" w:cs="Times New Roman"/>
                <w:color w:val="000000"/>
                <w:sz w:val="20"/>
                <w:szCs w:val="20"/>
                <w:lang w:val="sq-AL"/>
              </w:rPr>
              <w:t xml:space="preserve"> f</w:t>
            </w:r>
            <w:r w:rsidR="009A3016">
              <w:rPr>
                <w:rFonts w:ascii="Times New Roman" w:eastAsia="Times New Roman" w:hAnsi="Times New Roman" w:cs="Times New Roman"/>
                <w:color w:val="000000"/>
                <w:sz w:val="20"/>
                <w:szCs w:val="20"/>
                <w:lang w:val="sq-AL"/>
              </w:rPr>
              <w:t>unksional</w:t>
            </w:r>
            <w:r w:rsidRPr="009A3016">
              <w:rPr>
                <w:rFonts w:ascii="Times New Roman" w:eastAsia="Times New Roman" w:hAnsi="Times New Roman" w:cs="Times New Roman"/>
                <w:color w:val="000000"/>
                <w:sz w:val="20"/>
                <w:szCs w:val="20"/>
                <w:lang w:val="sq-AL"/>
              </w:rPr>
              <w:t xml:space="preserve"> një sistem të menaxhimit të çështjeve deri në vitin 2027.</w:t>
            </w:r>
          </w:p>
          <w:p w:rsidR="00734862" w:rsidRPr="009A3016" w:rsidRDefault="00734862" w:rsidP="00734862">
            <w:pPr>
              <w:jc w:val="both"/>
              <w:textAlignment w:val="baseline"/>
              <w:rPr>
                <w:rFonts w:ascii="Times New Roman" w:eastAsia="Times New Roman" w:hAnsi="Times New Roman" w:cs="Times New Roman"/>
                <w:color w:val="242424"/>
                <w:sz w:val="20"/>
                <w:szCs w:val="20"/>
                <w:lang w:val="sq-AL"/>
              </w:rPr>
            </w:pPr>
          </w:p>
          <w:p w:rsidR="00734862" w:rsidRPr="009A3016" w:rsidRDefault="00734862" w:rsidP="00734862">
            <w:pPr>
              <w:jc w:val="both"/>
              <w:textAlignment w:val="baseline"/>
              <w:rPr>
                <w:rFonts w:ascii="Times New Roman" w:eastAsia="Times New Roman" w:hAnsi="Times New Roman" w:cs="Times New Roman"/>
                <w:color w:val="242424"/>
                <w:sz w:val="20"/>
                <w:szCs w:val="20"/>
                <w:lang w:val="sq-AL"/>
              </w:rPr>
            </w:pPr>
            <w:r w:rsidRPr="009A3016">
              <w:rPr>
                <w:rFonts w:ascii="Times New Roman" w:eastAsia="Times New Roman" w:hAnsi="Times New Roman" w:cs="Times New Roman"/>
                <w:color w:val="242424"/>
                <w:sz w:val="20"/>
                <w:szCs w:val="20"/>
                <w:lang w:val="sq-AL"/>
              </w:rPr>
              <w:t>Rritja e bashkëpunimit mes prokurorive dhe p</w:t>
            </w:r>
            <w:r w:rsidR="00693BC8" w:rsidRPr="009A3016">
              <w:rPr>
                <w:rFonts w:ascii="Times New Roman" w:eastAsia="Times New Roman" w:hAnsi="Times New Roman" w:cs="Times New Roman"/>
                <w:color w:val="242424"/>
                <w:sz w:val="20"/>
                <w:szCs w:val="20"/>
                <w:lang w:val="sq-AL"/>
              </w:rPr>
              <w:t xml:space="preserve">olicisë, përfshirë </w:t>
            </w:r>
            <w:r w:rsidR="00693BC8" w:rsidRPr="009A3016">
              <w:rPr>
                <w:rFonts w:ascii="Times New Roman" w:eastAsia="Times New Roman" w:hAnsi="Times New Roman" w:cs="Times New Roman"/>
                <w:color w:val="242424"/>
                <w:sz w:val="20"/>
                <w:szCs w:val="20"/>
                <w:lang w:val="sq-AL"/>
              </w:rPr>
              <w:lastRenderedPageBreak/>
              <w:t xml:space="preserve">Prokurorinë e </w:t>
            </w:r>
            <w:r w:rsidR="009A3016" w:rsidRPr="009A3016">
              <w:rPr>
                <w:rFonts w:ascii="Times New Roman" w:eastAsia="Times New Roman" w:hAnsi="Times New Roman" w:cs="Times New Roman"/>
                <w:color w:val="242424"/>
                <w:sz w:val="20"/>
                <w:szCs w:val="20"/>
                <w:lang w:val="sq-AL"/>
              </w:rPr>
              <w:t>Përgjithshme, SPAK, BKH, Policin</w:t>
            </w:r>
            <w:r w:rsidR="009A3016">
              <w:rPr>
                <w:rFonts w:ascii="Times New Roman" w:eastAsia="Times New Roman" w:hAnsi="Times New Roman" w:cs="Times New Roman"/>
                <w:color w:val="242424"/>
                <w:sz w:val="20"/>
                <w:szCs w:val="20"/>
                <w:lang w:val="sq-AL"/>
              </w:rPr>
              <w:t>ë</w:t>
            </w:r>
            <w:r w:rsidR="00693BC8" w:rsidRPr="009A3016">
              <w:rPr>
                <w:rFonts w:ascii="Times New Roman" w:eastAsia="Times New Roman" w:hAnsi="Times New Roman" w:cs="Times New Roman"/>
                <w:color w:val="242424"/>
                <w:sz w:val="20"/>
                <w:szCs w:val="20"/>
                <w:lang w:val="sq-AL"/>
              </w:rPr>
              <w:t xml:space="preserve"> e Shtetit</w:t>
            </w:r>
            <w:r w:rsidRPr="009A3016">
              <w:rPr>
                <w:rFonts w:ascii="Times New Roman" w:eastAsia="Times New Roman" w:hAnsi="Times New Roman" w:cs="Times New Roman"/>
                <w:color w:val="242424"/>
                <w:sz w:val="20"/>
                <w:szCs w:val="20"/>
                <w:lang w:val="sq-AL"/>
              </w:rPr>
              <w:t xml:space="preserve"> deri në vitin 2027.</w:t>
            </w:r>
          </w:p>
          <w:p w:rsidR="00734862" w:rsidRPr="009A3016" w:rsidRDefault="00734862" w:rsidP="00734862">
            <w:pPr>
              <w:jc w:val="both"/>
              <w:textAlignment w:val="baseline"/>
              <w:rPr>
                <w:rFonts w:ascii="Times New Roman" w:eastAsia="Times New Roman" w:hAnsi="Times New Roman" w:cs="Times New Roman"/>
                <w:color w:val="242424"/>
                <w:sz w:val="20"/>
                <w:szCs w:val="20"/>
                <w:lang w:val="sq-AL"/>
              </w:rPr>
            </w:pPr>
          </w:p>
          <w:p w:rsidR="00734862" w:rsidRPr="00083AD4" w:rsidRDefault="00734862" w:rsidP="00734862">
            <w:pPr>
              <w:jc w:val="both"/>
              <w:rPr>
                <w:rFonts w:ascii="Times New Roman" w:eastAsia="Times New Roman" w:hAnsi="Times New Roman" w:cs="Times New Roman"/>
                <w:color w:val="000000"/>
                <w:sz w:val="20"/>
                <w:szCs w:val="20"/>
                <w:lang w:val="it-IT"/>
              </w:rPr>
            </w:pPr>
            <w:r w:rsidRPr="00083AD4">
              <w:rPr>
                <w:rFonts w:ascii="Times New Roman" w:eastAsia="Times New Roman" w:hAnsi="Times New Roman" w:cs="Times New Roman"/>
                <w:color w:val="242424"/>
                <w:sz w:val="20"/>
                <w:szCs w:val="20"/>
                <w:lang w:val="it-IT"/>
              </w:rPr>
              <w:t>Forcimi i kapaciteteve hetimore duke mundësuar aksesin e nevojshëm në bazat e të dhënave shtetërore deri në vitin 2025.</w:t>
            </w:r>
          </w:p>
        </w:tc>
        <w:tc>
          <w:tcPr>
            <w:tcW w:w="5164" w:type="dxa"/>
            <w:gridSpan w:val="4"/>
            <w:shd w:val="clear" w:color="auto" w:fill="auto"/>
          </w:tcPr>
          <w:p w:rsidR="00734862" w:rsidRPr="00083AD4" w:rsidRDefault="00734862" w:rsidP="00734862">
            <w:pPr>
              <w:jc w:val="both"/>
              <w:rPr>
                <w:rFonts w:ascii="Times New Roman" w:eastAsia="Times New Roman" w:hAnsi="Times New Roman" w:cs="Times New Roman"/>
                <w:color w:val="000000"/>
                <w:sz w:val="20"/>
                <w:szCs w:val="20"/>
                <w:lang w:val="it-IT"/>
              </w:rPr>
            </w:pPr>
            <w:r w:rsidRPr="00083AD4">
              <w:rPr>
                <w:rFonts w:ascii="Times New Roman" w:eastAsia="Times New Roman" w:hAnsi="Times New Roman" w:cs="Times New Roman"/>
                <w:color w:val="000000"/>
                <w:sz w:val="20"/>
                <w:szCs w:val="20"/>
                <w:lang w:val="it-IT"/>
              </w:rPr>
              <w:lastRenderedPageBreak/>
              <w:t>Konsolidim i qëndrueshëm dhe konsistent i organeve të zbatimit të ligjit dhe gjykatave deri në vitin 2030.</w:t>
            </w:r>
          </w:p>
          <w:p w:rsidR="00734862" w:rsidRPr="00083AD4" w:rsidRDefault="00734862" w:rsidP="00734862">
            <w:pPr>
              <w:jc w:val="both"/>
              <w:rPr>
                <w:rFonts w:ascii="Times New Roman" w:eastAsia="Times New Roman" w:hAnsi="Times New Roman" w:cs="Times New Roman"/>
                <w:color w:val="000000"/>
                <w:sz w:val="20"/>
                <w:szCs w:val="20"/>
                <w:lang w:val="it-IT"/>
              </w:rPr>
            </w:pPr>
          </w:p>
          <w:p w:rsidR="00734862" w:rsidRPr="00083AD4" w:rsidRDefault="00734862" w:rsidP="00734862">
            <w:pPr>
              <w:jc w:val="both"/>
              <w:rPr>
                <w:rFonts w:ascii="Times New Roman" w:eastAsia="Times New Roman" w:hAnsi="Times New Roman" w:cs="Times New Roman"/>
                <w:color w:val="000000"/>
                <w:sz w:val="20"/>
                <w:szCs w:val="20"/>
                <w:lang w:val="it-IT"/>
              </w:rPr>
            </w:pPr>
          </w:p>
        </w:tc>
      </w:tr>
      <w:tr w:rsidR="00734862" w:rsidRPr="00EF61F7" w:rsidTr="00FB2DFB">
        <w:trPr>
          <w:trHeight w:val="300"/>
        </w:trPr>
        <w:tc>
          <w:tcPr>
            <w:tcW w:w="2973" w:type="dxa"/>
            <w:shd w:val="clear" w:color="auto" w:fill="auto"/>
          </w:tcPr>
          <w:p w:rsidR="00734862" w:rsidRPr="00AC744C" w:rsidRDefault="00EF61F7" w:rsidP="00EF61F7">
            <w:pPr>
              <w:tabs>
                <w:tab w:val="left" w:pos="2040"/>
              </w:tabs>
              <w:jc w:val="both"/>
              <w:textAlignment w:val="baseline"/>
              <w:rPr>
                <w:rFonts w:ascii="Times New Roman" w:eastAsia="Times New Roman" w:hAnsi="Times New Roman" w:cs="Times New Roman"/>
                <w:b/>
                <w:color w:val="000000"/>
                <w:sz w:val="20"/>
                <w:szCs w:val="20"/>
                <w:lang w:val="en-GB"/>
              </w:rPr>
            </w:pPr>
            <w:r>
              <w:rPr>
                <w:rFonts w:ascii="Times New Roman" w:eastAsia="Times New Roman" w:hAnsi="Times New Roman" w:cs="Times New Roman"/>
                <w:b/>
                <w:bCs/>
                <w:sz w:val="20"/>
                <w:szCs w:val="24"/>
              </w:rPr>
              <w:t>Historiku i hetimeve</w:t>
            </w:r>
          </w:p>
        </w:tc>
        <w:tc>
          <w:tcPr>
            <w:tcW w:w="11607" w:type="dxa"/>
            <w:gridSpan w:val="13"/>
            <w:shd w:val="clear" w:color="auto" w:fill="auto"/>
          </w:tcPr>
          <w:p w:rsidR="00734862" w:rsidRPr="00EF61F7" w:rsidRDefault="00734862" w:rsidP="00EF61F7">
            <w:pPr>
              <w:jc w:val="both"/>
              <w:rPr>
                <w:rFonts w:ascii="Times New Roman" w:eastAsia="Times New Roman" w:hAnsi="Times New Roman" w:cs="Times New Roman"/>
                <w:color w:val="000000"/>
                <w:sz w:val="20"/>
                <w:szCs w:val="20"/>
                <w:lang w:val="en-GB"/>
              </w:rPr>
            </w:pPr>
            <w:r w:rsidRPr="00EF61F7">
              <w:rPr>
                <w:rFonts w:ascii="Times New Roman" w:eastAsia="Times New Roman" w:hAnsi="Times New Roman" w:cs="Times New Roman"/>
                <w:b/>
                <w:bCs/>
                <w:color w:val="000000"/>
                <w:sz w:val="20"/>
                <w:szCs w:val="20"/>
                <w:lang w:val="en-GB"/>
              </w:rPr>
              <w:t xml:space="preserve">Rritja e progresit të mirë fillestar në krijimin e një </w:t>
            </w:r>
            <w:r w:rsidR="00EF61F7" w:rsidRPr="00EF61F7">
              <w:rPr>
                <w:rFonts w:ascii="Times New Roman" w:eastAsia="Times New Roman" w:hAnsi="Times New Roman" w:cs="Times New Roman"/>
                <w:b/>
                <w:bCs/>
                <w:color w:val="000000"/>
                <w:sz w:val="20"/>
                <w:szCs w:val="20"/>
                <w:lang w:val="en-GB"/>
              </w:rPr>
              <w:t>historiku solid hetimesh</w:t>
            </w:r>
            <w:r w:rsidRPr="00EF61F7">
              <w:rPr>
                <w:rFonts w:ascii="Times New Roman" w:eastAsia="Times New Roman" w:hAnsi="Times New Roman" w:cs="Times New Roman"/>
                <w:b/>
                <w:bCs/>
                <w:color w:val="000000"/>
                <w:sz w:val="20"/>
                <w:szCs w:val="20"/>
                <w:lang w:val="en-GB"/>
              </w:rPr>
              <w:t xml:space="preserve"> antikorrupsion</w:t>
            </w:r>
          </w:p>
        </w:tc>
      </w:tr>
      <w:tr w:rsidR="00734862" w:rsidRPr="009545A1" w:rsidTr="00FB2DFB">
        <w:trPr>
          <w:trHeight w:val="2020"/>
        </w:trPr>
        <w:tc>
          <w:tcPr>
            <w:tcW w:w="2973" w:type="dxa"/>
            <w:shd w:val="clear" w:color="auto" w:fill="auto"/>
          </w:tcPr>
          <w:p w:rsidR="00734862" w:rsidRPr="00AC744C" w:rsidRDefault="00734862" w:rsidP="00734862">
            <w:pPr>
              <w:jc w:val="both"/>
              <w:textAlignment w:val="baseline"/>
              <w:rPr>
                <w:rFonts w:ascii="Times New Roman" w:eastAsia="Times New Roman" w:hAnsi="Times New Roman" w:cs="Times New Roman"/>
                <w:b/>
                <w:color w:val="000000"/>
                <w:sz w:val="20"/>
                <w:szCs w:val="20"/>
                <w:lang w:val="en-GB"/>
              </w:rPr>
            </w:pPr>
            <w:r>
              <w:rPr>
                <w:rFonts w:ascii="Times New Roman" w:eastAsia="Times New Roman" w:hAnsi="Times New Roman" w:cs="Times New Roman"/>
                <w:sz w:val="20"/>
                <w:szCs w:val="24"/>
              </w:rPr>
              <w:t>Hetimi penal dhe dënimi</w:t>
            </w:r>
          </w:p>
        </w:tc>
        <w:tc>
          <w:tcPr>
            <w:tcW w:w="3365" w:type="dxa"/>
            <w:gridSpan w:val="6"/>
            <w:shd w:val="clear" w:color="auto" w:fill="auto"/>
          </w:tcPr>
          <w:p w:rsidR="00734862" w:rsidRDefault="00734862" w:rsidP="00F10CB0">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Analiza e efi</w:t>
            </w:r>
            <w:r w:rsidR="00EF61F7">
              <w:rPr>
                <w:rFonts w:ascii="Times New Roman" w:eastAsia="Times New Roman" w:hAnsi="Times New Roman" w:cs="Times New Roman"/>
                <w:color w:val="000000"/>
                <w:sz w:val="20"/>
                <w:szCs w:val="20"/>
              </w:rPr>
              <w:t xml:space="preserve">ciencës </w:t>
            </w:r>
            <w:r>
              <w:rPr>
                <w:rFonts w:ascii="Times New Roman" w:eastAsia="Times New Roman" w:hAnsi="Times New Roman" w:cs="Times New Roman"/>
                <w:color w:val="000000"/>
                <w:sz w:val="20"/>
                <w:szCs w:val="20"/>
              </w:rPr>
              <w:t xml:space="preserve">do të kryhet deri në vitin 2024 në kuadër të konsolidimit të reformës në drejtësi, për të trajtuar, ndër të </w:t>
            </w:r>
            <w:r w:rsidR="00EF61F7">
              <w:rPr>
                <w:rFonts w:ascii="Times New Roman" w:eastAsia="Times New Roman" w:hAnsi="Times New Roman" w:cs="Times New Roman"/>
                <w:color w:val="000000"/>
                <w:sz w:val="20"/>
                <w:szCs w:val="20"/>
              </w:rPr>
              <w:t xml:space="preserve">tjera, çështje të historikut të hetimeve të </w:t>
            </w:r>
            <w:r>
              <w:rPr>
                <w:rFonts w:ascii="Times New Roman" w:eastAsia="Times New Roman" w:hAnsi="Times New Roman" w:cs="Times New Roman"/>
                <w:color w:val="000000"/>
                <w:sz w:val="20"/>
                <w:szCs w:val="20"/>
              </w:rPr>
              <w:t>prokurorisë dhe gjykatave të SPAK, duke përfshirë vendet vakante, menaxhimin e gjykimeve, kohëzgjatjen e procedimeve dhe reduktimin e</w:t>
            </w:r>
            <w:r w:rsidR="004C1BB9">
              <w:rPr>
                <w:rFonts w:ascii="Times New Roman" w:eastAsia="Times New Roman" w:hAnsi="Times New Roman" w:cs="Times New Roman"/>
                <w:color w:val="000000"/>
                <w:sz w:val="20"/>
                <w:szCs w:val="20"/>
              </w:rPr>
              <w:t xml:space="preserve"> backlog</w:t>
            </w:r>
            <w:r w:rsidR="00F10CB0">
              <w:rPr>
                <w:rFonts w:ascii="Times New Roman" w:eastAsia="Times New Roman" w:hAnsi="Times New Roman" w:cs="Times New Roman"/>
                <w:color w:val="000000"/>
                <w:sz w:val="20"/>
                <w:szCs w:val="20"/>
              </w:rPr>
              <w:t>-ut</w:t>
            </w:r>
            <w:r>
              <w:rPr>
                <w:rFonts w:ascii="Times New Roman" w:eastAsia="Times New Roman" w:hAnsi="Times New Roman" w:cs="Times New Roman"/>
                <w:color w:val="000000"/>
                <w:sz w:val="20"/>
                <w:szCs w:val="20"/>
              </w:rPr>
              <w:t>.</w:t>
            </w:r>
          </w:p>
        </w:tc>
        <w:tc>
          <w:tcPr>
            <w:tcW w:w="3078" w:type="dxa"/>
            <w:gridSpan w:val="3"/>
            <w:shd w:val="clear" w:color="auto" w:fill="auto"/>
          </w:tcPr>
          <w:p w:rsidR="00734862" w:rsidRDefault="00734862" w:rsidP="00734862">
            <w:pPr>
              <w:jc w:val="both"/>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sz w:val="20"/>
                <w:szCs w:val="20"/>
              </w:rPr>
              <w:t>Fuqizimi i prokurorisë dhe gjykatave të SPAK-ut në hetimin proaktiv (përfshirë hetimin financiar), ndjekjen penale dhe dënimin për korrupsion përmes burimeve adekuate operacionale dhe njerëzore dhe trajnimeve të synuara çdo vit deri në vitin 2028.</w:t>
            </w:r>
          </w:p>
        </w:tc>
        <w:tc>
          <w:tcPr>
            <w:tcW w:w="5164" w:type="dxa"/>
            <w:gridSpan w:val="4"/>
            <w:shd w:val="clear" w:color="auto" w:fill="auto"/>
          </w:tcPr>
          <w:p w:rsidR="00734862" w:rsidRDefault="00734862" w:rsidP="00734862">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Rekorde sistematike </w:t>
            </w:r>
            <w:r w:rsidR="004C1BB9">
              <w:rPr>
                <w:rFonts w:ascii="Times New Roman" w:eastAsia="Times New Roman" w:hAnsi="Times New Roman" w:cs="Times New Roman"/>
                <w:color w:val="000000"/>
                <w:sz w:val="20"/>
                <w:szCs w:val="20"/>
              </w:rPr>
              <w:t>të</w:t>
            </w:r>
            <w:r>
              <w:rPr>
                <w:rFonts w:ascii="Times New Roman" w:eastAsia="Times New Roman" w:hAnsi="Times New Roman" w:cs="Times New Roman"/>
                <w:color w:val="000000"/>
                <w:sz w:val="20"/>
                <w:szCs w:val="20"/>
              </w:rPr>
              <w:t xml:space="preserve"> përmirësuar</w:t>
            </w:r>
            <w:r w:rsidR="004C1BB9">
              <w:rPr>
                <w:rFonts w:ascii="Times New Roman" w:eastAsia="Times New Roman" w:hAnsi="Times New Roman" w:cs="Times New Roman"/>
                <w:color w:val="000000"/>
                <w:sz w:val="20"/>
                <w:szCs w:val="20"/>
              </w:rPr>
              <w:t>a</w:t>
            </w:r>
            <w:r w:rsidR="00F10CB0">
              <w:rPr>
                <w:rFonts w:ascii="Times New Roman" w:eastAsia="Times New Roman" w:hAnsi="Times New Roman" w:cs="Times New Roman"/>
                <w:color w:val="000000"/>
                <w:sz w:val="20"/>
                <w:szCs w:val="20"/>
              </w:rPr>
              <w:t xml:space="preserve">, duke përfshirë dënime </w:t>
            </w:r>
            <w:r>
              <w:rPr>
                <w:rFonts w:ascii="Times New Roman" w:eastAsia="Times New Roman" w:hAnsi="Times New Roman" w:cs="Times New Roman"/>
                <w:color w:val="000000"/>
                <w:sz w:val="20"/>
                <w:szCs w:val="20"/>
              </w:rPr>
              <w:t>përfundimtar</w:t>
            </w:r>
            <w:r w:rsidR="00F10CB0">
              <w:rPr>
                <w:rFonts w:ascii="Times New Roman" w:eastAsia="Times New Roman" w:hAnsi="Times New Roman" w:cs="Times New Roman"/>
                <w:color w:val="000000"/>
                <w:sz w:val="20"/>
                <w:szCs w:val="20"/>
              </w:rPr>
              <w:t>e të zyrtarëve</w:t>
            </w:r>
            <w:r>
              <w:rPr>
                <w:rFonts w:ascii="Times New Roman" w:eastAsia="Times New Roman" w:hAnsi="Times New Roman" w:cs="Times New Roman"/>
                <w:color w:val="000000"/>
                <w:sz w:val="20"/>
                <w:szCs w:val="20"/>
              </w:rPr>
              <w:t xml:space="preserve"> të nivelit të lartë, për korrupsionin deri në vitin 2030.</w:t>
            </w:r>
          </w:p>
        </w:tc>
      </w:tr>
      <w:tr w:rsidR="00734862" w:rsidRPr="00083AD4" w:rsidTr="00FB2DFB">
        <w:trPr>
          <w:trHeight w:val="2020"/>
        </w:trPr>
        <w:tc>
          <w:tcPr>
            <w:tcW w:w="2973" w:type="dxa"/>
            <w:shd w:val="clear" w:color="auto" w:fill="auto"/>
          </w:tcPr>
          <w:p w:rsidR="00734862" w:rsidRPr="00083AD4" w:rsidRDefault="00734862" w:rsidP="00734862">
            <w:pPr>
              <w:jc w:val="both"/>
              <w:textAlignment w:val="baseline"/>
              <w:rPr>
                <w:rFonts w:ascii="Times New Roman" w:eastAsia="Times New Roman" w:hAnsi="Times New Roman" w:cs="Times New Roman"/>
                <w:sz w:val="20"/>
                <w:szCs w:val="24"/>
                <w:lang w:val="it-IT"/>
              </w:rPr>
            </w:pPr>
            <w:r w:rsidRPr="00083AD4">
              <w:rPr>
                <w:rFonts w:ascii="Times New Roman" w:eastAsia="Times New Roman" w:hAnsi="Times New Roman" w:cs="Times New Roman"/>
                <w:sz w:val="20"/>
                <w:szCs w:val="24"/>
                <w:lang w:val="it-IT"/>
              </w:rPr>
              <w:t>Sekuestrimi dhe konfiskimi i pasurisë</w:t>
            </w:r>
          </w:p>
        </w:tc>
        <w:tc>
          <w:tcPr>
            <w:tcW w:w="3365" w:type="dxa"/>
            <w:gridSpan w:val="6"/>
            <w:shd w:val="clear" w:color="auto" w:fill="auto"/>
          </w:tcPr>
          <w:p w:rsidR="00734862" w:rsidRPr="00083AD4" w:rsidRDefault="00F10CB0" w:rsidP="00734862">
            <w:pPr>
              <w:jc w:val="both"/>
              <w:textAlignment w:val="baseline"/>
              <w:rPr>
                <w:rFonts w:ascii="Times New Roman" w:eastAsia="Times New Roman" w:hAnsi="Times New Roman" w:cs="Times New Roman"/>
                <w:color w:val="000000"/>
                <w:sz w:val="20"/>
                <w:szCs w:val="20"/>
                <w:lang w:val="it-IT"/>
              </w:rPr>
            </w:pPr>
            <w:r>
              <w:rPr>
                <w:rFonts w:ascii="Times New Roman" w:eastAsia="Times New Roman" w:hAnsi="Times New Roman" w:cs="Times New Roman"/>
                <w:color w:val="000000"/>
                <w:sz w:val="20"/>
                <w:szCs w:val="20"/>
                <w:lang w:val="it-IT"/>
              </w:rPr>
              <w:t>Rishikimi i legjislacionit dhe i  udhëzimevee</w:t>
            </w:r>
            <w:r w:rsidR="00734862" w:rsidRPr="00083AD4">
              <w:rPr>
                <w:rFonts w:ascii="Times New Roman" w:eastAsia="Times New Roman" w:hAnsi="Times New Roman" w:cs="Times New Roman"/>
                <w:color w:val="000000"/>
                <w:sz w:val="20"/>
                <w:szCs w:val="20"/>
                <w:lang w:val="it-IT"/>
              </w:rPr>
              <w:t xml:space="preserve"> përkatëse për të siguruar përafrimin me acquis të BE-së për rikuperimin e aseteve deri në vitin 2024.</w:t>
            </w:r>
          </w:p>
          <w:p w:rsidR="00734862" w:rsidRPr="00083AD4" w:rsidRDefault="00734862" w:rsidP="00734862">
            <w:pPr>
              <w:jc w:val="both"/>
              <w:textAlignment w:val="baseline"/>
              <w:rPr>
                <w:rFonts w:ascii="Times New Roman" w:eastAsia="Times New Roman" w:hAnsi="Times New Roman" w:cs="Times New Roman"/>
                <w:color w:val="000000"/>
                <w:sz w:val="20"/>
                <w:szCs w:val="20"/>
                <w:lang w:val="it-IT"/>
              </w:rPr>
            </w:pPr>
          </w:p>
          <w:p w:rsidR="00734862" w:rsidRPr="00083AD4" w:rsidRDefault="00734862" w:rsidP="00734862">
            <w:pPr>
              <w:jc w:val="both"/>
              <w:rPr>
                <w:rFonts w:ascii="Times New Roman" w:eastAsia="Times New Roman" w:hAnsi="Times New Roman" w:cs="Times New Roman"/>
                <w:color w:val="000000"/>
                <w:sz w:val="20"/>
                <w:szCs w:val="20"/>
                <w:lang w:val="it-IT"/>
              </w:rPr>
            </w:pPr>
            <w:r w:rsidRPr="00083AD4">
              <w:rPr>
                <w:rFonts w:ascii="Times New Roman" w:eastAsia="Times New Roman" w:hAnsi="Times New Roman" w:cs="Times New Roman"/>
                <w:color w:val="000000"/>
                <w:sz w:val="20"/>
                <w:szCs w:val="20"/>
                <w:lang w:val="it-IT"/>
              </w:rPr>
              <w:t>Rritja e bashkëpunimit, përfshirë bashkëpunimin ndërkombëtar, në çështjet e sekuestrimit dhe konfiskimit përfundimtar të produkteve të krimit të korrupsionit nëpërmjet krijimit të Zyrës së Rikuperimit të Pasurive si njësi speciale e Policisë së Shtetit deri në vitin 2024.</w:t>
            </w:r>
          </w:p>
        </w:tc>
        <w:tc>
          <w:tcPr>
            <w:tcW w:w="3078" w:type="dxa"/>
            <w:gridSpan w:val="3"/>
            <w:shd w:val="clear" w:color="auto" w:fill="auto"/>
          </w:tcPr>
          <w:p w:rsidR="00734862" w:rsidRPr="00083AD4" w:rsidRDefault="00F10CB0" w:rsidP="00734862">
            <w:pPr>
              <w:jc w:val="both"/>
              <w:rPr>
                <w:rFonts w:ascii="Times New Roman" w:eastAsia="Times New Roman" w:hAnsi="Times New Roman" w:cs="Times New Roman"/>
                <w:color w:val="000000"/>
                <w:sz w:val="20"/>
                <w:szCs w:val="20"/>
                <w:lang w:val="it-IT"/>
              </w:rPr>
            </w:pPr>
            <w:r>
              <w:rPr>
                <w:rFonts w:ascii="Times New Roman" w:eastAsia="Times New Roman" w:hAnsi="Times New Roman" w:cs="Times New Roman"/>
                <w:color w:val="000000"/>
                <w:sz w:val="20"/>
                <w:szCs w:val="20"/>
                <w:lang w:val="it-IT"/>
              </w:rPr>
              <w:t xml:space="preserve">Zotim i vazhdueshëm në rritjen e nivelit të ekspertizës për sa i përket </w:t>
            </w:r>
            <w:r w:rsidR="00734862" w:rsidRPr="00083AD4">
              <w:rPr>
                <w:rFonts w:ascii="Times New Roman" w:eastAsia="Times New Roman" w:hAnsi="Times New Roman" w:cs="Times New Roman"/>
                <w:color w:val="000000"/>
                <w:sz w:val="20"/>
                <w:szCs w:val="20"/>
                <w:lang w:val="it-IT"/>
              </w:rPr>
              <w:t>zbatimit të ligjit (përfshirë Policinë e Shtetit dhe Byronë Kombëtare të Hetimit, Agjencinë për Administrimin e Pasurive të Sekuestruara dhe të Konfiskuara) në gjurmimin, ngrirjen dhe konfiskimin efektiv të pasurive në të gjithë policinë, prokurorinë dhe gjyqësorin deri në vitin 2026.</w:t>
            </w:r>
          </w:p>
          <w:p w:rsidR="00734862" w:rsidRPr="00083AD4" w:rsidRDefault="00734862" w:rsidP="00734862">
            <w:pPr>
              <w:jc w:val="both"/>
              <w:rPr>
                <w:rFonts w:ascii="Times New Roman" w:eastAsia="Times New Roman" w:hAnsi="Times New Roman" w:cs="Times New Roman"/>
                <w:color w:val="000000"/>
                <w:sz w:val="20"/>
                <w:szCs w:val="20"/>
                <w:lang w:val="it-IT"/>
              </w:rPr>
            </w:pPr>
          </w:p>
          <w:p w:rsidR="00734862" w:rsidRPr="00083AD4" w:rsidRDefault="00F10CB0" w:rsidP="00F10CB0">
            <w:pPr>
              <w:jc w:val="both"/>
              <w:textAlignment w:val="baseline"/>
              <w:rPr>
                <w:rFonts w:ascii="Times New Roman" w:eastAsia="Times New Roman" w:hAnsi="Times New Roman" w:cs="Times New Roman"/>
                <w:color w:val="000000"/>
                <w:sz w:val="20"/>
                <w:szCs w:val="20"/>
                <w:lang w:val="it-IT"/>
              </w:rPr>
            </w:pPr>
            <w:r>
              <w:rPr>
                <w:rFonts w:ascii="Times New Roman" w:eastAsia="Times New Roman" w:hAnsi="Times New Roman" w:cs="Times New Roman"/>
                <w:color w:val="000000"/>
                <w:sz w:val="20"/>
                <w:szCs w:val="20"/>
                <w:lang w:val="it-IT"/>
              </w:rPr>
              <w:t xml:space="preserve">Programe trajnimi të përcaktuara </w:t>
            </w:r>
            <w:r w:rsidR="00734862" w:rsidRPr="00083AD4">
              <w:rPr>
                <w:rFonts w:ascii="Times New Roman" w:eastAsia="Times New Roman" w:hAnsi="Times New Roman" w:cs="Times New Roman"/>
                <w:color w:val="000000"/>
                <w:sz w:val="20"/>
                <w:szCs w:val="20"/>
                <w:lang w:val="it-IT"/>
              </w:rPr>
              <w:t>në Shkollën e Magjistraturës kundër praktikave më të mira në hetimin kundër korrupsionit dhe dënimin, duke përfshirë hetimin financiar për korrupsionin deri në vitin 2025.</w:t>
            </w:r>
          </w:p>
        </w:tc>
        <w:tc>
          <w:tcPr>
            <w:tcW w:w="5164" w:type="dxa"/>
            <w:gridSpan w:val="4"/>
            <w:shd w:val="clear" w:color="auto" w:fill="auto"/>
          </w:tcPr>
          <w:p w:rsidR="00734862" w:rsidRPr="00083AD4" w:rsidRDefault="00734862" w:rsidP="00734862">
            <w:pPr>
              <w:jc w:val="both"/>
              <w:rPr>
                <w:rFonts w:ascii="Times New Roman" w:eastAsia="Times New Roman" w:hAnsi="Times New Roman" w:cs="Times New Roman"/>
                <w:color w:val="000000"/>
                <w:sz w:val="20"/>
                <w:szCs w:val="20"/>
                <w:lang w:val="it-IT"/>
              </w:rPr>
            </w:pPr>
            <w:r w:rsidRPr="00083AD4">
              <w:rPr>
                <w:rFonts w:ascii="Times New Roman" w:eastAsia="Times New Roman" w:hAnsi="Times New Roman" w:cs="Times New Roman"/>
                <w:color w:val="000000"/>
                <w:sz w:val="20"/>
                <w:szCs w:val="20"/>
                <w:lang w:val="it-IT"/>
              </w:rPr>
              <w:t>Ndjekja sistematike e konfiskimit të të ardhurave nga veprat penale të korrupsionit deri në vitin 2030, duke ngushtuar hendekun me pasuritë e sekuestruara.</w:t>
            </w:r>
          </w:p>
        </w:tc>
      </w:tr>
      <w:tr w:rsidR="00734862" w:rsidRPr="009545A1" w:rsidTr="00734862">
        <w:tc>
          <w:tcPr>
            <w:tcW w:w="14580" w:type="dxa"/>
            <w:gridSpan w:val="14"/>
            <w:shd w:val="clear" w:color="auto" w:fill="BDD6EE" w:themeFill="accent1" w:themeFillTint="66"/>
          </w:tcPr>
          <w:p w:rsidR="00734862" w:rsidRPr="00207821" w:rsidRDefault="00734862" w:rsidP="00734862">
            <w:pPr>
              <w:pStyle w:val="ListParagraph"/>
              <w:numPr>
                <w:ilvl w:val="0"/>
                <w:numId w:val="10"/>
              </w:numPr>
              <w:jc w:val="both"/>
              <w:textAlignment w:val="baseline"/>
              <w:rPr>
                <w:rFonts w:ascii="Times New Roman" w:eastAsia="Times New Roman" w:hAnsi="Times New Roman" w:cs="Times New Roman"/>
                <w:b/>
                <w:color w:val="000000" w:themeColor="text1"/>
                <w:sz w:val="20"/>
                <w:szCs w:val="20"/>
                <w:lang w:val="en-GB"/>
              </w:rPr>
            </w:pPr>
            <w:r w:rsidRPr="00207821">
              <w:rPr>
                <w:rFonts w:ascii="Times New Roman" w:eastAsia="Times New Roman" w:hAnsi="Times New Roman" w:cs="Times New Roman"/>
                <w:b/>
                <w:bCs/>
                <w:color w:val="000000" w:themeColor="text1"/>
                <w:sz w:val="20"/>
                <w:szCs w:val="20"/>
                <w:lang w:val="en-GB"/>
              </w:rPr>
              <w:t>TË DREJTAT THEMELORE</w:t>
            </w:r>
          </w:p>
        </w:tc>
      </w:tr>
      <w:tr w:rsidR="00734862" w:rsidRPr="00083AD4" w:rsidTr="00734862">
        <w:tc>
          <w:tcPr>
            <w:tcW w:w="14580" w:type="dxa"/>
            <w:gridSpan w:val="14"/>
            <w:shd w:val="clear" w:color="auto" w:fill="BDD6EE" w:themeFill="accent1" w:themeFillTint="66"/>
          </w:tcPr>
          <w:p w:rsidR="00734862" w:rsidRPr="00083AD4" w:rsidRDefault="00734862" w:rsidP="00734862">
            <w:pPr>
              <w:contextualSpacing/>
              <w:jc w:val="both"/>
              <w:textAlignment w:val="baseline"/>
              <w:rPr>
                <w:rFonts w:ascii="Times New Roman" w:eastAsia="Times New Roman" w:hAnsi="Times New Roman" w:cs="Times New Roman"/>
                <w:b/>
                <w:bCs/>
                <w:color w:val="000000" w:themeColor="text1"/>
                <w:sz w:val="20"/>
                <w:szCs w:val="20"/>
                <w:lang w:val="it-IT"/>
              </w:rPr>
            </w:pPr>
            <w:r w:rsidRPr="00083AD4">
              <w:rPr>
                <w:rFonts w:ascii="Times New Roman" w:eastAsia="Times New Roman" w:hAnsi="Times New Roman" w:cs="Times New Roman"/>
                <w:b/>
                <w:color w:val="000000" w:themeColor="text1"/>
                <w:sz w:val="20"/>
                <w:szCs w:val="20"/>
                <w:lang w:val="it-IT"/>
              </w:rPr>
              <w:t>III.A. Kuadri i përgjithshëm</w:t>
            </w:r>
          </w:p>
        </w:tc>
      </w:tr>
      <w:tr w:rsidR="00734862" w:rsidRPr="00083AD4" w:rsidTr="00734862">
        <w:trPr>
          <w:trHeight w:val="340"/>
        </w:trPr>
        <w:tc>
          <w:tcPr>
            <w:tcW w:w="14580" w:type="dxa"/>
            <w:gridSpan w:val="14"/>
            <w:shd w:val="clear" w:color="auto" w:fill="FFFFFF" w:themeFill="background1"/>
          </w:tcPr>
          <w:p w:rsidR="00734862" w:rsidRPr="00083AD4" w:rsidRDefault="00734862" w:rsidP="00734862">
            <w:pPr>
              <w:spacing w:after="160" w:line="259" w:lineRule="auto"/>
              <w:jc w:val="both"/>
              <w:rPr>
                <w:rFonts w:ascii="Times New Roman" w:eastAsia="Times New Roman" w:hAnsi="Times New Roman" w:cs="Times New Roman"/>
                <w:b/>
                <w:bCs/>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lastRenderedPageBreak/>
              <w:t>Përafrimi i vazhdueshëm i kornizës ligjore me Acquis të BE-së</w:t>
            </w:r>
          </w:p>
        </w:tc>
      </w:tr>
      <w:tr w:rsidR="00FF40E5" w:rsidRPr="009545A1" w:rsidTr="00C86DEA">
        <w:trPr>
          <w:trHeight w:val="2724"/>
        </w:trPr>
        <w:tc>
          <w:tcPr>
            <w:tcW w:w="2973" w:type="dxa"/>
            <w:shd w:val="clear" w:color="auto" w:fill="FFFFFF" w:themeFill="background1"/>
          </w:tcPr>
          <w:p w:rsidR="00FF40E5" w:rsidRPr="00083AD4" w:rsidRDefault="00FF40E5" w:rsidP="00FF40E5">
            <w:pPr>
              <w:spacing w:line="237" w:lineRule="auto"/>
              <w:ind w:left="1"/>
              <w:jc w:val="both"/>
              <w:rPr>
                <w:rFonts w:ascii="Times New Roman" w:eastAsia="Times New Roman" w:hAnsi="Times New Roman" w:cs="Times New Roman"/>
                <w:sz w:val="20"/>
                <w:szCs w:val="20"/>
                <w:lang w:val="it-IT"/>
              </w:rPr>
            </w:pPr>
            <w:r w:rsidRPr="00083AD4">
              <w:rPr>
                <w:rFonts w:ascii="Times New Roman" w:eastAsia="Times New Roman" w:hAnsi="Times New Roman" w:cs="Times New Roman"/>
                <w:color w:val="000000" w:themeColor="text1"/>
                <w:sz w:val="20"/>
                <w:szCs w:val="20"/>
                <w:lang w:val="it-IT"/>
              </w:rPr>
              <w:t xml:space="preserve">Kuadri ligjor dhe institucional është i përafruar pjesërisht me acquis-in e BE dhe standardet Europiane. Shqipëria duhet të adresojë hapësirat ekzistuese me qëllim përafrimin e plotë me rekomandimet e institucioneve të Këshillit të Europës, të sigurojë përafrimin me acquis-in e BE-së dhe të vëzhgojë të drejtat dhe liritë e mbrojtura nga Karta e të Drejtave Themelore dhe Konventa Europiane për të Drejtat e Njeriut. </w:t>
            </w:r>
            <w:r w:rsidRPr="00083AD4">
              <w:rPr>
                <w:rFonts w:ascii="Times New Roman" w:eastAsia="Times New Roman" w:hAnsi="Times New Roman" w:cs="Times New Roman"/>
                <w:sz w:val="20"/>
                <w:szCs w:val="20"/>
                <w:lang w:val="it-IT"/>
              </w:rPr>
              <w:t xml:space="preserve"> </w:t>
            </w:r>
          </w:p>
          <w:p w:rsidR="00FF40E5" w:rsidRPr="00083AD4" w:rsidRDefault="00FF40E5" w:rsidP="00FF40E5">
            <w:pPr>
              <w:spacing w:line="237" w:lineRule="auto"/>
              <w:ind w:left="1"/>
              <w:jc w:val="both"/>
              <w:rPr>
                <w:rFonts w:ascii="Times New Roman" w:eastAsia="Times New Roman" w:hAnsi="Times New Roman" w:cs="Times New Roman"/>
                <w:color w:val="000000" w:themeColor="text1"/>
                <w:sz w:val="20"/>
                <w:szCs w:val="20"/>
                <w:lang w:val="it-IT"/>
              </w:rPr>
            </w:pPr>
          </w:p>
        </w:tc>
        <w:tc>
          <w:tcPr>
            <w:tcW w:w="3321" w:type="dxa"/>
            <w:gridSpan w:val="3"/>
            <w:shd w:val="clear" w:color="auto" w:fill="FFFFFF" w:themeFill="background1"/>
          </w:tcPr>
          <w:p w:rsidR="00FF40E5" w:rsidRPr="00083AD4" w:rsidRDefault="00FF40E5" w:rsidP="00FF40E5">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 xml:space="preserve">Kuvendi adopton ndryshimet e Kodit Penal (2024), e Kodit Civil (2026) dhe ligjeve të tjera (shih më poshtë) me qëllim përafrimin me </w:t>
            </w:r>
            <w:r w:rsidRPr="00083AD4">
              <w:rPr>
                <w:rFonts w:ascii="Times New Roman" w:eastAsia="Times New Roman" w:hAnsi="Times New Roman" w:cs="Times New Roman"/>
                <w:i/>
                <w:color w:val="000000" w:themeColor="text1"/>
                <w:sz w:val="20"/>
                <w:szCs w:val="20"/>
                <w:lang w:val="it-IT"/>
              </w:rPr>
              <w:t>acquis</w:t>
            </w:r>
            <w:r w:rsidRPr="00083AD4">
              <w:rPr>
                <w:rFonts w:ascii="Times New Roman" w:eastAsia="Times New Roman" w:hAnsi="Times New Roman" w:cs="Times New Roman"/>
                <w:color w:val="000000" w:themeColor="text1"/>
                <w:sz w:val="20"/>
                <w:szCs w:val="20"/>
                <w:lang w:val="it-IT"/>
              </w:rPr>
              <w:t xml:space="preserve"> të BE-së për sa i përket të drejtave themelore.</w:t>
            </w:r>
          </w:p>
          <w:p w:rsidR="00FF40E5" w:rsidRPr="00083AD4" w:rsidRDefault="00FF40E5" w:rsidP="00FF40E5">
            <w:pPr>
              <w:ind w:firstLine="720"/>
              <w:jc w:val="both"/>
              <w:rPr>
                <w:rFonts w:ascii="Times New Roman" w:eastAsia="Times New Roman" w:hAnsi="Times New Roman" w:cs="Times New Roman"/>
                <w:color w:val="000000" w:themeColor="text1"/>
                <w:sz w:val="20"/>
                <w:szCs w:val="20"/>
                <w:lang w:val="it-IT"/>
              </w:rPr>
            </w:pPr>
          </w:p>
          <w:p w:rsidR="00FF40E5" w:rsidRPr="00083AD4" w:rsidRDefault="00FF40E5" w:rsidP="00FF40E5">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 xml:space="preserve">Kuvendi adopton ndryshimet në ligjin për Avokatin e Popullit (Neni 28) në lidhje me detyrimin për publikimin e raportit vjetor. </w:t>
            </w:r>
          </w:p>
          <w:p w:rsidR="00FF40E5" w:rsidRPr="00083AD4" w:rsidRDefault="00FF40E5" w:rsidP="00FF40E5">
            <w:pPr>
              <w:spacing w:after="160" w:line="259" w:lineRule="auto"/>
              <w:jc w:val="both"/>
              <w:rPr>
                <w:rFonts w:ascii="Times New Roman" w:hAnsi="Times New Roman" w:cs="Times New Roman"/>
                <w:bCs/>
                <w:color w:val="000000" w:themeColor="text1"/>
                <w:sz w:val="20"/>
                <w:szCs w:val="20"/>
                <w:lang w:val="it-IT"/>
              </w:rPr>
            </w:pPr>
          </w:p>
        </w:tc>
        <w:tc>
          <w:tcPr>
            <w:tcW w:w="4337" w:type="dxa"/>
            <w:gridSpan w:val="9"/>
            <w:shd w:val="clear" w:color="auto" w:fill="FFFFFF" w:themeFill="background1"/>
          </w:tcPr>
          <w:p w:rsidR="00FF40E5" w:rsidRPr="00083AD4" w:rsidRDefault="00FF40E5" w:rsidP="00FF40E5">
            <w:pPr>
              <w:shd w:val="clear" w:color="auto" w:fill="FFFFFF"/>
              <w:spacing w:after="160" w:line="259" w:lineRule="auto"/>
              <w:jc w:val="both"/>
              <w:textAlignment w:val="baseline"/>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 xml:space="preserve">Trajnim i vazhdueshëm për aktorët në fushën e të drejtave të njeriut nga viti 2024 e në vijim bazuar në planifikimet vjetore të: </w:t>
            </w:r>
          </w:p>
          <w:p w:rsidR="00FF40E5" w:rsidRPr="00083AD4" w:rsidRDefault="00FF40E5" w:rsidP="00FF40E5">
            <w:pPr>
              <w:pStyle w:val="ListParagraph"/>
              <w:numPr>
                <w:ilvl w:val="0"/>
                <w:numId w:val="9"/>
              </w:numPr>
              <w:shd w:val="clear" w:color="auto" w:fill="FFFFFF"/>
              <w:jc w:val="both"/>
              <w:textAlignment w:val="baseline"/>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 xml:space="preserve">Akademisë së policisë për oficerët e policisë gjyqësore dhe oficerët e policisë </w:t>
            </w:r>
          </w:p>
          <w:p w:rsidR="00FF40E5" w:rsidRPr="00083AD4" w:rsidRDefault="00FF40E5" w:rsidP="00FF40E5">
            <w:pPr>
              <w:pStyle w:val="ListParagraph"/>
              <w:shd w:val="clear" w:color="auto" w:fill="FFFFFF"/>
              <w:ind w:left="410"/>
              <w:jc w:val="both"/>
              <w:textAlignment w:val="baseline"/>
              <w:rPr>
                <w:rFonts w:ascii="Times New Roman" w:hAnsi="Times New Roman" w:cs="Times New Roman"/>
                <w:color w:val="000000" w:themeColor="text1"/>
                <w:sz w:val="20"/>
                <w:szCs w:val="20"/>
                <w:lang w:val="it-IT"/>
              </w:rPr>
            </w:pPr>
          </w:p>
          <w:p w:rsidR="00FF40E5" w:rsidRPr="00083AD4" w:rsidRDefault="00FF40E5" w:rsidP="00FF40E5">
            <w:pPr>
              <w:numPr>
                <w:ilvl w:val="0"/>
                <w:numId w:val="9"/>
              </w:numPr>
              <w:shd w:val="clear" w:color="auto" w:fill="FFFFFF"/>
              <w:spacing w:after="160" w:line="259" w:lineRule="auto"/>
              <w:jc w:val="both"/>
              <w:textAlignment w:val="baseline"/>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Shkolla e Magjistraturës për gjyqtarët dhe prokurorët</w:t>
            </w:r>
          </w:p>
          <w:p w:rsidR="00FF40E5" w:rsidRPr="00083AD4" w:rsidRDefault="00FF40E5" w:rsidP="00FF40E5">
            <w:pPr>
              <w:pStyle w:val="ListParagraph"/>
              <w:rPr>
                <w:rFonts w:ascii="Times New Roman" w:hAnsi="Times New Roman" w:cs="Times New Roman"/>
                <w:color w:val="000000" w:themeColor="text1"/>
                <w:sz w:val="20"/>
                <w:szCs w:val="20"/>
                <w:lang w:val="it-IT"/>
              </w:rPr>
            </w:pPr>
          </w:p>
          <w:p w:rsidR="00FF40E5" w:rsidRPr="00FF40E5" w:rsidRDefault="00FF40E5" w:rsidP="00FF40E5">
            <w:pPr>
              <w:pStyle w:val="ListParagraph"/>
              <w:numPr>
                <w:ilvl w:val="0"/>
                <w:numId w:val="9"/>
              </w:numPr>
              <w:shd w:val="clear" w:color="auto" w:fill="FFFFFF"/>
              <w:jc w:val="both"/>
              <w:textAlignment w:val="baseline"/>
              <w:rPr>
                <w:rFonts w:ascii="Times New Roman" w:hAnsi="Times New Roman" w:cs="Times New Roman"/>
                <w:color w:val="000000" w:themeColor="text1"/>
                <w:sz w:val="20"/>
                <w:szCs w:val="20"/>
              </w:rPr>
            </w:pPr>
            <w:r w:rsidRPr="00083AD4">
              <w:rPr>
                <w:rFonts w:ascii="Times New Roman" w:hAnsi="Times New Roman" w:cs="Times New Roman"/>
                <w:color w:val="000000" w:themeColor="text1"/>
                <w:sz w:val="20"/>
                <w:szCs w:val="20"/>
                <w:lang w:val="it-IT"/>
              </w:rPr>
              <w:t xml:space="preserve"> </w:t>
            </w:r>
            <w:r w:rsidRPr="00FF40E5">
              <w:rPr>
                <w:rFonts w:ascii="Times New Roman" w:hAnsi="Times New Roman" w:cs="Times New Roman"/>
                <w:color w:val="000000" w:themeColor="text1"/>
                <w:sz w:val="20"/>
                <w:szCs w:val="20"/>
                <w:lang w:val="en-GB"/>
              </w:rPr>
              <w:t xml:space="preserve">KLGJ për administratën gjyqësore. </w:t>
            </w:r>
          </w:p>
        </w:tc>
        <w:tc>
          <w:tcPr>
            <w:tcW w:w="3949" w:type="dxa"/>
            <w:shd w:val="clear" w:color="auto" w:fill="FFFFFF" w:themeFill="background1"/>
          </w:tcPr>
          <w:p w:rsidR="00FF40E5" w:rsidRDefault="00FF40E5" w:rsidP="00FF40E5">
            <w:pPr>
              <w:jc w:val="both"/>
              <w:rPr>
                <w:rFonts w:ascii="Times New Roman" w:eastAsia="Times New Roman" w:hAnsi="Times New Roman" w:cs="Times New Roman"/>
                <w:color w:val="000000" w:themeColor="text1"/>
                <w:sz w:val="20"/>
                <w:szCs w:val="20"/>
              </w:rPr>
            </w:pPr>
            <w:r w:rsidRPr="005D0CC6">
              <w:rPr>
                <w:rFonts w:ascii="Times New Roman" w:eastAsia="Times New Roman" w:hAnsi="Times New Roman" w:cs="Times New Roman"/>
                <w:color w:val="000000" w:themeColor="text1"/>
                <w:sz w:val="20"/>
                <w:szCs w:val="20"/>
              </w:rPr>
              <w:t>Kuadri ligjor në fushën e të drejtave themelore është në përputhje me acquis të BE-së, të drejtat evropiane dhe ndërkombëtare të njeriut deri në vitin 2026 dhe kapaciteti i palëve të interesuara për të vepruar në përputhje me standardin e të drejtave të njeriut vazhdon të rritet në mënyrë të qëndrueshme deri në vitin 2030.</w:t>
            </w:r>
          </w:p>
        </w:tc>
      </w:tr>
      <w:tr w:rsidR="00734862" w:rsidRPr="009545A1" w:rsidTr="00734862">
        <w:trPr>
          <w:trHeight w:val="454"/>
        </w:trPr>
        <w:tc>
          <w:tcPr>
            <w:tcW w:w="14580" w:type="dxa"/>
            <w:gridSpan w:val="14"/>
            <w:shd w:val="clear" w:color="auto" w:fill="FFFFFF" w:themeFill="background1"/>
          </w:tcPr>
          <w:p w:rsidR="00734862" w:rsidRPr="0037581F" w:rsidRDefault="002F5CBD" w:rsidP="00734862">
            <w:pPr>
              <w:jc w:val="both"/>
              <w:rPr>
                <w:rFonts w:ascii="Times New Roman" w:eastAsia="Times New Roman" w:hAnsi="Times New Roman" w:cs="Times New Roman"/>
                <w:b/>
                <w:bCs/>
                <w:color w:val="000000" w:themeColor="text1"/>
                <w:sz w:val="20"/>
                <w:szCs w:val="20"/>
              </w:rPr>
            </w:pPr>
            <w:r w:rsidRPr="00E15C7A">
              <w:rPr>
                <w:rFonts w:ascii="Times New Roman" w:eastAsia="Times New Roman" w:hAnsi="Times New Roman" w:cs="Times New Roman"/>
                <w:b/>
                <w:bCs/>
                <w:color w:val="000000" w:themeColor="text1"/>
                <w:sz w:val="20"/>
                <w:szCs w:val="20"/>
              </w:rPr>
              <w:t xml:space="preserve">Rritja e kapaciteteve të organeve të të drejtave të njeriut dhe për mbledhjen e të dhënave të </w:t>
            </w:r>
            <w:r>
              <w:rPr>
                <w:rFonts w:ascii="Times New Roman" w:eastAsia="Times New Roman" w:hAnsi="Times New Roman" w:cs="Times New Roman"/>
                <w:b/>
                <w:bCs/>
                <w:color w:val="000000" w:themeColor="text1"/>
                <w:sz w:val="20"/>
                <w:szCs w:val="20"/>
              </w:rPr>
              <w:t>disagreguara</w:t>
            </w:r>
            <w:r w:rsidRPr="00E15C7A">
              <w:rPr>
                <w:rFonts w:ascii="Times New Roman" w:eastAsia="Times New Roman" w:hAnsi="Times New Roman" w:cs="Times New Roman"/>
                <w:b/>
                <w:bCs/>
                <w:color w:val="000000" w:themeColor="text1"/>
                <w:sz w:val="20"/>
                <w:szCs w:val="20"/>
              </w:rPr>
              <w:t xml:space="preserve"> </w:t>
            </w:r>
            <w:r>
              <w:rPr>
                <w:rFonts w:ascii="Times New Roman" w:eastAsia="Times New Roman" w:hAnsi="Times New Roman" w:cs="Times New Roman"/>
                <w:b/>
                <w:bCs/>
                <w:color w:val="000000" w:themeColor="text1"/>
                <w:sz w:val="20"/>
                <w:szCs w:val="20"/>
              </w:rPr>
              <w:t>(të ndara)</w:t>
            </w:r>
          </w:p>
        </w:tc>
      </w:tr>
      <w:tr w:rsidR="00734862" w:rsidRPr="009545A1" w:rsidTr="00FB2DFB">
        <w:trPr>
          <w:trHeight w:val="983"/>
        </w:trPr>
        <w:tc>
          <w:tcPr>
            <w:tcW w:w="2973" w:type="dxa"/>
            <w:shd w:val="clear" w:color="auto" w:fill="FFFFFF" w:themeFill="background1"/>
          </w:tcPr>
          <w:p w:rsidR="002F5CBD" w:rsidRPr="00E15C7A" w:rsidRDefault="002F5CBD" w:rsidP="002F5CBD">
            <w:pPr>
              <w:shd w:val="clear" w:color="auto" w:fill="FFFFFF"/>
              <w:jc w:val="both"/>
              <w:textAlignment w:val="baseline"/>
              <w:rPr>
                <w:rFonts w:ascii="Times New Roman" w:eastAsia="Times New Roman" w:hAnsi="Times New Roman" w:cs="Times New Roman"/>
                <w:color w:val="000000" w:themeColor="text1"/>
                <w:sz w:val="20"/>
                <w:szCs w:val="20"/>
              </w:rPr>
            </w:pPr>
            <w:r w:rsidRPr="00E15C7A">
              <w:rPr>
                <w:rFonts w:ascii="Times New Roman" w:eastAsia="Times New Roman" w:hAnsi="Times New Roman" w:cs="Times New Roman"/>
                <w:color w:val="000000" w:themeColor="text1"/>
                <w:sz w:val="20"/>
                <w:szCs w:val="20"/>
              </w:rPr>
              <w:t>Duhet të sigurohet mbledhja sistematike e të dhënave dhe statistikave të ndara për krimin e urrejtjes, siç rekomandohet nga ODIHR.</w:t>
            </w:r>
          </w:p>
          <w:p w:rsidR="002F5CBD" w:rsidRPr="00E15C7A" w:rsidRDefault="002F5CBD" w:rsidP="002F5CBD">
            <w:pPr>
              <w:shd w:val="clear" w:color="auto" w:fill="FFFFFF"/>
              <w:jc w:val="both"/>
              <w:textAlignment w:val="baseline"/>
              <w:rPr>
                <w:rFonts w:ascii="Times New Roman" w:eastAsia="Times New Roman" w:hAnsi="Times New Roman" w:cs="Times New Roman"/>
                <w:color w:val="000000" w:themeColor="text1"/>
                <w:sz w:val="20"/>
                <w:szCs w:val="20"/>
              </w:rPr>
            </w:pPr>
          </w:p>
          <w:p w:rsidR="00734862" w:rsidRPr="00E16B4D" w:rsidRDefault="002F5CBD" w:rsidP="002F5CBD">
            <w:pPr>
              <w:shd w:val="clear" w:color="auto" w:fill="FFFFFF"/>
              <w:jc w:val="both"/>
              <w:textAlignment w:val="baseline"/>
              <w:rPr>
                <w:rFonts w:ascii="Times New Roman" w:eastAsia="Times New Roman" w:hAnsi="Times New Roman" w:cs="Times New Roman"/>
                <w:b/>
                <w:color w:val="000000" w:themeColor="text1"/>
                <w:sz w:val="20"/>
                <w:szCs w:val="20"/>
              </w:rPr>
            </w:pPr>
            <w:r w:rsidRPr="00E15C7A">
              <w:rPr>
                <w:rFonts w:ascii="Times New Roman" w:eastAsia="Times New Roman" w:hAnsi="Times New Roman" w:cs="Times New Roman"/>
                <w:color w:val="000000" w:themeColor="text1"/>
                <w:sz w:val="20"/>
                <w:szCs w:val="20"/>
              </w:rPr>
              <w:t>Shqipëria duhet të sigurojë mbledhjen sistematike dhe të përditësuar të të dhënave të ndara në lidhje me barazinë gjinore.</w:t>
            </w:r>
          </w:p>
        </w:tc>
        <w:tc>
          <w:tcPr>
            <w:tcW w:w="3321" w:type="dxa"/>
            <w:gridSpan w:val="3"/>
            <w:shd w:val="clear" w:color="auto" w:fill="FFFFFF" w:themeFill="background1"/>
          </w:tcPr>
          <w:p w:rsidR="00734862" w:rsidRPr="003662FD" w:rsidRDefault="002F5CBD" w:rsidP="00734862">
            <w:pPr>
              <w:tabs>
                <w:tab w:val="right" w:pos="1884"/>
              </w:tabs>
              <w:ind w:right="168"/>
              <w:jc w:val="both"/>
              <w:rPr>
                <w:rFonts w:ascii="Times New Roman" w:eastAsia="Times New Roman" w:hAnsi="Times New Roman" w:cs="Times New Roman"/>
                <w:color w:val="000000" w:themeColor="text1"/>
                <w:sz w:val="20"/>
                <w:szCs w:val="20"/>
                <w:lang w:val="en-GB"/>
              </w:rPr>
            </w:pPr>
            <w:r w:rsidRPr="00E15C7A">
              <w:rPr>
                <w:rFonts w:ascii="Times New Roman" w:eastAsia="Times New Roman" w:hAnsi="Times New Roman" w:cs="Times New Roman"/>
                <w:color w:val="000000" w:themeColor="text1"/>
                <w:sz w:val="20"/>
                <w:szCs w:val="20"/>
                <w:lang w:val="en-GB"/>
              </w:rPr>
              <w:t>Ministria e Shëndetësisë dhe Çështjeve Sociale miraton një Metodologji të Grumbullimit të të Dhënave për një vlerësim të duhur të nivelit të zbatimit të politikave dhe strategjive të legjislacionit për të drejtat e njeriut si pjesë e pjesëmarrjes së Shqipërisë në FRA deri në vitin 2026.</w:t>
            </w:r>
          </w:p>
        </w:tc>
        <w:tc>
          <w:tcPr>
            <w:tcW w:w="4337" w:type="dxa"/>
            <w:gridSpan w:val="9"/>
            <w:shd w:val="clear" w:color="auto" w:fill="FFFFFF" w:themeFill="background1"/>
          </w:tcPr>
          <w:p w:rsidR="002F5CBD" w:rsidRDefault="002F5CBD" w:rsidP="002F5CBD">
            <w:pPr>
              <w:shd w:val="clear" w:color="auto" w:fill="FFFFFF"/>
              <w:spacing w:after="160" w:line="259" w:lineRule="auto"/>
              <w:jc w:val="both"/>
              <w:textAlignment w:val="baseline"/>
              <w:rPr>
                <w:rFonts w:ascii="Times New Roman" w:eastAsia="Times New Roman" w:hAnsi="Times New Roman" w:cs="Times New Roman"/>
                <w:color w:val="000000" w:themeColor="text1"/>
                <w:sz w:val="20"/>
                <w:szCs w:val="20"/>
              </w:rPr>
            </w:pPr>
            <w:r w:rsidRPr="00E15C7A">
              <w:rPr>
                <w:rFonts w:ascii="Times New Roman" w:eastAsia="Times New Roman" w:hAnsi="Times New Roman" w:cs="Times New Roman"/>
                <w:color w:val="000000" w:themeColor="text1"/>
                <w:sz w:val="20"/>
                <w:szCs w:val="20"/>
              </w:rPr>
              <w:t>Avokati i Popullit, Komisioneri për të Drejtën e Informimit dhe Mbrojtjen e të Dhënave Personale kryen një analizë mbi nevojën e forcimit të kapaciteteve brenda vitit 2024 dhe siguron – mbështetur nga qeveria dhe Parlamenti vazhdimin brenda vitit 2026.</w:t>
            </w:r>
          </w:p>
          <w:p w:rsidR="002F5CBD" w:rsidRDefault="002F5CBD" w:rsidP="002F5CBD">
            <w:pPr>
              <w:shd w:val="clear" w:color="auto" w:fill="FFFFFF"/>
              <w:jc w:val="both"/>
              <w:textAlignment w:val="baseline"/>
              <w:rPr>
                <w:rFonts w:ascii="Times New Roman" w:eastAsia="Times New Roman" w:hAnsi="Times New Roman" w:cs="Times New Roman"/>
                <w:color w:val="000000" w:themeColor="text1"/>
                <w:sz w:val="20"/>
                <w:szCs w:val="20"/>
              </w:rPr>
            </w:pPr>
            <w:r w:rsidRPr="00E15C7A">
              <w:rPr>
                <w:rFonts w:ascii="Times New Roman" w:eastAsia="Times New Roman" w:hAnsi="Times New Roman" w:cs="Times New Roman"/>
                <w:color w:val="000000" w:themeColor="text1"/>
                <w:sz w:val="20"/>
                <w:szCs w:val="20"/>
              </w:rPr>
              <w:t>Parlamenti nxit aktivitetet e tij mbikëqyrëse me synimin për të siguruar një zbatim më të mirë të rekomandimit të Avokatit të Popullit, Mekanizmit Kombëtar kundër Torturës dhe subjekteve të tjera përgjegjëse për zbatimin e të drejtave procedurale duke përdorur instrumentet e mbikëqyrjes deri në vitin 2026.</w:t>
            </w:r>
          </w:p>
          <w:p w:rsidR="002F5CBD" w:rsidRPr="00E15C7A" w:rsidRDefault="002F5CBD" w:rsidP="002F5CBD">
            <w:pPr>
              <w:shd w:val="clear" w:color="auto" w:fill="FFFFFF"/>
              <w:jc w:val="both"/>
              <w:textAlignment w:val="baseline"/>
              <w:rPr>
                <w:rFonts w:ascii="Times New Roman" w:eastAsia="Times New Roman" w:hAnsi="Times New Roman" w:cs="Times New Roman"/>
                <w:color w:val="000000" w:themeColor="text1"/>
                <w:sz w:val="20"/>
                <w:szCs w:val="20"/>
              </w:rPr>
            </w:pPr>
          </w:p>
          <w:p w:rsidR="002F5CBD" w:rsidRDefault="002F5CBD" w:rsidP="002F5CBD">
            <w:pPr>
              <w:shd w:val="clear" w:color="auto" w:fill="FFFFFF"/>
              <w:jc w:val="both"/>
              <w:textAlignment w:val="baseline"/>
              <w:rPr>
                <w:rFonts w:ascii="Times New Roman" w:eastAsia="Times New Roman" w:hAnsi="Times New Roman" w:cs="Times New Roman"/>
                <w:color w:val="000000" w:themeColor="text1"/>
                <w:sz w:val="20"/>
                <w:szCs w:val="20"/>
              </w:rPr>
            </w:pPr>
            <w:r w:rsidRPr="00E15C7A">
              <w:rPr>
                <w:rFonts w:ascii="Times New Roman" w:eastAsia="Times New Roman" w:hAnsi="Times New Roman" w:cs="Times New Roman"/>
                <w:color w:val="000000" w:themeColor="text1"/>
                <w:sz w:val="20"/>
                <w:szCs w:val="20"/>
              </w:rPr>
              <w:t>Ministria e Shëndetësisë dhe Mbrojtjes Sociale krijon Grupin Ndërinstitucional të Punës për mbledhjen dhe përpunimin e të dhënave të ndara sipas gjinisë deri në vitin 2024.</w:t>
            </w:r>
          </w:p>
          <w:p w:rsidR="002F5CBD" w:rsidRPr="00E15C7A" w:rsidRDefault="002F5CBD" w:rsidP="002F5CBD">
            <w:pPr>
              <w:shd w:val="clear" w:color="auto" w:fill="FFFFFF"/>
              <w:jc w:val="both"/>
              <w:textAlignment w:val="baseline"/>
              <w:rPr>
                <w:rFonts w:ascii="Times New Roman" w:eastAsia="Times New Roman" w:hAnsi="Times New Roman" w:cs="Times New Roman"/>
                <w:color w:val="000000" w:themeColor="text1"/>
                <w:sz w:val="20"/>
                <w:szCs w:val="20"/>
              </w:rPr>
            </w:pPr>
          </w:p>
          <w:p w:rsidR="00734862" w:rsidRPr="00D46DD8" w:rsidRDefault="002F5CBD" w:rsidP="002F5CBD">
            <w:pPr>
              <w:jc w:val="both"/>
              <w:rPr>
                <w:rFonts w:ascii="Times New Roman" w:eastAsia="Times New Roman" w:hAnsi="Times New Roman" w:cs="Times New Roman"/>
                <w:bCs/>
                <w:color w:val="000000" w:themeColor="text1"/>
                <w:sz w:val="20"/>
                <w:szCs w:val="20"/>
                <w:highlight w:val="yellow"/>
                <w:lang w:val="en-GB"/>
              </w:rPr>
            </w:pPr>
            <w:r w:rsidRPr="00E15C7A">
              <w:rPr>
                <w:rFonts w:ascii="Times New Roman" w:eastAsia="Times New Roman" w:hAnsi="Times New Roman" w:cs="Times New Roman"/>
                <w:color w:val="000000" w:themeColor="text1"/>
                <w:sz w:val="20"/>
                <w:szCs w:val="20"/>
              </w:rPr>
              <w:t xml:space="preserve">Drejtoria e Përgjithshme e Policisë, </w:t>
            </w:r>
            <w:r>
              <w:rPr>
                <w:rFonts w:ascii="Times New Roman" w:eastAsia="Times New Roman" w:hAnsi="Times New Roman" w:cs="Times New Roman"/>
                <w:color w:val="000000" w:themeColor="text1"/>
                <w:sz w:val="20"/>
                <w:szCs w:val="20"/>
              </w:rPr>
              <w:t>PP</w:t>
            </w:r>
            <w:r w:rsidRPr="00E15C7A">
              <w:rPr>
                <w:rFonts w:ascii="Times New Roman" w:eastAsia="Times New Roman" w:hAnsi="Times New Roman" w:cs="Times New Roman"/>
                <w:color w:val="000000" w:themeColor="text1"/>
                <w:sz w:val="20"/>
                <w:szCs w:val="20"/>
              </w:rPr>
              <w:t xml:space="preserve"> dhe KLGJ </w:t>
            </w:r>
            <w:r w:rsidRPr="00E15C7A">
              <w:rPr>
                <w:rFonts w:ascii="Times New Roman" w:eastAsia="Times New Roman" w:hAnsi="Times New Roman" w:cs="Times New Roman"/>
                <w:color w:val="000000" w:themeColor="text1"/>
                <w:sz w:val="20"/>
                <w:szCs w:val="20"/>
              </w:rPr>
              <w:lastRenderedPageBreak/>
              <w:t>vazhdojnë bashkëpunimin për mbledhjen e të dhënave përkatëse bazuar në Udhëzimet e PP-së të vitit 2019 duke reflektuar rekomandimet e ODHIR-it, deri në vitin 2026.</w:t>
            </w:r>
          </w:p>
        </w:tc>
        <w:tc>
          <w:tcPr>
            <w:tcW w:w="3949" w:type="dxa"/>
            <w:shd w:val="clear" w:color="auto" w:fill="FFFFFF" w:themeFill="background1"/>
          </w:tcPr>
          <w:p w:rsidR="002F5CBD" w:rsidRPr="00E15C7A" w:rsidRDefault="002F5CBD" w:rsidP="002F5CBD">
            <w:pPr>
              <w:jc w:val="both"/>
              <w:rPr>
                <w:rFonts w:ascii="Times New Roman" w:eastAsia="Times New Roman" w:hAnsi="Times New Roman" w:cs="Times New Roman"/>
                <w:color w:val="000000" w:themeColor="text1"/>
                <w:sz w:val="20"/>
                <w:szCs w:val="20"/>
              </w:rPr>
            </w:pPr>
            <w:r w:rsidRPr="00E15C7A">
              <w:rPr>
                <w:rFonts w:ascii="Times New Roman" w:eastAsia="Times New Roman" w:hAnsi="Times New Roman" w:cs="Times New Roman"/>
                <w:color w:val="000000" w:themeColor="text1"/>
                <w:sz w:val="20"/>
                <w:szCs w:val="20"/>
              </w:rPr>
              <w:lastRenderedPageBreak/>
              <w:t>Burimet e qëndrueshme adekuate të organeve kryesore të të drejtave themelore sigurohen deri në vitin 2030.</w:t>
            </w:r>
          </w:p>
          <w:p w:rsidR="002F5CBD" w:rsidRPr="00E15C7A" w:rsidRDefault="002F5CBD" w:rsidP="002F5CBD">
            <w:pPr>
              <w:jc w:val="both"/>
              <w:rPr>
                <w:rFonts w:ascii="Times New Roman" w:eastAsia="Times New Roman" w:hAnsi="Times New Roman" w:cs="Times New Roman"/>
                <w:color w:val="000000" w:themeColor="text1"/>
                <w:sz w:val="20"/>
                <w:szCs w:val="20"/>
              </w:rPr>
            </w:pPr>
          </w:p>
          <w:p w:rsidR="00734862" w:rsidRDefault="002F5CBD" w:rsidP="002F5CBD">
            <w:pPr>
              <w:jc w:val="both"/>
              <w:rPr>
                <w:rFonts w:ascii="Times New Roman" w:eastAsia="Times New Roman" w:hAnsi="Times New Roman" w:cs="Times New Roman"/>
                <w:color w:val="000000" w:themeColor="text1"/>
                <w:sz w:val="20"/>
                <w:szCs w:val="20"/>
              </w:rPr>
            </w:pPr>
            <w:r w:rsidRPr="00E15C7A">
              <w:rPr>
                <w:rFonts w:ascii="Times New Roman" w:eastAsia="Times New Roman" w:hAnsi="Times New Roman" w:cs="Times New Roman"/>
                <w:color w:val="000000" w:themeColor="text1"/>
                <w:sz w:val="20"/>
                <w:szCs w:val="20"/>
              </w:rPr>
              <w:t>Politika për çështjet që lidhen me të drejtat themelore bazohet vazhdimisht në të dhëna të besueshme dhe analiza të të dhënave nga viti 2026 e në vazhdim</w:t>
            </w:r>
          </w:p>
        </w:tc>
      </w:tr>
      <w:tr w:rsidR="00734862" w:rsidRPr="00083AD4" w:rsidTr="00734862">
        <w:trPr>
          <w:trHeight w:val="283"/>
        </w:trPr>
        <w:tc>
          <w:tcPr>
            <w:tcW w:w="14580" w:type="dxa"/>
            <w:gridSpan w:val="14"/>
            <w:shd w:val="clear" w:color="auto" w:fill="9CC2E5" w:themeFill="accent1" w:themeFillTint="99"/>
          </w:tcPr>
          <w:p w:rsidR="00734862" w:rsidRPr="00083AD4" w:rsidRDefault="00734862" w:rsidP="00734862">
            <w:pPr>
              <w:jc w:val="both"/>
              <w:rPr>
                <w:rFonts w:ascii="Times New Roman" w:eastAsia="Times New Roman" w:hAnsi="Times New Roman" w:cs="Times New Roman"/>
                <w:b/>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t>III.E Mbrojtja e të dhënave personale</w:t>
            </w:r>
          </w:p>
        </w:tc>
      </w:tr>
      <w:tr w:rsidR="00734862" w:rsidRPr="00083AD4" w:rsidTr="00734862">
        <w:trPr>
          <w:trHeight w:val="283"/>
        </w:trPr>
        <w:tc>
          <w:tcPr>
            <w:tcW w:w="14580" w:type="dxa"/>
            <w:gridSpan w:val="14"/>
            <w:shd w:val="clear" w:color="auto" w:fill="auto"/>
          </w:tcPr>
          <w:p w:rsidR="00734862" w:rsidRPr="00083AD4" w:rsidRDefault="002F5CBD" w:rsidP="00734862">
            <w:pPr>
              <w:jc w:val="both"/>
              <w:rPr>
                <w:rFonts w:ascii="Times New Roman" w:eastAsia="Times New Roman" w:hAnsi="Times New Roman" w:cs="Times New Roman"/>
                <w:b/>
                <w:bCs/>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t>Përafrimi i zgjeruar me acquis të BE-së dhe kapacitete adekuate për të siguruar zbatimin e duhur të kornizës ligjore</w:t>
            </w:r>
          </w:p>
        </w:tc>
      </w:tr>
      <w:tr w:rsidR="002F5CBD" w:rsidRPr="00083AD4" w:rsidTr="00FB2DFB">
        <w:trPr>
          <w:trHeight w:val="235"/>
        </w:trPr>
        <w:tc>
          <w:tcPr>
            <w:tcW w:w="2973" w:type="dxa"/>
            <w:shd w:val="clear" w:color="auto" w:fill="FFFFFF" w:themeFill="background1"/>
          </w:tcPr>
          <w:p w:rsidR="002F5CBD" w:rsidRPr="00083AD4" w:rsidRDefault="002F5CBD" w:rsidP="002F5CBD">
            <w:pPr>
              <w:jc w:val="both"/>
              <w:rPr>
                <w:rFonts w:ascii="Times New Roman" w:eastAsia="Times New Roman" w:hAnsi="Times New Roman"/>
                <w:sz w:val="20"/>
                <w:szCs w:val="20"/>
                <w:lang w:val="it-IT"/>
              </w:rPr>
            </w:pPr>
            <w:r w:rsidRPr="00083AD4">
              <w:rPr>
                <w:rFonts w:ascii="Times New Roman" w:eastAsia="Times New Roman" w:hAnsi="Times New Roman"/>
                <w:sz w:val="20"/>
                <w:szCs w:val="20"/>
                <w:lang w:val="it-IT"/>
              </w:rPr>
              <w:t>Shqipëria duhet të harmonizojë ligjin për mbrojtjen e të dhënave personale me Rregulloren e Përgjithshme të BE-së për Mbrojtjen e të Dhënave 2016/679 dhe Direktivën e Zbatimit të Ligjit 2016/680</w:t>
            </w:r>
          </w:p>
        </w:tc>
        <w:tc>
          <w:tcPr>
            <w:tcW w:w="3329" w:type="dxa"/>
            <w:gridSpan w:val="4"/>
            <w:shd w:val="clear" w:color="auto" w:fill="FFFFFF" w:themeFill="background1"/>
          </w:tcPr>
          <w:p w:rsidR="002F5CBD" w:rsidRPr="00083AD4" w:rsidRDefault="002F5CBD" w:rsidP="002F5CBD">
            <w:pPr>
              <w:shd w:val="clear" w:color="auto" w:fill="FFFFFF"/>
              <w:spacing w:after="160" w:line="259" w:lineRule="auto"/>
              <w:jc w:val="both"/>
              <w:textAlignment w:val="baseline"/>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Përafrimi ligjor dhe pajtueshmëria me Rregulloren e Përgjithshme të BE-së për Mbrojtjen  e të Dhënave Personale dhe Direktivën sigurohet përmes miratimit të Ligjit për Mbrojtjen e të Dhënave Personale dhe akteve nënligjore përkatëse brenda vitit 2024.</w:t>
            </w:r>
          </w:p>
        </w:tc>
        <w:tc>
          <w:tcPr>
            <w:tcW w:w="4329" w:type="dxa"/>
            <w:gridSpan w:val="8"/>
            <w:shd w:val="clear" w:color="auto" w:fill="FFFFFF" w:themeFill="background1"/>
          </w:tcPr>
          <w:p w:rsidR="002F5CBD" w:rsidRPr="00083AD4" w:rsidRDefault="002F5CBD" w:rsidP="002F5CBD">
            <w:pPr>
              <w:jc w:val="both"/>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Ngritja e kapaciteteve të  duhura për të gjithë aktorët, përfshirë kontrolluesit dhe përpunuesit e të dhënave publike dhe private, ofrohet vazhdimisht në bazë të planifikimeve vjetore nga Komisioneri për Mbrojtjen e të Dhënave Personale me qëllim sigurimin e zbatimit efektiv të legjislacionit të miratuar, nga viti 2024 e në vazhdim.</w:t>
            </w:r>
          </w:p>
          <w:p w:rsidR="002F5CBD" w:rsidRPr="00083AD4" w:rsidRDefault="002F5CBD" w:rsidP="002F5CBD">
            <w:pPr>
              <w:jc w:val="both"/>
              <w:rPr>
                <w:rFonts w:ascii="Times New Roman" w:hAnsi="Times New Roman" w:cs="Times New Roman"/>
                <w:color w:val="000000" w:themeColor="text1"/>
                <w:sz w:val="20"/>
                <w:szCs w:val="20"/>
                <w:lang w:val="it-IT"/>
              </w:rPr>
            </w:pPr>
          </w:p>
          <w:p w:rsidR="002F5CBD" w:rsidRPr="00083AD4" w:rsidRDefault="002F5CBD" w:rsidP="002F5CBD">
            <w:pPr>
              <w:jc w:val="both"/>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Rritja e kapaciteteve të Komisionerit për Mbrojtjen e të Dhënave në përputhje me kompetencat e reja që rrjedhin nga legjislacioni i rishikuar për mbrojtjen e të dhënave personale nga viti 2024 e në vazhdim.</w:t>
            </w:r>
          </w:p>
          <w:p w:rsidR="002F5CBD" w:rsidRPr="00083AD4" w:rsidRDefault="002F5CBD" w:rsidP="002F5CBD">
            <w:pPr>
              <w:jc w:val="both"/>
              <w:rPr>
                <w:rFonts w:ascii="Times New Roman" w:hAnsi="Times New Roman" w:cs="Times New Roman"/>
                <w:color w:val="000000" w:themeColor="text1"/>
                <w:sz w:val="20"/>
                <w:szCs w:val="20"/>
                <w:lang w:val="it-IT"/>
              </w:rPr>
            </w:pPr>
          </w:p>
          <w:p w:rsidR="002F5CBD" w:rsidRPr="00083AD4" w:rsidRDefault="002F5CBD" w:rsidP="002F5CBD">
            <w:pPr>
              <w:jc w:val="both"/>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Komisioneri për Mbrojtjen e të Dhënave krijon një rrjet zyrtarësh të ngarkuar për mbrojtjen e të dhënave personale në sektorin publik dhe privat deri në vitin 2025.</w:t>
            </w:r>
          </w:p>
          <w:p w:rsidR="002F5CBD" w:rsidRPr="00083AD4" w:rsidRDefault="002F5CBD" w:rsidP="002F5CBD">
            <w:pPr>
              <w:jc w:val="both"/>
              <w:rPr>
                <w:rFonts w:ascii="Times New Roman" w:hAnsi="Times New Roman" w:cs="Times New Roman"/>
                <w:color w:val="000000" w:themeColor="text1"/>
                <w:sz w:val="20"/>
                <w:szCs w:val="20"/>
                <w:lang w:val="it-IT"/>
              </w:rPr>
            </w:pPr>
          </w:p>
          <w:p w:rsidR="002F5CBD" w:rsidRPr="00083AD4" w:rsidRDefault="002F5CBD" w:rsidP="002F5CBD">
            <w:pPr>
              <w:jc w:val="both"/>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Komisioneri për Mbrojtjen e të Dhënave vazhdon të kryejë hetime efektive për shkeljet e të drejtave të mbrojtjes së të dhënave, bazuar në objektivat dhe afatet e përcaktuara në Strategjinë Institucionale përkatëse dhe në programin vjetor të punës së Komisionerit për Mbrojtjen e të Dhënave.</w:t>
            </w:r>
          </w:p>
        </w:tc>
        <w:tc>
          <w:tcPr>
            <w:tcW w:w="3949" w:type="dxa"/>
            <w:shd w:val="clear" w:color="auto" w:fill="FFFFFF" w:themeFill="background1"/>
          </w:tcPr>
          <w:p w:rsidR="002F5CBD" w:rsidRPr="00083AD4" w:rsidRDefault="002F5CBD" w:rsidP="002F5CBD">
            <w:pPr>
              <w:jc w:val="both"/>
              <w:rPr>
                <w:rFonts w:ascii="Times New Roman" w:eastAsia="Times New Roman" w:hAnsi="Times New Roman" w:cs="Times New Roman"/>
                <w:bCs/>
                <w:color w:val="000000" w:themeColor="text1"/>
                <w:sz w:val="20"/>
                <w:szCs w:val="20"/>
                <w:lang w:val="it-IT"/>
              </w:rPr>
            </w:pPr>
            <w:r w:rsidRPr="00083AD4">
              <w:rPr>
                <w:rFonts w:ascii="Times New Roman" w:eastAsia="Times New Roman" w:hAnsi="Times New Roman" w:cs="Times New Roman"/>
                <w:bCs/>
                <w:color w:val="000000" w:themeColor="text1"/>
                <w:sz w:val="20"/>
                <w:szCs w:val="20"/>
                <w:lang w:val="it-IT"/>
              </w:rPr>
              <w:t>Kuadri ligjor i harmonizuar për mbrojtjen e të dhënave zbatohet vazhdimisht nga aktorët e mirëinformuar dhe kapacitetet e duhura të Komisionerit për Mbrojtjen e të Dhënave sigurojnë hetim të vazhdueshëm në rastet e shkeljeve të të dhënave brenda vitit 2030.</w:t>
            </w:r>
          </w:p>
        </w:tc>
      </w:tr>
      <w:tr w:rsidR="002F5CBD" w:rsidRPr="00083AD4" w:rsidTr="00734862">
        <w:trPr>
          <w:trHeight w:val="235"/>
        </w:trPr>
        <w:tc>
          <w:tcPr>
            <w:tcW w:w="14580" w:type="dxa"/>
            <w:gridSpan w:val="14"/>
            <w:shd w:val="clear" w:color="auto" w:fill="BDD6EE" w:themeFill="accent1" w:themeFillTint="66"/>
          </w:tcPr>
          <w:p w:rsidR="002F5CBD" w:rsidRPr="00083AD4" w:rsidRDefault="002F5CBD" w:rsidP="002F5CBD">
            <w:pPr>
              <w:jc w:val="both"/>
              <w:rPr>
                <w:rFonts w:ascii="Times New Roman" w:eastAsia="Times New Roman" w:hAnsi="Times New Roman" w:cs="Times New Roman"/>
                <w:b/>
                <w:color w:val="000000" w:themeColor="text1"/>
                <w:sz w:val="20"/>
                <w:szCs w:val="20"/>
                <w:lang w:val="it-IT"/>
              </w:rPr>
            </w:pPr>
            <w:r w:rsidRPr="00083AD4">
              <w:rPr>
                <w:rFonts w:ascii="Times New Roman" w:eastAsia="Times New Roman" w:hAnsi="Times New Roman" w:cs="Times New Roman"/>
                <w:b/>
                <w:color w:val="000000" w:themeColor="text1"/>
                <w:sz w:val="20"/>
                <w:szCs w:val="20"/>
                <w:lang w:val="it-IT"/>
              </w:rPr>
              <w:t>III.G Liria e shprehjes duke përfshirë lirinë dhe pluralizmin e medias</w:t>
            </w:r>
          </w:p>
        </w:tc>
      </w:tr>
      <w:tr w:rsidR="002F5CBD" w:rsidRPr="00083AD4" w:rsidTr="00734862">
        <w:trPr>
          <w:trHeight w:val="235"/>
        </w:trPr>
        <w:tc>
          <w:tcPr>
            <w:tcW w:w="14580" w:type="dxa"/>
            <w:gridSpan w:val="14"/>
            <w:shd w:val="clear" w:color="auto" w:fill="auto"/>
          </w:tcPr>
          <w:p w:rsidR="002F5CBD" w:rsidRPr="00083AD4" w:rsidRDefault="002F5CBD" w:rsidP="002F5CBD">
            <w:pPr>
              <w:jc w:val="both"/>
              <w:rPr>
                <w:rFonts w:ascii="Times New Roman" w:eastAsia="Times New Roman" w:hAnsi="Times New Roman" w:cs="Times New Roman"/>
                <w:b/>
                <w:color w:val="000000" w:themeColor="text1"/>
                <w:sz w:val="20"/>
                <w:szCs w:val="20"/>
                <w:lang w:val="it-IT"/>
              </w:rPr>
            </w:pPr>
            <w:r w:rsidRPr="00083AD4">
              <w:rPr>
                <w:rFonts w:ascii="Times New Roman" w:eastAsia="Times New Roman" w:hAnsi="Times New Roman" w:cs="Times New Roman"/>
                <w:b/>
                <w:color w:val="000000" w:themeColor="text1"/>
                <w:sz w:val="20"/>
                <w:szCs w:val="20"/>
                <w:lang w:val="it-IT"/>
              </w:rPr>
              <w:t>Masat e vazhdueshme për garantimin e ushtrimit të lirë të profesionit të gazetarit</w:t>
            </w:r>
          </w:p>
        </w:tc>
      </w:tr>
      <w:tr w:rsidR="002F5CBD" w:rsidRPr="00083AD4" w:rsidTr="00FB2DFB">
        <w:trPr>
          <w:trHeight w:val="1960"/>
        </w:trPr>
        <w:tc>
          <w:tcPr>
            <w:tcW w:w="2973" w:type="dxa"/>
            <w:shd w:val="clear" w:color="auto" w:fill="FFFFFF" w:themeFill="background1"/>
          </w:tcPr>
          <w:p w:rsidR="002F5CBD" w:rsidRPr="00083AD4" w:rsidRDefault="002F5CBD" w:rsidP="002F5CBD">
            <w:pPr>
              <w:jc w:val="both"/>
              <w:rPr>
                <w:rFonts w:ascii="Times New Roman" w:eastAsia="Times New Roman" w:hAnsi="Times New Roman"/>
                <w:sz w:val="20"/>
                <w:szCs w:val="20"/>
                <w:lang w:val="it-IT"/>
              </w:rPr>
            </w:pPr>
            <w:r w:rsidRPr="00083AD4">
              <w:rPr>
                <w:rFonts w:ascii="Times New Roman" w:eastAsia="Times New Roman" w:hAnsi="Times New Roman"/>
                <w:sz w:val="20"/>
                <w:szCs w:val="20"/>
                <w:lang w:val="it-IT"/>
              </w:rPr>
              <w:lastRenderedPageBreak/>
              <w:t>Shqipëria duhet të marrë masa për të mbrojtur sigurinë e gazetarëve dhe punonjësve të medias nga intimidimet, kërcënimet dhe sulmet si dhe të demonstroj</w:t>
            </w:r>
            <w:r w:rsidRPr="00083AD4">
              <w:rPr>
                <w:lang w:val="it-IT"/>
              </w:rPr>
              <w:t xml:space="preserve"> </w:t>
            </w:r>
            <w:r w:rsidRPr="00083AD4">
              <w:rPr>
                <w:rFonts w:ascii="Times New Roman" w:eastAsia="Times New Roman" w:hAnsi="Times New Roman"/>
                <w:sz w:val="20"/>
                <w:szCs w:val="20"/>
                <w:lang w:val="it-IT"/>
              </w:rPr>
              <w:t>Kuvendi miraton Kodin e ri Penal, duke përfshirë dispozitën në lidhje me shpifjen në përputhje me standardet e BE-së deri në vitin 2024.</w:t>
            </w:r>
          </w:p>
          <w:p w:rsidR="002F5CBD" w:rsidRPr="00083AD4" w:rsidRDefault="002F5CBD" w:rsidP="002F5CBD">
            <w:pPr>
              <w:jc w:val="both"/>
              <w:rPr>
                <w:rFonts w:ascii="Times New Roman" w:eastAsia="Times New Roman" w:hAnsi="Times New Roman"/>
                <w:sz w:val="20"/>
                <w:szCs w:val="20"/>
                <w:lang w:val="it-IT"/>
              </w:rPr>
            </w:pPr>
          </w:p>
          <w:p w:rsidR="002F5CBD" w:rsidRPr="00083AD4" w:rsidRDefault="002F5CBD" w:rsidP="002F5CBD">
            <w:pPr>
              <w:jc w:val="both"/>
              <w:rPr>
                <w:rFonts w:ascii="Times New Roman" w:eastAsia="Times New Roman" w:hAnsi="Times New Roman"/>
                <w:sz w:val="20"/>
                <w:szCs w:val="20"/>
                <w:lang w:val="it-IT"/>
              </w:rPr>
            </w:pPr>
            <w:r w:rsidRPr="00083AD4">
              <w:rPr>
                <w:rFonts w:ascii="Times New Roman" w:eastAsia="Times New Roman" w:hAnsi="Times New Roman"/>
                <w:sz w:val="20"/>
                <w:szCs w:val="20"/>
                <w:lang w:val="it-IT"/>
              </w:rPr>
              <w:t>Policia e Shtetit rishikon procedurat standarde të funksionimit dhe Kodin e Sjelljes për të rritur masat në lidhje me sigurinë publike të gazetarëve brenda vitit 2025.</w:t>
            </w:r>
          </w:p>
          <w:p w:rsidR="002F5CBD" w:rsidRPr="00083AD4" w:rsidRDefault="002F5CBD" w:rsidP="002F5CBD">
            <w:pPr>
              <w:jc w:val="both"/>
              <w:rPr>
                <w:rFonts w:ascii="Times New Roman" w:eastAsia="Times New Roman" w:hAnsi="Times New Roman"/>
                <w:sz w:val="20"/>
                <w:szCs w:val="20"/>
                <w:lang w:val="it-IT"/>
              </w:rPr>
            </w:pPr>
            <w:r w:rsidRPr="00083AD4">
              <w:rPr>
                <w:rFonts w:ascii="Times New Roman" w:eastAsia="Times New Roman" w:hAnsi="Times New Roman"/>
                <w:sz w:val="20"/>
                <w:szCs w:val="20"/>
                <w:lang w:val="it-IT"/>
              </w:rPr>
              <w:t>Inspektorati Shtetëror i Punës miraton një metodologji të inspektimit të bazuar në rrezik për zbatimin e të drejtave të punës së gazetarëve deri në vitin 2026ë hetime të plota dhe efektive të rasteve të dhunës në të kaluarën.</w:t>
            </w:r>
          </w:p>
          <w:p w:rsidR="002F5CBD" w:rsidRPr="00083AD4" w:rsidRDefault="002F5CBD" w:rsidP="002F5CBD">
            <w:pPr>
              <w:jc w:val="both"/>
              <w:rPr>
                <w:rFonts w:ascii="Times New Roman" w:eastAsia="Times New Roman" w:hAnsi="Times New Roman"/>
                <w:sz w:val="20"/>
                <w:szCs w:val="20"/>
                <w:lang w:val="it-IT"/>
              </w:rPr>
            </w:pPr>
          </w:p>
        </w:tc>
        <w:tc>
          <w:tcPr>
            <w:tcW w:w="3329" w:type="dxa"/>
            <w:gridSpan w:val="4"/>
            <w:shd w:val="clear" w:color="auto" w:fill="FFFFFF" w:themeFill="background1"/>
          </w:tcPr>
          <w:p w:rsidR="002F5CBD" w:rsidRPr="00083AD4" w:rsidRDefault="002F5CBD" w:rsidP="002F5CBD">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Kuvendi miraton Kodin e ri Penal, duke përfshirë dispozitën në lidhje me shpifjen në përputhje me standardet e BE-së deri në vitin 2024.</w:t>
            </w:r>
          </w:p>
          <w:p w:rsidR="002F5CBD" w:rsidRPr="00083AD4" w:rsidRDefault="002F5CBD" w:rsidP="002F5CBD">
            <w:pPr>
              <w:jc w:val="both"/>
              <w:rPr>
                <w:rFonts w:ascii="Times New Roman" w:eastAsia="Times New Roman" w:hAnsi="Times New Roman" w:cs="Times New Roman"/>
                <w:color w:val="000000" w:themeColor="text1"/>
                <w:sz w:val="20"/>
                <w:szCs w:val="20"/>
                <w:lang w:val="it-IT"/>
              </w:rPr>
            </w:pPr>
          </w:p>
          <w:p w:rsidR="002F5CBD" w:rsidRPr="00083AD4" w:rsidRDefault="002F5CBD" w:rsidP="002F5CBD">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Policia e Shtetit rishikon procedurat standarde të funksionimit dhe Kodin e Sjelljes për të rritur masat në lidhje me sigurinë publike të gazetarëve brenda vitit 2025.</w:t>
            </w:r>
          </w:p>
          <w:p w:rsidR="002F5CBD" w:rsidRPr="00083AD4" w:rsidRDefault="002F5CBD" w:rsidP="002F5CBD">
            <w:pPr>
              <w:ind w:firstLine="720"/>
              <w:jc w:val="both"/>
              <w:rPr>
                <w:rFonts w:ascii="Times New Roman" w:eastAsia="Times New Roman" w:hAnsi="Times New Roman" w:cs="Times New Roman"/>
                <w:color w:val="000000" w:themeColor="text1"/>
                <w:sz w:val="20"/>
                <w:szCs w:val="20"/>
                <w:lang w:val="it-IT"/>
              </w:rPr>
            </w:pPr>
          </w:p>
          <w:p w:rsidR="002F5CBD" w:rsidRPr="00083AD4" w:rsidRDefault="002F5CBD" w:rsidP="002F5CBD">
            <w:pPr>
              <w:jc w:val="both"/>
              <w:rPr>
                <w:rFonts w:ascii="Times New Roman" w:eastAsia="Times New Roman" w:hAnsi="Times New Roman" w:cs="Times New Roman"/>
                <w:b/>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Inspektorati Shtetëror i Punës miraton një metodologji të inspektimit të bazuar në rrezik për zbatimin e të drejtave të punës së gazetarëve deri në vitin 2026</w:t>
            </w:r>
            <w:r w:rsidRPr="00083AD4">
              <w:rPr>
                <w:rFonts w:ascii="Times New Roman" w:eastAsia="Times New Roman" w:hAnsi="Times New Roman" w:cs="Times New Roman"/>
                <w:b/>
                <w:color w:val="000000" w:themeColor="text1"/>
                <w:sz w:val="20"/>
                <w:szCs w:val="20"/>
                <w:lang w:val="it-IT"/>
              </w:rPr>
              <w:t>.</w:t>
            </w:r>
          </w:p>
        </w:tc>
        <w:tc>
          <w:tcPr>
            <w:tcW w:w="4329" w:type="dxa"/>
            <w:gridSpan w:val="8"/>
            <w:shd w:val="clear" w:color="auto" w:fill="FFFFFF" w:themeFill="background1"/>
          </w:tcPr>
          <w:p w:rsidR="002F5CBD" w:rsidRPr="00083AD4" w:rsidRDefault="002F5CBD" w:rsidP="002F5CBD">
            <w:pPr>
              <w:tabs>
                <w:tab w:val="left" w:pos="720"/>
              </w:tabs>
              <w:jc w:val="both"/>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Akademia e Policisë vazhdon të ofrojë trajnime, duke përfshirë edhe ndjekjen e rasteve të dhunës ndaj gazetarëve nga viti 2024, bazuar në planifikimin vjetor.</w:t>
            </w:r>
          </w:p>
          <w:p w:rsidR="002F5CBD" w:rsidRPr="00083AD4" w:rsidRDefault="002F5CBD" w:rsidP="002F5CBD">
            <w:pPr>
              <w:tabs>
                <w:tab w:val="left" w:pos="720"/>
              </w:tabs>
              <w:jc w:val="both"/>
              <w:rPr>
                <w:rFonts w:ascii="Times New Roman" w:hAnsi="Times New Roman" w:cs="Times New Roman"/>
                <w:color w:val="000000" w:themeColor="text1"/>
                <w:sz w:val="20"/>
                <w:szCs w:val="20"/>
                <w:lang w:val="it-IT"/>
              </w:rPr>
            </w:pPr>
          </w:p>
          <w:p w:rsidR="002F5CBD" w:rsidRPr="00083AD4" w:rsidRDefault="002F5CBD" w:rsidP="002F5CBD">
            <w:pPr>
              <w:tabs>
                <w:tab w:val="left" w:pos="720"/>
              </w:tabs>
              <w:jc w:val="both"/>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Policia e Shtetit cakton pikat kontaktuese brenda strukturës së saj përgjegjëse për trajtimin e sulmeve ndaj gazetarëve deri në vitin 2024 dhe siguron informacionin e publikut për raste të tilla nga viti 2024 e në vazhdim.</w:t>
            </w:r>
          </w:p>
          <w:p w:rsidR="002F5CBD" w:rsidRPr="00083AD4" w:rsidRDefault="002F5CBD" w:rsidP="002F5CBD">
            <w:pPr>
              <w:tabs>
                <w:tab w:val="left" w:pos="720"/>
              </w:tabs>
              <w:jc w:val="both"/>
              <w:rPr>
                <w:rFonts w:ascii="Times New Roman" w:hAnsi="Times New Roman" w:cs="Times New Roman"/>
                <w:color w:val="000000" w:themeColor="text1"/>
                <w:sz w:val="20"/>
                <w:szCs w:val="20"/>
                <w:lang w:val="it-IT"/>
              </w:rPr>
            </w:pPr>
          </w:p>
          <w:p w:rsidR="002F5CBD" w:rsidRPr="00083AD4" w:rsidRDefault="002F5CBD" w:rsidP="002F5CBD">
            <w:pPr>
              <w:tabs>
                <w:tab w:val="left" w:pos="720"/>
              </w:tabs>
              <w:jc w:val="both"/>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Prokuroria e Përgjithshme publikon rast pas rasti rezultatet e hetimeve për çështjet e gazetarëve nga viti 2024 e në vazhdim.</w:t>
            </w:r>
          </w:p>
          <w:p w:rsidR="002F5CBD" w:rsidRPr="00083AD4" w:rsidRDefault="002F5CBD" w:rsidP="002F5CBD">
            <w:pPr>
              <w:tabs>
                <w:tab w:val="left" w:pos="720"/>
              </w:tabs>
              <w:jc w:val="both"/>
              <w:rPr>
                <w:rFonts w:ascii="Times New Roman" w:hAnsi="Times New Roman" w:cs="Times New Roman"/>
                <w:color w:val="000000" w:themeColor="text1"/>
                <w:sz w:val="20"/>
                <w:szCs w:val="20"/>
                <w:lang w:val="it-IT"/>
              </w:rPr>
            </w:pPr>
          </w:p>
          <w:p w:rsidR="002F5CBD" w:rsidRPr="00083AD4" w:rsidRDefault="002F5CBD" w:rsidP="002F5CBD">
            <w:pPr>
              <w:tabs>
                <w:tab w:val="left" w:pos="720"/>
              </w:tabs>
              <w:jc w:val="both"/>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KLGJ mbledh dhe gjeneron të dhëna për rastet e përfshirjes së gazetarëve nga viti 2023 e në vazhdim.</w:t>
            </w:r>
          </w:p>
          <w:p w:rsidR="002F5CBD" w:rsidRPr="00083AD4" w:rsidRDefault="002F5CBD" w:rsidP="002F5CBD">
            <w:pPr>
              <w:tabs>
                <w:tab w:val="left" w:pos="720"/>
              </w:tabs>
              <w:jc w:val="both"/>
              <w:rPr>
                <w:rFonts w:ascii="Times New Roman" w:hAnsi="Times New Roman" w:cs="Times New Roman"/>
                <w:color w:val="000000" w:themeColor="text1"/>
                <w:sz w:val="20"/>
                <w:szCs w:val="20"/>
                <w:lang w:val="it-IT"/>
              </w:rPr>
            </w:pPr>
          </w:p>
          <w:p w:rsidR="002F5CBD" w:rsidRPr="00083AD4" w:rsidRDefault="002F5CBD" w:rsidP="002F5CBD">
            <w:pPr>
              <w:tabs>
                <w:tab w:val="left" w:pos="720"/>
              </w:tabs>
              <w:spacing w:after="160" w:line="259" w:lineRule="auto"/>
              <w:jc w:val="both"/>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ASPA vijon të ofrojë trajnime për stafin e Inspektoratit Shtetëror të Punës për kryerjen e inspektimeve të bazuara në rrezik për të drejtat e punës së gazetarëve.</w:t>
            </w:r>
          </w:p>
        </w:tc>
        <w:tc>
          <w:tcPr>
            <w:tcW w:w="3949" w:type="dxa"/>
            <w:shd w:val="clear" w:color="auto" w:fill="FFFFFF" w:themeFill="background1"/>
          </w:tcPr>
          <w:p w:rsidR="002F5CBD" w:rsidRPr="00083AD4" w:rsidRDefault="002F5CBD" w:rsidP="002F5CBD">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Siguria e gazetarëve dhe e çështjeve të lidhura me gazetarët, adresohen vazhdimisht nga të gjitha agjencitë e zbatimit të ligjit, dhe komunikimi për ndjekjen e rasteve që përfshijnë gazetarët rritet  më tej  duke filluar nga viti 2025 e në vazhdim.</w:t>
            </w:r>
          </w:p>
          <w:p w:rsidR="002F5CBD" w:rsidRPr="00083AD4" w:rsidRDefault="002F5CBD" w:rsidP="002F5CBD">
            <w:pPr>
              <w:jc w:val="both"/>
              <w:rPr>
                <w:rFonts w:ascii="Times New Roman" w:eastAsia="Times New Roman" w:hAnsi="Times New Roman" w:cs="Times New Roman"/>
                <w:color w:val="000000" w:themeColor="text1"/>
                <w:sz w:val="20"/>
                <w:szCs w:val="20"/>
                <w:lang w:val="it-IT"/>
              </w:rPr>
            </w:pPr>
          </w:p>
          <w:p w:rsidR="002F5CBD" w:rsidRPr="00083AD4" w:rsidRDefault="002F5CBD" w:rsidP="002F5CBD">
            <w:pPr>
              <w:spacing w:after="160" w:line="259" w:lineRule="auto"/>
              <w:jc w:val="both"/>
              <w:rPr>
                <w:rFonts w:ascii="Times New Roman" w:eastAsia="Times New Roman" w:hAnsi="Times New Roman" w:cs="Times New Roman"/>
                <w:b/>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Zbatimi i të drejtave të punës në praktikë i nënshtrohet përmirësimit për të siguruar ushtrimin e lirë të profesionit të gazetarëve duke filluar nga viti 2025 e në vazhdim, duke i bërë ata më të fortë ndaj frikësimit dhe dezinformimit.</w:t>
            </w:r>
          </w:p>
        </w:tc>
      </w:tr>
      <w:tr w:rsidR="002F5CBD" w:rsidRPr="00083AD4" w:rsidTr="00734862">
        <w:trPr>
          <w:trHeight w:val="484"/>
        </w:trPr>
        <w:tc>
          <w:tcPr>
            <w:tcW w:w="14580" w:type="dxa"/>
            <w:gridSpan w:val="14"/>
            <w:shd w:val="clear" w:color="auto" w:fill="FFFFFF" w:themeFill="background1"/>
          </w:tcPr>
          <w:p w:rsidR="002F5CBD" w:rsidRPr="00083AD4" w:rsidRDefault="002F5CBD" w:rsidP="002F5CBD">
            <w:pPr>
              <w:jc w:val="both"/>
              <w:rPr>
                <w:rFonts w:ascii="Times New Roman" w:eastAsia="Times New Roman" w:hAnsi="Times New Roman" w:cs="Times New Roman"/>
                <w:b/>
                <w:color w:val="000000" w:themeColor="text1"/>
                <w:sz w:val="20"/>
                <w:szCs w:val="20"/>
                <w:lang w:val="it-IT"/>
              </w:rPr>
            </w:pPr>
            <w:r w:rsidRPr="00083AD4">
              <w:rPr>
                <w:rFonts w:ascii="Times New Roman" w:eastAsia="Times New Roman" w:hAnsi="Times New Roman" w:cs="Times New Roman"/>
                <w:b/>
                <w:color w:val="000000" w:themeColor="text1"/>
                <w:sz w:val="20"/>
                <w:szCs w:val="20"/>
                <w:lang w:val="it-IT"/>
              </w:rPr>
              <w:t>Mbikqyrje e veçantë mbi sektorin e medias</w:t>
            </w:r>
          </w:p>
        </w:tc>
      </w:tr>
      <w:tr w:rsidR="002F5CBD" w:rsidTr="00FB2DFB">
        <w:trPr>
          <w:trHeight w:val="1160"/>
        </w:trPr>
        <w:tc>
          <w:tcPr>
            <w:tcW w:w="2973" w:type="dxa"/>
            <w:shd w:val="clear" w:color="auto" w:fill="FFFFFF" w:themeFill="background1"/>
          </w:tcPr>
          <w:p w:rsidR="002F5CBD" w:rsidRPr="00083AD4" w:rsidRDefault="002F5CBD" w:rsidP="002F5CBD">
            <w:pPr>
              <w:jc w:val="both"/>
              <w:rPr>
                <w:rFonts w:ascii="Times New Roman" w:eastAsia="Times New Roman" w:hAnsi="Times New Roman" w:cs="Times New Roman"/>
                <w:sz w:val="20"/>
                <w:szCs w:val="20"/>
                <w:lang w:val="it-IT"/>
              </w:rPr>
            </w:pPr>
          </w:p>
          <w:p w:rsidR="002F5CBD" w:rsidRPr="0079295A" w:rsidRDefault="002F5CBD" w:rsidP="002F5CBD">
            <w:pPr>
              <w:jc w:val="both"/>
              <w:rPr>
                <w:rFonts w:ascii="Times New Roman" w:eastAsia="Times New Roman" w:hAnsi="Times New Roman"/>
                <w:sz w:val="20"/>
                <w:szCs w:val="20"/>
              </w:rPr>
            </w:pPr>
            <w:r w:rsidRPr="00C743C4">
              <w:rPr>
                <w:rFonts w:ascii="Times New Roman" w:eastAsia="Times New Roman" w:hAnsi="Times New Roman" w:cs="Times New Roman"/>
                <w:sz w:val="20"/>
                <w:szCs w:val="20"/>
              </w:rPr>
              <w:t>.</w:t>
            </w:r>
          </w:p>
        </w:tc>
        <w:tc>
          <w:tcPr>
            <w:tcW w:w="3329" w:type="dxa"/>
            <w:gridSpan w:val="4"/>
            <w:shd w:val="clear" w:color="auto" w:fill="FFFFFF" w:themeFill="background1"/>
          </w:tcPr>
          <w:p w:rsidR="002F5CBD" w:rsidRPr="00231D6D" w:rsidRDefault="002F5CBD" w:rsidP="002F5CBD">
            <w:pPr>
              <w:jc w:val="both"/>
              <w:rPr>
                <w:rFonts w:ascii="Times New Roman" w:hAnsi="Times New Roman" w:cs="Times New Roman"/>
                <w:sz w:val="20"/>
                <w:szCs w:val="20"/>
                <w:lang w:val="en-GB"/>
              </w:rPr>
            </w:pPr>
            <w:r>
              <w:rPr>
                <w:rFonts w:ascii="Times New Roman" w:hAnsi="Times New Roman" w:cs="Times New Roman"/>
                <w:sz w:val="20"/>
                <w:szCs w:val="20"/>
                <w:lang w:val="en-GB"/>
              </w:rPr>
              <w:t>K</w:t>
            </w:r>
            <w:r w:rsidRPr="00231D6D">
              <w:rPr>
                <w:rFonts w:ascii="Times New Roman" w:hAnsi="Times New Roman" w:cs="Times New Roman"/>
                <w:sz w:val="20"/>
                <w:szCs w:val="20"/>
                <w:lang w:val="en-GB"/>
              </w:rPr>
              <w:t>uven</w:t>
            </w:r>
            <w:r>
              <w:rPr>
                <w:rFonts w:ascii="Times New Roman" w:hAnsi="Times New Roman" w:cs="Times New Roman"/>
                <w:sz w:val="20"/>
                <w:szCs w:val="20"/>
                <w:lang w:val="en-GB"/>
              </w:rPr>
              <w:t>di miraton deri në vitin 2025 nd</w:t>
            </w:r>
            <w:r w:rsidRPr="00231D6D">
              <w:rPr>
                <w:rFonts w:ascii="Times New Roman" w:hAnsi="Times New Roman" w:cs="Times New Roman"/>
                <w:sz w:val="20"/>
                <w:szCs w:val="20"/>
                <w:lang w:val="en-GB"/>
              </w:rPr>
              <w:t>ryshimet në Ligjin për Media</w:t>
            </w:r>
            <w:r>
              <w:rPr>
                <w:rFonts w:ascii="Times New Roman" w:hAnsi="Times New Roman" w:cs="Times New Roman"/>
                <w:sz w:val="20"/>
                <w:szCs w:val="20"/>
                <w:lang w:val="en-GB"/>
              </w:rPr>
              <w:t>t</w:t>
            </w:r>
            <w:r w:rsidRPr="00231D6D">
              <w:rPr>
                <w:rFonts w:ascii="Times New Roman" w:hAnsi="Times New Roman" w:cs="Times New Roman"/>
                <w:sz w:val="20"/>
                <w:szCs w:val="20"/>
                <w:lang w:val="en-GB"/>
              </w:rPr>
              <w:t xml:space="preserve"> Audio Vizuale për adresimin e çështjeve në lidhje me përqendrimin e medias dhe rishikimin e kompetencave të AMA-s, në lidhje me monitorimin e peizazhit mediatik dhe forcimin e mekanizmit të zbatimit.</w:t>
            </w:r>
          </w:p>
          <w:p w:rsidR="002F5CBD" w:rsidRPr="00231D6D" w:rsidRDefault="002F5CBD" w:rsidP="002F5CBD">
            <w:pPr>
              <w:jc w:val="both"/>
              <w:rPr>
                <w:rFonts w:ascii="Times New Roman" w:hAnsi="Times New Roman" w:cs="Times New Roman"/>
                <w:sz w:val="20"/>
                <w:szCs w:val="20"/>
                <w:lang w:val="en-GB"/>
              </w:rPr>
            </w:pPr>
          </w:p>
          <w:p w:rsidR="002F5CBD" w:rsidRDefault="002F5CBD" w:rsidP="002F5CBD">
            <w:pPr>
              <w:jc w:val="both"/>
              <w:rPr>
                <w:rFonts w:ascii="Times New Roman" w:hAnsi="Times New Roman" w:cs="Times New Roman"/>
                <w:sz w:val="20"/>
                <w:szCs w:val="20"/>
                <w:lang w:val="en-GB"/>
              </w:rPr>
            </w:pPr>
          </w:p>
          <w:p w:rsidR="002F5CBD" w:rsidRPr="00B20CCF" w:rsidRDefault="002F5CBD" w:rsidP="002F5CBD">
            <w:pPr>
              <w:jc w:val="both"/>
              <w:rPr>
                <w:rFonts w:ascii="Times New Roman" w:hAnsi="Times New Roman" w:cs="Times New Roman"/>
                <w:sz w:val="20"/>
                <w:szCs w:val="20"/>
                <w:lang w:val="en-GB"/>
              </w:rPr>
            </w:pPr>
            <w:r w:rsidRPr="00231D6D">
              <w:rPr>
                <w:rFonts w:ascii="Times New Roman" w:hAnsi="Times New Roman" w:cs="Times New Roman"/>
                <w:sz w:val="20"/>
                <w:szCs w:val="20"/>
                <w:lang w:val="en-GB"/>
              </w:rPr>
              <w:t xml:space="preserve">AMA miraton metodologjinë dhe planin për të ngritur dhe zbatuar një sistem transparent të matjes së </w:t>
            </w:r>
            <w:r w:rsidRPr="00231D6D">
              <w:rPr>
                <w:rFonts w:ascii="Times New Roman" w:hAnsi="Times New Roman" w:cs="Times New Roman"/>
                <w:sz w:val="20"/>
                <w:szCs w:val="20"/>
                <w:lang w:val="en-GB"/>
              </w:rPr>
              <w:lastRenderedPageBreak/>
              <w:t xml:space="preserve">audiencës mediatike brenda vitit </w:t>
            </w:r>
            <w:proofErr w:type="gramStart"/>
            <w:r w:rsidRPr="00231D6D">
              <w:rPr>
                <w:rFonts w:ascii="Times New Roman" w:hAnsi="Times New Roman" w:cs="Times New Roman"/>
                <w:sz w:val="20"/>
                <w:szCs w:val="20"/>
                <w:lang w:val="en-GB"/>
              </w:rPr>
              <w:t>2025.</w:t>
            </w:r>
            <w:r w:rsidRPr="00B20CCF">
              <w:rPr>
                <w:rFonts w:ascii="Times New Roman" w:eastAsia="Times New Roman" w:hAnsi="Times New Roman" w:cs="Times New Roman"/>
                <w:color w:val="000000" w:themeColor="text1"/>
                <w:sz w:val="20"/>
                <w:szCs w:val="20"/>
                <w:lang w:val="en-GB"/>
              </w:rPr>
              <w:t>.</w:t>
            </w:r>
            <w:proofErr w:type="gramEnd"/>
          </w:p>
        </w:tc>
        <w:tc>
          <w:tcPr>
            <w:tcW w:w="4329" w:type="dxa"/>
            <w:gridSpan w:val="8"/>
            <w:shd w:val="clear" w:color="auto" w:fill="FFFFFF" w:themeFill="background1"/>
          </w:tcPr>
          <w:p w:rsidR="002F5CBD" w:rsidRPr="00231D6D" w:rsidRDefault="002F5CBD" w:rsidP="002F5CBD">
            <w:pPr>
              <w:tabs>
                <w:tab w:val="left" w:pos="720"/>
              </w:tabs>
              <w:jc w:val="both"/>
              <w:rPr>
                <w:rFonts w:ascii="Times New Roman" w:hAnsi="Times New Roman" w:cs="Times New Roman"/>
                <w:color w:val="000000" w:themeColor="text1"/>
                <w:sz w:val="20"/>
                <w:szCs w:val="20"/>
                <w:lang w:val="en-GB"/>
              </w:rPr>
            </w:pPr>
            <w:r w:rsidRPr="00231D6D">
              <w:rPr>
                <w:rFonts w:ascii="Times New Roman" w:hAnsi="Times New Roman" w:cs="Times New Roman"/>
                <w:color w:val="000000" w:themeColor="text1"/>
                <w:sz w:val="20"/>
                <w:szCs w:val="20"/>
                <w:lang w:val="en-GB"/>
              </w:rPr>
              <w:lastRenderedPageBreak/>
              <w:t>Qendra Kombëtare e Regjistrimit të Bizneseve rrit monitorimin e zbatimit të Ligjit për Pronarët Përfitues të miratuar në vitin 2020, me synimin për të garantuar transparencë të plotë të pronarëve përfundimtarë të sipërmarrjeve mediatike deri në vitin 2025, me fokus sipërmarrjet mediatike, në kundërshtim me kërkesat e ligjit.</w:t>
            </w:r>
          </w:p>
          <w:p w:rsidR="002F5CBD" w:rsidRPr="00231D6D" w:rsidRDefault="002F5CBD" w:rsidP="002F5CBD">
            <w:pPr>
              <w:tabs>
                <w:tab w:val="left" w:pos="720"/>
              </w:tabs>
              <w:jc w:val="both"/>
              <w:rPr>
                <w:rFonts w:ascii="Times New Roman" w:hAnsi="Times New Roman" w:cs="Times New Roman"/>
                <w:color w:val="000000" w:themeColor="text1"/>
                <w:sz w:val="20"/>
                <w:szCs w:val="20"/>
                <w:lang w:val="en-GB"/>
              </w:rPr>
            </w:pPr>
          </w:p>
          <w:p w:rsidR="002F5CBD" w:rsidRDefault="002F5CBD" w:rsidP="002F5CBD">
            <w:pPr>
              <w:tabs>
                <w:tab w:val="left" w:pos="720"/>
              </w:tabs>
              <w:jc w:val="both"/>
              <w:rPr>
                <w:rFonts w:ascii="Times New Roman" w:hAnsi="Times New Roman" w:cs="Times New Roman"/>
                <w:color w:val="000000" w:themeColor="text1"/>
                <w:sz w:val="20"/>
                <w:szCs w:val="20"/>
                <w:lang w:val="en-GB"/>
              </w:rPr>
            </w:pPr>
            <w:r w:rsidRPr="00231D6D">
              <w:rPr>
                <w:rFonts w:ascii="Times New Roman" w:hAnsi="Times New Roman" w:cs="Times New Roman"/>
                <w:color w:val="000000" w:themeColor="text1"/>
                <w:sz w:val="20"/>
                <w:szCs w:val="20"/>
                <w:lang w:val="en-GB"/>
              </w:rPr>
              <w:t>Burime të mjaftueshme njerëzore dhe financiare për AMA deri në vitin 2025, në mënyrë që institucioni të ushtrojë mandatin e tij.</w:t>
            </w:r>
          </w:p>
          <w:p w:rsidR="002F5CBD" w:rsidRPr="00231D6D" w:rsidRDefault="002F5CBD" w:rsidP="002F5CBD">
            <w:pPr>
              <w:tabs>
                <w:tab w:val="left" w:pos="720"/>
              </w:tabs>
              <w:jc w:val="both"/>
              <w:rPr>
                <w:rFonts w:ascii="Times New Roman" w:hAnsi="Times New Roman" w:cs="Times New Roman"/>
                <w:color w:val="000000" w:themeColor="text1"/>
                <w:sz w:val="20"/>
                <w:szCs w:val="20"/>
                <w:lang w:val="en-GB"/>
              </w:rPr>
            </w:pPr>
          </w:p>
          <w:p w:rsidR="002F5CBD" w:rsidRPr="00231D6D" w:rsidRDefault="002F5CBD" w:rsidP="002F5CBD">
            <w:pPr>
              <w:tabs>
                <w:tab w:val="left" w:pos="720"/>
              </w:tabs>
              <w:jc w:val="both"/>
              <w:rPr>
                <w:rFonts w:ascii="Times New Roman" w:hAnsi="Times New Roman" w:cs="Times New Roman"/>
                <w:color w:val="000000" w:themeColor="text1"/>
                <w:sz w:val="20"/>
                <w:szCs w:val="20"/>
                <w:lang w:val="en-GB"/>
              </w:rPr>
            </w:pPr>
            <w:r w:rsidRPr="00231D6D">
              <w:rPr>
                <w:rFonts w:ascii="Times New Roman" w:hAnsi="Times New Roman" w:cs="Times New Roman"/>
                <w:color w:val="000000" w:themeColor="text1"/>
                <w:sz w:val="20"/>
                <w:szCs w:val="20"/>
                <w:lang w:val="en-GB"/>
              </w:rPr>
              <w:t xml:space="preserve">AMA forcon të gjithë mekanizmin e zbatimit në </w:t>
            </w:r>
            <w:r w:rsidRPr="00231D6D">
              <w:rPr>
                <w:rFonts w:ascii="Times New Roman" w:hAnsi="Times New Roman" w:cs="Times New Roman"/>
                <w:color w:val="000000" w:themeColor="text1"/>
                <w:sz w:val="20"/>
                <w:szCs w:val="20"/>
                <w:lang w:val="en-GB"/>
              </w:rPr>
              <w:lastRenderedPageBreak/>
              <w:t>lidhje me detyrimin e parashikuar nga ligji deri në vitin 2025, ndihmon transmetuesit në sigurimin e një procesi transparent të matjes së audiencës deri në vitin 2028 dhe vijon të publikojë Buletinin në lidhje me dinamikën e tregut mediatik në baza vjetore brenda 6 muajve</w:t>
            </w:r>
            <w:r>
              <w:rPr>
                <w:rFonts w:ascii="Times New Roman" w:hAnsi="Times New Roman" w:cs="Times New Roman"/>
                <w:color w:val="000000" w:themeColor="text1"/>
                <w:sz w:val="20"/>
                <w:szCs w:val="20"/>
                <w:lang w:val="en-GB"/>
              </w:rPr>
              <w:t xml:space="preserve"> të parë të vitit pasardhës.</w:t>
            </w:r>
          </w:p>
          <w:p w:rsidR="002F5CBD" w:rsidRPr="00231D6D" w:rsidRDefault="002F5CBD" w:rsidP="002F5CBD">
            <w:pPr>
              <w:tabs>
                <w:tab w:val="left" w:pos="720"/>
              </w:tabs>
              <w:jc w:val="both"/>
              <w:rPr>
                <w:rFonts w:ascii="Times New Roman" w:hAnsi="Times New Roman" w:cs="Times New Roman"/>
                <w:color w:val="000000" w:themeColor="text1"/>
                <w:sz w:val="20"/>
                <w:szCs w:val="20"/>
                <w:lang w:val="en-GB"/>
              </w:rPr>
            </w:pPr>
          </w:p>
          <w:p w:rsidR="002F5CBD" w:rsidRPr="00B20CCF" w:rsidRDefault="002F5CBD" w:rsidP="002F5CBD">
            <w:pPr>
              <w:tabs>
                <w:tab w:val="left" w:pos="720"/>
              </w:tabs>
              <w:spacing w:after="160" w:line="259" w:lineRule="auto"/>
              <w:jc w:val="both"/>
              <w:rPr>
                <w:rFonts w:ascii="Times New Roman" w:hAnsi="Times New Roman" w:cs="Times New Roman"/>
                <w:color w:val="000000" w:themeColor="text1"/>
                <w:sz w:val="20"/>
                <w:szCs w:val="20"/>
                <w:lang w:val="en-GB"/>
              </w:rPr>
            </w:pPr>
            <w:r w:rsidRPr="00231D6D">
              <w:rPr>
                <w:rFonts w:ascii="Times New Roman" w:hAnsi="Times New Roman" w:cs="Times New Roman"/>
                <w:color w:val="000000" w:themeColor="text1"/>
                <w:sz w:val="20"/>
                <w:szCs w:val="20"/>
                <w:lang w:val="en-GB"/>
              </w:rPr>
              <w:t>Kërkesat e medias për</w:t>
            </w:r>
            <w:r>
              <w:rPr>
                <w:rFonts w:ascii="Times New Roman" w:hAnsi="Times New Roman" w:cs="Times New Roman"/>
                <w:color w:val="000000" w:themeColor="text1"/>
                <w:sz w:val="20"/>
                <w:szCs w:val="20"/>
                <w:lang w:val="en-GB"/>
              </w:rPr>
              <w:t xml:space="preserve"> </w:t>
            </w:r>
            <w:r w:rsidRPr="00231D6D">
              <w:rPr>
                <w:rFonts w:ascii="Times New Roman" w:hAnsi="Times New Roman" w:cs="Times New Roman"/>
                <w:color w:val="000000" w:themeColor="text1"/>
                <w:sz w:val="20"/>
                <w:szCs w:val="20"/>
                <w:lang w:val="en-GB"/>
              </w:rPr>
              <w:t>emrin e posedu</w:t>
            </w:r>
            <w:r>
              <w:rPr>
                <w:rFonts w:ascii="Times New Roman" w:hAnsi="Times New Roman" w:cs="Times New Roman"/>
                <w:color w:val="000000" w:themeColor="text1"/>
                <w:sz w:val="20"/>
                <w:szCs w:val="20"/>
                <w:lang w:val="en-GB"/>
              </w:rPr>
              <w:t>esve të pasurisë informative adresohen</w:t>
            </w:r>
            <w:r w:rsidRPr="00231D6D">
              <w:rPr>
                <w:rFonts w:ascii="Times New Roman" w:hAnsi="Times New Roman" w:cs="Times New Roman"/>
                <w:color w:val="000000" w:themeColor="text1"/>
                <w:sz w:val="20"/>
                <w:szCs w:val="20"/>
                <w:lang w:val="en-GB"/>
              </w:rPr>
              <w:t xml:space="preserve"> në mënyrë</w:t>
            </w:r>
            <w:r>
              <w:rPr>
                <w:rFonts w:ascii="Times New Roman" w:hAnsi="Times New Roman" w:cs="Times New Roman"/>
                <w:color w:val="000000" w:themeColor="text1"/>
                <w:sz w:val="20"/>
                <w:szCs w:val="20"/>
                <w:lang w:val="en-GB"/>
              </w:rPr>
              <w:t>n e duhur</w:t>
            </w:r>
            <w:r w:rsidRPr="00231D6D">
              <w:rPr>
                <w:rFonts w:ascii="Times New Roman" w:hAnsi="Times New Roman" w:cs="Times New Roman"/>
                <w:color w:val="000000" w:themeColor="text1"/>
                <w:sz w:val="20"/>
                <w:szCs w:val="20"/>
                <w:lang w:val="en-GB"/>
              </w:rPr>
              <w:t xml:space="preserve"> nëpërmjet kanaleve zyrtare për të drejtën e informimit për veprimtarinë e institucioneve publike, apo dokumente</w:t>
            </w:r>
            <w:r>
              <w:rPr>
                <w:rFonts w:ascii="Times New Roman" w:hAnsi="Times New Roman" w:cs="Times New Roman"/>
                <w:color w:val="000000" w:themeColor="text1"/>
                <w:sz w:val="20"/>
                <w:szCs w:val="20"/>
                <w:lang w:val="en-GB"/>
              </w:rPr>
              <w:t>t</w:t>
            </w:r>
            <w:r w:rsidRPr="00231D6D">
              <w:rPr>
                <w:rFonts w:ascii="Times New Roman" w:hAnsi="Times New Roman" w:cs="Times New Roman"/>
                <w:color w:val="000000" w:themeColor="text1"/>
                <w:sz w:val="20"/>
                <w:szCs w:val="20"/>
                <w:lang w:val="en-GB"/>
              </w:rPr>
              <w:t xml:space="preserve"> publike.</w:t>
            </w:r>
          </w:p>
        </w:tc>
        <w:tc>
          <w:tcPr>
            <w:tcW w:w="3949" w:type="dxa"/>
            <w:shd w:val="clear" w:color="auto" w:fill="FFFFFF" w:themeFill="background1"/>
          </w:tcPr>
          <w:p w:rsidR="002F5CBD" w:rsidRPr="00B20CCF" w:rsidRDefault="002F5CBD" w:rsidP="002F5CBD">
            <w:pPr>
              <w:jc w:val="both"/>
              <w:rPr>
                <w:rFonts w:ascii="Times New Roman" w:eastAsia="Times New Roman" w:hAnsi="Times New Roman" w:cs="Times New Roman"/>
                <w:bCs/>
                <w:color w:val="000000" w:themeColor="text1"/>
                <w:sz w:val="20"/>
                <w:szCs w:val="20"/>
                <w:lang w:val="en-GB"/>
              </w:rPr>
            </w:pPr>
            <w:r>
              <w:rPr>
                <w:rFonts w:ascii="Times New Roman" w:eastAsia="Times New Roman" w:hAnsi="Times New Roman" w:cs="Times New Roman"/>
                <w:bCs/>
                <w:color w:val="000000" w:themeColor="text1"/>
                <w:sz w:val="20"/>
                <w:szCs w:val="20"/>
                <w:lang w:val="en-GB"/>
              </w:rPr>
              <w:lastRenderedPageBreak/>
              <w:t>Kuadri ligjor kushtuar medias është përafruar gjerësisht me acquis-in e BE-së dhe standardet ndërkombëtare brenda 2025.</w:t>
            </w:r>
          </w:p>
          <w:p w:rsidR="002F5CBD" w:rsidRPr="00B20CCF" w:rsidRDefault="002F5CBD" w:rsidP="002F5CBD">
            <w:pPr>
              <w:jc w:val="both"/>
              <w:rPr>
                <w:rFonts w:ascii="Times New Roman" w:eastAsia="Times New Roman" w:hAnsi="Times New Roman" w:cs="Times New Roman"/>
                <w:bCs/>
                <w:color w:val="000000" w:themeColor="text1"/>
                <w:sz w:val="20"/>
                <w:szCs w:val="20"/>
                <w:lang w:val="en-GB"/>
              </w:rPr>
            </w:pPr>
          </w:p>
          <w:p w:rsidR="002F5CBD" w:rsidRPr="00B20CCF" w:rsidRDefault="002F5CBD" w:rsidP="002F5CBD">
            <w:pPr>
              <w:jc w:val="both"/>
              <w:rPr>
                <w:rFonts w:ascii="Times New Roman" w:eastAsia="Times New Roman" w:hAnsi="Times New Roman" w:cs="Times New Roman"/>
                <w:bCs/>
                <w:color w:val="000000" w:themeColor="text1"/>
                <w:sz w:val="20"/>
                <w:szCs w:val="20"/>
                <w:lang w:val="en-GB"/>
              </w:rPr>
            </w:pPr>
            <w:r>
              <w:rPr>
                <w:rFonts w:ascii="Times New Roman" w:eastAsia="Times New Roman" w:hAnsi="Times New Roman" w:cs="Times New Roman"/>
                <w:bCs/>
                <w:color w:val="000000" w:themeColor="text1"/>
                <w:sz w:val="20"/>
                <w:szCs w:val="20"/>
                <w:lang w:val="en-GB"/>
              </w:rPr>
              <w:t>Kapacitetet për forcimin e të gjithë kuadrit rregullator për të gjitha aspektet e medias rriten gradualisht deri në 2030</w:t>
            </w:r>
            <w:r w:rsidRPr="00B20CCF">
              <w:rPr>
                <w:rFonts w:ascii="Times New Roman" w:eastAsia="Times New Roman" w:hAnsi="Times New Roman" w:cs="Times New Roman"/>
                <w:bCs/>
                <w:color w:val="000000" w:themeColor="text1"/>
                <w:sz w:val="20"/>
                <w:szCs w:val="20"/>
                <w:lang w:val="en-GB"/>
              </w:rPr>
              <w:t>.</w:t>
            </w:r>
          </w:p>
        </w:tc>
      </w:tr>
      <w:tr w:rsidR="002F5CBD" w:rsidTr="00734862">
        <w:trPr>
          <w:trHeight w:val="235"/>
        </w:trPr>
        <w:tc>
          <w:tcPr>
            <w:tcW w:w="14580" w:type="dxa"/>
            <w:gridSpan w:val="14"/>
            <w:shd w:val="clear" w:color="auto" w:fill="BDD6EE" w:themeFill="accent1" w:themeFillTint="66"/>
          </w:tcPr>
          <w:p w:rsidR="002F5CBD" w:rsidRPr="00963827" w:rsidRDefault="002F5CBD" w:rsidP="002F5CBD">
            <w:pPr>
              <w:jc w:val="both"/>
              <w:rPr>
                <w:rFonts w:ascii="Times New Roman" w:eastAsia="Times New Roman" w:hAnsi="Times New Roman" w:cs="Times New Roman"/>
                <w:b/>
                <w:color w:val="000000" w:themeColor="text1"/>
                <w:sz w:val="20"/>
                <w:szCs w:val="20"/>
                <w:lang w:val="en-GB"/>
              </w:rPr>
            </w:pPr>
            <w:r w:rsidRPr="00963827">
              <w:rPr>
                <w:rFonts w:ascii="Times New Roman" w:eastAsia="Times New Roman" w:hAnsi="Times New Roman" w:cs="Times New Roman"/>
                <w:b/>
                <w:color w:val="000000" w:themeColor="text1"/>
                <w:sz w:val="20"/>
                <w:szCs w:val="20"/>
              </w:rPr>
              <w:t>III.I Mosdiskriminimi</w:t>
            </w:r>
          </w:p>
        </w:tc>
      </w:tr>
      <w:tr w:rsidR="002F5CBD" w:rsidTr="00FB2DFB">
        <w:trPr>
          <w:trHeight w:val="235"/>
        </w:trPr>
        <w:tc>
          <w:tcPr>
            <w:tcW w:w="2973" w:type="dxa"/>
            <w:shd w:val="clear" w:color="auto" w:fill="FFFFFF" w:themeFill="background1"/>
          </w:tcPr>
          <w:p w:rsidR="002F5CBD" w:rsidRPr="0079295A" w:rsidRDefault="002F5CBD" w:rsidP="002F5CBD">
            <w:pPr>
              <w:jc w:val="both"/>
              <w:rPr>
                <w:rFonts w:ascii="Times New Roman" w:eastAsia="Times New Roman" w:hAnsi="Times New Roman"/>
                <w:sz w:val="20"/>
                <w:szCs w:val="20"/>
              </w:rPr>
            </w:pPr>
          </w:p>
        </w:tc>
        <w:tc>
          <w:tcPr>
            <w:tcW w:w="3329" w:type="dxa"/>
            <w:gridSpan w:val="4"/>
            <w:shd w:val="clear" w:color="auto" w:fill="FFFFFF" w:themeFill="background1"/>
          </w:tcPr>
          <w:p w:rsidR="002F5CBD" w:rsidRDefault="002F5CBD" w:rsidP="002F5CBD">
            <w:pPr>
              <w:jc w:val="both"/>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Kuvendi miraton ndryshimet në ligjet përkatëse (shih më poshtë) në mënyrë që të sigurojë harmonizim të plotë me acquis të BE-së deri në vitin 2027, duke përfshirë ndryshimet përkatëse në Kodin Penal.</w:t>
            </w:r>
          </w:p>
          <w:p w:rsidR="002F5CBD" w:rsidRDefault="002F5CBD" w:rsidP="002F5CBD">
            <w:pPr>
              <w:jc w:val="both"/>
              <w:rPr>
                <w:rFonts w:ascii="Times New Roman" w:eastAsia="Times New Roman" w:hAnsi="Times New Roman" w:cs="Times New Roman"/>
                <w:color w:val="000000" w:themeColor="text1"/>
                <w:sz w:val="20"/>
                <w:szCs w:val="20"/>
                <w:lang w:val="en-GB"/>
              </w:rPr>
            </w:pPr>
          </w:p>
          <w:p w:rsidR="002F5CBD" w:rsidRDefault="002F5CBD" w:rsidP="002F5CBD">
            <w:pPr>
              <w:jc w:val="both"/>
              <w:rPr>
                <w:rFonts w:ascii="Times New Roman" w:eastAsia="Times New Roman" w:hAnsi="Times New Roman" w:cs="Times New Roman"/>
                <w:bCs/>
                <w:color w:val="000000" w:themeColor="text1"/>
                <w:sz w:val="20"/>
                <w:szCs w:val="20"/>
                <w:lang w:val="en-GB"/>
              </w:rPr>
            </w:pPr>
            <w:r w:rsidRPr="005F220F">
              <w:rPr>
                <w:rFonts w:ascii="Times New Roman" w:eastAsia="Times New Roman" w:hAnsi="Times New Roman" w:cs="Times New Roman"/>
                <w:bCs/>
                <w:color w:val="000000" w:themeColor="text1"/>
                <w:sz w:val="20"/>
                <w:szCs w:val="20"/>
                <w:lang w:val="en-GB"/>
              </w:rPr>
              <w:t>Komisioneri për Mosdiskriminimin (në krye) me shoqërinë civile përpunon udhëzime për paragjykimet deri në vitin 2024.</w:t>
            </w:r>
          </w:p>
          <w:p w:rsidR="002F5CBD" w:rsidRPr="00A6044F" w:rsidRDefault="002F5CBD" w:rsidP="002F5CBD">
            <w:pPr>
              <w:jc w:val="both"/>
              <w:rPr>
                <w:rFonts w:ascii="Times New Roman" w:eastAsia="Times New Roman" w:hAnsi="Times New Roman" w:cs="Times New Roman"/>
                <w:color w:val="000000" w:themeColor="text1"/>
                <w:sz w:val="20"/>
                <w:szCs w:val="20"/>
                <w:lang w:val="en-GB"/>
              </w:rPr>
            </w:pPr>
          </w:p>
        </w:tc>
        <w:tc>
          <w:tcPr>
            <w:tcW w:w="4329" w:type="dxa"/>
            <w:gridSpan w:val="8"/>
            <w:shd w:val="clear" w:color="auto" w:fill="FFFFFF" w:themeFill="background1"/>
          </w:tcPr>
          <w:p w:rsidR="002F5CBD" w:rsidRDefault="006F3C88" w:rsidP="002F5CBD">
            <w:pPr>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Burime të përshtatshme për Komisionerin </w:t>
            </w:r>
            <w:r w:rsidR="002F5CBD">
              <w:rPr>
                <w:rFonts w:ascii="Times New Roman" w:eastAsia="Times New Roman" w:hAnsi="Times New Roman" w:cs="Times New Roman"/>
                <w:color w:val="000000" w:themeColor="text1"/>
                <w:sz w:val="20"/>
                <w:szCs w:val="20"/>
              </w:rPr>
              <w:t>kundër Diskriminimit</w:t>
            </w:r>
            <w:r>
              <w:rPr>
                <w:rFonts w:ascii="Times New Roman" w:eastAsia="Times New Roman" w:hAnsi="Times New Roman" w:cs="Times New Roman"/>
                <w:color w:val="000000" w:themeColor="text1"/>
                <w:sz w:val="20"/>
                <w:szCs w:val="20"/>
              </w:rPr>
              <w:t xml:space="preserve"> </w:t>
            </w:r>
            <w:r w:rsidR="002F5CBD">
              <w:rPr>
                <w:rFonts w:ascii="Times New Roman" w:eastAsia="Times New Roman" w:hAnsi="Times New Roman" w:cs="Times New Roman"/>
                <w:color w:val="000000" w:themeColor="text1"/>
                <w:sz w:val="20"/>
                <w:szCs w:val="20"/>
              </w:rPr>
              <w:t xml:space="preserve">për të garantuar zbatimin e kuadrit ligjor kundër diskriminimit për çdo rast diskriminimi bazuar në të gjitha bazat e diskriminimit </w:t>
            </w:r>
            <w:r>
              <w:rPr>
                <w:rFonts w:ascii="Times New Roman" w:eastAsia="Times New Roman" w:hAnsi="Times New Roman" w:cs="Times New Roman"/>
                <w:color w:val="000000" w:themeColor="text1"/>
                <w:sz w:val="20"/>
                <w:szCs w:val="20"/>
              </w:rPr>
              <w:t xml:space="preserve">do të përmirësohen </w:t>
            </w:r>
            <w:r w:rsidR="002F5CBD">
              <w:rPr>
                <w:rFonts w:ascii="Times New Roman" w:eastAsia="Times New Roman" w:hAnsi="Times New Roman" w:cs="Times New Roman"/>
                <w:color w:val="000000" w:themeColor="text1"/>
                <w:sz w:val="20"/>
                <w:szCs w:val="20"/>
              </w:rPr>
              <w:t>nga viti 2024 e në vazhdim.</w:t>
            </w:r>
          </w:p>
          <w:p w:rsidR="002F5CBD" w:rsidRDefault="002F5CBD" w:rsidP="002F5CBD">
            <w:pPr>
              <w:jc w:val="both"/>
              <w:rPr>
                <w:rFonts w:ascii="Times New Roman" w:eastAsia="Times New Roman" w:hAnsi="Times New Roman" w:cs="Times New Roman"/>
                <w:color w:val="000000" w:themeColor="text1"/>
                <w:sz w:val="20"/>
                <w:szCs w:val="20"/>
                <w:lang w:val="en-GB"/>
              </w:rPr>
            </w:pPr>
          </w:p>
          <w:p w:rsidR="002F5CBD" w:rsidRDefault="002F5CBD" w:rsidP="002F5CBD">
            <w:pPr>
              <w:jc w:val="both"/>
              <w:rPr>
                <w:rFonts w:ascii="Times New Roman" w:eastAsia="Times New Roman" w:hAnsi="Times New Roman" w:cs="Times New Roman"/>
                <w:color w:val="000000" w:themeColor="text1"/>
                <w:sz w:val="20"/>
                <w:szCs w:val="20"/>
                <w:lang w:val="en-GB"/>
              </w:rPr>
            </w:pPr>
            <w:r w:rsidRPr="00A6044F">
              <w:rPr>
                <w:rFonts w:ascii="Times New Roman" w:eastAsia="Times New Roman" w:hAnsi="Times New Roman" w:cs="Times New Roman"/>
                <w:color w:val="000000" w:themeColor="text1"/>
                <w:sz w:val="20"/>
                <w:szCs w:val="20"/>
                <w:lang w:val="en-GB"/>
              </w:rPr>
              <w:t xml:space="preserve">Trajnimi i palëve të interesuara për çështjet e mosdiskriminimit, përfshirë prokurorët, gjyqtarët, punonjësit socialë, psikologët, policinë, kryhet vazhdimisht bazuar në </w:t>
            </w:r>
            <w:r w:rsidR="006F3C88">
              <w:rPr>
                <w:rFonts w:ascii="Times New Roman" w:eastAsia="Times New Roman" w:hAnsi="Times New Roman" w:cs="Times New Roman"/>
                <w:color w:val="000000" w:themeColor="text1"/>
                <w:sz w:val="20"/>
                <w:szCs w:val="20"/>
                <w:lang w:val="en-GB"/>
              </w:rPr>
              <w:t>planifikimet</w:t>
            </w:r>
            <w:r w:rsidRPr="00A6044F">
              <w:rPr>
                <w:rFonts w:ascii="Times New Roman" w:eastAsia="Times New Roman" w:hAnsi="Times New Roman" w:cs="Times New Roman"/>
                <w:color w:val="000000" w:themeColor="text1"/>
                <w:sz w:val="20"/>
                <w:szCs w:val="20"/>
                <w:lang w:val="en-GB"/>
              </w:rPr>
              <w:t xml:space="preserve"> vjetore nga viti 2024 e në vazhdim.</w:t>
            </w:r>
          </w:p>
          <w:p w:rsidR="002F5CBD" w:rsidRDefault="002F5CBD" w:rsidP="002F5CBD">
            <w:pPr>
              <w:jc w:val="both"/>
              <w:rPr>
                <w:rFonts w:ascii="Times New Roman" w:eastAsia="Times New Roman" w:hAnsi="Times New Roman" w:cs="Times New Roman"/>
                <w:bCs/>
                <w:color w:val="000000" w:themeColor="text1"/>
                <w:sz w:val="20"/>
                <w:szCs w:val="20"/>
                <w:lang w:val="en-GB"/>
              </w:rPr>
            </w:pPr>
          </w:p>
          <w:p w:rsidR="002F5CBD" w:rsidRPr="00A6044F" w:rsidRDefault="002F5CBD" w:rsidP="002F5CBD">
            <w:pPr>
              <w:jc w:val="both"/>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Fushatat promovuese për antidiskriminimin zhvillohen në bazë të planeve vjetore nga Komisioneri Kundër Diskriminimit në ba</w:t>
            </w:r>
            <w:r w:rsidR="00052EC3">
              <w:rPr>
                <w:rFonts w:ascii="Times New Roman" w:eastAsia="Times New Roman" w:hAnsi="Times New Roman" w:cs="Times New Roman"/>
                <w:color w:val="000000" w:themeColor="text1"/>
                <w:sz w:val="20"/>
                <w:szCs w:val="20"/>
                <w:lang w:val="en-GB"/>
              </w:rPr>
              <w:t>shkëpunim me ministritë</w:t>
            </w:r>
            <w:r>
              <w:rPr>
                <w:rFonts w:ascii="Times New Roman" w:eastAsia="Times New Roman" w:hAnsi="Times New Roman" w:cs="Times New Roman"/>
                <w:color w:val="000000" w:themeColor="text1"/>
                <w:sz w:val="20"/>
                <w:szCs w:val="20"/>
                <w:lang w:val="en-GB"/>
              </w:rPr>
              <w:t>, shoqërinë civile si dhe median publike dhe universitetet, veçanërisht në zonat rurale dhe të largëta, në baza vjetore, duke z</w:t>
            </w:r>
            <w:r w:rsidR="006F3C88">
              <w:rPr>
                <w:rFonts w:ascii="Times New Roman" w:eastAsia="Times New Roman" w:hAnsi="Times New Roman" w:cs="Times New Roman"/>
                <w:color w:val="000000" w:themeColor="text1"/>
                <w:sz w:val="20"/>
                <w:szCs w:val="20"/>
                <w:lang w:val="en-GB"/>
              </w:rPr>
              <w:t>batuar një plan ndërgjegjësim i</w:t>
            </w:r>
            <w:r>
              <w:rPr>
                <w:rFonts w:ascii="Times New Roman" w:eastAsia="Times New Roman" w:hAnsi="Times New Roman" w:cs="Times New Roman"/>
                <w:color w:val="000000" w:themeColor="text1"/>
                <w:sz w:val="20"/>
                <w:szCs w:val="20"/>
                <w:lang w:val="en-GB"/>
              </w:rPr>
              <w:t xml:space="preserve"> përpunuar më parë nga Komisioni, nga viti 2024 e në vazhdim.</w:t>
            </w:r>
          </w:p>
        </w:tc>
        <w:tc>
          <w:tcPr>
            <w:tcW w:w="3949" w:type="dxa"/>
            <w:shd w:val="clear" w:color="auto" w:fill="FFFFFF" w:themeFill="background1"/>
          </w:tcPr>
          <w:p w:rsidR="002F5CBD" w:rsidRPr="00A6044F" w:rsidRDefault="002F5CBD" w:rsidP="006F3C88">
            <w:pPr>
              <w:jc w:val="both"/>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 xml:space="preserve">Struktura ligjore dhe institucionale </w:t>
            </w:r>
            <w:r w:rsidR="006F3C88">
              <w:rPr>
                <w:rFonts w:ascii="Times New Roman" w:eastAsia="Times New Roman" w:hAnsi="Times New Roman" w:cs="Times New Roman"/>
                <w:color w:val="000000" w:themeColor="text1"/>
                <w:sz w:val="20"/>
                <w:szCs w:val="20"/>
                <w:lang w:val="en-GB"/>
              </w:rPr>
              <w:t>për</w:t>
            </w:r>
            <w:r>
              <w:rPr>
                <w:rFonts w:ascii="Times New Roman" w:eastAsia="Times New Roman" w:hAnsi="Times New Roman" w:cs="Times New Roman"/>
                <w:color w:val="000000" w:themeColor="text1"/>
                <w:sz w:val="20"/>
                <w:szCs w:val="20"/>
                <w:lang w:val="en-GB"/>
              </w:rPr>
              <w:t xml:space="preserve"> luftën kundër </w:t>
            </w:r>
            <w:proofErr w:type="gramStart"/>
            <w:r>
              <w:rPr>
                <w:rFonts w:ascii="Times New Roman" w:eastAsia="Times New Roman" w:hAnsi="Times New Roman" w:cs="Times New Roman"/>
                <w:color w:val="000000" w:themeColor="text1"/>
                <w:sz w:val="20"/>
                <w:szCs w:val="20"/>
                <w:lang w:val="en-GB"/>
              </w:rPr>
              <w:t>diskriminimit  trajton</w:t>
            </w:r>
            <w:proofErr w:type="gramEnd"/>
            <w:r>
              <w:rPr>
                <w:rFonts w:ascii="Times New Roman" w:eastAsia="Times New Roman" w:hAnsi="Times New Roman" w:cs="Times New Roman"/>
                <w:color w:val="000000" w:themeColor="text1"/>
                <w:sz w:val="20"/>
                <w:szCs w:val="20"/>
                <w:lang w:val="en-GB"/>
              </w:rPr>
              <w:t xml:space="preserve"> gëzimin e të drejtave në nivele të përshtatshme dhe shkeljet e dispozitave për diskriminimin trajtohen në mënyrë të vazhdueshme deri në vitin 2030.</w:t>
            </w:r>
          </w:p>
        </w:tc>
      </w:tr>
      <w:tr w:rsidR="002F5CBD" w:rsidRPr="00083AD4" w:rsidTr="00734862">
        <w:trPr>
          <w:trHeight w:val="235"/>
        </w:trPr>
        <w:tc>
          <w:tcPr>
            <w:tcW w:w="14580" w:type="dxa"/>
            <w:gridSpan w:val="14"/>
            <w:shd w:val="clear" w:color="auto" w:fill="BDD6EE" w:themeFill="accent1" w:themeFillTint="66"/>
          </w:tcPr>
          <w:p w:rsidR="002F5CBD" w:rsidRPr="00083AD4" w:rsidRDefault="002F5CBD" w:rsidP="002F5CBD">
            <w:pPr>
              <w:spacing w:after="160" w:line="257" w:lineRule="auto"/>
              <w:jc w:val="both"/>
              <w:rPr>
                <w:rFonts w:ascii="Times New Roman" w:eastAsia="Times New Roman" w:hAnsi="Times New Roman" w:cs="Times New Roman"/>
                <w:b/>
                <w:bCs/>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t>III.K. Barazia gjinore dhe të drejtat e grave</w:t>
            </w:r>
          </w:p>
          <w:p w:rsidR="002F5CBD" w:rsidRPr="00083AD4" w:rsidRDefault="002F5CBD" w:rsidP="002F5CBD">
            <w:pPr>
              <w:jc w:val="both"/>
              <w:rPr>
                <w:rFonts w:ascii="Times New Roman" w:eastAsia="Times New Roman" w:hAnsi="Times New Roman" w:cs="Times New Roman"/>
                <w:b/>
                <w:color w:val="000000" w:themeColor="text1"/>
                <w:sz w:val="20"/>
                <w:szCs w:val="20"/>
                <w:lang w:val="it-IT"/>
              </w:rPr>
            </w:pPr>
          </w:p>
        </w:tc>
      </w:tr>
      <w:tr w:rsidR="002F5CBD" w:rsidRPr="00083AD4" w:rsidTr="00734862">
        <w:trPr>
          <w:trHeight w:val="235"/>
        </w:trPr>
        <w:tc>
          <w:tcPr>
            <w:tcW w:w="14580" w:type="dxa"/>
            <w:gridSpan w:val="14"/>
            <w:shd w:val="clear" w:color="auto" w:fill="auto"/>
          </w:tcPr>
          <w:p w:rsidR="002F5CBD" w:rsidRPr="00083AD4" w:rsidRDefault="006F3C88" w:rsidP="002F5CBD">
            <w:pPr>
              <w:spacing w:line="257" w:lineRule="auto"/>
              <w:jc w:val="both"/>
              <w:rPr>
                <w:rFonts w:ascii="Times New Roman" w:eastAsia="Times New Roman" w:hAnsi="Times New Roman" w:cs="Times New Roman"/>
                <w:b/>
                <w:bCs/>
                <w:color w:val="000000" w:themeColor="text1"/>
                <w:sz w:val="20"/>
                <w:szCs w:val="20"/>
                <w:lang w:val="it-IT"/>
              </w:rPr>
            </w:pPr>
            <w:r>
              <w:rPr>
                <w:rFonts w:ascii="Times New Roman" w:eastAsia="Times New Roman" w:hAnsi="Times New Roman" w:cs="Times New Roman"/>
                <w:b/>
                <w:bCs/>
                <w:color w:val="000000" w:themeColor="text1"/>
                <w:sz w:val="20"/>
                <w:szCs w:val="20"/>
                <w:lang w:val="it-IT"/>
              </w:rPr>
              <w:t xml:space="preserve"> Korniza </w:t>
            </w:r>
            <w:r w:rsidR="002F5CBD" w:rsidRPr="00083AD4">
              <w:rPr>
                <w:rFonts w:ascii="Times New Roman" w:eastAsia="Times New Roman" w:hAnsi="Times New Roman" w:cs="Times New Roman"/>
                <w:b/>
                <w:bCs/>
                <w:color w:val="000000" w:themeColor="text1"/>
                <w:sz w:val="20"/>
                <w:szCs w:val="20"/>
                <w:lang w:val="it-IT"/>
              </w:rPr>
              <w:t>ligjore për barazinë gjinore në përputhje me acquis të BE-së</w:t>
            </w:r>
          </w:p>
        </w:tc>
      </w:tr>
      <w:tr w:rsidR="002F5CBD" w:rsidTr="007C2EDE">
        <w:trPr>
          <w:trHeight w:val="983"/>
        </w:trPr>
        <w:tc>
          <w:tcPr>
            <w:tcW w:w="2973" w:type="dxa"/>
            <w:shd w:val="clear" w:color="auto" w:fill="FFFFFF" w:themeFill="background1"/>
          </w:tcPr>
          <w:p w:rsidR="002F5CBD" w:rsidRPr="00083AD4" w:rsidRDefault="002F5CBD" w:rsidP="002F5CBD">
            <w:pPr>
              <w:spacing w:line="276" w:lineRule="auto"/>
              <w:rPr>
                <w:rFonts w:ascii="Times New Roman" w:eastAsia="Times New Roman" w:hAnsi="Times New Roman"/>
                <w:sz w:val="20"/>
                <w:szCs w:val="20"/>
                <w:lang w:val="it-IT"/>
              </w:rPr>
            </w:pPr>
          </w:p>
        </w:tc>
        <w:tc>
          <w:tcPr>
            <w:tcW w:w="3321" w:type="dxa"/>
            <w:gridSpan w:val="3"/>
            <w:shd w:val="clear" w:color="auto" w:fill="FFFFFF" w:themeFill="background1"/>
          </w:tcPr>
          <w:p w:rsidR="002F5CBD" w:rsidRPr="00C16622" w:rsidRDefault="006F3C88" w:rsidP="002F5CBD">
            <w:pPr>
              <w:spacing w:line="257" w:lineRule="auto"/>
              <w:jc w:val="both"/>
              <w:rPr>
                <w:rFonts w:ascii="Times New Roman" w:eastAsia="Times New Roman" w:hAnsi="Times New Roman" w:cs="Times New Roman"/>
                <w:color w:val="000000" w:themeColor="text1"/>
                <w:sz w:val="20"/>
                <w:szCs w:val="20"/>
                <w:lang w:val="it-IT"/>
              </w:rPr>
            </w:pPr>
            <w:r w:rsidRPr="00C16622">
              <w:rPr>
                <w:rFonts w:ascii="Times New Roman" w:eastAsia="Times New Roman" w:hAnsi="Times New Roman" w:cs="Times New Roman"/>
                <w:color w:val="000000" w:themeColor="text1"/>
                <w:sz w:val="20"/>
                <w:szCs w:val="20"/>
                <w:lang w:val="it-IT"/>
              </w:rPr>
              <w:t>Kuvendi miraton ndryshime</w:t>
            </w:r>
            <w:r w:rsidR="002F5CBD" w:rsidRPr="00C16622">
              <w:rPr>
                <w:rFonts w:ascii="Times New Roman" w:eastAsia="Times New Roman" w:hAnsi="Times New Roman" w:cs="Times New Roman"/>
                <w:color w:val="000000" w:themeColor="text1"/>
                <w:sz w:val="20"/>
                <w:szCs w:val="20"/>
                <w:lang w:val="it-IT"/>
              </w:rPr>
              <w:t xml:space="preserve"> në</w:t>
            </w:r>
            <w:r w:rsidR="00C16622" w:rsidRPr="00C16622">
              <w:rPr>
                <w:rFonts w:ascii="Times New Roman" w:eastAsia="Times New Roman" w:hAnsi="Times New Roman" w:cs="Times New Roman"/>
                <w:color w:val="000000" w:themeColor="text1"/>
                <w:sz w:val="20"/>
                <w:szCs w:val="20"/>
                <w:lang w:val="it-IT"/>
              </w:rPr>
              <w:t>:</w:t>
            </w:r>
          </w:p>
          <w:p w:rsidR="002F5CBD" w:rsidRPr="00C16622" w:rsidRDefault="002F5CBD" w:rsidP="00C16622">
            <w:pPr>
              <w:pStyle w:val="ListParagraph"/>
              <w:spacing w:line="257" w:lineRule="auto"/>
              <w:ind w:left="410"/>
              <w:jc w:val="both"/>
              <w:rPr>
                <w:rFonts w:ascii="Times New Roman" w:eastAsia="Times New Roman" w:hAnsi="Times New Roman" w:cs="Times New Roman"/>
                <w:color w:val="000000" w:themeColor="text1"/>
                <w:sz w:val="20"/>
                <w:szCs w:val="20"/>
                <w:lang w:val="it-IT"/>
              </w:rPr>
            </w:pPr>
            <w:r w:rsidRPr="00C16622">
              <w:rPr>
                <w:rFonts w:ascii="Times New Roman" w:eastAsia="Times New Roman" w:hAnsi="Times New Roman" w:cs="Times New Roman"/>
                <w:color w:val="000000" w:themeColor="text1"/>
                <w:sz w:val="20"/>
                <w:szCs w:val="20"/>
                <w:lang w:val="it-IT"/>
              </w:rPr>
              <w:t>Ligji</w:t>
            </w:r>
            <w:r w:rsidR="00C16622" w:rsidRPr="00C16622">
              <w:rPr>
                <w:rFonts w:ascii="Times New Roman" w:eastAsia="Times New Roman" w:hAnsi="Times New Roman" w:cs="Times New Roman"/>
                <w:color w:val="000000" w:themeColor="text1"/>
                <w:sz w:val="20"/>
                <w:szCs w:val="20"/>
                <w:lang w:val="it-IT"/>
              </w:rPr>
              <w:t>n</w:t>
            </w:r>
            <w:r w:rsidR="00C16622">
              <w:rPr>
                <w:rFonts w:ascii="Times New Roman" w:eastAsia="Times New Roman" w:hAnsi="Times New Roman" w:cs="Times New Roman"/>
                <w:color w:val="000000" w:themeColor="text1"/>
                <w:sz w:val="20"/>
                <w:szCs w:val="20"/>
                <w:lang w:val="it-IT"/>
              </w:rPr>
              <w:t xml:space="preserve"> për Barazinë Gjinore</w:t>
            </w:r>
            <w:r w:rsidRPr="00C16622">
              <w:rPr>
                <w:rFonts w:ascii="Times New Roman" w:eastAsia="Times New Roman" w:hAnsi="Times New Roman" w:cs="Times New Roman"/>
                <w:color w:val="000000" w:themeColor="text1"/>
                <w:sz w:val="20"/>
                <w:szCs w:val="20"/>
                <w:lang w:val="it-IT"/>
              </w:rPr>
              <w:t xml:space="preserve"> brenda vitit 2025, për të siguruar përditësimin me standardet më të fundit</w:t>
            </w:r>
          </w:p>
          <w:p w:rsidR="002F5CBD" w:rsidRPr="00C16622" w:rsidRDefault="002F5CBD" w:rsidP="002F5CBD">
            <w:pPr>
              <w:pStyle w:val="ListParagraph"/>
              <w:numPr>
                <w:ilvl w:val="0"/>
                <w:numId w:val="9"/>
              </w:numPr>
              <w:spacing w:line="257" w:lineRule="auto"/>
              <w:jc w:val="both"/>
              <w:rPr>
                <w:rFonts w:ascii="Times New Roman" w:eastAsia="Times New Roman" w:hAnsi="Times New Roman" w:cs="Times New Roman"/>
                <w:color w:val="000000" w:themeColor="text1"/>
                <w:sz w:val="20"/>
                <w:szCs w:val="20"/>
                <w:lang w:val="it-IT"/>
              </w:rPr>
            </w:pPr>
            <w:r w:rsidRPr="00C16622">
              <w:rPr>
                <w:rFonts w:ascii="Times New Roman" w:eastAsia="Times New Roman" w:hAnsi="Times New Roman" w:cs="Times New Roman"/>
                <w:color w:val="000000" w:themeColor="text1"/>
                <w:sz w:val="20"/>
                <w:szCs w:val="20"/>
                <w:lang w:val="it-IT"/>
              </w:rPr>
              <w:t>Ligji</w:t>
            </w:r>
            <w:r w:rsidR="00C16622" w:rsidRPr="00C16622">
              <w:rPr>
                <w:rFonts w:ascii="Times New Roman" w:eastAsia="Times New Roman" w:hAnsi="Times New Roman" w:cs="Times New Roman"/>
                <w:color w:val="000000" w:themeColor="text1"/>
                <w:sz w:val="20"/>
                <w:szCs w:val="20"/>
                <w:lang w:val="it-IT"/>
              </w:rPr>
              <w:t>n</w:t>
            </w:r>
            <w:r w:rsidRPr="00C16622">
              <w:rPr>
                <w:rFonts w:ascii="Times New Roman" w:eastAsia="Times New Roman" w:hAnsi="Times New Roman" w:cs="Times New Roman"/>
                <w:color w:val="000000" w:themeColor="text1"/>
                <w:sz w:val="20"/>
                <w:szCs w:val="20"/>
                <w:lang w:val="it-IT"/>
              </w:rPr>
              <w:t xml:space="preserve"> për Dhunën në Familje për të siguruar harmonizim të plotë me Konventën e Stambollit deri në vitin 2030</w:t>
            </w:r>
          </w:p>
          <w:p w:rsidR="002F5CBD" w:rsidRPr="00C16622" w:rsidRDefault="002F5CBD" w:rsidP="002F5CBD">
            <w:pPr>
              <w:pStyle w:val="ListParagraph"/>
              <w:numPr>
                <w:ilvl w:val="0"/>
                <w:numId w:val="9"/>
              </w:numPr>
              <w:spacing w:line="257" w:lineRule="auto"/>
              <w:jc w:val="both"/>
              <w:rPr>
                <w:rFonts w:ascii="Times New Roman" w:eastAsia="Times New Roman" w:hAnsi="Times New Roman" w:cs="Times New Roman"/>
                <w:color w:val="000000" w:themeColor="text1"/>
                <w:sz w:val="20"/>
                <w:szCs w:val="20"/>
                <w:lang w:val="it-IT"/>
              </w:rPr>
            </w:pPr>
            <w:r w:rsidRPr="00C16622">
              <w:rPr>
                <w:rFonts w:ascii="Times New Roman" w:eastAsia="Times New Roman" w:hAnsi="Times New Roman" w:cs="Times New Roman"/>
                <w:color w:val="000000" w:themeColor="text1"/>
                <w:sz w:val="20"/>
                <w:szCs w:val="20"/>
                <w:lang w:val="it-IT"/>
              </w:rPr>
              <w:t xml:space="preserve">Një Kod i ri Penal që </w:t>
            </w:r>
            <w:r w:rsidR="00C16622" w:rsidRPr="00C16622">
              <w:rPr>
                <w:rFonts w:ascii="Times New Roman" w:eastAsia="Times New Roman" w:hAnsi="Times New Roman" w:cs="Times New Roman"/>
                <w:color w:val="000000" w:themeColor="text1"/>
                <w:sz w:val="20"/>
                <w:szCs w:val="20"/>
                <w:lang w:val="it-IT"/>
              </w:rPr>
              <w:t>pa</w:t>
            </w:r>
            <w:r w:rsidR="00C16622">
              <w:rPr>
                <w:rFonts w:ascii="Times New Roman" w:eastAsia="Times New Roman" w:hAnsi="Times New Roman" w:cs="Times New Roman"/>
                <w:color w:val="000000" w:themeColor="text1"/>
                <w:sz w:val="20"/>
                <w:szCs w:val="20"/>
                <w:lang w:val="it-IT"/>
              </w:rPr>
              <w:t>rashikon</w:t>
            </w:r>
            <w:r w:rsidRPr="00C16622">
              <w:rPr>
                <w:rFonts w:ascii="Times New Roman" w:eastAsia="Times New Roman" w:hAnsi="Times New Roman" w:cs="Times New Roman"/>
                <w:color w:val="000000" w:themeColor="text1"/>
                <w:sz w:val="20"/>
                <w:szCs w:val="20"/>
                <w:lang w:val="it-IT"/>
              </w:rPr>
              <w:t xml:space="preserve"> </w:t>
            </w:r>
            <w:r w:rsidR="00C16622">
              <w:rPr>
                <w:rFonts w:ascii="Times New Roman" w:eastAsia="Times New Roman" w:hAnsi="Times New Roman" w:cs="Times New Roman"/>
                <w:color w:val="000000" w:themeColor="text1"/>
                <w:sz w:val="20"/>
                <w:szCs w:val="20"/>
                <w:lang w:val="it-IT"/>
              </w:rPr>
              <w:t>një përkufizim të përdhunimit i cili</w:t>
            </w:r>
            <w:r w:rsidRPr="00C16622">
              <w:rPr>
                <w:rFonts w:ascii="Times New Roman" w:eastAsia="Times New Roman" w:hAnsi="Times New Roman" w:cs="Times New Roman"/>
                <w:color w:val="000000" w:themeColor="text1"/>
                <w:sz w:val="20"/>
                <w:szCs w:val="20"/>
                <w:lang w:val="it-IT"/>
              </w:rPr>
              <w:t xml:space="preserve"> përfshin mungesën e pëlqimit si një element përbërës deri në vitin 2025</w:t>
            </w:r>
          </w:p>
          <w:p w:rsidR="002F5CBD" w:rsidRPr="00C16622" w:rsidRDefault="002F5CBD" w:rsidP="002F5CBD">
            <w:pPr>
              <w:spacing w:line="257" w:lineRule="auto"/>
              <w:jc w:val="both"/>
              <w:rPr>
                <w:rFonts w:ascii="Times New Roman" w:eastAsia="Times New Roman" w:hAnsi="Times New Roman" w:cs="Times New Roman"/>
                <w:color w:val="000000" w:themeColor="text1"/>
                <w:sz w:val="20"/>
                <w:szCs w:val="20"/>
                <w:lang w:val="it-IT"/>
              </w:rPr>
            </w:pPr>
          </w:p>
          <w:p w:rsidR="002F5CBD" w:rsidRDefault="002F5CBD" w:rsidP="002F5CBD">
            <w:pPr>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Ministria e Shëndetësisë dhe Mbrojtjes Sociale miraton Planin e Punës për ndjekjen e rekomandimeve të organeve të Konventës CEDAW brenda vitit 2024.</w:t>
            </w:r>
          </w:p>
          <w:p w:rsidR="002F5CBD" w:rsidRPr="00F16020" w:rsidRDefault="002F5CBD" w:rsidP="002F5CBD">
            <w:pPr>
              <w:spacing w:line="257" w:lineRule="auto"/>
              <w:jc w:val="both"/>
              <w:rPr>
                <w:rFonts w:ascii="Times New Roman" w:eastAsia="Times New Roman" w:hAnsi="Times New Roman" w:cs="Times New Roman"/>
                <w:color w:val="000000" w:themeColor="text1"/>
                <w:sz w:val="20"/>
                <w:szCs w:val="20"/>
                <w:lang w:val="en-GB"/>
              </w:rPr>
            </w:pPr>
          </w:p>
        </w:tc>
        <w:tc>
          <w:tcPr>
            <w:tcW w:w="4337" w:type="dxa"/>
            <w:gridSpan w:val="9"/>
            <w:shd w:val="clear" w:color="auto" w:fill="FFFFFF" w:themeFill="background1"/>
          </w:tcPr>
          <w:p w:rsidR="002F5CBD" w:rsidRDefault="002F5CBD" w:rsidP="002F5CBD">
            <w:pPr>
              <w:shd w:val="clear" w:color="auto" w:fill="FFFFFF"/>
              <w:spacing w:after="160" w:line="259" w:lineRule="auto"/>
              <w:jc w:val="both"/>
              <w:textAlignment w:val="baseline"/>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Trajnimi</w:t>
            </w:r>
            <w:r w:rsidR="00C16622">
              <w:rPr>
                <w:rFonts w:ascii="Times New Roman" w:hAnsi="Times New Roman" w:cs="Times New Roman"/>
                <w:bCs/>
                <w:color w:val="000000" w:themeColor="text1"/>
                <w:sz w:val="20"/>
                <w:szCs w:val="20"/>
                <w:lang w:val="en-GB"/>
              </w:rPr>
              <w:t xml:space="preserve"> adekuat i stafit të përfshirë në çështjet e barazisë gjinore dhe dhunës</w:t>
            </w:r>
            <w:r>
              <w:rPr>
                <w:rFonts w:ascii="Times New Roman" w:hAnsi="Times New Roman" w:cs="Times New Roman"/>
                <w:bCs/>
                <w:color w:val="000000" w:themeColor="text1"/>
                <w:sz w:val="20"/>
                <w:szCs w:val="20"/>
                <w:lang w:val="en-GB"/>
              </w:rPr>
              <w:t xml:space="preserve"> në familje ofrohet nga viti 2024 e në vazhdim bazuar në </w:t>
            </w:r>
            <w:r w:rsidR="00052EC3">
              <w:rPr>
                <w:rFonts w:ascii="Times New Roman" w:hAnsi="Times New Roman" w:cs="Times New Roman"/>
                <w:bCs/>
                <w:color w:val="000000" w:themeColor="text1"/>
                <w:sz w:val="20"/>
                <w:szCs w:val="20"/>
                <w:lang w:val="en-GB"/>
              </w:rPr>
              <w:t>p</w:t>
            </w:r>
            <w:r w:rsidR="00C16622">
              <w:rPr>
                <w:rFonts w:ascii="Times New Roman" w:hAnsi="Times New Roman" w:cs="Times New Roman"/>
                <w:bCs/>
                <w:color w:val="000000" w:themeColor="text1"/>
                <w:sz w:val="20"/>
                <w:szCs w:val="20"/>
                <w:lang w:val="en-GB"/>
              </w:rPr>
              <w:t>lanifikimet</w:t>
            </w:r>
            <w:r w:rsidR="00052EC3">
              <w:rPr>
                <w:rFonts w:ascii="Times New Roman" w:hAnsi="Times New Roman" w:cs="Times New Roman"/>
                <w:bCs/>
                <w:color w:val="000000" w:themeColor="text1"/>
                <w:sz w:val="20"/>
                <w:szCs w:val="20"/>
                <w:lang w:val="en-GB"/>
              </w:rPr>
              <w:t xml:space="preserve"> vjetore të ASPA/PP/KLP</w:t>
            </w:r>
            <w:r>
              <w:rPr>
                <w:rFonts w:ascii="Times New Roman" w:hAnsi="Times New Roman" w:cs="Times New Roman"/>
                <w:bCs/>
                <w:color w:val="000000" w:themeColor="text1"/>
                <w:sz w:val="20"/>
                <w:szCs w:val="20"/>
                <w:lang w:val="en-GB"/>
              </w:rPr>
              <w:t xml:space="preserve"> për stafin e prokurorisë dhe punonjësit socialë, psikologët, Akademia e Policisë për hetuesit dhe oficerët e policisë, Shkolla </w:t>
            </w:r>
            <w:r w:rsidR="00162C41">
              <w:rPr>
                <w:rFonts w:ascii="Times New Roman" w:hAnsi="Times New Roman" w:cs="Times New Roman"/>
                <w:bCs/>
                <w:color w:val="000000" w:themeColor="text1"/>
                <w:sz w:val="20"/>
                <w:szCs w:val="20"/>
                <w:lang w:val="en-GB"/>
              </w:rPr>
              <w:t xml:space="preserve">e Magjistraturës për gjyqtarët </w:t>
            </w:r>
            <w:r>
              <w:rPr>
                <w:rFonts w:ascii="Times New Roman" w:hAnsi="Times New Roman" w:cs="Times New Roman"/>
                <w:bCs/>
                <w:color w:val="000000" w:themeColor="text1"/>
                <w:sz w:val="20"/>
                <w:szCs w:val="20"/>
                <w:lang w:val="en-GB"/>
              </w:rPr>
              <w:t>dhe prokurorët.</w:t>
            </w:r>
          </w:p>
          <w:p w:rsidR="002F5CBD" w:rsidRDefault="00C16622" w:rsidP="002F5CBD">
            <w:pPr>
              <w:shd w:val="clear" w:color="auto" w:fill="FFFFFF"/>
              <w:spacing w:after="160" w:line="259" w:lineRule="auto"/>
              <w:jc w:val="both"/>
              <w:textAlignment w:val="baseline"/>
              <w:rPr>
                <w:rFonts w:ascii="Times New Roman" w:eastAsia="Times New Roman" w:hAnsi="Times New Roman" w:cs="Times New Roman"/>
                <w:color w:val="000000" w:themeColor="text1"/>
                <w:sz w:val="20"/>
                <w:szCs w:val="20"/>
              </w:rPr>
            </w:pPr>
            <w:r>
              <w:rPr>
                <w:rFonts w:ascii="Times New Roman" w:hAnsi="Times New Roman" w:cs="Times New Roman"/>
                <w:bCs/>
                <w:color w:val="000000" w:themeColor="text1"/>
                <w:sz w:val="20"/>
                <w:szCs w:val="20"/>
                <w:lang w:val="en-GB"/>
              </w:rPr>
              <w:t>Sigurohen</w:t>
            </w:r>
            <w:r w:rsidR="002F5CBD">
              <w:rPr>
                <w:rFonts w:ascii="Times New Roman" w:hAnsi="Times New Roman" w:cs="Times New Roman"/>
                <w:bCs/>
                <w:color w:val="000000" w:themeColor="text1"/>
                <w:sz w:val="20"/>
                <w:szCs w:val="20"/>
                <w:lang w:val="en-GB"/>
              </w:rPr>
              <w:t xml:space="preserve"> burime adekuate financiare dhe njerëzore për</w:t>
            </w:r>
            <w:r>
              <w:rPr>
                <w:rFonts w:ascii="Times New Roman" w:hAnsi="Times New Roman" w:cs="Times New Roman"/>
                <w:bCs/>
                <w:color w:val="000000" w:themeColor="text1"/>
                <w:sz w:val="20"/>
                <w:szCs w:val="20"/>
                <w:lang w:val="en-GB"/>
              </w:rPr>
              <w:t xml:space="preserve"> mirëfunksionimin e </w:t>
            </w:r>
            <w:r>
              <w:rPr>
                <w:rFonts w:ascii="Times New Roman" w:eastAsia="Times New Roman" w:hAnsi="Times New Roman" w:cs="Times New Roman"/>
                <w:color w:val="000000" w:themeColor="text1"/>
                <w:sz w:val="20"/>
                <w:szCs w:val="20"/>
              </w:rPr>
              <w:t>Mekanizmit të</w:t>
            </w:r>
            <w:r w:rsidR="002F5CBD" w:rsidRPr="00FB3EDC">
              <w:rPr>
                <w:rFonts w:ascii="Times New Roman" w:eastAsia="Times New Roman" w:hAnsi="Times New Roman" w:cs="Times New Roman"/>
                <w:color w:val="000000" w:themeColor="text1"/>
                <w:sz w:val="20"/>
                <w:szCs w:val="20"/>
              </w:rPr>
              <w:t xml:space="preserve"> Barazisë Gjinore nga viti 2025 e në vazhdim dh</w:t>
            </w:r>
            <w:r>
              <w:rPr>
                <w:rFonts w:ascii="Times New Roman" w:eastAsia="Times New Roman" w:hAnsi="Times New Roman" w:cs="Times New Roman"/>
                <w:color w:val="000000" w:themeColor="text1"/>
                <w:sz w:val="20"/>
                <w:szCs w:val="20"/>
              </w:rPr>
              <w:t>e sigurohet zbatimi i duhur i</w:t>
            </w:r>
            <w:r w:rsidR="002F5CBD" w:rsidRPr="00FB3EDC">
              <w:rPr>
                <w:rFonts w:ascii="Times New Roman" w:eastAsia="Times New Roman" w:hAnsi="Times New Roman" w:cs="Times New Roman"/>
                <w:color w:val="000000" w:themeColor="text1"/>
                <w:sz w:val="20"/>
                <w:szCs w:val="20"/>
              </w:rPr>
              <w:t xml:space="preserve"> objektivave të Strategjisë dhe Ligjit për Barazinë Gjinore.</w:t>
            </w:r>
          </w:p>
          <w:p w:rsidR="002F5CBD" w:rsidRPr="00A61028" w:rsidRDefault="002F5CBD" w:rsidP="002F5CBD">
            <w:pPr>
              <w:shd w:val="clear" w:color="auto" w:fill="FFFFFF"/>
              <w:spacing w:after="160" w:line="259" w:lineRule="auto"/>
              <w:jc w:val="both"/>
              <w:textAlignment w:val="baseline"/>
              <w:rPr>
                <w:rFonts w:ascii="Times New Roman" w:hAnsi="Times New Roman" w:cs="Times New Roman"/>
                <w:bCs/>
                <w:color w:val="000000" w:themeColor="text1"/>
                <w:sz w:val="20"/>
                <w:szCs w:val="20"/>
                <w:lang w:val="en-GB"/>
              </w:rPr>
            </w:pPr>
            <w:r>
              <w:rPr>
                <w:rFonts w:ascii="Times New Roman" w:eastAsia="Times New Roman" w:hAnsi="Times New Roman" w:cs="Times New Roman"/>
                <w:bCs/>
                <w:color w:val="000000" w:themeColor="text1"/>
                <w:sz w:val="20"/>
                <w:szCs w:val="20"/>
                <w:lang w:val="en-GB"/>
              </w:rPr>
              <w:t>Organet përkatëse kompetente vazhdojnë të adresojnë rekomandimet e CEDAW në bazë të planit dhe monitorohen për progresin e tyre në baza vjetore.</w:t>
            </w:r>
          </w:p>
        </w:tc>
        <w:tc>
          <w:tcPr>
            <w:tcW w:w="3949" w:type="dxa"/>
            <w:shd w:val="clear" w:color="auto" w:fill="FFFFFF" w:themeFill="background1"/>
          </w:tcPr>
          <w:p w:rsidR="002F5CBD" w:rsidRDefault="002F5CBD" w:rsidP="00C16622">
            <w:pPr>
              <w:spacing w:after="160" w:line="259"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Korniza ligjore e harmonizuar me acquis të BE-së dhe konventën e</w:t>
            </w:r>
            <w:r w:rsidR="00C16622">
              <w:rPr>
                <w:rFonts w:ascii="Times New Roman" w:eastAsia="Times New Roman" w:hAnsi="Times New Roman" w:cs="Times New Roman"/>
                <w:color w:val="000000" w:themeColor="text1"/>
                <w:sz w:val="20"/>
                <w:szCs w:val="20"/>
              </w:rPr>
              <w:t xml:space="preserve"> Stambollit </w:t>
            </w:r>
            <w:proofErr w:type="gramStart"/>
            <w:r w:rsidR="00C16622">
              <w:rPr>
                <w:rFonts w:ascii="Times New Roman" w:eastAsia="Times New Roman" w:hAnsi="Times New Roman" w:cs="Times New Roman"/>
                <w:color w:val="000000" w:themeColor="text1"/>
                <w:sz w:val="20"/>
                <w:szCs w:val="20"/>
              </w:rPr>
              <w:t xml:space="preserve">zbatohet </w:t>
            </w:r>
            <w:r>
              <w:rPr>
                <w:rFonts w:ascii="Times New Roman" w:eastAsia="Times New Roman" w:hAnsi="Times New Roman" w:cs="Times New Roman"/>
                <w:color w:val="000000" w:themeColor="text1"/>
                <w:sz w:val="20"/>
                <w:szCs w:val="20"/>
              </w:rPr>
              <w:t xml:space="preserve"> në</w:t>
            </w:r>
            <w:proofErr w:type="gramEnd"/>
            <w:r>
              <w:rPr>
                <w:rFonts w:ascii="Times New Roman" w:eastAsia="Times New Roman" w:hAnsi="Times New Roman" w:cs="Times New Roman"/>
                <w:color w:val="000000" w:themeColor="text1"/>
                <w:sz w:val="20"/>
                <w:szCs w:val="20"/>
              </w:rPr>
              <w:t xml:space="preserve"> praktikë </w:t>
            </w:r>
            <w:r w:rsidR="00C16622">
              <w:rPr>
                <w:rFonts w:ascii="Times New Roman" w:eastAsia="Times New Roman" w:hAnsi="Times New Roman" w:cs="Times New Roman"/>
                <w:color w:val="000000" w:themeColor="text1"/>
                <w:sz w:val="20"/>
                <w:szCs w:val="20"/>
              </w:rPr>
              <w:t xml:space="preserve">në mënyrë konsistente </w:t>
            </w:r>
            <w:r>
              <w:rPr>
                <w:rFonts w:ascii="Times New Roman" w:eastAsia="Times New Roman" w:hAnsi="Times New Roman" w:cs="Times New Roman"/>
                <w:color w:val="000000" w:themeColor="text1"/>
                <w:sz w:val="20"/>
                <w:szCs w:val="20"/>
              </w:rPr>
              <w:t xml:space="preserve">nga staf me kapacitet </w:t>
            </w:r>
            <w:r w:rsidR="00C16622">
              <w:rPr>
                <w:rFonts w:ascii="Times New Roman" w:eastAsia="Times New Roman" w:hAnsi="Times New Roman" w:cs="Times New Roman"/>
                <w:color w:val="000000" w:themeColor="text1"/>
                <w:sz w:val="20"/>
                <w:szCs w:val="20"/>
              </w:rPr>
              <w:t>të përsh</w:t>
            </w:r>
            <w:r>
              <w:rPr>
                <w:rFonts w:ascii="Times New Roman" w:eastAsia="Times New Roman" w:hAnsi="Times New Roman" w:cs="Times New Roman"/>
                <w:color w:val="000000" w:themeColor="text1"/>
                <w:sz w:val="20"/>
                <w:szCs w:val="20"/>
              </w:rPr>
              <w:t>t</w:t>
            </w:r>
            <w:r w:rsidR="00C16622">
              <w:rPr>
                <w:rFonts w:ascii="Times New Roman" w:eastAsia="Times New Roman" w:hAnsi="Times New Roman" w:cs="Times New Roman"/>
                <w:color w:val="000000" w:themeColor="text1"/>
                <w:sz w:val="20"/>
                <w:szCs w:val="20"/>
              </w:rPr>
              <w:t>atshëm</w:t>
            </w:r>
            <w:r>
              <w:rPr>
                <w:rFonts w:ascii="Times New Roman" w:eastAsia="Times New Roman" w:hAnsi="Times New Roman" w:cs="Times New Roman"/>
                <w:color w:val="000000" w:themeColor="text1"/>
                <w:sz w:val="20"/>
                <w:szCs w:val="20"/>
              </w:rPr>
              <w:t xml:space="preserve"> deri në vitin 2030 për nxitjen e barazisë gjinore.</w:t>
            </w:r>
          </w:p>
        </w:tc>
      </w:tr>
      <w:tr w:rsidR="002F5CBD" w:rsidRPr="00DF592F" w:rsidTr="00664399">
        <w:trPr>
          <w:trHeight w:val="285"/>
        </w:trPr>
        <w:tc>
          <w:tcPr>
            <w:tcW w:w="14580" w:type="dxa"/>
            <w:gridSpan w:val="14"/>
            <w:shd w:val="clear" w:color="auto" w:fill="FFFFFF" w:themeFill="background1"/>
          </w:tcPr>
          <w:p w:rsidR="002F5CBD" w:rsidRPr="00A61028" w:rsidRDefault="00C16622" w:rsidP="002F5CBD">
            <w:pP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 xml:space="preserve">Mbrojtje </w:t>
            </w:r>
            <w:r w:rsidR="002F5CBD" w:rsidRPr="00A61028">
              <w:rPr>
                <w:rFonts w:ascii="Times New Roman" w:eastAsia="Times New Roman" w:hAnsi="Times New Roman" w:cs="Times New Roman"/>
                <w:b/>
                <w:bCs/>
                <w:color w:val="000000" w:themeColor="text1"/>
                <w:sz w:val="20"/>
                <w:szCs w:val="20"/>
              </w:rPr>
              <w:t>adekuate e viktimave të dhunës gjinore</w:t>
            </w:r>
          </w:p>
        </w:tc>
      </w:tr>
      <w:tr w:rsidR="002F5CBD" w:rsidRPr="00DF592F" w:rsidTr="00374963">
        <w:trPr>
          <w:trHeight w:val="841"/>
        </w:trPr>
        <w:tc>
          <w:tcPr>
            <w:tcW w:w="2973" w:type="dxa"/>
            <w:shd w:val="clear" w:color="auto" w:fill="FFFFFF" w:themeFill="background1"/>
          </w:tcPr>
          <w:p w:rsidR="002F5CBD" w:rsidRPr="00DF592F" w:rsidRDefault="002F5CBD" w:rsidP="002F5CBD">
            <w:pPr>
              <w:spacing w:line="257" w:lineRule="auto"/>
              <w:jc w:val="both"/>
              <w:rPr>
                <w:rFonts w:ascii="Times New Roman" w:eastAsia="Times New Roman" w:hAnsi="Times New Roman" w:cs="Times New Roman"/>
                <w:sz w:val="20"/>
                <w:szCs w:val="20"/>
              </w:rPr>
            </w:pPr>
          </w:p>
        </w:tc>
        <w:tc>
          <w:tcPr>
            <w:tcW w:w="3321" w:type="dxa"/>
            <w:gridSpan w:val="3"/>
            <w:shd w:val="clear" w:color="auto" w:fill="FFFFFF" w:themeFill="background1"/>
          </w:tcPr>
          <w:p w:rsidR="002F5CBD" w:rsidRPr="00734862" w:rsidRDefault="002F5CBD" w:rsidP="00C16622">
            <w:pPr>
              <w:jc w:val="both"/>
              <w:rPr>
                <w:rFonts w:ascii="Times New Roman" w:eastAsia="Times New Roman" w:hAnsi="Times New Roman" w:cs="Times New Roman"/>
                <w:color w:val="000000" w:themeColor="text1"/>
                <w:sz w:val="20"/>
                <w:szCs w:val="20"/>
                <w:lang w:val="en-GB" w:eastAsia="en-GB"/>
              </w:rPr>
            </w:pPr>
            <w:r w:rsidRPr="00C743C4">
              <w:rPr>
                <w:rFonts w:ascii="Times New Roman" w:eastAsia="Times New Roman" w:hAnsi="Times New Roman" w:cs="Times New Roman"/>
                <w:color w:val="000000" w:themeColor="text1"/>
                <w:sz w:val="20"/>
                <w:szCs w:val="20"/>
                <w:lang w:val="en-GB" w:eastAsia="en-GB"/>
              </w:rPr>
              <w:t>Në funksion të përgatitjes së transpozimit të Direktivës për të Drejtat e Viktimave, Direktivës për Kompensimin e Viktimave si dhe dispozitave për mbrojtjen e viktimave n</w:t>
            </w:r>
            <w:r w:rsidR="00052EC3">
              <w:rPr>
                <w:rFonts w:ascii="Times New Roman" w:eastAsia="Times New Roman" w:hAnsi="Times New Roman" w:cs="Times New Roman"/>
                <w:color w:val="000000" w:themeColor="text1"/>
                <w:sz w:val="20"/>
                <w:szCs w:val="20"/>
                <w:lang w:val="en-GB" w:eastAsia="en-GB"/>
              </w:rPr>
              <w:t xml:space="preserve">ë disa akte ligjore të BE-së, </w:t>
            </w:r>
            <w:r w:rsidR="00C16622">
              <w:rPr>
                <w:rFonts w:ascii="Times New Roman" w:eastAsia="Times New Roman" w:hAnsi="Times New Roman" w:cs="Times New Roman"/>
                <w:color w:val="000000" w:themeColor="text1"/>
                <w:sz w:val="20"/>
                <w:szCs w:val="20"/>
                <w:lang w:val="en-GB" w:eastAsia="en-GB"/>
              </w:rPr>
              <w:t xml:space="preserve">MD </w:t>
            </w:r>
            <w:r w:rsidRPr="00C743C4">
              <w:rPr>
                <w:rFonts w:ascii="Times New Roman" w:eastAsia="Times New Roman" w:hAnsi="Times New Roman" w:cs="Times New Roman"/>
                <w:color w:val="000000" w:themeColor="text1"/>
                <w:sz w:val="20"/>
                <w:szCs w:val="20"/>
                <w:lang w:val="en-GB" w:eastAsia="en-GB"/>
              </w:rPr>
              <w:t>miraton Strategjinë dhe Planin e</w:t>
            </w:r>
            <w:r w:rsidR="00C16622">
              <w:rPr>
                <w:rFonts w:ascii="Times New Roman" w:eastAsia="Times New Roman" w:hAnsi="Times New Roman" w:cs="Times New Roman"/>
                <w:color w:val="000000" w:themeColor="text1"/>
                <w:sz w:val="20"/>
                <w:szCs w:val="20"/>
                <w:lang w:val="en-GB" w:eastAsia="en-GB"/>
              </w:rPr>
              <w:t xml:space="preserve"> Veprimit për viktimat e krimit</w:t>
            </w:r>
            <w:r w:rsidRPr="00C743C4">
              <w:rPr>
                <w:rFonts w:ascii="Times New Roman" w:eastAsia="Times New Roman" w:hAnsi="Times New Roman" w:cs="Times New Roman"/>
                <w:color w:val="000000" w:themeColor="text1"/>
                <w:sz w:val="20"/>
                <w:szCs w:val="20"/>
                <w:lang w:val="en-GB" w:eastAsia="en-GB"/>
              </w:rPr>
              <w:t xml:space="preserve"> 2024-2030 brenda vitit </w:t>
            </w:r>
            <w:r w:rsidR="00CE1440">
              <w:rPr>
                <w:rFonts w:ascii="Times New Roman" w:eastAsia="Times New Roman" w:hAnsi="Times New Roman" w:cs="Times New Roman"/>
                <w:color w:val="000000" w:themeColor="text1"/>
                <w:sz w:val="20"/>
                <w:szCs w:val="20"/>
                <w:lang w:val="en-GB" w:eastAsia="en-GB"/>
              </w:rPr>
              <w:t>2023 dhe siguron përafrimin nga</w:t>
            </w:r>
            <w:r w:rsidRPr="00C743C4">
              <w:rPr>
                <w:rFonts w:ascii="Times New Roman" w:eastAsia="Times New Roman" w:hAnsi="Times New Roman" w:cs="Times New Roman"/>
                <w:color w:val="000000" w:themeColor="text1"/>
                <w:sz w:val="20"/>
                <w:szCs w:val="20"/>
                <w:lang w:val="en-GB" w:eastAsia="en-GB"/>
              </w:rPr>
              <w:t xml:space="preserve"> 2024 e në vazhdim.</w:t>
            </w:r>
          </w:p>
        </w:tc>
        <w:tc>
          <w:tcPr>
            <w:tcW w:w="4337" w:type="dxa"/>
            <w:gridSpan w:val="9"/>
            <w:shd w:val="clear" w:color="auto" w:fill="FFFFFF" w:themeFill="background1"/>
          </w:tcPr>
          <w:p w:rsidR="002F5CBD" w:rsidRPr="00374963" w:rsidRDefault="002F5CBD" w:rsidP="002F5CBD">
            <w:pPr>
              <w:jc w:val="both"/>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Trajnimi adekuat i stafit të përfshirë ofrohet bazuar në projeksionet vjetore për çështjet e mbrojtjes së viktimave nga viti 2024 e në vazhdim për gjyqtarët, prokurorët, personelin e burgjeve dhe punonjësit socialë.</w:t>
            </w:r>
          </w:p>
          <w:p w:rsidR="002F5CBD" w:rsidRPr="00CE1440" w:rsidRDefault="00CE1440" w:rsidP="002F5CBD">
            <w:pPr>
              <w:jc w:val="both"/>
              <w:rPr>
                <w:rFonts w:ascii="Times New Roman" w:hAnsi="Times New Roman" w:cs="Times New Roman"/>
                <w:bCs/>
                <w:color w:val="000000" w:themeColor="text1"/>
                <w:sz w:val="20"/>
                <w:szCs w:val="20"/>
                <w:lang w:val="en-GB"/>
              </w:rPr>
            </w:pPr>
            <w:r w:rsidRPr="00CE1440">
              <w:rPr>
                <w:rFonts w:ascii="Times New Roman" w:hAnsi="Times New Roman" w:cs="Times New Roman"/>
                <w:bCs/>
                <w:color w:val="000000" w:themeColor="text1"/>
                <w:sz w:val="20"/>
                <w:szCs w:val="20"/>
                <w:lang w:val="en-GB"/>
              </w:rPr>
              <w:t>S</w:t>
            </w:r>
            <w:r w:rsidR="002F5CBD" w:rsidRPr="00CE1440">
              <w:rPr>
                <w:rFonts w:ascii="Times New Roman" w:hAnsi="Times New Roman" w:cs="Times New Roman"/>
                <w:bCs/>
                <w:color w:val="000000" w:themeColor="text1"/>
                <w:sz w:val="20"/>
                <w:szCs w:val="20"/>
                <w:lang w:val="en-GB"/>
              </w:rPr>
              <w:t>igurohen burime adekuate si nga donatorët as</w:t>
            </w:r>
            <w:r w:rsidRPr="00CE1440">
              <w:rPr>
                <w:rFonts w:ascii="Times New Roman" w:hAnsi="Times New Roman" w:cs="Times New Roman"/>
                <w:bCs/>
                <w:color w:val="000000" w:themeColor="text1"/>
                <w:sz w:val="20"/>
                <w:szCs w:val="20"/>
                <w:lang w:val="en-GB"/>
              </w:rPr>
              <w:t xml:space="preserve">htu edhe nga burimet shtetërore </w:t>
            </w:r>
            <w:r>
              <w:rPr>
                <w:rFonts w:ascii="Times New Roman" w:hAnsi="Times New Roman" w:cs="Times New Roman"/>
                <w:bCs/>
                <w:color w:val="000000" w:themeColor="text1"/>
                <w:sz w:val="20"/>
                <w:szCs w:val="20"/>
              </w:rPr>
              <w:t>për funksionimin e strehëzave deri në vitin 2025 e në vazhdim,</w:t>
            </w:r>
          </w:p>
          <w:p w:rsidR="002F5CBD" w:rsidRPr="00CE1440" w:rsidRDefault="002F5CBD" w:rsidP="002F5CBD">
            <w:pPr>
              <w:rPr>
                <w:rFonts w:ascii="Times New Roman" w:eastAsia="Times New Roman" w:hAnsi="Times New Roman" w:cs="Times New Roman"/>
                <w:color w:val="000000" w:themeColor="text1"/>
                <w:sz w:val="20"/>
                <w:szCs w:val="20"/>
                <w:lang w:val="en-GB"/>
              </w:rPr>
            </w:pPr>
          </w:p>
        </w:tc>
        <w:tc>
          <w:tcPr>
            <w:tcW w:w="3949" w:type="dxa"/>
            <w:shd w:val="clear" w:color="auto" w:fill="FFFFFF" w:themeFill="background1"/>
          </w:tcPr>
          <w:p w:rsidR="002F5CBD" w:rsidRPr="00DF592F" w:rsidRDefault="002F5CBD" w:rsidP="002F5CBD">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Të drejtat e viktimave të dhunës gjinore zbatohen vazhdimisht në praktikë përmes zbatimit të kornizës ligjore të harmonizuar dhe kapaciteteve adekuate të institucioneve deri në vitin 2030.</w:t>
            </w:r>
          </w:p>
        </w:tc>
      </w:tr>
      <w:tr w:rsidR="002F5CBD" w:rsidRPr="00083AD4" w:rsidTr="00734862">
        <w:trPr>
          <w:trHeight w:val="285"/>
        </w:trPr>
        <w:tc>
          <w:tcPr>
            <w:tcW w:w="14580" w:type="dxa"/>
            <w:gridSpan w:val="14"/>
            <w:shd w:val="clear" w:color="auto" w:fill="FFFFFF" w:themeFill="background1"/>
          </w:tcPr>
          <w:p w:rsidR="002F5CBD" w:rsidRPr="00083AD4" w:rsidRDefault="00773A61" w:rsidP="002F5CBD">
            <w:pPr>
              <w:rPr>
                <w:rFonts w:ascii="Times New Roman" w:eastAsia="Times New Roman" w:hAnsi="Times New Roman" w:cs="Times New Roman"/>
                <w:b/>
                <w:bCs/>
                <w:color w:val="000000" w:themeColor="text1"/>
                <w:sz w:val="20"/>
                <w:szCs w:val="20"/>
                <w:lang w:val="it-IT"/>
              </w:rPr>
            </w:pPr>
            <w:r>
              <w:rPr>
                <w:rFonts w:ascii="Times New Roman" w:eastAsia="Times New Roman" w:hAnsi="Times New Roman" w:cs="Times New Roman"/>
                <w:b/>
                <w:bCs/>
                <w:color w:val="000000" w:themeColor="text1"/>
                <w:sz w:val="20"/>
                <w:szCs w:val="20"/>
                <w:lang w:val="it-IT"/>
              </w:rPr>
              <w:t xml:space="preserve">Fuqizimi i </w:t>
            </w:r>
            <w:r w:rsidR="002F5CBD" w:rsidRPr="00083AD4">
              <w:rPr>
                <w:rFonts w:ascii="Times New Roman" w:eastAsia="Times New Roman" w:hAnsi="Times New Roman" w:cs="Times New Roman"/>
                <w:b/>
                <w:bCs/>
                <w:color w:val="000000" w:themeColor="text1"/>
                <w:sz w:val="20"/>
                <w:szCs w:val="20"/>
                <w:lang w:val="it-IT"/>
              </w:rPr>
              <w:t xml:space="preserve"> të drejtave sociale të grave</w:t>
            </w:r>
          </w:p>
        </w:tc>
      </w:tr>
      <w:tr w:rsidR="002F5CBD" w:rsidRPr="00083AD4" w:rsidTr="00FB2DFB">
        <w:trPr>
          <w:trHeight w:val="285"/>
        </w:trPr>
        <w:tc>
          <w:tcPr>
            <w:tcW w:w="2973" w:type="dxa"/>
            <w:shd w:val="clear" w:color="auto" w:fill="FFFFFF" w:themeFill="background1"/>
          </w:tcPr>
          <w:p w:rsidR="002F5CBD" w:rsidRPr="00083AD4" w:rsidRDefault="002F5CBD" w:rsidP="002F5CBD">
            <w:pPr>
              <w:spacing w:line="239" w:lineRule="auto"/>
              <w:jc w:val="both"/>
              <w:rPr>
                <w:rFonts w:ascii="Times New Roman" w:eastAsia="Times New Roman" w:hAnsi="Times New Roman" w:cs="Times New Roman"/>
                <w:color w:val="000000" w:themeColor="text1"/>
                <w:sz w:val="20"/>
                <w:szCs w:val="20"/>
                <w:lang w:val="it-IT"/>
              </w:rPr>
            </w:pPr>
          </w:p>
        </w:tc>
        <w:tc>
          <w:tcPr>
            <w:tcW w:w="3321" w:type="dxa"/>
            <w:gridSpan w:val="3"/>
            <w:shd w:val="clear" w:color="auto" w:fill="FFFFFF" w:themeFill="background1"/>
          </w:tcPr>
          <w:p w:rsidR="002F5CBD" w:rsidRPr="00083AD4" w:rsidRDefault="002F5CBD" w:rsidP="002F5CBD">
            <w:pPr>
              <w:spacing w:line="259" w:lineRule="auto"/>
              <w:jc w:val="both"/>
              <w:rPr>
                <w:rFonts w:ascii="Times New Roman" w:eastAsia="Times New Roman" w:hAnsi="Times New Roman" w:cs="Times New Roman"/>
                <w:color w:val="000000" w:themeColor="text1"/>
                <w:sz w:val="20"/>
                <w:szCs w:val="20"/>
                <w:lang w:val="it-IT"/>
              </w:rPr>
            </w:pPr>
            <w:r w:rsidRPr="00083AD4">
              <w:rPr>
                <w:rFonts w:ascii="Times New Roman" w:eastAsia="Calibri" w:hAnsi="Times New Roman" w:cs="Times New Roman"/>
                <w:color w:val="000000" w:themeColor="text1"/>
                <w:sz w:val="20"/>
                <w:szCs w:val="20"/>
                <w:lang w:val="it-IT"/>
              </w:rPr>
              <w:t xml:space="preserve">Ministria e Shëndetësisë dhe Mbrojtjes Sociale dhe Ministria e Ekonomisë dhe Financave analizojnë hendekun gjinor në paga dhe arsyet e nënpërfaqësimit të grave në tregun e </w:t>
            </w:r>
            <w:r w:rsidRPr="00083AD4">
              <w:rPr>
                <w:rFonts w:ascii="Times New Roman" w:eastAsia="Calibri" w:hAnsi="Times New Roman" w:cs="Times New Roman"/>
                <w:color w:val="000000" w:themeColor="text1"/>
                <w:sz w:val="20"/>
                <w:szCs w:val="20"/>
                <w:lang w:val="it-IT"/>
              </w:rPr>
              <w:lastRenderedPageBreak/>
              <w:t>punës dhe parashtrojnë rekomandimet përkatëse për adresimin e çështjeve deri në vitin 2025.</w:t>
            </w:r>
          </w:p>
          <w:p w:rsidR="002F5CBD" w:rsidRPr="00083AD4" w:rsidRDefault="002F5CBD" w:rsidP="002F5CBD">
            <w:pPr>
              <w:spacing w:line="256" w:lineRule="auto"/>
              <w:jc w:val="both"/>
              <w:rPr>
                <w:rFonts w:ascii="Times New Roman" w:eastAsia="Times New Roman" w:hAnsi="Times New Roman" w:cs="Times New Roman"/>
                <w:color w:val="000000" w:themeColor="text1"/>
                <w:sz w:val="20"/>
                <w:szCs w:val="20"/>
                <w:lang w:val="it-IT"/>
              </w:rPr>
            </w:pPr>
          </w:p>
        </w:tc>
        <w:tc>
          <w:tcPr>
            <w:tcW w:w="4337" w:type="dxa"/>
            <w:gridSpan w:val="9"/>
            <w:shd w:val="clear" w:color="auto" w:fill="FFFFFF" w:themeFill="background1"/>
          </w:tcPr>
          <w:p w:rsidR="002F5CBD" w:rsidRPr="00083AD4" w:rsidRDefault="002F5CBD" w:rsidP="002F5CBD">
            <w:pPr>
              <w:spacing w:line="259" w:lineRule="auto"/>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lastRenderedPageBreak/>
              <w:t>Organet përgjegjëse ndjekin rekomandimet nga viti 2025 e në vazhdim.</w:t>
            </w:r>
          </w:p>
          <w:p w:rsidR="002F5CBD" w:rsidRPr="00083AD4" w:rsidRDefault="002F5CBD" w:rsidP="002F5CBD">
            <w:pPr>
              <w:spacing w:line="256" w:lineRule="auto"/>
              <w:jc w:val="both"/>
              <w:rPr>
                <w:rFonts w:ascii="Times New Roman" w:eastAsia="Times New Roman" w:hAnsi="Times New Roman" w:cs="Times New Roman"/>
                <w:color w:val="000000" w:themeColor="text1"/>
                <w:sz w:val="20"/>
                <w:szCs w:val="20"/>
                <w:lang w:val="it-IT"/>
              </w:rPr>
            </w:pPr>
          </w:p>
        </w:tc>
        <w:tc>
          <w:tcPr>
            <w:tcW w:w="3949" w:type="dxa"/>
            <w:shd w:val="clear" w:color="auto" w:fill="FFFFFF" w:themeFill="background1"/>
          </w:tcPr>
          <w:p w:rsidR="002F5CBD" w:rsidRPr="00083AD4" w:rsidRDefault="002F5CBD" w:rsidP="00773A61">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 xml:space="preserve">Gratë përfaqësohen gjithnjë e më shumë në mënyrë të barabartë në tregun e punës dhe hendeku gjinor i pagave </w:t>
            </w:r>
            <w:r w:rsidR="00773A61">
              <w:rPr>
                <w:rFonts w:ascii="Times New Roman" w:eastAsia="Times New Roman" w:hAnsi="Times New Roman" w:cs="Times New Roman"/>
                <w:color w:val="000000" w:themeColor="text1"/>
                <w:sz w:val="20"/>
                <w:szCs w:val="20"/>
                <w:lang w:val="it-IT"/>
              </w:rPr>
              <w:t>reduktohet</w:t>
            </w:r>
            <w:r w:rsidRPr="00083AD4">
              <w:rPr>
                <w:rFonts w:ascii="Times New Roman" w:eastAsia="Times New Roman" w:hAnsi="Times New Roman" w:cs="Times New Roman"/>
                <w:color w:val="000000" w:themeColor="text1"/>
                <w:sz w:val="20"/>
                <w:szCs w:val="20"/>
                <w:lang w:val="it-IT"/>
              </w:rPr>
              <w:t xml:space="preserve"> deri në vitin 2030.</w:t>
            </w:r>
          </w:p>
        </w:tc>
      </w:tr>
      <w:tr w:rsidR="002F5CBD" w:rsidRPr="00083AD4" w:rsidTr="00734862">
        <w:trPr>
          <w:trHeight w:val="285"/>
        </w:trPr>
        <w:tc>
          <w:tcPr>
            <w:tcW w:w="14580" w:type="dxa"/>
            <w:gridSpan w:val="14"/>
            <w:shd w:val="clear" w:color="auto" w:fill="BDD6EE" w:themeFill="accent1" w:themeFillTint="66"/>
          </w:tcPr>
          <w:p w:rsidR="002F5CBD" w:rsidRPr="00083AD4" w:rsidRDefault="002F5CBD" w:rsidP="002F5CBD">
            <w:pPr>
              <w:rPr>
                <w:rFonts w:ascii="Times New Roman" w:eastAsia="Times New Roman" w:hAnsi="Times New Roman" w:cs="Times New Roman"/>
                <w:b/>
                <w:color w:val="000000" w:themeColor="text1"/>
                <w:sz w:val="20"/>
                <w:szCs w:val="20"/>
                <w:lang w:val="it-IT"/>
              </w:rPr>
            </w:pPr>
            <w:r w:rsidRPr="00083AD4">
              <w:rPr>
                <w:rFonts w:ascii="Times New Roman" w:eastAsia="Times New Roman" w:hAnsi="Times New Roman" w:cs="Times New Roman"/>
                <w:b/>
                <w:color w:val="000000" w:themeColor="text1"/>
                <w:sz w:val="20"/>
                <w:szCs w:val="20"/>
                <w:lang w:val="it-IT"/>
              </w:rPr>
              <w:t>III.L Të drejtat e fëmijës</w:t>
            </w:r>
          </w:p>
        </w:tc>
      </w:tr>
      <w:tr w:rsidR="002F5CBD" w:rsidRPr="00083AD4" w:rsidTr="00734862">
        <w:trPr>
          <w:trHeight w:val="285"/>
        </w:trPr>
        <w:tc>
          <w:tcPr>
            <w:tcW w:w="14580" w:type="dxa"/>
            <w:gridSpan w:val="14"/>
            <w:shd w:val="clear" w:color="auto" w:fill="FFFFFF" w:themeFill="background1"/>
          </w:tcPr>
          <w:p w:rsidR="002F5CBD" w:rsidRPr="00083AD4" w:rsidRDefault="002F5CBD" w:rsidP="00773A61">
            <w:pPr>
              <w:rPr>
                <w:rFonts w:ascii="Times New Roman" w:eastAsia="Times New Roman" w:hAnsi="Times New Roman" w:cs="Times New Roman"/>
                <w:bCs/>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t xml:space="preserve">Përpjekje e vazhdueshme </w:t>
            </w:r>
            <w:r w:rsidR="00773A61">
              <w:rPr>
                <w:rFonts w:ascii="Times New Roman" w:eastAsia="Times New Roman" w:hAnsi="Times New Roman" w:cs="Times New Roman"/>
                <w:b/>
                <w:bCs/>
                <w:color w:val="000000" w:themeColor="text1"/>
                <w:sz w:val="20"/>
                <w:szCs w:val="20"/>
                <w:lang w:val="it-IT"/>
              </w:rPr>
              <w:t>për</w:t>
            </w:r>
            <w:r w:rsidRPr="00083AD4">
              <w:rPr>
                <w:rFonts w:ascii="Times New Roman" w:eastAsia="Times New Roman" w:hAnsi="Times New Roman" w:cs="Times New Roman"/>
                <w:b/>
                <w:bCs/>
                <w:color w:val="000000" w:themeColor="text1"/>
                <w:sz w:val="20"/>
                <w:szCs w:val="20"/>
                <w:lang w:val="it-IT"/>
              </w:rPr>
              <w:t xml:space="preserve"> përmirësimin e kornizës së mbrojtjes së fëmijëve</w:t>
            </w:r>
          </w:p>
        </w:tc>
      </w:tr>
      <w:tr w:rsidR="002F5CBD" w:rsidRPr="00083AD4" w:rsidTr="00FB2DFB">
        <w:trPr>
          <w:trHeight w:val="285"/>
        </w:trPr>
        <w:tc>
          <w:tcPr>
            <w:tcW w:w="2973" w:type="dxa"/>
            <w:shd w:val="clear" w:color="auto" w:fill="FFFFFF" w:themeFill="background1"/>
          </w:tcPr>
          <w:p w:rsidR="002F5CBD" w:rsidRPr="00083AD4" w:rsidRDefault="002F5CBD" w:rsidP="002F5CBD">
            <w:pPr>
              <w:spacing w:line="257" w:lineRule="auto"/>
              <w:jc w:val="both"/>
              <w:rPr>
                <w:rFonts w:ascii="Times New Roman" w:eastAsia="Times New Roman" w:hAnsi="Times New Roman" w:cs="Times New Roman"/>
                <w:color w:val="000000" w:themeColor="text1"/>
                <w:sz w:val="20"/>
                <w:szCs w:val="20"/>
                <w:lang w:val="it-IT"/>
              </w:rPr>
            </w:pPr>
          </w:p>
          <w:p w:rsidR="002F5CBD" w:rsidRPr="00083AD4" w:rsidRDefault="002F5CBD" w:rsidP="002F5CBD">
            <w:pPr>
              <w:spacing w:line="0" w:lineRule="atLeast"/>
              <w:jc w:val="both"/>
              <w:rPr>
                <w:rFonts w:ascii="Times New Roman" w:eastAsia="Times New Roman" w:hAnsi="Times New Roman" w:cs="Times New Roman"/>
                <w:sz w:val="20"/>
                <w:szCs w:val="20"/>
                <w:lang w:val="it-IT"/>
              </w:rPr>
            </w:pPr>
          </w:p>
          <w:p w:rsidR="002F5CBD" w:rsidRPr="00083AD4" w:rsidRDefault="002F5CBD" w:rsidP="002F5CBD">
            <w:pPr>
              <w:spacing w:line="0" w:lineRule="atLeast"/>
              <w:jc w:val="both"/>
              <w:rPr>
                <w:rFonts w:ascii="Times New Roman" w:eastAsia="Times New Roman" w:hAnsi="Times New Roman" w:cs="Times New Roman"/>
                <w:color w:val="000000" w:themeColor="text1"/>
                <w:sz w:val="20"/>
                <w:szCs w:val="20"/>
                <w:lang w:val="it-IT"/>
              </w:rPr>
            </w:pPr>
          </w:p>
        </w:tc>
        <w:tc>
          <w:tcPr>
            <w:tcW w:w="3321" w:type="dxa"/>
            <w:gridSpan w:val="3"/>
            <w:shd w:val="clear" w:color="auto" w:fill="FFFFFF" w:themeFill="background1"/>
          </w:tcPr>
          <w:p w:rsidR="002F5CBD" w:rsidRPr="00083AD4" w:rsidRDefault="002F5CBD" w:rsidP="002F5CBD">
            <w:pPr>
              <w:spacing w:line="257" w:lineRule="auto"/>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Progresi në punën e strukturave të mbrojtjes së fëmijëve matet çdo vit nëpërmjet metodologjisë së zhvilluar nga Ministri i Shëndetësisë dhe Mbrojtjes Sociale deri në vitin 2024.</w:t>
            </w:r>
          </w:p>
          <w:p w:rsidR="002F5CBD" w:rsidRPr="00083AD4" w:rsidRDefault="002F5CBD" w:rsidP="002F5CBD">
            <w:pPr>
              <w:jc w:val="both"/>
              <w:rPr>
                <w:rFonts w:ascii="Times New Roman" w:eastAsia="Times New Roman" w:hAnsi="Times New Roman" w:cs="Times New Roman"/>
                <w:color w:val="000000" w:themeColor="text1"/>
                <w:sz w:val="20"/>
                <w:szCs w:val="20"/>
                <w:lang w:val="it-IT"/>
              </w:rPr>
            </w:pPr>
          </w:p>
          <w:p w:rsidR="002F5CBD" w:rsidRPr="00083AD4" w:rsidRDefault="002F5CBD" w:rsidP="002F5CBD">
            <w:pPr>
              <w:jc w:val="both"/>
              <w:rPr>
                <w:rFonts w:ascii="Times New Roman" w:eastAsia="Times New Roman" w:hAnsi="Times New Roman" w:cs="Times New Roman"/>
                <w:color w:val="000000" w:themeColor="text1"/>
                <w:sz w:val="20"/>
                <w:szCs w:val="20"/>
                <w:lang w:val="it-IT"/>
              </w:rPr>
            </w:pPr>
          </w:p>
        </w:tc>
        <w:tc>
          <w:tcPr>
            <w:tcW w:w="4337" w:type="dxa"/>
            <w:gridSpan w:val="9"/>
            <w:shd w:val="clear" w:color="auto" w:fill="FFFFFF" w:themeFill="background1"/>
          </w:tcPr>
          <w:p w:rsidR="002F5CBD" w:rsidRPr="00083AD4" w:rsidRDefault="002F5CBD" w:rsidP="002F5CBD">
            <w:pPr>
              <w:jc w:val="both"/>
              <w:rPr>
                <w:rFonts w:ascii="Times New Roman" w:eastAsia="Times New Roman" w:hAnsi="Times New Roman" w:cs="Times New Roman"/>
                <w:bCs/>
                <w:color w:val="000000" w:themeColor="text1"/>
                <w:sz w:val="20"/>
                <w:szCs w:val="20"/>
                <w:lang w:val="it-IT"/>
              </w:rPr>
            </w:pPr>
            <w:r w:rsidRPr="00083AD4">
              <w:rPr>
                <w:rFonts w:ascii="Times New Roman" w:eastAsia="Times New Roman" w:hAnsi="Times New Roman" w:cs="Times New Roman"/>
                <w:bCs/>
                <w:color w:val="000000" w:themeColor="text1"/>
                <w:sz w:val="20"/>
                <w:szCs w:val="20"/>
                <w:lang w:val="it-IT"/>
              </w:rPr>
              <w:t>Shërbimet e lidhura me kujdesin ndaj fëmijëve dhe punonjësit e mbrojtjes së fëmijëve përf</w:t>
            </w:r>
            <w:r w:rsidR="00773A61">
              <w:rPr>
                <w:rFonts w:ascii="Times New Roman" w:eastAsia="Times New Roman" w:hAnsi="Times New Roman" w:cs="Times New Roman"/>
                <w:bCs/>
                <w:color w:val="000000" w:themeColor="text1"/>
                <w:sz w:val="20"/>
                <w:szCs w:val="20"/>
                <w:lang w:val="it-IT"/>
              </w:rPr>
              <w:t>itojnë vazhdimisht nga trajnime specifike kushtuar trajtimit të dhunës</w:t>
            </w:r>
            <w:r w:rsidRPr="00083AD4">
              <w:rPr>
                <w:rFonts w:ascii="Times New Roman" w:eastAsia="Times New Roman" w:hAnsi="Times New Roman" w:cs="Times New Roman"/>
                <w:bCs/>
                <w:color w:val="000000" w:themeColor="text1"/>
                <w:sz w:val="20"/>
                <w:szCs w:val="20"/>
                <w:lang w:val="it-IT"/>
              </w:rPr>
              <w:t xml:space="preserve"> ndaj fëmijëve nga viti 2024 bazuar në parashikimet vjetore.</w:t>
            </w:r>
          </w:p>
          <w:p w:rsidR="002F5CBD" w:rsidRPr="00083AD4" w:rsidRDefault="002F5CBD" w:rsidP="002F5CBD">
            <w:pPr>
              <w:jc w:val="both"/>
              <w:rPr>
                <w:rFonts w:ascii="Times New Roman" w:eastAsia="Times New Roman" w:hAnsi="Times New Roman" w:cs="Times New Roman"/>
                <w:bCs/>
                <w:color w:val="000000" w:themeColor="text1"/>
                <w:sz w:val="20"/>
                <w:szCs w:val="20"/>
                <w:lang w:val="it-IT"/>
              </w:rPr>
            </w:pPr>
          </w:p>
          <w:p w:rsidR="002F5CBD" w:rsidRPr="00083AD4" w:rsidRDefault="002F5CBD" w:rsidP="002F5CBD">
            <w:pPr>
              <w:jc w:val="both"/>
              <w:rPr>
                <w:rFonts w:ascii="Times New Roman" w:eastAsia="Times New Roman" w:hAnsi="Times New Roman" w:cs="Times New Roman"/>
                <w:bCs/>
                <w:color w:val="000000" w:themeColor="text1"/>
                <w:sz w:val="20"/>
                <w:szCs w:val="20"/>
                <w:lang w:val="it-IT"/>
              </w:rPr>
            </w:pPr>
            <w:r w:rsidRPr="00083AD4">
              <w:rPr>
                <w:rFonts w:ascii="Times New Roman" w:eastAsia="Times New Roman" w:hAnsi="Times New Roman" w:cs="Times New Roman"/>
                <w:bCs/>
                <w:color w:val="000000" w:themeColor="text1"/>
                <w:sz w:val="20"/>
                <w:szCs w:val="20"/>
                <w:lang w:val="it-IT"/>
              </w:rPr>
              <w:t xml:space="preserve">Nga viti 2025 e në vazhdim sigurohen burime të përshtatshme, veçanërisht </w:t>
            </w:r>
            <w:r w:rsidR="00773A61">
              <w:rPr>
                <w:rFonts w:ascii="Times New Roman" w:eastAsia="Times New Roman" w:hAnsi="Times New Roman" w:cs="Times New Roman"/>
                <w:bCs/>
                <w:color w:val="000000" w:themeColor="text1"/>
                <w:sz w:val="20"/>
                <w:szCs w:val="20"/>
                <w:lang w:val="it-IT"/>
              </w:rPr>
              <w:t>për sa i përket numrit të punonjësve</w:t>
            </w:r>
            <w:r w:rsidRPr="00083AD4">
              <w:rPr>
                <w:rFonts w:ascii="Times New Roman" w:eastAsia="Times New Roman" w:hAnsi="Times New Roman" w:cs="Times New Roman"/>
                <w:bCs/>
                <w:color w:val="000000" w:themeColor="text1"/>
                <w:sz w:val="20"/>
                <w:szCs w:val="20"/>
                <w:lang w:val="it-IT"/>
              </w:rPr>
              <w:t xml:space="preserve"> psiko-sociale në qendrat shëndetësore të kujdesit parësor.</w:t>
            </w:r>
          </w:p>
          <w:p w:rsidR="002F5CBD" w:rsidRPr="00083AD4" w:rsidRDefault="002F5CBD" w:rsidP="002F5CBD">
            <w:pPr>
              <w:jc w:val="both"/>
              <w:rPr>
                <w:rFonts w:ascii="Times New Roman" w:eastAsia="Times New Roman" w:hAnsi="Times New Roman" w:cs="Times New Roman"/>
                <w:bCs/>
                <w:color w:val="000000" w:themeColor="text1"/>
                <w:sz w:val="20"/>
                <w:szCs w:val="20"/>
                <w:lang w:val="it-IT"/>
              </w:rPr>
            </w:pPr>
          </w:p>
          <w:p w:rsidR="002F5CBD" w:rsidRDefault="002F5CBD" w:rsidP="002F5CBD">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Zbatimi i vazhdueshëm i planeve të transformimit të qendrave rezidenciale për fëmijë</w:t>
            </w:r>
            <w:r w:rsidR="00773A61">
              <w:rPr>
                <w:rFonts w:ascii="Times New Roman" w:eastAsia="Times New Roman" w:hAnsi="Times New Roman" w:cs="Times New Roman"/>
                <w:color w:val="000000" w:themeColor="text1"/>
                <w:sz w:val="20"/>
                <w:szCs w:val="20"/>
                <w:lang w:val="it-IT"/>
              </w:rPr>
              <w:t>t</w:t>
            </w:r>
            <w:r w:rsidRPr="00083AD4">
              <w:rPr>
                <w:rFonts w:ascii="Times New Roman" w:eastAsia="Times New Roman" w:hAnsi="Times New Roman" w:cs="Times New Roman"/>
                <w:color w:val="000000" w:themeColor="text1"/>
                <w:sz w:val="20"/>
                <w:szCs w:val="20"/>
                <w:lang w:val="it-IT"/>
              </w:rPr>
              <w:t>, nga viti 2025 e në vazhdim.</w:t>
            </w:r>
          </w:p>
          <w:p w:rsidR="00773A61" w:rsidRPr="00083AD4" w:rsidRDefault="00773A61" w:rsidP="002F5CBD">
            <w:pPr>
              <w:jc w:val="both"/>
              <w:rPr>
                <w:rFonts w:ascii="Times New Roman" w:eastAsia="Times New Roman" w:hAnsi="Times New Roman" w:cs="Times New Roman"/>
                <w:color w:val="000000" w:themeColor="text1"/>
                <w:sz w:val="20"/>
                <w:szCs w:val="20"/>
                <w:lang w:val="it-IT"/>
              </w:rPr>
            </w:pPr>
          </w:p>
          <w:p w:rsidR="002F5CBD" w:rsidRPr="00083AD4" w:rsidRDefault="002F5CBD" w:rsidP="00773A61">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 xml:space="preserve">Mirëqenia dhe kalimi i suksesshëm i fëmijëve nga institucionet në mjediset familjare dhe komunitare </w:t>
            </w:r>
            <w:r w:rsidR="00773A61">
              <w:rPr>
                <w:rFonts w:ascii="Times New Roman" w:eastAsia="Times New Roman" w:hAnsi="Times New Roman" w:cs="Times New Roman"/>
                <w:color w:val="000000" w:themeColor="text1"/>
                <w:sz w:val="20"/>
                <w:szCs w:val="20"/>
                <w:lang w:val="it-IT"/>
              </w:rPr>
              <w:t>sigurohet</w:t>
            </w:r>
            <w:r w:rsidRPr="00083AD4">
              <w:rPr>
                <w:rFonts w:ascii="Times New Roman" w:eastAsia="Times New Roman" w:hAnsi="Times New Roman" w:cs="Times New Roman"/>
                <w:color w:val="000000" w:themeColor="text1"/>
                <w:sz w:val="20"/>
                <w:szCs w:val="20"/>
                <w:lang w:val="it-IT"/>
              </w:rPr>
              <w:t>, në vazhdimësi duke filluar nga viti 2025.</w:t>
            </w:r>
          </w:p>
        </w:tc>
        <w:tc>
          <w:tcPr>
            <w:tcW w:w="3949" w:type="dxa"/>
            <w:shd w:val="clear" w:color="auto" w:fill="FFFFFF" w:themeFill="background1"/>
          </w:tcPr>
          <w:p w:rsidR="002F5CBD" w:rsidRPr="00083AD4" w:rsidRDefault="002F5CBD" w:rsidP="002F5CBD">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Fëmijët janë vazhdimisht subjekt i shërbimeve të përmirësuara të kujdesit social deri në vitin 2030, duke përfshirë zgjerimin e shërbimeve alternative të bazuara në komunitet.</w:t>
            </w:r>
          </w:p>
          <w:p w:rsidR="002F5CBD" w:rsidRPr="00083AD4" w:rsidRDefault="002F5CBD" w:rsidP="002F5CBD">
            <w:pPr>
              <w:jc w:val="both"/>
              <w:rPr>
                <w:rFonts w:ascii="Times New Roman" w:eastAsia="Times New Roman" w:hAnsi="Times New Roman" w:cs="Times New Roman"/>
                <w:color w:val="000000" w:themeColor="text1"/>
                <w:sz w:val="20"/>
                <w:szCs w:val="20"/>
                <w:lang w:val="it-IT"/>
              </w:rPr>
            </w:pPr>
          </w:p>
          <w:p w:rsidR="002F5CBD" w:rsidRPr="00083AD4" w:rsidRDefault="002F5CBD" w:rsidP="002F5CBD">
            <w:pPr>
              <w:jc w:val="both"/>
              <w:rPr>
                <w:rFonts w:ascii="Times New Roman" w:eastAsia="Times New Roman" w:hAnsi="Times New Roman" w:cs="Times New Roman"/>
                <w:bCs/>
                <w:color w:val="000000" w:themeColor="text1"/>
                <w:sz w:val="20"/>
                <w:szCs w:val="20"/>
                <w:lang w:val="it-IT"/>
              </w:rPr>
            </w:pPr>
          </w:p>
        </w:tc>
      </w:tr>
      <w:tr w:rsidR="002F5CBD" w:rsidRPr="00083AD4" w:rsidTr="00734862">
        <w:trPr>
          <w:trHeight w:val="285"/>
        </w:trPr>
        <w:tc>
          <w:tcPr>
            <w:tcW w:w="14580" w:type="dxa"/>
            <w:gridSpan w:val="14"/>
            <w:shd w:val="clear" w:color="auto" w:fill="FFFFFF" w:themeFill="background1"/>
          </w:tcPr>
          <w:p w:rsidR="002F5CBD" w:rsidRPr="00083AD4" w:rsidRDefault="002F5CBD" w:rsidP="002F5CBD">
            <w:pPr>
              <w:jc w:val="both"/>
              <w:rPr>
                <w:rFonts w:ascii="Times New Roman" w:eastAsia="Times New Roman" w:hAnsi="Times New Roman" w:cs="Times New Roman"/>
                <w:b/>
                <w:bCs/>
                <w:color w:val="000000" w:themeColor="text1"/>
                <w:sz w:val="20"/>
                <w:szCs w:val="20"/>
                <w:lang w:val="it-IT"/>
              </w:rPr>
            </w:pPr>
            <w:r w:rsidRPr="00083AD4">
              <w:rPr>
                <w:rFonts w:ascii="Times New Roman" w:eastAsia="Times New Roman" w:hAnsi="Times New Roman" w:cs="Times New Roman"/>
                <w:b/>
                <w:bCs/>
                <w:sz w:val="20"/>
                <w:szCs w:val="20"/>
                <w:lang w:val="it-IT"/>
              </w:rPr>
              <w:t>Sigurohet deinstitucionalizimi dhe kujdesi alternativ për fëmijët me aftësi të kufizuara</w:t>
            </w:r>
          </w:p>
        </w:tc>
      </w:tr>
      <w:tr w:rsidR="002F5CBD" w:rsidRPr="00083AD4" w:rsidTr="00FB2DFB">
        <w:trPr>
          <w:trHeight w:val="285"/>
        </w:trPr>
        <w:tc>
          <w:tcPr>
            <w:tcW w:w="2973" w:type="dxa"/>
            <w:shd w:val="clear" w:color="auto" w:fill="FFFFFF" w:themeFill="background1"/>
          </w:tcPr>
          <w:p w:rsidR="002F5CBD" w:rsidRPr="00083AD4" w:rsidRDefault="002F5CBD" w:rsidP="002F5CBD">
            <w:pPr>
              <w:spacing w:line="257" w:lineRule="auto"/>
              <w:jc w:val="both"/>
              <w:rPr>
                <w:rFonts w:ascii="Times New Roman" w:eastAsia="Times New Roman" w:hAnsi="Times New Roman" w:cs="Times New Roman"/>
                <w:color w:val="000000" w:themeColor="text1"/>
                <w:sz w:val="20"/>
                <w:szCs w:val="20"/>
                <w:lang w:val="it-IT"/>
              </w:rPr>
            </w:pPr>
          </w:p>
          <w:p w:rsidR="002F5CBD" w:rsidRPr="00083AD4" w:rsidRDefault="002F5CBD" w:rsidP="002F5CBD">
            <w:pPr>
              <w:spacing w:line="257" w:lineRule="auto"/>
              <w:jc w:val="both"/>
              <w:rPr>
                <w:rFonts w:ascii="Times New Roman" w:eastAsia="Times New Roman" w:hAnsi="Times New Roman" w:cs="Times New Roman"/>
                <w:color w:val="000000" w:themeColor="text1"/>
                <w:sz w:val="20"/>
                <w:szCs w:val="20"/>
                <w:lang w:val="it-IT"/>
              </w:rPr>
            </w:pPr>
          </w:p>
        </w:tc>
        <w:tc>
          <w:tcPr>
            <w:tcW w:w="3321" w:type="dxa"/>
            <w:gridSpan w:val="3"/>
            <w:shd w:val="clear" w:color="auto" w:fill="FFFFFF" w:themeFill="background1"/>
          </w:tcPr>
          <w:p w:rsidR="002F5CBD" w:rsidRPr="00083AD4" w:rsidRDefault="002F5CBD" w:rsidP="002F5CBD">
            <w:pPr>
              <w:rPr>
                <w:rFonts w:ascii="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 xml:space="preserve">Ministria e Shëndetësisë dhe Mbrojtjes Sociale </w:t>
            </w:r>
            <w:r w:rsidR="00CF4257">
              <w:rPr>
                <w:rFonts w:ascii="Times New Roman" w:eastAsia="Times New Roman" w:hAnsi="Times New Roman" w:cs="Times New Roman"/>
                <w:color w:val="000000" w:themeColor="text1"/>
                <w:sz w:val="20"/>
                <w:szCs w:val="20"/>
                <w:lang w:val="it-IT"/>
              </w:rPr>
              <w:t>integro</w:t>
            </w:r>
            <w:r w:rsidR="00052EC3" w:rsidRPr="00083AD4">
              <w:rPr>
                <w:rFonts w:ascii="Times New Roman" w:eastAsia="Times New Roman" w:hAnsi="Times New Roman" w:cs="Times New Roman"/>
                <w:color w:val="000000" w:themeColor="text1"/>
                <w:sz w:val="20"/>
                <w:szCs w:val="20"/>
                <w:lang w:val="it-IT"/>
              </w:rPr>
              <w:t xml:space="preserve">n </w:t>
            </w:r>
            <w:r w:rsidRPr="00083AD4">
              <w:rPr>
                <w:rFonts w:ascii="Times New Roman" w:hAnsi="Times New Roman" w:cs="Times New Roman"/>
                <w:color w:val="000000" w:themeColor="text1"/>
                <w:sz w:val="20"/>
                <w:szCs w:val="20"/>
                <w:lang w:val="it-IT"/>
              </w:rPr>
              <w:t>Plani</w:t>
            </w:r>
            <w:r w:rsidR="00052EC3" w:rsidRPr="00083AD4">
              <w:rPr>
                <w:rFonts w:ascii="Times New Roman" w:hAnsi="Times New Roman" w:cs="Times New Roman"/>
                <w:color w:val="000000" w:themeColor="text1"/>
                <w:sz w:val="20"/>
                <w:szCs w:val="20"/>
                <w:lang w:val="it-IT"/>
              </w:rPr>
              <w:t xml:space="preserve">n e </w:t>
            </w:r>
            <w:r w:rsidRPr="00083AD4">
              <w:rPr>
                <w:rFonts w:ascii="Times New Roman" w:hAnsi="Times New Roman" w:cs="Times New Roman"/>
                <w:color w:val="000000" w:themeColor="text1"/>
                <w:sz w:val="20"/>
                <w:szCs w:val="20"/>
                <w:lang w:val="it-IT"/>
              </w:rPr>
              <w:t>Deinstitucionalizimit për Personat me Aftësi të Kufizuara që përfshin edhe fëmijët në Strategjinë e Mbrojtjes Sociale 2024-2030, deri në vitin 2025, duke siguruar, ndër të tjera, kalimin nga institucioni në një kujdes të bazuar në komunitet.</w:t>
            </w:r>
          </w:p>
          <w:p w:rsidR="002F5CBD" w:rsidRPr="00083AD4" w:rsidRDefault="002F5CBD" w:rsidP="002F5CBD">
            <w:pPr>
              <w:rPr>
                <w:rFonts w:ascii="Times New Roman" w:hAnsi="Times New Roman" w:cs="Times New Roman"/>
                <w:color w:val="000000" w:themeColor="text1"/>
                <w:sz w:val="20"/>
                <w:szCs w:val="20"/>
                <w:lang w:val="it-IT"/>
              </w:rPr>
            </w:pPr>
          </w:p>
          <w:p w:rsidR="002F5CBD" w:rsidRPr="00083AD4" w:rsidRDefault="002F5CBD" w:rsidP="002F5CBD">
            <w:pPr>
              <w:spacing w:line="257" w:lineRule="auto"/>
              <w:jc w:val="both"/>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 xml:space="preserve">Ministria e Shëndetësisë dhe Mbrojtjes Sociale kryen një vlerësim të nevojave të komuniteteve lokale për </w:t>
            </w:r>
            <w:r w:rsidRPr="00083AD4">
              <w:rPr>
                <w:rFonts w:ascii="Times New Roman" w:hAnsi="Times New Roman" w:cs="Times New Roman"/>
                <w:color w:val="000000" w:themeColor="text1"/>
                <w:sz w:val="20"/>
                <w:szCs w:val="20"/>
                <w:lang w:val="it-IT"/>
              </w:rPr>
              <w:lastRenderedPageBreak/>
              <w:t>shërbimet e kujdesit ndaj fëmijëve, duke përfshirë faktorët e mundshëm të rrezikut për ndarjen e familjes, duke filluar nga viti 2025.</w:t>
            </w:r>
          </w:p>
          <w:p w:rsidR="002F5CBD" w:rsidRPr="00083AD4" w:rsidRDefault="002F5CBD" w:rsidP="002F5CBD">
            <w:pPr>
              <w:spacing w:line="257" w:lineRule="auto"/>
              <w:jc w:val="both"/>
              <w:rPr>
                <w:rFonts w:ascii="Times New Roman" w:hAnsi="Times New Roman" w:cs="Times New Roman"/>
                <w:color w:val="000000" w:themeColor="text1"/>
                <w:sz w:val="20"/>
                <w:szCs w:val="20"/>
                <w:lang w:val="it-IT"/>
              </w:rPr>
            </w:pPr>
          </w:p>
          <w:p w:rsidR="002F5CBD" w:rsidRPr="00083AD4" w:rsidRDefault="002F5CBD" w:rsidP="00CF4257">
            <w:pPr>
              <w:spacing w:line="257" w:lineRule="auto"/>
              <w:jc w:val="both"/>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 xml:space="preserve">Vlerësimi i rregullt i efektivitetit të shërbimeve të kujdesit ndaj fëmijëve </w:t>
            </w:r>
            <w:r w:rsidR="00CF4257">
              <w:rPr>
                <w:rFonts w:ascii="Times New Roman" w:hAnsi="Times New Roman" w:cs="Times New Roman"/>
                <w:color w:val="000000" w:themeColor="text1"/>
                <w:sz w:val="20"/>
                <w:szCs w:val="20"/>
                <w:lang w:val="it-IT"/>
              </w:rPr>
              <w:t>kryhet</w:t>
            </w:r>
            <w:r w:rsidRPr="00083AD4">
              <w:rPr>
                <w:rFonts w:ascii="Times New Roman" w:hAnsi="Times New Roman" w:cs="Times New Roman"/>
                <w:color w:val="000000" w:themeColor="text1"/>
                <w:sz w:val="20"/>
                <w:szCs w:val="20"/>
                <w:lang w:val="it-IT"/>
              </w:rPr>
              <w:t xml:space="preserve"> nga Ministria e Shëndetësisë dhe Mbrojtjes Sociale në baza vjetore nga viti 2025 e në vazhdim.</w:t>
            </w:r>
          </w:p>
        </w:tc>
        <w:tc>
          <w:tcPr>
            <w:tcW w:w="4337" w:type="dxa"/>
            <w:gridSpan w:val="9"/>
            <w:shd w:val="clear" w:color="auto" w:fill="FFFFFF" w:themeFill="background1"/>
          </w:tcPr>
          <w:p w:rsidR="002F5CBD" w:rsidRPr="00083AD4" w:rsidRDefault="002F5CBD" w:rsidP="002F5CBD">
            <w:pPr>
              <w:spacing w:line="257" w:lineRule="auto"/>
              <w:jc w:val="both"/>
              <w:rPr>
                <w:rFonts w:ascii="Times New Roman" w:hAnsi="Times New Roman" w:cs="Times New Roman"/>
                <w:bCs/>
                <w:color w:val="000000" w:themeColor="text1"/>
                <w:sz w:val="20"/>
                <w:szCs w:val="20"/>
                <w:lang w:val="it-IT"/>
              </w:rPr>
            </w:pPr>
            <w:r w:rsidRPr="00083AD4">
              <w:rPr>
                <w:rFonts w:ascii="Times New Roman" w:hAnsi="Times New Roman" w:cs="Times New Roman"/>
                <w:bCs/>
                <w:color w:val="000000" w:themeColor="text1"/>
                <w:sz w:val="20"/>
                <w:szCs w:val="20"/>
                <w:lang w:val="it-IT"/>
              </w:rPr>
              <w:lastRenderedPageBreak/>
              <w:t>Trajnimi i stafit të përfshirë për kujdesin e veçantë për fëmijët me aftësi të kufizuara ofrohet nga viti 2025 e në vazhdim, bazuar në projeksionet vjetore për punonjësit socialë dhe kujdestarët.</w:t>
            </w:r>
          </w:p>
          <w:p w:rsidR="002F5CBD" w:rsidRPr="00083AD4" w:rsidRDefault="002F5CBD" w:rsidP="002F5CBD">
            <w:pPr>
              <w:rPr>
                <w:rFonts w:ascii="Times New Roman" w:hAnsi="Times New Roman" w:cs="Times New Roman"/>
                <w:color w:val="FF0000"/>
                <w:sz w:val="20"/>
                <w:szCs w:val="20"/>
                <w:lang w:val="it-IT"/>
              </w:rPr>
            </w:pPr>
          </w:p>
          <w:p w:rsidR="002F5CBD" w:rsidRPr="00083AD4" w:rsidRDefault="002F5CBD" w:rsidP="002F5CBD">
            <w:pPr>
              <w:spacing w:line="257" w:lineRule="auto"/>
              <w:jc w:val="both"/>
              <w:rPr>
                <w:rFonts w:ascii="Times New Roman" w:hAnsi="Times New Roman" w:cs="Times New Roman"/>
                <w:bCs/>
                <w:iCs/>
                <w:color w:val="000000" w:themeColor="text1"/>
                <w:sz w:val="20"/>
                <w:szCs w:val="20"/>
                <w:lang w:val="it-IT"/>
              </w:rPr>
            </w:pPr>
            <w:r w:rsidRPr="00083AD4">
              <w:rPr>
                <w:rFonts w:ascii="Times New Roman" w:hAnsi="Times New Roman" w:cs="Times New Roman"/>
                <w:bCs/>
                <w:iCs/>
                <w:color w:val="000000" w:themeColor="text1"/>
                <w:sz w:val="20"/>
                <w:szCs w:val="20"/>
                <w:lang w:val="it-IT"/>
              </w:rPr>
              <w:t>Shndërrimi i shkollave speciale në qendra burimore me qëllim rritjen e mëtejshme të numrit të klasave zhvillimore për nxënësit me aftësi të kufizuara në shkollat ​​e zakonshme deri në vitin 2026.</w:t>
            </w:r>
          </w:p>
          <w:p w:rsidR="002F5CBD" w:rsidRPr="00083AD4" w:rsidRDefault="002F5CBD" w:rsidP="002F5CBD">
            <w:pPr>
              <w:spacing w:line="257" w:lineRule="auto"/>
              <w:jc w:val="both"/>
              <w:rPr>
                <w:rFonts w:ascii="Times New Roman" w:hAnsi="Times New Roman" w:cs="Times New Roman"/>
                <w:bCs/>
                <w:iCs/>
                <w:color w:val="000000" w:themeColor="text1"/>
                <w:sz w:val="20"/>
                <w:szCs w:val="20"/>
                <w:lang w:val="it-IT"/>
              </w:rPr>
            </w:pPr>
          </w:p>
          <w:p w:rsidR="002F5CBD" w:rsidRPr="00083AD4" w:rsidRDefault="002F5CBD" w:rsidP="002F5CBD">
            <w:pPr>
              <w:spacing w:line="257" w:lineRule="auto"/>
              <w:jc w:val="both"/>
              <w:rPr>
                <w:rFonts w:ascii="Times New Roman" w:hAnsi="Times New Roman" w:cs="Times New Roman"/>
                <w:bCs/>
                <w:iCs/>
                <w:color w:val="000000" w:themeColor="text1"/>
                <w:sz w:val="20"/>
                <w:szCs w:val="20"/>
                <w:lang w:val="it-IT"/>
              </w:rPr>
            </w:pPr>
            <w:r w:rsidRPr="00083AD4">
              <w:rPr>
                <w:rFonts w:ascii="Times New Roman" w:hAnsi="Times New Roman" w:cs="Times New Roman"/>
                <w:bCs/>
                <w:iCs/>
                <w:color w:val="000000" w:themeColor="text1"/>
                <w:sz w:val="20"/>
                <w:szCs w:val="20"/>
                <w:lang w:val="it-IT"/>
              </w:rPr>
              <w:t xml:space="preserve">Pajisja e vazhdueshme e shkollave me kabinete </w:t>
            </w:r>
            <w:r w:rsidRPr="00083AD4">
              <w:rPr>
                <w:rFonts w:ascii="Times New Roman" w:hAnsi="Times New Roman" w:cs="Times New Roman"/>
                <w:bCs/>
                <w:iCs/>
                <w:color w:val="000000" w:themeColor="text1"/>
                <w:sz w:val="20"/>
                <w:szCs w:val="20"/>
                <w:lang w:val="it-IT"/>
              </w:rPr>
              <w:lastRenderedPageBreak/>
              <w:t>shërbimi psiko-social deri në vitin 2026.</w:t>
            </w:r>
          </w:p>
          <w:p w:rsidR="002F5CBD" w:rsidRPr="00083AD4" w:rsidRDefault="002F5CBD" w:rsidP="002F5CBD">
            <w:pPr>
              <w:spacing w:line="257" w:lineRule="auto"/>
              <w:jc w:val="both"/>
              <w:rPr>
                <w:rFonts w:ascii="Times New Roman" w:hAnsi="Times New Roman" w:cs="Times New Roman"/>
                <w:color w:val="000000" w:themeColor="text1"/>
                <w:sz w:val="20"/>
                <w:szCs w:val="20"/>
                <w:lang w:val="it-IT"/>
              </w:rPr>
            </w:pPr>
          </w:p>
          <w:p w:rsidR="002F5CBD" w:rsidRPr="00083AD4" w:rsidRDefault="002F5CBD" w:rsidP="002F5CBD">
            <w:pPr>
              <w:spacing w:line="257" w:lineRule="auto"/>
              <w:jc w:val="both"/>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Qasja holistike ndaj mbështetjes së fëmijëve dhe familjes synohet vazhdimisht nëpërmjet formalizimit të bashkëpunimit ndërmjet autoriteteve lokale, agjencive për mbrojtjen e fëmijëve, ofruesve të kujdesit shëndetësor, institucioneve arsimore dhe OJQ-ve nga viti 2025 e në vazhdim.</w:t>
            </w:r>
          </w:p>
        </w:tc>
        <w:tc>
          <w:tcPr>
            <w:tcW w:w="3949" w:type="dxa"/>
            <w:shd w:val="clear" w:color="auto" w:fill="FFFFFF" w:themeFill="background1"/>
          </w:tcPr>
          <w:p w:rsidR="002F5CBD" w:rsidRPr="00083AD4" w:rsidRDefault="002F5CBD" w:rsidP="002F5CBD">
            <w:pPr>
              <w:jc w:val="both"/>
              <w:rPr>
                <w:rFonts w:ascii="Times New Roman" w:eastAsia="Times New Roman" w:hAnsi="Times New Roman" w:cs="Times New Roman"/>
                <w:bCs/>
                <w:color w:val="000000" w:themeColor="text1"/>
                <w:sz w:val="20"/>
                <w:szCs w:val="20"/>
                <w:lang w:val="it-IT"/>
              </w:rPr>
            </w:pPr>
            <w:r w:rsidRPr="00083AD4">
              <w:rPr>
                <w:rFonts w:ascii="Times New Roman" w:eastAsia="Times New Roman" w:hAnsi="Times New Roman" w:cs="Times New Roman"/>
                <w:bCs/>
                <w:color w:val="000000" w:themeColor="text1"/>
                <w:sz w:val="20"/>
                <w:szCs w:val="20"/>
                <w:lang w:val="it-IT"/>
              </w:rPr>
              <w:lastRenderedPageBreak/>
              <w:t>Fëmijëve me aftësi të kufizuara u ofro</w:t>
            </w:r>
            <w:r w:rsidR="00CF4257">
              <w:rPr>
                <w:rFonts w:ascii="Times New Roman" w:eastAsia="Times New Roman" w:hAnsi="Times New Roman" w:cs="Times New Roman"/>
                <w:bCs/>
                <w:color w:val="000000" w:themeColor="text1"/>
                <w:sz w:val="20"/>
                <w:szCs w:val="20"/>
                <w:lang w:val="it-IT"/>
              </w:rPr>
              <w:t>het vazhdimisht kujdesi i duhur</w:t>
            </w:r>
            <w:r w:rsidRPr="00083AD4">
              <w:rPr>
                <w:rFonts w:ascii="Times New Roman" w:eastAsia="Times New Roman" w:hAnsi="Times New Roman" w:cs="Times New Roman"/>
                <w:bCs/>
                <w:color w:val="000000" w:themeColor="text1"/>
                <w:sz w:val="20"/>
                <w:szCs w:val="20"/>
                <w:lang w:val="it-IT"/>
              </w:rPr>
              <w:t xml:space="preserve"> nga staf i kualifikuar </w:t>
            </w:r>
            <w:r w:rsidR="00CF4257">
              <w:rPr>
                <w:rFonts w:ascii="Times New Roman" w:eastAsia="Times New Roman" w:hAnsi="Times New Roman" w:cs="Times New Roman"/>
                <w:bCs/>
                <w:color w:val="000000" w:themeColor="text1"/>
                <w:sz w:val="20"/>
                <w:szCs w:val="20"/>
                <w:lang w:val="it-IT"/>
              </w:rPr>
              <w:t>posacërisht</w:t>
            </w:r>
            <w:r w:rsidRPr="00083AD4">
              <w:rPr>
                <w:rFonts w:ascii="Times New Roman" w:eastAsia="Times New Roman" w:hAnsi="Times New Roman" w:cs="Times New Roman"/>
                <w:bCs/>
                <w:color w:val="000000" w:themeColor="text1"/>
                <w:sz w:val="20"/>
                <w:szCs w:val="20"/>
                <w:lang w:val="it-IT"/>
              </w:rPr>
              <w:t xml:space="preserve"> dhe </w:t>
            </w:r>
            <w:r w:rsidR="00CF4257">
              <w:rPr>
                <w:rFonts w:ascii="Times New Roman" w:eastAsia="Times New Roman" w:hAnsi="Times New Roman" w:cs="Times New Roman"/>
                <w:bCs/>
                <w:color w:val="000000" w:themeColor="text1"/>
                <w:sz w:val="20"/>
                <w:szCs w:val="20"/>
                <w:lang w:val="it-IT"/>
              </w:rPr>
              <w:t xml:space="preserve">fëmijët </w:t>
            </w:r>
            <w:r w:rsidRPr="00083AD4">
              <w:rPr>
                <w:rFonts w:ascii="Times New Roman" w:eastAsia="Times New Roman" w:hAnsi="Times New Roman" w:cs="Times New Roman"/>
                <w:bCs/>
                <w:color w:val="000000" w:themeColor="text1"/>
                <w:sz w:val="20"/>
                <w:szCs w:val="20"/>
                <w:lang w:val="it-IT"/>
              </w:rPr>
              <w:t>janë gjithnjë e më shumë subjekt i shërbimeve me bazë komunitare, deinstitucionalizimit dhe shërbimeve arsimore deri në vitin 2030.</w:t>
            </w:r>
          </w:p>
          <w:p w:rsidR="002F5CBD" w:rsidRPr="00083AD4" w:rsidRDefault="002F5CBD" w:rsidP="002F5CBD">
            <w:pPr>
              <w:jc w:val="both"/>
              <w:rPr>
                <w:rFonts w:ascii="Times New Roman" w:eastAsia="Times New Roman" w:hAnsi="Times New Roman" w:cs="Times New Roman"/>
                <w:color w:val="000000" w:themeColor="text1"/>
                <w:sz w:val="20"/>
                <w:szCs w:val="20"/>
                <w:lang w:val="it-IT"/>
              </w:rPr>
            </w:pPr>
          </w:p>
          <w:p w:rsidR="002F5CBD" w:rsidRPr="00083AD4" w:rsidRDefault="002F5CBD" w:rsidP="002F5CBD">
            <w:pPr>
              <w:jc w:val="both"/>
              <w:rPr>
                <w:rFonts w:ascii="Times New Roman" w:eastAsia="Times New Roman" w:hAnsi="Times New Roman" w:cs="Times New Roman"/>
                <w:bCs/>
                <w:color w:val="000000" w:themeColor="text1"/>
                <w:sz w:val="20"/>
                <w:szCs w:val="20"/>
                <w:lang w:val="it-IT"/>
              </w:rPr>
            </w:pPr>
          </w:p>
        </w:tc>
      </w:tr>
      <w:tr w:rsidR="002F5CBD" w:rsidRPr="00083AD4" w:rsidTr="00734862">
        <w:trPr>
          <w:trHeight w:val="285"/>
        </w:trPr>
        <w:tc>
          <w:tcPr>
            <w:tcW w:w="14580" w:type="dxa"/>
            <w:gridSpan w:val="14"/>
            <w:shd w:val="clear" w:color="auto" w:fill="FFFFFF" w:themeFill="background1"/>
          </w:tcPr>
          <w:p w:rsidR="002F5CBD" w:rsidRPr="00083AD4" w:rsidRDefault="002F5CBD" w:rsidP="00B16FD4">
            <w:pPr>
              <w:jc w:val="both"/>
              <w:rPr>
                <w:rFonts w:ascii="Times New Roman" w:eastAsia="Times New Roman" w:hAnsi="Times New Roman" w:cs="Times New Roman"/>
                <w:b/>
                <w:bCs/>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t xml:space="preserve">Rritja e përdorimit të </w:t>
            </w:r>
            <w:r w:rsidR="00B16FD4">
              <w:rPr>
                <w:rFonts w:ascii="Times New Roman" w:eastAsia="Times New Roman" w:hAnsi="Times New Roman" w:cs="Times New Roman"/>
                <w:b/>
                <w:bCs/>
                <w:color w:val="000000" w:themeColor="text1"/>
                <w:sz w:val="20"/>
                <w:szCs w:val="20"/>
                <w:lang w:val="it-IT"/>
              </w:rPr>
              <w:t>dënimeve alternative</w:t>
            </w:r>
            <w:r w:rsidRPr="00083AD4">
              <w:rPr>
                <w:rFonts w:ascii="Times New Roman" w:eastAsia="Times New Roman" w:hAnsi="Times New Roman" w:cs="Times New Roman"/>
                <w:b/>
                <w:bCs/>
                <w:color w:val="000000" w:themeColor="text1"/>
                <w:sz w:val="20"/>
                <w:szCs w:val="20"/>
                <w:lang w:val="it-IT"/>
              </w:rPr>
              <w:t>, veçanërisht për të miturit</w:t>
            </w:r>
          </w:p>
        </w:tc>
      </w:tr>
      <w:tr w:rsidR="002F5CBD" w:rsidRPr="00083AD4" w:rsidTr="00FB2DFB">
        <w:trPr>
          <w:trHeight w:val="285"/>
        </w:trPr>
        <w:tc>
          <w:tcPr>
            <w:tcW w:w="2973" w:type="dxa"/>
            <w:shd w:val="clear" w:color="auto" w:fill="FFFFFF" w:themeFill="background1"/>
          </w:tcPr>
          <w:p w:rsidR="002F5CBD" w:rsidRPr="00083AD4" w:rsidRDefault="002F5CBD" w:rsidP="002F5CBD">
            <w:pPr>
              <w:shd w:val="clear" w:color="auto" w:fill="FFFFFF"/>
              <w:jc w:val="both"/>
              <w:textAlignment w:val="baseline"/>
              <w:rPr>
                <w:rFonts w:ascii="Times New Roman" w:eastAsia="Times New Roman" w:hAnsi="Times New Roman" w:cs="Times New Roman"/>
                <w:color w:val="000000" w:themeColor="text1"/>
                <w:sz w:val="20"/>
                <w:szCs w:val="20"/>
                <w:lang w:val="it-IT"/>
              </w:rPr>
            </w:pPr>
          </w:p>
        </w:tc>
        <w:tc>
          <w:tcPr>
            <w:tcW w:w="3321" w:type="dxa"/>
            <w:gridSpan w:val="3"/>
            <w:shd w:val="clear" w:color="auto" w:fill="FFFFFF" w:themeFill="background1"/>
          </w:tcPr>
          <w:p w:rsidR="002F5CBD" w:rsidRPr="00083AD4" w:rsidRDefault="002F5CBD" w:rsidP="002F5CBD">
            <w:pPr>
              <w:spacing w:line="257" w:lineRule="auto"/>
              <w:jc w:val="both"/>
              <w:rPr>
                <w:rFonts w:ascii="Times New Roman" w:hAnsi="Times New Roman" w:cs="Times New Roman"/>
                <w:color w:val="000000" w:themeColor="text1"/>
                <w:sz w:val="20"/>
                <w:szCs w:val="20"/>
                <w:lang w:val="it-IT"/>
              </w:rPr>
            </w:pPr>
          </w:p>
        </w:tc>
        <w:tc>
          <w:tcPr>
            <w:tcW w:w="4337" w:type="dxa"/>
            <w:gridSpan w:val="9"/>
            <w:shd w:val="clear" w:color="auto" w:fill="FFFFFF" w:themeFill="background1"/>
          </w:tcPr>
          <w:p w:rsidR="002F5CBD" w:rsidRPr="00083AD4" w:rsidRDefault="002F5CBD" w:rsidP="002F5CBD">
            <w:pPr>
              <w:shd w:val="clear" w:color="auto" w:fill="FFFFFF"/>
              <w:spacing w:after="160" w:line="259" w:lineRule="auto"/>
              <w:jc w:val="both"/>
              <w:textAlignment w:val="baseline"/>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 xml:space="preserve">Nga viti 2024 e në vazhdim do të ofrohen kapacitete adekuate trajnimi për </w:t>
            </w:r>
            <w:r w:rsidR="00B16FD4">
              <w:rPr>
                <w:rFonts w:ascii="Times New Roman" w:hAnsi="Times New Roman" w:cs="Times New Roman"/>
                <w:color w:val="000000" w:themeColor="text1"/>
                <w:sz w:val="20"/>
                <w:szCs w:val="20"/>
                <w:lang w:val="it-IT"/>
              </w:rPr>
              <w:t>aktorët kryesorë me qëllim</w:t>
            </w:r>
            <w:r w:rsidRPr="00083AD4">
              <w:rPr>
                <w:rFonts w:ascii="Times New Roman" w:hAnsi="Times New Roman" w:cs="Times New Roman"/>
                <w:color w:val="000000" w:themeColor="text1"/>
                <w:sz w:val="20"/>
                <w:szCs w:val="20"/>
                <w:lang w:val="it-IT"/>
              </w:rPr>
              <w:t xml:space="preserve"> aplikimin e </w:t>
            </w:r>
            <w:r w:rsidR="00B16FD4">
              <w:rPr>
                <w:rFonts w:ascii="Times New Roman" w:hAnsi="Times New Roman" w:cs="Times New Roman"/>
                <w:color w:val="000000" w:themeColor="text1"/>
                <w:sz w:val="20"/>
                <w:szCs w:val="20"/>
                <w:lang w:val="it-IT"/>
              </w:rPr>
              <w:t xml:space="preserve">dënimeve alternative, </w:t>
            </w:r>
            <w:r w:rsidRPr="00083AD4">
              <w:rPr>
                <w:rFonts w:ascii="Times New Roman" w:hAnsi="Times New Roman" w:cs="Times New Roman"/>
                <w:color w:val="000000" w:themeColor="text1"/>
                <w:sz w:val="20"/>
                <w:szCs w:val="20"/>
                <w:lang w:val="it-IT"/>
              </w:rPr>
              <w:t xml:space="preserve">dhe drejtësisë restauruese, veçanërisht për të miturit në përputhje me acquis të BE-së, bazuar në </w:t>
            </w:r>
            <w:r w:rsidR="00B16FD4">
              <w:rPr>
                <w:rFonts w:ascii="Times New Roman" w:hAnsi="Times New Roman" w:cs="Times New Roman"/>
                <w:color w:val="000000" w:themeColor="text1"/>
                <w:sz w:val="20"/>
                <w:szCs w:val="20"/>
                <w:lang w:val="it-IT"/>
              </w:rPr>
              <w:t>planifikime</w:t>
            </w:r>
            <w:r w:rsidRPr="00083AD4">
              <w:rPr>
                <w:rFonts w:ascii="Times New Roman" w:hAnsi="Times New Roman" w:cs="Times New Roman"/>
                <w:color w:val="000000" w:themeColor="text1"/>
                <w:sz w:val="20"/>
                <w:szCs w:val="20"/>
                <w:lang w:val="it-IT"/>
              </w:rPr>
              <w:t>t vjetore për gjyqtarët, prokurorët, policinë, punonjësit socialë dhe psikologët. .</w:t>
            </w:r>
          </w:p>
          <w:p w:rsidR="002F5CBD" w:rsidRPr="00083AD4" w:rsidRDefault="002F5CBD" w:rsidP="00B16FD4">
            <w:pPr>
              <w:shd w:val="clear" w:color="auto" w:fill="FFFFFF"/>
              <w:spacing w:after="160" w:line="259" w:lineRule="auto"/>
              <w:jc w:val="both"/>
              <w:textAlignment w:val="baseline"/>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T</w:t>
            </w:r>
            <w:r w:rsidR="00B16FD4">
              <w:rPr>
                <w:rFonts w:ascii="Times New Roman" w:hAnsi="Times New Roman" w:cs="Times New Roman"/>
                <w:color w:val="000000" w:themeColor="text1"/>
                <w:sz w:val="20"/>
                <w:szCs w:val="20"/>
                <w:lang w:val="it-IT"/>
              </w:rPr>
              <w:t>eknikat e intervistimit miqësor</w:t>
            </w:r>
            <w:r w:rsidRPr="00083AD4">
              <w:rPr>
                <w:rFonts w:ascii="Times New Roman" w:hAnsi="Times New Roman" w:cs="Times New Roman"/>
                <w:color w:val="000000" w:themeColor="text1"/>
                <w:sz w:val="20"/>
                <w:szCs w:val="20"/>
                <w:lang w:val="it-IT"/>
              </w:rPr>
              <w:t xml:space="preserve"> për fëmijët vazhdojnë të përdoren </w:t>
            </w:r>
            <w:r w:rsidR="00B16FD4">
              <w:rPr>
                <w:rFonts w:ascii="Times New Roman" w:hAnsi="Times New Roman" w:cs="Times New Roman"/>
                <w:color w:val="000000" w:themeColor="text1"/>
                <w:sz w:val="20"/>
                <w:szCs w:val="20"/>
                <w:lang w:val="it-IT"/>
              </w:rPr>
              <w:t>në mënyrë konsistente</w:t>
            </w:r>
            <w:r w:rsidRPr="00083AD4">
              <w:rPr>
                <w:rFonts w:ascii="Times New Roman" w:hAnsi="Times New Roman" w:cs="Times New Roman"/>
                <w:color w:val="000000" w:themeColor="text1"/>
                <w:sz w:val="20"/>
                <w:szCs w:val="20"/>
                <w:lang w:val="it-IT"/>
              </w:rPr>
              <w:t xml:space="preserve"> në seksionet e reja miqësore për fëmijët në komisariatet e policisë dhe prokuroritë.</w:t>
            </w:r>
          </w:p>
        </w:tc>
        <w:tc>
          <w:tcPr>
            <w:tcW w:w="3949" w:type="dxa"/>
            <w:shd w:val="clear" w:color="auto" w:fill="FFFFFF" w:themeFill="background1"/>
          </w:tcPr>
          <w:p w:rsidR="002F5CBD" w:rsidRPr="00083AD4" w:rsidRDefault="002F5CBD" w:rsidP="002F5CBD">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 xml:space="preserve">Rritja e numrit të personave, në veçanti të miturve, </w:t>
            </w:r>
            <w:r w:rsidR="00B16FD4">
              <w:rPr>
                <w:rFonts w:ascii="Times New Roman" w:eastAsia="Times New Roman" w:hAnsi="Times New Roman" w:cs="Times New Roman"/>
                <w:color w:val="000000" w:themeColor="text1"/>
                <w:sz w:val="20"/>
                <w:szCs w:val="20"/>
                <w:lang w:val="it-IT"/>
              </w:rPr>
              <w:t>që përfitojnë</w:t>
            </w:r>
            <w:r w:rsidRPr="00083AD4">
              <w:rPr>
                <w:rFonts w:ascii="Times New Roman" w:eastAsia="Times New Roman" w:hAnsi="Times New Roman" w:cs="Times New Roman"/>
                <w:color w:val="000000" w:themeColor="text1"/>
                <w:sz w:val="20"/>
                <w:szCs w:val="20"/>
                <w:lang w:val="it-IT"/>
              </w:rPr>
              <w:t xml:space="preserve"> nga programet e posaçme për risocializim dhe dënime alternative të aplikuara vazhdimisht nga viti 2024 e në vazhdim.</w:t>
            </w:r>
          </w:p>
          <w:p w:rsidR="002F5CBD" w:rsidRPr="00083AD4" w:rsidRDefault="002F5CBD" w:rsidP="002F5CBD">
            <w:pPr>
              <w:jc w:val="both"/>
              <w:rPr>
                <w:rFonts w:ascii="Times New Roman" w:eastAsia="Times New Roman" w:hAnsi="Times New Roman" w:cs="Times New Roman"/>
                <w:color w:val="000000" w:themeColor="text1"/>
                <w:sz w:val="20"/>
                <w:szCs w:val="20"/>
                <w:lang w:val="it-IT"/>
              </w:rPr>
            </w:pPr>
          </w:p>
          <w:p w:rsidR="002F5CBD" w:rsidRPr="00083AD4" w:rsidRDefault="002F5CBD" w:rsidP="002F5CBD">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Kapaciteti për t'</w:t>
            </w:r>
            <w:r w:rsidR="00B16FD4">
              <w:rPr>
                <w:rFonts w:ascii="Times New Roman" w:eastAsia="Times New Roman" w:hAnsi="Times New Roman" w:cs="Times New Roman"/>
                <w:color w:val="000000" w:themeColor="text1"/>
                <w:sz w:val="20"/>
                <w:szCs w:val="20"/>
                <w:lang w:val="it-IT"/>
              </w:rPr>
              <w:t>`</w:t>
            </w:r>
            <w:r w:rsidRPr="00083AD4">
              <w:rPr>
                <w:rFonts w:ascii="Times New Roman" w:eastAsia="Times New Roman" w:hAnsi="Times New Roman" w:cs="Times New Roman"/>
                <w:color w:val="000000" w:themeColor="text1"/>
                <w:sz w:val="20"/>
                <w:szCs w:val="20"/>
                <w:lang w:val="it-IT"/>
              </w:rPr>
              <w:t xml:space="preserve">iu përmbajtur standardeve të drejtësisë për të miturit </w:t>
            </w:r>
            <w:r w:rsidR="00B16FD4">
              <w:rPr>
                <w:rFonts w:ascii="Times New Roman" w:eastAsia="Times New Roman" w:hAnsi="Times New Roman" w:cs="Times New Roman"/>
                <w:color w:val="000000" w:themeColor="text1"/>
                <w:sz w:val="20"/>
                <w:szCs w:val="20"/>
                <w:lang w:val="it-IT"/>
              </w:rPr>
              <w:t xml:space="preserve">rritet </w:t>
            </w:r>
            <w:r w:rsidRPr="00083AD4">
              <w:rPr>
                <w:rFonts w:ascii="Times New Roman" w:eastAsia="Times New Roman" w:hAnsi="Times New Roman" w:cs="Times New Roman"/>
                <w:color w:val="000000" w:themeColor="text1"/>
                <w:sz w:val="20"/>
                <w:szCs w:val="20"/>
                <w:lang w:val="it-IT"/>
              </w:rPr>
              <w:t xml:space="preserve"> gradualisht deri në vitin 2030.</w:t>
            </w:r>
          </w:p>
          <w:p w:rsidR="002F5CBD" w:rsidRPr="00083AD4" w:rsidRDefault="002F5CBD" w:rsidP="002F5CBD">
            <w:pPr>
              <w:shd w:val="clear" w:color="auto" w:fill="FFFFFF"/>
              <w:jc w:val="both"/>
              <w:textAlignment w:val="baseline"/>
              <w:rPr>
                <w:rFonts w:ascii="Times New Roman" w:eastAsia="Times New Roman" w:hAnsi="Times New Roman" w:cs="Times New Roman"/>
                <w:bCs/>
                <w:color w:val="000000" w:themeColor="text1"/>
                <w:sz w:val="20"/>
                <w:szCs w:val="20"/>
                <w:lang w:val="it-IT"/>
              </w:rPr>
            </w:pPr>
          </w:p>
        </w:tc>
      </w:tr>
      <w:tr w:rsidR="002F5CBD" w:rsidRPr="00083AD4" w:rsidTr="00734862">
        <w:trPr>
          <w:trHeight w:val="285"/>
        </w:trPr>
        <w:tc>
          <w:tcPr>
            <w:tcW w:w="14580" w:type="dxa"/>
            <w:gridSpan w:val="14"/>
            <w:shd w:val="clear" w:color="auto" w:fill="BDD6EE" w:themeFill="accent1" w:themeFillTint="66"/>
          </w:tcPr>
          <w:p w:rsidR="002F5CBD" w:rsidRPr="00083AD4" w:rsidRDefault="00657854" w:rsidP="002F5CBD">
            <w:pPr>
              <w:rPr>
                <w:rFonts w:ascii="Times New Roman" w:eastAsia="Times New Roman" w:hAnsi="Times New Roman" w:cs="Times New Roman"/>
                <w:bCs/>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eastAsia="en-GB"/>
              </w:rPr>
              <w:t xml:space="preserve">III.O E drejta e </w:t>
            </w:r>
            <w:r w:rsidR="002F5CBD" w:rsidRPr="00083AD4">
              <w:rPr>
                <w:rFonts w:ascii="Times New Roman" w:eastAsia="Times New Roman" w:hAnsi="Times New Roman" w:cs="Times New Roman"/>
                <w:b/>
                <w:bCs/>
                <w:color w:val="000000" w:themeColor="text1"/>
                <w:sz w:val="20"/>
                <w:szCs w:val="20"/>
                <w:lang w:val="it-IT" w:eastAsia="en-GB"/>
              </w:rPr>
              <w:t>pronë</w:t>
            </w:r>
            <w:r w:rsidRPr="00083AD4">
              <w:rPr>
                <w:rFonts w:ascii="Times New Roman" w:eastAsia="Times New Roman" w:hAnsi="Times New Roman" w:cs="Times New Roman"/>
                <w:b/>
                <w:bCs/>
                <w:color w:val="000000" w:themeColor="text1"/>
                <w:sz w:val="20"/>
                <w:szCs w:val="20"/>
                <w:lang w:val="it-IT" w:eastAsia="en-GB"/>
              </w:rPr>
              <w:t>s</w:t>
            </w:r>
          </w:p>
        </w:tc>
      </w:tr>
      <w:tr w:rsidR="002F5CBD" w:rsidRPr="00083AD4" w:rsidTr="00734862">
        <w:trPr>
          <w:trHeight w:val="285"/>
        </w:trPr>
        <w:tc>
          <w:tcPr>
            <w:tcW w:w="14580" w:type="dxa"/>
            <w:gridSpan w:val="14"/>
            <w:shd w:val="clear" w:color="auto" w:fill="auto"/>
          </w:tcPr>
          <w:p w:rsidR="002F5CBD" w:rsidRPr="00083AD4" w:rsidRDefault="002F5CBD" w:rsidP="00B16FD4">
            <w:pPr>
              <w:rPr>
                <w:rFonts w:ascii="Times New Roman" w:eastAsia="Times New Roman" w:hAnsi="Times New Roman" w:cs="Times New Roman"/>
                <w:b/>
                <w:bCs/>
                <w:color w:val="000000" w:themeColor="text1"/>
                <w:sz w:val="20"/>
                <w:szCs w:val="20"/>
                <w:lang w:val="it-IT" w:eastAsia="en-GB"/>
              </w:rPr>
            </w:pPr>
            <w:r w:rsidRPr="00083AD4">
              <w:rPr>
                <w:rFonts w:ascii="Times New Roman" w:eastAsia="Times New Roman" w:hAnsi="Times New Roman" w:cs="Times New Roman"/>
                <w:b/>
                <w:color w:val="000000" w:themeColor="text1"/>
                <w:sz w:val="20"/>
                <w:szCs w:val="20"/>
                <w:lang w:val="it-IT"/>
              </w:rPr>
              <w:t>Finalizimi i proceseve të pronësisë kalimtare duke avancuar në mënyrë të qëndrueshme me masa efektive parandal</w:t>
            </w:r>
            <w:r w:rsidR="00657854" w:rsidRPr="00083AD4">
              <w:rPr>
                <w:rFonts w:ascii="Times New Roman" w:eastAsia="Times New Roman" w:hAnsi="Times New Roman" w:cs="Times New Roman"/>
                <w:b/>
                <w:color w:val="000000" w:themeColor="text1"/>
                <w:sz w:val="20"/>
                <w:szCs w:val="20"/>
                <w:lang w:val="it-IT"/>
              </w:rPr>
              <w:t xml:space="preserve">uese të korrupsionit përmes </w:t>
            </w:r>
            <w:r w:rsidR="00B16FD4">
              <w:rPr>
                <w:rFonts w:ascii="Times New Roman" w:eastAsia="Times New Roman" w:hAnsi="Times New Roman" w:cs="Times New Roman"/>
                <w:b/>
                <w:sz w:val="20"/>
                <w:szCs w:val="20"/>
                <w:lang w:val="it-IT"/>
              </w:rPr>
              <w:t xml:space="preserve">të dhënave kadastrale të </w:t>
            </w:r>
            <w:r w:rsidR="00657854" w:rsidRPr="00083AD4">
              <w:rPr>
                <w:rFonts w:ascii="Times New Roman" w:eastAsia="Times New Roman" w:hAnsi="Times New Roman" w:cs="Times New Roman"/>
                <w:b/>
                <w:sz w:val="20"/>
                <w:szCs w:val="20"/>
                <w:lang w:val="it-IT"/>
              </w:rPr>
              <w:t>digjitalizuara</w:t>
            </w:r>
            <w:r w:rsidRPr="00083AD4">
              <w:rPr>
                <w:rFonts w:ascii="Times New Roman" w:eastAsia="Times New Roman" w:hAnsi="Times New Roman" w:cs="Times New Roman"/>
                <w:b/>
                <w:sz w:val="20"/>
                <w:szCs w:val="20"/>
                <w:lang w:val="it-IT"/>
              </w:rPr>
              <w:t>, duke përfshirë titujt e pronësisë dhe hartat kadastrale</w:t>
            </w:r>
          </w:p>
        </w:tc>
      </w:tr>
      <w:tr w:rsidR="002F5CBD" w:rsidRPr="00083AD4" w:rsidTr="00FB2DFB">
        <w:trPr>
          <w:trHeight w:val="200"/>
        </w:trPr>
        <w:tc>
          <w:tcPr>
            <w:tcW w:w="2973" w:type="dxa"/>
            <w:shd w:val="clear" w:color="auto" w:fill="FFFFFF" w:themeFill="background1"/>
          </w:tcPr>
          <w:p w:rsidR="002F5CBD" w:rsidRPr="00083AD4" w:rsidRDefault="002F5CBD" w:rsidP="002F5CBD">
            <w:pPr>
              <w:spacing w:line="238" w:lineRule="auto"/>
              <w:jc w:val="both"/>
              <w:rPr>
                <w:rFonts w:ascii="Times New Roman" w:eastAsia="Times New Roman" w:hAnsi="Times New Roman" w:cs="Times New Roman"/>
                <w:sz w:val="20"/>
                <w:szCs w:val="20"/>
                <w:lang w:val="it-IT"/>
              </w:rPr>
            </w:pPr>
          </w:p>
          <w:p w:rsidR="002F5CBD" w:rsidRPr="00083AD4" w:rsidRDefault="002F5CBD" w:rsidP="002F5CBD">
            <w:pPr>
              <w:spacing w:line="237" w:lineRule="auto"/>
              <w:jc w:val="both"/>
              <w:rPr>
                <w:rFonts w:ascii="Times New Roman" w:eastAsia="Times New Roman" w:hAnsi="Times New Roman" w:cs="Times New Roman"/>
                <w:sz w:val="20"/>
                <w:szCs w:val="20"/>
                <w:lang w:val="it-IT"/>
              </w:rPr>
            </w:pPr>
          </w:p>
        </w:tc>
        <w:tc>
          <w:tcPr>
            <w:tcW w:w="3321" w:type="dxa"/>
            <w:gridSpan w:val="3"/>
            <w:shd w:val="clear" w:color="auto" w:fill="FFFFFF" w:themeFill="background1"/>
          </w:tcPr>
          <w:p w:rsidR="002F5CBD" w:rsidRPr="00083AD4" w:rsidRDefault="002F5CBD" w:rsidP="002F5CBD">
            <w:pPr>
              <w:shd w:val="clear" w:color="auto" w:fill="FFFFFF"/>
              <w:spacing w:after="160" w:line="259" w:lineRule="auto"/>
              <w:jc w:val="both"/>
              <w:textAlignment w:val="baseline"/>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Agjencia Shtetërore e Kadastrës kryen një vlerësim të rrezikut dhe miraton një Plan Veprimi Kundër Korrupsionit për Agjencinë duke përfshirë masat për transparencë dhe efikasitet deri në vitin 2024.</w:t>
            </w:r>
          </w:p>
          <w:p w:rsidR="002F5CBD" w:rsidRPr="00083AD4" w:rsidRDefault="002F5CBD" w:rsidP="002F5CBD">
            <w:pPr>
              <w:shd w:val="clear" w:color="auto" w:fill="FFFFFF"/>
              <w:spacing w:after="160" w:line="259" w:lineRule="auto"/>
              <w:jc w:val="both"/>
              <w:textAlignment w:val="baseline"/>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 xml:space="preserve">Agjencia Shtetërore e Kadastrës krijon një plan të integruar të menaxhimit të tokës deri në vitin 2024, duke </w:t>
            </w:r>
            <w:r w:rsidRPr="00083AD4">
              <w:rPr>
                <w:rFonts w:ascii="Times New Roman" w:hAnsi="Times New Roman" w:cs="Times New Roman"/>
                <w:color w:val="000000" w:themeColor="text1"/>
                <w:sz w:val="20"/>
                <w:szCs w:val="20"/>
                <w:lang w:val="it-IT"/>
              </w:rPr>
              <w:lastRenderedPageBreak/>
              <w:t>përfshirë:</w:t>
            </w:r>
          </w:p>
          <w:p w:rsidR="002F5CBD" w:rsidRPr="00083AD4" w:rsidRDefault="002F5CBD" w:rsidP="002F5CBD">
            <w:pPr>
              <w:pStyle w:val="ListParagraph"/>
              <w:numPr>
                <w:ilvl w:val="0"/>
                <w:numId w:val="9"/>
              </w:numPr>
              <w:shd w:val="clear" w:color="auto" w:fill="FFFFFF"/>
              <w:jc w:val="both"/>
              <w:textAlignment w:val="baseline"/>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Përfundimi</w:t>
            </w:r>
            <w:r w:rsidR="00B16FD4">
              <w:rPr>
                <w:rFonts w:ascii="Times New Roman" w:hAnsi="Times New Roman" w:cs="Times New Roman"/>
                <w:color w:val="000000" w:themeColor="text1"/>
                <w:sz w:val="20"/>
                <w:szCs w:val="20"/>
                <w:lang w:val="it-IT"/>
              </w:rPr>
              <w:t>n e</w:t>
            </w:r>
            <w:r w:rsidRPr="00083AD4">
              <w:rPr>
                <w:rFonts w:ascii="Times New Roman" w:hAnsi="Times New Roman" w:cs="Times New Roman"/>
                <w:color w:val="000000" w:themeColor="text1"/>
                <w:sz w:val="20"/>
                <w:szCs w:val="20"/>
                <w:lang w:val="it-IT"/>
              </w:rPr>
              <w:t xml:space="preserve"> dixhitalizimit të të dhënave ligjore deri në vitin 2024</w:t>
            </w:r>
          </w:p>
          <w:p w:rsidR="002F5CBD" w:rsidRPr="00083AD4" w:rsidRDefault="00B16FD4" w:rsidP="002F5CBD">
            <w:pPr>
              <w:pStyle w:val="ListParagraph"/>
              <w:numPr>
                <w:ilvl w:val="0"/>
                <w:numId w:val="9"/>
              </w:numPr>
              <w:shd w:val="clear" w:color="auto" w:fill="FFFFFF"/>
              <w:jc w:val="both"/>
              <w:textAlignment w:val="baseline"/>
              <w:rPr>
                <w:rFonts w:ascii="Times New Roman" w:hAnsi="Times New Roman" w:cs="Times New Roman"/>
                <w:color w:val="000000" w:themeColor="text1"/>
                <w:sz w:val="20"/>
                <w:szCs w:val="20"/>
                <w:lang w:val="it-IT"/>
              </w:rPr>
            </w:pPr>
            <w:r>
              <w:rPr>
                <w:rFonts w:ascii="Times New Roman" w:hAnsi="Times New Roman" w:cs="Times New Roman"/>
                <w:color w:val="000000" w:themeColor="text1"/>
                <w:sz w:val="20"/>
                <w:szCs w:val="20"/>
                <w:lang w:val="it-IT"/>
              </w:rPr>
              <w:t>Përfundimin e</w:t>
            </w:r>
            <w:r w:rsidR="002F5CBD" w:rsidRPr="00083AD4">
              <w:rPr>
                <w:rFonts w:ascii="Times New Roman" w:hAnsi="Times New Roman" w:cs="Times New Roman"/>
                <w:color w:val="000000" w:themeColor="text1"/>
                <w:sz w:val="20"/>
                <w:szCs w:val="20"/>
                <w:lang w:val="it-IT"/>
              </w:rPr>
              <w:t xml:space="preserve"> dixhitalizimit të hartës deri në vitin 2026,</w:t>
            </w:r>
          </w:p>
          <w:p w:rsidR="002F5CBD" w:rsidRPr="00083AD4" w:rsidRDefault="00B16FD4" w:rsidP="002F5CBD">
            <w:pPr>
              <w:pStyle w:val="ListParagraph"/>
              <w:numPr>
                <w:ilvl w:val="0"/>
                <w:numId w:val="9"/>
              </w:numPr>
              <w:shd w:val="clear" w:color="auto" w:fill="FFFFFF"/>
              <w:jc w:val="both"/>
              <w:textAlignment w:val="baseline"/>
              <w:rPr>
                <w:rFonts w:ascii="Times New Roman" w:hAnsi="Times New Roman" w:cs="Times New Roman"/>
                <w:color w:val="000000" w:themeColor="text1"/>
                <w:sz w:val="20"/>
                <w:szCs w:val="20"/>
                <w:lang w:val="it-IT"/>
              </w:rPr>
            </w:pPr>
            <w:r>
              <w:rPr>
                <w:rFonts w:ascii="Times New Roman" w:hAnsi="Times New Roman" w:cs="Times New Roman"/>
                <w:color w:val="000000" w:themeColor="text1"/>
                <w:sz w:val="20"/>
                <w:szCs w:val="20"/>
                <w:lang w:val="it-IT"/>
              </w:rPr>
              <w:t>Finalizimin e</w:t>
            </w:r>
            <w:r w:rsidR="002F5CBD" w:rsidRPr="00083AD4">
              <w:rPr>
                <w:rFonts w:ascii="Times New Roman" w:hAnsi="Times New Roman" w:cs="Times New Roman"/>
                <w:color w:val="000000" w:themeColor="text1"/>
                <w:sz w:val="20"/>
                <w:szCs w:val="20"/>
                <w:lang w:val="it-IT"/>
              </w:rPr>
              <w:t xml:space="preserve"> regjistrimit të parë të pronës së paregjistruar deri në vitin 2028,</w:t>
            </w:r>
          </w:p>
          <w:p w:rsidR="002F5CBD" w:rsidRPr="00083AD4" w:rsidRDefault="00B16FD4" w:rsidP="002F5CBD">
            <w:pPr>
              <w:pStyle w:val="ListParagraph"/>
              <w:numPr>
                <w:ilvl w:val="0"/>
                <w:numId w:val="9"/>
              </w:numPr>
              <w:shd w:val="clear" w:color="auto" w:fill="FFFFFF"/>
              <w:jc w:val="both"/>
              <w:textAlignment w:val="baseline"/>
              <w:rPr>
                <w:rFonts w:ascii="Times New Roman" w:hAnsi="Times New Roman" w:cs="Times New Roman"/>
                <w:color w:val="000000" w:themeColor="text1"/>
                <w:sz w:val="20"/>
                <w:szCs w:val="20"/>
                <w:lang w:val="it-IT"/>
              </w:rPr>
            </w:pPr>
            <w:r>
              <w:rPr>
                <w:rFonts w:ascii="Times New Roman" w:hAnsi="Times New Roman" w:cs="Times New Roman"/>
                <w:color w:val="000000" w:themeColor="text1"/>
                <w:sz w:val="20"/>
                <w:szCs w:val="20"/>
                <w:lang w:val="it-IT"/>
              </w:rPr>
              <w:t>Dixhitalizimin e plotë të</w:t>
            </w:r>
            <w:r w:rsidR="002F5CBD" w:rsidRPr="00083AD4">
              <w:rPr>
                <w:rFonts w:ascii="Times New Roman" w:hAnsi="Times New Roman" w:cs="Times New Roman"/>
                <w:color w:val="000000" w:themeColor="text1"/>
                <w:sz w:val="20"/>
                <w:szCs w:val="20"/>
                <w:lang w:val="it-IT"/>
              </w:rPr>
              <w:t xml:space="preserve"> procesit të regjistrimit të pronës deri në vitin 2030.</w:t>
            </w:r>
          </w:p>
        </w:tc>
        <w:tc>
          <w:tcPr>
            <w:tcW w:w="4337" w:type="dxa"/>
            <w:gridSpan w:val="9"/>
            <w:shd w:val="clear" w:color="auto" w:fill="FFFFFF" w:themeFill="background1"/>
          </w:tcPr>
          <w:p w:rsidR="002F5CBD" w:rsidRPr="00083AD4" w:rsidRDefault="002F5CBD" w:rsidP="002F5CBD">
            <w:pPr>
              <w:shd w:val="clear" w:color="auto" w:fill="FFFFFF"/>
              <w:spacing w:after="160" w:line="259" w:lineRule="auto"/>
              <w:jc w:val="both"/>
              <w:textAlignment w:val="baseline"/>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lastRenderedPageBreak/>
              <w:t>Burimet e duhura njerëzore dhe financiare për funksionimin e duhur të Agjencisë Shtetërore të Kadastrës do të rishikohen vazhdimisht nga viti 2025 e në vazhdim për të përmbushur kërkesat e planit të menaxhimit të integruar të tokës.</w:t>
            </w:r>
          </w:p>
          <w:p w:rsidR="002F5CBD" w:rsidRPr="00083AD4" w:rsidRDefault="002F5CBD" w:rsidP="002F5CBD">
            <w:pPr>
              <w:shd w:val="clear" w:color="auto" w:fill="FFFFFF"/>
              <w:spacing w:after="160" w:line="259" w:lineRule="auto"/>
              <w:jc w:val="both"/>
              <w:textAlignment w:val="baseline"/>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 xml:space="preserve">Agjencia Shtetërore e Kadastrës zbaton Planin e Veprimit Kundër Korrupsionit për Agjencinë duke përfshirë masa për transparencë dhe efikasitet dhe monitoron dhe vlerëson zbatimin e tij rregullisht </w:t>
            </w:r>
            <w:r w:rsidRPr="00083AD4">
              <w:rPr>
                <w:rFonts w:ascii="Times New Roman" w:hAnsi="Times New Roman" w:cs="Times New Roman"/>
                <w:color w:val="000000" w:themeColor="text1"/>
                <w:sz w:val="20"/>
                <w:szCs w:val="20"/>
                <w:lang w:val="it-IT"/>
              </w:rPr>
              <w:lastRenderedPageBreak/>
              <w:t>nga viti 2025 e në vazhdim.</w:t>
            </w:r>
          </w:p>
          <w:p w:rsidR="002F5CBD" w:rsidRPr="00083AD4" w:rsidRDefault="002F5CBD" w:rsidP="002F5CBD">
            <w:pPr>
              <w:shd w:val="clear" w:color="auto" w:fill="FFFFFF"/>
              <w:jc w:val="both"/>
              <w:textAlignment w:val="baseline"/>
              <w:rPr>
                <w:rFonts w:ascii="Times New Roman" w:hAnsi="Times New Roman" w:cs="Times New Roman"/>
                <w:color w:val="000000" w:themeColor="text1"/>
                <w:sz w:val="20"/>
                <w:szCs w:val="20"/>
                <w:lang w:val="it-IT"/>
              </w:rPr>
            </w:pPr>
          </w:p>
        </w:tc>
        <w:tc>
          <w:tcPr>
            <w:tcW w:w="3949" w:type="dxa"/>
            <w:shd w:val="clear" w:color="auto" w:fill="FFFFFF" w:themeFill="background1"/>
          </w:tcPr>
          <w:p w:rsidR="002F5CBD" w:rsidRPr="00083AD4" w:rsidRDefault="002F5CBD" w:rsidP="002F5CBD">
            <w:pPr>
              <w:spacing w:after="160" w:line="259" w:lineRule="auto"/>
              <w:jc w:val="both"/>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lastRenderedPageBreak/>
              <w:t>Sistemi i integruar i menaxhimit të tokës është krijuar në mënyrë progresive dhe përfundon deri në vitin 2030.</w:t>
            </w:r>
          </w:p>
          <w:p w:rsidR="002F5CBD" w:rsidRPr="00083AD4" w:rsidRDefault="002F5CBD" w:rsidP="00B16FD4">
            <w:pPr>
              <w:spacing w:after="160" w:line="259" w:lineRule="auto"/>
              <w:jc w:val="both"/>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 xml:space="preserve">Rreziku i shfaqjes së korrupsionit në Agjencinë e Kadastrës </w:t>
            </w:r>
            <w:r w:rsidR="00B16FD4">
              <w:rPr>
                <w:rFonts w:ascii="Times New Roman" w:hAnsi="Times New Roman" w:cs="Times New Roman"/>
                <w:color w:val="000000" w:themeColor="text1"/>
                <w:sz w:val="20"/>
                <w:szCs w:val="20"/>
                <w:lang w:val="it-IT"/>
              </w:rPr>
              <w:t>ulet</w:t>
            </w:r>
            <w:r w:rsidRPr="00083AD4">
              <w:rPr>
                <w:rFonts w:ascii="Times New Roman" w:hAnsi="Times New Roman" w:cs="Times New Roman"/>
                <w:color w:val="000000" w:themeColor="text1"/>
                <w:sz w:val="20"/>
                <w:szCs w:val="20"/>
                <w:lang w:val="it-IT"/>
              </w:rPr>
              <w:t xml:space="preserve"> ndjeshëm deri në vitin 2030, duke siguruar zbatimin dhe monitorimin e duhur të Planit të Veprimit kundër Korrupsionit.</w:t>
            </w:r>
          </w:p>
        </w:tc>
      </w:tr>
      <w:tr w:rsidR="002F5CBD" w:rsidRPr="00083AD4" w:rsidTr="00734862">
        <w:trPr>
          <w:trHeight w:val="440"/>
        </w:trPr>
        <w:tc>
          <w:tcPr>
            <w:tcW w:w="14580" w:type="dxa"/>
            <w:gridSpan w:val="14"/>
            <w:shd w:val="clear" w:color="auto" w:fill="FFFFFF" w:themeFill="background1"/>
          </w:tcPr>
          <w:p w:rsidR="002F5CBD" w:rsidRPr="00083AD4" w:rsidRDefault="002F5CBD" w:rsidP="002F5CBD">
            <w:pPr>
              <w:jc w:val="both"/>
              <w:rPr>
                <w:rFonts w:ascii="Times New Roman" w:hAnsi="Times New Roman" w:cs="Times New Roman"/>
                <w:color w:val="000000" w:themeColor="text1"/>
                <w:sz w:val="20"/>
                <w:szCs w:val="20"/>
                <w:lang w:val="it-IT"/>
              </w:rPr>
            </w:pPr>
            <w:r w:rsidRPr="00083AD4">
              <w:rPr>
                <w:rFonts w:ascii="Times New Roman" w:eastAsia="Times New Roman" w:hAnsi="Times New Roman" w:cs="Times New Roman"/>
                <w:b/>
                <w:color w:val="000000" w:themeColor="text1"/>
                <w:sz w:val="20"/>
                <w:szCs w:val="20"/>
                <w:lang w:val="it-IT"/>
              </w:rPr>
              <w:t>Zbatimi konsekuent i vendimeve të gjykatave, përfshirë GJEDNJ-në, në fushën e pronës</w:t>
            </w:r>
          </w:p>
        </w:tc>
      </w:tr>
      <w:tr w:rsidR="002F5CBD" w:rsidRPr="00083AD4" w:rsidTr="00FB2DFB">
        <w:trPr>
          <w:trHeight w:val="285"/>
        </w:trPr>
        <w:tc>
          <w:tcPr>
            <w:tcW w:w="2973" w:type="dxa"/>
            <w:shd w:val="clear" w:color="auto" w:fill="FFFFFF" w:themeFill="background1"/>
          </w:tcPr>
          <w:p w:rsidR="002F5CBD" w:rsidRPr="00083AD4" w:rsidRDefault="002F5CBD" w:rsidP="002F5CBD">
            <w:pPr>
              <w:spacing w:line="238" w:lineRule="auto"/>
              <w:jc w:val="both"/>
              <w:rPr>
                <w:rFonts w:ascii="Times New Roman" w:eastAsia="Times New Roman" w:hAnsi="Times New Roman" w:cs="Times New Roman"/>
                <w:color w:val="000000" w:themeColor="text1"/>
                <w:sz w:val="20"/>
                <w:szCs w:val="20"/>
                <w:lang w:val="it-IT"/>
              </w:rPr>
            </w:pPr>
          </w:p>
        </w:tc>
        <w:tc>
          <w:tcPr>
            <w:tcW w:w="3321" w:type="dxa"/>
            <w:gridSpan w:val="3"/>
            <w:shd w:val="clear" w:color="auto" w:fill="FFFFFF" w:themeFill="background1"/>
          </w:tcPr>
          <w:p w:rsidR="002F5CBD" w:rsidRPr="00083AD4" w:rsidRDefault="002F5CBD" w:rsidP="002F5CBD">
            <w:pPr>
              <w:shd w:val="clear" w:color="auto" w:fill="FFFFFF"/>
              <w:spacing w:after="160" w:line="259" w:lineRule="auto"/>
              <w:jc w:val="both"/>
              <w:textAlignment w:val="baseline"/>
              <w:rPr>
                <w:rFonts w:ascii="Times New Roman" w:hAnsi="Times New Roman" w:cs="Times New Roman"/>
                <w:color w:val="000000" w:themeColor="text1"/>
                <w:sz w:val="20"/>
                <w:szCs w:val="20"/>
                <w:lang w:val="it-IT"/>
              </w:rPr>
            </w:pPr>
          </w:p>
          <w:p w:rsidR="002F5CBD" w:rsidRPr="00083AD4" w:rsidRDefault="002F5CBD" w:rsidP="002F5CBD">
            <w:pPr>
              <w:shd w:val="clear" w:color="auto" w:fill="FFFFFF"/>
              <w:jc w:val="both"/>
              <w:textAlignment w:val="baseline"/>
              <w:rPr>
                <w:rFonts w:ascii="Times New Roman" w:eastAsia="Times New Roman" w:hAnsi="Times New Roman" w:cs="Times New Roman"/>
                <w:color w:val="000000" w:themeColor="text1"/>
                <w:sz w:val="20"/>
                <w:szCs w:val="20"/>
                <w:lang w:val="it-IT"/>
              </w:rPr>
            </w:pPr>
          </w:p>
        </w:tc>
        <w:tc>
          <w:tcPr>
            <w:tcW w:w="4337" w:type="dxa"/>
            <w:gridSpan w:val="9"/>
            <w:shd w:val="clear" w:color="auto" w:fill="FFFFFF" w:themeFill="background1"/>
          </w:tcPr>
          <w:p w:rsidR="002F5CBD" w:rsidRPr="00083AD4" w:rsidRDefault="002F5CBD" w:rsidP="00B16FD4">
            <w:pPr>
              <w:rPr>
                <w:rFonts w:ascii="Times New Roman" w:eastAsia="Times New Roman" w:hAnsi="Times New Roman" w:cs="Times New Roman"/>
                <w:bCs/>
                <w:color w:val="000000" w:themeColor="text1"/>
                <w:sz w:val="20"/>
                <w:szCs w:val="20"/>
                <w:lang w:val="it-IT"/>
              </w:rPr>
            </w:pPr>
            <w:r w:rsidRPr="00083AD4">
              <w:rPr>
                <w:rFonts w:ascii="Times New Roman" w:eastAsia="Times New Roman" w:hAnsi="Times New Roman" w:cs="Times New Roman"/>
                <w:bCs/>
                <w:color w:val="000000" w:themeColor="text1"/>
                <w:sz w:val="20"/>
                <w:szCs w:val="20"/>
                <w:lang w:val="it-IT"/>
              </w:rPr>
              <w:t xml:space="preserve">Trajnim konsistent dhe </w:t>
            </w:r>
            <w:r w:rsidR="00B16FD4">
              <w:rPr>
                <w:rFonts w:ascii="Times New Roman" w:eastAsia="Times New Roman" w:hAnsi="Times New Roman" w:cs="Times New Roman"/>
                <w:bCs/>
                <w:color w:val="000000" w:themeColor="text1"/>
                <w:sz w:val="20"/>
                <w:szCs w:val="20"/>
                <w:lang w:val="it-IT"/>
              </w:rPr>
              <w:t>i përshtatshëm</w:t>
            </w:r>
            <w:r w:rsidRPr="00083AD4">
              <w:rPr>
                <w:rFonts w:ascii="Times New Roman" w:eastAsia="Times New Roman" w:hAnsi="Times New Roman" w:cs="Times New Roman"/>
                <w:bCs/>
                <w:color w:val="000000" w:themeColor="text1"/>
                <w:sz w:val="20"/>
                <w:szCs w:val="20"/>
                <w:lang w:val="it-IT"/>
              </w:rPr>
              <w:t xml:space="preserve"> i gjyqtarëve, prokurorëve, policisë, stafit të Inspektoratit Kombëtar për Mbrojtjen e Territorit për zbatimin e plotë dhe standardet e parashikuara në praktikën gjyqësore të GJEDNJ nga viti 2024, bazuar në projeksionet vjetore.</w:t>
            </w:r>
          </w:p>
        </w:tc>
        <w:tc>
          <w:tcPr>
            <w:tcW w:w="3949" w:type="dxa"/>
            <w:shd w:val="clear" w:color="auto" w:fill="FFFFFF" w:themeFill="background1"/>
          </w:tcPr>
          <w:p w:rsidR="002F5CBD" w:rsidRPr="00083AD4" w:rsidRDefault="002F5CBD" w:rsidP="002F5CBD">
            <w:pPr>
              <w:jc w:val="both"/>
              <w:rPr>
                <w:rFonts w:ascii="Times New Roman" w:eastAsia="Times New Roman" w:hAnsi="Times New Roman" w:cs="Times New Roman"/>
                <w:bCs/>
                <w:color w:val="000000" w:themeColor="text1"/>
                <w:sz w:val="20"/>
                <w:szCs w:val="20"/>
                <w:lang w:val="it-IT"/>
              </w:rPr>
            </w:pPr>
            <w:r w:rsidRPr="00083AD4">
              <w:rPr>
                <w:rFonts w:ascii="Times New Roman" w:hAnsi="Times New Roman" w:cs="Times New Roman"/>
                <w:color w:val="000000" w:themeColor="text1"/>
                <w:sz w:val="20"/>
                <w:szCs w:val="20"/>
                <w:lang w:val="it-IT"/>
              </w:rPr>
              <w:t>Shqipëria vazhdon përpjekjet e saj për zbatimin e duhur të vendimeve të GJEDNJ në fushën e të drejtave pronësore.</w:t>
            </w:r>
          </w:p>
          <w:p w:rsidR="002F5CBD" w:rsidRPr="00083AD4" w:rsidRDefault="002F5CBD" w:rsidP="002F5CBD">
            <w:pPr>
              <w:jc w:val="both"/>
              <w:rPr>
                <w:rFonts w:ascii="Times New Roman" w:eastAsia="Times New Roman" w:hAnsi="Times New Roman" w:cs="Times New Roman"/>
                <w:bCs/>
                <w:color w:val="000000" w:themeColor="text1"/>
                <w:sz w:val="20"/>
                <w:szCs w:val="20"/>
                <w:lang w:val="it-IT"/>
              </w:rPr>
            </w:pPr>
          </w:p>
        </w:tc>
      </w:tr>
      <w:tr w:rsidR="002F5CBD" w:rsidRPr="00083AD4" w:rsidTr="00FB2DFB">
        <w:trPr>
          <w:trHeight w:val="285"/>
        </w:trPr>
        <w:tc>
          <w:tcPr>
            <w:tcW w:w="2973" w:type="dxa"/>
            <w:shd w:val="clear" w:color="auto" w:fill="FFFFFF" w:themeFill="background1"/>
          </w:tcPr>
          <w:p w:rsidR="002F5CBD" w:rsidRPr="00083AD4" w:rsidRDefault="002F5CBD" w:rsidP="002F5CBD">
            <w:pPr>
              <w:spacing w:line="237" w:lineRule="auto"/>
              <w:jc w:val="both"/>
              <w:rPr>
                <w:rFonts w:ascii="Times New Roman" w:eastAsia="Times New Roman" w:hAnsi="Times New Roman"/>
                <w:sz w:val="20"/>
                <w:szCs w:val="20"/>
                <w:lang w:val="it-IT"/>
              </w:rPr>
            </w:pPr>
          </w:p>
          <w:p w:rsidR="002F5CBD" w:rsidRPr="00083AD4" w:rsidRDefault="002F5CBD" w:rsidP="002F5CBD">
            <w:pPr>
              <w:spacing w:line="237" w:lineRule="auto"/>
              <w:jc w:val="both"/>
              <w:rPr>
                <w:rFonts w:ascii="Times New Roman" w:eastAsia="Times New Roman" w:hAnsi="Times New Roman"/>
                <w:sz w:val="20"/>
                <w:szCs w:val="20"/>
                <w:lang w:val="it-IT"/>
              </w:rPr>
            </w:pPr>
          </w:p>
          <w:p w:rsidR="002F5CBD" w:rsidRPr="00083AD4" w:rsidRDefault="002F5CBD" w:rsidP="002F5CBD">
            <w:pPr>
              <w:spacing w:line="237" w:lineRule="auto"/>
              <w:jc w:val="both"/>
              <w:rPr>
                <w:rFonts w:ascii="Times New Roman" w:eastAsia="Times New Roman" w:hAnsi="Times New Roman" w:cs="Times New Roman"/>
                <w:sz w:val="20"/>
                <w:szCs w:val="20"/>
                <w:lang w:val="it-IT"/>
              </w:rPr>
            </w:pPr>
          </w:p>
        </w:tc>
        <w:tc>
          <w:tcPr>
            <w:tcW w:w="3321" w:type="dxa"/>
            <w:gridSpan w:val="3"/>
            <w:shd w:val="clear" w:color="auto" w:fill="FFFFFF" w:themeFill="background1"/>
          </w:tcPr>
          <w:p w:rsidR="002F5CBD" w:rsidRPr="00083AD4" w:rsidRDefault="002F5CBD" w:rsidP="002F5CBD">
            <w:pPr>
              <w:shd w:val="clear" w:color="auto" w:fill="FFFFFF"/>
              <w:jc w:val="both"/>
              <w:textAlignment w:val="baseline"/>
              <w:rPr>
                <w:rFonts w:ascii="Times New Roman" w:hAnsi="Times New Roman" w:cs="Times New Roman"/>
                <w:color w:val="000000" w:themeColor="text1"/>
                <w:sz w:val="20"/>
                <w:szCs w:val="20"/>
                <w:lang w:val="it-IT"/>
              </w:rPr>
            </w:pPr>
          </w:p>
        </w:tc>
        <w:tc>
          <w:tcPr>
            <w:tcW w:w="4337" w:type="dxa"/>
            <w:gridSpan w:val="9"/>
            <w:shd w:val="clear" w:color="auto" w:fill="FFFFFF" w:themeFill="background1"/>
          </w:tcPr>
          <w:p w:rsidR="002F5CBD" w:rsidRPr="00083AD4" w:rsidRDefault="002F5CBD" w:rsidP="002F5CBD">
            <w:pPr>
              <w:rPr>
                <w:rFonts w:ascii="Times New Roman" w:eastAsia="Times New Roman" w:hAnsi="Times New Roman" w:cs="Times New Roman"/>
                <w:bCs/>
                <w:color w:val="000000" w:themeColor="text1"/>
                <w:sz w:val="20"/>
                <w:szCs w:val="20"/>
                <w:lang w:val="it-IT"/>
              </w:rPr>
            </w:pPr>
            <w:r w:rsidRPr="00083AD4">
              <w:rPr>
                <w:rFonts w:ascii="Times New Roman" w:eastAsia="Times New Roman" w:hAnsi="Times New Roman" w:cs="Times New Roman"/>
                <w:bCs/>
                <w:color w:val="000000" w:themeColor="text1"/>
                <w:sz w:val="20"/>
                <w:szCs w:val="20"/>
                <w:lang w:val="it-IT"/>
              </w:rPr>
              <w:t>Burimet njerëzore dhe financiare adekuate për funksionimin e duhur të Agjencisë për</w:t>
            </w:r>
            <w:r w:rsidR="00D37C55">
              <w:rPr>
                <w:rFonts w:ascii="Times New Roman" w:eastAsia="Times New Roman" w:hAnsi="Times New Roman" w:cs="Times New Roman"/>
                <w:bCs/>
                <w:color w:val="000000" w:themeColor="text1"/>
                <w:sz w:val="20"/>
                <w:szCs w:val="20"/>
                <w:lang w:val="it-IT"/>
              </w:rPr>
              <w:t xml:space="preserve"> Trajtimin e Pronës me qëllim  përfundimin e </w:t>
            </w:r>
            <w:r w:rsidRPr="00083AD4">
              <w:rPr>
                <w:rFonts w:ascii="Times New Roman" w:eastAsia="Times New Roman" w:hAnsi="Times New Roman" w:cs="Times New Roman"/>
                <w:bCs/>
                <w:color w:val="000000" w:themeColor="text1"/>
                <w:sz w:val="20"/>
                <w:szCs w:val="20"/>
                <w:lang w:val="it-IT"/>
              </w:rPr>
              <w:t xml:space="preserve"> procesit kalimtar të kompensimit në mënyrë konsistente që nga viti 2024 e në vazhdim.</w:t>
            </w:r>
          </w:p>
          <w:p w:rsidR="002F5CBD" w:rsidRPr="00083AD4" w:rsidRDefault="002F5CBD" w:rsidP="002F5CBD">
            <w:pPr>
              <w:rPr>
                <w:rFonts w:ascii="Times New Roman" w:eastAsia="Times New Roman" w:hAnsi="Times New Roman" w:cs="Times New Roman"/>
                <w:bCs/>
                <w:color w:val="000000" w:themeColor="text1"/>
                <w:sz w:val="20"/>
                <w:szCs w:val="20"/>
                <w:lang w:val="it-IT"/>
              </w:rPr>
            </w:pPr>
          </w:p>
          <w:p w:rsidR="002F5CBD" w:rsidRPr="00083AD4" w:rsidRDefault="002F5CBD" w:rsidP="00D37C55">
            <w:pPr>
              <w:rPr>
                <w:rFonts w:ascii="Times New Roman" w:eastAsia="Times New Roman" w:hAnsi="Times New Roman" w:cs="Times New Roman"/>
                <w:bCs/>
                <w:color w:val="000000" w:themeColor="text1"/>
                <w:sz w:val="20"/>
                <w:szCs w:val="20"/>
                <w:lang w:val="it-IT"/>
              </w:rPr>
            </w:pPr>
            <w:r w:rsidRPr="00083AD4">
              <w:rPr>
                <w:rFonts w:ascii="Times New Roman" w:eastAsia="Times New Roman" w:hAnsi="Times New Roman" w:cs="Times New Roman"/>
                <w:bCs/>
                <w:color w:val="000000" w:themeColor="text1"/>
                <w:sz w:val="20"/>
                <w:szCs w:val="20"/>
                <w:lang w:val="it-IT"/>
              </w:rPr>
              <w:t xml:space="preserve">Agjencia e Trajtimit të Pronave shton përpjekjet për të proceduar me kompensimin e pronave të shpronësuara në mënyrë të paligjshme të të gjitha palëve të prekura </w:t>
            </w:r>
            <w:r w:rsidR="00D37C55">
              <w:rPr>
                <w:rFonts w:ascii="Times New Roman" w:eastAsia="Times New Roman" w:hAnsi="Times New Roman" w:cs="Times New Roman"/>
                <w:bCs/>
                <w:color w:val="000000" w:themeColor="text1"/>
                <w:sz w:val="20"/>
                <w:szCs w:val="20"/>
                <w:lang w:val="it-IT"/>
              </w:rPr>
              <w:t>me qëllim përfundimin</w:t>
            </w:r>
            <w:r w:rsidRPr="00083AD4">
              <w:rPr>
                <w:rFonts w:ascii="Times New Roman" w:eastAsia="Times New Roman" w:hAnsi="Times New Roman" w:cs="Times New Roman"/>
                <w:bCs/>
                <w:color w:val="000000" w:themeColor="text1"/>
                <w:sz w:val="20"/>
                <w:szCs w:val="20"/>
                <w:lang w:val="it-IT"/>
              </w:rPr>
              <w:t xml:space="preserve"> deri në vitin 2030.</w:t>
            </w:r>
          </w:p>
        </w:tc>
        <w:tc>
          <w:tcPr>
            <w:tcW w:w="3949" w:type="dxa"/>
            <w:shd w:val="clear" w:color="auto" w:fill="FFFFFF" w:themeFill="background1"/>
          </w:tcPr>
          <w:p w:rsidR="002F5CBD" w:rsidRPr="00083AD4" w:rsidRDefault="002F5CBD" w:rsidP="002F5CBD">
            <w:pPr>
              <w:jc w:val="both"/>
              <w:rPr>
                <w:rFonts w:ascii="Times New Roman" w:hAnsi="Times New Roman" w:cs="Times New Roman"/>
                <w:color w:val="000000" w:themeColor="text1"/>
                <w:sz w:val="20"/>
                <w:szCs w:val="20"/>
                <w:lang w:val="it-IT"/>
              </w:rPr>
            </w:pPr>
            <w:r w:rsidRPr="00083AD4">
              <w:rPr>
                <w:rFonts w:ascii="Times New Roman" w:eastAsia="Times New Roman" w:hAnsi="Times New Roman" w:cs="Times New Roman"/>
                <w:bCs/>
                <w:color w:val="000000" w:themeColor="text1"/>
                <w:sz w:val="20"/>
                <w:szCs w:val="20"/>
                <w:lang w:val="it-IT"/>
              </w:rPr>
              <w:t>Palët e prekura nga shpronësimet e padrejta gjatë regjimit komunist kompensohen në mënyrë progresive dhe procesi përfundon deri në vitin 2030.</w:t>
            </w:r>
          </w:p>
        </w:tc>
      </w:tr>
      <w:tr w:rsidR="002F5CBD" w:rsidRPr="00083AD4" w:rsidTr="00734862">
        <w:trPr>
          <w:trHeight w:val="285"/>
        </w:trPr>
        <w:tc>
          <w:tcPr>
            <w:tcW w:w="14580" w:type="dxa"/>
            <w:gridSpan w:val="14"/>
            <w:shd w:val="clear" w:color="auto" w:fill="BDD6EE" w:themeFill="accent1" w:themeFillTint="66"/>
          </w:tcPr>
          <w:p w:rsidR="002F5CBD" w:rsidRPr="00083AD4" w:rsidRDefault="002F5CBD" w:rsidP="002F5CBD">
            <w:pPr>
              <w:rPr>
                <w:rFonts w:ascii="Times New Roman" w:eastAsia="Times New Roman" w:hAnsi="Times New Roman" w:cs="Times New Roman"/>
                <w:b/>
                <w:bCs/>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t>III.R Të drejtat e personave që u përkasin pakicave dhe të drejtat kulturore</w:t>
            </w:r>
          </w:p>
        </w:tc>
      </w:tr>
      <w:tr w:rsidR="002F5CBD" w:rsidRPr="00083AD4" w:rsidTr="00734862">
        <w:trPr>
          <w:trHeight w:val="285"/>
        </w:trPr>
        <w:tc>
          <w:tcPr>
            <w:tcW w:w="14580" w:type="dxa"/>
            <w:gridSpan w:val="14"/>
            <w:shd w:val="clear" w:color="auto" w:fill="auto"/>
          </w:tcPr>
          <w:p w:rsidR="002F5CBD" w:rsidRPr="00083AD4" w:rsidRDefault="002F5CBD" w:rsidP="00D37C55">
            <w:pPr>
              <w:rPr>
                <w:rFonts w:ascii="Times New Roman" w:eastAsia="Times New Roman" w:hAnsi="Times New Roman" w:cs="Times New Roman"/>
                <w:b/>
                <w:bCs/>
                <w:color w:val="000000" w:themeColor="text1"/>
                <w:sz w:val="20"/>
                <w:szCs w:val="20"/>
                <w:lang w:val="it-IT"/>
              </w:rPr>
            </w:pPr>
            <w:r w:rsidRPr="00083AD4">
              <w:rPr>
                <w:rFonts w:ascii="Times New Roman" w:eastAsia="Times New Roman" w:hAnsi="Times New Roman" w:cs="Times New Roman"/>
                <w:b/>
                <w:color w:val="000000" w:themeColor="text1"/>
                <w:sz w:val="20"/>
                <w:szCs w:val="20"/>
                <w:lang w:val="it-IT"/>
              </w:rPr>
              <w:t xml:space="preserve">Shqipëria siguron që Komiteti Shtetëror për Pakicat Kombëtare </w:t>
            </w:r>
            <w:r w:rsidR="00D37C55">
              <w:rPr>
                <w:rFonts w:ascii="Times New Roman" w:eastAsia="Times New Roman" w:hAnsi="Times New Roman" w:cs="Times New Roman"/>
                <w:b/>
                <w:color w:val="000000" w:themeColor="text1"/>
                <w:sz w:val="20"/>
                <w:szCs w:val="20"/>
                <w:lang w:val="it-IT"/>
              </w:rPr>
              <w:t>është</w:t>
            </w:r>
            <w:r w:rsidRPr="00083AD4">
              <w:rPr>
                <w:rFonts w:ascii="Times New Roman" w:eastAsia="Times New Roman" w:hAnsi="Times New Roman" w:cs="Times New Roman"/>
                <w:b/>
                <w:color w:val="000000" w:themeColor="text1"/>
                <w:sz w:val="20"/>
                <w:szCs w:val="20"/>
                <w:lang w:val="it-IT"/>
              </w:rPr>
              <w:t xml:space="preserve"> plotësisht funksional dhe </w:t>
            </w:r>
            <w:r w:rsidR="00D37C55">
              <w:rPr>
                <w:rFonts w:ascii="Times New Roman" w:eastAsia="Times New Roman" w:hAnsi="Times New Roman" w:cs="Times New Roman"/>
                <w:b/>
                <w:color w:val="000000" w:themeColor="text1"/>
                <w:sz w:val="20"/>
                <w:szCs w:val="20"/>
                <w:lang w:val="it-IT"/>
              </w:rPr>
              <w:t>i mirëbuxhetuar</w:t>
            </w:r>
            <w:r w:rsidRPr="00083AD4">
              <w:rPr>
                <w:rFonts w:ascii="Times New Roman" w:eastAsia="Times New Roman" w:hAnsi="Times New Roman" w:cs="Times New Roman"/>
                <w:b/>
                <w:color w:val="000000" w:themeColor="text1"/>
                <w:sz w:val="20"/>
                <w:szCs w:val="20"/>
                <w:lang w:val="it-IT"/>
              </w:rPr>
              <w:t>.</w:t>
            </w:r>
          </w:p>
        </w:tc>
      </w:tr>
      <w:tr w:rsidR="002F5CBD" w:rsidRPr="00083AD4" w:rsidTr="00D56E68">
        <w:trPr>
          <w:trHeight w:val="285"/>
        </w:trPr>
        <w:tc>
          <w:tcPr>
            <w:tcW w:w="2973" w:type="dxa"/>
            <w:shd w:val="clear" w:color="auto" w:fill="FFFFFF" w:themeFill="background1"/>
          </w:tcPr>
          <w:p w:rsidR="002F5CBD" w:rsidRPr="00083AD4" w:rsidRDefault="002F5CBD" w:rsidP="002F5CBD">
            <w:pPr>
              <w:rPr>
                <w:rFonts w:ascii="Times New Roman" w:hAnsi="Times New Roman" w:cs="Times New Roman"/>
                <w:sz w:val="20"/>
                <w:szCs w:val="20"/>
                <w:lang w:val="it-IT"/>
              </w:rPr>
            </w:pPr>
          </w:p>
        </w:tc>
        <w:tc>
          <w:tcPr>
            <w:tcW w:w="3829" w:type="dxa"/>
            <w:gridSpan w:val="7"/>
            <w:shd w:val="clear" w:color="auto" w:fill="FFFFFF" w:themeFill="background1"/>
          </w:tcPr>
          <w:p w:rsidR="002F5CBD" w:rsidRPr="00083AD4" w:rsidRDefault="002F5CBD" w:rsidP="002F5CBD">
            <w:pPr>
              <w:spacing w:after="160" w:line="259" w:lineRule="auto"/>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 xml:space="preserve">Miratimi i akteve nënligjore bazuar në Ligjin për Mbrojtjen e Pakicave Kombëtare deri në vitin 2024, duke siguruar zbatimin dhe respektimin e të drejtave të parashikuara në ligj, në përputhje me acquis të BE-së dhe </w:t>
            </w:r>
            <w:r w:rsidRPr="00083AD4">
              <w:rPr>
                <w:rFonts w:ascii="Times New Roman" w:eastAsia="Times New Roman" w:hAnsi="Times New Roman" w:cs="Times New Roman"/>
                <w:color w:val="000000" w:themeColor="text1"/>
                <w:sz w:val="20"/>
                <w:szCs w:val="20"/>
                <w:lang w:val="it-IT"/>
              </w:rPr>
              <w:lastRenderedPageBreak/>
              <w:t>standardet ndërkombëtare për të drejtat e pakicave.</w:t>
            </w:r>
          </w:p>
          <w:p w:rsidR="002F5CBD" w:rsidRPr="00083AD4" w:rsidRDefault="002F5CBD" w:rsidP="002F5CBD">
            <w:pPr>
              <w:jc w:val="both"/>
              <w:rPr>
                <w:rFonts w:ascii="Times New Roman" w:eastAsia="Times New Roman" w:hAnsi="Times New Roman" w:cs="Times New Roman"/>
                <w:color w:val="000000" w:themeColor="text1"/>
                <w:sz w:val="20"/>
                <w:szCs w:val="20"/>
                <w:lang w:val="it-IT" w:eastAsia="en-GB"/>
              </w:rPr>
            </w:pPr>
          </w:p>
        </w:tc>
        <w:tc>
          <w:tcPr>
            <w:tcW w:w="3829" w:type="dxa"/>
            <w:gridSpan w:val="5"/>
            <w:shd w:val="clear" w:color="auto" w:fill="FFFFFF" w:themeFill="background1"/>
          </w:tcPr>
          <w:p w:rsidR="002F5CBD" w:rsidRPr="00083AD4" w:rsidRDefault="002F5CBD" w:rsidP="002F5CBD">
            <w:pPr>
              <w:jc w:val="both"/>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lastRenderedPageBreak/>
              <w:t xml:space="preserve">Komitetit Shtetëror </w:t>
            </w:r>
            <w:r w:rsidR="005B1484">
              <w:rPr>
                <w:rFonts w:ascii="Times New Roman" w:hAnsi="Times New Roman" w:cs="Times New Roman"/>
                <w:color w:val="000000" w:themeColor="text1"/>
                <w:sz w:val="20"/>
                <w:szCs w:val="20"/>
                <w:lang w:val="it-IT"/>
              </w:rPr>
              <w:t>të</w:t>
            </w:r>
            <w:r w:rsidRPr="00083AD4">
              <w:rPr>
                <w:rFonts w:ascii="Times New Roman" w:hAnsi="Times New Roman" w:cs="Times New Roman"/>
                <w:color w:val="000000" w:themeColor="text1"/>
                <w:sz w:val="20"/>
                <w:szCs w:val="20"/>
                <w:lang w:val="it-IT"/>
              </w:rPr>
              <w:t xml:space="preserve"> Pakicave Kombëtare</w:t>
            </w:r>
            <w:r w:rsidR="005B1484">
              <w:rPr>
                <w:rFonts w:ascii="Times New Roman" w:hAnsi="Times New Roman" w:cs="Times New Roman"/>
                <w:color w:val="000000" w:themeColor="text1"/>
                <w:sz w:val="20"/>
                <w:szCs w:val="20"/>
                <w:lang w:val="it-IT"/>
              </w:rPr>
              <w:t xml:space="preserve"> </w:t>
            </w:r>
            <w:r w:rsidRPr="00083AD4">
              <w:rPr>
                <w:rFonts w:ascii="Times New Roman" w:hAnsi="Times New Roman" w:cs="Times New Roman"/>
                <w:color w:val="000000" w:themeColor="text1"/>
                <w:sz w:val="20"/>
                <w:szCs w:val="20"/>
                <w:lang w:val="it-IT"/>
              </w:rPr>
              <w:t xml:space="preserve"> i </w:t>
            </w:r>
            <w:r w:rsidR="005B1484">
              <w:rPr>
                <w:rFonts w:ascii="Times New Roman" w:hAnsi="Times New Roman" w:cs="Times New Roman"/>
                <w:color w:val="000000" w:themeColor="text1"/>
                <w:sz w:val="20"/>
                <w:szCs w:val="20"/>
                <w:lang w:val="it-IT"/>
              </w:rPr>
              <w:t>garantohen</w:t>
            </w:r>
            <w:r w:rsidRPr="00083AD4">
              <w:rPr>
                <w:rFonts w:ascii="Times New Roman" w:hAnsi="Times New Roman" w:cs="Times New Roman"/>
                <w:color w:val="000000" w:themeColor="text1"/>
                <w:sz w:val="20"/>
                <w:szCs w:val="20"/>
                <w:lang w:val="it-IT"/>
              </w:rPr>
              <w:t xml:space="preserve"> burime të përshtatshme bazuar në parashikimet vjetore që nga v</w:t>
            </w:r>
            <w:r w:rsidR="005B1484">
              <w:rPr>
                <w:rFonts w:ascii="Times New Roman" w:hAnsi="Times New Roman" w:cs="Times New Roman"/>
                <w:color w:val="000000" w:themeColor="text1"/>
                <w:sz w:val="20"/>
                <w:szCs w:val="20"/>
                <w:lang w:val="it-IT"/>
              </w:rPr>
              <w:t>iti 2025 e në vazhdim dhe nxiten</w:t>
            </w:r>
            <w:r w:rsidRPr="00083AD4">
              <w:rPr>
                <w:rFonts w:ascii="Times New Roman" w:hAnsi="Times New Roman" w:cs="Times New Roman"/>
                <w:color w:val="000000" w:themeColor="text1"/>
                <w:sz w:val="20"/>
                <w:szCs w:val="20"/>
                <w:lang w:val="it-IT"/>
              </w:rPr>
              <w:t xml:space="preserve"> bashkëpunimet me partnerët ndërkombëtarë për të kryer aktivitete për ndërgjegjësimin për të drejtat e </w:t>
            </w:r>
            <w:r w:rsidRPr="00083AD4">
              <w:rPr>
                <w:rFonts w:ascii="Times New Roman" w:hAnsi="Times New Roman" w:cs="Times New Roman"/>
                <w:color w:val="000000" w:themeColor="text1"/>
                <w:sz w:val="20"/>
                <w:szCs w:val="20"/>
                <w:lang w:val="it-IT"/>
              </w:rPr>
              <w:lastRenderedPageBreak/>
              <w:t>njerëzve që u përkasin pakicave kombëtare.</w:t>
            </w:r>
          </w:p>
          <w:p w:rsidR="002F5CBD" w:rsidRPr="00083AD4" w:rsidRDefault="002F5CBD" w:rsidP="002F5CBD">
            <w:pPr>
              <w:jc w:val="both"/>
              <w:rPr>
                <w:rFonts w:ascii="Times New Roman" w:hAnsi="Times New Roman" w:cs="Times New Roman"/>
                <w:color w:val="000000" w:themeColor="text1"/>
                <w:sz w:val="20"/>
                <w:szCs w:val="20"/>
                <w:lang w:val="it-IT"/>
              </w:rPr>
            </w:pPr>
          </w:p>
          <w:p w:rsidR="002F5CBD" w:rsidRPr="00083AD4" w:rsidRDefault="002F5CBD" w:rsidP="002F5CBD">
            <w:pPr>
              <w:jc w:val="both"/>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Fondi i pakicave kombëtare ka për qëllim sigurimin e promovimit të identitetit kombëtar, gjuhësor dhe kulturor të pakicave kombëtare bazuar në parashikimet vjetore, që nga viti 2025 e në vazhdim.</w:t>
            </w:r>
          </w:p>
          <w:p w:rsidR="002F5CBD" w:rsidRPr="00083AD4" w:rsidRDefault="002F5CBD" w:rsidP="002F5CBD">
            <w:pPr>
              <w:jc w:val="both"/>
              <w:rPr>
                <w:rFonts w:ascii="Times New Roman" w:hAnsi="Times New Roman" w:cs="Times New Roman"/>
                <w:color w:val="000000" w:themeColor="text1"/>
                <w:sz w:val="20"/>
                <w:szCs w:val="20"/>
                <w:lang w:val="it-IT"/>
              </w:rPr>
            </w:pPr>
          </w:p>
          <w:p w:rsidR="002F5CBD" w:rsidRPr="00083AD4" w:rsidRDefault="002F5CBD" w:rsidP="002F5CBD">
            <w:pPr>
              <w:jc w:val="both"/>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Sig</w:t>
            </w:r>
            <w:r w:rsidR="005B1484">
              <w:rPr>
                <w:rFonts w:ascii="Times New Roman" w:hAnsi="Times New Roman" w:cs="Times New Roman"/>
                <w:color w:val="000000" w:themeColor="text1"/>
                <w:sz w:val="20"/>
                <w:szCs w:val="20"/>
                <w:lang w:val="it-IT"/>
              </w:rPr>
              <w:t>urimi i personelit dhe trajnimi adekuat i</w:t>
            </w:r>
            <w:r w:rsidRPr="00083AD4">
              <w:rPr>
                <w:rFonts w:ascii="Times New Roman" w:hAnsi="Times New Roman" w:cs="Times New Roman"/>
                <w:color w:val="000000" w:themeColor="text1"/>
                <w:sz w:val="20"/>
                <w:szCs w:val="20"/>
                <w:lang w:val="it-IT"/>
              </w:rPr>
              <w:t xml:space="preserve"> autoriteteve vendore për të siguruar zbatimin e ligjit për mbrojtjen e pakicave kombëtare dhe akteve nënligjore përkatëse në lidhje me zbatimin e të drejtave të pakicave bazuar në projeksionet vjetore nga viti 2025 e në vazhdim, duke përfshirë, ndër të tjera, </w:t>
            </w:r>
            <w:r w:rsidR="005B1484">
              <w:rPr>
                <w:rFonts w:ascii="Times New Roman" w:hAnsi="Times New Roman" w:cs="Times New Roman"/>
                <w:color w:val="000000" w:themeColor="text1"/>
                <w:sz w:val="20"/>
                <w:szCs w:val="20"/>
                <w:lang w:val="it-IT"/>
              </w:rPr>
              <w:t>rritje kapacitetesh</w:t>
            </w:r>
            <w:r w:rsidRPr="00083AD4">
              <w:rPr>
                <w:rFonts w:ascii="Times New Roman" w:hAnsi="Times New Roman" w:cs="Times New Roman"/>
                <w:color w:val="000000" w:themeColor="text1"/>
                <w:sz w:val="20"/>
                <w:szCs w:val="20"/>
                <w:lang w:val="it-IT"/>
              </w:rPr>
              <w:t xml:space="preserve"> për mbledhjen e të dhënave.</w:t>
            </w:r>
          </w:p>
          <w:p w:rsidR="002F5CBD" w:rsidRPr="00083AD4" w:rsidRDefault="002F5CBD" w:rsidP="002F5CBD">
            <w:pPr>
              <w:jc w:val="both"/>
              <w:rPr>
                <w:rFonts w:ascii="Times New Roman" w:hAnsi="Times New Roman" w:cs="Times New Roman"/>
                <w:color w:val="000000" w:themeColor="text1"/>
                <w:sz w:val="20"/>
                <w:szCs w:val="20"/>
                <w:lang w:val="it-IT"/>
              </w:rPr>
            </w:pPr>
          </w:p>
          <w:p w:rsidR="002F5CBD" w:rsidRPr="00083AD4" w:rsidRDefault="002F5CBD" w:rsidP="002F5CBD">
            <w:pPr>
              <w:jc w:val="both"/>
              <w:rPr>
                <w:rFonts w:ascii="Times New Roman" w:hAnsi="Times New Roman" w:cs="Times New Roman"/>
                <w:color w:val="000000" w:themeColor="text1"/>
                <w:sz w:val="20"/>
                <w:szCs w:val="20"/>
                <w:lang w:val="it-IT"/>
              </w:rPr>
            </w:pPr>
            <w:r w:rsidRPr="00083AD4">
              <w:rPr>
                <w:rFonts w:ascii="Times New Roman" w:hAnsi="Times New Roman" w:cs="Times New Roman"/>
                <w:color w:val="000000" w:themeColor="text1"/>
                <w:sz w:val="20"/>
                <w:szCs w:val="20"/>
                <w:lang w:val="it-IT"/>
              </w:rPr>
              <w:t xml:space="preserve">INSTAT vazhdon të kryejë </w:t>
            </w:r>
            <w:r w:rsidR="00633080">
              <w:rPr>
                <w:rFonts w:ascii="Times New Roman" w:hAnsi="Times New Roman" w:cs="Times New Roman"/>
                <w:color w:val="000000" w:themeColor="text1"/>
                <w:sz w:val="20"/>
                <w:szCs w:val="20"/>
                <w:lang w:val="it-IT"/>
              </w:rPr>
              <w:t xml:space="preserve">rregjistrimin e popullsisë </w:t>
            </w:r>
            <w:r w:rsidRPr="00083AD4">
              <w:rPr>
                <w:rFonts w:ascii="Times New Roman" w:hAnsi="Times New Roman" w:cs="Times New Roman"/>
                <w:color w:val="000000" w:themeColor="text1"/>
                <w:sz w:val="20"/>
                <w:szCs w:val="20"/>
                <w:lang w:val="it-IT"/>
              </w:rPr>
              <w:t xml:space="preserve"> dhe e përfundon atë deri në vitin 2024.</w:t>
            </w:r>
          </w:p>
          <w:p w:rsidR="002F5CBD" w:rsidRPr="00083AD4" w:rsidRDefault="002F5CBD" w:rsidP="002F5CBD">
            <w:pPr>
              <w:jc w:val="both"/>
              <w:rPr>
                <w:rFonts w:ascii="Times New Roman" w:hAnsi="Times New Roman" w:cs="Times New Roman"/>
                <w:color w:val="000000" w:themeColor="text1"/>
                <w:sz w:val="20"/>
                <w:szCs w:val="20"/>
                <w:lang w:val="it-IT"/>
              </w:rPr>
            </w:pPr>
          </w:p>
        </w:tc>
        <w:tc>
          <w:tcPr>
            <w:tcW w:w="3949" w:type="dxa"/>
            <w:shd w:val="clear" w:color="auto" w:fill="FFFFFF" w:themeFill="background1"/>
          </w:tcPr>
          <w:p w:rsidR="002F5CBD" w:rsidRPr="00083AD4" w:rsidRDefault="002F5CBD" w:rsidP="002F5CBD">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lastRenderedPageBreak/>
              <w:t xml:space="preserve">Respektimi dhe </w:t>
            </w:r>
            <w:r w:rsidR="005B1484">
              <w:rPr>
                <w:rFonts w:ascii="Times New Roman" w:eastAsia="Times New Roman" w:hAnsi="Times New Roman" w:cs="Times New Roman"/>
                <w:color w:val="000000" w:themeColor="text1"/>
                <w:sz w:val="20"/>
                <w:szCs w:val="20"/>
                <w:lang w:val="it-IT"/>
              </w:rPr>
              <w:t>garantimi i</w:t>
            </w:r>
            <w:r w:rsidRPr="00083AD4">
              <w:rPr>
                <w:rFonts w:ascii="Times New Roman" w:eastAsia="Times New Roman" w:hAnsi="Times New Roman" w:cs="Times New Roman"/>
                <w:color w:val="000000" w:themeColor="text1"/>
                <w:sz w:val="20"/>
                <w:szCs w:val="20"/>
                <w:lang w:val="it-IT"/>
              </w:rPr>
              <w:t xml:space="preserve"> të drejtave të personave q</w:t>
            </w:r>
            <w:r w:rsidR="005B1484">
              <w:rPr>
                <w:rFonts w:ascii="Times New Roman" w:eastAsia="Times New Roman" w:hAnsi="Times New Roman" w:cs="Times New Roman"/>
                <w:color w:val="000000" w:themeColor="text1"/>
                <w:sz w:val="20"/>
                <w:szCs w:val="20"/>
                <w:lang w:val="it-IT"/>
              </w:rPr>
              <w:t>ë u përkasin pakicave promovohet</w:t>
            </w:r>
            <w:r w:rsidRPr="00083AD4">
              <w:rPr>
                <w:rFonts w:ascii="Times New Roman" w:eastAsia="Times New Roman" w:hAnsi="Times New Roman" w:cs="Times New Roman"/>
                <w:color w:val="000000" w:themeColor="text1"/>
                <w:sz w:val="20"/>
                <w:szCs w:val="20"/>
                <w:lang w:val="it-IT"/>
              </w:rPr>
              <w:t xml:space="preserve"> vazhdimisht në praktikë në përputhje me standardet ndërkombëtare dhe ato të parashikuara në Ligjin për Mbrojtjen e Pakicave Kombëtare deri në vitin 2030.</w:t>
            </w:r>
          </w:p>
          <w:p w:rsidR="002F5CBD" w:rsidRPr="00083AD4" w:rsidRDefault="002F5CBD" w:rsidP="002F5CBD">
            <w:pPr>
              <w:jc w:val="both"/>
              <w:rPr>
                <w:rFonts w:ascii="Times New Roman" w:eastAsia="Times New Roman" w:hAnsi="Times New Roman" w:cs="Times New Roman"/>
                <w:color w:val="000000" w:themeColor="text1"/>
                <w:sz w:val="20"/>
                <w:szCs w:val="20"/>
                <w:lang w:val="it-IT"/>
              </w:rPr>
            </w:pPr>
          </w:p>
          <w:p w:rsidR="002F5CBD" w:rsidRPr="00083AD4" w:rsidRDefault="002F5CBD" w:rsidP="002F5CBD">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Mbledhja e të</w:t>
            </w:r>
            <w:r w:rsidR="005B1484">
              <w:rPr>
                <w:rFonts w:ascii="Times New Roman" w:eastAsia="Times New Roman" w:hAnsi="Times New Roman" w:cs="Times New Roman"/>
                <w:color w:val="000000" w:themeColor="text1"/>
                <w:sz w:val="20"/>
                <w:szCs w:val="20"/>
                <w:lang w:val="it-IT"/>
              </w:rPr>
              <w:t xml:space="preserve"> dhënave për pakicat kombëtare  përmirësohet</w:t>
            </w:r>
            <w:r w:rsidRPr="00083AD4">
              <w:rPr>
                <w:rFonts w:ascii="Times New Roman" w:eastAsia="Times New Roman" w:hAnsi="Times New Roman" w:cs="Times New Roman"/>
                <w:color w:val="000000" w:themeColor="text1"/>
                <w:sz w:val="20"/>
                <w:szCs w:val="20"/>
                <w:lang w:val="it-IT"/>
              </w:rPr>
              <w:t xml:space="preserve"> pas regjistrimit </w:t>
            </w:r>
            <w:r w:rsidR="005B1484">
              <w:rPr>
                <w:rFonts w:ascii="Times New Roman" w:eastAsia="Times New Roman" w:hAnsi="Times New Roman" w:cs="Times New Roman"/>
                <w:color w:val="000000" w:themeColor="text1"/>
                <w:sz w:val="20"/>
                <w:szCs w:val="20"/>
                <w:lang w:val="it-IT"/>
              </w:rPr>
              <w:t>të popullsisë (censusit) si dhe sigurohet rritja e kapaciteteve</w:t>
            </w:r>
            <w:r w:rsidRPr="00083AD4">
              <w:rPr>
                <w:rFonts w:ascii="Times New Roman" w:eastAsia="Times New Roman" w:hAnsi="Times New Roman" w:cs="Times New Roman"/>
                <w:color w:val="000000" w:themeColor="text1"/>
                <w:sz w:val="20"/>
                <w:szCs w:val="20"/>
                <w:lang w:val="it-IT"/>
              </w:rPr>
              <w:t xml:space="preserve">, me fokus të veçantë </w:t>
            </w:r>
            <w:r w:rsidR="005B1484">
              <w:rPr>
                <w:rFonts w:ascii="Times New Roman" w:eastAsia="Times New Roman" w:hAnsi="Times New Roman" w:cs="Times New Roman"/>
                <w:color w:val="000000" w:themeColor="text1"/>
                <w:sz w:val="20"/>
                <w:szCs w:val="20"/>
                <w:lang w:val="it-IT"/>
              </w:rPr>
              <w:t>autoritetet e</w:t>
            </w:r>
            <w:r w:rsidRPr="00083AD4">
              <w:rPr>
                <w:rFonts w:ascii="Times New Roman" w:eastAsia="Times New Roman" w:hAnsi="Times New Roman" w:cs="Times New Roman"/>
                <w:color w:val="000000" w:themeColor="text1"/>
                <w:sz w:val="20"/>
                <w:szCs w:val="20"/>
                <w:lang w:val="it-IT"/>
              </w:rPr>
              <w:t xml:space="preserve"> qeverisjes vendore.</w:t>
            </w:r>
          </w:p>
          <w:p w:rsidR="002F5CBD" w:rsidRPr="00083AD4" w:rsidRDefault="002F5CBD" w:rsidP="002F5CBD">
            <w:pPr>
              <w:jc w:val="both"/>
              <w:rPr>
                <w:rFonts w:ascii="Times New Roman" w:eastAsia="Times New Roman" w:hAnsi="Times New Roman" w:cs="Times New Roman"/>
                <w:color w:val="000000" w:themeColor="text1"/>
                <w:sz w:val="20"/>
                <w:szCs w:val="20"/>
                <w:lang w:val="it-IT"/>
              </w:rPr>
            </w:pPr>
          </w:p>
          <w:p w:rsidR="002F5CBD" w:rsidRPr="00083AD4" w:rsidRDefault="002F5CBD" w:rsidP="002F5CBD">
            <w:pPr>
              <w:jc w:val="both"/>
              <w:rPr>
                <w:rFonts w:ascii="Times New Roman" w:eastAsia="Times New Roman" w:hAnsi="Times New Roman" w:cs="Times New Roman"/>
                <w:color w:val="000000" w:themeColor="text1"/>
                <w:sz w:val="20"/>
                <w:szCs w:val="20"/>
                <w:lang w:val="it-IT"/>
              </w:rPr>
            </w:pPr>
          </w:p>
        </w:tc>
      </w:tr>
      <w:tr w:rsidR="002F5CBD" w:rsidRPr="00083AD4" w:rsidTr="00FB2DFB">
        <w:trPr>
          <w:trHeight w:val="285"/>
        </w:trPr>
        <w:tc>
          <w:tcPr>
            <w:tcW w:w="14580" w:type="dxa"/>
            <w:gridSpan w:val="14"/>
            <w:shd w:val="clear" w:color="auto" w:fill="BDD6EE" w:themeFill="accent1" w:themeFillTint="66"/>
          </w:tcPr>
          <w:p w:rsidR="002F5CBD" w:rsidRPr="00083AD4" w:rsidRDefault="002F5CBD" w:rsidP="004D43FD">
            <w:pPr>
              <w:spacing w:line="257" w:lineRule="auto"/>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lastRenderedPageBreak/>
              <w:t xml:space="preserve">Forcimi i pjesëmarrjes në </w:t>
            </w:r>
            <w:r w:rsidR="004D43FD">
              <w:rPr>
                <w:rFonts w:ascii="Times New Roman" w:eastAsia="Times New Roman" w:hAnsi="Times New Roman" w:cs="Times New Roman"/>
                <w:b/>
                <w:bCs/>
                <w:color w:val="000000" w:themeColor="text1"/>
                <w:sz w:val="20"/>
                <w:szCs w:val="20"/>
                <w:lang w:val="it-IT"/>
              </w:rPr>
              <w:t xml:space="preserve">politikëbërje </w:t>
            </w:r>
            <w:r w:rsidRPr="00083AD4">
              <w:rPr>
                <w:rFonts w:ascii="Times New Roman" w:eastAsia="Times New Roman" w:hAnsi="Times New Roman" w:cs="Times New Roman"/>
                <w:b/>
                <w:bCs/>
                <w:color w:val="000000" w:themeColor="text1"/>
                <w:sz w:val="20"/>
                <w:szCs w:val="20"/>
                <w:lang w:val="it-IT"/>
              </w:rPr>
              <w:t xml:space="preserve"> dhe fuqizimi i Pikës Kombëtare të Kontaktit të Romëve</w:t>
            </w:r>
          </w:p>
        </w:tc>
      </w:tr>
      <w:tr w:rsidR="002F5CBD" w:rsidRPr="00083AD4" w:rsidTr="00D56E68">
        <w:trPr>
          <w:trHeight w:val="285"/>
        </w:trPr>
        <w:tc>
          <w:tcPr>
            <w:tcW w:w="2973" w:type="dxa"/>
            <w:shd w:val="clear" w:color="auto" w:fill="FFFFFF" w:themeFill="background1"/>
          </w:tcPr>
          <w:p w:rsidR="002F5CBD" w:rsidRPr="00083AD4" w:rsidRDefault="002F5CBD" w:rsidP="002F5CBD">
            <w:pPr>
              <w:spacing w:line="257" w:lineRule="auto"/>
              <w:jc w:val="both"/>
              <w:rPr>
                <w:rFonts w:ascii="Times New Roman" w:hAnsi="Times New Roman" w:cs="Times New Roman"/>
                <w:sz w:val="20"/>
                <w:szCs w:val="20"/>
                <w:lang w:val="it-IT"/>
              </w:rPr>
            </w:pPr>
          </w:p>
        </w:tc>
        <w:tc>
          <w:tcPr>
            <w:tcW w:w="3829" w:type="dxa"/>
            <w:gridSpan w:val="7"/>
            <w:shd w:val="clear" w:color="auto" w:fill="FFFFFF" w:themeFill="background1"/>
          </w:tcPr>
          <w:p w:rsidR="002F5CBD" w:rsidRPr="00083AD4" w:rsidRDefault="002F5CBD" w:rsidP="002F5CBD">
            <w:pPr>
              <w:jc w:val="both"/>
              <w:rPr>
                <w:rFonts w:ascii="Times New Roman" w:eastAsia="Times New Roman" w:hAnsi="Times New Roman" w:cs="Times New Roman"/>
                <w:bCs/>
                <w:color w:val="000000" w:themeColor="text1"/>
                <w:sz w:val="20"/>
                <w:szCs w:val="20"/>
                <w:lang w:val="it-IT"/>
              </w:rPr>
            </w:pPr>
            <w:r w:rsidRPr="00083AD4">
              <w:rPr>
                <w:rFonts w:ascii="Times New Roman" w:eastAsia="Times New Roman" w:hAnsi="Times New Roman" w:cs="Times New Roman"/>
                <w:bCs/>
                <w:color w:val="000000" w:themeColor="text1"/>
                <w:sz w:val="20"/>
                <w:szCs w:val="20"/>
                <w:lang w:val="it-IT"/>
              </w:rPr>
              <w:t>Ministria e Shëndetësisë dhe Mbrojtjes Sociale ngre një platformë komunikimi për koordinimin e politikave në nivel qendror dhe lokal, duke përfshirë shoqërinë civile deri në vitin 2024, duke siguruar pjesëmarrjen e romëve në politikat përkatëse kombëtare.</w:t>
            </w:r>
          </w:p>
          <w:p w:rsidR="002F5CBD" w:rsidRPr="00083AD4" w:rsidRDefault="002F5CBD" w:rsidP="002F5CBD">
            <w:pPr>
              <w:jc w:val="both"/>
              <w:rPr>
                <w:rFonts w:ascii="Times New Roman" w:eastAsia="Times New Roman" w:hAnsi="Times New Roman" w:cs="Times New Roman"/>
                <w:color w:val="000000" w:themeColor="text1"/>
                <w:sz w:val="20"/>
                <w:szCs w:val="20"/>
                <w:lang w:val="it-IT" w:eastAsia="en-GB"/>
              </w:rPr>
            </w:pPr>
          </w:p>
        </w:tc>
        <w:tc>
          <w:tcPr>
            <w:tcW w:w="3829" w:type="dxa"/>
            <w:gridSpan w:val="5"/>
            <w:shd w:val="clear" w:color="auto" w:fill="FFFFFF" w:themeFill="background1"/>
          </w:tcPr>
          <w:p w:rsidR="002F5CBD" w:rsidRPr="00083AD4" w:rsidRDefault="002F5CBD" w:rsidP="002F5CBD">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bCs/>
                <w:color w:val="000000" w:themeColor="text1"/>
                <w:sz w:val="20"/>
                <w:szCs w:val="20"/>
                <w:lang w:val="it-IT"/>
              </w:rPr>
              <w:t>Shpërndarja e burimeve trajtohet në mënyrë të vazhdueshme për të siguruar zbatimin efektiv të masave të politikave për rritjen e pjesëmarrjes së romëve në shoqëri, duke përfshirë rritjen e</w:t>
            </w:r>
            <w:r w:rsidR="00657854" w:rsidRPr="00083AD4">
              <w:rPr>
                <w:rFonts w:ascii="Times New Roman" w:eastAsia="Times New Roman" w:hAnsi="Times New Roman" w:cs="Times New Roman"/>
                <w:bCs/>
                <w:color w:val="000000" w:themeColor="text1"/>
                <w:sz w:val="20"/>
                <w:szCs w:val="20"/>
                <w:lang w:val="it-IT"/>
              </w:rPr>
              <w:t xml:space="preserve"> </w:t>
            </w:r>
            <w:r w:rsidR="00657854" w:rsidRPr="00083AD4">
              <w:rPr>
                <w:rFonts w:ascii="Times New Roman" w:eastAsia="Times New Roman" w:hAnsi="Times New Roman" w:cs="Times New Roman"/>
                <w:color w:val="000000" w:themeColor="text1"/>
                <w:sz w:val="20"/>
                <w:szCs w:val="20"/>
                <w:lang w:val="it-IT"/>
              </w:rPr>
              <w:t>burimeve</w:t>
            </w:r>
            <w:r w:rsidRPr="00083AD4">
              <w:rPr>
                <w:rFonts w:ascii="Times New Roman" w:eastAsia="Times New Roman" w:hAnsi="Times New Roman" w:cs="Times New Roman"/>
                <w:color w:val="000000" w:themeColor="text1"/>
                <w:sz w:val="20"/>
                <w:szCs w:val="20"/>
                <w:lang w:val="it-IT"/>
              </w:rPr>
              <w:t xml:space="preserve"> njerëzore në Ministrinë e Shëndetësisë dhe Mbrojtjes Sociale për koordinimin e politikave që lidhen me minoritetet rome.</w:t>
            </w:r>
          </w:p>
          <w:p w:rsidR="002F5CBD" w:rsidRPr="00083AD4" w:rsidRDefault="002F5CBD" w:rsidP="002F5CBD">
            <w:pPr>
              <w:jc w:val="both"/>
              <w:rPr>
                <w:rFonts w:ascii="Times New Roman" w:eastAsia="Times New Roman" w:hAnsi="Times New Roman" w:cs="Times New Roman"/>
                <w:color w:val="000000" w:themeColor="text1"/>
                <w:sz w:val="20"/>
                <w:szCs w:val="20"/>
                <w:lang w:val="it-IT"/>
              </w:rPr>
            </w:pPr>
          </w:p>
          <w:p w:rsidR="002F5CBD" w:rsidRPr="00083AD4" w:rsidRDefault="002F5CBD" w:rsidP="002F5CBD">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Forcimi i mëtejshëm i rolit koordinues të pikës kombëtare të kontaktit dhe mbështetja me përfaqësues nga komuniteti rom dhe egjiptian, sigurohet nga viti 2024 e në vazhdim.</w:t>
            </w:r>
          </w:p>
        </w:tc>
        <w:tc>
          <w:tcPr>
            <w:tcW w:w="3949" w:type="dxa"/>
            <w:shd w:val="clear" w:color="auto" w:fill="FFFFFF" w:themeFill="background1"/>
          </w:tcPr>
          <w:p w:rsidR="002F5CBD" w:rsidRPr="00083AD4" w:rsidRDefault="002F5CBD" w:rsidP="002F5CBD">
            <w:pPr>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Rritja progresive e pjesëmarrjes së romëve në shoqëri trajtohet gjithnjë e më shumë përmes politikave dhe masave të koordinuara, me synimin për të forcuar kapacitetet ekzistuese.</w:t>
            </w:r>
          </w:p>
          <w:p w:rsidR="002F5CBD" w:rsidRPr="00083AD4" w:rsidRDefault="002F5CBD" w:rsidP="002F5CBD">
            <w:pPr>
              <w:rPr>
                <w:rFonts w:ascii="Times New Roman" w:eastAsia="Times New Roman" w:hAnsi="Times New Roman" w:cs="Times New Roman"/>
                <w:color w:val="000000" w:themeColor="text1"/>
                <w:sz w:val="20"/>
                <w:szCs w:val="20"/>
                <w:lang w:val="it-IT"/>
              </w:rPr>
            </w:pPr>
          </w:p>
        </w:tc>
      </w:tr>
      <w:tr w:rsidR="002F5CBD" w:rsidRPr="00083AD4" w:rsidTr="00734862">
        <w:trPr>
          <w:trHeight w:val="285"/>
        </w:trPr>
        <w:tc>
          <w:tcPr>
            <w:tcW w:w="14580" w:type="dxa"/>
            <w:gridSpan w:val="14"/>
            <w:shd w:val="clear" w:color="auto" w:fill="FFFFFF" w:themeFill="background1"/>
          </w:tcPr>
          <w:p w:rsidR="002F5CBD" w:rsidRPr="00083AD4" w:rsidRDefault="002F5CBD" w:rsidP="004D43FD">
            <w:pPr>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b/>
                <w:bCs/>
                <w:color w:val="000000" w:themeColor="text1"/>
                <w:sz w:val="20"/>
                <w:szCs w:val="20"/>
                <w:lang w:val="it-IT"/>
              </w:rPr>
              <w:t xml:space="preserve">Zbatimi i angazhimit të Poznanit në fushën e arsimit </w:t>
            </w:r>
          </w:p>
        </w:tc>
      </w:tr>
      <w:tr w:rsidR="002F5CBD" w:rsidRPr="00C743C4" w:rsidTr="00FB2DFB">
        <w:trPr>
          <w:trHeight w:val="800"/>
        </w:trPr>
        <w:tc>
          <w:tcPr>
            <w:tcW w:w="2973" w:type="dxa"/>
            <w:shd w:val="clear" w:color="auto" w:fill="FFFFFF" w:themeFill="background1"/>
          </w:tcPr>
          <w:p w:rsidR="002F5CBD" w:rsidRPr="00083AD4" w:rsidRDefault="002F5CBD" w:rsidP="002F5CBD">
            <w:pPr>
              <w:rPr>
                <w:rFonts w:ascii="Times New Roman" w:eastAsia="Times New Roman" w:hAnsi="Times New Roman" w:cs="Times New Roman"/>
                <w:sz w:val="20"/>
                <w:szCs w:val="20"/>
                <w:lang w:val="it-IT"/>
              </w:rPr>
            </w:pPr>
          </w:p>
        </w:tc>
        <w:tc>
          <w:tcPr>
            <w:tcW w:w="3968" w:type="dxa"/>
            <w:gridSpan w:val="8"/>
            <w:tcBorders>
              <w:bottom w:val="single" w:sz="4" w:space="0" w:color="auto"/>
            </w:tcBorders>
            <w:shd w:val="clear" w:color="auto" w:fill="FFFFFF" w:themeFill="background1"/>
          </w:tcPr>
          <w:p w:rsidR="002F5CBD" w:rsidRPr="00083AD4" w:rsidRDefault="002F5CBD" w:rsidP="002F5CBD">
            <w:pPr>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 xml:space="preserve">Ministria e Shëndetësisë dhe Mbrojtjes Sociale vlerëson situatën në lidhje me aksesin në shërbimet dixhitale për romët dhe egjiptianët, </w:t>
            </w:r>
            <w:r w:rsidR="004D43FD">
              <w:rPr>
                <w:rFonts w:ascii="Times New Roman" w:eastAsia="Times New Roman" w:hAnsi="Times New Roman" w:cs="Times New Roman"/>
                <w:color w:val="000000" w:themeColor="text1"/>
                <w:sz w:val="20"/>
                <w:szCs w:val="20"/>
                <w:lang w:val="it-IT"/>
              </w:rPr>
              <w:t xml:space="preserve">si dhe </w:t>
            </w:r>
            <w:r w:rsidRPr="00083AD4">
              <w:rPr>
                <w:rFonts w:ascii="Times New Roman" w:eastAsia="Times New Roman" w:hAnsi="Times New Roman" w:cs="Times New Roman"/>
                <w:color w:val="000000" w:themeColor="text1"/>
                <w:sz w:val="20"/>
                <w:szCs w:val="20"/>
                <w:lang w:val="it-IT"/>
              </w:rPr>
              <w:t>harton një plan veprimi deri në vitin 2024.</w:t>
            </w:r>
          </w:p>
          <w:p w:rsidR="002F5CBD" w:rsidRPr="00083AD4" w:rsidRDefault="002F5CBD" w:rsidP="002F5CBD">
            <w:pPr>
              <w:rPr>
                <w:rFonts w:ascii="Times New Roman" w:eastAsia="Times New Roman" w:hAnsi="Times New Roman" w:cs="Times New Roman"/>
                <w:color w:val="000000" w:themeColor="text1"/>
                <w:sz w:val="20"/>
                <w:szCs w:val="20"/>
                <w:lang w:val="it-IT"/>
              </w:rPr>
            </w:pPr>
          </w:p>
          <w:p w:rsidR="002F5CBD" w:rsidRPr="00083AD4" w:rsidRDefault="002F5CBD" w:rsidP="002F5CBD">
            <w:pPr>
              <w:spacing w:line="256" w:lineRule="auto"/>
              <w:jc w:val="both"/>
              <w:rPr>
                <w:rFonts w:ascii="Times New Roman" w:eastAsia="Times New Roman" w:hAnsi="Times New Roman" w:cs="Times New Roman"/>
                <w:color w:val="000000" w:themeColor="text1"/>
                <w:sz w:val="20"/>
                <w:szCs w:val="20"/>
                <w:lang w:val="it-IT"/>
              </w:rPr>
            </w:pPr>
            <w:r w:rsidRPr="00083AD4">
              <w:rPr>
                <w:rFonts w:ascii="Times New Roman" w:eastAsia="Times New Roman" w:hAnsi="Times New Roman" w:cs="Times New Roman"/>
                <w:color w:val="000000" w:themeColor="text1"/>
                <w:sz w:val="20"/>
                <w:szCs w:val="20"/>
                <w:lang w:val="it-IT"/>
              </w:rPr>
              <w:t>Plani i Veprimit për Segregacionin e Shkollave i hartuar brenda vitit 2025 duke adresuar në veçanti:</w:t>
            </w:r>
          </w:p>
          <w:p w:rsidR="002F5CBD" w:rsidRPr="00083AD4" w:rsidRDefault="004D43FD" w:rsidP="002F5CBD">
            <w:pPr>
              <w:pStyle w:val="ListParagraph"/>
              <w:numPr>
                <w:ilvl w:val="0"/>
                <w:numId w:val="9"/>
              </w:numPr>
              <w:spacing w:line="256" w:lineRule="auto"/>
              <w:jc w:val="both"/>
              <w:rPr>
                <w:rFonts w:ascii="Times New Roman" w:eastAsia="Calibri" w:hAnsi="Times New Roman" w:cs="Times New Roman"/>
                <w:color w:val="000000" w:themeColor="text1"/>
                <w:sz w:val="20"/>
                <w:szCs w:val="20"/>
                <w:lang w:val="it-IT"/>
              </w:rPr>
            </w:pPr>
            <w:r>
              <w:rPr>
                <w:rFonts w:ascii="Times New Roman" w:eastAsia="Times New Roman" w:hAnsi="Times New Roman" w:cs="Times New Roman"/>
                <w:color w:val="000000" w:themeColor="text1"/>
                <w:sz w:val="20"/>
                <w:szCs w:val="20"/>
                <w:lang w:val="it-IT"/>
              </w:rPr>
              <w:t>ndjekjen  dhe monitorimin e</w:t>
            </w:r>
            <w:r w:rsidR="002F5CBD" w:rsidRPr="00083AD4">
              <w:rPr>
                <w:rFonts w:ascii="Times New Roman" w:eastAsia="Times New Roman" w:hAnsi="Times New Roman" w:cs="Times New Roman"/>
                <w:color w:val="000000" w:themeColor="text1"/>
                <w:sz w:val="20"/>
                <w:szCs w:val="20"/>
                <w:lang w:val="it-IT"/>
              </w:rPr>
              <w:t xml:space="preserve"> zbatimit të angazhimeve të Deklaratës së Poznanit</w:t>
            </w:r>
          </w:p>
          <w:p w:rsidR="002F5CBD" w:rsidRPr="00083AD4" w:rsidRDefault="002F5CBD" w:rsidP="002F5CBD">
            <w:pPr>
              <w:pStyle w:val="ListParagraph"/>
              <w:numPr>
                <w:ilvl w:val="0"/>
                <w:numId w:val="9"/>
              </w:numPr>
              <w:spacing w:line="256" w:lineRule="auto"/>
              <w:jc w:val="both"/>
              <w:rPr>
                <w:rFonts w:ascii="Times New Roman" w:eastAsia="Calibri" w:hAnsi="Times New Roman" w:cs="Times New Roman"/>
                <w:color w:val="000000" w:themeColor="text1"/>
                <w:sz w:val="20"/>
                <w:szCs w:val="20"/>
                <w:lang w:val="it-IT"/>
              </w:rPr>
            </w:pPr>
            <w:r w:rsidRPr="00083AD4">
              <w:rPr>
                <w:rFonts w:ascii="Times New Roman" w:eastAsia="Calibri" w:hAnsi="Times New Roman" w:cs="Times New Roman"/>
                <w:color w:val="000000" w:themeColor="text1"/>
                <w:sz w:val="20"/>
                <w:szCs w:val="20"/>
                <w:lang w:val="it-IT"/>
              </w:rPr>
              <w:t>zbatimin e vendimeve të GJEDNJ-së,</w:t>
            </w:r>
          </w:p>
          <w:p w:rsidR="002F5CBD" w:rsidRPr="00083AD4" w:rsidRDefault="002F5CBD" w:rsidP="002F5CBD">
            <w:pPr>
              <w:pStyle w:val="ListParagraph"/>
              <w:numPr>
                <w:ilvl w:val="0"/>
                <w:numId w:val="9"/>
              </w:numPr>
              <w:spacing w:line="256" w:lineRule="auto"/>
              <w:jc w:val="both"/>
              <w:rPr>
                <w:rFonts w:ascii="Times New Roman" w:eastAsia="Calibri" w:hAnsi="Times New Roman" w:cs="Times New Roman"/>
                <w:color w:val="000000" w:themeColor="text1"/>
                <w:sz w:val="20"/>
                <w:szCs w:val="20"/>
                <w:lang w:val="it-IT"/>
              </w:rPr>
            </w:pPr>
            <w:r w:rsidRPr="00083AD4">
              <w:rPr>
                <w:rFonts w:ascii="Times New Roman" w:eastAsia="Calibri" w:hAnsi="Times New Roman" w:cs="Times New Roman"/>
                <w:color w:val="000000" w:themeColor="text1"/>
                <w:sz w:val="20"/>
                <w:szCs w:val="20"/>
                <w:lang w:val="it-IT"/>
              </w:rPr>
              <w:t>organizimi</w:t>
            </w:r>
            <w:r w:rsidR="004D43FD">
              <w:rPr>
                <w:rFonts w:ascii="Times New Roman" w:eastAsia="Calibri" w:hAnsi="Times New Roman" w:cs="Times New Roman"/>
                <w:color w:val="000000" w:themeColor="text1"/>
                <w:sz w:val="20"/>
                <w:szCs w:val="20"/>
                <w:lang w:val="it-IT"/>
              </w:rPr>
              <w:t xml:space="preserve">n e </w:t>
            </w:r>
            <w:r w:rsidRPr="00083AD4">
              <w:rPr>
                <w:rFonts w:ascii="Times New Roman" w:eastAsia="Calibri" w:hAnsi="Times New Roman" w:cs="Times New Roman"/>
                <w:color w:val="000000" w:themeColor="text1"/>
                <w:sz w:val="20"/>
                <w:szCs w:val="20"/>
                <w:lang w:val="it-IT"/>
              </w:rPr>
              <w:t xml:space="preserve"> aktiviteteve sensibilizuese</w:t>
            </w:r>
            <w:r w:rsidR="004D43FD">
              <w:rPr>
                <w:rFonts w:ascii="Times New Roman" w:eastAsia="Calibri" w:hAnsi="Times New Roman" w:cs="Times New Roman"/>
                <w:color w:val="000000" w:themeColor="text1"/>
                <w:sz w:val="20"/>
                <w:szCs w:val="20"/>
                <w:lang w:val="it-IT"/>
              </w:rPr>
              <w:t xml:space="preserve"> </w:t>
            </w:r>
            <w:r w:rsidRPr="00083AD4">
              <w:rPr>
                <w:rFonts w:ascii="Times New Roman" w:eastAsia="Times New Roman" w:hAnsi="Times New Roman" w:cs="Times New Roman"/>
                <w:bCs/>
                <w:iCs/>
                <w:color w:val="000000" w:themeColor="text1"/>
                <w:sz w:val="20"/>
                <w:szCs w:val="20"/>
                <w:lang w:val="it-IT"/>
              </w:rPr>
              <w:t>(Fushata kundër antigipsizmit dhe diskriminimit brenda vitit 2024)</w:t>
            </w:r>
          </w:p>
          <w:p w:rsidR="002F5CBD" w:rsidRPr="004D43FD" w:rsidRDefault="004D43FD" w:rsidP="002F5CBD">
            <w:pPr>
              <w:pStyle w:val="ListParagraph"/>
              <w:numPr>
                <w:ilvl w:val="0"/>
                <w:numId w:val="9"/>
              </w:numPr>
              <w:spacing w:line="256" w:lineRule="auto"/>
              <w:jc w:val="both"/>
              <w:rPr>
                <w:rFonts w:ascii="Times New Roman" w:eastAsia="Calibri" w:hAnsi="Times New Roman" w:cs="Times New Roman"/>
                <w:color w:val="000000" w:themeColor="text1"/>
                <w:sz w:val="20"/>
                <w:szCs w:val="20"/>
                <w:lang w:val="it-IT"/>
              </w:rPr>
            </w:pPr>
            <w:r w:rsidRPr="004D43FD">
              <w:rPr>
                <w:rFonts w:ascii="Times New Roman" w:eastAsia="Calibri" w:hAnsi="Times New Roman" w:cs="Times New Roman"/>
                <w:color w:val="000000" w:themeColor="text1"/>
                <w:sz w:val="20"/>
                <w:szCs w:val="20"/>
                <w:lang w:val="it-IT"/>
              </w:rPr>
              <w:t>trajnimin dhe ngritjen</w:t>
            </w:r>
            <w:r w:rsidR="002F5CBD" w:rsidRPr="004D43FD">
              <w:rPr>
                <w:rFonts w:ascii="Times New Roman" w:eastAsia="Calibri" w:hAnsi="Times New Roman" w:cs="Times New Roman"/>
                <w:color w:val="000000" w:themeColor="text1"/>
                <w:sz w:val="20"/>
                <w:szCs w:val="20"/>
                <w:lang w:val="it-IT"/>
              </w:rPr>
              <w:t xml:space="preserve"> e kapaciteteve</w:t>
            </w:r>
          </w:p>
          <w:p w:rsidR="002F5CBD" w:rsidRPr="004D43FD" w:rsidRDefault="002F5CBD" w:rsidP="002F5CBD">
            <w:pPr>
              <w:spacing w:line="256" w:lineRule="auto"/>
              <w:ind w:left="50"/>
              <w:jc w:val="both"/>
              <w:rPr>
                <w:rFonts w:ascii="Times New Roman" w:eastAsia="Times New Roman" w:hAnsi="Times New Roman" w:cs="Times New Roman"/>
                <w:b/>
                <w:bCs/>
                <w:color w:val="000000" w:themeColor="text1"/>
                <w:sz w:val="20"/>
                <w:szCs w:val="20"/>
                <w:lang w:val="it-IT"/>
              </w:rPr>
            </w:pPr>
          </w:p>
        </w:tc>
        <w:tc>
          <w:tcPr>
            <w:tcW w:w="3690" w:type="dxa"/>
            <w:gridSpan w:val="4"/>
            <w:tcBorders>
              <w:bottom w:val="single" w:sz="4" w:space="0" w:color="auto"/>
            </w:tcBorders>
            <w:shd w:val="clear" w:color="auto" w:fill="FFFFFF" w:themeFill="background1"/>
          </w:tcPr>
          <w:p w:rsidR="002F5CBD" w:rsidRDefault="002F5CBD" w:rsidP="002F5CBD">
            <w:pPr>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Cs/>
                <w:color w:val="000000" w:themeColor="text1"/>
                <w:sz w:val="20"/>
                <w:szCs w:val="20"/>
              </w:rPr>
              <w:t xml:space="preserve">Shpërndarja e burimeve </w:t>
            </w:r>
            <w:r w:rsidR="004D43FD">
              <w:rPr>
                <w:rFonts w:ascii="Times New Roman" w:eastAsia="Times New Roman" w:hAnsi="Times New Roman" w:cs="Times New Roman"/>
                <w:bCs/>
                <w:color w:val="000000" w:themeColor="text1"/>
                <w:sz w:val="20"/>
                <w:szCs w:val="20"/>
              </w:rPr>
              <w:t>adresohet</w:t>
            </w:r>
            <w:r>
              <w:rPr>
                <w:rFonts w:ascii="Times New Roman" w:eastAsia="Times New Roman" w:hAnsi="Times New Roman" w:cs="Times New Roman"/>
                <w:bCs/>
                <w:color w:val="000000" w:themeColor="text1"/>
                <w:sz w:val="20"/>
                <w:szCs w:val="20"/>
              </w:rPr>
              <w:t xml:space="preserve"> në mënyrë të vazhdueshme për të siguruar zbatimin efektiv të të dy Planeve të Veprimit në mënyrë konsistente që nga viti 2025 e në vazhdim.</w:t>
            </w:r>
          </w:p>
          <w:p w:rsidR="002F5CBD" w:rsidRPr="00C743C4" w:rsidRDefault="002F5CBD" w:rsidP="002F5CBD">
            <w:pPr>
              <w:jc w:val="both"/>
              <w:rPr>
                <w:rFonts w:ascii="Times New Roman" w:eastAsia="Times New Roman" w:hAnsi="Times New Roman" w:cs="Times New Roman"/>
                <w:color w:val="000000" w:themeColor="text1"/>
                <w:sz w:val="20"/>
                <w:szCs w:val="20"/>
              </w:rPr>
            </w:pPr>
          </w:p>
          <w:p w:rsidR="002F5CBD" w:rsidRPr="00C743C4" w:rsidRDefault="002F5CBD" w:rsidP="004D43FD">
            <w:pP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color w:val="000000" w:themeColor="text1"/>
                <w:sz w:val="20"/>
                <w:szCs w:val="20"/>
              </w:rPr>
              <w:t xml:space="preserve">Sigurimi i zbatimit të duhur të Programit "Përmirësimi i aksesit të barabartë në shërbimet publike të standardit të lartë përmes operacionit GovTech", duke përfshirë aksesin në shërbimet dixhitale </w:t>
            </w:r>
            <w:r w:rsidR="004D43FD">
              <w:rPr>
                <w:rFonts w:ascii="Times New Roman" w:eastAsia="Times New Roman" w:hAnsi="Times New Roman" w:cs="Times New Roman"/>
                <w:color w:val="000000" w:themeColor="text1"/>
                <w:sz w:val="20"/>
                <w:szCs w:val="20"/>
              </w:rPr>
              <w:t>për</w:t>
            </w:r>
            <w:r>
              <w:rPr>
                <w:rFonts w:ascii="Times New Roman" w:eastAsia="Times New Roman" w:hAnsi="Times New Roman" w:cs="Times New Roman"/>
                <w:color w:val="000000" w:themeColor="text1"/>
                <w:sz w:val="20"/>
                <w:szCs w:val="20"/>
              </w:rPr>
              <w:t xml:space="preserve"> romët dhe egjiptianët deri në vitin 2027.</w:t>
            </w:r>
          </w:p>
        </w:tc>
        <w:tc>
          <w:tcPr>
            <w:tcW w:w="3949" w:type="dxa"/>
            <w:tcBorders>
              <w:bottom w:val="single" w:sz="4" w:space="0" w:color="auto"/>
            </w:tcBorders>
            <w:shd w:val="clear" w:color="auto" w:fill="FFFFFF" w:themeFill="background1"/>
          </w:tcPr>
          <w:p w:rsidR="002F5CBD" w:rsidRPr="00C743C4" w:rsidRDefault="004D43FD" w:rsidP="004D43FD">
            <w:pPr>
              <w:jc w:val="both"/>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Cs/>
                <w:color w:val="000000" w:themeColor="text1"/>
                <w:sz w:val="20"/>
                <w:szCs w:val="20"/>
                <w:lang w:val="en-GB"/>
              </w:rPr>
              <w:t>Segregimi i</w:t>
            </w:r>
            <w:r w:rsidR="002F5CBD">
              <w:rPr>
                <w:rFonts w:ascii="Times New Roman" w:eastAsia="Times New Roman" w:hAnsi="Times New Roman" w:cs="Times New Roman"/>
                <w:bCs/>
                <w:color w:val="000000" w:themeColor="text1"/>
                <w:sz w:val="20"/>
                <w:szCs w:val="20"/>
                <w:lang w:val="en-GB"/>
              </w:rPr>
              <w:t xml:space="preserve"> romëve në sistemin arsimor redukt</w:t>
            </w:r>
            <w:r>
              <w:rPr>
                <w:rFonts w:ascii="Times New Roman" w:eastAsia="Times New Roman" w:hAnsi="Times New Roman" w:cs="Times New Roman"/>
                <w:bCs/>
                <w:color w:val="000000" w:themeColor="text1"/>
                <w:sz w:val="20"/>
                <w:szCs w:val="20"/>
                <w:lang w:val="en-GB"/>
              </w:rPr>
              <w:t>ohet</w:t>
            </w:r>
            <w:r w:rsidR="002F5CBD">
              <w:rPr>
                <w:rFonts w:ascii="Times New Roman" w:eastAsia="Times New Roman" w:hAnsi="Times New Roman" w:cs="Times New Roman"/>
                <w:bCs/>
                <w:color w:val="000000" w:themeColor="text1"/>
                <w:sz w:val="20"/>
                <w:szCs w:val="20"/>
                <w:lang w:val="en-GB"/>
              </w:rPr>
              <w:t xml:space="preserve"> gradualisht për shkak të </w:t>
            </w:r>
            <w:r>
              <w:rPr>
                <w:rFonts w:ascii="Times New Roman" w:eastAsia="Times New Roman" w:hAnsi="Times New Roman" w:cs="Times New Roman"/>
                <w:bCs/>
                <w:color w:val="000000" w:themeColor="text1"/>
                <w:sz w:val="20"/>
                <w:szCs w:val="20"/>
                <w:lang w:val="en-GB"/>
              </w:rPr>
              <w:t>aksesit të duhur në aftësitë</w:t>
            </w:r>
            <w:r w:rsidR="002F5CBD">
              <w:rPr>
                <w:rFonts w:ascii="Times New Roman" w:eastAsia="Times New Roman" w:hAnsi="Times New Roman" w:cs="Times New Roman"/>
                <w:bCs/>
                <w:color w:val="000000" w:themeColor="text1"/>
                <w:sz w:val="20"/>
                <w:szCs w:val="20"/>
                <w:lang w:val="en-GB"/>
              </w:rPr>
              <w:t xml:space="preserve"> dixhitale </w:t>
            </w:r>
            <w:r>
              <w:rPr>
                <w:rFonts w:ascii="Times New Roman" w:eastAsia="Times New Roman" w:hAnsi="Times New Roman" w:cs="Times New Roman"/>
                <w:bCs/>
                <w:color w:val="000000" w:themeColor="text1"/>
                <w:sz w:val="20"/>
                <w:szCs w:val="20"/>
                <w:lang w:val="en-GB"/>
              </w:rPr>
              <w:t xml:space="preserve">të </w:t>
            </w:r>
            <w:r w:rsidR="002F5CBD">
              <w:rPr>
                <w:rFonts w:ascii="Times New Roman" w:eastAsia="Times New Roman" w:hAnsi="Times New Roman" w:cs="Times New Roman"/>
                <w:bCs/>
                <w:color w:val="000000" w:themeColor="text1"/>
                <w:sz w:val="20"/>
                <w:szCs w:val="20"/>
                <w:lang w:val="en-GB"/>
              </w:rPr>
              <w:t>përmirësuar</w:t>
            </w:r>
            <w:r>
              <w:rPr>
                <w:rFonts w:ascii="Times New Roman" w:eastAsia="Times New Roman" w:hAnsi="Times New Roman" w:cs="Times New Roman"/>
                <w:bCs/>
                <w:color w:val="000000" w:themeColor="text1"/>
                <w:sz w:val="20"/>
                <w:szCs w:val="20"/>
                <w:lang w:val="en-GB"/>
              </w:rPr>
              <w:t>a</w:t>
            </w:r>
            <w:r w:rsidR="002F5CBD">
              <w:rPr>
                <w:rFonts w:ascii="Times New Roman" w:eastAsia="Times New Roman" w:hAnsi="Times New Roman" w:cs="Times New Roman"/>
                <w:bCs/>
                <w:color w:val="000000" w:themeColor="text1"/>
                <w:sz w:val="20"/>
                <w:szCs w:val="20"/>
                <w:lang w:val="en-GB"/>
              </w:rPr>
              <w:t xml:space="preserve"> </w:t>
            </w:r>
            <w:r>
              <w:rPr>
                <w:rFonts w:ascii="Times New Roman" w:eastAsia="Times New Roman" w:hAnsi="Times New Roman" w:cs="Times New Roman"/>
                <w:bCs/>
                <w:color w:val="000000" w:themeColor="text1"/>
                <w:sz w:val="20"/>
                <w:szCs w:val="20"/>
                <w:lang w:val="en-GB"/>
              </w:rPr>
              <w:t xml:space="preserve">nga viti </w:t>
            </w:r>
            <w:r w:rsidR="002F5CBD">
              <w:rPr>
                <w:rFonts w:ascii="Times New Roman" w:eastAsia="Times New Roman" w:hAnsi="Times New Roman" w:cs="Times New Roman"/>
                <w:bCs/>
                <w:color w:val="000000" w:themeColor="text1"/>
                <w:sz w:val="20"/>
                <w:szCs w:val="20"/>
                <w:lang w:val="en-GB"/>
              </w:rPr>
              <w:t>2027 e në vazhdim.</w:t>
            </w:r>
          </w:p>
        </w:tc>
      </w:tr>
      <w:tr w:rsidR="002F5CBD" w:rsidRPr="00C743C4" w:rsidTr="00734862">
        <w:trPr>
          <w:trHeight w:val="567"/>
        </w:trPr>
        <w:tc>
          <w:tcPr>
            <w:tcW w:w="14580" w:type="dxa"/>
            <w:gridSpan w:val="14"/>
            <w:shd w:val="clear" w:color="auto" w:fill="FFFFFF" w:themeFill="background1"/>
          </w:tcPr>
          <w:p w:rsidR="002F5CBD" w:rsidRPr="00C743C4" w:rsidRDefault="002F5CBD" w:rsidP="002F5CBD">
            <w:pPr>
              <w:jc w:val="both"/>
              <w:rPr>
                <w:rFonts w:ascii="Times New Roman" w:eastAsia="Times New Roman" w:hAnsi="Times New Roman" w:cs="Times New Roman"/>
                <w:bCs/>
                <w:color w:val="000000" w:themeColor="text1"/>
                <w:sz w:val="20"/>
                <w:szCs w:val="20"/>
                <w:lang w:val="en-GB"/>
              </w:rPr>
            </w:pPr>
            <w:r w:rsidRPr="00C743C4">
              <w:rPr>
                <w:rFonts w:ascii="Times New Roman" w:eastAsia="Times New Roman" w:hAnsi="Times New Roman" w:cs="Times New Roman"/>
                <w:b/>
                <w:color w:val="000000" w:themeColor="text1"/>
                <w:sz w:val="20"/>
                <w:szCs w:val="20"/>
                <w:lang w:val="en-GB"/>
              </w:rPr>
              <w:t>Masa efektive për të përmirësuar aksesin e romëve dhe egjiptianëve në shërbimet sociale</w:t>
            </w:r>
          </w:p>
        </w:tc>
      </w:tr>
      <w:tr w:rsidR="002F5CBD" w:rsidRPr="00C743C4" w:rsidTr="00D56E68">
        <w:trPr>
          <w:trHeight w:val="1700"/>
        </w:trPr>
        <w:tc>
          <w:tcPr>
            <w:tcW w:w="2973" w:type="dxa"/>
            <w:shd w:val="clear" w:color="auto" w:fill="FFFFFF" w:themeFill="background1"/>
          </w:tcPr>
          <w:p w:rsidR="002F5CBD" w:rsidRPr="00C743C4" w:rsidRDefault="002F5CBD" w:rsidP="002F5CBD">
            <w:pPr>
              <w:rPr>
                <w:rFonts w:ascii="Times New Roman" w:hAnsi="Times New Roman" w:cs="Times New Roman"/>
                <w:sz w:val="20"/>
                <w:szCs w:val="20"/>
              </w:rPr>
            </w:pPr>
          </w:p>
        </w:tc>
        <w:tc>
          <w:tcPr>
            <w:tcW w:w="3829" w:type="dxa"/>
            <w:gridSpan w:val="7"/>
            <w:shd w:val="clear" w:color="auto" w:fill="FFFFFF" w:themeFill="background1"/>
          </w:tcPr>
          <w:p w:rsidR="002F5CBD" w:rsidRPr="00C743C4" w:rsidRDefault="002F5CBD" w:rsidP="002F5CBD">
            <w:pPr>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Kuvendi miraton ndryshimet në Ligjin për Strehimin Social për të përmirësuar aksesin në banesa sociale për romët dhe egjiptianët, me synim zbatimin e kuotës ligjore prej 5% deri në vitin 2027.</w:t>
            </w:r>
          </w:p>
        </w:tc>
        <w:tc>
          <w:tcPr>
            <w:tcW w:w="3829" w:type="dxa"/>
            <w:gridSpan w:val="5"/>
            <w:shd w:val="clear" w:color="auto" w:fill="FFFFFF" w:themeFill="background1"/>
          </w:tcPr>
          <w:p w:rsidR="002F5CBD" w:rsidRDefault="002F5CBD" w:rsidP="002F5CBD">
            <w:pPr>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Përpjekje adekuate për rritjen e aksesit në punësim nëpërmjet përfshirjes së romëve dhe egjiptianëve në programet e nxitjes së punësimit nga viti 2025 e në vazhdim. </w:t>
            </w:r>
          </w:p>
          <w:p w:rsidR="002F5CBD" w:rsidRDefault="002F5CBD" w:rsidP="002F5CBD">
            <w:pPr>
              <w:jc w:val="both"/>
              <w:rPr>
                <w:rFonts w:ascii="Times New Roman" w:eastAsia="Times New Roman" w:hAnsi="Times New Roman" w:cs="Times New Roman"/>
                <w:color w:val="000000" w:themeColor="text1"/>
                <w:sz w:val="20"/>
                <w:szCs w:val="20"/>
              </w:rPr>
            </w:pPr>
          </w:p>
          <w:p w:rsidR="002F5CBD" w:rsidRPr="00C743C4" w:rsidRDefault="004D43FD" w:rsidP="004D43FD">
            <w:pPr>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Sigurimi i</w:t>
            </w:r>
            <w:r w:rsidR="002F5CBD">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garantimit të vazhdueshëm</w:t>
            </w:r>
            <w:r w:rsidR="002F5CBD">
              <w:rPr>
                <w:rFonts w:ascii="Times New Roman" w:eastAsia="Times New Roman" w:hAnsi="Times New Roman" w:cs="Times New Roman"/>
                <w:color w:val="000000" w:themeColor="text1"/>
                <w:sz w:val="20"/>
                <w:szCs w:val="20"/>
              </w:rPr>
              <w:t xml:space="preserve"> të aksesit në shërbimet shëndetësore për romët dhe egjiptianët, duke përfshirë punonjësit psiko-socialë në qendrat shëndetësore që nga viti 2025 e në vazhdim.</w:t>
            </w:r>
          </w:p>
        </w:tc>
        <w:tc>
          <w:tcPr>
            <w:tcW w:w="3949" w:type="dxa"/>
            <w:shd w:val="clear" w:color="auto" w:fill="FFFFFF" w:themeFill="background1"/>
          </w:tcPr>
          <w:p w:rsidR="002F5CBD" w:rsidRPr="00C743C4" w:rsidRDefault="002F5CBD" w:rsidP="002F5CBD">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Aksesi i romëve dhe egjiptianëve në tregun e punës, strehimin dhe kujdesin shëndetësor trajtohet në mënyrë progresive deri në vitin 2030.</w:t>
            </w:r>
          </w:p>
          <w:p w:rsidR="002F5CBD" w:rsidRPr="00C743C4" w:rsidRDefault="002F5CBD" w:rsidP="002F5CBD">
            <w:pPr>
              <w:rPr>
                <w:rFonts w:ascii="Times New Roman" w:eastAsia="Times New Roman" w:hAnsi="Times New Roman" w:cs="Times New Roman"/>
                <w:color w:val="000000" w:themeColor="text1"/>
                <w:sz w:val="20"/>
                <w:szCs w:val="20"/>
              </w:rPr>
            </w:pPr>
          </w:p>
          <w:p w:rsidR="002F5CBD" w:rsidRPr="00C743C4" w:rsidRDefault="002F5CBD" w:rsidP="002F5CBD">
            <w:pPr>
              <w:rPr>
                <w:rFonts w:ascii="Times New Roman" w:eastAsia="Times New Roman" w:hAnsi="Times New Roman" w:cs="Times New Roman"/>
                <w:color w:val="000000" w:themeColor="text1"/>
                <w:sz w:val="20"/>
                <w:szCs w:val="20"/>
              </w:rPr>
            </w:pPr>
          </w:p>
        </w:tc>
      </w:tr>
      <w:tr w:rsidR="002F5CBD" w:rsidRPr="00C743C4" w:rsidTr="00734862">
        <w:trPr>
          <w:trHeight w:val="285"/>
        </w:trPr>
        <w:tc>
          <w:tcPr>
            <w:tcW w:w="14580" w:type="dxa"/>
            <w:gridSpan w:val="14"/>
            <w:shd w:val="clear" w:color="auto" w:fill="BDD6EE" w:themeFill="accent1" w:themeFillTint="66"/>
          </w:tcPr>
          <w:p w:rsidR="002F5CBD" w:rsidRPr="00C743C4" w:rsidRDefault="00657854" w:rsidP="002F5CBD">
            <w:pPr>
              <w:rPr>
                <w:rFonts w:ascii="Times New Roman" w:eastAsia="Times New Roman" w:hAnsi="Times New Roman" w:cs="Times New Roman"/>
                <w:b/>
                <w:bCs/>
                <w:color w:val="000000" w:themeColor="text1"/>
                <w:sz w:val="20"/>
                <w:szCs w:val="20"/>
              </w:rPr>
            </w:pPr>
            <w:r>
              <w:rPr>
                <w:rFonts w:ascii="Times New Roman" w:hAnsi="Times New Roman" w:cs="Times New Roman"/>
                <w:b/>
                <w:bCs/>
                <w:sz w:val="20"/>
                <w:szCs w:val="20"/>
              </w:rPr>
              <w:t>IV. Të drejtat e qytetarëve të</w:t>
            </w:r>
            <w:r w:rsidR="002F5CBD" w:rsidRPr="00C743C4">
              <w:rPr>
                <w:rFonts w:ascii="Times New Roman" w:hAnsi="Times New Roman" w:cs="Times New Roman"/>
                <w:b/>
                <w:bCs/>
                <w:sz w:val="20"/>
                <w:szCs w:val="20"/>
              </w:rPr>
              <w:t xml:space="preserve"> BE-së</w:t>
            </w:r>
          </w:p>
        </w:tc>
      </w:tr>
      <w:tr w:rsidR="002F5CBD" w:rsidRPr="00C743C4" w:rsidTr="00734862">
        <w:trPr>
          <w:trHeight w:val="285"/>
        </w:trPr>
        <w:tc>
          <w:tcPr>
            <w:tcW w:w="14580" w:type="dxa"/>
            <w:gridSpan w:val="14"/>
            <w:shd w:val="clear" w:color="auto" w:fill="auto"/>
          </w:tcPr>
          <w:p w:rsidR="002F5CBD" w:rsidRPr="00C743C4" w:rsidRDefault="002F5CBD" w:rsidP="002F5CBD">
            <w:pPr>
              <w:rPr>
                <w:rFonts w:ascii="Times New Roman" w:hAnsi="Times New Roman" w:cs="Times New Roman"/>
                <w:b/>
                <w:bCs/>
                <w:sz w:val="20"/>
                <w:szCs w:val="20"/>
              </w:rPr>
            </w:pPr>
            <w:r w:rsidRPr="00C743C4">
              <w:rPr>
                <w:rFonts w:ascii="Times New Roman" w:eastAsia="Times New Roman" w:hAnsi="Times New Roman" w:cs="Times New Roman"/>
                <w:b/>
                <w:color w:val="000000" w:themeColor="text1"/>
                <w:sz w:val="20"/>
                <w:szCs w:val="20"/>
              </w:rPr>
              <w:t>Shqipëria do të vazhdojë të përafrojë legjislacionin e saj në fu</w:t>
            </w:r>
            <w:r w:rsidR="004D43FD">
              <w:rPr>
                <w:rFonts w:ascii="Times New Roman" w:eastAsia="Times New Roman" w:hAnsi="Times New Roman" w:cs="Times New Roman"/>
                <w:b/>
                <w:color w:val="000000" w:themeColor="text1"/>
                <w:sz w:val="20"/>
                <w:szCs w:val="20"/>
              </w:rPr>
              <w:t xml:space="preserve">shën e të drejtave të qytetarisë </w:t>
            </w:r>
            <w:r w:rsidRPr="00C743C4">
              <w:rPr>
                <w:rFonts w:ascii="Times New Roman" w:eastAsia="Times New Roman" w:hAnsi="Times New Roman" w:cs="Times New Roman"/>
                <w:b/>
                <w:color w:val="000000" w:themeColor="text1"/>
                <w:sz w:val="20"/>
                <w:szCs w:val="20"/>
              </w:rPr>
              <w:t xml:space="preserve"> në përputhje me acquis të BE-së</w:t>
            </w:r>
          </w:p>
        </w:tc>
      </w:tr>
      <w:tr w:rsidR="002F5CBD" w:rsidRPr="00C743C4" w:rsidTr="00D56E68">
        <w:trPr>
          <w:trHeight w:val="3373"/>
        </w:trPr>
        <w:tc>
          <w:tcPr>
            <w:tcW w:w="2973" w:type="dxa"/>
            <w:shd w:val="clear" w:color="auto" w:fill="FFFFFF" w:themeFill="background1"/>
          </w:tcPr>
          <w:p w:rsidR="002F5CBD" w:rsidRPr="00C743C4" w:rsidRDefault="002F5CBD" w:rsidP="002F5CBD">
            <w:pPr>
              <w:jc w:val="both"/>
              <w:rPr>
                <w:rFonts w:ascii="Times New Roman" w:hAnsi="Times New Roman" w:cs="Times New Roman"/>
                <w:sz w:val="20"/>
                <w:szCs w:val="20"/>
              </w:rPr>
            </w:pPr>
          </w:p>
        </w:tc>
        <w:tc>
          <w:tcPr>
            <w:tcW w:w="3829" w:type="dxa"/>
            <w:gridSpan w:val="7"/>
            <w:shd w:val="clear" w:color="auto" w:fill="FFFFFF" w:themeFill="background1"/>
          </w:tcPr>
          <w:p w:rsidR="002F5CBD" w:rsidRPr="00EB0BD7" w:rsidRDefault="002F5CBD" w:rsidP="002F5CBD">
            <w:pPr>
              <w:shd w:val="clear" w:color="auto" w:fill="FFFFFF"/>
              <w:jc w:val="both"/>
              <w:textAlignment w:val="baseline"/>
              <w:rPr>
                <w:rFonts w:ascii="Times New Roman" w:eastAsia="Times New Roman" w:hAnsi="Times New Roman" w:cs="Times New Roman"/>
                <w:color w:val="000000" w:themeColor="text1"/>
                <w:sz w:val="20"/>
                <w:szCs w:val="20"/>
                <w:lang w:val="en-GB"/>
              </w:rPr>
            </w:pPr>
          </w:p>
        </w:tc>
        <w:tc>
          <w:tcPr>
            <w:tcW w:w="3829" w:type="dxa"/>
            <w:gridSpan w:val="5"/>
            <w:shd w:val="clear" w:color="auto" w:fill="FFFFFF" w:themeFill="background1"/>
          </w:tcPr>
          <w:p w:rsidR="002F5CBD" w:rsidRPr="00C743C4" w:rsidRDefault="002F5CBD" w:rsidP="004D43FD">
            <w:pPr>
              <w:jc w:val="both"/>
              <w:rPr>
                <w:rFonts w:ascii="Times New Roman" w:hAnsi="Times New Roman" w:cs="Times New Roman"/>
                <w:bCs/>
                <w:color w:val="000000" w:themeColor="text1"/>
                <w:sz w:val="20"/>
                <w:szCs w:val="20"/>
                <w:lang w:val="en-GB"/>
              </w:rPr>
            </w:pPr>
            <w:r w:rsidRPr="00C743C4">
              <w:rPr>
                <w:rFonts w:ascii="Times New Roman" w:hAnsi="Times New Roman" w:cs="Times New Roman"/>
                <w:bCs/>
                <w:color w:val="000000" w:themeColor="text1"/>
                <w:sz w:val="20"/>
                <w:szCs w:val="20"/>
                <w:lang w:val="en-GB"/>
              </w:rPr>
              <w:t>Shqipëria do të vazhdojë të sigurojë përputhjen me acquis të BE-së dhe praktikën gjyqësore të GJED-së në lidhje me krijimin e një skeme të</w:t>
            </w:r>
            <w:r w:rsidR="004D43FD">
              <w:rPr>
                <w:rFonts w:ascii="Times New Roman" w:hAnsi="Times New Roman" w:cs="Times New Roman"/>
                <w:bCs/>
                <w:color w:val="000000" w:themeColor="text1"/>
                <w:sz w:val="20"/>
                <w:szCs w:val="20"/>
                <w:lang w:val="en-GB"/>
              </w:rPr>
              <w:t xml:space="preserve"> fitimit të</w:t>
            </w:r>
            <w:r w:rsidRPr="00C743C4">
              <w:rPr>
                <w:rFonts w:ascii="Times New Roman" w:hAnsi="Times New Roman" w:cs="Times New Roman"/>
                <w:bCs/>
                <w:color w:val="000000" w:themeColor="text1"/>
                <w:sz w:val="20"/>
                <w:szCs w:val="20"/>
                <w:lang w:val="en-GB"/>
              </w:rPr>
              <w:t xml:space="preserve"> shtetësisë </w:t>
            </w:r>
            <w:r w:rsidR="004D43FD">
              <w:rPr>
                <w:rFonts w:ascii="Times New Roman" w:hAnsi="Times New Roman" w:cs="Times New Roman"/>
                <w:bCs/>
                <w:color w:val="000000" w:themeColor="text1"/>
                <w:sz w:val="20"/>
                <w:szCs w:val="20"/>
                <w:lang w:val="en-GB"/>
              </w:rPr>
              <w:t>përmes investimeve.</w:t>
            </w:r>
          </w:p>
        </w:tc>
        <w:tc>
          <w:tcPr>
            <w:tcW w:w="3949" w:type="dxa"/>
            <w:shd w:val="clear" w:color="auto" w:fill="FFFFFF" w:themeFill="background1"/>
          </w:tcPr>
          <w:p w:rsidR="002F5CBD" w:rsidRPr="00C743C4" w:rsidRDefault="002F5CBD" w:rsidP="002F5CBD">
            <w:pPr>
              <w:rPr>
                <w:rFonts w:ascii="Times New Roman" w:eastAsia="Times New Roman" w:hAnsi="Times New Roman" w:cs="Times New Roman"/>
                <w:color w:val="000000" w:themeColor="text1"/>
                <w:sz w:val="20"/>
                <w:szCs w:val="20"/>
              </w:rPr>
            </w:pPr>
            <w:r w:rsidRPr="00C743C4">
              <w:rPr>
                <w:rFonts w:ascii="Times New Roman" w:eastAsia="Times New Roman" w:hAnsi="Times New Roman" w:cs="Times New Roman"/>
                <w:color w:val="000000" w:themeColor="text1"/>
                <w:sz w:val="20"/>
                <w:szCs w:val="20"/>
              </w:rPr>
              <w:t>Shqipëria vepron në përputhje me acquis të BE-së në lidhje me skemat</w:t>
            </w:r>
            <w:r w:rsidR="004D43FD">
              <w:rPr>
                <w:rFonts w:ascii="Times New Roman" w:eastAsia="Times New Roman" w:hAnsi="Times New Roman" w:cs="Times New Roman"/>
                <w:color w:val="000000" w:themeColor="text1"/>
                <w:sz w:val="20"/>
                <w:szCs w:val="20"/>
              </w:rPr>
              <w:t xml:space="preserve"> e fitimit të</w:t>
            </w:r>
            <w:r w:rsidRPr="00C743C4">
              <w:rPr>
                <w:rFonts w:ascii="Times New Roman" w:eastAsia="Times New Roman" w:hAnsi="Times New Roman" w:cs="Times New Roman"/>
                <w:color w:val="000000" w:themeColor="text1"/>
                <w:sz w:val="20"/>
                <w:szCs w:val="20"/>
              </w:rPr>
              <w:t xml:space="preserve"> shtetësisë.</w:t>
            </w:r>
          </w:p>
        </w:tc>
      </w:tr>
    </w:tbl>
    <w:p w:rsidR="00734862" w:rsidRPr="00C743C4" w:rsidRDefault="00734862" w:rsidP="00734862">
      <w:pPr>
        <w:rPr>
          <w:rFonts w:ascii="Times New Roman" w:hAnsi="Times New Roman" w:cs="Times New Roman"/>
          <w:color w:val="000000" w:themeColor="text1"/>
          <w:sz w:val="20"/>
          <w:szCs w:val="20"/>
        </w:rPr>
      </w:pPr>
    </w:p>
    <w:p w:rsidR="00734862" w:rsidRPr="00DF592F" w:rsidRDefault="00734862" w:rsidP="00734862">
      <w:pPr>
        <w:rPr>
          <w:rFonts w:ascii="Times New Roman" w:hAnsi="Times New Roman" w:cs="Times New Roman"/>
          <w:color w:val="000000" w:themeColor="text1"/>
          <w:sz w:val="20"/>
          <w:szCs w:val="20"/>
        </w:rPr>
      </w:pPr>
    </w:p>
    <w:p w:rsidR="00E54ADF" w:rsidRDefault="00E54ADF"/>
    <w:sectPr w:rsidR="00E54ADF" w:rsidSect="00734862">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89D" w:rsidRDefault="00C5189D">
      <w:pPr>
        <w:spacing w:after="0" w:line="240" w:lineRule="auto"/>
      </w:pPr>
      <w:r>
        <w:separator/>
      </w:r>
    </w:p>
  </w:endnote>
  <w:endnote w:type="continuationSeparator" w:id="0">
    <w:p w:rsidR="00C5189D" w:rsidRDefault="00C51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781364"/>
      <w:docPartObj>
        <w:docPartGallery w:val="Page Numbers (Bottom of Page)"/>
        <w:docPartUnique/>
      </w:docPartObj>
    </w:sdtPr>
    <w:sdtEndPr>
      <w:rPr>
        <w:noProof/>
      </w:rPr>
    </w:sdtEndPr>
    <w:sdtContent>
      <w:p w:rsidR="00B16FD4" w:rsidRDefault="00C5189D">
        <w:pPr>
          <w:pStyle w:val="Footer"/>
          <w:jc w:val="right"/>
        </w:pPr>
        <w:r>
          <w:fldChar w:fldCharType="begin"/>
        </w:r>
        <w:r>
          <w:instrText xml:space="preserve"> PAGE   \* MERGEFORMAT </w:instrText>
        </w:r>
        <w:r>
          <w:fldChar w:fldCharType="separate"/>
        </w:r>
        <w:r w:rsidR="004D43FD">
          <w:rPr>
            <w:noProof/>
          </w:rPr>
          <w:t>24</w:t>
        </w:r>
        <w:r>
          <w:rPr>
            <w:noProof/>
          </w:rPr>
          <w:fldChar w:fldCharType="end"/>
        </w:r>
      </w:p>
    </w:sdtContent>
  </w:sdt>
  <w:p w:rsidR="00B16FD4" w:rsidRDefault="00B16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89D" w:rsidRDefault="00C5189D">
      <w:pPr>
        <w:spacing w:after="0" w:line="240" w:lineRule="auto"/>
      </w:pPr>
      <w:r>
        <w:separator/>
      </w:r>
    </w:p>
  </w:footnote>
  <w:footnote w:type="continuationSeparator" w:id="0">
    <w:p w:rsidR="00C5189D" w:rsidRDefault="00C51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54A68"/>
    <w:multiLevelType w:val="hybridMultilevel"/>
    <w:tmpl w:val="6B9819E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AA1633"/>
    <w:multiLevelType w:val="hybridMultilevel"/>
    <w:tmpl w:val="91249A18"/>
    <w:lvl w:ilvl="0" w:tplc="FF7A9B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339AD"/>
    <w:multiLevelType w:val="hybridMultilevel"/>
    <w:tmpl w:val="9C9ED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644AA"/>
    <w:multiLevelType w:val="multilevel"/>
    <w:tmpl w:val="66E83E4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774AA2"/>
    <w:multiLevelType w:val="hybridMultilevel"/>
    <w:tmpl w:val="9494945E"/>
    <w:lvl w:ilvl="0" w:tplc="928C7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D2406"/>
    <w:multiLevelType w:val="hybridMultilevel"/>
    <w:tmpl w:val="4EA8F09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10F0680"/>
    <w:multiLevelType w:val="hybridMultilevel"/>
    <w:tmpl w:val="B77C8462"/>
    <w:lvl w:ilvl="0" w:tplc="4B8EE72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4B7AB9"/>
    <w:multiLevelType w:val="multilevel"/>
    <w:tmpl w:val="8C820008"/>
    <w:lvl w:ilvl="0">
      <w:start w:val="1"/>
      <w:numFmt w:val="upperRoman"/>
      <w:lvlText w:val="%1."/>
      <w:lvlJc w:val="left"/>
      <w:pPr>
        <w:ind w:left="1080" w:hanging="72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8" w15:restartNumberingAfterBreak="0">
    <w:nsid w:val="275E0618"/>
    <w:multiLevelType w:val="hybridMultilevel"/>
    <w:tmpl w:val="B8983524"/>
    <w:lvl w:ilvl="0" w:tplc="1FA448A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A661B"/>
    <w:multiLevelType w:val="hybridMultilevel"/>
    <w:tmpl w:val="5BB81F12"/>
    <w:lvl w:ilvl="0" w:tplc="3A8C8B28">
      <w:start w:val="1"/>
      <w:numFmt w:val="bullet"/>
      <w:lvlText w:val="-"/>
      <w:lvlJc w:val="left"/>
      <w:pPr>
        <w:ind w:left="360" w:hanging="360"/>
      </w:pPr>
      <w:rPr>
        <w:rFonts w:ascii="Calibri" w:hAnsi="Calibri" w:hint="default"/>
      </w:rPr>
    </w:lvl>
    <w:lvl w:ilvl="1" w:tplc="03648492">
      <w:start w:val="1"/>
      <w:numFmt w:val="bullet"/>
      <w:lvlText w:val="o"/>
      <w:lvlJc w:val="left"/>
      <w:pPr>
        <w:ind w:left="1080" w:hanging="360"/>
      </w:pPr>
      <w:rPr>
        <w:rFonts w:ascii="Courier New" w:hAnsi="Courier New" w:hint="default"/>
      </w:rPr>
    </w:lvl>
    <w:lvl w:ilvl="2" w:tplc="38E28CC0">
      <w:start w:val="1"/>
      <w:numFmt w:val="bullet"/>
      <w:lvlText w:val=""/>
      <w:lvlJc w:val="left"/>
      <w:pPr>
        <w:ind w:left="1800" w:hanging="360"/>
      </w:pPr>
      <w:rPr>
        <w:rFonts w:ascii="Wingdings" w:hAnsi="Wingdings" w:hint="default"/>
      </w:rPr>
    </w:lvl>
    <w:lvl w:ilvl="3" w:tplc="25F2069A">
      <w:start w:val="1"/>
      <w:numFmt w:val="bullet"/>
      <w:lvlText w:val=""/>
      <w:lvlJc w:val="left"/>
      <w:pPr>
        <w:ind w:left="2520" w:hanging="360"/>
      </w:pPr>
      <w:rPr>
        <w:rFonts w:ascii="Symbol" w:hAnsi="Symbol" w:hint="default"/>
      </w:rPr>
    </w:lvl>
    <w:lvl w:ilvl="4" w:tplc="A3A0ABBC">
      <w:start w:val="1"/>
      <w:numFmt w:val="bullet"/>
      <w:lvlText w:val="o"/>
      <w:lvlJc w:val="left"/>
      <w:pPr>
        <w:ind w:left="3240" w:hanging="360"/>
      </w:pPr>
      <w:rPr>
        <w:rFonts w:ascii="Courier New" w:hAnsi="Courier New" w:hint="default"/>
      </w:rPr>
    </w:lvl>
    <w:lvl w:ilvl="5" w:tplc="C234ED70">
      <w:start w:val="1"/>
      <w:numFmt w:val="bullet"/>
      <w:lvlText w:val=""/>
      <w:lvlJc w:val="left"/>
      <w:pPr>
        <w:ind w:left="3960" w:hanging="360"/>
      </w:pPr>
      <w:rPr>
        <w:rFonts w:ascii="Wingdings" w:hAnsi="Wingdings" w:hint="default"/>
      </w:rPr>
    </w:lvl>
    <w:lvl w:ilvl="6" w:tplc="96EA1390">
      <w:start w:val="1"/>
      <w:numFmt w:val="bullet"/>
      <w:lvlText w:val=""/>
      <w:lvlJc w:val="left"/>
      <w:pPr>
        <w:ind w:left="4680" w:hanging="360"/>
      </w:pPr>
      <w:rPr>
        <w:rFonts w:ascii="Symbol" w:hAnsi="Symbol" w:hint="default"/>
      </w:rPr>
    </w:lvl>
    <w:lvl w:ilvl="7" w:tplc="FA7AC55A">
      <w:start w:val="1"/>
      <w:numFmt w:val="bullet"/>
      <w:lvlText w:val="o"/>
      <w:lvlJc w:val="left"/>
      <w:pPr>
        <w:ind w:left="5400" w:hanging="360"/>
      </w:pPr>
      <w:rPr>
        <w:rFonts w:ascii="Courier New" w:hAnsi="Courier New" w:hint="default"/>
      </w:rPr>
    </w:lvl>
    <w:lvl w:ilvl="8" w:tplc="981E5FA4">
      <w:start w:val="1"/>
      <w:numFmt w:val="bullet"/>
      <w:lvlText w:val=""/>
      <w:lvlJc w:val="left"/>
      <w:pPr>
        <w:ind w:left="6120" w:hanging="360"/>
      </w:pPr>
      <w:rPr>
        <w:rFonts w:ascii="Wingdings" w:hAnsi="Wingdings" w:hint="default"/>
      </w:rPr>
    </w:lvl>
  </w:abstractNum>
  <w:abstractNum w:abstractNumId="10" w15:restartNumberingAfterBreak="0">
    <w:nsid w:val="2CFC7C70"/>
    <w:multiLevelType w:val="multilevel"/>
    <w:tmpl w:val="8A44D1F8"/>
    <w:lvl w:ilvl="0">
      <w:start w:val="1"/>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D5B19"/>
    <w:multiLevelType w:val="multilevel"/>
    <w:tmpl w:val="558EB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14E3B"/>
    <w:multiLevelType w:val="multilevel"/>
    <w:tmpl w:val="8C820008"/>
    <w:lvl w:ilvl="0">
      <w:start w:val="1"/>
      <w:numFmt w:val="upperRoman"/>
      <w:lvlText w:val="%1."/>
      <w:lvlJc w:val="left"/>
      <w:pPr>
        <w:ind w:left="1080" w:hanging="72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3" w15:restartNumberingAfterBreak="0">
    <w:nsid w:val="3C0310BC"/>
    <w:multiLevelType w:val="hybridMultilevel"/>
    <w:tmpl w:val="832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205937"/>
    <w:multiLevelType w:val="hybridMultilevel"/>
    <w:tmpl w:val="A74470DC"/>
    <w:lvl w:ilvl="0" w:tplc="1828145E">
      <w:start w:val="1"/>
      <w:numFmt w:val="bullet"/>
      <w:lvlText w:val="-"/>
      <w:lvlJc w:val="left"/>
      <w:pPr>
        <w:ind w:left="360" w:hanging="360"/>
      </w:pPr>
      <w:rPr>
        <w:rFonts w:ascii="Times New Roman" w:eastAsia="Times New Roman" w:hAnsi="Times New Roman"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43A66C5B"/>
    <w:multiLevelType w:val="multilevel"/>
    <w:tmpl w:val="33163388"/>
    <w:lvl w:ilvl="0">
      <w:start w:val="5"/>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979593E"/>
    <w:multiLevelType w:val="hybridMultilevel"/>
    <w:tmpl w:val="437090B8"/>
    <w:lvl w:ilvl="0" w:tplc="FB2EA7F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633BD5"/>
    <w:multiLevelType w:val="hybridMultilevel"/>
    <w:tmpl w:val="E7FEB2C8"/>
    <w:lvl w:ilvl="0" w:tplc="3FE4650C">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A49B8"/>
    <w:multiLevelType w:val="hybridMultilevel"/>
    <w:tmpl w:val="B2223BCC"/>
    <w:lvl w:ilvl="0" w:tplc="D3FE4C24">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8882609"/>
    <w:multiLevelType w:val="multilevel"/>
    <w:tmpl w:val="8C820008"/>
    <w:lvl w:ilvl="0">
      <w:start w:val="1"/>
      <w:numFmt w:val="upperRoman"/>
      <w:lvlText w:val="%1."/>
      <w:lvlJc w:val="left"/>
      <w:pPr>
        <w:ind w:left="1080" w:hanging="72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0" w15:restartNumberingAfterBreak="0">
    <w:nsid w:val="62621EB9"/>
    <w:multiLevelType w:val="hybridMultilevel"/>
    <w:tmpl w:val="9322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5646F"/>
    <w:multiLevelType w:val="hybridMultilevel"/>
    <w:tmpl w:val="9D72C9C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CAD0694"/>
    <w:multiLevelType w:val="hybridMultilevel"/>
    <w:tmpl w:val="14A2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E64D2B"/>
    <w:multiLevelType w:val="hybridMultilevel"/>
    <w:tmpl w:val="3ECEE270"/>
    <w:lvl w:ilvl="0" w:tplc="8E6C4B2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AC2C0B"/>
    <w:multiLevelType w:val="hybridMultilevel"/>
    <w:tmpl w:val="C936CA78"/>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5" w15:restartNumberingAfterBreak="0">
    <w:nsid w:val="79E939CF"/>
    <w:multiLevelType w:val="hybridMultilevel"/>
    <w:tmpl w:val="1512D158"/>
    <w:lvl w:ilvl="0" w:tplc="1828145E">
      <w:start w:val="1"/>
      <w:numFmt w:val="bullet"/>
      <w:lvlText w:val="-"/>
      <w:lvlJc w:val="left"/>
      <w:pPr>
        <w:ind w:left="410" w:hanging="360"/>
      </w:pPr>
      <w:rPr>
        <w:rFonts w:ascii="Times New Roman" w:eastAsia="Times New Roman" w:hAnsi="Times New Roman" w:cs="Times New Roman" w:hint="default"/>
      </w:rPr>
    </w:lvl>
    <w:lvl w:ilvl="1" w:tplc="0C070003" w:tentative="1">
      <w:start w:val="1"/>
      <w:numFmt w:val="bullet"/>
      <w:lvlText w:val="o"/>
      <w:lvlJc w:val="left"/>
      <w:pPr>
        <w:ind w:left="1490" w:hanging="360"/>
      </w:pPr>
      <w:rPr>
        <w:rFonts w:ascii="Courier New" w:hAnsi="Courier New" w:cs="Courier New" w:hint="default"/>
      </w:rPr>
    </w:lvl>
    <w:lvl w:ilvl="2" w:tplc="0C070005" w:tentative="1">
      <w:start w:val="1"/>
      <w:numFmt w:val="bullet"/>
      <w:lvlText w:val=""/>
      <w:lvlJc w:val="left"/>
      <w:pPr>
        <w:ind w:left="2210" w:hanging="360"/>
      </w:pPr>
      <w:rPr>
        <w:rFonts w:ascii="Wingdings" w:hAnsi="Wingdings" w:hint="default"/>
      </w:rPr>
    </w:lvl>
    <w:lvl w:ilvl="3" w:tplc="0C070001" w:tentative="1">
      <w:start w:val="1"/>
      <w:numFmt w:val="bullet"/>
      <w:lvlText w:val=""/>
      <w:lvlJc w:val="left"/>
      <w:pPr>
        <w:ind w:left="2930" w:hanging="360"/>
      </w:pPr>
      <w:rPr>
        <w:rFonts w:ascii="Symbol" w:hAnsi="Symbol" w:hint="default"/>
      </w:rPr>
    </w:lvl>
    <w:lvl w:ilvl="4" w:tplc="0C070003" w:tentative="1">
      <w:start w:val="1"/>
      <w:numFmt w:val="bullet"/>
      <w:lvlText w:val="o"/>
      <w:lvlJc w:val="left"/>
      <w:pPr>
        <w:ind w:left="3650" w:hanging="360"/>
      </w:pPr>
      <w:rPr>
        <w:rFonts w:ascii="Courier New" w:hAnsi="Courier New" w:cs="Courier New" w:hint="default"/>
      </w:rPr>
    </w:lvl>
    <w:lvl w:ilvl="5" w:tplc="0C070005" w:tentative="1">
      <w:start w:val="1"/>
      <w:numFmt w:val="bullet"/>
      <w:lvlText w:val=""/>
      <w:lvlJc w:val="left"/>
      <w:pPr>
        <w:ind w:left="4370" w:hanging="360"/>
      </w:pPr>
      <w:rPr>
        <w:rFonts w:ascii="Wingdings" w:hAnsi="Wingdings" w:hint="default"/>
      </w:rPr>
    </w:lvl>
    <w:lvl w:ilvl="6" w:tplc="0C070001" w:tentative="1">
      <w:start w:val="1"/>
      <w:numFmt w:val="bullet"/>
      <w:lvlText w:val=""/>
      <w:lvlJc w:val="left"/>
      <w:pPr>
        <w:ind w:left="5090" w:hanging="360"/>
      </w:pPr>
      <w:rPr>
        <w:rFonts w:ascii="Symbol" w:hAnsi="Symbol" w:hint="default"/>
      </w:rPr>
    </w:lvl>
    <w:lvl w:ilvl="7" w:tplc="0C070003" w:tentative="1">
      <w:start w:val="1"/>
      <w:numFmt w:val="bullet"/>
      <w:lvlText w:val="o"/>
      <w:lvlJc w:val="left"/>
      <w:pPr>
        <w:ind w:left="5810" w:hanging="360"/>
      </w:pPr>
      <w:rPr>
        <w:rFonts w:ascii="Courier New" w:hAnsi="Courier New" w:cs="Courier New" w:hint="default"/>
      </w:rPr>
    </w:lvl>
    <w:lvl w:ilvl="8" w:tplc="0C070005" w:tentative="1">
      <w:start w:val="1"/>
      <w:numFmt w:val="bullet"/>
      <w:lvlText w:val=""/>
      <w:lvlJc w:val="left"/>
      <w:pPr>
        <w:ind w:left="6530" w:hanging="360"/>
      </w:pPr>
      <w:rPr>
        <w:rFonts w:ascii="Wingdings" w:hAnsi="Wingdings" w:hint="default"/>
      </w:rPr>
    </w:lvl>
  </w:abstractNum>
  <w:abstractNum w:abstractNumId="26" w15:restartNumberingAfterBreak="0">
    <w:nsid w:val="7D091F9D"/>
    <w:multiLevelType w:val="hybridMultilevel"/>
    <w:tmpl w:val="444814B6"/>
    <w:lvl w:ilvl="0" w:tplc="3BAC8E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3"/>
  </w:num>
  <w:num w:numId="4">
    <w:abstractNumId w:val="21"/>
  </w:num>
  <w:num w:numId="5">
    <w:abstractNumId w:val="1"/>
  </w:num>
  <w:num w:numId="6">
    <w:abstractNumId w:val="5"/>
  </w:num>
  <w:num w:numId="7">
    <w:abstractNumId w:val="15"/>
  </w:num>
  <w:num w:numId="8">
    <w:abstractNumId w:val="11"/>
  </w:num>
  <w:num w:numId="9">
    <w:abstractNumId w:val="25"/>
  </w:num>
  <w:num w:numId="10">
    <w:abstractNumId w:val="19"/>
  </w:num>
  <w:num w:numId="11">
    <w:abstractNumId w:val="7"/>
  </w:num>
  <w:num w:numId="12">
    <w:abstractNumId w:val="22"/>
  </w:num>
  <w:num w:numId="13">
    <w:abstractNumId w:val="13"/>
  </w:num>
  <w:num w:numId="14">
    <w:abstractNumId w:val="18"/>
  </w:num>
  <w:num w:numId="15">
    <w:abstractNumId w:val="6"/>
  </w:num>
  <w:num w:numId="16">
    <w:abstractNumId w:val="23"/>
  </w:num>
  <w:num w:numId="17">
    <w:abstractNumId w:val="4"/>
  </w:num>
  <w:num w:numId="18">
    <w:abstractNumId w:val="0"/>
  </w:num>
  <w:num w:numId="19">
    <w:abstractNumId w:val="26"/>
  </w:num>
  <w:num w:numId="20">
    <w:abstractNumId w:val="24"/>
  </w:num>
  <w:num w:numId="21">
    <w:abstractNumId w:val="20"/>
  </w:num>
  <w:num w:numId="22">
    <w:abstractNumId w:val="10"/>
  </w:num>
  <w:num w:numId="23">
    <w:abstractNumId w:val="9"/>
  </w:num>
  <w:num w:numId="24">
    <w:abstractNumId w:val="12"/>
  </w:num>
  <w:num w:numId="25">
    <w:abstractNumId w:val="16"/>
  </w:num>
  <w:num w:numId="26">
    <w:abstractNumId w:val="1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62"/>
    <w:rsid w:val="00023FA4"/>
    <w:rsid w:val="000355FF"/>
    <w:rsid w:val="0004366E"/>
    <w:rsid w:val="00046A5E"/>
    <w:rsid w:val="00050DFC"/>
    <w:rsid w:val="00052EC3"/>
    <w:rsid w:val="00083AD4"/>
    <w:rsid w:val="00162C41"/>
    <w:rsid w:val="002116F9"/>
    <w:rsid w:val="00211CD2"/>
    <w:rsid w:val="00233A44"/>
    <w:rsid w:val="00287362"/>
    <w:rsid w:val="00292183"/>
    <w:rsid w:val="002B09EA"/>
    <w:rsid w:val="002F3911"/>
    <w:rsid w:val="002F5CBD"/>
    <w:rsid w:val="00313DB7"/>
    <w:rsid w:val="003564B6"/>
    <w:rsid w:val="00374963"/>
    <w:rsid w:val="00385E48"/>
    <w:rsid w:val="00406971"/>
    <w:rsid w:val="004917D0"/>
    <w:rsid w:val="004952BA"/>
    <w:rsid w:val="004C1BB9"/>
    <w:rsid w:val="004D43FD"/>
    <w:rsid w:val="00512CCF"/>
    <w:rsid w:val="00522C54"/>
    <w:rsid w:val="00583003"/>
    <w:rsid w:val="005A3E21"/>
    <w:rsid w:val="005A65F7"/>
    <w:rsid w:val="005B1484"/>
    <w:rsid w:val="005D2164"/>
    <w:rsid w:val="005F2CA6"/>
    <w:rsid w:val="00615C97"/>
    <w:rsid w:val="00633080"/>
    <w:rsid w:val="00657854"/>
    <w:rsid w:val="00661A76"/>
    <w:rsid w:val="00664399"/>
    <w:rsid w:val="00667A59"/>
    <w:rsid w:val="006910F0"/>
    <w:rsid w:val="00693BC8"/>
    <w:rsid w:val="006B4F63"/>
    <w:rsid w:val="006F3C88"/>
    <w:rsid w:val="00734862"/>
    <w:rsid w:val="00760EB8"/>
    <w:rsid w:val="00773A61"/>
    <w:rsid w:val="007C2EDE"/>
    <w:rsid w:val="008465A6"/>
    <w:rsid w:val="008626C5"/>
    <w:rsid w:val="00865791"/>
    <w:rsid w:val="00877AC8"/>
    <w:rsid w:val="00897C18"/>
    <w:rsid w:val="008A360C"/>
    <w:rsid w:val="0095477A"/>
    <w:rsid w:val="009A3016"/>
    <w:rsid w:val="00A217A4"/>
    <w:rsid w:val="00A47602"/>
    <w:rsid w:val="00A61028"/>
    <w:rsid w:val="00A8275F"/>
    <w:rsid w:val="00AB2A43"/>
    <w:rsid w:val="00AC6EBC"/>
    <w:rsid w:val="00B16FD4"/>
    <w:rsid w:val="00B20CCF"/>
    <w:rsid w:val="00B4739A"/>
    <w:rsid w:val="00B86CAB"/>
    <w:rsid w:val="00BD5CBE"/>
    <w:rsid w:val="00C16622"/>
    <w:rsid w:val="00C5189D"/>
    <w:rsid w:val="00C57C26"/>
    <w:rsid w:val="00C86DEA"/>
    <w:rsid w:val="00C90231"/>
    <w:rsid w:val="00C944EA"/>
    <w:rsid w:val="00C96A2C"/>
    <w:rsid w:val="00CE1440"/>
    <w:rsid w:val="00CF4257"/>
    <w:rsid w:val="00D17DDC"/>
    <w:rsid w:val="00D31341"/>
    <w:rsid w:val="00D37C55"/>
    <w:rsid w:val="00D404D2"/>
    <w:rsid w:val="00D46DD8"/>
    <w:rsid w:val="00D54D81"/>
    <w:rsid w:val="00D56E68"/>
    <w:rsid w:val="00D56EE1"/>
    <w:rsid w:val="00DC1F61"/>
    <w:rsid w:val="00E141B8"/>
    <w:rsid w:val="00E54ADF"/>
    <w:rsid w:val="00E7325E"/>
    <w:rsid w:val="00EB0BD7"/>
    <w:rsid w:val="00EF1AAF"/>
    <w:rsid w:val="00EF2FCF"/>
    <w:rsid w:val="00EF32FA"/>
    <w:rsid w:val="00EF61F7"/>
    <w:rsid w:val="00F10CB0"/>
    <w:rsid w:val="00F44ACC"/>
    <w:rsid w:val="00F64EE3"/>
    <w:rsid w:val="00F93F6E"/>
    <w:rsid w:val="00FB2DFB"/>
    <w:rsid w:val="00FD3945"/>
    <w:rsid w:val="00FF4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305DA5-51FE-468C-ACC2-86128FB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862"/>
  </w:style>
  <w:style w:type="paragraph" w:styleId="Heading1">
    <w:name w:val="heading 1"/>
    <w:basedOn w:val="Normal"/>
    <w:next w:val="Normal"/>
    <w:link w:val="Heading1Char"/>
    <w:uiPriority w:val="9"/>
    <w:qFormat/>
    <w:rsid w:val="007348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86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734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4862"/>
    <w:rPr>
      <w:sz w:val="16"/>
      <w:szCs w:val="16"/>
    </w:rPr>
  </w:style>
  <w:style w:type="paragraph" w:styleId="CommentText">
    <w:name w:val="annotation text"/>
    <w:basedOn w:val="Normal"/>
    <w:link w:val="CommentTextChar"/>
    <w:uiPriority w:val="99"/>
    <w:unhideWhenUsed/>
    <w:rsid w:val="00734862"/>
    <w:pPr>
      <w:spacing w:line="240" w:lineRule="auto"/>
    </w:pPr>
    <w:rPr>
      <w:sz w:val="20"/>
      <w:szCs w:val="20"/>
    </w:rPr>
  </w:style>
  <w:style w:type="character" w:customStyle="1" w:styleId="CommentTextChar">
    <w:name w:val="Comment Text Char"/>
    <w:basedOn w:val="DefaultParagraphFont"/>
    <w:link w:val="CommentText"/>
    <w:uiPriority w:val="99"/>
    <w:rsid w:val="00734862"/>
    <w:rPr>
      <w:sz w:val="20"/>
      <w:szCs w:val="20"/>
    </w:rPr>
  </w:style>
  <w:style w:type="character" w:customStyle="1" w:styleId="font231">
    <w:name w:val="font231"/>
    <w:basedOn w:val="DefaultParagraphFont"/>
    <w:rsid w:val="00734862"/>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241">
    <w:name w:val="font241"/>
    <w:basedOn w:val="DefaultParagraphFont"/>
    <w:rsid w:val="00734862"/>
    <w:rPr>
      <w:rFonts w:ascii="Times New Roman" w:hAnsi="Times New Roman" w:cs="Times New Roman" w:hint="default"/>
      <w:b w:val="0"/>
      <w:bCs w:val="0"/>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734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862"/>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734862"/>
    <w:rPr>
      <w:b/>
      <w:bCs/>
      <w:sz w:val="20"/>
      <w:szCs w:val="20"/>
    </w:rPr>
  </w:style>
  <w:style w:type="paragraph" w:styleId="CommentSubject">
    <w:name w:val="annotation subject"/>
    <w:basedOn w:val="CommentText"/>
    <w:next w:val="CommentText"/>
    <w:link w:val="CommentSubjectChar"/>
    <w:uiPriority w:val="99"/>
    <w:semiHidden/>
    <w:unhideWhenUsed/>
    <w:rsid w:val="00734862"/>
    <w:rPr>
      <w:b/>
      <w:bCs/>
    </w:rPr>
  </w:style>
  <w:style w:type="character" w:customStyle="1" w:styleId="FootnoteTextChar">
    <w:name w:val="Footnote Text Char"/>
    <w:basedOn w:val="DefaultParagraphFont"/>
    <w:link w:val="FootnoteText"/>
    <w:uiPriority w:val="99"/>
    <w:semiHidden/>
    <w:rsid w:val="00734862"/>
    <w:rPr>
      <w:sz w:val="20"/>
      <w:szCs w:val="20"/>
      <w:lang w:val="mk-MK"/>
    </w:rPr>
  </w:style>
  <w:style w:type="paragraph" w:styleId="FootnoteText">
    <w:name w:val="footnote text"/>
    <w:basedOn w:val="Normal"/>
    <w:link w:val="FootnoteTextChar"/>
    <w:uiPriority w:val="99"/>
    <w:semiHidden/>
    <w:unhideWhenUsed/>
    <w:rsid w:val="00734862"/>
    <w:pPr>
      <w:spacing w:after="0" w:line="240" w:lineRule="auto"/>
    </w:pPr>
    <w:rPr>
      <w:sz w:val="20"/>
      <w:szCs w:val="20"/>
      <w:lang w:val="mk-MK"/>
    </w:rPr>
  </w:style>
  <w:style w:type="paragraph" w:styleId="ListParagraph">
    <w:name w:val="List Paragraph"/>
    <w:aliases w:val="List Paragraph2,Normal 1,List Paragraph (numbered (a)),Dot pt,F5 List Paragraph,List Paragraph Char Char Char,Indicator Text,Numbered Para 1,Bullet 1,Bullet Points,MAIN CONTENT,Párrafo de lista,Recommendation,No Spacing1,List Paragraph1,L"/>
    <w:basedOn w:val="Normal"/>
    <w:link w:val="ListParagraphChar"/>
    <w:uiPriority w:val="34"/>
    <w:qFormat/>
    <w:rsid w:val="00734862"/>
    <w:pPr>
      <w:ind w:left="720"/>
      <w:contextualSpacing/>
    </w:pPr>
  </w:style>
  <w:style w:type="character" w:customStyle="1" w:styleId="ListParagraphChar">
    <w:name w:val="List Paragraph Char"/>
    <w:aliases w:val="List Paragraph2 Char,Normal 1 Char,List Paragraph (numbered (a)) Char,Dot pt Char,F5 List Paragraph Char,List Paragraph Char Char Char Char,Indicator Text Char,Numbered Para 1 Char,Bullet 1 Char,Bullet Points Char,MAIN CONTENT Char"/>
    <w:link w:val="ListParagraph"/>
    <w:uiPriority w:val="34"/>
    <w:qFormat/>
    <w:locked/>
    <w:rsid w:val="00734862"/>
  </w:style>
  <w:style w:type="paragraph" w:customStyle="1" w:styleId="pf1">
    <w:name w:val="pf1"/>
    <w:basedOn w:val="Normal"/>
    <w:rsid w:val="007348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f0">
    <w:name w:val="pf0"/>
    <w:basedOn w:val="Normal"/>
    <w:rsid w:val="007348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734862"/>
    <w:rPr>
      <w:rFonts w:ascii="Segoe UI" w:hAnsi="Segoe UI" w:cs="Segoe UI" w:hint="default"/>
      <w:sz w:val="18"/>
      <w:szCs w:val="18"/>
    </w:rPr>
  </w:style>
  <w:style w:type="paragraph" w:styleId="Header">
    <w:name w:val="header"/>
    <w:basedOn w:val="Normal"/>
    <w:link w:val="HeaderChar"/>
    <w:uiPriority w:val="99"/>
    <w:unhideWhenUsed/>
    <w:rsid w:val="00734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862"/>
  </w:style>
  <w:style w:type="paragraph" w:styleId="Footer">
    <w:name w:val="footer"/>
    <w:basedOn w:val="Normal"/>
    <w:link w:val="FooterChar"/>
    <w:uiPriority w:val="99"/>
    <w:unhideWhenUsed/>
    <w:rsid w:val="00734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862"/>
  </w:style>
  <w:style w:type="paragraph" w:styleId="NormalWeb">
    <w:name w:val="Normal (Web)"/>
    <w:basedOn w:val="Normal"/>
    <w:uiPriority w:val="99"/>
    <w:unhideWhenUsed/>
    <w:rsid w:val="007348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8010</Words>
  <Characters>45663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Greis Como</cp:lastModifiedBy>
  <cp:revision>2</cp:revision>
  <dcterms:created xsi:type="dcterms:W3CDTF">2023-10-03T07:34:00Z</dcterms:created>
  <dcterms:modified xsi:type="dcterms:W3CDTF">2023-10-03T07:34:00Z</dcterms:modified>
</cp:coreProperties>
</file>