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DD1F" w14:textId="0265852A" w:rsidR="008675CA" w:rsidRPr="00BF2355" w:rsidRDefault="00D61801" w:rsidP="00BF2355">
      <w:pPr>
        <w:pStyle w:val="Heading2"/>
        <w:spacing w:line="276" w:lineRule="auto"/>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6372D3DD" w14:textId="77F5AD29" w:rsidR="008675CA" w:rsidRPr="00064897" w:rsidRDefault="009C2E02" w:rsidP="00064897">
      <w:pPr>
        <w:adjustRightInd w:val="0"/>
        <w:spacing w:before="188" w:line="276" w:lineRule="auto"/>
        <w:ind w:right="-20"/>
        <w:jc w:val="center"/>
        <w:rPr>
          <w:b/>
          <w:bCs/>
          <w:lang w:val="en-US"/>
        </w:rPr>
      </w:pPr>
      <w:r w:rsidRPr="00BF2355">
        <w:rPr>
          <w:rFonts w:ascii="Times New Roman" w:hAnsi="Times New Roman"/>
          <w:b/>
          <w:sz w:val="24"/>
          <w:szCs w:val="24"/>
          <w:lang w:val="sq-AL"/>
        </w:rPr>
        <w:t xml:space="preserve">Për </w:t>
      </w:r>
      <w:r w:rsidR="00845CB3">
        <w:rPr>
          <w:rFonts w:ascii="Times New Roman" w:hAnsi="Times New Roman"/>
          <w:b/>
          <w:sz w:val="24"/>
          <w:szCs w:val="24"/>
          <w:lang w:val="sq-AL"/>
        </w:rPr>
        <w:t>projektvendimin</w:t>
      </w:r>
      <w:r w:rsidRPr="00BF2355">
        <w:rPr>
          <w:rFonts w:ascii="Times New Roman" w:hAnsi="Times New Roman"/>
          <w:b/>
          <w:sz w:val="24"/>
          <w:szCs w:val="24"/>
          <w:lang w:val="sq-AL"/>
        </w:rPr>
        <w:t xml:space="preserve"> </w:t>
      </w:r>
      <w:r w:rsidR="00AC4D67" w:rsidRPr="00BF2355">
        <w:rPr>
          <w:rFonts w:ascii="Times New Roman" w:hAnsi="Times New Roman"/>
          <w:b/>
          <w:sz w:val="24"/>
          <w:szCs w:val="24"/>
          <w:lang w:val="sq-AL"/>
        </w:rPr>
        <w:t>“</w:t>
      </w:r>
      <w:proofErr w:type="spellStart"/>
      <w:r w:rsidR="00064897" w:rsidRPr="00064897">
        <w:rPr>
          <w:rFonts w:ascii="Times New Roman" w:hAnsi="Times New Roman"/>
          <w:b/>
          <w:bCs/>
          <w:sz w:val="24"/>
          <w:szCs w:val="24"/>
          <w:lang w:val="en-US"/>
        </w:rPr>
        <w:t>Për</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Miratimin</w:t>
      </w:r>
      <w:proofErr w:type="spellEnd"/>
      <w:r w:rsidR="00064897" w:rsidRPr="00064897">
        <w:rPr>
          <w:rFonts w:ascii="Times New Roman" w:hAnsi="Times New Roman"/>
          <w:b/>
          <w:bCs/>
          <w:sz w:val="24"/>
          <w:szCs w:val="24"/>
          <w:lang w:val="en-US"/>
        </w:rPr>
        <w:t xml:space="preserve"> </w:t>
      </w:r>
      <w:r w:rsidR="00064897">
        <w:rPr>
          <w:rFonts w:ascii="Times New Roman" w:hAnsi="Times New Roman"/>
          <w:b/>
          <w:bCs/>
          <w:sz w:val="24"/>
          <w:szCs w:val="24"/>
          <w:lang w:val="en-US"/>
        </w:rPr>
        <w:t>e</w:t>
      </w:r>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Dokumentit</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Udhëzues</w:t>
      </w:r>
      <w:proofErr w:type="spellEnd"/>
      <w:r w:rsidR="00064897" w:rsidRPr="00064897">
        <w:rPr>
          <w:rFonts w:ascii="Times New Roman" w:hAnsi="Times New Roman"/>
          <w:b/>
          <w:bCs/>
          <w:sz w:val="24"/>
          <w:szCs w:val="24"/>
          <w:lang w:val="en-US"/>
        </w:rPr>
        <w:t xml:space="preserve"> </w:t>
      </w:r>
      <w:proofErr w:type="spellStart"/>
      <w:r w:rsidR="00064897">
        <w:rPr>
          <w:rFonts w:ascii="Times New Roman" w:hAnsi="Times New Roman"/>
          <w:b/>
          <w:bCs/>
          <w:sz w:val="24"/>
          <w:szCs w:val="24"/>
          <w:lang w:val="en-US"/>
        </w:rPr>
        <w:t>t</w:t>
      </w:r>
      <w:r w:rsidR="00064897" w:rsidRPr="00064897">
        <w:rPr>
          <w:rFonts w:ascii="Times New Roman" w:hAnsi="Times New Roman"/>
          <w:b/>
          <w:bCs/>
          <w:sz w:val="24"/>
          <w:szCs w:val="24"/>
          <w:lang w:val="en-US"/>
        </w:rPr>
        <w:t>ë</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Politikave</w:t>
      </w:r>
      <w:proofErr w:type="spellEnd"/>
      <w:r w:rsidR="00064897" w:rsidRPr="00064897">
        <w:rPr>
          <w:rFonts w:ascii="Times New Roman" w:hAnsi="Times New Roman"/>
          <w:b/>
          <w:bCs/>
          <w:sz w:val="24"/>
          <w:szCs w:val="24"/>
          <w:lang w:val="en-US"/>
        </w:rPr>
        <w:t xml:space="preserve"> </w:t>
      </w:r>
      <w:proofErr w:type="spellStart"/>
      <w:r w:rsidR="00064897">
        <w:rPr>
          <w:rFonts w:ascii="Times New Roman" w:hAnsi="Times New Roman"/>
          <w:b/>
          <w:bCs/>
          <w:sz w:val="24"/>
          <w:szCs w:val="24"/>
          <w:lang w:val="en-US"/>
        </w:rPr>
        <w:t>m</w:t>
      </w:r>
      <w:r w:rsidR="00064897" w:rsidRPr="00064897">
        <w:rPr>
          <w:rFonts w:ascii="Times New Roman" w:hAnsi="Times New Roman"/>
          <w:b/>
          <w:bCs/>
          <w:sz w:val="24"/>
          <w:szCs w:val="24"/>
          <w:lang w:val="en-US"/>
        </w:rPr>
        <w:t>bi</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Zonat</w:t>
      </w:r>
      <w:proofErr w:type="spellEnd"/>
      <w:r w:rsidR="00064897" w:rsidRPr="00064897">
        <w:rPr>
          <w:rFonts w:ascii="Times New Roman" w:hAnsi="Times New Roman"/>
          <w:b/>
          <w:bCs/>
          <w:sz w:val="24"/>
          <w:szCs w:val="24"/>
          <w:lang w:val="en-US"/>
        </w:rPr>
        <w:t xml:space="preserve"> </w:t>
      </w:r>
      <w:r w:rsidR="00064897">
        <w:rPr>
          <w:rFonts w:ascii="Times New Roman" w:hAnsi="Times New Roman"/>
          <w:b/>
          <w:bCs/>
          <w:sz w:val="24"/>
          <w:szCs w:val="24"/>
          <w:lang w:val="en-US"/>
        </w:rPr>
        <w:t>e</w:t>
      </w:r>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Përcaktuara</w:t>
      </w:r>
      <w:proofErr w:type="spellEnd"/>
      <w:r w:rsidR="00064897" w:rsidRPr="00064897">
        <w:rPr>
          <w:rFonts w:ascii="Times New Roman" w:hAnsi="Times New Roman"/>
          <w:b/>
          <w:bCs/>
          <w:sz w:val="24"/>
          <w:szCs w:val="24"/>
          <w:lang w:val="en-US"/>
        </w:rPr>
        <w:t xml:space="preserve"> </w:t>
      </w:r>
      <w:proofErr w:type="spellStart"/>
      <w:r w:rsidR="00064897">
        <w:rPr>
          <w:rFonts w:ascii="Times New Roman" w:hAnsi="Times New Roman"/>
          <w:b/>
          <w:bCs/>
          <w:sz w:val="24"/>
          <w:szCs w:val="24"/>
          <w:lang w:val="en-US"/>
        </w:rPr>
        <w:t>p</w:t>
      </w:r>
      <w:r w:rsidR="00064897" w:rsidRPr="00064897">
        <w:rPr>
          <w:rFonts w:ascii="Times New Roman" w:hAnsi="Times New Roman"/>
          <w:b/>
          <w:bCs/>
          <w:sz w:val="24"/>
          <w:szCs w:val="24"/>
          <w:lang w:val="en-US"/>
        </w:rPr>
        <w:t>ër</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Akuakulturë</w:t>
      </w:r>
      <w:proofErr w:type="spellEnd"/>
      <w:r w:rsidR="00064897" w:rsidRPr="00064897">
        <w:rPr>
          <w:rFonts w:ascii="Times New Roman" w:hAnsi="Times New Roman"/>
          <w:b/>
          <w:bCs/>
          <w:sz w:val="24"/>
          <w:szCs w:val="24"/>
          <w:lang w:val="en-US"/>
        </w:rPr>
        <w:t xml:space="preserve"> (Z</w:t>
      </w:r>
      <w:r w:rsidR="00064897">
        <w:rPr>
          <w:rFonts w:ascii="Times New Roman" w:hAnsi="Times New Roman"/>
          <w:b/>
          <w:bCs/>
          <w:sz w:val="24"/>
          <w:szCs w:val="24"/>
          <w:lang w:val="en-US"/>
        </w:rPr>
        <w:t>PA</w:t>
      </w:r>
      <w:r w:rsidR="00064897" w:rsidRPr="00064897">
        <w:rPr>
          <w:rFonts w:ascii="Times New Roman" w:hAnsi="Times New Roman"/>
          <w:b/>
          <w:bCs/>
          <w:sz w:val="24"/>
          <w:szCs w:val="24"/>
          <w:lang w:val="en-US"/>
        </w:rPr>
        <w:t xml:space="preserve">) </w:t>
      </w:r>
      <w:proofErr w:type="spellStart"/>
      <w:r w:rsidR="00064897">
        <w:rPr>
          <w:rFonts w:ascii="Times New Roman" w:hAnsi="Times New Roman"/>
          <w:b/>
          <w:bCs/>
          <w:sz w:val="24"/>
          <w:szCs w:val="24"/>
          <w:lang w:val="en-US"/>
        </w:rPr>
        <w:t>n</w:t>
      </w:r>
      <w:r w:rsidR="00064897" w:rsidRPr="00064897">
        <w:rPr>
          <w:rFonts w:ascii="Times New Roman" w:hAnsi="Times New Roman"/>
          <w:b/>
          <w:bCs/>
          <w:sz w:val="24"/>
          <w:szCs w:val="24"/>
          <w:lang w:val="en-US"/>
        </w:rPr>
        <w:t>ë</w:t>
      </w:r>
      <w:proofErr w:type="spellEnd"/>
      <w:r w:rsidR="00064897" w:rsidRPr="00064897">
        <w:rPr>
          <w:rFonts w:ascii="Times New Roman" w:hAnsi="Times New Roman"/>
          <w:b/>
          <w:bCs/>
          <w:sz w:val="24"/>
          <w:szCs w:val="24"/>
          <w:lang w:val="en-US"/>
        </w:rPr>
        <w:t xml:space="preserve"> </w:t>
      </w:r>
      <w:proofErr w:type="spellStart"/>
      <w:r w:rsidR="00064897" w:rsidRPr="00064897">
        <w:rPr>
          <w:rFonts w:ascii="Times New Roman" w:hAnsi="Times New Roman"/>
          <w:b/>
          <w:bCs/>
          <w:sz w:val="24"/>
          <w:szCs w:val="24"/>
          <w:lang w:val="en-US"/>
        </w:rPr>
        <w:t>Shqipëri</w:t>
      </w:r>
      <w:proofErr w:type="spellEnd"/>
      <w:r w:rsidR="00AC4D67" w:rsidRPr="00BF2355">
        <w:rPr>
          <w:rFonts w:ascii="Times New Roman" w:eastAsia="MS Mincho" w:hAnsi="Times New Roman"/>
          <w:b/>
          <w:sz w:val="24"/>
          <w:szCs w:val="24"/>
          <w:lang w:val="sq-AL"/>
        </w:rPr>
        <w:t>”</w:t>
      </w:r>
    </w:p>
    <w:p w14:paraId="364F00E7" w14:textId="77777777" w:rsidR="009C2E02" w:rsidRPr="00BF2355" w:rsidRDefault="009C2E02" w:rsidP="00BF2355">
      <w:pPr>
        <w:pStyle w:val="BodyText"/>
        <w:spacing w:line="276" w:lineRule="auto"/>
        <w:jc w:val="center"/>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107036DC" w14:textId="1FF0562A" w:rsidR="001E4573" w:rsidRPr="00BF2355" w:rsidRDefault="00B87EE9" w:rsidP="00BF2355">
            <w:pPr>
              <w:pStyle w:val="BodyText"/>
              <w:spacing w:line="276" w:lineRule="auto"/>
              <w:jc w:val="both"/>
              <w:rPr>
                <w:rFonts w:ascii="Times New Roman" w:eastAsia="MS Mincho" w:hAnsi="Times New Roman"/>
                <w:sz w:val="24"/>
                <w:szCs w:val="24"/>
                <w:lang w:val="sq-AL"/>
              </w:rPr>
            </w:pPr>
            <w:r w:rsidRPr="00BF2355">
              <w:rPr>
                <w:rFonts w:ascii="Times New Roman" w:hAnsi="Times New Roman"/>
                <w:sz w:val="24"/>
                <w:szCs w:val="24"/>
                <w:lang w:val="sq-AL"/>
              </w:rPr>
              <w:t xml:space="preserve">Ministria e </w:t>
            </w:r>
            <w:r w:rsidR="00064897">
              <w:rPr>
                <w:rFonts w:ascii="Times New Roman" w:hAnsi="Times New Roman"/>
                <w:sz w:val="24"/>
                <w:szCs w:val="24"/>
                <w:lang w:val="sq-AL"/>
              </w:rPr>
              <w:t>Bujqësisë dhe Zhvillimit Rural</w:t>
            </w:r>
            <w:r w:rsidRPr="00BF2355">
              <w:rPr>
                <w:rFonts w:ascii="Times New Roman" w:hAnsi="Times New Roman"/>
                <w:sz w:val="24"/>
                <w:szCs w:val="24"/>
                <w:lang w:val="sq-AL"/>
              </w:rPr>
              <w:t xml:space="preserve">, në kuadër të procesit të konsultimit </w:t>
            </w:r>
            <w:r w:rsidR="00A05359" w:rsidRPr="00BF2355">
              <w:rPr>
                <w:rFonts w:ascii="Times New Roman" w:hAnsi="Times New Roman"/>
                <w:sz w:val="24"/>
                <w:szCs w:val="24"/>
                <w:lang w:val="sq-AL"/>
              </w:rPr>
              <w:t>të projekt</w:t>
            </w:r>
            <w:r w:rsidR="00064897">
              <w:rPr>
                <w:rFonts w:ascii="Times New Roman" w:hAnsi="Times New Roman"/>
                <w:sz w:val="24"/>
                <w:szCs w:val="24"/>
                <w:lang w:val="sq-AL"/>
              </w:rPr>
              <w:t>vendimit</w:t>
            </w:r>
            <w:r w:rsidR="00A05359" w:rsidRPr="00BF2355">
              <w:rPr>
                <w:rFonts w:ascii="Times New Roman" w:hAnsi="Times New Roman"/>
                <w:sz w:val="24"/>
                <w:szCs w:val="24"/>
                <w:lang w:val="sq-AL"/>
              </w:rPr>
              <w:t xml:space="preserve"> </w:t>
            </w:r>
            <w:r w:rsidR="00AC4D67" w:rsidRPr="00BF2355">
              <w:rPr>
                <w:rFonts w:ascii="Times New Roman" w:hAnsi="Times New Roman"/>
                <w:b/>
                <w:sz w:val="24"/>
                <w:szCs w:val="24"/>
                <w:lang w:val="sq-AL"/>
              </w:rPr>
              <w:t>“</w:t>
            </w:r>
            <w:r w:rsidR="00064897" w:rsidRPr="00064897">
              <w:rPr>
                <w:rFonts w:ascii="Times New Roman" w:hAnsi="Times New Roman"/>
                <w:b/>
                <w:sz w:val="24"/>
                <w:szCs w:val="24"/>
                <w:lang w:val="sq-AL"/>
              </w:rPr>
              <w:t>Për Miratimin e Dokumentit Udhëzues të Politikave mbi Zonat e Përcaktuara për Akuakulturë (ZPA) në Shqipëri</w:t>
            </w:r>
            <w:r w:rsidR="00AC4D67" w:rsidRPr="00BF2355">
              <w:rPr>
                <w:rFonts w:ascii="Times New Roman" w:hAnsi="Times New Roman"/>
                <w:b/>
                <w:sz w:val="24"/>
                <w:szCs w:val="24"/>
                <w:lang w:val="sq-AL"/>
              </w:rPr>
              <w:t>”</w:t>
            </w:r>
            <w:r w:rsidR="00A05359" w:rsidRPr="00BF2355">
              <w:rPr>
                <w:rFonts w:ascii="Times New Roman" w:hAnsi="Times New Roman"/>
                <w:sz w:val="24"/>
                <w:szCs w:val="24"/>
                <w:lang w:val="sq-AL"/>
              </w:rPr>
              <w:t xml:space="preserve">, </w:t>
            </w:r>
            <w:r w:rsidRPr="00BF2355">
              <w:rPr>
                <w:rFonts w:ascii="Times New Roman" w:hAnsi="Times New Roman"/>
                <w:sz w:val="24"/>
                <w:szCs w:val="24"/>
                <w:lang w:val="sq-AL"/>
              </w:rPr>
              <w:t>mirëpret sugjerimet</w:t>
            </w:r>
            <w:r w:rsidR="002668F0">
              <w:rPr>
                <w:rFonts w:ascii="Times New Roman" w:hAnsi="Times New Roman"/>
                <w:sz w:val="24"/>
                <w:szCs w:val="24"/>
                <w:lang w:val="sq-AL"/>
              </w:rPr>
              <w:t xml:space="preserve"> ose komentet</w:t>
            </w:r>
            <w:r w:rsidRPr="00BF2355">
              <w:rPr>
                <w:rFonts w:ascii="Times New Roman" w:hAnsi="Times New Roman"/>
                <w:sz w:val="24"/>
                <w:szCs w:val="24"/>
                <w:lang w:val="sq-AL"/>
              </w:rPr>
              <w:t xml:space="preserve"> nga qytetarët, </w:t>
            </w:r>
            <w:r w:rsidR="00A73EFE" w:rsidRPr="00BF2355">
              <w:rPr>
                <w:rFonts w:ascii="Times New Roman" w:hAnsi="Times New Roman"/>
                <w:sz w:val="24"/>
                <w:szCs w:val="24"/>
                <w:lang w:val="sq-AL"/>
              </w:rPr>
              <w:t xml:space="preserve">ekspertë të fushës, </w:t>
            </w:r>
            <w:r w:rsidR="00B0093C" w:rsidRPr="00BF2355">
              <w:rPr>
                <w:rFonts w:ascii="Times New Roman" w:hAnsi="Times New Roman"/>
                <w:sz w:val="24"/>
                <w:szCs w:val="24"/>
                <w:lang w:val="sq-AL"/>
              </w:rPr>
              <w:t xml:space="preserve">nga </w:t>
            </w:r>
            <w:r w:rsidR="00A73EFE" w:rsidRPr="00BF2355">
              <w:rPr>
                <w:rFonts w:ascii="Times New Roman" w:hAnsi="Times New Roman"/>
                <w:sz w:val="24"/>
                <w:szCs w:val="24"/>
                <w:lang w:val="sq-AL"/>
              </w:rPr>
              <w:t xml:space="preserve">të gjitha </w:t>
            </w:r>
            <w:r w:rsidR="00B0093C" w:rsidRPr="00BF2355">
              <w:rPr>
                <w:rFonts w:ascii="Times New Roman" w:hAnsi="Times New Roman"/>
                <w:sz w:val="24"/>
                <w:szCs w:val="24"/>
                <w:lang w:val="sq-AL"/>
              </w:rPr>
              <w:t>instituc</w:t>
            </w:r>
            <w:r w:rsidR="00A05359" w:rsidRPr="00BF2355">
              <w:rPr>
                <w:rFonts w:ascii="Times New Roman" w:hAnsi="Times New Roman"/>
                <w:sz w:val="24"/>
                <w:szCs w:val="24"/>
                <w:lang w:val="sq-AL"/>
              </w:rPr>
              <w:t>ionet dhe subjektet e</w:t>
            </w:r>
            <w:r w:rsidR="00092682" w:rsidRPr="00BF2355">
              <w:rPr>
                <w:rFonts w:ascii="Times New Roman" w:hAnsi="Times New Roman"/>
                <w:sz w:val="24"/>
                <w:szCs w:val="24"/>
                <w:lang w:val="sq-AL"/>
              </w:rPr>
              <w:t xml:space="preserve"> interesuara</w:t>
            </w:r>
            <w:r w:rsidRPr="00BF2355">
              <w:rPr>
                <w:rFonts w:ascii="Times New Roman" w:hAnsi="Times New Roman"/>
                <w:sz w:val="24"/>
                <w:szCs w:val="24"/>
                <w:lang w:val="sq-AL"/>
              </w:rPr>
              <w:t xml:space="preserve">, </w:t>
            </w:r>
            <w:r w:rsidR="002310D5" w:rsidRPr="00BF2355">
              <w:rPr>
                <w:rFonts w:ascii="Times New Roman" w:hAnsi="Times New Roman"/>
                <w:bCs/>
                <w:iCs/>
                <w:sz w:val="24"/>
                <w:szCs w:val="24"/>
                <w:lang w:val="sq-AL" w:bidi="en-US"/>
              </w:rPr>
              <w:t xml:space="preserve">organizata </w:t>
            </w:r>
            <w:r w:rsidR="00A05359" w:rsidRPr="00BF2355">
              <w:rPr>
                <w:rFonts w:ascii="Times New Roman" w:hAnsi="Times New Roman"/>
                <w:bCs/>
                <w:iCs/>
                <w:sz w:val="24"/>
                <w:szCs w:val="24"/>
                <w:lang w:val="sq-AL" w:bidi="en-US"/>
              </w:rPr>
              <w:t xml:space="preserve">jofitimprurëse, shoqëria civile, </w:t>
            </w:r>
            <w:r w:rsidR="00FC3DD2" w:rsidRPr="00BF2355">
              <w:rPr>
                <w:rFonts w:ascii="Times New Roman" w:hAnsi="Times New Roman"/>
                <w:bCs/>
                <w:iCs/>
                <w:sz w:val="24"/>
                <w:szCs w:val="24"/>
                <w:lang w:val="sq-AL" w:bidi="en-US"/>
              </w:rPr>
              <w:t xml:space="preserve">të drejtat ose </w:t>
            </w:r>
            <w:r w:rsidR="00A05359" w:rsidRPr="00BF2355">
              <w:rPr>
                <w:rFonts w:ascii="Times New Roman" w:hAnsi="Times New Roman"/>
                <w:bCs/>
                <w:iCs/>
                <w:sz w:val="24"/>
                <w:szCs w:val="24"/>
                <w:lang w:val="sq-AL" w:bidi="en-US"/>
              </w:rPr>
              <w:t>objekti i veprimtarisë të</w:t>
            </w:r>
            <w:r w:rsidR="00FC3DD2" w:rsidRPr="00BF2355">
              <w:rPr>
                <w:rFonts w:ascii="Times New Roman" w:hAnsi="Times New Roman"/>
                <w:bCs/>
                <w:iCs/>
                <w:sz w:val="24"/>
                <w:szCs w:val="24"/>
                <w:lang w:val="sq-AL" w:bidi="en-US"/>
              </w:rPr>
              <w:t xml:space="preserve"> t</w:t>
            </w:r>
            <w:r w:rsidR="00A05359" w:rsidRPr="00BF2355">
              <w:rPr>
                <w:rFonts w:ascii="Times New Roman" w:hAnsi="Times New Roman"/>
                <w:bCs/>
                <w:iCs/>
                <w:sz w:val="24"/>
                <w:szCs w:val="24"/>
                <w:lang w:val="sq-AL" w:bidi="en-US"/>
              </w:rPr>
              <w:t>ë cil</w:t>
            </w:r>
            <w:r w:rsidR="00FC3DD2" w:rsidRPr="00BF2355">
              <w:rPr>
                <w:rFonts w:ascii="Times New Roman" w:hAnsi="Times New Roman"/>
                <w:bCs/>
                <w:iCs/>
                <w:sz w:val="24"/>
                <w:szCs w:val="24"/>
                <w:lang w:val="sq-AL" w:bidi="en-US"/>
              </w:rPr>
              <w:t>a</w:t>
            </w:r>
            <w:r w:rsidR="00A05359" w:rsidRPr="00BF2355">
              <w:rPr>
                <w:rFonts w:ascii="Times New Roman" w:hAnsi="Times New Roman"/>
                <w:bCs/>
                <w:iCs/>
                <w:sz w:val="24"/>
                <w:szCs w:val="24"/>
                <w:lang w:val="sq-AL" w:bidi="en-US"/>
              </w:rPr>
              <w:t xml:space="preserve">ve </w:t>
            </w:r>
            <w:r w:rsidR="00FC3DD2" w:rsidRPr="00BF2355">
              <w:rPr>
                <w:rFonts w:ascii="Times New Roman" w:hAnsi="Times New Roman"/>
                <w:bCs/>
                <w:iCs/>
                <w:sz w:val="24"/>
                <w:szCs w:val="24"/>
                <w:lang w:val="sq-AL" w:bidi="en-US"/>
              </w:rPr>
              <w:t xml:space="preserve">ka të bëjë apo ndikohet në mënyrë të drejtpërdrejtë </w:t>
            </w:r>
            <w:r w:rsidR="002726E3" w:rsidRPr="00BF2355">
              <w:rPr>
                <w:rFonts w:ascii="Times New Roman" w:hAnsi="Times New Roman"/>
                <w:bCs/>
                <w:iCs/>
                <w:sz w:val="24"/>
                <w:szCs w:val="24"/>
                <w:lang w:val="sq-AL" w:bidi="en-US"/>
              </w:rPr>
              <w:t xml:space="preserve">ose </w:t>
            </w:r>
            <w:r w:rsidR="002668F0">
              <w:rPr>
                <w:rFonts w:ascii="Times New Roman" w:hAnsi="Times New Roman"/>
                <w:bCs/>
                <w:iCs/>
                <w:sz w:val="24"/>
                <w:szCs w:val="24"/>
                <w:lang w:val="sq-AL" w:bidi="en-US"/>
              </w:rPr>
              <w:t>tërthorazi</w:t>
            </w:r>
            <w:r w:rsidR="002726E3" w:rsidRPr="00BF2355">
              <w:rPr>
                <w:rFonts w:ascii="Times New Roman" w:hAnsi="Times New Roman"/>
                <w:bCs/>
                <w:iCs/>
                <w:sz w:val="24"/>
                <w:szCs w:val="24"/>
                <w:lang w:val="sq-AL" w:bidi="en-US"/>
              </w:rPr>
              <w:t xml:space="preserve"> </w:t>
            </w:r>
            <w:r w:rsidR="00FC3DD2" w:rsidRPr="00BF2355">
              <w:rPr>
                <w:rFonts w:ascii="Times New Roman" w:hAnsi="Times New Roman"/>
                <w:bCs/>
                <w:iCs/>
                <w:sz w:val="24"/>
                <w:szCs w:val="24"/>
                <w:lang w:val="sq-AL" w:bidi="en-US"/>
              </w:rPr>
              <w:t xml:space="preserve">nga </w:t>
            </w:r>
            <w:r w:rsidR="001077A7" w:rsidRPr="00BF2355">
              <w:rPr>
                <w:rFonts w:ascii="Times New Roman" w:hAnsi="Times New Roman"/>
                <w:bCs/>
                <w:iCs/>
                <w:sz w:val="24"/>
                <w:szCs w:val="24"/>
                <w:lang w:val="sq-AL" w:bidi="en-US"/>
              </w:rPr>
              <w:t xml:space="preserve">përcaktimet e kësaj nisme. </w:t>
            </w:r>
            <w:r w:rsidR="00064897">
              <w:rPr>
                <w:rFonts w:ascii="Times New Roman" w:hAnsi="Times New Roman"/>
                <w:bCs/>
                <w:iCs/>
                <w:sz w:val="24"/>
                <w:szCs w:val="24"/>
                <w:lang w:val="sq-AL" w:bidi="en-US"/>
              </w:rPr>
              <w:t xml:space="preserve"> </w:t>
            </w:r>
          </w:p>
        </w:tc>
      </w:tr>
    </w:tbl>
    <w:p w14:paraId="4DD98B09" w14:textId="77777777" w:rsidR="008675CA" w:rsidRPr="00BF2355" w:rsidRDefault="008675CA" w:rsidP="00BF2355">
      <w:pPr>
        <w:pStyle w:val="BodyText"/>
        <w:spacing w:line="276" w:lineRule="auto"/>
        <w:jc w:val="both"/>
        <w:rPr>
          <w:rFonts w:ascii="Times New Roman" w:hAnsi="Times New Roman"/>
          <w:sz w:val="24"/>
          <w:szCs w:val="24"/>
          <w:highlight w:val="yellow"/>
          <w:lang w:val="sq-AL"/>
        </w:rPr>
      </w:pPr>
    </w:p>
    <w:p w14:paraId="2DB7AA7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0D1B963D" w:rsidR="001E4573" w:rsidRPr="00BF2355" w:rsidRDefault="00B0093C" w:rsidP="00B11C82">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AC4D67" w:rsidRPr="00B11C82">
              <w:rPr>
                <w:rFonts w:ascii="Times New Roman" w:hAnsi="Times New Roman"/>
                <w:sz w:val="24"/>
                <w:szCs w:val="24"/>
                <w:lang w:val="sq-AL"/>
              </w:rPr>
              <w:t>1</w:t>
            </w:r>
            <w:r w:rsidR="00064897">
              <w:rPr>
                <w:rFonts w:ascii="Times New Roman" w:hAnsi="Times New Roman"/>
                <w:sz w:val="24"/>
                <w:szCs w:val="24"/>
                <w:lang w:val="sq-AL"/>
              </w:rPr>
              <w:t>4</w:t>
            </w:r>
            <w:r w:rsidR="00AC4D67" w:rsidRPr="00B11C82">
              <w:rPr>
                <w:rFonts w:ascii="Times New Roman" w:hAnsi="Times New Roman"/>
                <w:sz w:val="24"/>
                <w:szCs w:val="24"/>
                <w:lang w:val="sq-AL"/>
              </w:rPr>
              <w:t xml:space="preserve"> </w:t>
            </w:r>
            <w:r w:rsidR="00064897">
              <w:rPr>
                <w:rFonts w:ascii="Times New Roman" w:hAnsi="Times New Roman"/>
                <w:sz w:val="24"/>
                <w:szCs w:val="24"/>
                <w:lang w:val="sq-AL"/>
              </w:rPr>
              <w:t>Qershor</w:t>
            </w:r>
            <w:r w:rsidR="00087972" w:rsidRPr="00B11C82">
              <w:rPr>
                <w:rFonts w:ascii="Times New Roman" w:hAnsi="Times New Roman"/>
                <w:sz w:val="24"/>
                <w:szCs w:val="24"/>
                <w:lang w:val="sq-AL"/>
              </w:rPr>
              <w:t xml:space="preserve"> 202</w:t>
            </w:r>
            <w:r w:rsidR="00AC4D67" w:rsidRPr="00B11C82">
              <w:rPr>
                <w:rFonts w:ascii="Times New Roman" w:hAnsi="Times New Roman"/>
                <w:sz w:val="24"/>
                <w:szCs w:val="24"/>
                <w:lang w:val="sq-AL"/>
              </w:rPr>
              <w:t>3</w:t>
            </w:r>
            <w:r w:rsidR="00064897">
              <w:rPr>
                <w:rFonts w:ascii="Times New Roman" w:hAnsi="Times New Roman"/>
                <w:sz w:val="24"/>
                <w:szCs w:val="24"/>
                <w:lang w:val="sq-AL"/>
              </w:rPr>
              <w:t xml:space="preserve"> deri më 1</w:t>
            </w:r>
            <w:r w:rsidR="00BC3FEF">
              <w:rPr>
                <w:rFonts w:ascii="Times New Roman" w:hAnsi="Times New Roman"/>
                <w:sz w:val="24"/>
                <w:szCs w:val="24"/>
                <w:lang w:val="sq-AL"/>
              </w:rPr>
              <w:t>2</w:t>
            </w:r>
            <w:r w:rsidR="00064897">
              <w:rPr>
                <w:rFonts w:ascii="Times New Roman" w:hAnsi="Times New Roman"/>
                <w:sz w:val="24"/>
                <w:szCs w:val="24"/>
                <w:lang w:val="sq-AL"/>
              </w:rPr>
              <w:t xml:space="preserve"> Korrik 2023</w:t>
            </w:r>
            <w:r w:rsidR="00087972" w:rsidRPr="00B11C82">
              <w:rPr>
                <w:rFonts w:ascii="Times New Roman" w:hAnsi="Times New Roman"/>
                <w:sz w:val="24"/>
                <w:szCs w:val="24"/>
                <w:lang w:val="sq-AL"/>
              </w:rPr>
              <w:t>.</w:t>
            </w:r>
          </w:p>
        </w:tc>
      </w:tr>
    </w:tbl>
    <w:p w14:paraId="29630BCB"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4860B27F" w:rsidR="008675CA" w:rsidRPr="00B11C82" w:rsidRDefault="00B0093C" w:rsidP="00BF2355">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w:t>
            </w:r>
            <w:r w:rsidR="00BC3FEF">
              <w:rPr>
                <w:rFonts w:ascii="Times New Roman" w:hAnsi="Times New Roman"/>
                <w:sz w:val="24"/>
                <w:szCs w:val="24"/>
                <w:lang w:val="sq-AL"/>
              </w:rPr>
              <w:t>vendimit</w:t>
            </w:r>
            <w:r w:rsidRPr="00B11C82">
              <w:rPr>
                <w:rFonts w:ascii="Times New Roman" w:hAnsi="Times New Roman"/>
                <w:sz w:val="24"/>
                <w:szCs w:val="24"/>
                <w:lang w:val="sq-AL"/>
              </w:rPr>
              <w: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BC3FEF">
              <w:rPr>
                <w:rFonts w:ascii="Times New Roman" w:hAnsi="Times New Roman"/>
                <w:sz w:val="24"/>
                <w:szCs w:val="24"/>
                <w:lang w:val="sq-AL"/>
              </w:rPr>
              <w:t>Bujqësisë dhe Zhvillimit Rural</w:t>
            </w:r>
            <w:r w:rsidRPr="00B11C82">
              <w:rPr>
                <w:rFonts w:ascii="Times New Roman" w:hAnsi="Times New Roman"/>
                <w:sz w:val="24"/>
                <w:szCs w:val="24"/>
                <w:lang w:val="sq-AL"/>
              </w:rPr>
              <w:t xml:space="preserve">,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Pr="00B11C82">
              <w:rPr>
                <w:rFonts w:ascii="Times New Roman" w:hAnsi="Times New Roman"/>
                <w:iCs/>
                <w:sz w:val="24"/>
                <w:szCs w:val="24"/>
                <w:lang w:val="sq-AL"/>
              </w:rPr>
              <w:t xml:space="preserve">, në adresën postare të </w:t>
            </w:r>
            <w:r w:rsidR="00087972" w:rsidRPr="00BC3FEF">
              <w:rPr>
                <w:rFonts w:ascii="Times New Roman" w:hAnsi="Times New Roman"/>
                <w:iCs/>
                <w:sz w:val="24"/>
                <w:szCs w:val="24"/>
                <w:lang w:val="sq-AL"/>
              </w:rPr>
              <w:t xml:space="preserve">Ministrisë së </w:t>
            </w:r>
            <w:r w:rsidR="00BC3FEF" w:rsidRPr="00BC3FEF">
              <w:rPr>
                <w:rFonts w:ascii="Times New Roman" w:hAnsi="Times New Roman"/>
                <w:sz w:val="24"/>
                <w:szCs w:val="24"/>
                <w:lang w:val="sq-AL"/>
              </w:rPr>
              <w:t>Bujqësisë dhe Zhvillimit Rural</w:t>
            </w:r>
            <w:r w:rsidR="00087972" w:rsidRPr="00BC3FEF">
              <w:rPr>
                <w:rFonts w:ascii="Times New Roman" w:hAnsi="Times New Roman"/>
                <w:iCs/>
                <w:sz w:val="24"/>
                <w:szCs w:val="24"/>
                <w:lang w:val="sq-AL"/>
              </w:rPr>
              <w:t xml:space="preserve">: </w:t>
            </w:r>
            <w:r w:rsidR="00BC3FEF" w:rsidRPr="00BC3FEF">
              <w:rPr>
                <w:rFonts w:ascii="Times New Roman" w:hAnsi="Times New Roman"/>
                <w:iCs/>
                <w:sz w:val="24"/>
                <w:szCs w:val="24"/>
                <w:lang w:val="sq-AL"/>
              </w:rPr>
              <w:t>Bulevardi "Dëshmorët e Kombit" Nr 2</w:t>
            </w:r>
            <w:r w:rsidR="00845CB3" w:rsidRPr="00BC3FEF">
              <w:rPr>
                <w:rFonts w:ascii="Times New Roman" w:hAnsi="Times New Roman"/>
                <w:iCs/>
                <w:sz w:val="24"/>
                <w:szCs w:val="24"/>
                <w:lang w:val="sq-AL"/>
              </w:rPr>
              <w:t>, AL 1001, Tiranë</w:t>
            </w:r>
            <w:r w:rsidR="00BC3FEF">
              <w:rPr>
                <w:rFonts w:ascii="Times New Roman" w:hAnsi="Times New Roman"/>
                <w:iCs/>
                <w:sz w:val="24"/>
                <w:szCs w:val="24"/>
                <w:lang w:val="sq-AL"/>
              </w:rPr>
              <w:t xml:space="preserve"> dhe </w:t>
            </w:r>
            <w:r w:rsidR="00343EA7" w:rsidRPr="00BC3FEF">
              <w:rPr>
                <w:rFonts w:ascii="Times New Roman" w:hAnsi="Times New Roman"/>
                <w:iCs/>
                <w:sz w:val="24"/>
                <w:szCs w:val="24"/>
                <w:lang w:val="sq-AL"/>
              </w:rPr>
              <w:t xml:space="preserve">në adresën e </w:t>
            </w:r>
            <w:r w:rsidR="007B4AD9" w:rsidRPr="00BC3FEF">
              <w:rPr>
                <w:rFonts w:ascii="Times New Roman" w:hAnsi="Times New Roman"/>
                <w:iCs/>
                <w:sz w:val="24"/>
                <w:szCs w:val="24"/>
                <w:lang w:val="sq-AL"/>
              </w:rPr>
              <w:t>e</w:t>
            </w:r>
            <w:r w:rsidR="00343EA7" w:rsidRPr="00BC3FEF">
              <w:rPr>
                <w:rFonts w:ascii="Times New Roman" w:hAnsi="Times New Roman"/>
                <w:iCs/>
                <w:sz w:val="24"/>
                <w:szCs w:val="24"/>
                <w:lang w:val="sq-AL"/>
              </w:rPr>
              <w:t>-</w:t>
            </w:r>
            <w:r w:rsidR="007B4AD9" w:rsidRPr="00BC3FEF">
              <w:rPr>
                <w:rFonts w:ascii="Times New Roman" w:hAnsi="Times New Roman"/>
                <w:iCs/>
                <w:sz w:val="24"/>
                <w:szCs w:val="24"/>
                <w:lang w:val="sq-AL"/>
              </w:rPr>
              <w:t xml:space="preserve">mailit të koordinatorit për konsultimin publik </w:t>
            </w:r>
            <w:r w:rsidR="00BC3FEF" w:rsidRPr="00A83835">
              <w:rPr>
                <w:rFonts w:ascii="Times New Roman" w:hAnsi="Times New Roman"/>
                <w:iCs/>
                <w:sz w:val="24"/>
                <w:szCs w:val="24"/>
                <w:lang w:val="sq-AL"/>
              </w:rPr>
              <w:fldChar w:fldCharType="begin"/>
            </w:r>
            <w:r w:rsidR="00BC3FEF" w:rsidRPr="00A83835">
              <w:rPr>
                <w:rFonts w:ascii="Times New Roman" w:hAnsi="Times New Roman"/>
                <w:iCs/>
                <w:sz w:val="24"/>
                <w:szCs w:val="24"/>
                <w:lang w:val="sq-AL"/>
              </w:rPr>
              <w:instrText xml:space="preserve"> HYPERLINK "mailto:a</w:instrText>
            </w:r>
            <w:r w:rsidR="00BC3FEF" w:rsidRPr="00A83835">
              <w:rPr>
                <w:rFonts w:ascii="Times New Roman" w:hAnsi="Times New Roman"/>
                <w:iCs/>
                <w:sz w:val="24"/>
                <w:szCs w:val="24"/>
              </w:rPr>
              <w:instrText>rlinda.dedi@bujqesia.gov.al</w:instrText>
            </w:r>
            <w:r w:rsidR="00BC3FEF" w:rsidRPr="00A83835">
              <w:rPr>
                <w:rFonts w:ascii="Times New Roman" w:hAnsi="Times New Roman"/>
                <w:iCs/>
                <w:sz w:val="24"/>
                <w:szCs w:val="24"/>
                <w:lang w:val="sq-AL"/>
              </w:rPr>
              <w:instrText xml:space="preserve">" </w:instrText>
            </w:r>
            <w:r w:rsidR="00BC3FEF" w:rsidRPr="00A83835">
              <w:rPr>
                <w:rFonts w:ascii="Times New Roman" w:hAnsi="Times New Roman"/>
                <w:iCs/>
                <w:sz w:val="24"/>
                <w:szCs w:val="24"/>
                <w:lang w:val="sq-AL"/>
              </w:rPr>
              <w:fldChar w:fldCharType="separate"/>
            </w:r>
            <w:r w:rsidR="00BC3FEF" w:rsidRPr="00A83835">
              <w:rPr>
                <w:rStyle w:val="Hyperlink"/>
                <w:rFonts w:ascii="Times New Roman" w:hAnsi="Times New Roman"/>
                <w:iCs/>
                <w:sz w:val="24"/>
                <w:szCs w:val="24"/>
                <w:lang w:val="sq-AL"/>
              </w:rPr>
              <w:t>a</w:t>
            </w:r>
            <w:r w:rsidR="00BC3FEF" w:rsidRPr="00A83835">
              <w:rPr>
                <w:rStyle w:val="Hyperlink"/>
                <w:rFonts w:ascii="Times New Roman" w:hAnsi="Times New Roman"/>
                <w:iCs/>
                <w:sz w:val="24"/>
                <w:szCs w:val="24"/>
              </w:rPr>
              <w:t>rlinda.dedi@bujqesia.gov.al</w:t>
            </w:r>
            <w:r w:rsidR="00BC3FEF" w:rsidRPr="00A83835">
              <w:rPr>
                <w:rFonts w:ascii="Times New Roman" w:hAnsi="Times New Roman"/>
                <w:iCs/>
                <w:sz w:val="24"/>
                <w:szCs w:val="24"/>
                <w:lang w:val="sq-AL"/>
              </w:rPr>
              <w:fldChar w:fldCharType="end"/>
            </w:r>
            <w:r w:rsidR="00BC3FEF">
              <w:rPr>
                <w:rFonts w:ascii="Times New Roman" w:hAnsi="Times New Roman"/>
                <w:iCs/>
                <w:sz w:val="24"/>
                <w:szCs w:val="24"/>
                <w:lang w:val="sq-AL"/>
              </w:rPr>
              <w:t>.</w:t>
            </w:r>
          </w:p>
        </w:tc>
      </w:tr>
    </w:tbl>
    <w:p w14:paraId="3C463429"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27FF60A2" w:rsidR="00B0093C" w:rsidRPr="00B11C82" w:rsidRDefault="00BC3FEF" w:rsidP="00BF2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Arlinda Dedi</w:t>
            </w:r>
            <w:r w:rsidR="00B0093C" w:rsidRPr="00B11C82">
              <w:rPr>
                <w:rFonts w:ascii="Times New Roman" w:hAnsi="Times New Roman"/>
                <w:sz w:val="24"/>
                <w:szCs w:val="24"/>
                <w:lang w:val="sq-AL"/>
              </w:rPr>
              <w:t xml:space="preserve">, Koordinatore për konsultimin publik në </w:t>
            </w:r>
            <w:r>
              <w:rPr>
                <w:rFonts w:ascii="Times New Roman" w:hAnsi="Times New Roman"/>
                <w:sz w:val="24"/>
                <w:szCs w:val="24"/>
                <w:lang w:val="sq-AL"/>
              </w:rPr>
              <w:t>MBZHR</w:t>
            </w:r>
            <w:r w:rsidR="00B15628">
              <w:rPr>
                <w:rFonts w:ascii="Times New Roman" w:hAnsi="Times New Roman"/>
                <w:sz w:val="24"/>
                <w:szCs w:val="24"/>
                <w:lang w:val="sq-AL"/>
              </w:rPr>
              <w:t>:</w:t>
            </w:r>
            <w:r w:rsidR="00B0093C" w:rsidRPr="00845CB3">
              <w:rPr>
                <w:rStyle w:val="Hyperlink"/>
              </w:rPr>
              <w:t xml:space="preserve"> </w:t>
            </w:r>
            <w:hyperlink r:id="rId6" w:history="1">
              <w:r w:rsidR="001B3E51" w:rsidRPr="00A83835">
                <w:rPr>
                  <w:rStyle w:val="Hyperlink"/>
                  <w:rFonts w:ascii="Times New Roman" w:hAnsi="Times New Roman"/>
                  <w:sz w:val="24"/>
                  <w:szCs w:val="24"/>
                  <w:lang w:val="sq-AL"/>
                </w:rPr>
                <w:t>a</w:t>
              </w:r>
              <w:r w:rsidR="001B3E51" w:rsidRPr="00A83835">
                <w:rPr>
                  <w:rStyle w:val="Hyperlink"/>
                  <w:rFonts w:ascii="Times New Roman" w:hAnsi="Times New Roman"/>
                  <w:sz w:val="24"/>
                  <w:szCs w:val="24"/>
                </w:rPr>
                <w:t>rlinda.dedi@bujqesia</w:t>
              </w:r>
              <w:r w:rsidR="001B3E51" w:rsidRPr="00A83835">
                <w:rPr>
                  <w:rStyle w:val="Hyperlink"/>
                  <w:rFonts w:ascii="Times New Roman" w:hAnsi="Times New Roman"/>
                  <w:sz w:val="24"/>
                  <w:szCs w:val="24"/>
                  <w:lang w:val="sq-AL"/>
                </w:rPr>
                <w:t>.gov.al</w:t>
              </w:r>
            </w:hyperlink>
          </w:p>
        </w:tc>
      </w:tr>
    </w:tbl>
    <w:p w14:paraId="5D44D821"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0A23DA26" w:rsidR="00AD4479" w:rsidRPr="00BF2355" w:rsidRDefault="00AD4479" w:rsidP="00B11C82">
            <w:pPr>
              <w:pStyle w:val="BodyText"/>
              <w:spacing w:line="276" w:lineRule="auto"/>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B3E51">
              <w:rPr>
                <w:rFonts w:ascii="Times New Roman" w:hAnsi="Times New Roman"/>
                <w:sz w:val="24"/>
                <w:szCs w:val="24"/>
                <w:lang w:val="sq-AL"/>
              </w:rPr>
              <w:t>për periudhën 14.6.2023 – 12.7.2023</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35A2E3D4" w14:textId="5B5D6A3D" w:rsidR="005B5704" w:rsidRDefault="00845CB3" w:rsidP="005B5704">
            <w:pPr>
              <w:widowControl w:val="0"/>
              <w:autoSpaceDE w:val="0"/>
              <w:autoSpaceDN w:val="0"/>
              <w:spacing w:line="276" w:lineRule="auto"/>
              <w:ind w:left="101" w:right="115"/>
              <w:jc w:val="both"/>
              <w:rPr>
                <w:rFonts w:ascii="Times New Roman" w:hAnsi="Times New Roman"/>
                <w:sz w:val="24"/>
                <w:szCs w:val="24"/>
                <w:lang w:val="sq-AL"/>
              </w:rPr>
            </w:pPr>
            <w:r w:rsidRPr="00845CB3">
              <w:rPr>
                <w:rFonts w:ascii="Times New Roman" w:hAnsi="Times New Roman"/>
                <w:sz w:val="24"/>
                <w:szCs w:val="24"/>
                <w:lang w:val="sq-AL"/>
              </w:rPr>
              <w:t>Projektvendimi “</w:t>
            </w:r>
            <w:r w:rsidR="002668F0" w:rsidRPr="002668F0">
              <w:rPr>
                <w:rFonts w:ascii="Times New Roman" w:hAnsi="Times New Roman"/>
                <w:sz w:val="24"/>
                <w:szCs w:val="24"/>
                <w:lang w:val="sq-AL"/>
              </w:rPr>
              <w:t>Për Miratimin e Dokumentit Udhëzues të Politikave mbi Zonat e Përcaktuara për Akuakulturë (ZPA) në Shqipëri</w:t>
            </w:r>
            <w:r w:rsidRPr="00845CB3">
              <w:rPr>
                <w:rFonts w:ascii="Times New Roman" w:hAnsi="Times New Roman"/>
                <w:sz w:val="24"/>
                <w:szCs w:val="24"/>
                <w:lang w:val="sq-AL"/>
              </w:rPr>
              <w:t xml:space="preserve">” propozohet nga </w:t>
            </w:r>
            <w:r w:rsidR="001B3E51">
              <w:rPr>
                <w:rFonts w:ascii="Times New Roman" w:hAnsi="Times New Roman"/>
                <w:sz w:val="24"/>
                <w:szCs w:val="24"/>
                <w:lang w:val="sq-AL"/>
              </w:rPr>
              <w:t>MBZHR</w:t>
            </w:r>
            <w:r w:rsidRPr="00845CB3">
              <w:rPr>
                <w:rFonts w:ascii="Times New Roman" w:hAnsi="Times New Roman"/>
                <w:sz w:val="24"/>
                <w:szCs w:val="24"/>
                <w:lang w:val="sq-AL"/>
              </w:rPr>
              <w:t xml:space="preserve">, si një dokument politik i qeverisë shqiptare, e cila i kushton vëmendje të veçantë </w:t>
            </w:r>
            <w:r w:rsidR="001B3E51">
              <w:rPr>
                <w:rFonts w:ascii="Times New Roman" w:hAnsi="Times New Roman"/>
                <w:sz w:val="24"/>
                <w:szCs w:val="24"/>
                <w:lang w:val="sq-AL"/>
              </w:rPr>
              <w:t>p</w:t>
            </w:r>
            <w:r w:rsidR="005B5704">
              <w:rPr>
                <w:rFonts w:ascii="Times New Roman" w:hAnsi="Times New Roman"/>
                <w:sz w:val="24"/>
                <w:szCs w:val="24"/>
                <w:lang w:val="sq-AL"/>
              </w:rPr>
              <w:t>ë</w:t>
            </w:r>
            <w:r w:rsidR="001B3E51">
              <w:rPr>
                <w:rFonts w:ascii="Times New Roman" w:hAnsi="Times New Roman"/>
                <w:sz w:val="24"/>
                <w:szCs w:val="24"/>
                <w:lang w:val="sq-AL"/>
              </w:rPr>
              <w:t>rcaktimit t</w:t>
            </w:r>
            <w:r w:rsidR="005B5704">
              <w:rPr>
                <w:rFonts w:ascii="Times New Roman" w:hAnsi="Times New Roman"/>
                <w:sz w:val="24"/>
                <w:szCs w:val="24"/>
                <w:lang w:val="sq-AL"/>
              </w:rPr>
              <w:t>ë</w:t>
            </w:r>
            <w:r w:rsidR="001B3E51">
              <w:rPr>
                <w:rFonts w:ascii="Times New Roman" w:hAnsi="Times New Roman"/>
                <w:sz w:val="24"/>
                <w:szCs w:val="24"/>
                <w:lang w:val="sq-AL"/>
              </w:rPr>
              <w:t xml:space="preserve"> Zonave t</w:t>
            </w:r>
            <w:r w:rsidR="005B5704">
              <w:rPr>
                <w:rFonts w:ascii="Times New Roman" w:hAnsi="Times New Roman"/>
                <w:sz w:val="24"/>
                <w:szCs w:val="24"/>
                <w:lang w:val="sq-AL"/>
              </w:rPr>
              <w:t>ë</w:t>
            </w:r>
            <w:r w:rsidR="001B3E51">
              <w:rPr>
                <w:rFonts w:ascii="Times New Roman" w:hAnsi="Times New Roman"/>
                <w:sz w:val="24"/>
                <w:szCs w:val="24"/>
                <w:lang w:val="sq-AL"/>
              </w:rPr>
              <w:t xml:space="preserve"> Akuakultur</w:t>
            </w:r>
            <w:r w:rsidR="005B5704">
              <w:rPr>
                <w:rFonts w:ascii="Times New Roman" w:hAnsi="Times New Roman"/>
                <w:sz w:val="24"/>
                <w:szCs w:val="24"/>
                <w:lang w:val="sq-AL"/>
              </w:rPr>
              <w:t>ë</w:t>
            </w:r>
            <w:r w:rsidR="001B3E51">
              <w:rPr>
                <w:rFonts w:ascii="Times New Roman" w:hAnsi="Times New Roman"/>
                <w:sz w:val="24"/>
                <w:szCs w:val="24"/>
                <w:lang w:val="sq-AL"/>
              </w:rPr>
              <w:t>s</w:t>
            </w:r>
            <w:r w:rsidRPr="00845CB3">
              <w:rPr>
                <w:rFonts w:ascii="Times New Roman" w:hAnsi="Times New Roman"/>
                <w:sz w:val="24"/>
                <w:szCs w:val="24"/>
                <w:lang w:val="sq-AL"/>
              </w:rPr>
              <w:t xml:space="preserve">, </w:t>
            </w:r>
            <w:r w:rsidR="005B5704" w:rsidRPr="005B5704">
              <w:rPr>
                <w:rFonts w:ascii="Times New Roman" w:hAnsi="Times New Roman"/>
                <w:sz w:val="24"/>
                <w:szCs w:val="24"/>
                <w:lang w:val="sq-AL"/>
              </w:rPr>
              <w:t>bazuar në pikën 2, të nenit 5, të Ligjit Nr. 103/2016 “Për akuakulturën”, i ndryshuar, sipas të cilit se Zonat e Përcaktuara për Akuakulturë miratohen me vendim të Këshillit të Ministrave.</w:t>
            </w:r>
          </w:p>
          <w:p w14:paraId="55690F1C" w14:textId="7C32E7DD" w:rsidR="001B3E51" w:rsidRPr="001B3E51" w:rsidRDefault="005B5704" w:rsidP="00A83835">
            <w:pPr>
              <w:widowControl w:val="0"/>
              <w:autoSpaceDE w:val="0"/>
              <w:autoSpaceDN w:val="0"/>
              <w:spacing w:line="276" w:lineRule="auto"/>
              <w:ind w:left="100" w:right="114"/>
              <w:jc w:val="both"/>
              <w:rPr>
                <w:rFonts w:ascii="Times New Roman" w:hAnsi="Times New Roman"/>
                <w:sz w:val="24"/>
                <w:szCs w:val="24"/>
                <w:lang w:val="sq-AL"/>
              </w:rPr>
            </w:pPr>
            <w:r w:rsidRPr="005B5704">
              <w:rPr>
                <w:rFonts w:ascii="Times New Roman" w:hAnsi="Times New Roman"/>
                <w:sz w:val="24"/>
                <w:szCs w:val="24"/>
                <w:lang w:val="sq-AL"/>
              </w:rPr>
              <w:t xml:space="preserve">ZPA-të janë zona të përcaktuara gjeografikisht, të kufizuara nga një poligon, në të cilat lejohen ose kufizohen të gjitha ose disa aktivitete të akuakulturës për të nxitur zhvillimin e akuakulturës në një zonë specifike. ZPA-ja përfshin zona të veçanta, të caktuara, me </w:t>
            </w:r>
            <w:r w:rsidRPr="005B5704">
              <w:rPr>
                <w:rFonts w:ascii="Times New Roman" w:hAnsi="Times New Roman"/>
                <w:sz w:val="24"/>
                <w:szCs w:val="24"/>
                <w:lang w:val="sq-AL"/>
              </w:rPr>
              <w:lastRenderedPageBreak/>
              <w:t>qëllim aktivitetin e akuakulturës, së bashku me infrastrukturën në shërbim të saj.</w:t>
            </w:r>
          </w:p>
          <w:p w14:paraId="1A4145D0" w14:textId="5BD79335" w:rsidR="001B3E51" w:rsidRPr="001B3E51" w:rsidRDefault="001B3E51" w:rsidP="005B5704">
            <w:pPr>
              <w:widowControl w:val="0"/>
              <w:autoSpaceDE w:val="0"/>
              <w:autoSpaceDN w:val="0"/>
              <w:spacing w:line="276" w:lineRule="auto"/>
              <w:ind w:left="100" w:right="114"/>
              <w:jc w:val="both"/>
              <w:rPr>
                <w:rFonts w:ascii="Times New Roman" w:hAnsi="Times New Roman"/>
                <w:sz w:val="24"/>
                <w:szCs w:val="24"/>
                <w:lang w:val="sq-AL"/>
              </w:rPr>
            </w:pPr>
            <w:r w:rsidRPr="001B3E51">
              <w:rPr>
                <w:rFonts w:ascii="Times New Roman" w:hAnsi="Times New Roman"/>
                <w:sz w:val="24"/>
                <w:szCs w:val="24"/>
                <w:lang w:val="sq-AL"/>
              </w:rPr>
              <w:t>Ky dokument udhëzues i politikave propozon krijimin e ZPA-ve bazuar në njohuritë më të mira shkencore dhe social-ekonomike të disponueshme, të siguruara nga institucionet përgjegjëse kombëtare.</w:t>
            </w:r>
          </w:p>
          <w:p w14:paraId="7590D3B8" w14:textId="1BDAD72E" w:rsidR="001B3E51" w:rsidRPr="00BF2355" w:rsidRDefault="001B3E51" w:rsidP="005B5704">
            <w:pPr>
              <w:widowControl w:val="0"/>
              <w:autoSpaceDE w:val="0"/>
              <w:autoSpaceDN w:val="0"/>
              <w:spacing w:line="276" w:lineRule="auto"/>
              <w:ind w:left="100" w:right="114"/>
              <w:jc w:val="both"/>
              <w:rPr>
                <w:rFonts w:ascii="Times New Roman" w:hAnsi="Times New Roman"/>
                <w:sz w:val="24"/>
                <w:szCs w:val="24"/>
                <w:lang w:val="sq-AL"/>
              </w:rPr>
            </w:pPr>
            <w:r w:rsidRPr="001B3E51">
              <w:rPr>
                <w:rFonts w:ascii="Times New Roman" w:hAnsi="Times New Roman"/>
                <w:sz w:val="24"/>
                <w:szCs w:val="24"/>
                <w:lang w:val="sq-AL"/>
              </w:rPr>
              <w:t>Krijimi i ZPA-ve do të sigurojë një integrim më të mirë të akuakulturës në zonat bregdetare dhe është një parakusht për dhënien e lejeve dhe qirave të reja për akuakulturë. Këto të fundit janë thelbësore për të pasur një kornizë rregullatore dhe administrative kushtuar akuakulturës dhe për të siguruar një zhvillim të qëndrueshëm të sektorit.</w:t>
            </w:r>
          </w:p>
        </w:tc>
      </w:tr>
    </w:tbl>
    <w:p w14:paraId="671DF514" w14:textId="2DED9CB9" w:rsidR="00E54C97" w:rsidRPr="00BF235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1229909" w14:textId="19A6DF85" w:rsidR="00D92067" w:rsidRPr="00D92067" w:rsidRDefault="00D92067" w:rsidP="00D92067">
            <w:pPr>
              <w:pStyle w:val="BodyText"/>
              <w:spacing w:line="276" w:lineRule="auto"/>
              <w:jc w:val="both"/>
              <w:rPr>
                <w:rFonts w:ascii="Times New Roman" w:hAnsi="Times New Roman"/>
                <w:iCs/>
                <w:sz w:val="24"/>
                <w:szCs w:val="24"/>
                <w:lang w:val="sq-AL"/>
              </w:rPr>
            </w:pPr>
            <w:r w:rsidRPr="00D92067">
              <w:rPr>
                <w:rFonts w:ascii="Times New Roman" w:hAnsi="Times New Roman"/>
                <w:iCs/>
                <w:sz w:val="24"/>
                <w:szCs w:val="24"/>
                <w:lang w:val="sq-AL"/>
              </w:rPr>
              <w:t>Dokumenti Udhëzues i Politikave në hyrje përmban një përmbledhje ekzekutive të këtij studimi, përshkruan akuakulturën në një vështrim në nivel global dhe rajonal, përcakton zonat e akuakulturës në Shqipëri, masat dhe identifikimin e Zonave të Përcaktuara për Akuakulturë përgjatë bregdetit shqiptar.</w:t>
            </w:r>
          </w:p>
          <w:p w14:paraId="0A1E8D1C" w14:textId="77777777" w:rsidR="002D3F25" w:rsidRDefault="00D92067" w:rsidP="00D92067">
            <w:pPr>
              <w:pStyle w:val="BodyText"/>
              <w:spacing w:line="276" w:lineRule="auto"/>
              <w:jc w:val="both"/>
              <w:rPr>
                <w:rFonts w:ascii="Times New Roman" w:hAnsi="Times New Roman"/>
                <w:iCs/>
                <w:sz w:val="24"/>
                <w:szCs w:val="24"/>
                <w:lang w:val="sq-AL"/>
              </w:rPr>
            </w:pPr>
            <w:r w:rsidRPr="00D92067">
              <w:rPr>
                <w:rFonts w:ascii="Times New Roman" w:hAnsi="Times New Roman"/>
                <w:iCs/>
                <w:sz w:val="24"/>
                <w:szCs w:val="24"/>
                <w:lang w:val="sq-AL"/>
              </w:rPr>
              <w:t>Dokumenti është strukturuar në dy seksione: seksioni i parë paraqet rezultatet kryesore me hartat e ZPA-ve përgjatë bregdetit shqiptar, ndërsa seksioni i dytë përshkruan metodologjinë e aplikuar si dhe informacionin tjetër thelbësor mbi të cilin është bazuar përzgjedhja e ZPA-ve.</w:t>
            </w:r>
          </w:p>
          <w:p w14:paraId="335F7684" w14:textId="15E9A453" w:rsidR="00D92067" w:rsidRPr="00D92067" w:rsidRDefault="00D92067" w:rsidP="00D92067">
            <w:pPr>
              <w:pStyle w:val="BodyText"/>
              <w:spacing w:line="276" w:lineRule="auto"/>
              <w:jc w:val="both"/>
              <w:rPr>
                <w:rFonts w:ascii="Times New Roman" w:hAnsi="Times New Roman"/>
                <w:iCs/>
                <w:sz w:val="24"/>
                <w:szCs w:val="24"/>
                <w:lang w:val="sq-AL"/>
              </w:rPr>
            </w:pPr>
            <w:r w:rsidRPr="00D92067">
              <w:rPr>
                <w:rFonts w:ascii="Times New Roman" w:hAnsi="Times New Roman"/>
                <w:iCs/>
                <w:sz w:val="24"/>
                <w:szCs w:val="24"/>
                <w:lang w:val="sq-AL"/>
              </w:rPr>
              <w:t>Për qëllimet e këtij dokumenti udhëzues të politikave, ZPA-të janë marrë në konsideratë për ato aktivitete të akuakulturës, të cilat lejohen sipas Ligjit Nr. 103/2016 “Për akuakulturën”, i ndryshuar, dhe janë përcaktuar si më poshtë:</w:t>
            </w:r>
          </w:p>
          <w:p w14:paraId="24D2C4E4" w14:textId="3F51C783" w:rsidR="00D92067" w:rsidRPr="00D92067" w:rsidRDefault="00D92067" w:rsidP="00D92067">
            <w:pPr>
              <w:pStyle w:val="BodyText"/>
              <w:spacing w:line="276" w:lineRule="auto"/>
              <w:jc w:val="both"/>
              <w:rPr>
                <w:rFonts w:ascii="Times New Roman" w:hAnsi="Times New Roman"/>
                <w:iCs/>
                <w:sz w:val="24"/>
                <w:szCs w:val="24"/>
                <w:lang w:val="sq-AL"/>
              </w:rPr>
            </w:pPr>
            <w:r w:rsidRPr="00D92067">
              <w:rPr>
                <w:rFonts w:ascii="Times New Roman" w:hAnsi="Times New Roman"/>
                <w:iCs/>
                <w:sz w:val="24"/>
                <w:szCs w:val="24"/>
                <w:lang w:val="sq-AL"/>
              </w:rPr>
              <w:t>• Kategoria 01 e ZPA-ve – peshqit</w:t>
            </w:r>
          </w:p>
          <w:p w14:paraId="59FE481A" w14:textId="0B2104BC" w:rsidR="00D92067" w:rsidRPr="00D92067" w:rsidRDefault="00D92067" w:rsidP="00D92067">
            <w:pPr>
              <w:pStyle w:val="BodyText"/>
              <w:spacing w:line="276" w:lineRule="auto"/>
              <w:jc w:val="both"/>
              <w:rPr>
                <w:rFonts w:ascii="Times New Roman" w:hAnsi="Times New Roman"/>
                <w:iCs/>
                <w:sz w:val="24"/>
                <w:szCs w:val="24"/>
                <w:lang w:val="sq-AL"/>
              </w:rPr>
            </w:pPr>
            <w:r w:rsidRPr="00D92067">
              <w:rPr>
                <w:rFonts w:ascii="Times New Roman" w:hAnsi="Times New Roman"/>
                <w:iCs/>
                <w:sz w:val="24"/>
                <w:szCs w:val="24"/>
                <w:lang w:val="sq-AL"/>
              </w:rPr>
              <w:t>• Kategoria 02 e ZPA-ve – molusqet</w:t>
            </w:r>
          </w:p>
          <w:p w14:paraId="2140C9CD" w14:textId="77777777" w:rsidR="00D92067" w:rsidRDefault="00D92067" w:rsidP="00D92067">
            <w:pPr>
              <w:pStyle w:val="BodyText"/>
              <w:spacing w:line="276" w:lineRule="auto"/>
              <w:jc w:val="both"/>
              <w:rPr>
                <w:rFonts w:ascii="Times New Roman" w:hAnsi="Times New Roman"/>
                <w:iCs/>
                <w:sz w:val="24"/>
                <w:szCs w:val="24"/>
                <w:lang w:val="sq-AL"/>
              </w:rPr>
            </w:pPr>
            <w:r>
              <w:rPr>
                <w:rFonts w:ascii="Times New Roman" w:hAnsi="Times New Roman"/>
                <w:iCs/>
                <w:sz w:val="24"/>
                <w:szCs w:val="24"/>
                <w:lang w:val="sq-AL"/>
              </w:rPr>
              <w:t>Gjithashtu</w:t>
            </w:r>
            <w:r w:rsidRPr="00D92067">
              <w:rPr>
                <w:rFonts w:ascii="Times New Roman" w:hAnsi="Times New Roman"/>
                <w:iCs/>
                <w:sz w:val="24"/>
                <w:szCs w:val="24"/>
                <w:lang w:val="sq-AL"/>
              </w:rPr>
              <w:t>, janë dhënë rekomandime për: (i) ndjekjen e zhvillimit të akuakulturës në ZPA-të përmes një sistemi monitorimi të bazuar tek treguesit; (ii) krijimin e sistemeve të monitorimit mjedisor për të siguruar qëndrueshmërinë mjedisore.</w:t>
            </w:r>
          </w:p>
          <w:p w14:paraId="564DC9E1" w14:textId="5DC620A3" w:rsidR="00D92067" w:rsidRDefault="00D92067" w:rsidP="00D92067">
            <w:pPr>
              <w:pStyle w:val="BodyText"/>
              <w:spacing w:line="276" w:lineRule="auto"/>
              <w:jc w:val="both"/>
              <w:rPr>
                <w:rFonts w:ascii="Times New Roman" w:hAnsi="Times New Roman"/>
                <w:iCs/>
                <w:sz w:val="24"/>
                <w:szCs w:val="24"/>
                <w:lang w:val="en-US"/>
              </w:rPr>
            </w:pPr>
            <w:r>
              <w:rPr>
                <w:rFonts w:ascii="Times New Roman" w:hAnsi="Times New Roman"/>
                <w:iCs/>
                <w:sz w:val="24"/>
                <w:szCs w:val="24"/>
                <w:lang w:val="sq-AL"/>
              </w:rPr>
              <w:t>Konkretisht ZPA-të janë propozuar për t’u miratuar sipas hartave, tabelave dhe koordinatave gjeografike n</w:t>
            </w:r>
            <w:r>
              <w:rPr>
                <w:rFonts w:ascii="Times New Roman" w:hAnsi="Times New Roman"/>
                <w:iCs/>
                <w:sz w:val="24"/>
                <w:szCs w:val="24"/>
                <w:lang w:val="en-US"/>
              </w:rPr>
              <w:t>ë:</w:t>
            </w:r>
          </w:p>
          <w:p w14:paraId="22FA4C32" w14:textId="0E3C48D2" w:rsidR="00D92067" w:rsidRPr="00D92067" w:rsidRDefault="00D92067" w:rsidP="00104270">
            <w:pPr>
              <w:pStyle w:val="BodyText"/>
              <w:numPr>
                <w:ilvl w:val="0"/>
                <w:numId w:val="89"/>
              </w:numPr>
              <w:spacing w:after="0" w:line="276" w:lineRule="auto"/>
              <w:jc w:val="both"/>
              <w:rPr>
                <w:rFonts w:ascii="MS Mincho" w:eastAsia="MS Mincho" w:hAnsi="MS Mincho" w:cs="MS Mincho"/>
                <w:iCs/>
                <w:sz w:val="24"/>
                <w:szCs w:val="24"/>
                <w:lang w:val="en-US" w:eastAsia="ja-JP"/>
              </w:rPr>
            </w:pPr>
            <w:proofErr w:type="spellStart"/>
            <w:r>
              <w:rPr>
                <w:rFonts w:ascii="Times New Roman" w:hAnsi="Times New Roman"/>
                <w:iCs/>
                <w:sz w:val="24"/>
                <w:szCs w:val="24"/>
                <w:lang w:val="en-US"/>
              </w:rPr>
              <w:t>Zonën</w:t>
            </w:r>
            <w:proofErr w:type="spellEnd"/>
            <w:r>
              <w:rPr>
                <w:rFonts w:ascii="Times New Roman" w:hAnsi="Times New Roman"/>
                <w:iCs/>
                <w:sz w:val="24"/>
                <w:szCs w:val="24"/>
                <w:lang w:val="en-US"/>
              </w:rPr>
              <w:t xml:space="preserve"> e </w:t>
            </w:r>
            <w:proofErr w:type="spellStart"/>
            <w:r>
              <w:rPr>
                <w:rFonts w:ascii="Times New Roman" w:hAnsi="Times New Roman"/>
                <w:iCs/>
                <w:sz w:val="24"/>
                <w:szCs w:val="24"/>
                <w:lang w:val="en-US"/>
              </w:rPr>
              <w:t>Bregdetit</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të</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Shën</w:t>
            </w:r>
            <w:r w:rsidR="002668F0">
              <w:rPr>
                <w:rFonts w:ascii="Times New Roman" w:hAnsi="Times New Roman"/>
                <w:iCs/>
                <w:sz w:val="24"/>
                <w:szCs w:val="24"/>
                <w:lang w:val="en-US"/>
              </w:rPr>
              <w:t>g</w:t>
            </w:r>
            <w:r>
              <w:rPr>
                <w:rFonts w:ascii="Times New Roman" w:hAnsi="Times New Roman"/>
                <w:iCs/>
                <w:sz w:val="24"/>
                <w:szCs w:val="24"/>
                <w:lang w:val="en-US"/>
              </w:rPr>
              <w:t>jinit</w:t>
            </w:r>
            <w:proofErr w:type="spellEnd"/>
          </w:p>
          <w:p w14:paraId="1379ACB0" w14:textId="6A169E4E" w:rsidR="00D92067" w:rsidRPr="00D92067" w:rsidRDefault="00D92067" w:rsidP="00104270">
            <w:pPr>
              <w:pStyle w:val="BodyText"/>
              <w:numPr>
                <w:ilvl w:val="0"/>
                <w:numId w:val="89"/>
              </w:numPr>
              <w:spacing w:after="0" w:line="276" w:lineRule="auto"/>
              <w:jc w:val="both"/>
              <w:rPr>
                <w:rFonts w:ascii="MS Mincho" w:eastAsia="MS Mincho" w:hAnsi="MS Mincho" w:cs="MS Mincho"/>
                <w:iCs/>
                <w:sz w:val="24"/>
                <w:szCs w:val="24"/>
                <w:lang w:val="en-US" w:eastAsia="ja-JP"/>
              </w:rPr>
            </w:pPr>
            <w:proofErr w:type="spellStart"/>
            <w:r>
              <w:rPr>
                <w:rFonts w:ascii="Times New Roman" w:hAnsi="Times New Roman"/>
                <w:iCs/>
                <w:sz w:val="24"/>
                <w:szCs w:val="24"/>
                <w:lang w:val="en-US"/>
              </w:rPr>
              <w:t>Zonën</w:t>
            </w:r>
            <w:proofErr w:type="spellEnd"/>
            <w:r>
              <w:rPr>
                <w:rFonts w:ascii="Times New Roman" w:hAnsi="Times New Roman"/>
                <w:iCs/>
                <w:sz w:val="24"/>
                <w:szCs w:val="24"/>
                <w:lang w:val="en-US"/>
              </w:rPr>
              <w:t xml:space="preserve"> e</w:t>
            </w:r>
            <w:r w:rsidRPr="00D92067">
              <w:rPr>
                <w:rFonts w:ascii="Times New Roman" w:hAnsi="Times New Roman"/>
                <w:iCs/>
                <w:sz w:val="24"/>
                <w:szCs w:val="24"/>
                <w:lang w:val="en-US"/>
              </w:rPr>
              <w:t xml:space="preserve"> </w:t>
            </w:r>
            <w:proofErr w:type="spellStart"/>
            <w:r w:rsidRPr="00D92067">
              <w:rPr>
                <w:rFonts w:ascii="Times New Roman" w:hAnsi="Times New Roman"/>
                <w:iCs/>
                <w:sz w:val="24"/>
                <w:szCs w:val="24"/>
                <w:lang w:val="en-US"/>
              </w:rPr>
              <w:t>Bregdetit</w:t>
            </w:r>
            <w:proofErr w:type="spellEnd"/>
            <w:r w:rsidRPr="00D92067">
              <w:rPr>
                <w:rFonts w:ascii="Times New Roman" w:hAnsi="Times New Roman"/>
                <w:iCs/>
                <w:sz w:val="24"/>
                <w:szCs w:val="24"/>
                <w:lang w:val="en-US"/>
              </w:rPr>
              <w:t xml:space="preserve"> </w:t>
            </w:r>
            <w:proofErr w:type="spellStart"/>
            <w:r w:rsidRPr="00D92067">
              <w:rPr>
                <w:rFonts w:ascii="Times New Roman" w:hAnsi="Times New Roman"/>
                <w:iCs/>
                <w:sz w:val="24"/>
                <w:szCs w:val="24"/>
                <w:lang w:val="en-US"/>
              </w:rPr>
              <w:t>të</w:t>
            </w:r>
            <w:proofErr w:type="spellEnd"/>
            <w:r w:rsidRPr="00D92067">
              <w:rPr>
                <w:rFonts w:ascii="Times New Roman" w:hAnsi="Times New Roman"/>
                <w:iCs/>
                <w:sz w:val="24"/>
                <w:szCs w:val="24"/>
                <w:lang w:val="en-US"/>
              </w:rPr>
              <w:t xml:space="preserve"> </w:t>
            </w:r>
            <w:proofErr w:type="spellStart"/>
            <w:r>
              <w:rPr>
                <w:rFonts w:ascii="Times New Roman" w:hAnsi="Times New Roman"/>
                <w:iCs/>
                <w:sz w:val="24"/>
                <w:szCs w:val="24"/>
                <w:lang w:val="en-US"/>
              </w:rPr>
              <w:t>Durrë</w:t>
            </w:r>
            <w:r w:rsidR="002668F0">
              <w:rPr>
                <w:rFonts w:ascii="Times New Roman" w:hAnsi="Times New Roman"/>
                <w:iCs/>
                <w:sz w:val="24"/>
                <w:szCs w:val="24"/>
                <w:lang w:val="en-US"/>
              </w:rPr>
              <w:t>s</w:t>
            </w:r>
            <w:r>
              <w:rPr>
                <w:rFonts w:ascii="Times New Roman" w:hAnsi="Times New Roman"/>
                <w:iCs/>
                <w:sz w:val="24"/>
                <w:szCs w:val="24"/>
                <w:lang w:val="en-US"/>
              </w:rPr>
              <w:t>it</w:t>
            </w:r>
            <w:proofErr w:type="spellEnd"/>
          </w:p>
          <w:p w14:paraId="754E5BD0" w14:textId="05EE3E6D" w:rsidR="00D92067" w:rsidRPr="00D92067" w:rsidRDefault="00D92067" w:rsidP="00104270">
            <w:pPr>
              <w:pStyle w:val="BodyText"/>
              <w:numPr>
                <w:ilvl w:val="0"/>
                <w:numId w:val="89"/>
              </w:numPr>
              <w:spacing w:after="0" w:line="276" w:lineRule="auto"/>
              <w:jc w:val="both"/>
              <w:rPr>
                <w:rFonts w:ascii="MS Mincho" w:eastAsia="MS Mincho" w:hAnsi="MS Mincho" w:cs="MS Mincho"/>
                <w:iCs/>
                <w:sz w:val="24"/>
                <w:szCs w:val="24"/>
                <w:lang w:val="en-US" w:eastAsia="ja-JP"/>
              </w:rPr>
            </w:pPr>
            <w:proofErr w:type="spellStart"/>
            <w:r>
              <w:rPr>
                <w:rFonts w:ascii="Times New Roman" w:hAnsi="Times New Roman"/>
                <w:iCs/>
                <w:sz w:val="24"/>
                <w:szCs w:val="24"/>
                <w:lang w:val="en-US"/>
              </w:rPr>
              <w:t>Zonën</w:t>
            </w:r>
            <w:proofErr w:type="spellEnd"/>
            <w:r>
              <w:rPr>
                <w:rFonts w:ascii="Times New Roman" w:hAnsi="Times New Roman"/>
                <w:iCs/>
                <w:sz w:val="24"/>
                <w:szCs w:val="24"/>
                <w:lang w:val="en-US"/>
              </w:rPr>
              <w:t xml:space="preserve"> e</w:t>
            </w:r>
            <w:r w:rsidRPr="00D92067">
              <w:rPr>
                <w:rFonts w:ascii="Times New Roman" w:hAnsi="Times New Roman"/>
                <w:iCs/>
                <w:sz w:val="24"/>
                <w:szCs w:val="24"/>
                <w:lang w:val="en-US"/>
              </w:rPr>
              <w:t xml:space="preserve"> </w:t>
            </w:r>
            <w:proofErr w:type="spellStart"/>
            <w:r w:rsidRPr="00D92067">
              <w:rPr>
                <w:rFonts w:ascii="Times New Roman" w:hAnsi="Times New Roman"/>
                <w:iCs/>
                <w:sz w:val="24"/>
                <w:szCs w:val="24"/>
                <w:lang w:val="en-US"/>
              </w:rPr>
              <w:t>Bregdetit</w:t>
            </w:r>
            <w:proofErr w:type="spellEnd"/>
            <w:r w:rsidRPr="00D92067">
              <w:rPr>
                <w:rFonts w:ascii="Times New Roman" w:hAnsi="Times New Roman"/>
                <w:iCs/>
                <w:sz w:val="24"/>
                <w:szCs w:val="24"/>
                <w:lang w:val="en-US"/>
              </w:rPr>
              <w:t xml:space="preserve"> </w:t>
            </w:r>
            <w:proofErr w:type="spellStart"/>
            <w:r w:rsidRPr="00D92067">
              <w:rPr>
                <w:rFonts w:ascii="Times New Roman" w:hAnsi="Times New Roman"/>
                <w:iCs/>
                <w:sz w:val="24"/>
                <w:szCs w:val="24"/>
                <w:lang w:val="en-US"/>
              </w:rPr>
              <w:t>të</w:t>
            </w:r>
            <w:proofErr w:type="spellEnd"/>
            <w:r w:rsidRPr="00D92067">
              <w:rPr>
                <w:rFonts w:ascii="Times New Roman" w:hAnsi="Times New Roman"/>
                <w:iCs/>
                <w:sz w:val="24"/>
                <w:szCs w:val="24"/>
                <w:lang w:val="en-US"/>
              </w:rPr>
              <w:t xml:space="preserve"> </w:t>
            </w:r>
            <w:proofErr w:type="spellStart"/>
            <w:r>
              <w:rPr>
                <w:rFonts w:ascii="Times New Roman" w:hAnsi="Times New Roman"/>
                <w:iCs/>
                <w:sz w:val="24"/>
                <w:szCs w:val="24"/>
                <w:lang w:val="en-US"/>
              </w:rPr>
              <w:t>Vlorës</w:t>
            </w:r>
            <w:proofErr w:type="spellEnd"/>
          </w:p>
          <w:p w14:paraId="7A7AF454" w14:textId="4BCC7052" w:rsidR="00D92067" w:rsidRPr="00D92067" w:rsidRDefault="00D92067" w:rsidP="00D92067">
            <w:pPr>
              <w:pStyle w:val="BodyText"/>
              <w:numPr>
                <w:ilvl w:val="0"/>
                <w:numId w:val="89"/>
              </w:numPr>
              <w:spacing w:line="276" w:lineRule="auto"/>
              <w:jc w:val="both"/>
              <w:rPr>
                <w:rFonts w:ascii="MS Mincho" w:eastAsia="MS Mincho" w:hAnsi="MS Mincho" w:cs="MS Mincho"/>
                <w:iCs/>
                <w:sz w:val="24"/>
                <w:szCs w:val="24"/>
                <w:lang w:val="en-US" w:eastAsia="ja-JP"/>
              </w:rPr>
            </w:pPr>
            <w:proofErr w:type="spellStart"/>
            <w:r>
              <w:rPr>
                <w:rFonts w:ascii="Times New Roman" w:hAnsi="Times New Roman"/>
                <w:iCs/>
                <w:sz w:val="24"/>
                <w:szCs w:val="24"/>
                <w:lang w:val="en-US"/>
              </w:rPr>
              <w:t>Zonën</w:t>
            </w:r>
            <w:proofErr w:type="spellEnd"/>
            <w:r>
              <w:rPr>
                <w:rFonts w:ascii="Times New Roman" w:hAnsi="Times New Roman"/>
                <w:iCs/>
                <w:sz w:val="24"/>
                <w:szCs w:val="24"/>
                <w:lang w:val="en-US"/>
              </w:rPr>
              <w:t xml:space="preserve"> </w:t>
            </w:r>
            <w:r w:rsidRPr="00D92067">
              <w:rPr>
                <w:rFonts w:ascii="Times New Roman" w:hAnsi="Times New Roman"/>
                <w:iCs/>
                <w:sz w:val="24"/>
                <w:szCs w:val="24"/>
                <w:lang w:val="en-US"/>
              </w:rPr>
              <w:t xml:space="preserve">e </w:t>
            </w:r>
            <w:proofErr w:type="spellStart"/>
            <w:r w:rsidRPr="00D92067">
              <w:rPr>
                <w:rFonts w:ascii="Times New Roman" w:hAnsi="Times New Roman"/>
                <w:iCs/>
                <w:sz w:val="24"/>
                <w:szCs w:val="24"/>
                <w:lang w:val="en-US"/>
              </w:rPr>
              <w:t>Bregdetit</w:t>
            </w:r>
            <w:proofErr w:type="spellEnd"/>
            <w:r w:rsidRPr="00D92067">
              <w:rPr>
                <w:rFonts w:ascii="Times New Roman" w:hAnsi="Times New Roman"/>
                <w:iCs/>
                <w:sz w:val="24"/>
                <w:szCs w:val="24"/>
                <w:lang w:val="en-US"/>
              </w:rPr>
              <w:t xml:space="preserve"> </w:t>
            </w:r>
            <w:proofErr w:type="spellStart"/>
            <w:r w:rsidRPr="00D92067">
              <w:rPr>
                <w:rFonts w:ascii="Times New Roman" w:hAnsi="Times New Roman"/>
                <w:iCs/>
                <w:sz w:val="24"/>
                <w:szCs w:val="24"/>
                <w:lang w:val="en-US"/>
              </w:rPr>
              <w:t>të</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Sarandës</w:t>
            </w:r>
            <w:proofErr w:type="spellEnd"/>
            <w:r>
              <w:rPr>
                <w:rFonts w:ascii="Times New Roman" w:hAnsi="Times New Roman"/>
                <w:iCs/>
                <w:sz w:val="24"/>
                <w:szCs w:val="24"/>
                <w:lang w:val="en-US"/>
              </w:rPr>
              <w:t>.</w:t>
            </w:r>
          </w:p>
        </w:tc>
      </w:tr>
    </w:tbl>
    <w:p w14:paraId="3A320FF0" w14:textId="77777777" w:rsidR="008675CA" w:rsidRPr="00BF235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7179B5A3" w14:textId="01EF91CC" w:rsidR="004617E8" w:rsidRPr="004617E8" w:rsidRDefault="008D2705" w:rsidP="00EA6937">
            <w:pPr>
              <w:widowControl w:val="0"/>
              <w:tabs>
                <w:tab w:val="left" w:pos="384"/>
              </w:tabs>
              <w:autoSpaceDE w:val="0"/>
              <w:autoSpaceDN w:val="0"/>
              <w:spacing w:before="1" w:line="276" w:lineRule="auto"/>
              <w:ind w:left="383" w:right="120"/>
              <w:jc w:val="both"/>
              <w:rPr>
                <w:rFonts w:ascii="Times New Roman" w:hAnsi="Times New Roman"/>
                <w:sz w:val="24"/>
                <w:szCs w:val="24"/>
                <w:lang w:val="sq-AL"/>
              </w:rPr>
            </w:pPr>
            <w:r w:rsidRPr="008D2705">
              <w:rPr>
                <w:rFonts w:ascii="Times New Roman" w:hAnsi="Times New Roman"/>
                <w:sz w:val="24"/>
                <w:szCs w:val="24"/>
                <w:lang w:val="sq-AL"/>
              </w:rPr>
              <w:t xml:space="preserve">Reagimet që priten janë të hapura dhe nuk parashikohet ngritja e pyetjeve specifike, të cilat kërkojnë përgjigje. </w:t>
            </w:r>
            <w:r w:rsidR="004617E8">
              <w:rPr>
                <w:rFonts w:ascii="Times New Roman" w:hAnsi="Times New Roman"/>
                <w:sz w:val="24"/>
                <w:szCs w:val="24"/>
                <w:lang w:val="sq-AL"/>
              </w:rPr>
              <w:t>P</w:t>
            </w:r>
            <w:r w:rsidRPr="008D2705">
              <w:rPr>
                <w:rFonts w:ascii="Times New Roman" w:hAnsi="Times New Roman"/>
                <w:sz w:val="24"/>
                <w:szCs w:val="24"/>
                <w:lang w:val="sq-AL"/>
              </w:rPr>
              <w:t xml:space="preserve">yetje </w:t>
            </w:r>
            <w:r w:rsidR="004617E8">
              <w:rPr>
                <w:rFonts w:ascii="Times New Roman" w:hAnsi="Times New Roman"/>
                <w:sz w:val="24"/>
                <w:szCs w:val="24"/>
                <w:lang w:val="sq-AL"/>
              </w:rPr>
              <w:t xml:space="preserve">të </w:t>
            </w:r>
            <w:r w:rsidRPr="008D2705">
              <w:rPr>
                <w:rFonts w:ascii="Times New Roman" w:hAnsi="Times New Roman"/>
                <w:sz w:val="24"/>
                <w:szCs w:val="24"/>
                <w:lang w:val="sq-AL"/>
              </w:rPr>
              <w:t xml:space="preserve">mundshme </w:t>
            </w:r>
            <w:r w:rsidR="004617E8">
              <w:rPr>
                <w:rFonts w:ascii="Times New Roman" w:hAnsi="Times New Roman"/>
                <w:sz w:val="24"/>
                <w:szCs w:val="24"/>
                <w:lang w:val="sq-AL"/>
              </w:rPr>
              <w:t>mun të jenë</w:t>
            </w:r>
            <w:r w:rsidRPr="008D2705">
              <w:rPr>
                <w:rFonts w:ascii="Times New Roman" w:hAnsi="Times New Roman"/>
                <w:sz w:val="24"/>
                <w:szCs w:val="24"/>
                <w:lang w:val="sq-AL"/>
              </w:rPr>
              <w:t xml:space="preserve">: A pajtoheni me </w:t>
            </w:r>
            <w:r w:rsidR="002668F0">
              <w:rPr>
                <w:rFonts w:ascii="Times New Roman" w:hAnsi="Times New Roman"/>
                <w:sz w:val="24"/>
                <w:szCs w:val="24"/>
                <w:lang w:val="sq-AL"/>
              </w:rPr>
              <w:t>parashikimet e propozuara</w:t>
            </w:r>
            <w:r w:rsidRPr="008D2705">
              <w:rPr>
                <w:rFonts w:ascii="Times New Roman" w:hAnsi="Times New Roman"/>
                <w:sz w:val="24"/>
                <w:szCs w:val="24"/>
                <w:lang w:val="sq-AL"/>
              </w:rPr>
              <w:t xml:space="preserve"> ne dokument </w:t>
            </w:r>
            <w:r w:rsidR="002668F0">
              <w:rPr>
                <w:rFonts w:ascii="Times New Roman" w:hAnsi="Times New Roman"/>
                <w:sz w:val="24"/>
                <w:szCs w:val="24"/>
                <w:lang w:val="sq-AL"/>
              </w:rPr>
              <w:t>cilat do të ishin propozimet konkrete</w:t>
            </w:r>
            <w:r w:rsidRPr="008D2705">
              <w:rPr>
                <w:rFonts w:ascii="Times New Roman" w:hAnsi="Times New Roman"/>
                <w:sz w:val="24"/>
                <w:szCs w:val="24"/>
                <w:lang w:val="sq-AL"/>
              </w:rPr>
              <w:t xml:space="preserve"> për të përmirësuar cilësinë</w:t>
            </w:r>
            <w:r>
              <w:rPr>
                <w:rFonts w:ascii="Times New Roman" w:hAnsi="Times New Roman"/>
                <w:sz w:val="24"/>
                <w:szCs w:val="24"/>
                <w:lang w:val="sq-AL"/>
              </w:rPr>
              <w:t xml:space="preserve"> e tij</w:t>
            </w:r>
            <w:r w:rsidR="004617E8">
              <w:rPr>
                <w:rFonts w:ascii="Times New Roman" w:hAnsi="Times New Roman"/>
                <w:sz w:val="24"/>
                <w:szCs w:val="24"/>
                <w:lang w:val="sq-AL"/>
              </w:rPr>
              <w:t>?</w:t>
            </w:r>
            <w:r w:rsidR="004617E8" w:rsidRPr="004617E8">
              <w:rPr>
                <w:rFonts w:ascii="Times New Roman" w:hAnsi="Times New Roman"/>
                <w:sz w:val="24"/>
                <w:szCs w:val="24"/>
                <w:lang w:val="sq-AL"/>
              </w:rPr>
              <w:t xml:space="preserve"> Si i vlerësoni përcaktimet në projektvendim, mbi:</w:t>
            </w:r>
          </w:p>
          <w:p w14:paraId="3D4086F2" w14:textId="3D918D63" w:rsidR="00E4497D" w:rsidRPr="00BF2355" w:rsidRDefault="00EA6937" w:rsidP="00EA6937">
            <w:pPr>
              <w:widowControl w:val="0"/>
              <w:tabs>
                <w:tab w:val="left" w:pos="384"/>
              </w:tabs>
              <w:autoSpaceDE w:val="0"/>
              <w:autoSpaceDN w:val="0"/>
              <w:spacing w:before="1" w:line="276" w:lineRule="auto"/>
              <w:ind w:left="383" w:right="120"/>
              <w:jc w:val="both"/>
              <w:rPr>
                <w:rFonts w:ascii="Times New Roman" w:hAnsi="Times New Roman"/>
                <w:sz w:val="24"/>
                <w:szCs w:val="24"/>
                <w:lang w:val="sq-AL"/>
              </w:rPr>
            </w:pPr>
            <w:r>
              <w:rPr>
                <w:rFonts w:ascii="Times New Roman" w:hAnsi="Times New Roman"/>
                <w:sz w:val="24"/>
                <w:szCs w:val="24"/>
                <w:lang w:val="sq-AL"/>
              </w:rPr>
              <w:t>p</w:t>
            </w:r>
            <w:r w:rsidR="002668F0">
              <w:rPr>
                <w:rFonts w:ascii="Times New Roman" w:hAnsi="Times New Roman"/>
                <w:sz w:val="24"/>
                <w:szCs w:val="24"/>
                <w:lang w:val="sq-AL"/>
              </w:rPr>
              <w:t>ërcaktimin e ZPA-ve në ujërat detar</w:t>
            </w:r>
            <w:bookmarkStart w:id="0" w:name="_GoBack"/>
            <w:bookmarkEnd w:id="0"/>
            <w:r w:rsidR="002668F0">
              <w:rPr>
                <w:rFonts w:ascii="Times New Roman" w:hAnsi="Times New Roman"/>
                <w:sz w:val="24"/>
                <w:szCs w:val="24"/>
                <w:lang w:val="sq-AL"/>
              </w:rPr>
              <w:t>e dhe si do të ndikonte miratimi dhe zbatimi i këtij dokumenti në sektorin e akuakulturës</w:t>
            </w:r>
            <w:r w:rsidR="004617E8">
              <w:rPr>
                <w:rFonts w:ascii="Times New Roman" w:hAnsi="Times New Roman"/>
                <w:sz w:val="24"/>
                <w:szCs w:val="24"/>
                <w:lang w:val="sq-AL"/>
              </w:rPr>
              <w:t xml:space="preserve">? </w:t>
            </w:r>
            <w:r w:rsidR="004617E8" w:rsidRPr="004617E8">
              <w:rPr>
                <w:rFonts w:ascii="Times New Roman" w:hAnsi="Times New Roman"/>
                <w:sz w:val="24"/>
                <w:szCs w:val="24"/>
                <w:lang w:val="sq-AL"/>
              </w:rPr>
              <w:t>A jeni dakord me parashikimet e përcaktuara në projektvendim, kryesisht për qëllimet e</w:t>
            </w:r>
            <w:r w:rsidR="004617E8">
              <w:rPr>
                <w:rFonts w:ascii="Times New Roman" w:hAnsi="Times New Roman"/>
                <w:sz w:val="24"/>
                <w:szCs w:val="24"/>
                <w:lang w:val="sq-AL"/>
              </w:rPr>
              <w:t xml:space="preserve"> </w:t>
            </w:r>
            <w:r w:rsidR="002668F0">
              <w:rPr>
                <w:rFonts w:ascii="Times New Roman" w:hAnsi="Times New Roman"/>
                <w:sz w:val="24"/>
                <w:szCs w:val="24"/>
                <w:lang w:val="sq-AL"/>
              </w:rPr>
              <w:t>dokumentit politik</w:t>
            </w:r>
            <w:r w:rsidR="004617E8">
              <w:rPr>
                <w:rFonts w:ascii="Times New Roman" w:hAnsi="Times New Roman"/>
                <w:sz w:val="24"/>
                <w:szCs w:val="24"/>
                <w:lang w:val="sq-AL"/>
              </w:rPr>
              <w:t>?</w:t>
            </w:r>
          </w:p>
        </w:tc>
      </w:tr>
    </w:tbl>
    <w:p w14:paraId="6D943006" w14:textId="12C72020" w:rsidR="00334CD0" w:rsidRPr="00BF2355" w:rsidRDefault="00334CD0" w:rsidP="00BF2355">
      <w:pPr>
        <w:spacing w:line="276" w:lineRule="auto"/>
        <w:rPr>
          <w:rFonts w:ascii="Times New Roman" w:hAnsi="Times New Roman"/>
          <w:sz w:val="24"/>
          <w:szCs w:val="24"/>
          <w:lang w:val="sq-AL"/>
        </w:rPr>
      </w:pPr>
    </w:p>
    <w:sectPr w:rsidR="00334CD0"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67831"/>
    <w:multiLevelType w:val="hybridMultilevel"/>
    <w:tmpl w:val="1B526F54"/>
    <w:lvl w:ilvl="0" w:tplc="75FA89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6"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9"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1"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5"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7"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9"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1"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2"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4"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6"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7"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8"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9"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1"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3"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4"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6"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79"/>
  </w:num>
  <w:num w:numId="2">
    <w:abstractNumId w:val="60"/>
  </w:num>
  <w:num w:numId="3">
    <w:abstractNumId w:val="82"/>
  </w:num>
  <w:num w:numId="4">
    <w:abstractNumId w:val="67"/>
  </w:num>
  <w:num w:numId="5">
    <w:abstractNumId w:val="45"/>
  </w:num>
  <w:num w:numId="6">
    <w:abstractNumId w:val="8"/>
  </w:num>
  <w:num w:numId="7">
    <w:abstractNumId w:val="5"/>
  </w:num>
  <w:num w:numId="8">
    <w:abstractNumId w:val="13"/>
  </w:num>
  <w:num w:numId="9">
    <w:abstractNumId w:val="73"/>
  </w:num>
  <w:num w:numId="10">
    <w:abstractNumId w:val="53"/>
  </w:num>
  <w:num w:numId="11">
    <w:abstractNumId w:val="83"/>
  </w:num>
  <w:num w:numId="12">
    <w:abstractNumId w:val="75"/>
  </w:num>
  <w:num w:numId="13">
    <w:abstractNumId w:val="6"/>
  </w:num>
  <w:num w:numId="14">
    <w:abstractNumId w:val="71"/>
  </w:num>
  <w:num w:numId="15">
    <w:abstractNumId w:val="72"/>
  </w:num>
  <w:num w:numId="16">
    <w:abstractNumId w:val="19"/>
  </w:num>
  <w:num w:numId="17">
    <w:abstractNumId w:val="26"/>
  </w:num>
  <w:num w:numId="18">
    <w:abstractNumId w:val="31"/>
  </w:num>
  <w:num w:numId="19">
    <w:abstractNumId w:val="2"/>
  </w:num>
  <w:num w:numId="20">
    <w:abstractNumId w:val="16"/>
  </w:num>
  <w:num w:numId="21">
    <w:abstractNumId w:val="32"/>
  </w:num>
  <w:num w:numId="22">
    <w:abstractNumId w:val="76"/>
  </w:num>
  <w:num w:numId="23">
    <w:abstractNumId w:val="44"/>
  </w:num>
  <w:num w:numId="24">
    <w:abstractNumId w:val="25"/>
  </w:num>
  <w:num w:numId="25">
    <w:abstractNumId w:val="21"/>
  </w:num>
  <w:num w:numId="26">
    <w:abstractNumId w:val="46"/>
  </w:num>
  <w:num w:numId="27">
    <w:abstractNumId w:val="11"/>
  </w:num>
  <w:num w:numId="28">
    <w:abstractNumId w:val="40"/>
  </w:num>
  <w:num w:numId="29">
    <w:abstractNumId w:val="15"/>
  </w:num>
  <w:num w:numId="30">
    <w:abstractNumId w:val="65"/>
  </w:num>
  <w:num w:numId="31">
    <w:abstractNumId w:val="70"/>
  </w:num>
  <w:num w:numId="32">
    <w:abstractNumId w:val="36"/>
  </w:num>
  <w:num w:numId="33">
    <w:abstractNumId w:val="69"/>
  </w:num>
  <w:num w:numId="34">
    <w:abstractNumId w:val="3"/>
  </w:num>
  <w:num w:numId="35">
    <w:abstractNumId w:val="12"/>
  </w:num>
  <w:num w:numId="36">
    <w:abstractNumId w:val="38"/>
  </w:num>
  <w:num w:numId="37">
    <w:abstractNumId w:val="23"/>
  </w:num>
  <w:num w:numId="38">
    <w:abstractNumId w:val="17"/>
  </w:num>
  <w:num w:numId="39">
    <w:abstractNumId w:val="50"/>
  </w:num>
  <w:num w:numId="40">
    <w:abstractNumId w:val="29"/>
  </w:num>
  <w:num w:numId="41">
    <w:abstractNumId w:val="35"/>
  </w:num>
  <w:num w:numId="42">
    <w:abstractNumId w:val="56"/>
  </w:num>
  <w:num w:numId="43">
    <w:abstractNumId w:val="84"/>
  </w:num>
  <w:num w:numId="44">
    <w:abstractNumId w:val="62"/>
  </w:num>
  <w:num w:numId="45">
    <w:abstractNumId w:val="64"/>
  </w:num>
  <w:num w:numId="46">
    <w:abstractNumId w:val="88"/>
  </w:num>
  <w:num w:numId="47">
    <w:abstractNumId w:val="81"/>
  </w:num>
  <w:num w:numId="48">
    <w:abstractNumId w:val="10"/>
  </w:num>
  <w:num w:numId="49">
    <w:abstractNumId w:val="18"/>
  </w:num>
  <w:num w:numId="50">
    <w:abstractNumId w:val="49"/>
  </w:num>
  <w:num w:numId="51">
    <w:abstractNumId w:val="66"/>
  </w:num>
  <w:num w:numId="52">
    <w:abstractNumId w:val="86"/>
  </w:num>
  <w:num w:numId="53">
    <w:abstractNumId w:val="59"/>
  </w:num>
  <w:num w:numId="54">
    <w:abstractNumId w:val="52"/>
  </w:num>
  <w:num w:numId="55">
    <w:abstractNumId w:val="54"/>
  </w:num>
  <w:num w:numId="56">
    <w:abstractNumId w:val="74"/>
  </w:num>
  <w:num w:numId="57">
    <w:abstractNumId w:val="57"/>
  </w:num>
  <w:num w:numId="58">
    <w:abstractNumId w:val="77"/>
  </w:num>
  <w:num w:numId="59">
    <w:abstractNumId w:val="7"/>
  </w:num>
  <w:num w:numId="60">
    <w:abstractNumId w:val="87"/>
  </w:num>
  <w:num w:numId="61">
    <w:abstractNumId w:val="42"/>
  </w:num>
  <w:num w:numId="62">
    <w:abstractNumId w:val="47"/>
  </w:num>
  <w:num w:numId="63">
    <w:abstractNumId w:val="78"/>
  </w:num>
  <w:num w:numId="64">
    <w:abstractNumId w:val="55"/>
  </w:num>
  <w:num w:numId="65">
    <w:abstractNumId w:val="63"/>
  </w:num>
  <w:num w:numId="66">
    <w:abstractNumId w:val="22"/>
  </w:num>
  <w:num w:numId="67">
    <w:abstractNumId w:val="51"/>
  </w:num>
  <w:num w:numId="68">
    <w:abstractNumId w:val="0"/>
  </w:num>
  <w:num w:numId="69">
    <w:abstractNumId w:val="14"/>
  </w:num>
  <w:num w:numId="70">
    <w:abstractNumId w:val="1"/>
  </w:num>
  <w:num w:numId="71">
    <w:abstractNumId w:val="61"/>
  </w:num>
  <w:num w:numId="72">
    <w:abstractNumId w:val="9"/>
  </w:num>
  <w:num w:numId="73">
    <w:abstractNumId w:val="30"/>
  </w:num>
  <w:num w:numId="74">
    <w:abstractNumId w:val="39"/>
  </w:num>
  <w:num w:numId="75">
    <w:abstractNumId w:val="80"/>
  </w:num>
  <w:num w:numId="76">
    <w:abstractNumId w:val="68"/>
  </w:num>
  <w:num w:numId="77">
    <w:abstractNumId w:val="28"/>
  </w:num>
  <w:num w:numId="78">
    <w:abstractNumId w:val="20"/>
  </w:num>
  <w:num w:numId="79">
    <w:abstractNumId w:val="85"/>
  </w:num>
  <w:num w:numId="80">
    <w:abstractNumId w:val="27"/>
  </w:num>
  <w:num w:numId="81">
    <w:abstractNumId w:val="58"/>
  </w:num>
  <w:num w:numId="82">
    <w:abstractNumId w:val="37"/>
  </w:num>
  <w:num w:numId="83">
    <w:abstractNumId w:val="41"/>
  </w:num>
  <w:num w:numId="84">
    <w:abstractNumId w:val="4"/>
  </w:num>
  <w:num w:numId="85">
    <w:abstractNumId w:val="24"/>
  </w:num>
  <w:num w:numId="86">
    <w:abstractNumId w:val="48"/>
  </w:num>
  <w:num w:numId="87">
    <w:abstractNumId w:val="43"/>
  </w:num>
  <w:num w:numId="88">
    <w:abstractNumId w:val="33"/>
  </w:num>
  <w:num w:numId="89">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44810"/>
    <w:rsid w:val="00064897"/>
    <w:rsid w:val="0007347E"/>
    <w:rsid w:val="00087972"/>
    <w:rsid w:val="00092682"/>
    <w:rsid w:val="000E284B"/>
    <w:rsid w:val="00103C86"/>
    <w:rsid w:val="00104270"/>
    <w:rsid w:val="001077A7"/>
    <w:rsid w:val="00144A90"/>
    <w:rsid w:val="00185354"/>
    <w:rsid w:val="001A7984"/>
    <w:rsid w:val="001B3E51"/>
    <w:rsid w:val="001E4573"/>
    <w:rsid w:val="00206A93"/>
    <w:rsid w:val="002310D5"/>
    <w:rsid w:val="0023335B"/>
    <w:rsid w:val="002477BC"/>
    <w:rsid w:val="002668F0"/>
    <w:rsid w:val="002726E3"/>
    <w:rsid w:val="00277A31"/>
    <w:rsid w:val="00284BB2"/>
    <w:rsid w:val="002D3F25"/>
    <w:rsid w:val="002E7E3C"/>
    <w:rsid w:val="002F0D44"/>
    <w:rsid w:val="003315E9"/>
    <w:rsid w:val="00334CD0"/>
    <w:rsid w:val="003435BD"/>
    <w:rsid w:val="00343EA7"/>
    <w:rsid w:val="00383384"/>
    <w:rsid w:val="00383F0A"/>
    <w:rsid w:val="00392518"/>
    <w:rsid w:val="003A291A"/>
    <w:rsid w:val="003F4071"/>
    <w:rsid w:val="004046E2"/>
    <w:rsid w:val="00453FEB"/>
    <w:rsid w:val="00454C25"/>
    <w:rsid w:val="004617E8"/>
    <w:rsid w:val="00463C25"/>
    <w:rsid w:val="004A34AE"/>
    <w:rsid w:val="004A562E"/>
    <w:rsid w:val="004C5AE2"/>
    <w:rsid w:val="00515A22"/>
    <w:rsid w:val="00561566"/>
    <w:rsid w:val="00574E6C"/>
    <w:rsid w:val="005B5704"/>
    <w:rsid w:val="005D67CE"/>
    <w:rsid w:val="00645549"/>
    <w:rsid w:val="0070191D"/>
    <w:rsid w:val="00720851"/>
    <w:rsid w:val="00731B03"/>
    <w:rsid w:val="007765B7"/>
    <w:rsid w:val="00785430"/>
    <w:rsid w:val="007B4AD9"/>
    <w:rsid w:val="007F3499"/>
    <w:rsid w:val="00805C10"/>
    <w:rsid w:val="008130DA"/>
    <w:rsid w:val="00826133"/>
    <w:rsid w:val="00845CB3"/>
    <w:rsid w:val="008675CA"/>
    <w:rsid w:val="008C4FD5"/>
    <w:rsid w:val="008D2705"/>
    <w:rsid w:val="00930D14"/>
    <w:rsid w:val="009318AF"/>
    <w:rsid w:val="00957E1F"/>
    <w:rsid w:val="00991965"/>
    <w:rsid w:val="009C2E02"/>
    <w:rsid w:val="009C5F77"/>
    <w:rsid w:val="009F0195"/>
    <w:rsid w:val="009F0CCD"/>
    <w:rsid w:val="00A05359"/>
    <w:rsid w:val="00A07789"/>
    <w:rsid w:val="00A73EFE"/>
    <w:rsid w:val="00A83835"/>
    <w:rsid w:val="00A86E98"/>
    <w:rsid w:val="00A9244E"/>
    <w:rsid w:val="00AC4D67"/>
    <w:rsid w:val="00AD4479"/>
    <w:rsid w:val="00AF5895"/>
    <w:rsid w:val="00B0093C"/>
    <w:rsid w:val="00B11C82"/>
    <w:rsid w:val="00B15628"/>
    <w:rsid w:val="00B16A46"/>
    <w:rsid w:val="00B21675"/>
    <w:rsid w:val="00B76E89"/>
    <w:rsid w:val="00B87EE9"/>
    <w:rsid w:val="00B93DDC"/>
    <w:rsid w:val="00BB066B"/>
    <w:rsid w:val="00BC3FEF"/>
    <w:rsid w:val="00BD2CC2"/>
    <w:rsid w:val="00BF2355"/>
    <w:rsid w:val="00C216BA"/>
    <w:rsid w:val="00C64006"/>
    <w:rsid w:val="00CB062B"/>
    <w:rsid w:val="00CC3D10"/>
    <w:rsid w:val="00CC56CF"/>
    <w:rsid w:val="00D051C6"/>
    <w:rsid w:val="00D06CBA"/>
    <w:rsid w:val="00D11EF8"/>
    <w:rsid w:val="00D14CB7"/>
    <w:rsid w:val="00D3153E"/>
    <w:rsid w:val="00D61801"/>
    <w:rsid w:val="00D92067"/>
    <w:rsid w:val="00DA7378"/>
    <w:rsid w:val="00DC24E3"/>
    <w:rsid w:val="00DE1DCB"/>
    <w:rsid w:val="00E42CA5"/>
    <w:rsid w:val="00E4497D"/>
    <w:rsid w:val="00E46FDB"/>
    <w:rsid w:val="00E54C97"/>
    <w:rsid w:val="00EA6937"/>
    <w:rsid w:val="00EC1CFE"/>
    <w:rsid w:val="00ED16BC"/>
    <w:rsid w:val="00EE585C"/>
    <w:rsid w:val="00EF567E"/>
    <w:rsid w:val="00F020DD"/>
    <w:rsid w:val="00F04DE4"/>
    <w:rsid w:val="00F34765"/>
    <w:rsid w:val="00F378E5"/>
    <w:rsid w:val="00F45F0A"/>
    <w:rsid w:val="00F84ECB"/>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styleId="UnresolvedMention">
    <w:name w:val="Unresolved Mention"/>
    <w:basedOn w:val="DefaultParagraphFont"/>
    <w:uiPriority w:val="99"/>
    <w:semiHidden/>
    <w:unhideWhenUsed/>
    <w:rsid w:val="00845CB3"/>
    <w:rPr>
      <w:color w:val="605E5C"/>
      <w:shd w:val="clear" w:color="auto" w:fill="E1DFDD"/>
    </w:rPr>
  </w:style>
  <w:style w:type="paragraph" w:styleId="NormalWeb">
    <w:name w:val="Normal (Web)"/>
    <w:basedOn w:val="Normal"/>
    <w:uiPriority w:val="99"/>
    <w:semiHidden/>
    <w:unhideWhenUsed/>
    <w:rsid w:val="000648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5108">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linda.dedi@bujq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Arlinda Dedi</cp:lastModifiedBy>
  <cp:revision>60</cp:revision>
  <dcterms:created xsi:type="dcterms:W3CDTF">2022-10-20T09:13:00Z</dcterms:created>
  <dcterms:modified xsi:type="dcterms:W3CDTF">2023-06-20T08:40:00Z</dcterms:modified>
</cp:coreProperties>
</file>