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FDD1F" w14:textId="34030FB9" w:rsidR="008675CA" w:rsidRDefault="00D61801" w:rsidP="00BF2355">
      <w:pPr>
        <w:pStyle w:val="Heading2"/>
        <w:spacing w:line="276" w:lineRule="auto"/>
        <w:jc w:val="center"/>
        <w:rPr>
          <w:rFonts w:ascii="Times New Roman" w:hAnsi="Times New Roman"/>
          <w:i w:val="0"/>
          <w:iCs/>
          <w:szCs w:val="24"/>
          <w:lang w:val="sq-AL"/>
        </w:rPr>
      </w:pPr>
      <w:r w:rsidRPr="00BF2355">
        <w:rPr>
          <w:rFonts w:ascii="Times New Roman" w:hAnsi="Times New Roman"/>
          <w:i w:val="0"/>
          <w:iCs/>
          <w:szCs w:val="24"/>
          <w:lang w:val="sq-AL"/>
        </w:rPr>
        <w:t xml:space="preserve">DOKUMENTI </w:t>
      </w:r>
      <w:r w:rsidR="00E54C97" w:rsidRPr="00BF2355">
        <w:rPr>
          <w:rFonts w:ascii="Times New Roman" w:hAnsi="Times New Roman"/>
          <w:i w:val="0"/>
          <w:iCs/>
          <w:szCs w:val="24"/>
          <w:lang w:val="sq-AL"/>
        </w:rPr>
        <w:t>KONSULTATIV</w:t>
      </w:r>
    </w:p>
    <w:p w14:paraId="747EF8DB" w14:textId="77777777" w:rsidR="007817F3" w:rsidRPr="007817F3" w:rsidRDefault="007817F3" w:rsidP="007817F3">
      <w:pPr>
        <w:rPr>
          <w:lang w:val="sq-AL"/>
        </w:rPr>
      </w:pPr>
    </w:p>
    <w:p w14:paraId="093A18EC" w14:textId="2006DB47" w:rsidR="007817F3" w:rsidRDefault="009C2E02" w:rsidP="007817F3">
      <w:pPr>
        <w:jc w:val="both"/>
        <w:rPr>
          <w:rFonts w:ascii="Times New Roman" w:hAnsi="Times New Roman"/>
          <w:b/>
          <w:sz w:val="24"/>
          <w:szCs w:val="24"/>
          <w:lang w:val="sq-AL"/>
        </w:rPr>
      </w:pPr>
      <w:r w:rsidRPr="007817F3">
        <w:rPr>
          <w:rFonts w:ascii="Times New Roman" w:hAnsi="Times New Roman"/>
          <w:b/>
          <w:sz w:val="24"/>
          <w:szCs w:val="24"/>
          <w:lang w:val="sq-AL"/>
        </w:rPr>
        <w:t xml:space="preserve">Për draftin </w:t>
      </w:r>
      <w:r w:rsidR="00AC4D67" w:rsidRPr="007817F3">
        <w:rPr>
          <w:rFonts w:ascii="Times New Roman" w:hAnsi="Times New Roman"/>
          <w:b/>
          <w:sz w:val="24"/>
          <w:szCs w:val="24"/>
          <w:lang w:val="sq-AL"/>
        </w:rPr>
        <w:t>“</w:t>
      </w:r>
      <w:proofErr w:type="spellStart"/>
      <w:r w:rsidR="007817F3" w:rsidRPr="007817F3">
        <w:rPr>
          <w:rFonts w:ascii="Times New Roman" w:hAnsi="Times New Roman"/>
          <w:b/>
          <w:bCs/>
          <w:sz w:val="24"/>
          <w:szCs w:val="24"/>
        </w:rPr>
        <w:t>Për</w:t>
      </w:r>
      <w:proofErr w:type="spellEnd"/>
      <w:r w:rsidR="007817F3" w:rsidRPr="007817F3">
        <w:rPr>
          <w:rFonts w:ascii="Times New Roman" w:hAnsi="Times New Roman"/>
          <w:b/>
          <w:bCs/>
          <w:sz w:val="24"/>
          <w:szCs w:val="24"/>
        </w:rPr>
        <w:t xml:space="preserve"> </w:t>
      </w:r>
      <w:proofErr w:type="spellStart"/>
      <w:r w:rsidR="007817F3" w:rsidRPr="007817F3">
        <w:rPr>
          <w:rFonts w:ascii="Times New Roman" w:hAnsi="Times New Roman"/>
          <w:b/>
          <w:bCs/>
          <w:sz w:val="24"/>
          <w:szCs w:val="24"/>
        </w:rPr>
        <w:t>propozimin</w:t>
      </w:r>
      <w:proofErr w:type="spellEnd"/>
      <w:r w:rsidR="007817F3" w:rsidRPr="007817F3">
        <w:rPr>
          <w:rFonts w:ascii="Times New Roman" w:hAnsi="Times New Roman"/>
          <w:b/>
          <w:bCs/>
          <w:sz w:val="24"/>
          <w:szCs w:val="24"/>
        </w:rPr>
        <w:t xml:space="preserve"> e </w:t>
      </w:r>
      <w:proofErr w:type="spellStart"/>
      <w:r w:rsidR="007817F3" w:rsidRPr="007817F3">
        <w:rPr>
          <w:rFonts w:ascii="Times New Roman" w:hAnsi="Times New Roman"/>
          <w:b/>
          <w:bCs/>
          <w:sz w:val="24"/>
          <w:szCs w:val="24"/>
        </w:rPr>
        <w:t>projektligjit</w:t>
      </w:r>
      <w:proofErr w:type="spellEnd"/>
      <w:r w:rsidR="007817F3" w:rsidRPr="007817F3">
        <w:rPr>
          <w:rFonts w:ascii="Times New Roman" w:hAnsi="Times New Roman"/>
          <w:b/>
          <w:bCs/>
          <w:sz w:val="24"/>
          <w:szCs w:val="24"/>
        </w:rPr>
        <w:t xml:space="preserve"> “</w:t>
      </w:r>
      <w:r w:rsidR="007817F3" w:rsidRPr="007817F3">
        <w:rPr>
          <w:rFonts w:ascii="Times New Roman" w:hAnsi="Times New Roman"/>
          <w:b/>
          <w:sz w:val="24"/>
          <w:szCs w:val="24"/>
          <w:lang w:val="sq-AL"/>
        </w:rPr>
        <w:t>Për prodhimin, transportimin dhe tregtimin e biokarburanteve dhe të lëndëve të tjera djegëse, të rinovueshme, për transport”</w:t>
      </w:r>
      <w:r w:rsidR="007817F3">
        <w:rPr>
          <w:rFonts w:ascii="Times New Roman" w:hAnsi="Times New Roman"/>
          <w:b/>
          <w:sz w:val="24"/>
          <w:szCs w:val="24"/>
          <w:lang w:val="sq-AL"/>
        </w:rPr>
        <w:t>”.</w:t>
      </w:r>
    </w:p>
    <w:p w14:paraId="03925BB1" w14:textId="77777777" w:rsidR="007817F3" w:rsidRPr="007817F3" w:rsidRDefault="007817F3" w:rsidP="007817F3">
      <w:pPr>
        <w:jc w:val="both"/>
        <w:rPr>
          <w:rFonts w:ascii="Times New Roman" w:hAnsi="Times New Roman"/>
          <w:b/>
          <w:sz w:val="24"/>
          <w:szCs w:val="24"/>
          <w:lang w:val="sq-AL"/>
        </w:rPr>
      </w:pPr>
    </w:p>
    <w:p w14:paraId="364F00E7" w14:textId="77777777" w:rsidR="009C2E02" w:rsidRPr="00BF2355" w:rsidRDefault="009C2E02" w:rsidP="00BF2355">
      <w:pPr>
        <w:pStyle w:val="BodyText"/>
        <w:spacing w:line="276" w:lineRule="auto"/>
        <w:jc w:val="center"/>
        <w:rPr>
          <w:rFonts w:ascii="Times New Roman" w:hAnsi="Times New Roman"/>
          <w:b/>
          <w:sz w:val="24"/>
          <w:szCs w:val="24"/>
          <w:highlight w:val="yellow"/>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3BF55563" w14:textId="77777777" w:rsidTr="00957E1F">
        <w:tc>
          <w:tcPr>
            <w:tcW w:w="9212" w:type="dxa"/>
          </w:tcPr>
          <w:p w14:paraId="107036DC" w14:textId="709EA64E" w:rsidR="001E4573" w:rsidRPr="00BF2355" w:rsidRDefault="00B87EE9" w:rsidP="008F0DBA">
            <w:pPr>
              <w:pStyle w:val="BodyText"/>
              <w:spacing w:line="276" w:lineRule="auto"/>
              <w:jc w:val="both"/>
              <w:rPr>
                <w:rFonts w:ascii="Times New Roman" w:eastAsia="MS Mincho" w:hAnsi="Times New Roman"/>
                <w:sz w:val="24"/>
                <w:szCs w:val="24"/>
                <w:lang w:val="sq-AL"/>
              </w:rPr>
            </w:pPr>
            <w:r w:rsidRPr="00BF2355">
              <w:rPr>
                <w:rFonts w:ascii="Times New Roman" w:hAnsi="Times New Roman"/>
                <w:sz w:val="24"/>
                <w:szCs w:val="24"/>
                <w:lang w:val="sq-AL"/>
              </w:rPr>
              <w:t xml:space="preserve">Ministria e </w:t>
            </w:r>
            <w:r w:rsidR="008F0DBA">
              <w:rPr>
                <w:rFonts w:ascii="Times New Roman" w:hAnsi="Times New Roman"/>
                <w:sz w:val="24"/>
                <w:szCs w:val="24"/>
                <w:lang w:val="sq-AL"/>
              </w:rPr>
              <w:t>Infrastrukturës</w:t>
            </w:r>
            <w:r w:rsidR="00647695">
              <w:rPr>
                <w:rFonts w:ascii="Times New Roman" w:hAnsi="Times New Roman"/>
                <w:sz w:val="24"/>
                <w:szCs w:val="24"/>
                <w:lang w:val="sq-AL"/>
              </w:rPr>
              <w:t xml:space="preserve"> dhe Energjisë</w:t>
            </w:r>
            <w:r w:rsidRPr="00BF2355">
              <w:rPr>
                <w:rFonts w:ascii="Times New Roman" w:hAnsi="Times New Roman"/>
                <w:sz w:val="24"/>
                <w:szCs w:val="24"/>
                <w:lang w:val="sq-AL"/>
              </w:rPr>
              <w:t xml:space="preserve">, në kuadër të procesit të konsultimit </w:t>
            </w:r>
            <w:r w:rsidR="00A05359" w:rsidRPr="00BF2355">
              <w:rPr>
                <w:rFonts w:ascii="Times New Roman" w:hAnsi="Times New Roman"/>
                <w:sz w:val="24"/>
                <w:szCs w:val="24"/>
                <w:lang w:val="sq-AL"/>
              </w:rPr>
              <w:t xml:space="preserve">të projektligjit </w:t>
            </w:r>
            <w:r w:rsidR="00AC4D67" w:rsidRPr="00BF2355">
              <w:rPr>
                <w:rFonts w:ascii="Times New Roman" w:hAnsi="Times New Roman"/>
                <w:b/>
                <w:sz w:val="24"/>
                <w:szCs w:val="24"/>
                <w:lang w:val="sq-AL"/>
              </w:rPr>
              <w:t>“</w:t>
            </w:r>
            <w:r w:rsidR="008F0DBA" w:rsidRPr="007817F3">
              <w:rPr>
                <w:rFonts w:ascii="Times New Roman" w:hAnsi="Times New Roman"/>
                <w:b/>
                <w:sz w:val="24"/>
                <w:szCs w:val="24"/>
                <w:lang w:val="sq-AL"/>
              </w:rPr>
              <w:t>Për prodhimin, transportimin dhe tregtimin e biokarburanteve dhe të lëndëve të tjera djegëse, të rinovueshme, për transport</w:t>
            </w:r>
            <w:r w:rsidR="00AC4D67" w:rsidRPr="00BF2355">
              <w:rPr>
                <w:rFonts w:ascii="Times New Roman" w:hAnsi="Times New Roman"/>
                <w:b/>
                <w:sz w:val="24"/>
                <w:szCs w:val="24"/>
                <w:lang w:val="sq-AL"/>
              </w:rPr>
              <w:t>”</w:t>
            </w:r>
            <w:r w:rsidR="00A05359" w:rsidRPr="00BF2355">
              <w:rPr>
                <w:rFonts w:ascii="Times New Roman" w:hAnsi="Times New Roman"/>
                <w:sz w:val="24"/>
                <w:szCs w:val="24"/>
                <w:lang w:val="sq-AL"/>
              </w:rPr>
              <w:t xml:space="preserve">, </w:t>
            </w:r>
            <w:r w:rsidRPr="00BF2355">
              <w:rPr>
                <w:rFonts w:ascii="Times New Roman" w:hAnsi="Times New Roman"/>
                <w:sz w:val="24"/>
                <w:szCs w:val="24"/>
                <w:lang w:val="sq-AL"/>
              </w:rPr>
              <w:t xml:space="preserve">mirëpret sugjerimet nga qytetarët, </w:t>
            </w:r>
            <w:r w:rsidR="00A73EFE" w:rsidRPr="00BF2355">
              <w:rPr>
                <w:rFonts w:ascii="Times New Roman" w:hAnsi="Times New Roman"/>
                <w:sz w:val="24"/>
                <w:szCs w:val="24"/>
                <w:lang w:val="sq-AL"/>
              </w:rPr>
              <w:t xml:space="preserve">ekspertë të fushës, </w:t>
            </w:r>
            <w:r w:rsidR="00B0093C" w:rsidRPr="00BF2355">
              <w:rPr>
                <w:rFonts w:ascii="Times New Roman" w:hAnsi="Times New Roman"/>
                <w:sz w:val="24"/>
                <w:szCs w:val="24"/>
                <w:lang w:val="sq-AL"/>
              </w:rPr>
              <w:t xml:space="preserve">nga </w:t>
            </w:r>
            <w:r w:rsidR="00A73EFE" w:rsidRPr="00BF2355">
              <w:rPr>
                <w:rFonts w:ascii="Times New Roman" w:hAnsi="Times New Roman"/>
                <w:sz w:val="24"/>
                <w:szCs w:val="24"/>
                <w:lang w:val="sq-AL"/>
              </w:rPr>
              <w:t xml:space="preserve">të gjitha </w:t>
            </w:r>
            <w:r w:rsidR="00B0093C" w:rsidRPr="00BF2355">
              <w:rPr>
                <w:rFonts w:ascii="Times New Roman" w:hAnsi="Times New Roman"/>
                <w:sz w:val="24"/>
                <w:szCs w:val="24"/>
                <w:lang w:val="sq-AL"/>
              </w:rPr>
              <w:t>instituc</w:t>
            </w:r>
            <w:r w:rsidR="00A05359" w:rsidRPr="00BF2355">
              <w:rPr>
                <w:rFonts w:ascii="Times New Roman" w:hAnsi="Times New Roman"/>
                <w:sz w:val="24"/>
                <w:szCs w:val="24"/>
                <w:lang w:val="sq-AL"/>
              </w:rPr>
              <w:t>ionet dhe subjektet e</w:t>
            </w:r>
            <w:r w:rsidR="00092682" w:rsidRPr="00BF2355">
              <w:rPr>
                <w:rFonts w:ascii="Times New Roman" w:hAnsi="Times New Roman"/>
                <w:sz w:val="24"/>
                <w:szCs w:val="24"/>
                <w:lang w:val="sq-AL"/>
              </w:rPr>
              <w:t xml:space="preserve"> interesuara</w:t>
            </w:r>
            <w:r w:rsidRPr="00BF2355">
              <w:rPr>
                <w:rFonts w:ascii="Times New Roman" w:hAnsi="Times New Roman"/>
                <w:sz w:val="24"/>
                <w:szCs w:val="24"/>
                <w:lang w:val="sq-AL"/>
              </w:rPr>
              <w:t xml:space="preserve">, </w:t>
            </w:r>
            <w:r w:rsidR="002310D5" w:rsidRPr="00BF2355">
              <w:rPr>
                <w:rFonts w:ascii="Times New Roman" w:hAnsi="Times New Roman"/>
                <w:bCs/>
                <w:iCs/>
                <w:sz w:val="24"/>
                <w:szCs w:val="24"/>
                <w:lang w:val="sq-AL" w:bidi="en-US"/>
              </w:rPr>
              <w:t xml:space="preserve">organizata </w:t>
            </w:r>
            <w:r w:rsidR="00A05359" w:rsidRPr="00BF2355">
              <w:rPr>
                <w:rFonts w:ascii="Times New Roman" w:hAnsi="Times New Roman"/>
                <w:bCs/>
                <w:iCs/>
                <w:sz w:val="24"/>
                <w:szCs w:val="24"/>
                <w:lang w:val="sq-AL" w:bidi="en-US"/>
              </w:rPr>
              <w:t xml:space="preserve">jofitimprurëse, shoqëria civile, </w:t>
            </w:r>
            <w:r w:rsidR="00FC3DD2" w:rsidRPr="00BF2355">
              <w:rPr>
                <w:rFonts w:ascii="Times New Roman" w:hAnsi="Times New Roman"/>
                <w:bCs/>
                <w:iCs/>
                <w:sz w:val="24"/>
                <w:szCs w:val="24"/>
                <w:lang w:val="sq-AL" w:bidi="en-US"/>
              </w:rPr>
              <w:t xml:space="preserve">të drejtat ose </w:t>
            </w:r>
            <w:r w:rsidR="00A05359" w:rsidRPr="00BF2355">
              <w:rPr>
                <w:rFonts w:ascii="Times New Roman" w:hAnsi="Times New Roman"/>
                <w:bCs/>
                <w:iCs/>
                <w:sz w:val="24"/>
                <w:szCs w:val="24"/>
                <w:lang w:val="sq-AL" w:bidi="en-US"/>
              </w:rPr>
              <w:t>objekti i veprimtarisë të</w:t>
            </w:r>
            <w:r w:rsidR="00FC3DD2" w:rsidRPr="00BF2355">
              <w:rPr>
                <w:rFonts w:ascii="Times New Roman" w:hAnsi="Times New Roman"/>
                <w:bCs/>
                <w:iCs/>
                <w:sz w:val="24"/>
                <w:szCs w:val="24"/>
                <w:lang w:val="sq-AL" w:bidi="en-US"/>
              </w:rPr>
              <w:t xml:space="preserve"> t</w:t>
            </w:r>
            <w:r w:rsidR="00A05359" w:rsidRPr="00BF2355">
              <w:rPr>
                <w:rFonts w:ascii="Times New Roman" w:hAnsi="Times New Roman"/>
                <w:bCs/>
                <w:iCs/>
                <w:sz w:val="24"/>
                <w:szCs w:val="24"/>
                <w:lang w:val="sq-AL" w:bidi="en-US"/>
              </w:rPr>
              <w:t>ë cil</w:t>
            </w:r>
            <w:r w:rsidR="00FC3DD2" w:rsidRPr="00BF2355">
              <w:rPr>
                <w:rFonts w:ascii="Times New Roman" w:hAnsi="Times New Roman"/>
                <w:bCs/>
                <w:iCs/>
                <w:sz w:val="24"/>
                <w:szCs w:val="24"/>
                <w:lang w:val="sq-AL" w:bidi="en-US"/>
              </w:rPr>
              <w:t>a</w:t>
            </w:r>
            <w:r w:rsidR="00A05359" w:rsidRPr="00BF2355">
              <w:rPr>
                <w:rFonts w:ascii="Times New Roman" w:hAnsi="Times New Roman"/>
                <w:bCs/>
                <w:iCs/>
                <w:sz w:val="24"/>
                <w:szCs w:val="24"/>
                <w:lang w:val="sq-AL" w:bidi="en-US"/>
              </w:rPr>
              <w:t xml:space="preserve">ve </w:t>
            </w:r>
            <w:r w:rsidR="00FC3DD2" w:rsidRPr="00BF2355">
              <w:rPr>
                <w:rFonts w:ascii="Times New Roman" w:hAnsi="Times New Roman"/>
                <w:bCs/>
                <w:iCs/>
                <w:sz w:val="24"/>
                <w:szCs w:val="24"/>
                <w:lang w:val="sq-AL" w:bidi="en-US"/>
              </w:rPr>
              <w:t xml:space="preserve">ka të bëjë apo ndikohet në mënyrë të drejtpërdrejtë </w:t>
            </w:r>
            <w:r w:rsidR="002726E3" w:rsidRPr="00BF2355">
              <w:rPr>
                <w:rFonts w:ascii="Times New Roman" w:hAnsi="Times New Roman"/>
                <w:bCs/>
                <w:iCs/>
                <w:sz w:val="24"/>
                <w:szCs w:val="24"/>
                <w:lang w:val="sq-AL" w:bidi="en-US"/>
              </w:rPr>
              <w:t xml:space="preserve">ose jo </w:t>
            </w:r>
            <w:r w:rsidR="00FC3DD2" w:rsidRPr="00BF2355">
              <w:rPr>
                <w:rFonts w:ascii="Times New Roman" w:hAnsi="Times New Roman"/>
                <w:bCs/>
                <w:iCs/>
                <w:sz w:val="24"/>
                <w:szCs w:val="24"/>
                <w:lang w:val="sq-AL" w:bidi="en-US"/>
              </w:rPr>
              <w:t xml:space="preserve">nga </w:t>
            </w:r>
            <w:r w:rsidR="001077A7" w:rsidRPr="00BF2355">
              <w:rPr>
                <w:rFonts w:ascii="Times New Roman" w:hAnsi="Times New Roman"/>
                <w:bCs/>
                <w:iCs/>
                <w:sz w:val="24"/>
                <w:szCs w:val="24"/>
                <w:lang w:val="sq-AL" w:bidi="en-US"/>
              </w:rPr>
              <w:t xml:space="preserve">përcaktimet e kësaj nisme ligjore. </w:t>
            </w:r>
          </w:p>
        </w:tc>
      </w:tr>
    </w:tbl>
    <w:p w14:paraId="4DD98B09" w14:textId="77777777" w:rsidR="008675CA" w:rsidRPr="00BF2355" w:rsidRDefault="008675CA" w:rsidP="00BF2355">
      <w:pPr>
        <w:pStyle w:val="BodyText"/>
        <w:spacing w:line="276" w:lineRule="auto"/>
        <w:jc w:val="both"/>
        <w:rPr>
          <w:rFonts w:ascii="Times New Roman" w:hAnsi="Times New Roman"/>
          <w:sz w:val="24"/>
          <w:szCs w:val="24"/>
          <w:highlight w:val="yellow"/>
          <w:lang w:val="sq-AL"/>
        </w:rPr>
      </w:pPr>
    </w:p>
    <w:p w14:paraId="2DB7AA78" w14:textId="77777777" w:rsidR="008675CA" w:rsidRPr="00BF2355" w:rsidRDefault="00E54C97" w:rsidP="00BF2355">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Kohëzgjatja e konsultimeve</w:t>
      </w:r>
      <w:r w:rsidR="008675CA" w:rsidRPr="00BF2355">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0A95A18B" w14:textId="77777777" w:rsidTr="00957E1F">
        <w:tc>
          <w:tcPr>
            <w:tcW w:w="9212" w:type="dxa"/>
          </w:tcPr>
          <w:p w14:paraId="5863E002" w14:textId="516C763A" w:rsidR="001E4573" w:rsidRPr="00BF2355" w:rsidRDefault="00B0093C" w:rsidP="00A07CC1">
            <w:pPr>
              <w:pStyle w:val="BodyText"/>
              <w:spacing w:line="276" w:lineRule="auto"/>
              <w:jc w:val="both"/>
              <w:rPr>
                <w:rFonts w:ascii="Times New Roman" w:hAnsi="Times New Roman"/>
                <w:sz w:val="24"/>
                <w:szCs w:val="24"/>
                <w:lang w:val="sq-AL"/>
              </w:rPr>
            </w:pPr>
            <w:r w:rsidRPr="00B11C82">
              <w:rPr>
                <w:rFonts w:ascii="Times New Roman" w:hAnsi="Times New Roman"/>
                <w:sz w:val="24"/>
                <w:szCs w:val="24"/>
                <w:lang w:val="sq-AL"/>
              </w:rPr>
              <w:t>Konsultimet në portalin e Regjistrit Elektronik: 20 ditë pune</w:t>
            </w:r>
            <w:r w:rsidR="007765B7" w:rsidRPr="00B11C82">
              <w:rPr>
                <w:rFonts w:ascii="Times New Roman" w:hAnsi="Times New Roman"/>
                <w:sz w:val="24"/>
                <w:szCs w:val="24"/>
                <w:lang w:val="sq-AL"/>
              </w:rPr>
              <w:t xml:space="preserve">, duke filluar nga </w:t>
            </w:r>
            <w:r w:rsidR="001077A7" w:rsidRPr="00B11C82">
              <w:rPr>
                <w:rFonts w:ascii="Times New Roman" w:hAnsi="Times New Roman"/>
                <w:sz w:val="24"/>
                <w:szCs w:val="24"/>
                <w:lang w:val="sq-AL"/>
              </w:rPr>
              <w:t xml:space="preserve">data </w:t>
            </w:r>
            <w:r w:rsidR="008F0DBA">
              <w:rPr>
                <w:rFonts w:ascii="Times New Roman" w:hAnsi="Times New Roman"/>
                <w:sz w:val="24"/>
                <w:szCs w:val="24"/>
                <w:lang w:val="sq-AL"/>
              </w:rPr>
              <w:t>2</w:t>
            </w:r>
            <w:r w:rsidR="00A07CC1">
              <w:rPr>
                <w:rFonts w:ascii="Times New Roman" w:hAnsi="Times New Roman"/>
                <w:sz w:val="24"/>
                <w:szCs w:val="24"/>
                <w:lang w:val="sq-AL"/>
              </w:rPr>
              <w:t>6</w:t>
            </w:r>
            <w:r w:rsidR="008F0DBA">
              <w:rPr>
                <w:rFonts w:ascii="Times New Roman" w:hAnsi="Times New Roman"/>
                <w:sz w:val="24"/>
                <w:szCs w:val="24"/>
                <w:lang w:val="sq-AL"/>
              </w:rPr>
              <w:t xml:space="preserve"> Prill </w:t>
            </w:r>
            <w:r w:rsidR="00087972" w:rsidRPr="00B11C82">
              <w:rPr>
                <w:rFonts w:ascii="Times New Roman" w:hAnsi="Times New Roman"/>
                <w:sz w:val="24"/>
                <w:szCs w:val="24"/>
                <w:lang w:val="sq-AL"/>
              </w:rPr>
              <w:t>202</w:t>
            </w:r>
            <w:r w:rsidR="00AC4D67" w:rsidRPr="00B11C82">
              <w:rPr>
                <w:rFonts w:ascii="Times New Roman" w:hAnsi="Times New Roman"/>
                <w:sz w:val="24"/>
                <w:szCs w:val="24"/>
                <w:lang w:val="sq-AL"/>
              </w:rPr>
              <w:t>3</w:t>
            </w:r>
            <w:r w:rsidR="00087972" w:rsidRPr="00B11C82">
              <w:rPr>
                <w:rFonts w:ascii="Times New Roman" w:hAnsi="Times New Roman"/>
                <w:sz w:val="24"/>
                <w:szCs w:val="24"/>
                <w:lang w:val="sq-AL"/>
              </w:rPr>
              <w:t>.</w:t>
            </w:r>
          </w:p>
        </w:tc>
      </w:tr>
    </w:tbl>
    <w:p w14:paraId="29630BCB" w14:textId="77777777" w:rsidR="008675CA" w:rsidRPr="00BF2355" w:rsidRDefault="008675CA" w:rsidP="00BF2355">
      <w:pPr>
        <w:pStyle w:val="BodyText"/>
        <w:spacing w:line="276" w:lineRule="auto"/>
        <w:jc w:val="both"/>
        <w:rPr>
          <w:rFonts w:ascii="Times New Roman" w:hAnsi="Times New Roman"/>
          <w:sz w:val="24"/>
          <w:szCs w:val="24"/>
          <w:lang w:val="sq-AL"/>
        </w:rPr>
      </w:pPr>
    </w:p>
    <w:p w14:paraId="57C82A5C" w14:textId="77777777" w:rsidR="008675CA" w:rsidRPr="00BF2355" w:rsidRDefault="00E54C97" w:rsidP="00BF2355">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11C82" w14:paraId="0FF81B91" w14:textId="77777777" w:rsidTr="00957E1F">
        <w:tc>
          <w:tcPr>
            <w:tcW w:w="9212" w:type="dxa"/>
          </w:tcPr>
          <w:p w14:paraId="725A5EEA" w14:textId="14C9BC65" w:rsidR="008675CA" w:rsidRPr="00B11C82" w:rsidRDefault="00B0093C" w:rsidP="00647695">
            <w:pPr>
              <w:pStyle w:val="BodyText"/>
              <w:spacing w:line="276" w:lineRule="auto"/>
              <w:jc w:val="both"/>
              <w:rPr>
                <w:rFonts w:ascii="Times New Roman" w:hAnsi="Times New Roman"/>
                <w:sz w:val="24"/>
                <w:szCs w:val="24"/>
                <w:lang w:val="sq-AL"/>
              </w:rPr>
            </w:pPr>
            <w:r w:rsidRPr="00B11C82">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B11C82">
              <w:rPr>
                <w:rFonts w:ascii="Times New Roman" w:hAnsi="Times New Roman"/>
                <w:sz w:val="24"/>
                <w:szCs w:val="24"/>
                <w:lang w:val="sq-AL"/>
              </w:rPr>
              <w:t>e</w:t>
            </w:r>
            <w:r w:rsidRPr="00B11C82">
              <w:rPr>
                <w:rFonts w:ascii="Times New Roman" w:hAnsi="Times New Roman"/>
                <w:sz w:val="24"/>
                <w:szCs w:val="24"/>
                <w:lang w:val="sq-AL"/>
              </w:rPr>
              <w:t xml:space="preserve"> drejtuar Ministrisë së </w:t>
            </w:r>
            <w:r w:rsidR="00647695">
              <w:rPr>
                <w:rFonts w:ascii="Times New Roman" w:hAnsi="Times New Roman"/>
                <w:sz w:val="24"/>
                <w:szCs w:val="24"/>
                <w:lang w:val="sq-AL"/>
              </w:rPr>
              <w:t>Infrastrukturës dhe Energjisë</w:t>
            </w:r>
            <w:r w:rsidRPr="00B11C82">
              <w:rPr>
                <w:rFonts w:ascii="Times New Roman" w:hAnsi="Times New Roman"/>
                <w:sz w:val="24"/>
                <w:szCs w:val="24"/>
                <w:lang w:val="sq-AL"/>
              </w:rPr>
              <w:t xml:space="preserve">, me anë të regjistrit elektronik në adresën </w:t>
            </w:r>
            <w:hyperlink r:id="rId5" w:history="1">
              <w:r w:rsidR="00BF2355" w:rsidRPr="00B11C82">
                <w:rPr>
                  <w:rStyle w:val="Hyperlink"/>
                  <w:rFonts w:ascii="Times New Roman" w:hAnsi="Times New Roman"/>
                  <w:iCs/>
                  <w:sz w:val="24"/>
                  <w:szCs w:val="24"/>
                  <w:lang w:val="sq-AL"/>
                </w:rPr>
                <w:t>http://www.konsultimipublik.gov.al</w:t>
              </w:r>
            </w:hyperlink>
            <w:r w:rsidRPr="00B11C82">
              <w:rPr>
                <w:rFonts w:ascii="Times New Roman" w:hAnsi="Times New Roman"/>
                <w:iCs/>
                <w:sz w:val="24"/>
                <w:szCs w:val="24"/>
                <w:lang w:val="sq-AL"/>
              </w:rPr>
              <w:t xml:space="preserve">, në adresën postare të </w:t>
            </w:r>
            <w:r w:rsidR="00647695" w:rsidRPr="00BF2355">
              <w:rPr>
                <w:rFonts w:ascii="Times New Roman" w:hAnsi="Times New Roman"/>
                <w:sz w:val="24"/>
                <w:szCs w:val="24"/>
                <w:lang w:val="sq-AL"/>
              </w:rPr>
              <w:t xml:space="preserve">Ministria e </w:t>
            </w:r>
            <w:r w:rsidR="00647695">
              <w:rPr>
                <w:rFonts w:ascii="Times New Roman" w:hAnsi="Times New Roman"/>
                <w:sz w:val="24"/>
                <w:szCs w:val="24"/>
                <w:lang w:val="sq-AL"/>
              </w:rPr>
              <w:t>Infrastrukturës dhe Energjisë</w:t>
            </w:r>
            <w:r w:rsidR="00087972" w:rsidRPr="00B11C82">
              <w:rPr>
                <w:rFonts w:ascii="Times New Roman" w:hAnsi="Times New Roman"/>
                <w:iCs/>
                <w:sz w:val="24"/>
                <w:szCs w:val="24"/>
                <w:lang w:val="sq-AL"/>
              </w:rPr>
              <w:t xml:space="preserve">: </w:t>
            </w:r>
            <w:r w:rsidR="00647695">
              <w:rPr>
                <w:rFonts w:ascii="Times New Roman" w:hAnsi="Times New Roman"/>
                <w:iCs/>
                <w:sz w:val="24"/>
                <w:szCs w:val="24"/>
                <w:lang w:val="sq-AL"/>
              </w:rPr>
              <w:t xml:space="preserve">Rr.Abdi Toptani, 4, </w:t>
            </w:r>
            <w:r w:rsidRPr="00B11C82">
              <w:rPr>
                <w:rFonts w:ascii="Times New Roman" w:hAnsi="Times New Roman"/>
                <w:iCs/>
                <w:sz w:val="24"/>
                <w:szCs w:val="24"/>
                <w:lang w:val="sq-AL"/>
              </w:rPr>
              <w:t xml:space="preserve">Tiranë, </w:t>
            </w:r>
            <w:r w:rsidR="00343EA7" w:rsidRPr="00B11C82">
              <w:rPr>
                <w:rFonts w:ascii="Times New Roman" w:hAnsi="Times New Roman"/>
                <w:iCs/>
                <w:sz w:val="24"/>
                <w:szCs w:val="24"/>
                <w:lang w:val="sq-AL"/>
              </w:rPr>
              <w:t xml:space="preserve">në adresën e </w:t>
            </w:r>
            <w:r w:rsidR="007B4AD9" w:rsidRPr="00B11C82">
              <w:rPr>
                <w:rFonts w:ascii="Times New Roman" w:hAnsi="Times New Roman"/>
                <w:iCs/>
                <w:sz w:val="24"/>
                <w:szCs w:val="24"/>
                <w:lang w:val="sq-AL"/>
              </w:rPr>
              <w:t>e</w:t>
            </w:r>
            <w:r w:rsidR="00343EA7" w:rsidRPr="00B11C82">
              <w:rPr>
                <w:rFonts w:ascii="Times New Roman" w:hAnsi="Times New Roman"/>
                <w:iCs/>
                <w:sz w:val="24"/>
                <w:szCs w:val="24"/>
                <w:lang w:val="sq-AL"/>
              </w:rPr>
              <w:t>-</w:t>
            </w:r>
            <w:r w:rsidR="007B4AD9" w:rsidRPr="00B11C82">
              <w:rPr>
                <w:rFonts w:ascii="Times New Roman" w:hAnsi="Times New Roman"/>
                <w:iCs/>
                <w:sz w:val="24"/>
                <w:szCs w:val="24"/>
                <w:lang w:val="sq-AL"/>
              </w:rPr>
              <w:t xml:space="preserve">mailit të koordinatorit për konsultimin publik </w:t>
            </w:r>
            <w:hyperlink r:id="rId6" w:history="1">
              <w:r w:rsidR="00647695" w:rsidRPr="00F80F39">
                <w:rPr>
                  <w:rStyle w:val="Hyperlink"/>
                  <w:rFonts w:ascii="Times New Roman" w:hAnsi="Times New Roman"/>
                  <w:iCs/>
                  <w:sz w:val="24"/>
                  <w:szCs w:val="24"/>
                  <w:lang w:val="sq-AL"/>
                </w:rPr>
                <w:t>vilma.davidhi@infrastruktura.gov.al</w:t>
              </w:r>
            </w:hyperlink>
            <w:r w:rsidR="00647695">
              <w:rPr>
                <w:rFonts w:ascii="Times New Roman" w:hAnsi="Times New Roman"/>
                <w:iCs/>
                <w:sz w:val="24"/>
                <w:szCs w:val="24"/>
                <w:lang w:val="sq-AL"/>
              </w:rPr>
              <w:t xml:space="preserve"> </w:t>
            </w:r>
            <w:r w:rsidR="00AD4479" w:rsidRPr="00B11C82">
              <w:rPr>
                <w:rFonts w:ascii="Times New Roman" w:hAnsi="Times New Roman"/>
                <w:sz w:val="24"/>
                <w:szCs w:val="24"/>
                <w:lang w:val="sq-AL"/>
              </w:rPr>
              <w:t xml:space="preserve">, </w:t>
            </w:r>
            <w:r w:rsidRPr="00B11C82">
              <w:rPr>
                <w:rFonts w:ascii="Times New Roman" w:hAnsi="Times New Roman"/>
                <w:iCs/>
                <w:sz w:val="24"/>
                <w:szCs w:val="24"/>
                <w:lang w:val="sq-AL"/>
              </w:rPr>
              <w:t xml:space="preserve">si </w:t>
            </w:r>
            <w:r w:rsidRPr="00B11C82">
              <w:rPr>
                <w:rFonts w:ascii="Times New Roman" w:hAnsi="Times New Roman"/>
                <w:sz w:val="24"/>
                <w:szCs w:val="24"/>
                <w:lang w:val="sq-AL"/>
              </w:rPr>
              <w:t xml:space="preserve">dhe nëpërmjet komenteve të drejtpërdrejta në tryezat e konsultimit </w:t>
            </w:r>
            <w:r w:rsidR="00087972" w:rsidRPr="00B11C82">
              <w:rPr>
                <w:rFonts w:ascii="Times New Roman" w:hAnsi="Times New Roman"/>
                <w:sz w:val="24"/>
                <w:szCs w:val="24"/>
                <w:lang w:val="sq-AL"/>
              </w:rPr>
              <w:t xml:space="preserve">që eventualisht mund të zhvillohen </w:t>
            </w:r>
            <w:r w:rsidRPr="00B11C82">
              <w:rPr>
                <w:rFonts w:ascii="Times New Roman" w:hAnsi="Times New Roman"/>
                <w:sz w:val="24"/>
                <w:szCs w:val="24"/>
                <w:lang w:val="sq-AL"/>
              </w:rPr>
              <w:t xml:space="preserve">në </w:t>
            </w:r>
            <w:r w:rsidR="00647695" w:rsidRPr="00B11C82">
              <w:rPr>
                <w:rFonts w:ascii="Times New Roman" w:hAnsi="Times New Roman"/>
                <w:sz w:val="24"/>
                <w:szCs w:val="24"/>
                <w:lang w:val="sq-AL"/>
              </w:rPr>
              <w:t>Ministr</w:t>
            </w:r>
            <w:r w:rsidR="00A51B6B">
              <w:rPr>
                <w:rFonts w:ascii="Times New Roman" w:hAnsi="Times New Roman"/>
                <w:sz w:val="24"/>
                <w:szCs w:val="24"/>
                <w:lang w:val="sq-AL"/>
              </w:rPr>
              <w:t>i</w:t>
            </w:r>
            <w:bookmarkStart w:id="0" w:name="_GoBack"/>
            <w:bookmarkEnd w:id="0"/>
            <w:r w:rsidR="00647695">
              <w:rPr>
                <w:rFonts w:ascii="Times New Roman" w:hAnsi="Times New Roman"/>
                <w:sz w:val="24"/>
                <w:szCs w:val="24"/>
                <w:lang w:val="sq-AL"/>
              </w:rPr>
              <w:t>n</w:t>
            </w:r>
            <w:r w:rsidR="00647695" w:rsidRPr="00B11C82">
              <w:rPr>
                <w:rFonts w:ascii="Times New Roman" w:hAnsi="Times New Roman"/>
                <w:sz w:val="24"/>
                <w:szCs w:val="24"/>
                <w:lang w:val="sq-AL"/>
              </w:rPr>
              <w:t xml:space="preserve">ë </w:t>
            </w:r>
            <w:r w:rsidR="00647695">
              <w:rPr>
                <w:rFonts w:ascii="Times New Roman" w:hAnsi="Times New Roman"/>
                <w:sz w:val="24"/>
                <w:szCs w:val="24"/>
                <w:lang w:val="sq-AL"/>
              </w:rPr>
              <w:t>e</w:t>
            </w:r>
            <w:r w:rsidR="00647695" w:rsidRPr="00B11C82">
              <w:rPr>
                <w:rFonts w:ascii="Times New Roman" w:hAnsi="Times New Roman"/>
                <w:sz w:val="24"/>
                <w:szCs w:val="24"/>
                <w:lang w:val="sq-AL"/>
              </w:rPr>
              <w:t xml:space="preserve"> </w:t>
            </w:r>
            <w:r w:rsidR="00647695">
              <w:rPr>
                <w:rFonts w:ascii="Times New Roman" w:hAnsi="Times New Roman"/>
                <w:sz w:val="24"/>
                <w:szCs w:val="24"/>
                <w:lang w:val="sq-AL"/>
              </w:rPr>
              <w:t>Infrastrukturës dhe Energjisë</w:t>
            </w:r>
            <w:r w:rsidRPr="00B11C82">
              <w:rPr>
                <w:rFonts w:ascii="Times New Roman" w:hAnsi="Times New Roman"/>
                <w:sz w:val="24"/>
                <w:szCs w:val="24"/>
                <w:lang w:val="sq-AL"/>
              </w:rPr>
              <w:t>.</w:t>
            </w:r>
          </w:p>
        </w:tc>
      </w:tr>
    </w:tbl>
    <w:p w14:paraId="3C463429" w14:textId="77777777" w:rsidR="008675CA" w:rsidRPr="00B11C82" w:rsidRDefault="008675CA" w:rsidP="00BF2355">
      <w:pPr>
        <w:pStyle w:val="BodyText"/>
        <w:spacing w:line="276" w:lineRule="auto"/>
        <w:jc w:val="both"/>
        <w:rPr>
          <w:rFonts w:ascii="Times New Roman" w:hAnsi="Times New Roman"/>
          <w:sz w:val="24"/>
          <w:szCs w:val="24"/>
          <w:lang w:val="sq-AL"/>
        </w:rPr>
      </w:pPr>
    </w:p>
    <w:p w14:paraId="6C4BE25B" w14:textId="77777777" w:rsidR="008675CA" w:rsidRPr="00B11C82" w:rsidRDefault="00E54C97" w:rsidP="00BF2355">
      <w:pPr>
        <w:pStyle w:val="BodyText"/>
        <w:spacing w:line="276" w:lineRule="auto"/>
        <w:jc w:val="both"/>
        <w:rPr>
          <w:rFonts w:ascii="Times New Roman" w:hAnsi="Times New Roman"/>
          <w:b/>
          <w:sz w:val="24"/>
          <w:szCs w:val="24"/>
          <w:lang w:val="sq-AL"/>
        </w:rPr>
      </w:pPr>
      <w:r w:rsidRPr="00B11C82">
        <w:rPr>
          <w:rFonts w:ascii="Times New Roman" w:hAnsi="Times New Roman"/>
          <w:b/>
          <w:sz w:val="24"/>
          <w:szCs w:val="24"/>
          <w:lang w:val="sq-AL"/>
        </w:rPr>
        <w:t>Kontakti</w:t>
      </w:r>
      <w:r w:rsidR="008675CA" w:rsidRPr="00B11C82">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11C82" w14:paraId="12B24D1C" w14:textId="77777777" w:rsidTr="00957E1F">
        <w:tc>
          <w:tcPr>
            <w:tcW w:w="9212" w:type="dxa"/>
          </w:tcPr>
          <w:p w14:paraId="3637B89E" w14:textId="4E53F89C" w:rsidR="00203C7D" w:rsidRPr="00203C7D" w:rsidRDefault="00203C7D" w:rsidP="00BF2355">
            <w:pPr>
              <w:pStyle w:val="BodyText"/>
              <w:spacing w:line="276" w:lineRule="auto"/>
              <w:jc w:val="both"/>
              <w:rPr>
                <w:rFonts w:ascii="Times New Roman" w:hAnsi="Times New Roman"/>
                <w:iCs/>
                <w:sz w:val="24"/>
                <w:szCs w:val="24"/>
                <w:lang w:val="sq-AL"/>
              </w:rPr>
            </w:pPr>
            <w:r>
              <w:rPr>
                <w:rFonts w:ascii="Times New Roman" w:hAnsi="Times New Roman"/>
                <w:sz w:val="24"/>
                <w:szCs w:val="24"/>
                <w:lang w:val="sq-AL"/>
              </w:rPr>
              <w:t>Vilma Davidhi</w:t>
            </w:r>
            <w:r w:rsidR="00B0093C" w:rsidRPr="00B11C82">
              <w:rPr>
                <w:rFonts w:ascii="Times New Roman" w:hAnsi="Times New Roman"/>
                <w:sz w:val="24"/>
                <w:szCs w:val="24"/>
                <w:lang w:val="sq-AL"/>
              </w:rPr>
              <w:t xml:space="preserve">, Koordinatore për konsultimin publik në Ministri: </w:t>
            </w:r>
            <w:hyperlink r:id="rId7" w:history="1">
              <w:r w:rsidRPr="00F80F39">
                <w:rPr>
                  <w:rStyle w:val="Hyperlink"/>
                  <w:rFonts w:ascii="Times New Roman" w:hAnsi="Times New Roman"/>
                  <w:iCs/>
                  <w:sz w:val="24"/>
                  <w:szCs w:val="24"/>
                  <w:lang w:val="sq-AL"/>
                </w:rPr>
                <w:t>vilma.davidhi@infrastruktura.gov.al</w:t>
              </w:r>
            </w:hyperlink>
          </w:p>
        </w:tc>
      </w:tr>
    </w:tbl>
    <w:p w14:paraId="5D44D821" w14:textId="77777777" w:rsidR="008675CA" w:rsidRPr="00B11C82" w:rsidRDefault="008675CA" w:rsidP="00BF2355">
      <w:pPr>
        <w:pStyle w:val="BodyText"/>
        <w:spacing w:line="276" w:lineRule="auto"/>
        <w:jc w:val="both"/>
        <w:rPr>
          <w:rFonts w:ascii="Times New Roman" w:hAnsi="Times New Roman"/>
          <w:sz w:val="24"/>
          <w:szCs w:val="24"/>
          <w:lang w:val="sq-AL"/>
        </w:rPr>
      </w:pPr>
    </w:p>
    <w:p w14:paraId="3524433B" w14:textId="77777777" w:rsidR="008675CA" w:rsidRPr="00B11C82" w:rsidRDefault="00E54C97" w:rsidP="00BF2355">
      <w:pPr>
        <w:pStyle w:val="BodyText"/>
        <w:spacing w:line="276" w:lineRule="auto"/>
        <w:jc w:val="both"/>
        <w:rPr>
          <w:rFonts w:ascii="Times New Roman" w:hAnsi="Times New Roman"/>
          <w:b/>
          <w:sz w:val="24"/>
          <w:szCs w:val="24"/>
          <w:lang w:val="sq-AL"/>
        </w:rPr>
      </w:pPr>
      <w:r w:rsidRPr="00B11C82">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7239AD1E" w14:textId="77777777" w:rsidTr="00957E1F">
        <w:tc>
          <w:tcPr>
            <w:tcW w:w="9212" w:type="dxa"/>
          </w:tcPr>
          <w:p w14:paraId="225A0334" w14:textId="1A439C2F" w:rsidR="00AD4479" w:rsidRPr="00BF2355" w:rsidRDefault="00AD4479" w:rsidP="00A07CC1">
            <w:pPr>
              <w:pStyle w:val="BodyText"/>
              <w:spacing w:line="276" w:lineRule="auto"/>
              <w:jc w:val="both"/>
              <w:rPr>
                <w:rFonts w:ascii="Times New Roman" w:hAnsi="Times New Roman"/>
                <w:i/>
                <w:sz w:val="24"/>
                <w:szCs w:val="24"/>
                <w:lang w:val="sq-AL"/>
              </w:rPr>
            </w:pPr>
            <w:r w:rsidRPr="00B11C82">
              <w:rPr>
                <w:rFonts w:ascii="Times New Roman" w:hAnsi="Times New Roman"/>
                <w:sz w:val="24"/>
                <w:szCs w:val="24"/>
                <w:lang w:val="sq-AL"/>
              </w:rPr>
              <w:t>E-Konsultimi: në portalin “</w:t>
            </w:r>
            <w:r w:rsidR="00343EA7" w:rsidRPr="00B11C82">
              <w:rPr>
                <w:rFonts w:ascii="Times New Roman" w:hAnsi="Times New Roman"/>
                <w:sz w:val="24"/>
                <w:szCs w:val="24"/>
                <w:lang w:val="sq-AL"/>
              </w:rPr>
              <w:t>Regjistri</w:t>
            </w:r>
            <w:r w:rsidRPr="00B11C82">
              <w:rPr>
                <w:rFonts w:ascii="Times New Roman" w:hAnsi="Times New Roman"/>
                <w:sz w:val="24"/>
                <w:szCs w:val="24"/>
                <w:lang w:val="sq-AL"/>
              </w:rPr>
              <w:t xml:space="preserve"> Elektronik për Njoftimet dhe Konsultimet Publike” </w:t>
            </w:r>
            <w:r w:rsidR="007765B7" w:rsidRPr="00B11C82">
              <w:rPr>
                <w:rFonts w:ascii="Times New Roman" w:hAnsi="Times New Roman"/>
                <w:sz w:val="24"/>
                <w:szCs w:val="24"/>
                <w:lang w:val="sq-AL"/>
              </w:rPr>
              <w:t>20 ditë pune</w:t>
            </w:r>
            <w:r w:rsidR="00F04DE4" w:rsidRPr="00B11C82">
              <w:rPr>
                <w:rFonts w:ascii="Times New Roman" w:hAnsi="Times New Roman"/>
                <w:sz w:val="24"/>
                <w:szCs w:val="24"/>
                <w:lang w:val="sq-AL"/>
              </w:rPr>
              <w:t xml:space="preserve">, </w:t>
            </w:r>
            <w:r w:rsidR="001077A7" w:rsidRPr="00B11C82">
              <w:rPr>
                <w:rFonts w:ascii="Times New Roman" w:hAnsi="Times New Roman"/>
                <w:sz w:val="24"/>
                <w:szCs w:val="24"/>
                <w:lang w:val="sq-AL"/>
              </w:rPr>
              <w:t xml:space="preserve">duke filluar nga data </w:t>
            </w:r>
            <w:r w:rsidR="00203C7D">
              <w:rPr>
                <w:rFonts w:ascii="Times New Roman" w:hAnsi="Times New Roman"/>
                <w:sz w:val="24"/>
                <w:szCs w:val="24"/>
                <w:lang w:val="sq-AL"/>
              </w:rPr>
              <w:t>2</w:t>
            </w:r>
            <w:r w:rsidR="00A07CC1">
              <w:rPr>
                <w:rFonts w:ascii="Times New Roman" w:hAnsi="Times New Roman"/>
                <w:sz w:val="24"/>
                <w:szCs w:val="24"/>
                <w:lang w:val="sq-AL"/>
              </w:rPr>
              <w:t>6</w:t>
            </w:r>
            <w:r w:rsidR="00203C7D">
              <w:rPr>
                <w:rFonts w:ascii="Times New Roman" w:hAnsi="Times New Roman"/>
                <w:sz w:val="24"/>
                <w:szCs w:val="24"/>
                <w:lang w:val="sq-AL"/>
              </w:rPr>
              <w:t xml:space="preserve"> prill </w:t>
            </w:r>
            <w:r w:rsidR="007765B7" w:rsidRPr="00B11C82">
              <w:rPr>
                <w:rFonts w:ascii="Times New Roman" w:hAnsi="Times New Roman"/>
                <w:sz w:val="24"/>
                <w:szCs w:val="24"/>
                <w:lang w:val="sq-AL"/>
              </w:rPr>
              <w:t>202</w:t>
            </w:r>
            <w:r w:rsidR="00AC4D67" w:rsidRPr="00B11C82">
              <w:rPr>
                <w:rFonts w:ascii="Times New Roman" w:hAnsi="Times New Roman"/>
                <w:sz w:val="24"/>
                <w:szCs w:val="24"/>
                <w:lang w:val="sq-AL"/>
              </w:rPr>
              <w:t>3</w:t>
            </w:r>
            <w:r w:rsidR="007765B7" w:rsidRPr="00B11C82">
              <w:rPr>
                <w:rFonts w:ascii="Times New Roman" w:hAnsi="Times New Roman"/>
                <w:sz w:val="24"/>
                <w:szCs w:val="24"/>
                <w:lang w:val="sq-AL"/>
              </w:rPr>
              <w:t>.</w:t>
            </w:r>
            <w:r w:rsidR="007765B7" w:rsidRPr="00BF2355">
              <w:rPr>
                <w:rFonts w:ascii="Times New Roman" w:hAnsi="Times New Roman"/>
                <w:sz w:val="24"/>
                <w:szCs w:val="24"/>
                <w:lang w:val="sq-AL"/>
              </w:rPr>
              <w:t xml:space="preserve">     </w:t>
            </w:r>
          </w:p>
        </w:tc>
      </w:tr>
    </w:tbl>
    <w:p w14:paraId="29B33FD3" w14:textId="77777777" w:rsidR="008675CA" w:rsidRPr="00BF2355" w:rsidRDefault="008675CA" w:rsidP="00BF2355">
      <w:pPr>
        <w:pStyle w:val="BodyText"/>
        <w:spacing w:line="276" w:lineRule="auto"/>
        <w:jc w:val="both"/>
        <w:rPr>
          <w:rFonts w:ascii="Times New Roman" w:hAnsi="Times New Roman"/>
          <w:sz w:val="24"/>
          <w:szCs w:val="24"/>
          <w:lang w:val="sq-AL"/>
        </w:rPr>
      </w:pPr>
    </w:p>
    <w:p w14:paraId="5CA45918" w14:textId="77777777" w:rsidR="008675CA" w:rsidRPr="00BF2355" w:rsidRDefault="00E54C97" w:rsidP="00BF2355">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5017327A" w14:textId="77777777" w:rsidTr="00957E1F">
        <w:tc>
          <w:tcPr>
            <w:tcW w:w="9212" w:type="dxa"/>
          </w:tcPr>
          <w:p w14:paraId="739B611D" w14:textId="77777777" w:rsidR="00596E1F" w:rsidRDefault="00596E1F" w:rsidP="00597D72">
            <w:pPr>
              <w:widowControl w:val="0"/>
              <w:autoSpaceDE w:val="0"/>
              <w:autoSpaceDN w:val="0"/>
              <w:spacing w:line="276" w:lineRule="auto"/>
              <w:ind w:left="100" w:right="114" w:hanging="40"/>
              <w:jc w:val="both"/>
              <w:rPr>
                <w:rFonts w:ascii="Times New Roman" w:hAnsi="Times New Roman"/>
                <w:sz w:val="24"/>
                <w:szCs w:val="24"/>
                <w:lang w:val="sq-AL"/>
              </w:rPr>
            </w:pPr>
            <w:r w:rsidRPr="00596E1F">
              <w:rPr>
                <w:rFonts w:ascii="Times New Roman" w:hAnsi="Times New Roman"/>
                <w:sz w:val="24"/>
                <w:szCs w:val="24"/>
                <w:lang w:val="sq-AL"/>
              </w:rPr>
              <w:t xml:space="preserve">Ky projektligj ka objekt promovimin e prodhimit dhe të përdorimit të Burimeve të Energjisë së Rinovueshme për sektorin e Transportit, nëpërmjet përdorimit të biokarburanteve për zëvendësimin e një pjese të nënprodukteve të naftës me lëndë djegëse jo fosile për motorët me djegie të brendshme. Në këtë kuadër, Shqipëria është e angazhuar në kuadër të Acquis të plotësojë Objektivin kombëtar për Energjinë e Rinovueshme, ku pjesa e biokarburanteve zë 10% të këtij objektivi për konsum të burimeve të rinovueshme </w:t>
            </w:r>
          </w:p>
          <w:p w14:paraId="49B2E776" w14:textId="77777777" w:rsidR="00596E1F" w:rsidRDefault="00596E1F" w:rsidP="00597D72">
            <w:pPr>
              <w:widowControl w:val="0"/>
              <w:autoSpaceDE w:val="0"/>
              <w:autoSpaceDN w:val="0"/>
              <w:spacing w:line="276" w:lineRule="auto"/>
              <w:ind w:left="100" w:right="114" w:hanging="40"/>
              <w:jc w:val="both"/>
              <w:rPr>
                <w:rFonts w:ascii="Times New Roman" w:hAnsi="Times New Roman"/>
                <w:sz w:val="24"/>
                <w:szCs w:val="24"/>
                <w:lang w:val="sq-AL"/>
              </w:rPr>
            </w:pPr>
            <w:r>
              <w:rPr>
                <w:rFonts w:ascii="Times New Roman" w:hAnsi="Times New Roman"/>
                <w:sz w:val="24"/>
                <w:szCs w:val="24"/>
                <w:lang w:val="sq-AL"/>
              </w:rPr>
              <w:lastRenderedPageBreak/>
              <w:t xml:space="preserve"> </w:t>
            </w:r>
            <w:r w:rsidRPr="00596E1F">
              <w:rPr>
                <w:rFonts w:ascii="Times New Roman" w:hAnsi="Times New Roman"/>
                <w:sz w:val="24"/>
                <w:szCs w:val="24"/>
                <w:lang w:val="sq-AL"/>
              </w:rPr>
              <w:t>në nivel kombëtar me 38% në vitin 2020 krahasuar me vitin kur filloi detyrimi për MSA-</w:t>
            </w:r>
            <w:r>
              <w:rPr>
                <w:rFonts w:ascii="Times New Roman" w:hAnsi="Times New Roman"/>
                <w:sz w:val="24"/>
                <w:szCs w:val="24"/>
                <w:lang w:val="sq-AL"/>
              </w:rPr>
              <w:t xml:space="preserve"> </w:t>
            </w:r>
          </w:p>
          <w:p w14:paraId="13C231FB" w14:textId="6F66811E" w:rsidR="00596E1F" w:rsidRPr="00596E1F" w:rsidRDefault="00596E1F" w:rsidP="00597D72">
            <w:pPr>
              <w:widowControl w:val="0"/>
              <w:autoSpaceDE w:val="0"/>
              <w:autoSpaceDN w:val="0"/>
              <w:spacing w:line="276" w:lineRule="auto"/>
              <w:ind w:left="100" w:right="114" w:hanging="40"/>
              <w:jc w:val="both"/>
              <w:rPr>
                <w:rFonts w:ascii="Times New Roman" w:hAnsi="Times New Roman"/>
                <w:sz w:val="24"/>
                <w:szCs w:val="24"/>
                <w:lang w:val="sq-AL"/>
              </w:rPr>
            </w:pPr>
            <w:r>
              <w:rPr>
                <w:rFonts w:ascii="Times New Roman" w:hAnsi="Times New Roman"/>
                <w:sz w:val="24"/>
                <w:szCs w:val="24"/>
                <w:lang w:val="sq-AL"/>
              </w:rPr>
              <w:t xml:space="preserve"> </w:t>
            </w:r>
            <w:r w:rsidRPr="00596E1F">
              <w:rPr>
                <w:rFonts w:ascii="Times New Roman" w:hAnsi="Times New Roman"/>
                <w:sz w:val="24"/>
                <w:szCs w:val="24"/>
                <w:lang w:val="sq-AL"/>
              </w:rPr>
              <w:t>në. </w:t>
            </w:r>
          </w:p>
          <w:p w14:paraId="1C042EBF" w14:textId="53D93D9E" w:rsidR="00596E1F" w:rsidRPr="00596E1F" w:rsidRDefault="00597D72" w:rsidP="00597D72">
            <w:pPr>
              <w:widowControl w:val="0"/>
              <w:autoSpaceDE w:val="0"/>
              <w:autoSpaceDN w:val="0"/>
              <w:spacing w:line="276" w:lineRule="auto"/>
              <w:ind w:left="100" w:right="114" w:hanging="40"/>
              <w:jc w:val="both"/>
              <w:rPr>
                <w:rFonts w:ascii="Times New Roman" w:hAnsi="Times New Roman"/>
                <w:sz w:val="24"/>
                <w:szCs w:val="24"/>
                <w:lang w:val="sq-AL"/>
              </w:rPr>
            </w:pPr>
            <w:r>
              <w:rPr>
                <w:rFonts w:ascii="Times New Roman" w:hAnsi="Times New Roman"/>
                <w:sz w:val="24"/>
                <w:szCs w:val="24"/>
                <w:lang w:val="sq-AL"/>
              </w:rPr>
              <w:t xml:space="preserve"> </w:t>
            </w:r>
            <w:r w:rsidR="00596E1F" w:rsidRPr="00596E1F">
              <w:rPr>
                <w:rFonts w:ascii="Times New Roman" w:hAnsi="Times New Roman"/>
                <w:sz w:val="24"/>
                <w:szCs w:val="24"/>
                <w:lang w:val="sq-AL"/>
              </w:rPr>
              <w:t>Ligji ka qëllim promovimin e kontributit në përmbushjen e angazhimeve për emisionet e gazeve që vijnë nga konsumi i hidrokarbureve në këtë sektor. Për Shqipërinë, transporti është kontribuesi më i madh i CO2 dhe në përmasat e vendit, ndikon në ndryshimet klimatike. Ligji parashikon objektiva, afate kohore dhe role me përgjegjësi të përcaktuara qartë.</w:t>
            </w:r>
          </w:p>
          <w:p w14:paraId="5A94084E" w14:textId="6DDD0A18" w:rsidR="007F3499" w:rsidRPr="00BF2355" w:rsidRDefault="00597D72" w:rsidP="00597D72">
            <w:pPr>
              <w:widowControl w:val="0"/>
              <w:autoSpaceDE w:val="0"/>
              <w:autoSpaceDN w:val="0"/>
              <w:spacing w:before="10" w:line="276" w:lineRule="auto"/>
              <w:ind w:left="100" w:hanging="40"/>
              <w:jc w:val="both"/>
              <w:rPr>
                <w:rFonts w:ascii="Times New Roman" w:hAnsi="Times New Roman"/>
                <w:sz w:val="24"/>
                <w:szCs w:val="24"/>
                <w:lang w:val="sq-AL"/>
              </w:rPr>
            </w:pPr>
            <w:r>
              <w:rPr>
                <w:rFonts w:ascii="Times New Roman" w:hAnsi="Times New Roman"/>
                <w:sz w:val="24"/>
                <w:szCs w:val="24"/>
                <w:lang w:val="sq-AL"/>
              </w:rPr>
              <w:t xml:space="preserve"> </w:t>
            </w:r>
            <w:r w:rsidR="00596E1F" w:rsidRPr="00596E1F">
              <w:rPr>
                <w:rFonts w:ascii="Times New Roman" w:hAnsi="Times New Roman"/>
                <w:sz w:val="24"/>
                <w:szCs w:val="24"/>
                <w:lang w:val="sq-AL"/>
              </w:rPr>
              <w:t>Qëllimi i ligjit është të krijohen politika nxitëse për kultivimin të bimëve energjetike ne Shqipëri, për të mbrojtur mjedisin nëpërmjet respektimit të kritereve të qëndrueshmërisë për prodhimin e biokarburanteve, biolëngjeve dhe biogazeve referuar parashikimeve në direktivën 2018/2001KE, të Parlamentit Evropian dhe të Këshillit, datë 11 Dhjetor 2018, “Mbi promovimin e përdorimit të energjisë nga burimet e energjive të rinovueshme”, e cila shfuqizon direktivën 2009/28/KE, si dhe plotësimi i kërkesave të Direktivës 2009/30/EC për cilësinë e karburanteve në transport. Kërkesa për këtë iniciativë ligjore lidhet dhe me faktin se ligji ekzistues nr. 9876, datë 14.2.2008 “Për prodhimin, transportimin dhe tregtimin e biokarburanteve dhe të lëndëve të tjera djegëse, të rinovueshme, për transport” është përpiluar në përputhje me Direktivën 2003/30, e cila është zëvendësuar me kërkesa të Direktivës 2018/2001KE. Per te arritur objektivat e sipërcituara eshte e nevojshme dhe vendosja e detyrimit ndaj operatoreve qe të garantojnë furnizimin e tregut me sasi minimale vjetore me biokarburante.</w:t>
            </w:r>
          </w:p>
          <w:p w14:paraId="7590D3B8" w14:textId="58143C14" w:rsidR="002F0D44" w:rsidRPr="00BF2355" w:rsidRDefault="002F0D44" w:rsidP="00BF2355">
            <w:pPr>
              <w:widowControl w:val="0"/>
              <w:tabs>
                <w:tab w:val="left" w:pos="384"/>
              </w:tabs>
              <w:autoSpaceDE w:val="0"/>
              <w:autoSpaceDN w:val="0"/>
              <w:spacing w:line="276" w:lineRule="auto"/>
              <w:ind w:right="117"/>
              <w:jc w:val="both"/>
              <w:rPr>
                <w:rFonts w:ascii="Times New Roman" w:hAnsi="Times New Roman"/>
                <w:sz w:val="24"/>
                <w:szCs w:val="24"/>
                <w:lang w:val="sq-AL"/>
              </w:rPr>
            </w:pPr>
          </w:p>
        </w:tc>
      </w:tr>
    </w:tbl>
    <w:p w14:paraId="671DF514" w14:textId="2DED9CB9" w:rsidR="00E54C97" w:rsidRPr="00BF2355" w:rsidRDefault="00E54C97" w:rsidP="00BF2355">
      <w:pPr>
        <w:pStyle w:val="BodyText"/>
        <w:spacing w:line="276" w:lineRule="auto"/>
        <w:jc w:val="both"/>
        <w:rPr>
          <w:rFonts w:ascii="Times New Roman" w:hAnsi="Times New Roman"/>
          <w:sz w:val="24"/>
          <w:szCs w:val="24"/>
          <w:lang w:val="sq-AL"/>
        </w:rPr>
      </w:pPr>
    </w:p>
    <w:p w14:paraId="034FED24" w14:textId="77777777" w:rsidR="008675CA" w:rsidRPr="00BF2355" w:rsidRDefault="00E54C97" w:rsidP="00BF2355">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59FC2C08" w14:textId="77777777" w:rsidTr="00957E1F">
        <w:tc>
          <w:tcPr>
            <w:tcW w:w="9212" w:type="dxa"/>
          </w:tcPr>
          <w:p w14:paraId="0B442259" w14:textId="2A92958A"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sz w:val="24"/>
                <w:szCs w:val="24"/>
                <w:lang w:val="sq-AL"/>
              </w:rPr>
              <w:t>Projekt akti është i ndarë në 3 krerë dhe përmban 20 nene, me përmbajtje si vijon:</w:t>
            </w:r>
          </w:p>
          <w:p w14:paraId="4FE674D1" w14:textId="77777777" w:rsidR="00055DE8" w:rsidRPr="00055DE8" w:rsidRDefault="00055DE8" w:rsidP="007C18CB">
            <w:pPr>
              <w:tabs>
                <w:tab w:val="left" w:pos="540"/>
              </w:tabs>
              <w:spacing w:line="276" w:lineRule="auto"/>
              <w:jc w:val="both"/>
              <w:rPr>
                <w:rFonts w:ascii="Times New Roman" w:hAnsi="Times New Roman"/>
                <w:sz w:val="24"/>
                <w:szCs w:val="24"/>
                <w:lang w:val="sq-AL"/>
              </w:rPr>
            </w:pPr>
          </w:p>
          <w:p w14:paraId="571C5083"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sz w:val="24"/>
                <w:szCs w:val="24"/>
                <w:lang w:val="sq-AL"/>
              </w:rPr>
              <w:t xml:space="preserve">Në </w:t>
            </w:r>
            <w:r w:rsidRPr="00055DE8">
              <w:rPr>
                <w:rFonts w:ascii="Times New Roman" w:hAnsi="Times New Roman"/>
                <w:b/>
                <w:sz w:val="24"/>
                <w:szCs w:val="24"/>
                <w:lang w:val="sq-AL"/>
              </w:rPr>
              <w:t>Nenin 1</w:t>
            </w:r>
            <w:r w:rsidRPr="00055DE8">
              <w:rPr>
                <w:rFonts w:ascii="Times New Roman" w:hAnsi="Times New Roman"/>
                <w:sz w:val="24"/>
                <w:szCs w:val="24"/>
                <w:lang w:val="sq-AL"/>
              </w:rPr>
              <w:t xml:space="preserve"> “Qëllimi” i Projektaktit, përmbahen shpjegimet atë ҫfarë synon të arrijë ky kuadër ligjor. Si qëllim kryesor është promovimi dhe përdorimi i burimeve të rinovueshme të energjisë në sektorin e transportit. </w:t>
            </w:r>
          </w:p>
          <w:p w14:paraId="7449A294"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sz w:val="24"/>
                <w:szCs w:val="24"/>
                <w:lang w:val="sq-AL"/>
              </w:rPr>
              <w:t xml:space="preserve">Nëpërmjet </w:t>
            </w:r>
            <w:r w:rsidRPr="00055DE8">
              <w:rPr>
                <w:rFonts w:ascii="Times New Roman" w:hAnsi="Times New Roman"/>
                <w:b/>
                <w:sz w:val="24"/>
                <w:szCs w:val="24"/>
                <w:lang w:val="sq-AL"/>
              </w:rPr>
              <w:t>Nenit 2</w:t>
            </w:r>
            <w:r w:rsidRPr="00055DE8">
              <w:rPr>
                <w:rFonts w:ascii="Times New Roman" w:hAnsi="Times New Roman"/>
                <w:sz w:val="24"/>
                <w:szCs w:val="24"/>
                <w:lang w:val="sq-AL"/>
              </w:rPr>
              <w:t xml:space="preserve"> “Fusha e zbatimit”  Ky ligj zbatohet në veprimtaritë e prodhimit të biokarburanteve nëpërmjet lëndëve të para djegëse, të rinovueshme, të cilat, në formë të pastër ose të përzier, në përqindje të caktuar me nënprodukte të tjera të përpunuara të naftës bruto, përdoren në sektorin e transportit për motorë me djegie të brendshme.</w:t>
            </w:r>
          </w:p>
          <w:p w14:paraId="47EF04AC"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sz w:val="24"/>
                <w:szCs w:val="24"/>
                <w:lang w:val="sq-AL"/>
              </w:rPr>
              <w:t>Ky ligj zbatohet në veprimtarinë e përdorimit të biokarburanteve në sektorin e transportit kombëtar, kur biodiezeli dhe bioetanoli janë në përputhje me standardet evropiane, të përshtatura si standarde kombëtare nga organi kombëtar i standardizimit ose me standardet e tjera të barasvlershme me to.</w:t>
            </w:r>
          </w:p>
          <w:p w14:paraId="37930C88"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sz w:val="24"/>
                <w:szCs w:val="24"/>
                <w:lang w:val="sq-AL"/>
              </w:rPr>
              <w:t>Biokarburantet duhet të plotësojnë kriteret e qëndrueshmërisë në përputhje me nenin 9 të këtij ligji.</w:t>
            </w:r>
          </w:p>
          <w:p w14:paraId="1F549347"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sz w:val="24"/>
                <w:szCs w:val="24"/>
                <w:lang w:val="sq-AL"/>
              </w:rPr>
              <w:t xml:space="preserve">Në </w:t>
            </w:r>
            <w:r w:rsidRPr="00055DE8">
              <w:rPr>
                <w:rFonts w:ascii="Times New Roman" w:hAnsi="Times New Roman"/>
                <w:b/>
                <w:sz w:val="24"/>
                <w:szCs w:val="24"/>
                <w:lang w:val="sq-AL"/>
              </w:rPr>
              <w:t>Nenin 3</w:t>
            </w:r>
            <w:r w:rsidRPr="00055DE8">
              <w:rPr>
                <w:rFonts w:ascii="Times New Roman" w:hAnsi="Times New Roman"/>
                <w:sz w:val="24"/>
                <w:szCs w:val="24"/>
                <w:lang w:val="sq-AL"/>
              </w:rPr>
              <w:t xml:space="preserve"> jepen “Përkufizime” të produkteve dhe karakteristikave që ato kanë, etj. </w:t>
            </w:r>
          </w:p>
          <w:p w14:paraId="0AA2C46B"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sz w:val="24"/>
                <w:szCs w:val="24"/>
                <w:lang w:val="sq-AL"/>
              </w:rPr>
              <w:t xml:space="preserve">Në </w:t>
            </w:r>
            <w:r w:rsidRPr="00055DE8">
              <w:rPr>
                <w:rFonts w:ascii="Times New Roman" w:hAnsi="Times New Roman"/>
                <w:b/>
                <w:sz w:val="24"/>
                <w:szCs w:val="24"/>
                <w:lang w:val="sq-AL"/>
              </w:rPr>
              <w:t xml:space="preserve">Nenin 4 </w:t>
            </w:r>
            <w:r w:rsidRPr="00055DE8">
              <w:rPr>
                <w:rFonts w:ascii="Times New Roman" w:hAnsi="Times New Roman"/>
                <w:sz w:val="24"/>
                <w:szCs w:val="24"/>
                <w:lang w:val="sq-AL"/>
              </w:rPr>
              <w:t>si “Objektivat kombëtare” janë 6 drejtime: (a) përcaktimi i sasise minimale vjetore në treg e biokarburanteve dhe e lëndëve të tjera djegëse, të rinovueshme, për transport; (b) nxitja e prodhimit dhe e përdorimit të biokarburanteve dhe e lëndëve të tjera djegëse, të rinovueshme, që plotësojnë kriteret e qëndrueshmërisë, të shprehur në përqindje; (c)garantimi i efektshmërisë optimale të punës së motorit; (ç) kontributi në mbrojtjen e mjedisit dhe mbrojtjen e shëndetit; (d) zhvillimi i qëndrueshëm i sektorëve të bujqësisë si stimul për zhvillimin rural dhe nxitje të punësimit duke respektuar kriterin e qëndrueshmërisë; (dh) ulja e sasisë së emetimeve të ndotësve në ajër dhe të emetimeve të gazeve me efekt serrë, të çliruara nga veprimtaritë në sektorin e transportit.</w:t>
            </w:r>
          </w:p>
          <w:p w14:paraId="2155E423"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sz w:val="24"/>
                <w:szCs w:val="24"/>
                <w:lang w:val="sq-AL"/>
              </w:rPr>
              <w:lastRenderedPageBreak/>
              <w:t>Gjithashtu është marrë parasysh që kontributi nga biokarburantet e prodhuara nga mbeturina, mbetje, materiale celulozike joushqimore dhe materialet linjo-celulozike, konsiderohet të jetë dyfishi i asaj të prodhuar nga biokarburantet e tjera.</w:t>
            </w:r>
          </w:p>
          <w:p w14:paraId="771DCD15"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b/>
                <w:sz w:val="24"/>
                <w:szCs w:val="24"/>
                <w:lang w:val="sq-AL"/>
              </w:rPr>
              <w:t xml:space="preserve">Neni 5 </w:t>
            </w:r>
            <w:r w:rsidRPr="00055DE8">
              <w:rPr>
                <w:rFonts w:ascii="Times New Roman" w:hAnsi="Times New Roman"/>
                <w:sz w:val="24"/>
                <w:szCs w:val="24"/>
                <w:lang w:val="sq-AL"/>
              </w:rPr>
              <w:t>përcakton llojin e licencimit e këtyre veprimtarive si kategori VIII.1.A të shtojcës së ligjit për licencat, si dhe monitorimin e kësaj veprimtarie.</w:t>
            </w:r>
          </w:p>
          <w:p w14:paraId="4D518B93"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b/>
                <w:sz w:val="24"/>
                <w:szCs w:val="24"/>
                <w:lang w:val="sq-AL"/>
              </w:rPr>
              <w:t>Neni 6</w:t>
            </w:r>
            <w:r w:rsidRPr="00055DE8">
              <w:rPr>
                <w:rFonts w:ascii="Times New Roman" w:hAnsi="Times New Roman"/>
                <w:sz w:val="24"/>
                <w:szCs w:val="24"/>
                <w:lang w:val="sq-AL"/>
              </w:rPr>
              <w:t xml:space="preserve"> trajton çështjet që lidhen me mënyrën e funksionimit të impianteve të prodhimit dhe përzierjes së biokarburanteve dhe/ose të lëndëve të tjera të rinovueshme për transport, duke u përqendruar në kërkesën për licencim në aktivitetin e prodhimit të biokarburanteve dhe përzierjes se tyre. Lloji i të dhënave, forma dhe afatet e dërgimit të tyre nga impiantet për prodhimin e biokarburanteve dhe të lëndëve të tjera djegëse, të rinovueshme, për transport përcaktohen nga ministria përgjegjëse për hidrokarburet.</w:t>
            </w:r>
          </w:p>
          <w:p w14:paraId="4C646470"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b/>
                <w:sz w:val="24"/>
                <w:szCs w:val="24"/>
                <w:lang w:val="sq-AL"/>
              </w:rPr>
              <w:t xml:space="preserve">Neni 7 </w:t>
            </w:r>
            <w:r w:rsidRPr="00055DE8">
              <w:rPr>
                <w:rFonts w:ascii="Times New Roman" w:hAnsi="Times New Roman"/>
                <w:sz w:val="24"/>
                <w:szCs w:val="24"/>
                <w:lang w:val="sq-AL"/>
              </w:rPr>
              <w:t>përcakton mënyrën e përgatitjes për tregtim të biokarburanteve dhe të lëndëve të tjera djegëse të rinovueshme. Biokarburantet dhe lëndët e tjera djegëse, të rinovueshme, mund të ruhen, magazinohen, transportohen dhe të tregtohen vetëm kur përmbushin standardet teknike në përputhje me pikën 5, të nenit 6, dhe përcaktimet e shkronjës “a”, të pikës 1, të nenit 4, të ligjit, të cilat realizohen në depozita ose impiante magazinimi dhe transportimi të përshtatshme për këto lloj produktesh.</w:t>
            </w:r>
          </w:p>
          <w:p w14:paraId="426DF4F4"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b/>
                <w:sz w:val="24"/>
                <w:szCs w:val="24"/>
                <w:lang w:val="sq-AL"/>
              </w:rPr>
              <w:t xml:space="preserve">Neni 8 </w:t>
            </w:r>
            <w:r w:rsidRPr="00055DE8">
              <w:rPr>
                <w:rFonts w:ascii="Times New Roman" w:hAnsi="Times New Roman"/>
                <w:sz w:val="24"/>
                <w:szCs w:val="24"/>
                <w:lang w:val="sq-AL"/>
              </w:rPr>
              <w:t xml:space="preserve">përcakton organizimin e tregut të biokarburanteve dhe lëndëve të tjera djegëse të rinovueshme, e cila përcakton se veprimtaritë e importimit, të eksportimit dhe të tregtimit të biokarburanteve dhe të lëndëve të tjera djegëse, të rinovueshme, në formë të pastër ose në formë përzierje me nënprodukte të përpunimit të naftës bruto, realizohen nga njësitë e prodhimit të biokarburanteve ose të lëndëve të tjera djegëse, të rinovueshme, për transport dhe nga rafineritë e naftës të pajisura me leje koncesioni. Shoqëritë e pajisura me "Licence" për tregtimin me shumicë të nënprodukteve të naftës kanë të drejtë të tregtojnë nënprodukte të naftës me përzierje biokarburantesh, si dhe të realizojnë përzierje, pasi të jenë të pajisur me “Leje për  përzierje”. Shoqëritë e tregtimit me pakicë të nënprodukteve të naftës, të pajisura me "licence te tregtimit me pakice", sipas dispozitave ligjore në fuqi, kanë të drejtë të shesin me pakicë biokarburante në formë të përzier me nënprodukte të përpunimit të naftës bruto, duke zbatuar standardet shtetërore dhe dispozitat e këtij ligji. </w:t>
            </w:r>
          </w:p>
          <w:p w14:paraId="0F5B0D6F"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b/>
                <w:sz w:val="24"/>
                <w:szCs w:val="24"/>
                <w:lang w:val="sq-AL"/>
              </w:rPr>
              <w:t xml:space="preserve">Neni 9 </w:t>
            </w:r>
            <w:r w:rsidRPr="00055DE8">
              <w:rPr>
                <w:rFonts w:ascii="Times New Roman" w:hAnsi="Times New Roman"/>
                <w:sz w:val="24"/>
                <w:szCs w:val="24"/>
                <w:lang w:val="sq-AL"/>
              </w:rPr>
              <w:t>përcakton kriteret e qëndrueshmërisë së biokarburanteve në përputhje me Direktivën 2018/2001KE.</w:t>
            </w:r>
          </w:p>
          <w:p w14:paraId="331F182B"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b/>
                <w:sz w:val="24"/>
                <w:szCs w:val="24"/>
                <w:lang w:val="sq-AL"/>
              </w:rPr>
              <w:t xml:space="preserve">Neni 10 </w:t>
            </w:r>
            <w:r w:rsidRPr="00055DE8">
              <w:rPr>
                <w:rFonts w:ascii="Times New Roman" w:hAnsi="Times New Roman"/>
                <w:sz w:val="24"/>
                <w:szCs w:val="24"/>
                <w:lang w:val="sq-AL"/>
              </w:rPr>
              <w:t>përcakton mënyrën e verifikimit të Kritereve të Qëndrueshmërisë së Biokarburanteve të detyrueshme për operatorët ekonomikë</w:t>
            </w:r>
          </w:p>
          <w:p w14:paraId="4AEEEFFA"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sz w:val="24"/>
                <w:szCs w:val="24"/>
                <w:lang w:val="sq-AL"/>
              </w:rPr>
              <w:t>a) të lejojnë që sasi të lëndëve të para ose biokarburante me karakteristika të ndryshme qëndrueshmërie të përzihen;</w:t>
            </w:r>
          </w:p>
          <w:p w14:paraId="4B79392A"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sz w:val="24"/>
                <w:szCs w:val="24"/>
                <w:lang w:val="sq-AL"/>
              </w:rPr>
              <w:t>b) të informojnë mbi karakteristikat e qëndrueshmërisë dhe mbi volumet e përzierjeve të përmendura në piken a) dhe t’i mbajnë ato të pandryshuara.</w:t>
            </w:r>
          </w:p>
          <w:p w14:paraId="0492D6F4"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sz w:val="24"/>
                <w:szCs w:val="24"/>
                <w:lang w:val="sq-AL"/>
              </w:rPr>
              <w:t>c) të sigurojnë që përzierja të ketë të njëjtat karakteristika të qëndrueshmërisë, ne te njëjtat sasi me shume e gjitha lëndëve që i janë shtuar përzierjes.</w:t>
            </w:r>
          </w:p>
          <w:p w14:paraId="104D0830"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b/>
                <w:sz w:val="24"/>
                <w:szCs w:val="24"/>
                <w:lang w:val="sq-AL"/>
              </w:rPr>
              <w:t>Neni 11</w:t>
            </w:r>
            <w:r w:rsidRPr="00055DE8">
              <w:rPr>
                <w:rFonts w:ascii="Times New Roman" w:hAnsi="Times New Roman"/>
                <w:sz w:val="24"/>
                <w:szCs w:val="24"/>
                <w:lang w:val="sq-AL"/>
              </w:rPr>
              <w:t xml:space="preserve"> përcakton se zbatimi i Kritereve të Qëndrueshmërisë së Biokarburanteve do të fillojë nga data 1 Janar 2024 e në vazhdim.</w:t>
            </w:r>
          </w:p>
          <w:p w14:paraId="763FE018"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b/>
                <w:sz w:val="24"/>
                <w:szCs w:val="24"/>
                <w:lang w:val="sq-AL"/>
              </w:rPr>
              <w:t xml:space="preserve">Neni 12 </w:t>
            </w:r>
            <w:r w:rsidRPr="00055DE8">
              <w:rPr>
                <w:rFonts w:ascii="Times New Roman" w:hAnsi="Times New Roman"/>
                <w:sz w:val="24"/>
                <w:szCs w:val="24"/>
                <w:lang w:val="sq-AL"/>
              </w:rPr>
              <w:t>përcakton mënyrën e përllogaritjes për përcaktimin e sasisë vjetore minimale të konsumit të biokarburanteve dhe të lëndëve të tjera djegëse, të rinovueshme.</w:t>
            </w:r>
          </w:p>
          <w:p w14:paraId="0B84DD93"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b/>
                <w:sz w:val="24"/>
                <w:szCs w:val="24"/>
                <w:lang w:val="sq-AL"/>
              </w:rPr>
              <w:t xml:space="preserve">Neni 13 </w:t>
            </w:r>
            <w:r w:rsidRPr="00055DE8">
              <w:rPr>
                <w:rFonts w:ascii="Times New Roman" w:hAnsi="Times New Roman"/>
                <w:sz w:val="24"/>
                <w:szCs w:val="24"/>
                <w:lang w:val="sq-AL"/>
              </w:rPr>
              <w:t>përcakton procedurat bazë të lëshimit të “Licences së Prodhimit” dhe “Licences së Përzierjes”.</w:t>
            </w:r>
          </w:p>
          <w:p w14:paraId="033516C4"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b/>
                <w:sz w:val="24"/>
                <w:szCs w:val="24"/>
                <w:lang w:val="sq-AL"/>
              </w:rPr>
              <w:t xml:space="preserve">Neni 14 </w:t>
            </w:r>
            <w:r w:rsidRPr="00055DE8">
              <w:rPr>
                <w:rFonts w:ascii="Times New Roman" w:hAnsi="Times New Roman"/>
                <w:sz w:val="24"/>
                <w:szCs w:val="24"/>
                <w:lang w:val="sq-AL"/>
              </w:rPr>
              <w:t>përcakton se Organi shtetëror i specializuar për kontrollin e veprimtarisë të ushtruar nga personat juridikë në përputhje me dispozitat këtij ligji është Inspektorati Shtetëror Përgjegjës, që funksionon dhe është në varësi të ministrit përgjegjës për hidrokarburet.</w:t>
            </w:r>
          </w:p>
          <w:p w14:paraId="26B6FFD2" w14:textId="0BEC1FF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b/>
                <w:sz w:val="24"/>
                <w:szCs w:val="24"/>
                <w:lang w:val="sq-AL"/>
              </w:rPr>
              <w:lastRenderedPageBreak/>
              <w:t xml:space="preserve">Neni 15 </w:t>
            </w:r>
            <w:r w:rsidRPr="00055DE8">
              <w:rPr>
                <w:rFonts w:ascii="Times New Roman" w:hAnsi="Times New Roman"/>
                <w:sz w:val="24"/>
                <w:szCs w:val="24"/>
                <w:lang w:val="sq-AL"/>
              </w:rPr>
              <w:t>përcakton se tregtimi i biokarburanteve p</w:t>
            </w:r>
            <w:r w:rsidR="00F960CC">
              <w:rPr>
                <w:rFonts w:ascii="Times New Roman" w:hAnsi="Times New Roman"/>
                <w:sz w:val="24"/>
                <w:szCs w:val="24"/>
                <w:lang w:val="sq-AL"/>
              </w:rPr>
              <w:t>ë</w:t>
            </w:r>
            <w:r w:rsidRPr="00055DE8">
              <w:rPr>
                <w:rFonts w:ascii="Times New Roman" w:hAnsi="Times New Roman"/>
                <w:sz w:val="24"/>
                <w:szCs w:val="24"/>
                <w:lang w:val="sq-AL"/>
              </w:rPr>
              <w:t>r nj</w:t>
            </w:r>
            <w:r w:rsidR="00F960CC">
              <w:rPr>
                <w:rFonts w:ascii="Times New Roman" w:hAnsi="Times New Roman"/>
                <w:sz w:val="24"/>
                <w:szCs w:val="24"/>
                <w:lang w:val="sq-AL"/>
              </w:rPr>
              <w:t>ë</w:t>
            </w:r>
            <w:r w:rsidRPr="00055DE8">
              <w:rPr>
                <w:rFonts w:ascii="Times New Roman" w:hAnsi="Times New Roman"/>
                <w:sz w:val="24"/>
                <w:szCs w:val="24"/>
                <w:lang w:val="sq-AL"/>
              </w:rPr>
              <w:t xml:space="preserve"> periudh</w:t>
            </w:r>
            <w:r w:rsidR="00F960CC">
              <w:rPr>
                <w:rFonts w:ascii="Times New Roman" w:hAnsi="Times New Roman"/>
                <w:sz w:val="24"/>
                <w:szCs w:val="24"/>
                <w:lang w:val="sq-AL"/>
              </w:rPr>
              <w:t>ë</w:t>
            </w:r>
            <w:r w:rsidR="00597D72">
              <w:rPr>
                <w:rFonts w:ascii="Times New Roman" w:hAnsi="Times New Roman"/>
                <w:sz w:val="24"/>
                <w:szCs w:val="24"/>
                <w:lang w:val="sq-AL"/>
              </w:rPr>
              <w:t xml:space="preserve"> </w:t>
            </w:r>
            <w:r w:rsidRPr="00055DE8">
              <w:rPr>
                <w:rFonts w:ascii="Times New Roman" w:hAnsi="Times New Roman"/>
                <w:sz w:val="24"/>
                <w:szCs w:val="24"/>
                <w:lang w:val="sq-AL"/>
              </w:rPr>
              <w:t>prej 10 vjet</w:t>
            </w:r>
            <w:r w:rsidR="00F960CC">
              <w:rPr>
                <w:rFonts w:ascii="Times New Roman" w:hAnsi="Times New Roman"/>
                <w:sz w:val="24"/>
                <w:szCs w:val="24"/>
                <w:lang w:val="sq-AL"/>
              </w:rPr>
              <w:t>ë</w:t>
            </w:r>
            <w:r w:rsidRPr="00055DE8">
              <w:rPr>
                <w:rFonts w:ascii="Times New Roman" w:hAnsi="Times New Roman"/>
                <w:sz w:val="24"/>
                <w:szCs w:val="24"/>
                <w:lang w:val="sq-AL"/>
              </w:rPr>
              <w:t>sh nga data e hyrjes n</w:t>
            </w:r>
            <w:r w:rsidR="00F960CC">
              <w:rPr>
                <w:rFonts w:ascii="Times New Roman" w:hAnsi="Times New Roman"/>
                <w:sz w:val="24"/>
                <w:szCs w:val="24"/>
                <w:lang w:val="sq-AL"/>
              </w:rPr>
              <w:t>ë</w:t>
            </w:r>
            <w:r w:rsidRPr="00055DE8">
              <w:rPr>
                <w:rFonts w:ascii="Times New Roman" w:hAnsi="Times New Roman"/>
                <w:sz w:val="24"/>
                <w:szCs w:val="24"/>
                <w:lang w:val="sq-AL"/>
              </w:rPr>
              <w:t xml:space="preserve"> fuqi t</w:t>
            </w:r>
            <w:r w:rsidR="00F960CC">
              <w:rPr>
                <w:rFonts w:ascii="Times New Roman" w:hAnsi="Times New Roman"/>
                <w:sz w:val="24"/>
                <w:szCs w:val="24"/>
                <w:lang w:val="sq-AL"/>
              </w:rPr>
              <w:t>ë</w:t>
            </w:r>
            <w:r w:rsidRPr="00055DE8">
              <w:rPr>
                <w:rFonts w:ascii="Times New Roman" w:hAnsi="Times New Roman"/>
                <w:sz w:val="24"/>
                <w:szCs w:val="24"/>
                <w:lang w:val="sq-AL"/>
              </w:rPr>
              <w:t xml:space="preserve"> k</w:t>
            </w:r>
            <w:r w:rsidR="00F960CC">
              <w:rPr>
                <w:rFonts w:ascii="Times New Roman" w:hAnsi="Times New Roman"/>
                <w:sz w:val="24"/>
                <w:szCs w:val="24"/>
                <w:lang w:val="sq-AL"/>
              </w:rPr>
              <w:t>ë</w:t>
            </w:r>
            <w:r w:rsidRPr="00055DE8">
              <w:rPr>
                <w:rFonts w:ascii="Times New Roman" w:hAnsi="Times New Roman"/>
                <w:sz w:val="24"/>
                <w:szCs w:val="24"/>
                <w:lang w:val="sq-AL"/>
              </w:rPr>
              <w:t>tij ligji t</w:t>
            </w:r>
            <w:r w:rsidR="00F960CC">
              <w:rPr>
                <w:rFonts w:ascii="Times New Roman" w:hAnsi="Times New Roman"/>
                <w:sz w:val="24"/>
                <w:szCs w:val="24"/>
                <w:lang w:val="sq-AL"/>
              </w:rPr>
              <w:t>ë</w:t>
            </w:r>
            <w:r w:rsidRPr="00055DE8">
              <w:rPr>
                <w:rFonts w:ascii="Times New Roman" w:hAnsi="Times New Roman"/>
                <w:sz w:val="24"/>
                <w:szCs w:val="24"/>
                <w:lang w:val="sq-AL"/>
              </w:rPr>
              <w:t xml:space="preserve"> jet</w:t>
            </w:r>
            <w:r w:rsidR="00F960CC">
              <w:rPr>
                <w:rFonts w:ascii="Times New Roman" w:hAnsi="Times New Roman"/>
                <w:sz w:val="24"/>
                <w:szCs w:val="24"/>
                <w:lang w:val="sq-AL"/>
              </w:rPr>
              <w:t>ë</w:t>
            </w:r>
            <w:r w:rsidRPr="00055DE8">
              <w:rPr>
                <w:rFonts w:ascii="Times New Roman" w:hAnsi="Times New Roman"/>
                <w:sz w:val="24"/>
                <w:szCs w:val="24"/>
                <w:lang w:val="sq-AL"/>
              </w:rPr>
              <w:t xml:space="preserve"> i p</w:t>
            </w:r>
            <w:r w:rsidR="00F960CC">
              <w:rPr>
                <w:rFonts w:ascii="Times New Roman" w:hAnsi="Times New Roman"/>
                <w:sz w:val="24"/>
                <w:szCs w:val="24"/>
                <w:lang w:val="sq-AL"/>
              </w:rPr>
              <w:t>ë</w:t>
            </w:r>
            <w:r w:rsidRPr="00055DE8">
              <w:rPr>
                <w:rFonts w:ascii="Times New Roman" w:hAnsi="Times New Roman"/>
                <w:sz w:val="24"/>
                <w:szCs w:val="24"/>
                <w:lang w:val="sq-AL"/>
              </w:rPr>
              <w:t>rjashtuar nga regjimi fiskal n</w:t>
            </w:r>
            <w:r w:rsidR="00F960CC">
              <w:rPr>
                <w:rFonts w:ascii="Times New Roman" w:hAnsi="Times New Roman"/>
                <w:sz w:val="24"/>
                <w:szCs w:val="24"/>
                <w:lang w:val="sq-AL"/>
              </w:rPr>
              <w:t>ë</w:t>
            </w:r>
            <w:r w:rsidRPr="00055DE8">
              <w:rPr>
                <w:rFonts w:ascii="Times New Roman" w:hAnsi="Times New Roman"/>
                <w:sz w:val="24"/>
                <w:szCs w:val="24"/>
                <w:lang w:val="sq-AL"/>
              </w:rPr>
              <w:t xml:space="preserve"> Republiken e Shqip</w:t>
            </w:r>
            <w:r w:rsidR="00F960CC">
              <w:rPr>
                <w:rFonts w:ascii="Times New Roman" w:hAnsi="Times New Roman"/>
                <w:sz w:val="24"/>
                <w:szCs w:val="24"/>
                <w:lang w:val="sq-AL"/>
              </w:rPr>
              <w:t>ë</w:t>
            </w:r>
            <w:r w:rsidRPr="00055DE8">
              <w:rPr>
                <w:rFonts w:ascii="Times New Roman" w:hAnsi="Times New Roman"/>
                <w:sz w:val="24"/>
                <w:szCs w:val="24"/>
                <w:lang w:val="sq-AL"/>
              </w:rPr>
              <w:t>ris</w:t>
            </w:r>
            <w:r w:rsidR="00F960CC">
              <w:rPr>
                <w:rFonts w:ascii="Times New Roman" w:hAnsi="Times New Roman"/>
                <w:sz w:val="24"/>
                <w:szCs w:val="24"/>
                <w:lang w:val="sq-AL"/>
              </w:rPr>
              <w:t>ë</w:t>
            </w:r>
            <w:r w:rsidRPr="00055DE8">
              <w:rPr>
                <w:rFonts w:ascii="Times New Roman" w:hAnsi="Times New Roman"/>
                <w:sz w:val="24"/>
                <w:szCs w:val="24"/>
                <w:lang w:val="sq-AL"/>
              </w:rPr>
              <w:t xml:space="preserve"> vet</w:t>
            </w:r>
            <w:r w:rsidR="00F960CC">
              <w:rPr>
                <w:rFonts w:ascii="Times New Roman" w:hAnsi="Times New Roman"/>
                <w:sz w:val="24"/>
                <w:szCs w:val="24"/>
                <w:lang w:val="sq-AL"/>
              </w:rPr>
              <w:t>ë</w:t>
            </w:r>
            <w:r w:rsidRPr="00055DE8">
              <w:rPr>
                <w:rFonts w:ascii="Times New Roman" w:hAnsi="Times New Roman"/>
                <w:sz w:val="24"/>
                <w:szCs w:val="24"/>
                <w:lang w:val="sq-AL"/>
              </w:rPr>
              <w:t>m p</w:t>
            </w:r>
            <w:r w:rsidR="00F960CC">
              <w:rPr>
                <w:rFonts w:ascii="Times New Roman" w:hAnsi="Times New Roman"/>
                <w:sz w:val="24"/>
                <w:szCs w:val="24"/>
                <w:lang w:val="sq-AL"/>
              </w:rPr>
              <w:t>ë</w:t>
            </w:r>
            <w:r w:rsidRPr="00055DE8">
              <w:rPr>
                <w:rFonts w:ascii="Times New Roman" w:hAnsi="Times New Roman"/>
                <w:sz w:val="24"/>
                <w:szCs w:val="24"/>
                <w:lang w:val="sq-AL"/>
              </w:rPr>
              <w:t>r sasin</w:t>
            </w:r>
            <w:r w:rsidR="00F960CC">
              <w:rPr>
                <w:rFonts w:ascii="Times New Roman" w:hAnsi="Times New Roman"/>
                <w:sz w:val="24"/>
                <w:szCs w:val="24"/>
                <w:lang w:val="sq-AL"/>
              </w:rPr>
              <w:t>ë</w:t>
            </w:r>
            <w:r w:rsidRPr="00055DE8">
              <w:rPr>
                <w:rFonts w:ascii="Times New Roman" w:hAnsi="Times New Roman"/>
                <w:sz w:val="24"/>
                <w:szCs w:val="24"/>
                <w:lang w:val="sq-AL"/>
              </w:rPr>
              <w:t xml:space="preserve"> e biokarburanteve t</w:t>
            </w:r>
            <w:r w:rsidR="00F960CC">
              <w:rPr>
                <w:rFonts w:ascii="Times New Roman" w:hAnsi="Times New Roman"/>
                <w:sz w:val="24"/>
                <w:szCs w:val="24"/>
                <w:lang w:val="sq-AL"/>
              </w:rPr>
              <w:t>ë</w:t>
            </w:r>
            <w:r w:rsidRPr="00055DE8">
              <w:rPr>
                <w:rFonts w:ascii="Times New Roman" w:hAnsi="Times New Roman"/>
                <w:sz w:val="24"/>
                <w:szCs w:val="24"/>
                <w:lang w:val="sq-AL"/>
              </w:rPr>
              <w:t xml:space="preserve"> pastra (100% bio dhe jo p</w:t>
            </w:r>
            <w:r w:rsidR="00F960CC">
              <w:rPr>
                <w:rFonts w:ascii="Times New Roman" w:hAnsi="Times New Roman"/>
                <w:sz w:val="24"/>
                <w:szCs w:val="24"/>
                <w:lang w:val="sq-AL"/>
              </w:rPr>
              <w:t>ë</w:t>
            </w:r>
            <w:r w:rsidRPr="00055DE8">
              <w:rPr>
                <w:rFonts w:ascii="Times New Roman" w:hAnsi="Times New Roman"/>
                <w:sz w:val="24"/>
                <w:szCs w:val="24"/>
                <w:lang w:val="sq-AL"/>
              </w:rPr>
              <w:t>r pjes</w:t>
            </w:r>
            <w:r w:rsidR="00F960CC">
              <w:rPr>
                <w:rFonts w:ascii="Times New Roman" w:hAnsi="Times New Roman"/>
                <w:sz w:val="24"/>
                <w:szCs w:val="24"/>
                <w:lang w:val="sq-AL"/>
              </w:rPr>
              <w:t>ë</w:t>
            </w:r>
            <w:r w:rsidRPr="00055DE8">
              <w:rPr>
                <w:rFonts w:ascii="Times New Roman" w:hAnsi="Times New Roman"/>
                <w:sz w:val="24"/>
                <w:szCs w:val="24"/>
                <w:lang w:val="sq-AL"/>
              </w:rPr>
              <w:t>n e n</w:t>
            </w:r>
            <w:r w:rsidR="00F960CC">
              <w:rPr>
                <w:rFonts w:ascii="Times New Roman" w:hAnsi="Times New Roman"/>
                <w:sz w:val="24"/>
                <w:szCs w:val="24"/>
                <w:lang w:val="sq-AL"/>
              </w:rPr>
              <w:t>ë</w:t>
            </w:r>
            <w:r w:rsidR="00597D72">
              <w:rPr>
                <w:rFonts w:ascii="Times New Roman" w:hAnsi="Times New Roman"/>
                <w:sz w:val="24"/>
                <w:szCs w:val="24"/>
                <w:lang w:val="sq-AL"/>
              </w:rPr>
              <w:t>nproduktet respektive t</w:t>
            </w:r>
            <w:r w:rsidR="00F960CC">
              <w:rPr>
                <w:rFonts w:ascii="Times New Roman" w:hAnsi="Times New Roman"/>
                <w:sz w:val="24"/>
                <w:szCs w:val="24"/>
                <w:lang w:val="sq-AL"/>
              </w:rPr>
              <w:t>ë</w:t>
            </w:r>
            <w:r w:rsidRPr="00055DE8">
              <w:rPr>
                <w:rFonts w:ascii="Times New Roman" w:hAnsi="Times New Roman"/>
                <w:sz w:val="24"/>
                <w:szCs w:val="24"/>
                <w:lang w:val="sq-AL"/>
              </w:rPr>
              <w:t xml:space="preserve"> prodhuar nga përpunimi i naftës bruto), t</w:t>
            </w:r>
            <w:r w:rsidR="00F960CC">
              <w:rPr>
                <w:rFonts w:ascii="Times New Roman" w:hAnsi="Times New Roman"/>
                <w:sz w:val="24"/>
                <w:szCs w:val="24"/>
                <w:lang w:val="sq-AL"/>
              </w:rPr>
              <w:t>ë</w:t>
            </w:r>
            <w:r w:rsidRPr="00055DE8">
              <w:rPr>
                <w:rFonts w:ascii="Times New Roman" w:hAnsi="Times New Roman"/>
                <w:sz w:val="24"/>
                <w:szCs w:val="24"/>
                <w:lang w:val="sq-AL"/>
              </w:rPr>
              <w:t xml:space="preserve"> cilat k</w:t>
            </w:r>
            <w:r w:rsidR="00F960CC">
              <w:rPr>
                <w:rFonts w:ascii="Times New Roman" w:hAnsi="Times New Roman"/>
                <w:sz w:val="24"/>
                <w:szCs w:val="24"/>
                <w:lang w:val="sq-AL"/>
              </w:rPr>
              <w:t>ë</w:t>
            </w:r>
            <w:r w:rsidRPr="00055DE8">
              <w:rPr>
                <w:rFonts w:ascii="Times New Roman" w:hAnsi="Times New Roman"/>
                <w:sz w:val="24"/>
                <w:szCs w:val="24"/>
                <w:lang w:val="sq-AL"/>
              </w:rPr>
              <w:t>naqin kushtet e q</w:t>
            </w:r>
            <w:r w:rsidR="00F960CC">
              <w:rPr>
                <w:rFonts w:ascii="Times New Roman" w:hAnsi="Times New Roman"/>
                <w:sz w:val="24"/>
                <w:szCs w:val="24"/>
                <w:lang w:val="sq-AL"/>
              </w:rPr>
              <w:t>ë</w:t>
            </w:r>
            <w:r w:rsidRPr="00055DE8">
              <w:rPr>
                <w:rFonts w:ascii="Times New Roman" w:hAnsi="Times New Roman"/>
                <w:sz w:val="24"/>
                <w:szCs w:val="24"/>
                <w:lang w:val="sq-AL"/>
              </w:rPr>
              <w:t>ndrueshm</w:t>
            </w:r>
            <w:r w:rsidR="00F960CC">
              <w:rPr>
                <w:rFonts w:ascii="Times New Roman" w:hAnsi="Times New Roman"/>
                <w:sz w:val="24"/>
                <w:szCs w:val="24"/>
                <w:lang w:val="sq-AL"/>
              </w:rPr>
              <w:t>ë</w:t>
            </w:r>
            <w:r w:rsidRPr="00055DE8">
              <w:rPr>
                <w:rFonts w:ascii="Times New Roman" w:hAnsi="Times New Roman"/>
                <w:sz w:val="24"/>
                <w:szCs w:val="24"/>
                <w:lang w:val="sq-AL"/>
              </w:rPr>
              <w:t>ris</w:t>
            </w:r>
            <w:r w:rsidR="00F960CC">
              <w:rPr>
                <w:rFonts w:ascii="Times New Roman" w:hAnsi="Times New Roman"/>
                <w:sz w:val="24"/>
                <w:szCs w:val="24"/>
                <w:lang w:val="sq-AL"/>
              </w:rPr>
              <w:t>ë</w:t>
            </w:r>
            <w:r w:rsidRPr="00055DE8">
              <w:rPr>
                <w:rFonts w:ascii="Times New Roman" w:hAnsi="Times New Roman"/>
                <w:sz w:val="24"/>
                <w:szCs w:val="24"/>
                <w:lang w:val="sq-AL"/>
              </w:rPr>
              <w:t xml:space="preserve"> dhe nj</w:t>
            </w:r>
            <w:r w:rsidR="00F960CC">
              <w:rPr>
                <w:rFonts w:ascii="Times New Roman" w:hAnsi="Times New Roman"/>
                <w:sz w:val="24"/>
                <w:szCs w:val="24"/>
                <w:lang w:val="sq-AL"/>
              </w:rPr>
              <w:t>ë</w:t>
            </w:r>
            <w:r w:rsidRPr="00055DE8">
              <w:rPr>
                <w:rFonts w:ascii="Times New Roman" w:hAnsi="Times New Roman"/>
                <w:sz w:val="24"/>
                <w:szCs w:val="24"/>
                <w:lang w:val="sq-AL"/>
              </w:rPr>
              <w:t>koh</w:t>
            </w:r>
            <w:r w:rsidR="00F960CC">
              <w:rPr>
                <w:rFonts w:ascii="Times New Roman" w:hAnsi="Times New Roman"/>
                <w:sz w:val="24"/>
                <w:szCs w:val="24"/>
                <w:lang w:val="sq-AL"/>
              </w:rPr>
              <w:t>ë</w:t>
            </w:r>
            <w:r w:rsidRPr="00055DE8">
              <w:rPr>
                <w:rFonts w:ascii="Times New Roman" w:hAnsi="Times New Roman"/>
                <w:sz w:val="24"/>
                <w:szCs w:val="24"/>
                <w:lang w:val="sq-AL"/>
              </w:rPr>
              <w:t>sisht p</w:t>
            </w:r>
            <w:r w:rsidR="00F960CC">
              <w:rPr>
                <w:rFonts w:ascii="Times New Roman" w:hAnsi="Times New Roman"/>
                <w:sz w:val="24"/>
                <w:szCs w:val="24"/>
                <w:lang w:val="sq-AL"/>
              </w:rPr>
              <w:t>ë</w:t>
            </w:r>
            <w:r w:rsidRPr="00055DE8">
              <w:rPr>
                <w:rFonts w:ascii="Times New Roman" w:hAnsi="Times New Roman"/>
                <w:sz w:val="24"/>
                <w:szCs w:val="24"/>
                <w:lang w:val="sq-AL"/>
              </w:rPr>
              <w:t>rfshihen n</w:t>
            </w:r>
            <w:r w:rsidR="00F960CC">
              <w:rPr>
                <w:rFonts w:ascii="Times New Roman" w:hAnsi="Times New Roman"/>
                <w:sz w:val="24"/>
                <w:szCs w:val="24"/>
                <w:lang w:val="sq-AL"/>
              </w:rPr>
              <w:t>ë</w:t>
            </w:r>
            <w:r w:rsidRPr="00055DE8">
              <w:rPr>
                <w:rFonts w:ascii="Times New Roman" w:hAnsi="Times New Roman"/>
                <w:sz w:val="24"/>
                <w:szCs w:val="24"/>
                <w:lang w:val="sq-AL"/>
              </w:rPr>
              <w:t xml:space="preserve"> detyrimin e p</w:t>
            </w:r>
            <w:r w:rsidR="00F960CC">
              <w:rPr>
                <w:rFonts w:ascii="Times New Roman" w:hAnsi="Times New Roman"/>
                <w:sz w:val="24"/>
                <w:szCs w:val="24"/>
                <w:lang w:val="sq-AL"/>
              </w:rPr>
              <w:t>ë</w:t>
            </w:r>
            <w:r w:rsidRPr="00055DE8">
              <w:rPr>
                <w:rFonts w:ascii="Times New Roman" w:hAnsi="Times New Roman"/>
                <w:sz w:val="24"/>
                <w:szCs w:val="24"/>
                <w:lang w:val="sq-AL"/>
              </w:rPr>
              <w:t>rcaktuar nga Urdhri i Ministrit sipas nenit 12. Masat fiskale mb</w:t>
            </w:r>
            <w:r w:rsidR="00F960CC">
              <w:rPr>
                <w:rFonts w:ascii="Times New Roman" w:hAnsi="Times New Roman"/>
                <w:sz w:val="24"/>
                <w:szCs w:val="24"/>
                <w:lang w:val="sq-AL"/>
              </w:rPr>
              <w:t>ë</w:t>
            </w:r>
            <w:r w:rsidRPr="00055DE8">
              <w:rPr>
                <w:rFonts w:ascii="Times New Roman" w:hAnsi="Times New Roman"/>
                <w:sz w:val="24"/>
                <w:szCs w:val="24"/>
                <w:lang w:val="sq-AL"/>
              </w:rPr>
              <w:t>shtet</w:t>
            </w:r>
            <w:r w:rsidR="00F960CC">
              <w:rPr>
                <w:rFonts w:ascii="Times New Roman" w:hAnsi="Times New Roman"/>
                <w:sz w:val="24"/>
                <w:szCs w:val="24"/>
                <w:lang w:val="sq-AL"/>
              </w:rPr>
              <w:t>ë</w:t>
            </w:r>
            <w:r w:rsidRPr="00055DE8">
              <w:rPr>
                <w:rFonts w:ascii="Times New Roman" w:hAnsi="Times New Roman"/>
                <w:sz w:val="24"/>
                <w:szCs w:val="24"/>
                <w:lang w:val="sq-AL"/>
              </w:rPr>
              <w:t>se apo stimuj të tjerë financiarë janë t</w:t>
            </w:r>
            <w:r w:rsidR="00F960CC">
              <w:rPr>
                <w:rFonts w:ascii="Times New Roman" w:hAnsi="Times New Roman"/>
                <w:sz w:val="24"/>
                <w:szCs w:val="24"/>
                <w:lang w:val="sq-AL"/>
              </w:rPr>
              <w:t>ë</w:t>
            </w:r>
            <w:r w:rsidRPr="00055DE8">
              <w:rPr>
                <w:rFonts w:ascii="Times New Roman" w:hAnsi="Times New Roman"/>
                <w:sz w:val="24"/>
                <w:szCs w:val="24"/>
                <w:lang w:val="sq-AL"/>
              </w:rPr>
              <w:t xml:space="preserve"> nevojshme p</w:t>
            </w:r>
            <w:r w:rsidR="00F960CC">
              <w:rPr>
                <w:rFonts w:ascii="Times New Roman" w:hAnsi="Times New Roman"/>
                <w:sz w:val="24"/>
                <w:szCs w:val="24"/>
                <w:lang w:val="sq-AL"/>
              </w:rPr>
              <w:t>ë</w:t>
            </w:r>
            <w:r w:rsidRPr="00055DE8">
              <w:rPr>
                <w:rFonts w:ascii="Times New Roman" w:hAnsi="Times New Roman"/>
                <w:sz w:val="24"/>
                <w:szCs w:val="24"/>
                <w:lang w:val="sq-AL"/>
              </w:rPr>
              <w:t>r arritjen e objektivave t</w:t>
            </w:r>
            <w:r w:rsidR="00F960CC">
              <w:rPr>
                <w:rFonts w:ascii="Times New Roman" w:hAnsi="Times New Roman"/>
                <w:sz w:val="24"/>
                <w:szCs w:val="24"/>
                <w:lang w:val="sq-AL"/>
              </w:rPr>
              <w:t>ë</w:t>
            </w:r>
            <w:r w:rsidRPr="00055DE8">
              <w:rPr>
                <w:rFonts w:ascii="Times New Roman" w:hAnsi="Times New Roman"/>
                <w:sz w:val="24"/>
                <w:szCs w:val="24"/>
                <w:lang w:val="sq-AL"/>
              </w:rPr>
              <w:t xml:space="preserve"> përcaktuar n</w:t>
            </w:r>
            <w:r w:rsidR="00F960CC">
              <w:rPr>
                <w:rFonts w:ascii="Times New Roman" w:hAnsi="Times New Roman"/>
                <w:sz w:val="24"/>
                <w:szCs w:val="24"/>
                <w:lang w:val="sq-AL"/>
              </w:rPr>
              <w:t>ë</w:t>
            </w:r>
            <w:r w:rsidRPr="00055DE8">
              <w:rPr>
                <w:rFonts w:ascii="Times New Roman" w:hAnsi="Times New Roman"/>
                <w:sz w:val="24"/>
                <w:szCs w:val="24"/>
                <w:lang w:val="sq-AL"/>
              </w:rPr>
              <w:t xml:space="preserve"> k</w:t>
            </w:r>
            <w:r w:rsidR="00F960CC">
              <w:rPr>
                <w:rFonts w:ascii="Times New Roman" w:hAnsi="Times New Roman"/>
                <w:sz w:val="24"/>
                <w:szCs w:val="24"/>
                <w:lang w:val="sq-AL"/>
              </w:rPr>
              <w:t>ë</w:t>
            </w:r>
            <w:r w:rsidRPr="00055DE8">
              <w:rPr>
                <w:rFonts w:ascii="Times New Roman" w:hAnsi="Times New Roman"/>
                <w:sz w:val="24"/>
                <w:szCs w:val="24"/>
                <w:lang w:val="sq-AL"/>
              </w:rPr>
              <w:t>t</w:t>
            </w:r>
            <w:r w:rsidR="00F960CC">
              <w:rPr>
                <w:rFonts w:ascii="Times New Roman" w:hAnsi="Times New Roman"/>
                <w:sz w:val="24"/>
                <w:szCs w:val="24"/>
                <w:lang w:val="sq-AL"/>
              </w:rPr>
              <w:t>ë</w:t>
            </w:r>
            <w:r w:rsidRPr="00055DE8">
              <w:rPr>
                <w:rFonts w:ascii="Times New Roman" w:hAnsi="Times New Roman"/>
                <w:sz w:val="24"/>
                <w:szCs w:val="24"/>
                <w:lang w:val="sq-AL"/>
              </w:rPr>
              <w:t xml:space="preserve"> ligj.</w:t>
            </w:r>
          </w:p>
          <w:p w14:paraId="5580F1FC"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b/>
                <w:sz w:val="24"/>
                <w:szCs w:val="24"/>
                <w:lang w:val="sq-AL"/>
              </w:rPr>
              <w:t xml:space="preserve">Neni 16 </w:t>
            </w:r>
            <w:r w:rsidRPr="00055DE8">
              <w:rPr>
                <w:rFonts w:ascii="Times New Roman" w:hAnsi="Times New Roman"/>
                <w:sz w:val="24"/>
                <w:szCs w:val="24"/>
                <w:lang w:val="sq-AL"/>
              </w:rPr>
              <w:t>përcakton rastet e kundërvajtjeve administrative dhe mënyrat dhe masat e dënimit të tyre.</w:t>
            </w:r>
          </w:p>
          <w:p w14:paraId="4ED02118" w14:textId="04B3D686"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b/>
                <w:sz w:val="24"/>
                <w:szCs w:val="24"/>
                <w:lang w:val="sq-AL"/>
              </w:rPr>
              <w:t xml:space="preserve">Neni 17 </w:t>
            </w:r>
            <w:r w:rsidRPr="00055DE8">
              <w:rPr>
                <w:rFonts w:ascii="Times New Roman" w:hAnsi="Times New Roman"/>
                <w:sz w:val="24"/>
                <w:szCs w:val="24"/>
                <w:lang w:val="sq-AL"/>
              </w:rPr>
              <w:t>ngarkon Këshillin e Ministrave, ministrin</w:t>
            </w:r>
            <w:r w:rsidR="00F960CC">
              <w:rPr>
                <w:rFonts w:ascii="Times New Roman" w:hAnsi="Times New Roman"/>
                <w:sz w:val="24"/>
                <w:szCs w:val="24"/>
                <w:lang w:val="sq-AL"/>
              </w:rPr>
              <w:t>ë</w:t>
            </w:r>
            <w:r w:rsidRPr="00055DE8">
              <w:rPr>
                <w:rFonts w:ascii="Times New Roman" w:hAnsi="Times New Roman"/>
                <w:sz w:val="24"/>
                <w:szCs w:val="24"/>
                <w:lang w:val="sq-AL"/>
              </w:rPr>
              <w:t xml:space="preserve"> përgjegjëse për hidrokarburet, si dhe ministrinë përgjegjëse për mjedisin që brenda afateve te caktuara nga hyrja në fuqi e këtij ligji, të nxjerrin aktet përkatëse nënligjore në zbatim të këtij ligji.</w:t>
            </w:r>
          </w:p>
          <w:p w14:paraId="219279AD" w14:textId="6FB9F33A"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b/>
                <w:sz w:val="24"/>
                <w:szCs w:val="24"/>
                <w:lang w:val="sq-AL"/>
              </w:rPr>
              <w:t>Neni 18</w:t>
            </w:r>
            <w:r w:rsidRPr="00055DE8">
              <w:rPr>
                <w:rFonts w:ascii="Times New Roman" w:hAnsi="Times New Roman"/>
                <w:sz w:val="24"/>
                <w:szCs w:val="24"/>
                <w:lang w:val="sq-AL"/>
              </w:rPr>
              <w:t xml:space="preserve"> përcakton një dispozitë kalimtare 12 mujore për licencimin e impiante</w:t>
            </w:r>
            <w:r w:rsidR="0060245B">
              <w:rPr>
                <w:rFonts w:ascii="Times New Roman" w:hAnsi="Times New Roman"/>
                <w:sz w:val="24"/>
                <w:szCs w:val="24"/>
                <w:lang w:val="sq-AL"/>
              </w:rPr>
              <w:t>ve ekzistuese të prodhimit dhe/</w:t>
            </w:r>
            <w:r w:rsidRPr="00055DE8">
              <w:rPr>
                <w:rFonts w:ascii="Times New Roman" w:hAnsi="Times New Roman"/>
                <w:sz w:val="24"/>
                <w:szCs w:val="24"/>
                <w:lang w:val="sq-AL"/>
              </w:rPr>
              <w:t>ose përzierjes së biokarburanteve dhe lëndët e tjera djegëse, të rinovueshme, të cilat operojnë aktualisht në treg.</w:t>
            </w:r>
          </w:p>
          <w:p w14:paraId="0B52A12A"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b/>
                <w:sz w:val="24"/>
                <w:szCs w:val="24"/>
                <w:lang w:val="sq-AL"/>
              </w:rPr>
              <w:t>Neni 19</w:t>
            </w:r>
            <w:r w:rsidRPr="00055DE8">
              <w:rPr>
                <w:rFonts w:ascii="Times New Roman" w:hAnsi="Times New Roman"/>
                <w:sz w:val="24"/>
                <w:szCs w:val="24"/>
                <w:lang w:val="sq-AL"/>
              </w:rPr>
              <w:t xml:space="preserve"> shfuqizon ligjin aktual nr. 9876, datë 14.02.2008 “Për prodhimin, transportimin dhe tregtimin e biokarburanteve dhe të lëndëve të tjera djegëse, të rinovueshme, për transport”.</w:t>
            </w:r>
          </w:p>
          <w:p w14:paraId="7BFD8E63" w14:textId="77777777" w:rsidR="00055DE8" w:rsidRPr="00055DE8" w:rsidRDefault="00055DE8" w:rsidP="007C18CB">
            <w:pPr>
              <w:tabs>
                <w:tab w:val="left" w:pos="540"/>
              </w:tabs>
              <w:spacing w:line="276" w:lineRule="auto"/>
              <w:jc w:val="both"/>
              <w:rPr>
                <w:rFonts w:ascii="Times New Roman" w:hAnsi="Times New Roman"/>
                <w:sz w:val="24"/>
                <w:szCs w:val="24"/>
                <w:lang w:val="sq-AL"/>
              </w:rPr>
            </w:pPr>
            <w:r w:rsidRPr="00055DE8">
              <w:rPr>
                <w:rFonts w:ascii="Times New Roman" w:hAnsi="Times New Roman"/>
                <w:b/>
                <w:sz w:val="24"/>
                <w:szCs w:val="24"/>
                <w:lang w:val="sq-AL"/>
              </w:rPr>
              <w:t>Neni 20</w:t>
            </w:r>
            <w:r w:rsidRPr="00055DE8">
              <w:rPr>
                <w:rFonts w:ascii="Times New Roman" w:hAnsi="Times New Roman"/>
                <w:sz w:val="24"/>
                <w:szCs w:val="24"/>
                <w:lang w:val="sq-AL"/>
              </w:rPr>
              <w:t xml:space="preserve"> thekson se ky ligj hyn në fuqi 15 ditë pas botimit në Fletoren Zyrtare.</w:t>
            </w:r>
          </w:p>
          <w:p w14:paraId="7A7AF454" w14:textId="4E1FE25A" w:rsidR="002D3F25" w:rsidRPr="00BF2355" w:rsidRDefault="002D3F25" w:rsidP="00597D72">
            <w:pPr>
              <w:widowControl w:val="0"/>
              <w:autoSpaceDE w:val="0"/>
              <w:autoSpaceDN w:val="0"/>
              <w:spacing w:before="1" w:line="276" w:lineRule="auto"/>
              <w:rPr>
                <w:rFonts w:ascii="Times New Roman" w:hAnsi="Times New Roman"/>
                <w:i/>
                <w:sz w:val="24"/>
                <w:szCs w:val="24"/>
                <w:lang w:val="sq-AL"/>
              </w:rPr>
            </w:pPr>
          </w:p>
        </w:tc>
      </w:tr>
    </w:tbl>
    <w:p w14:paraId="3A320FF0" w14:textId="77777777" w:rsidR="008675CA" w:rsidRPr="00BF2355" w:rsidRDefault="008675CA" w:rsidP="00BF2355">
      <w:pPr>
        <w:pStyle w:val="BodyText"/>
        <w:spacing w:line="276" w:lineRule="auto"/>
        <w:jc w:val="both"/>
        <w:rPr>
          <w:rFonts w:ascii="Times New Roman" w:hAnsi="Times New Roman"/>
          <w:i/>
          <w:sz w:val="24"/>
          <w:szCs w:val="24"/>
          <w:lang w:val="sq-AL"/>
        </w:rPr>
      </w:pPr>
    </w:p>
    <w:p w14:paraId="2D9A4CA5" w14:textId="77777777" w:rsidR="008675CA" w:rsidRPr="00BF2355" w:rsidRDefault="00E54C97" w:rsidP="00BF2355">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6F85D1AB" w14:textId="77777777" w:rsidTr="00FE3A8D">
        <w:tc>
          <w:tcPr>
            <w:tcW w:w="9056" w:type="dxa"/>
          </w:tcPr>
          <w:p w14:paraId="410B064F" w14:textId="2CCBFFF9" w:rsidR="00092682" w:rsidRPr="00BF2355" w:rsidRDefault="00092682" w:rsidP="00BF2355">
            <w:pPr>
              <w:tabs>
                <w:tab w:val="left" w:pos="567"/>
              </w:tabs>
              <w:spacing w:after="120" w:line="276" w:lineRule="auto"/>
              <w:jc w:val="both"/>
              <w:rPr>
                <w:rFonts w:ascii="Times New Roman" w:hAnsi="Times New Roman"/>
                <w:sz w:val="24"/>
                <w:szCs w:val="24"/>
                <w:lang w:val="sq-AL"/>
              </w:rPr>
            </w:pPr>
            <w:r w:rsidRPr="00BF2355">
              <w:rPr>
                <w:rFonts w:ascii="Times New Roman" w:hAnsi="Times New Roman"/>
                <w:sz w:val="24"/>
                <w:szCs w:val="24"/>
                <w:lang w:val="sq-AL"/>
              </w:rPr>
              <w:t>Çështjet kryesore që mendojmë se duhet të diskutohen lidhur me këtë nismë</w:t>
            </w:r>
            <w:r w:rsidR="00CC56CF" w:rsidRPr="00BF2355">
              <w:rPr>
                <w:rFonts w:ascii="Times New Roman" w:hAnsi="Times New Roman"/>
                <w:sz w:val="24"/>
                <w:szCs w:val="24"/>
                <w:lang w:val="sq-AL"/>
              </w:rPr>
              <w:t xml:space="preserve"> ligjore</w:t>
            </w:r>
            <w:r w:rsidRPr="00BF2355">
              <w:rPr>
                <w:rFonts w:ascii="Times New Roman" w:hAnsi="Times New Roman"/>
                <w:sz w:val="24"/>
                <w:szCs w:val="24"/>
                <w:lang w:val="sq-AL"/>
              </w:rPr>
              <w:t xml:space="preserve"> janë:</w:t>
            </w:r>
          </w:p>
          <w:p w14:paraId="44937CF3" w14:textId="77843A08" w:rsidR="00D051C6" w:rsidRPr="00203E98" w:rsidRDefault="00FD4B47" w:rsidP="00203E98">
            <w:pPr>
              <w:widowControl w:val="0"/>
              <w:numPr>
                <w:ilvl w:val="0"/>
                <w:numId w:val="86"/>
              </w:numPr>
              <w:tabs>
                <w:tab w:val="left" w:pos="384"/>
              </w:tabs>
              <w:autoSpaceDE w:val="0"/>
              <w:autoSpaceDN w:val="0"/>
              <w:spacing w:before="1" w:line="276" w:lineRule="auto"/>
              <w:ind w:right="120"/>
              <w:jc w:val="both"/>
              <w:rPr>
                <w:rFonts w:ascii="Times New Roman" w:hAnsi="Times New Roman"/>
                <w:sz w:val="24"/>
                <w:szCs w:val="24"/>
                <w:lang w:val="sq-AL"/>
              </w:rPr>
            </w:pPr>
            <w:r w:rsidRPr="00BF2355">
              <w:rPr>
                <w:rFonts w:ascii="Times New Roman" w:hAnsi="Times New Roman"/>
                <w:sz w:val="24"/>
                <w:szCs w:val="24"/>
                <w:lang w:val="sq-AL"/>
              </w:rPr>
              <w:t xml:space="preserve">A mendoni se </w:t>
            </w:r>
            <w:r w:rsidR="00203E98">
              <w:rPr>
                <w:rFonts w:ascii="Times New Roman" w:hAnsi="Times New Roman"/>
                <w:sz w:val="24"/>
                <w:szCs w:val="24"/>
                <w:lang w:val="sq-AL"/>
              </w:rPr>
              <w:t>ndryshimet e propozuara nw</w:t>
            </w:r>
            <w:r w:rsidR="00A46EDE">
              <w:rPr>
                <w:rFonts w:ascii="Times New Roman" w:hAnsi="Times New Roman"/>
                <w:sz w:val="24"/>
                <w:szCs w:val="24"/>
                <w:lang w:val="sq-AL"/>
              </w:rPr>
              <w:t xml:space="preserve"> projekt</w:t>
            </w:r>
            <w:r w:rsidR="00203E98">
              <w:rPr>
                <w:rFonts w:ascii="Times New Roman" w:hAnsi="Times New Roman"/>
                <w:sz w:val="24"/>
                <w:szCs w:val="24"/>
                <w:lang w:val="sq-AL"/>
              </w:rPr>
              <w:t xml:space="preserve">aktin </w:t>
            </w:r>
            <w:r w:rsidR="00A46EDE" w:rsidRPr="00A46EDE">
              <w:rPr>
                <w:rFonts w:ascii="Times New Roman" w:hAnsi="Times New Roman"/>
                <w:sz w:val="24"/>
                <w:szCs w:val="24"/>
                <w:lang w:val="sq-AL"/>
              </w:rPr>
              <w:t>“</w:t>
            </w:r>
            <w:r w:rsidR="00A46EDE" w:rsidRPr="00203E98">
              <w:rPr>
                <w:rFonts w:ascii="Times New Roman" w:hAnsi="Times New Roman"/>
                <w:i/>
                <w:sz w:val="24"/>
                <w:szCs w:val="24"/>
                <w:lang w:val="sq-AL"/>
              </w:rPr>
              <w:t>Për prodhimin, transportimin dhe tregtimin e biokarburanteve dhe të lëndëve të tjera djegëse, të rinovueshme, për transport</w:t>
            </w:r>
            <w:r w:rsidR="00A46EDE" w:rsidRPr="00A46EDE">
              <w:rPr>
                <w:rFonts w:ascii="Times New Roman" w:hAnsi="Times New Roman"/>
                <w:sz w:val="24"/>
                <w:szCs w:val="24"/>
                <w:lang w:val="sq-AL"/>
              </w:rPr>
              <w:t>”,</w:t>
            </w:r>
            <w:r w:rsidR="00392518" w:rsidRPr="00BF2355">
              <w:rPr>
                <w:rFonts w:ascii="Times New Roman" w:hAnsi="Times New Roman"/>
                <w:sz w:val="24"/>
                <w:szCs w:val="24"/>
                <w:lang w:val="sq-AL" w:eastAsia="en-GB"/>
              </w:rPr>
              <w:t xml:space="preserve"> </w:t>
            </w:r>
            <w:r w:rsidR="00A46EDE">
              <w:rPr>
                <w:rFonts w:ascii="Times New Roman" w:hAnsi="Times New Roman"/>
                <w:sz w:val="24"/>
                <w:szCs w:val="24"/>
                <w:lang w:val="sq-AL" w:eastAsia="en-GB"/>
              </w:rPr>
              <w:t xml:space="preserve">lidhur me </w:t>
            </w:r>
            <w:r w:rsidR="00203E98" w:rsidRPr="00203E98">
              <w:rPr>
                <w:rFonts w:ascii="Times New Roman" w:hAnsi="Times New Roman"/>
                <w:sz w:val="24"/>
                <w:szCs w:val="24"/>
                <w:lang w:val="sq-AL" w:eastAsia="en-GB"/>
              </w:rPr>
              <w:t>promovimin e prodhimit dhe të përdorimit të Burimeve të Energjisë së Rinovueshme për sektorin e Transportit, nëpërmjet përdorimit të biokarburanteve për zëvendësimin e një pjese të nënprodukteve të naftës me lëndë djegëse jo fosile për motorët me djegie të</w:t>
            </w:r>
            <w:r w:rsidR="00203E98">
              <w:rPr>
                <w:rFonts w:ascii="Times New Roman" w:hAnsi="Times New Roman"/>
                <w:sz w:val="24"/>
                <w:szCs w:val="24"/>
                <w:lang w:val="sq-AL" w:eastAsia="en-GB"/>
              </w:rPr>
              <w:t xml:space="preserve"> brendshme, </w:t>
            </w:r>
            <w:r w:rsidR="00F020DD" w:rsidRPr="00203E98">
              <w:rPr>
                <w:rFonts w:ascii="Times New Roman" w:hAnsi="Times New Roman"/>
                <w:sz w:val="24"/>
                <w:szCs w:val="24"/>
                <w:lang w:val="sq-AL" w:eastAsia="en-GB"/>
              </w:rPr>
              <w:t>adresohen në mënyrë të plotë dhe të duhur</w:t>
            </w:r>
            <w:r w:rsidR="00ED16BC" w:rsidRPr="00203E98">
              <w:rPr>
                <w:rFonts w:ascii="Times New Roman" w:hAnsi="Times New Roman"/>
                <w:sz w:val="24"/>
                <w:szCs w:val="24"/>
                <w:lang w:val="sq-AL" w:eastAsia="en-GB"/>
              </w:rPr>
              <w:t xml:space="preserve"> në këtë projektligj</w:t>
            </w:r>
            <w:r w:rsidR="00454C25" w:rsidRPr="00203E98">
              <w:rPr>
                <w:rFonts w:ascii="Times New Roman" w:hAnsi="Times New Roman"/>
                <w:sz w:val="24"/>
                <w:szCs w:val="24"/>
                <w:lang w:val="sq-AL" w:eastAsia="en-GB"/>
              </w:rPr>
              <w:t>?</w:t>
            </w:r>
            <w:r w:rsidR="00F020DD" w:rsidRPr="00203E98">
              <w:rPr>
                <w:rFonts w:ascii="Times New Roman" w:hAnsi="Times New Roman"/>
                <w:sz w:val="24"/>
                <w:szCs w:val="24"/>
                <w:lang w:val="sq-AL"/>
              </w:rPr>
              <w:t xml:space="preserve"> </w:t>
            </w:r>
          </w:p>
          <w:p w14:paraId="04EB468E" w14:textId="1AD08976" w:rsidR="00454C25" w:rsidRPr="00BF2355" w:rsidRDefault="00206A93" w:rsidP="00BF2355">
            <w:pPr>
              <w:widowControl w:val="0"/>
              <w:numPr>
                <w:ilvl w:val="0"/>
                <w:numId w:val="86"/>
              </w:numPr>
              <w:tabs>
                <w:tab w:val="left" w:pos="384"/>
              </w:tabs>
              <w:autoSpaceDE w:val="0"/>
              <w:autoSpaceDN w:val="0"/>
              <w:spacing w:before="1" w:line="276" w:lineRule="auto"/>
              <w:ind w:right="120"/>
              <w:rPr>
                <w:rFonts w:ascii="Times New Roman" w:hAnsi="Times New Roman"/>
                <w:sz w:val="24"/>
                <w:szCs w:val="24"/>
                <w:lang w:val="sq-AL"/>
              </w:rPr>
            </w:pPr>
            <w:r w:rsidRPr="00BF2355">
              <w:rPr>
                <w:rFonts w:ascii="Times New Roman" w:hAnsi="Times New Roman"/>
                <w:sz w:val="24"/>
                <w:szCs w:val="24"/>
                <w:lang w:val="sq-AL"/>
              </w:rPr>
              <w:t>A mendoni se ka elementë t</w:t>
            </w:r>
            <w:r w:rsidR="00EF567E" w:rsidRPr="00BF2355">
              <w:rPr>
                <w:rFonts w:ascii="Times New Roman" w:hAnsi="Times New Roman"/>
                <w:sz w:val="24"/>
                <w:szCs w:val="24"/>
                <w:lang w:val="sq-AL"/>
              </w:rPr>
              <w:t>ë</w:t>
            </w:r>
            <w:r w:rsidRPr="00BF2355">
              <w:rPr>
                <w:rFonts w:ascii="Times New Roman" w:hAnsi="Times New Roman"/>
                <w:sz w:val="24"/>
                <w:szCs w:val="24"/>
                <w:lang w:val="sq-AL"/>
              </w:rPr>
              <w:t xml:space="preserve"> tjer</w:t>
            </w:r>
            <w:r w:rsidR="00EF567E" w:rsidRPr="00BF2355">
              <w:rPr>
                <w:rFonts w:ascii="Times New Roman" w:hAnsi="Times New Roman"/>
                <w:sz w:val="24"/>
                <w:szCs w:val="24"/>
                <w:lang w:val="sq-AL"/>
              </w:rPr>
              <w:t>ë</w:t>
            </w:r>
            <w:r w:rsidRPr="00BF2355">
              <w:rPr>
                <w:rFonts w:ascii="Times New Roman" w:hAnsi="Times New Roman"/>
                <w:sz w:val="24"/>
                <w:szCs w:val="24"/>
                <w:lang w:val="sq-AL"/>
              </w:rPr>
              <w:t xml:space="preserve"> q</w:t>
            </w:r>
            <w:r w:rsidR="00EF567E" w:rsidRPr="00BF2355">
              <w:rPr>
                <w:rFonts w:ascii="Times New Roman" w:hAnsi="Times New Roman"/>
                <w:sz w:val="24"/>
                <w:szCs w:val="24"/>
                <w:lang w:val="sq-AL"/>
              </w:rPr>
              <w:t>ë</w:t>
            </w:r>
            <w:r w:rsidRPr="00BF2355">
              <w:rPr>
                <w:rFonts w:ascii="Times New Roman" w:hAnsi="Times New Roman"/>
                <w:sz w:val="24"/>
                <w:szCs w:val="24"/>
                <w:lang w:val="sq-AL"/>
              </w:rPr>
              <w:t xml:space="preserve"> duhet të përfshihen në </w:t>
            </w:r>
            <w:r w:rsidR="00277A31" w:rsidRPr="00BF2355">
              <w:rPr>
                <w:rFonts w:ascii="Times New Roman" w:hAnsi="Times New Roman"/>
                <w:sz w:val="24"/>
                <w:szCs w:val="24"/>
                <w:lang w:val="sq-AL"/>
              </w:rPr>
              <w:t xml:space="preserve">këtë </w:t>
            </w:r>
            <w:r w:rsidRPr="00BF2355">
              <w:rPr>
                <w:rFonts w:ascii="Times New Roman" w:hAnsi="Times New Roman"/>
                <w:sz w:val="24"/>
                <w:szCs w:val="24"/>
                <w:lang w:val="sq-AL"/>
              </w:rPr>
              <w:t>projektligj?</w:t>
            </w:r>
          </w:p>
          <w:p w14:paraId="3D4086F2" w14:textId="060D2F9E" w:rsidR="00E4497D" w:rsidRPr="00BF2355" w:rsidRDefault="00E4497D" w:rsidP="00BF2355">
            <w:pPr>
              <w:widowControl w:val="0"/>
              <w:tabs>
                <w:tab w:val="left" w:pos="384"/>
              </w:tabs>
              <w:autoSpaceDE w:val="0"/>
              <w:autoSpaceDN w:val="0"/>
              <w:spacing w:before="1" w:line="276" w:lineRule="auto"/>
              <w:ind w:left="383" w:right="120"/>
              <w:rPr>
                <w:rFonts w:ascii="Times New Roman" w:hAnsi="Times New Roman"/>
                <w:sz w:val="24"/>
                <w:szCs w:val="24"/>
                <w:lang w:val="sq-AL"/>
              </w:rPr>
            </w:pPr>
          </w:p>
        </w:tc>
      </w:tr>
    </w:tbl>
    <w:p w14:paraId="6609AFC9" w14:textId="77777777" w:rsidR="00203E98" w:rsidRDefault="00203E98" w:rsidP="00BF2355">
      <w:pPr>
        <w:spacing w:line="276" w:lineRule="auto"/>
        <w:rPr>
          <w:rFonts w:ascii="Times New Roman" w:hAnsi="Times New Roman"/>
          <w:sz w:val="24"/>
          <w:szCs w:val="24"/>
          <w:lang w:val="sq-AL"/>
        </w:rPr>
      </w:pPr>
    </w:p>
    <w:p w14:paraId="2965CDC2" w14:textId="26B32FD5" w:rsidR="00203E98" w:rsidRPr="00BF2355" w:rsidRDefault="00203E98" w:rsidP="00BF2355">
      <w:pPr>
        <w:spacing w:line="276" w:lineRule="auto"/>
        <w:rPr>
          <w:rFonts w:ascii="Times New Roman" w:hAnsi="Times New Roman"/>
          <w:sz w:val="24"/>
          <w:szCs w:val="24"/>
          <w:lang w:val="sq-AL"/>
        </w:rPr>
      </w:pPr>
    </w:p>
    <w:sectPr w:rsidR="00203E98" w:rsidRPr="00BF2355" w:rsidSect="00334CD0">
      <w:pgSz w:w="11900" w:h="16840"/>
      <w:pgMar w:top="450" w:right="141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4"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6"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7"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9"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2"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3"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4"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5"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16"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17"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18"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0"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1"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2"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24"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25"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26"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27"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8"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0"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32"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33"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35"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6"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7"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38"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40"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44"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45"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46"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7"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48"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9"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50"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51"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2"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53"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4"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55"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56"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57"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8"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9"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60"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1"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62"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63"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4"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65"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6"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67"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68"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69"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70"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71"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72"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73"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4"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75"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76"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7"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8"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0"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1"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82"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83"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84"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85"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6"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7"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78"/>
  </w:num>
  <w:num w:numId="2">
    <w:abstractNumId w:val="59"/>
  </w:num>
  <w:num w:numId="3">
    <w:abstractNumId w:val="81"/>
  </w:num>
  <w:num w:numId="4">
    <w:abstractNumId w:val="66"/>
  </w:num>
  <w:num w:numId="5">
    <w:abstractNumId w:val="44"/>
  </w:num>
  <w:num w:numId="6">
    <w:abstractNumId w:val="8"/>
  </w:num>
  <w:num w:numId="7">
    <w:abstractNumId w:val="5"/>
  </w:num>
  <w:num w:numId="8">
    <w:abstractNumId w:val="13"/>
  </w:num>
  <w:num w:numId="9">
    <w:abstractNumId w:val="72"/>
  </w:num>
  <w:num w:numId="10">
    <w:abstractNumId w:val="52"/>
  </w:num>
  <w:num w:numId="11">
    <w:abstractNumId w:val="82"/>
  </w:num>
  <w:num w:numId="12">
    <w:abstractNumId w:val="74"/>
  </w:num>
  <w:num w:numId="13">
    <w:abstractNumId w:val="6"/>
  </w:num>
  <w:num w:numId="14">
    <w:abstractNumId w:val="70"/>
  </w:num>
  <w:num w:numId="15">
    <w:abstractNumId w:val="71"/>
  </w:num>
  <w:num w:numId="16">
    <w:abstractNumId w:val="19"/>
  </w:num>
  <w:num w:numId="17">
    <w:abstractNumId w:val="26"/>
  </w:num>
  <w:num w:numId="18">
    <w:abstractNumId w:val="31"/>
  </w:num>
  <w:num w:numId="19">
    <w:abstractNumId w:val="2"/>
  </w:num>
  <w:num w:numId="20">
    <w:abstractNumId w:val="16"/>
  </w:num>
  <w:num w:numId="21">
    <w:abstractNumId w:val="32"/>
  </w:num>
  <w:num w:numId="22">
    <w:abstractNumId w:val="75"/>
  </w:num>
  <w:num w:numId="23">
    <w:abstractNumId w:val="43"/>
  </w:num>
  <w:num w:numId="24">
    <w:abstractNumId w:val="25"/>
  </w:num>
  <w:num w:numId="25">
    <w:abstractNumId w:val="21"/>
  </w:num>
  <w:num w:numId="26">
    <w:abstractNumId w:val="45"/>
  </w:num>
  <w:num w:numId="27">
    <w:abstractNumId w:val="11"/>
  </w:num>
  <w:num w:numId="28">
    <w:abstractNumId w:val="39"/>
  </w:num>
  <w:num w:numId="29">
    <w:abstractNumId w:val="15"/>
  </w:num>
  <w:num w:numId="30">
    <w:abstractNumId w:val="64"/>
  </w:num>
  <w:num w:numId="31">
    <w:abstractNumId w:val="69"/>
  </w:num>
  <w:num w:numId="32">
    <w:abstractNumId w:val="35"/>
  </w:num>
  <w:num w:numId="33">
    <w:abstractNumId w:val="68"/>
  </w:num>
  <w:num w:numId="34">
    <w:abstractNumId w:val="3"/>
  </w:num>
  <w:num w:numId="35">
    <w:abstractNumId w:val="12"/>
  </w:num>
  <w:num w:numId="36">
    <w:abstractNumId w:val="37"/>
  </w:num>
  <w:num w:numId="37">
    <w:abstractNumId w:val="23"/>
  </w:num>
  <w:num w:numId="38">
    <w:abstractNumId w:val="17"/>
  </w:num>
  <w:num w:numId="39">
    <w:abstractNumId w:val="49"/>
  </w:num>
  <w:num w:numId="40">
    <w:abstractNumId w:val="29"/>
  </w:num>
  <w:num w:numId="41">
    <w:abstractNumId w:val="34"/>
  </w:num>
  <w:num w:numId="42">
    <w:abstractNumId w:val="55"/>
  </w:num>
  <w:num w:numId="43">
    <w:abstractNumId w:val="83"/>
  </w:num>
  <w:num w:numId="44">
    <w:abstractNumId w:val="61"/>
  </w:num>
  <w:num w:numId="45">
    <w:abstractNumId w:val="63"/>
  </w:num>
  <w:num w:numId="46">
    <w:abstractNumId w:val="87"/>
  </w:num>
  <w:num w:numId="47">
    <w:abstractNumId w:val="80"/>
  </w:num>
  <w:num w:numId="48">
    <w:abstractNumId w:val="10"/>
  </w:num>
  <w:num w:numId="49">
    <w:abstractNumId w:val="18"/>
  </w:num>
  <w:num w:numId="50">
    <w:abstractNumId w:val="48"/>
  </w:num>
  <w:num w:numId="51">
    <w:abstractNumId w:val="65"/>
  </w:num>
  <w:num w:numId="52">
    <w:abstractNumId w:val="85"/>
  </w:num>
  <w:num w:numId="53">
    <w:abstractNumId w:val="58"/>
  </w:num>
  <w:num w:numId="54">
    <w:abstractNumId w:val="51"/>
  </w:num>
  <w:num w:numId="55">
    <w:abstractNumId w:val="53"/>
  </w:num>
  <w:num w:numId="56">
    <w:abstractNumId w:val="73"/>
  </w:num>
  <w:num w:numId="57">
    <w:abstractNumId w:val="56"/>
  </w:num>
  <w:num w:numId="58">
    <w:abstractNumId w:val="76"/>
  </w:num>
  <w:num w:numId="59">
    <w:abstractNumId w:val="7"/>
  </w:num>
  <w:num w:numId="60">
    <w:abstractNumId w:val="86"/>
  </w:num>
  <w:num w:numId="61">
    <w:abstractNumId w:val="41"/>
  </w:num>
  <w:num w:numId="62">
    <w:abstractNumId w:val="46"/>
  </w:num>
  <w:num w:numId="63">
    <w:abstractNumId w:val="77"/>
  </w:num>
  <w:num w:numId="64">
    <w:abstractNumId w:val="54"/>
  </w:num>
  <w:num w:numId="65">
    <w:abstractNumId w:val="62"/>
  </w:num>
  <w:num w:numId="66">
    <w:abstractNumId w:val="22"/>
  </w:num>
  <w:num w:numId="67">
    <w:abstractNumId w:val="50"/>
  </w:num>
  <w:num w:numId="68">
    <w:abstractNumId w:val="0"/>
  </w:num>
  <w:num w:numId="69">
    <w:abstractNumId w:val="14"/>
  </w:num>
  <w:num w:numId="70">
    <w:abstractNumId w:val="1"/>
  </w:num>
  <w:num w:numId="71">
    <w:abstractNumId w:val="60"/>
  </w:num>
  <w:num w:numId="72">
    <w:abstractNumId w:val="9"/>
  </w:num>
  <w:num w:numId="73">
    <w:abstractNumId w:val="30"/>
  </w:num>
  <w:num w:numId="74">
    <w:abstractNumId w:val="38"/>
  </w:num>
  <w:num w:numId="75">
    <w:abstractNumId w:val="79"/>
  </w:num>
  <w:num w:numId="76">
    <w:abstractNumId w:val="67"/>
  </w:num>
  <w:num w:numId="77">
    <w:abstractNumId w:val="28"/>
  </w:num>
  <w:num w:numId="78">
    <w:abstractNumId w:val="20"/>
  </w:num>
  <w:num w:numId="79">
    <w:abstractNumId w:val="84"/>
  </w:num>
  <w:num w:numId="80">
    <w:abstractNumId w:val="27"/>
  </w:num>
  <w:num w:numId="81">
    <w:abstractNumId w:val="57"/>
  </w:num>
  <w:num w:numId="82">
    <w:abstractNumId w:val="36"/>
  </w:num>
  <w:num w:numId="83">
    <w:abstractNumId w:val="40"/>
  </w:num>
  <w:num w:numId="84">
    <w:abstractNumId w:val="4"/>
  </w:num>
  <w:num w:numId="85">
    <w:abstractNumId w:val="24"/>
  </w:num>
  <w:num w:numId="86">
    <w:abstractNumId w:val="47"/>
  </w:num>
  <w:num w:numId="87">
    <w:abstractNumId w:val="42"/>
  </w:num>
  <w:num w:numId="88">
    <w:abstractNumId w:val="3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A"/>
    <w:rsid w:val="00020D9C"/>
    <w:rsid w:val="00044810"/>
    <w:rsid w:val="00055DE8"/>
    <w:rsid w:val="0007347E"/>
    <w:rsid w:val="00087972"/>
    <w:rsid w:val="00092682"/>
    <w:rsid w:val="000E284B"/>
    <w:rsid w:val="00103C86"/>
    <w:rsid w:val="001077A7"/>
    <w:rsid w:val="00144A90"/>
    <w:rsid w:val="00185354"/>
    <w:rsid w:val="001A7984"/>
    <w:rsid w:val="001E4573"/>
    <w:rsid w:val="00203C7D"/>
    <w:rsid w:val="00203E98"/>
    <w:rsid w:val="00206A93"/>
    <w:rsid w:val="002310D5"/>
    <w:rsid w:val="0023335B"/>
    <w:rsid w:val="002477BC"/>
    <w:rsid w:val="002726E3"/>
    <w:rsid w:val="00277A31"/>
    <w:rsid w:val="00284BB2"/>
    <w:rsid w:val="002D3F25"/>
    <w:rsid w:val="002E7E3C"/>
    <w:rsid w:val="002F0D44"/>
    <w:rsid w:val="003315E9"/>
    <w:rsid w:val="00334CD0"/>
    <w:rsid w:val="003435BD"/>
    <w:rsid w:val="00343EA7"/>
    <w:rsid w:val="00383384"/>
    <w:rsid w:val="00383F0A"/>
    <w:rsid w:val="00392518"/>
    <w:rsid w:val="003A291A"/>
    <w:rsid w:val="003F4071"/>
    <w:rsid w:val="004046E2"/>
    <w:rsid w:val="00453FEB"/>
    <w:rsid w:val="00454C25"/>
    <w:rsid w:val="00463C25"/>
    <w:rsid w:val="004A34AE"/>
    <w:rsid w:val="004A562E"/>
    <w:rsid w:val="004C5AE2"/>
    <w:rsid w:val="00515A22"/>
    <w:rsid w:val="00561566"/>
    <w:rsid w:val="00574E6C"/>
    <w:rsid w:val="00596E1F"/>
    <w:rsid w:val="00597D72"/>
    <w:rsid w:val="005D67CE"/>
    <w:rsid w:val="0060245B"/>
    <w:rsid w:val="00645549"/>
    <w:rsid w:val="00647695"/>
    <w:rsid w:val="0070191D"/>
    <w:rsid w:val="00720851"/>
    <w:rsid w:val="00731B03"/>
    <w:rsid w:val="007765B7"/>
    <w:rsid w:val="007817F3"/>
    <w:rsid w:val="00785430"/>
    <w:rsid w:val="007B4AD9"/>
    <w:rsid w:val="007C18CB"/>
    <w:rsid w:val="007F3499"/>
    <w:rsid w:val="00805C10"/>
    <w:rsid w:val="008130DA"/>
    <w:rsid w:val="00826133"/>
    <w:rsid w:val="008675CA"/>
    <w:rsid w:val="008C4FD5"/>
    <w:rsid w:val="008F0DBA"/>
    <w:rsid w:val="00930D14"/>
    <w:rsid w:val="009318AF"/>
    <w:rsid w:val="00957E1F"/>
    <w:rsid w:val="00991965"/>
    <w:rsid w:val="009C2E02"/>
    <w:rsid w:val="009C5F77"/>
    <w:rsid w:val="009F0195"/>
    <w:rsid w:val="009F0CCD"/>
    <w:rsid w:val="00A05359"/>
    <w:rsid w:val="00A07789"/>
    <w:rsid w:val="00A07CC1"/>
    <w:rsid w:val="00A46EDE"/>
    <w:rsid w:val="00A51B6B"/>
    <w:rsid w:val="00A73EFE"/>
    <w:rsid w:val="00A86E98"/>
    <w:rsid w:val="00A9244E"/>
    <w:rsid w:val="00AC4D67"/>
    <w:rsid w:val="00AD4479"/>
    <w:rsid w:val="00AF5895"/>
    <w:rsid w:val="00B0093C"/>
    <w:rsid w:val="00B11C82"/>
    <w:rsid w:val="00B16A46"/>
    <w:rsid w:val="00B21675"/>
    <w:rsid w:val="00B76E89"/>
    <w:rsid w:val="00B87EE9"/>
    <w:rsid w:val="00B93DDC"/>
    <w:rsid w:val="00BB066B"/>
    <w:rsid w:val="00BD2CC2"/>
    <w:rsid w:val="00BF2355"/>
    <w:rsid w:val="00C216BA"/>
    <w:rsid w:val="00C64006"/>
    <w:rsid w:val="00CB062B"/>
    <w:rsid w:val="00CC3D10"/>
    <w:rsid w:val="00CC56CF"/>
    <w:rsid w:val="00D051C6"/>
    <w:rsid w:val="00D06CBA"/>
    <w:rsid w:val="00D11EF8"/>
    <w:rsid w:val="00D14CB7"/>
    <w:rsid w:val="00D3153E"/>
    <w:rsid w:val="00D61801"/>
    <w:rsid w:val="00DA7378"/>
    <w:rsid w:val="00DC24E3"/>
    <w:rsid w:val="00DE1DCB"/>
    <w:rsid w:val="00E42CA5"/>
    <w:rsid w:val="00E4497D"/>
    <w:rsid w:val="00E46FDB"/>
    <w:rsid w:val="00E54C97"/>
    <w:rsid w:val="00EC1CFE"/>
    <w:rsid w:val="00ED16BC"/>
    <w:rsid w:val="00EE585C"/>
    <w:rsid w:val="00EF567E"/>
    <w:rsid w:val="00EF5B88"/>
    <w:rsid w:val="00F020DD"/>
    <w:rsid w:val="00F04DE4"/>
    <w:rsid w:val="00F34765"/>
    <w:rsid w:val="00F378E5"/>
    <w:rsid w:val="00F45F0A"/>
    <w:rsid w:val="00F84ECB"/>
    <w:rsid w:val="00F960CC"/>
    <w:rsid w:val="00F97BAB"/>
    <w:rsid w:val="00FA3DFD"/>
    <w:rsid w:val="00FC3DD2"/>
    <w:rsid w:val="00FD4B47"/>
    <w:rsid w:val="00FE3A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
    <w:name w:val="Unresolved Mention"/>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ma.davidhi@infrastruktura.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ma.davidhi@infrastruktura.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Vilma Davidhi</cp:lastModifiedBy>
  <cp:revision>15</cp:revision>
  <cp:lastPrinted>2023-04-24T10:56:00Z</cp:lastPrinted>
  <dcterms:created xsi:type="dcterms:W3CDTF">2023-04-24T10:31:00Z</dcterms:created>
  <dcterms:modified xsi:type="dcterms:W3CDTF">2023-04-26T07:19:00Z</dcterms:modified>
</cp:coreProperties>
</file>