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416C8" w14:textId="7B7E45D3" w:rsidR="000663C5" w:rsidRPr="008D3967" w:rsidRDefault="00D739F6" w:rsidP="008D3967">
      <w:pPr>
        <w:pStyle w:val="Heading2"/>
        <w:tabs>
          <w:tab w:val="center" w:pos="4533"/>
          <w:tab w:val="left" w:pos="5743"/>
        </w:tabs>
        <w:spacing w:line="276" w:lineRule="auto"/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r w:rsidRPr="00F7117C">
        <w:rPr>
          <w:rFonts w:ascii="Times New Roman" w:hAnsi="Times New Roman"/>
          <w:i w:val="0"/>
          <w:iCs/>
          <w:szCs w:val="24"/>
          <w:lang w:val="sq-AL"/>
        </w:rPr>
        <w:t>P</w:t>
      </w:r>
      <w:r w:rsidR="00296408" w:rsidRPr="00F7117C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F7117C">
        <w:rPr>
          <w:rFonts w:ascii="Times New Roman" w:hAnsi="Times New Roman"/>
          <w:i w:val="0"/>
          <w:iCs/>
          <w:szCs w:val="24"/>
          <w:lang w:val="sq-AL"/>
        </w:rPr>
        <w:t>RGATITJA E PLANIT T</w:t>
      </w:r>
      <w:r w:rsidR="00296408" w:rsidRPr="00F7117C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F7117C">
        <w:rPr>
          <w:rFonts w:ascii="Times New Roman" w:hAnsi="Times New Roman"/>
          <w:i w:val="0"/>
          <w:iCs/>
          <w:szCs w:val="24"/>
          <w:lang w:val="sq-AL"/>
        </w:rPr>
        <w:t xml:space="preserve"> KONSULTIMIT</w:t>
      </w:r>
      <w:bookmarkEnd w:id="0"/>
    </w:p>
    <w:p w14:paraId="0960EB52" w14:textId="53A79A78" w:rsidR="008D3967" w:rsidRDefault="00D739F6" w:rsidP="007C4B63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7117C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F7117C">
        <w:rPr>
          <w:rFonts w:ascii="Times New Roman" w:hAnsi="Times New Roman"/>
          <w:sz w:val="24"/>
          <w:szCs w:val="24"/>
          <w:lang w:val="sq-AL"/>
        </w:rPr>
        <w:t>/</w:t>
      </w:r>
      <w:r w:rsidRPr="00F7117C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F7117C">
        <w:rPr>
          <w:rFonts w:ascii="Times New Roman" w:hAnsi="Times New Roman"/>
          <w:sz w:val="24"/>
          <w:szCs w:val="24"/>
          <w:lang w:val="sq-AL"/>
        </w:rPr>
        <w:t>ë</w:t>
      </w:r>
      <w:r w:rsidRPr="00F7117C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F7117C">
        <w:rPr>
          <w:rFonts w:ascii="Times New Roman" w:hAnsi="Times New Roman"/>
          <w:sz w:val="24"/>
          <w:szCs w:val="24"/>
          <w:lang w:val="sq-AL"/>
        </w:rPr>
        <w:t>:</w:t>
      </w:r>
    </w:p>
    <w:p w14:paraId="362A1818" w14:textId="77777777" w:rsidR="00F66997" w:rsidRDefault="00F66997" w:rsidP="007C4B63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F66997">
        <w:rPr>
          <w:rFonts w:ascii="Times New Roman" w:hAnsi="Times New Roman"/>
          <w:b/>
          <w:sz w:val="24"/>
          <w:szCs w:val="24"/>
          <w:lang w:val="sq-AL"/>
        </w:rPr>
        <w:t>Projektligji “Për disa shtesa dhe ndryshime në ligjin nr. 113/2020, “Për Shtetësinë”</w:t>
      </w:r>
    </w:p>
    <w:p w14:paraId="6478713D" w14:textId="02BA0A4F" w:rsidR="000663C5" w:rsidRPr="00F7117C" w:rsidRDefault="00D739F6" w:rsidP="007C4B63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F7117C">
        <w:rPr>
          <w:rFonts w:ascii="Times New Roman" w:hAnsi="Times New Roman"/>
          <w:i/>
          <w:sz w:val="24"/>
          <w:szCs w:val="24"/>
          <w:lang w:val="sq-AL"/>
        </w:rPr>
        <w:t>Audienca e synuar, lloji i konsultimeve (paraprake/</w:t>
      </w:r>
      <w:r w:rsidR="00296408" w:rsidRPr="00F7117C">
        <w:rPr>
          <w:rFonts w:ascii="Times New Roman" w:hAnsi="Times New Roman"/>
          <w:i/>
          <w:sz w:val="24"/>
          <w:szCs w:val="24"/>
          <w:lang w:val="sq-AL"/>
        </w:rPr>
        <w:t>k</w:t>
      </w:r>
      <w:r w:rsidRPr="00F7117C">
        <w:rPr>
          <w:rFonts w:ascii="Times New Roman" w:hAnsi="Times New Roman"/>
          <w:i/>
          <w:sz w:val="24"/>
          <w:szCs w:val="24"/>
          <w:lang w:val="sq-AL"/>
        </w:rPr>
        <w:t>. për projekt-ligjet), metodat e konsultimit, kanali i komunikimit për shkëmbimin e informacionit</w:t>
      </w:r>
    </w:p>
    <w:p w14:paraId="0C5AF79F" w14:textId="77777777" w:rsidR="00211DD3" w:rsidRPr="00F7117C" w:rsidRDefault="00211DD3" w:rsidP="008E1759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070"/>
        <w:gridCol w:w="2070"/>
        <w:gridCol w:w="3098"/>
      </w:tblGrid>
      <w:tr w:rsidR="000663C5" w:rsidRPr="00F7117C" w14:paraId="68ABBC09" w14:textId="77777777" w:rsidTr="001C596A">
        <w:tc>
          <w:tcPr>
            <w:tcW w:w="1931" w:type="dxa"/>
          </w:tcPr>
          <w:p w14:paraId="7B9D0F91" w14:textId="08D60A1D" w:rsidR="000663C5" w:rsidRPr="00F7117C" w:rsidRDefault="00D739F6" w:rsidP="001C596A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</w:p>
        </w:tc>
        <w:tc>
          <w:tcPr>
            <w:tcW w:w="2070" w:type="dxa"/>
          </w:tcPr>
          <w:p w14:paraId="536B28C8" w14:textId="77777777" w:rsidR="000663C5" w:rsidRPr="00F7117C" w:rsidRDefault="00D739F6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14:paraId="51086B47" w14:textId="77777777" w:rsidR="000663C5" w:rsidRPr="00F7117C" w:rsidRDefault="00D739F6" w:rsidP="008E1759">
            <w:pPr>
              <w:pStyle w:val="BodyText"/>
              <w:numPr>
                <w:ilvl w:val="0"/>
                <w:numId w:val="2"/>
              </w:numPr>
              <w:tabs>
                <w:tab w:val="clear" w:pos="567"/>
                <w:tab w:val="left" w:pos="403"/>
              </w:tabs>
              <w:spacing w:line="276" w:lineRule="auto"/>
              <w:ind w:left="403" w:hanging="426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14:paraId="4B086ED7" w14:textId="4A1F0906" w:rsidR="000663C5" w:rsidRPr="00F7117C" w:rsidRDefault="00296408" w:rsidP="007F390A">
            <w:pPr>
              <w:pStyle w:val="BodyText"/>
              <w:numPr>
                <w:ilvl w:val="0"/>
                <w:numId w:val="2"/>
              </w:numPr>
              <w:tabs>
                <w:tab w:val="clear" w:pos="567"/>
                <w:tab w:val="left" w:pos="403"/>
              </w:tabs>
              <w:spacing w:line="276" w:lineRule="auto"/>
              <w:ind w:left="403" w:hanging="426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D739F6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projekt-</w:t>
            </w:r>
            <w:r w:rsidR="007F390A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ligjit</w:t>
            </w:r>
          </w:p>
        </w:tc>
        <w:tc>
          <w:tcPr>
            <w:tcW w:w="2070" w:type="dxa"/>
          </w:tcPr>
          <w:p w14:paraId="1D91051A" w14:textId="52B1A9E4" w:rsidR="000663C5" w:rsidRPr="00F7117C" w:rsidRDefault="00D739F6" w:rsidP="007F390A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F7117C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F7117C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="000F483C" w:rsidRPr="00F7117C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F7117C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etj</w:t>
            </w:r>
            <w:r w:rsidR="000663C5" w:rsidRPr="00F7117C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3098" w:type="dxa"/>
          </w:tcPr>
          <w:p w14:paraId="5F7D6580" w14:textId="6F16025C" w:rsidR="000663C5" w:rsidRPr="00F7117C" w:rsidRDefault="00D739F6" w:rsidP="008E1759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F7117C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F7117C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r w:rsidR="00ED615B"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</w:t>
            </w:r>
            <w:r w:rsid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-</w:t>
            </w:r>
            <w:r w:rsidR="00ED615B"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mail, </w:t>
            </w:r>
            <w:r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0663C5" w:rsidRPr="00F7117C" w14:paraId="1EF5D72F" w14:textId="77777777" w:rsidTr="00792B36">
        <w:trPr>
          <w:trHeight w:val="2650"/>
        </w:trPr>
        <w:tc>
          <w:tcPr>
            <w:tcW w:w="1931" w:type="dxa"/>
          </w:tcPr>
          <w:p w14:paraId="48C45269" w14:textId="77777777" w:rsidR="00CE6200" w:rsidRDefault="000F483C" w:rsidP="00CE620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Publiku</w:t>
            </w:r>
            <w:r w:rsidR="00CE6200" w:rsidRPr="00790FA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389AEF97" w14:textId="61E4B50D" w:rsidR="00CE6200" w:rsidRPr="00A35838" w:rsidRDefault="00CE6200" w:rsidP="00CE620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Q</w:t>
            </w:r>
            <w:r w:rsidRPr="00790FAD">
              <w:rPr>
                <w:rFonts w:ascii="Times New Roman" w:hAnsi="Times New Roman"/>
                <w:sz w:val="24"/>
                <w:szCs w:val="24"/>
                <w:lang w:val="sq-AL"/>
              </w:rPr>
              <w:t>ytetarë,</w:t>
            </w:r>
          </w:p>
          <w:p w14:paraId="1F598BA0" w14:textId="0D55F50D" w:rsidR="000663C5" w:rsidRPr="00F7117C" w:rsidRDefault="00CE620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Çdo përfaqësues tjetër</w:t>
            </w:r>
            <w:r w:rsidRPr="00790FA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publikut të interesuar</w:t>
            </w:r>
          </w:p>
        </w:tc>
        <w:tc>
          <w:tcPr>
            <w:tcW w:w="2070" w:type="dxa"/>
          </w:tcPr>
          <w:p w14:paraId="494E313F" w14:textId="28C27A8B" w:rsidR="000663C5" w:rsidRPr="00F7117C" w:rsidRDefault="00986542" w:rsidP="008E1759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r w:rsidR="002A1C5B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2070" w:type="dxa"/>
          </w:tcPr>
          <w:p w14:paraId="3DD47EB4" w14:textId="6A236D1D" w:rsidR="004E6C92" w:rsidRPr="00F7117C" w:rsidRDefault="00A2327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Konsultim elektronik: publikimi në </w:t>
            </w: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RENJK </w:t>
            </w:r>
          </w:p>
          <w:p w14:paraId="57C41999" w14:textId="32E1D0C7" w:rsidR="004E6C92" w:rsidRPr="00F7117C" w:rsidRDefault="004E6C9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098" w:type="dxa"/>
          </w:tcPr>
          <w:p w14:paraId="0DC50277" w14:textId="77777777" w:rsidR="00730C74" w:rsidRDefault="00AE3A52" w:rsidP="007C4B63">
            <w:pPr>
              <w:pStyle w:val="BodyText"/>
              <w:tabs>
                <w:tab w:val="clear" w:pos="567"/>
                <w:tab w:val="left" w:pos="517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e-mail</w:t>
            </w:r>
            <w:r w:rsidR="00A2327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A1C5B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koordinatori i Konsu</w:t>
            </w:r>
            <w:r w:rsidR="007C4B6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ltimit Publik për MB </w:t>
            </w:r>
            <w:r w:rsidR="00730C74">
              <w:rPr>
                <w:rFonts w:ascii="Times New Roman" w:hAnsi="Times New Roman"/>
                <w:sz w:val="24"/>
                <w:szCs w:val="24"/>
                <w:lang w:val="sq-AL"/>
              </w:rPr>
              <w:t>Besmira Hoxha</w:t>
            </w:r>
          </w:p>
          <w:p w14:paraId="0BD66C3D" w14:textId="51F5768C" w:rsidR="00730C74" w:rsidRDefault="00AC1D7B" w:rsidP="00730C74">
            <w:pPr>
              <w:pStyle w:val="BodyText"/>
              <w:tabs>
                <w:tab w:val="clear" w:pos="567"/>
                <w:tab w:val="left" w:pos="517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hyperlink r:id="rId8" w:history="1">
              <w:r w:rsidR="00057A12" w:rsidRPr="00F842E3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besmira.hoxha@mb.gov.al</w:t>
              </w:r>
            </w:hyperlink>
            <w:r w:rsidR="00730C74">
              <w:rPr>
                <w:rStyle w:val="Hyperli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sq-AL"/>
              </w:rPr>
              <w:t>.</w:t>
            </w:r>
          </w:p>
          <w:p w14:paraId="2368521F" w14:textId="77777777" w:rsidR="00660DF5" w:rsidRDefault="00660DF5" w:rsidP="00CF4173">
            <w:pPr>
              <w:pStyle w:val="BodyText"/>
              <w:tabs>
                <w:tab w:val="clear" w:pos="567"/>
                <w:tab w:val="left" w:pos="517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916E903" w14:textId="7DC9C3A5" w:rsidR="00660DF5" w:rsidRPr="00CF4173" w:rsidRDefault="00660DF5" w:rsidP="00CF4173">
            <w:pPr>
              <w:pStyle w:val="BodyText"/>
              <w:tabs>
                <w:tab w:val="clear" w:pos="567"/>
                <w:tab w:val="left" w:pos="517"/>
              </w:tabs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RENJK</w:t>
            </w:r>
          </w:p>
        </w:tc>
      </w:tr>
      <w:tr w:rsidR="004E6C92" w:rsidRPr="00F7117C" w14:paraId="3C763A36" w14:textId="77777777" w:rsidTr="001C596A">
        <w:tc>
          <w:tcPr>
            <w:tcW w:w="1931" w:type="dxa"/>
          </w:tcPr>
          <w:p w14:paraId="646CBA81" w14:textId="5BAB7FC2" w:rsidR="001C596A" w:rsidRPr="00182314" w:rsidRDefault="00FE75B1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82314">
              <w:rPr>
                <w:rFonts w:ascii="Times New Roman" w:hAnsi="Times New Roman"/>
                <w:sz w:val="24"/>
                <w:szCs w:val="24"/>
                <w:lang w:val="sq-AL"/>
              </w:rPr>
              <w:t>Grupet e interesit</w:t>
            </w:r>
          </w:p>
          <w:p w14:paraId="655CEE7B" w14:textId="4316C2E9" w:rsidR="001C596A" w:rsidRPr="00F7117C" w:rsidRDefault="00CE6200" w:rsidP="000E071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  <w:r w:rsidRPr="00790FA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rganizata të shoqërisë civile, </w:t>
            </w:r>
            <w:r w:rsidR="00BA19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federata sportive, klube sportive, organizata sportive, shoqata sportive </w:t>
            </w:r>
            <w:r w:rsidR="00C43C59">
              <w:rPr>
                <w:rFonts w:ascii="Times New Roman" w:hAnsi="Times New Roman"/>
                <w:sz w:val="24"/>
                <w:szCs w:val="24"/>
                <w:lang w:val="sq-AL"/>
              </w:rPr>
              <w:t>etj.</w:t>
            </w:r>
          </w:p>
        </w:tc>
        <w:tc>
          <w:tcPr>
            <w:tcW w:w="2070" w:type="dxa"/>
          </w:tcPr>
          <w:p w14:paraId="3935E436" w14:textId="0A85ACC6" w:rsidR="004E6C92" w:rsidRPr="00F7117C" w:rsidRDefault="00986542" w:rsidP="00FE3A73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r w:rsidR="007E6C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2070" w:type="dxa"/>
          </w:tcPr>
          <w:p w14:paraId="6380CB4C" w14:textId="16CA82CC" w:rsidR="004E6C92" w:rsidRPr="00F7117C" w:rsidRDefault="003D0B47" w:rsidP="005534D4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Kontribute dhe komunikime t</w:t>
            </w:r>
            <w:r w:rsidR="008B7D5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vazhdueshme </w:t>
            </w:r>
            <w:r w:rsidR="000E0714">
              <w:rPr>
                <w:rFonts w:ascii="Times New Roman" w:hAnsi="Times New Roman"/>
                <w:sz w:val="24"/>
                <w:szCs w:val="24"/>
                <w:lang w:val="sq-AL"/>
              </w:rPr>
              <w:t>përmes takimit</w:t>
            </w:r>
          </w:p>
        </w:tc>
        <w:tc>
          <w:tcPr>
            <w:tcW w:w="3098" w:type="dxa"/>
          </w:tcPr>
          <w:p w14:paraId="44824442" w14:textId="542BCD99" w:rsidR="00CE6200" w:rsidRDefault="00BD451C" w:rsidP="00CE620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E6200">
              <w:rPr>
                <w:rFonts w:ascii="Times New Roman" w:hAnsi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CE6200">
              <w:rPr>
                <w:rFonts w:ascii="Times New Roman" w:hAnsi="Times New Roman"/>
                <w:sz w:val="24"/>
                <w:szCs w:val="24"/>
              </w:rPr>
              <w:t xml:space="preserve">, email </w:t>
            </w:r>
          </w:p>
          <w:p w14:paraId="552C312D" w14:textId="77777777" w:rsidR="00660DF5" w:rsidRDefault="00660DF5" w:rsidP="00CE620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042116" w14:textId="2D34EBA1" w:rsidR="00660DF5" w:rsidRPr="00CE6200" w:rsidRDefault="00660DF5" w:rsidP="00CE620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RENJK</w:t>
            </w:r>
          </w:p>
        </w:tc>
      </w:tr>
    </w:tbl>
    <w:p w14:paraId="1EA3EEB4" w14:textId="77777777" w:rsidR="000663C5" w:rsidRPr="00F7117C" w:rsidRDefault="000663C5" w:rsidP="008E1759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2093501" w14:textId="77777777" w:rsidR="000663C5" w:rsidRPr="00F7117C" w:rsidRDefault="00D739F6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7117C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F7117C" w14:paraId="18440303" w14:textId="77777777" w:rsidTr="0013257E">
        <w:tc>
          <w:tcPr>
            <w:tcW w:w="9062" w:type="dxa"/>
          </w:tcPr>
          <w:p w14:paraId="06431107" w14:textId="46B66DD6" w:rsidR="000663C5" w:rsidRDefault="000663C5" w:rsidP="006422A4">
            <w:pPr>
              <w:pStyle w:val="BodyText"/>
              <w:tabs>
                <w:tab w:val="left" w:pos="738"/>
              </w:tabs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24DBE89F" w14:textId="77777777" w:rsidR="007644DE" w:rsidRPr="00A34601" w:rsidRDefault="007644DE" w:rsidP="0076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46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Ky projektligj është hartuar nga: </w:t>
            </w:r>
          </w:p>
          <w:p w14:paraId="2377E964" w14:textId="77777777" w:rsidR="007644DE" w:rsidRPr="00A34601" w:rsidRDefault="007644DE" w:rsidP="007644DE">
            <w:pPr>
              <w:spacing w:line="276" w:lineRule="auto"/>
              <w:ind w:right="-135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 w:rsidRPr="00A34601">
              <w:rPr>
                <w:rFonts w:ascii="Times New Roman" w:hAnsi="Times New Roman"/>
                <w:sz w:val="24"/>
                <w:szCs w:val="24"/>
              </w:rPr>
              <w:t>-Agjencia e Hartimit të Programeve të Veçanta të Shtetësisë (</w:t>
            </w:r>
            <w:r w:rsidRPr="00A34601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 xml:space="preserve">AHPVSH-ja) në Ministrinë e Brendshme, sipas </w:t>
            </w:r>
            <w:r w:rsidRPr="00A34601">
              <w:rPr>
                <w:rFonts w:ascii="Times New Roman" w:hAnsi="Times New Roman"/>
                <w:sz w:val="24"/>
                <w:szCs w:val="24"/>
              </w:rPr>
              <w:t xml:space="preserve">VKM-së nr. 1008, dt. 25.11.2020 </w:t>
            </w:r>
            <w:r w:rsidRPr="00A34601">
              <w:rPr>
                <w:rFonts w:ascii="Times New Roman" w:hAnsi="Times New Roman"/>
                <w:i/>
                <w:sz w:val="24"/>
                <w:szCs w:val="24"/>
              </w:rPr>
              <w:t>“Për krijimin, organizimin dhe funksionimin e Agjencisë së Hartimit të Programeve të Veçanta të Shtetësisë”</w:t>
            </w:r>
            <w:r w:rsidRPr="00A34601">
              <w:rPr>
                <w:rFonts w:ascii="Times New Roman" w:hAnsi="Times New Roman"/>
                <w:sz w:val="24"/>
                <w:szCs w:val="24"/>
              </w:rPr>
              <w:t>, u krijua Agjencia e Hartimit të Programeve të Veçanta të Shtetësisë (</w:t>
            </w:r>
            <w:r w:rsidRPr="00A34601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 xml:space="preserve">AHPVSH-ja), e cila në bashkëpropozim me ministrinë përgjegjëse për sportin, hartuan bazën ligjore duke përcaktuar </w:t>
            </w:r>
            <w:r w:rsidRPr="00A34601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lastRenderedPageBreak/>
              <w:t>kriteret teknike, dokumentacionin dhe rregullat proceduralë, për aplikimin nga shtetas të huaj për fitimin e shtetësisë shqiptare nëpërmjet kontributit të veçantë në fusha të caktuara, një nga këto edhe ajo e sportit;</w:t>
            </w:r>
          </w:p>
          <w:p w14:paraId="39FF754E" w14:textId="08EA7360" w:rsidR="000663C5" w:rsidRPr="00F7117C" w:rsidRDefault="000663C5" w:rsidP="009166B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</w:tbl>
    <w:p w14:paraId="04343D1F" w14:textId="77777777" w:rsidR="000663C5" w:rsidRPr="00F7117C" w:rsidRDefault="000663C5" w:rsidP="008E1759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319761F" w14:textId="77777777" w:rsidR="000663C5" w:rsidRPr="00F7117C" w:rsidRDefault="00316BF2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7117C">
        <w:rPr>
          <w:rFonts w:ascii="Times New Roman" w:hAnsi="Times New Roman"/>
          <w:sz w:val="24"/>
          <w:szCs w:val="24"/>
          <w:lang w:val="sq-AL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F7117C" w14:paraId="0B1371D5" w14:textId="77777777" w:rsidTr="0013257E">
        <w:tc>
          <w:tcPr>
            <w:tcW w:w="9062" w:type="dxa"/>
          </w:tcPr>
          <w:p w14:paraId="62D57560" w14:textId="6F02D06C" w:rsidR="000663C5" w:rsidRPr="00F7117C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7389157F" w14:textId="138AC528" w:rsidR="002807B0" w:rsidRPr="002807B0" w:rsidRDefault="006232FA" w:rsidP="002807B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sq-AL"/>
              </w:rPr>
            </w:pPr>
            <w:r w:rsidRPr="00DC562B">
              <w:rPr>
                <w:rStyle w:val="CommentReference"/>
                <w:rFonts w:ascii="Times New Roman" w:hAnsi="Times New Roman"/>
                <w:b/>
                <w:i/>
                <w:iCs/>
                <w:sz w:val="24"/>
                <w:szCs w:val="24"/>
                <w:lang w:val="sq-AL"/>
              </w:rPr>
              <w:t>Burime njerëzore të nevojshme:</w:t>
            </w:r>
          </w:p>
          <w:p w14:paraId="0BA7A89B" w14:textId="77777777" w:rsidR="002807B0" w:rsidRPr="00A34601" w:rsidRDefault="002807B0" w:rsidP="00280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46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Ky projektligj është hartuar nga: </w:t>
            </w:r>
          </w:p>
          <w:p w14:paraId="39FBEBAB" w14:textId="7396BE92" w:rsidR="002807B0" w:rsidRDefault="002807B0" w:rsidP="002807B0">
            <w:pPr>
              <w:spacing w:line="276" w:lineRule="auto"/>
              <w:ind w:right="-135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 w:rsidRPr="00A34601">
              <w:rPr>
                <w:rFonts w:ascii="Times New Roman" w:hAnsi="Times New Roman"/>
                <w:sz w:val="24"/>
                <w:szCs w:val="24"/>
              </w:rPr>
              <w:t>-Agjencia e Hartimit të Programeve të Veçanta të Shtetësisë (</w:t>
            </w:r>
            <w:r w:rsidRPr="00A34601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AHPVSH-ja) në Ministrinë e Brendshme</w:t>
            </w:r>
            <w:r w:rsidR="007644DE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;</w:t>
            </w:r>
          </w:p>
          <w:p w14:paraId="7919D93A" w14:textId="77777777" w:rsidR="007644DE" w:rsidRPr="00A34601" w:rsidRDefault="007644DE" w:rsidP="002807B0">
            <w:pPr>
              <w:spacing w:line="276" w:lineRule="auto"/>
              <w:ind w:right="-135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  <w:p w14:paraId="48C6BF5A" w14:textId="5CB02D6C" w:rsidR="002807B0" w:rsidRDefault="002807B0" w:rsidP="00280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 w:rsidRPr="00A34601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-Drejtoria e Programimit, Standardizimit dhe Harmonizimit të Kuadrit Rregullator, në Drejtorin</w:t>
            </w: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ë</w:t>
            </w:r>
            <w:r w:rsidRPr="00A34601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 xml:space="preserve"> e P</w:t>
            </w: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ë</w:t>
            </w:r>
            <w:r w:rsidRPr="00A34601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rgjithshme Rregullatore p</w:t>
            </w: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ë</w:t>
            </w:r>
            <w:r w:rsidRPr="00A34601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r Ç</w:t>
            </w: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ë</w:t>
            </w:r>
            <w:r w:rsidRPr="00A34601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shtjet e Brendshme.</w:t>
            </w:r>
          </w:p>
          <w:p w14:paraId="6DCB80DE" w14:textId="77777777" w:rsidR="002807B0" w:rsidRPr="002807B0" w:rsidRDefault="002807B0" w:rsidP="00280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CE2BDAB" w14:textId="5D02A026" w:rsidR="00621AD0" w:rsidRPr="00660DF5" w:rsidRDefault="00C31962" w:rsidP="007B4C0F">
            <w:pPr>
              <w:tabs>
                <w:tab w:val="left" w:pos="517"/>
              </w:tabs>
              <w:spacing w:after="120" w:line="276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Gjithashtu:</w:t>
            </w:r>
          </w:p>
          <w:p w14:paraId="18DCD99B" w14:textId="791D5109" w:rsidR="009061A0" w:rsidRDefault="009061A0" w:rsidP="002807B0">
            <w:pPr>
              <w:tabs>
                <w:tab w:val="left" w:pos="567"/>
              </w:tabs>
              <w:spacing w:after="120" w:line="276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 w:rsidRPr="009061A0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Koordinatori për konsultimin </w:t>
            </w:r>
            <w:r w:rsidR="00CC4227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në MB, për mbledhjen e komenteve</w:t>
            </w:r>
            <w:r w:rsidRPr="009061A0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nëpërmjet RENJK.</w:t>
            </w:r>
          </w:p>
          <w:p w14:paraId="74BAC891" w14:textId="77777777" w:rsidR="00D663A7" w:rsidRPr="009061A0" w:rsidRDefault="00D663A7" w:rsidP="00D663A7">
            <w:pPr>
              <w:tabs>
                <w:tab w:val="left" w:pos="567"/>
              </w:tabs>
              <w:spacing w:after="120" w:line="276" w:lineRule="auto"/>
              <w:ind w:left="540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</w:p>
          <w:p w14:paraId="7953B6D7" w14:textId="331BC66D" w:rsidR="008347AF" w:rsidRDefault="006232FA" w:rsidP="00DC562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sq-AL"/>
              </w:rPr>
            </w:pPr>
            <w:r w:rsidRPr="00DC562B"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sq-AL"/>
              </w:rPr>
              <w:t>Burime financiare të nevojshme:</w:t>
            </w:r>
          </w:p>
          <w:p w14:paraId="4B980E27" w14:textId="63BB10BB" w:rsidR="002807B0" w:rsidRPr="006359CF" w:rsidRDefault="002807B0" w:rsidP="00DC562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</w:pPr>
            <w:r w:rsidRPr="006359C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Nuk ka pasur efekte financiare.</w:t>
            </w:r>
          </w:p>
          <w:p w14:paraId="2ABB9512" w14:textId="796F80A1" w:rsidR="008347AF" w:rsidRDefault="008347AF" w:rsidP="00B31D7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4BCE54C" w14:textId="7FC459F2" w:rsidR="006232FA" w:rsidRPr="00B31D7E" w:rsidRDefault="006232FA" w:rsidP="00B31D7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sq-AL"/>
              </w:rPr>
            </w:pPr>
            <w:r w:rsidRPr="00B31D7E"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sq-AL"/>
              </w:rPr>
              <w:t>Pajisje të nevojshme:</w:t>
            </w:r>
          </w:p>
          <w:p w14:paraId="105AEBC4" w14:textId="4E19C9D8" w:rsidR="00BF0629" w:rsidRPr="00F7117C" w:rsidRDefault="00B27DEA" w:rsidP="00B31D7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Laptop, projektor, të siguruara nga institucioni i MB.</w:t>
            </w:r>
          </w:p>
        </w:tc>
      </w:tr>
    </w:tbl>
    <w:p w14:paraId="67F2CEA3" w14:textId="37456BAF" w:rsidR="00316BF2" w:rsidRPr="00F7117C" w:rsidRDefault="00316BF2" w:rsidP="008E17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8EE40A5" w14:textId="77777777" w:rsidR="000663C5" w:rsidRPr="00F7117C" w:rsidRDefault="00316BF2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7117C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F7117C">
        <w:rPr>
          <w:rFonts w:ascii="Times New Roman" w:hAnsi="Times New Roman"/>
          <w:sz w:val="24"/>
          <w:szCs w:val="24"/>
          <w:lang w:val="sq-AL"/>
        </w:rPr>
        <w:t>ë</w:t>
      </w:r>
      <w:r w:rsidRPr="00F7117C">
        <w:rPr>
          <w:rFonts w:ascii="Times New Roman" w:hAnsi="Times New Roman"/>
          <w:sz w:val="24"/>
          <w:szCs w:val="24"/>
          <w:lang w:val="sq-AL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F7117C" w14:paraId="02654787" w14:textId="77777777" w:rsidTr="0013257E">
        <w:tc>
          <w:tcPr>
            <w:tcW w:w="9067" w:type="dxa"/>
          </w:tcPr>
          <w:p w14:paraId="1732D655" w14:textId="77777777" w:rsidR="000663C5" w:rsidRPr="00F7117C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14:paraId="680DE97F" w14:textId="77777777" w:rsidR="006232FA" w:rsidRPr="00F7117C" w:rsidRDefault="006232FA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Përgjigjet mblidhen përmes këtyre mënyrave:</w:t>
            </w:r>
          </w:p>
          <w:p w14:paraId="0F755DFC" w14:textId="62D1D1CE" w:rsidR="00DE6383" w:rsidRPr="00F7117C" w:rsidRDefault="006232FA" w:rsidP="00DE6383">
            <w:pPr>
              <w:pStyle w:val="BodyText"/>
              <w:numPr>
                <w:ilvl w:val="0"/>
                <w:numId w:val="8"/>
              </w:numPr>
              <w:spacing w:line="276" w:lineRule="auto"/>
              <w:ind w:left="604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Regjistri </w:t>
            </w:r>
            <w:r w:rsidR="00893534"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RENJK </w:t>
            </w:r>
            <w:hyperlink r:id="rId9" w:history="1">
              <w:r w:rsidR="006376C1" w:rsidRPr="00A02DA2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="004B6E3F"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7C758C8A" w14:textId="760B959A" w:rsidR="001D5AC2" w:rsidRPr="00C62E04" w:rsidRDefault="006232FA" w:rsidP="002807B0">
            <w:pPr>
              <w:pStyle w:val="BodyTex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Me komunikime verbale t</w:t>
            </w:r>
            <w:r w:rsidR="00E76BCB"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491B23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mbajtura </w:t>
            </w:r>
            <w:r w:rsidR="00C62E0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në takime </w:t>
            </w:r>
          </w:p>
          <w:p w14:paraId="444FC279" w14:textId="4B2712B2" w:rsidR="00C62E04" w:rsidRPr="004A1912" w:rsidRDefault="004A1912" w:rsidP="00CF0F4E">
            <w:pPr>
              <w:pStyle w:val="BodyText"/>
              <w:numPr>
                <w:ilvl w:val="0"/>
                <w:numId w:val="8"/>
              </w:numPr>
              <w:spacing w:line="276" w:lineRule="auto"/>
              <w:ind w:left="60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E-mail;</w:t>
            </w:r>
          </w:p>
          <w:p w14:paraId="5D9A4566" w14:textId="35051AD8" w:rsidR="004A1912" w:rsidRPr="00F7117C" w:rsidRDefault="004A1912" w:rsidP="00CF0F4E">
            <w:pPr>
              <w:pStyle w:val="BodyText"/>
              <w:numPr>
                <w:ilvl w:val="0"/>
                <w:numId w:val="8"/>
              </w:numPr>
              <w:spacing w:line="276" w:lineRule="auto"/>
              <w:ind w:left="604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A1912">
              <w:rPr>
                <w:rFonts w:ascii="Times New Roman" w:hAnsi="Times New Roman"/>
                <w:sz w:val="24"/>
                <w:szCs w:val="24"/>
                <w:lang w:val="sq-AL"/>
              </w:rPr>
              <w:t>Telefon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7E0CD838" w14:textId="0DE54B63" w:rsidR="00396749" w:rsidRPr="00F7117C" w:rsidRDefault="00396749" w:rsidP="008E17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B85BC07" w14:textId="77777777" w:rsidR="000663C5" w:rsidRPr="00F7117C" w:rsidRDefault="00316BF2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7117C">
        <w:rPr>
          <w:rFonts w:ascii="Times New Roman" w:hAnsi="Times New Roman"/>
          <w:sz w:val="24"/>
          <w:szCs w:val="24"/>
          <w:lang w:val="sq-AL"/>
        </w:rPr>
        <w:t>Monitorimi i procesit</w:t>
      </w:r>
    </w:p>
    <w:p w14:paraId="548B5332" w14:textId="77777777" w:rsidR="000663C5" w:rsidRPr="00F7117C" w:rsidRDefault="00316BF2" w:rsidP="008E1759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F7117C">
        <w:rPr>
          <w:rFonts w:ascii="Times New Roman" w:hAnsi="Times New Roman"/>
          <w:i/>
          <w:sz w:val="24"/>
          <w:szCs w:val="24"/>
          <w:lang w:val="sq-AL"/>
        </w:rPr>
        <w:t xml:space="preserve">Kjo matricë mund t'ju ndihmojë në monitorimin e vazhdueshëm pasi përfshin treguesit dhe metodat më të zakonshme për matjen e nivelit të suksesit të proceseve të konsultimit. Në fazën </w:t>
      </w:r>
      <w:r w:rsidRPr="00F7117C">
        <w:rPr>
          <w:rFonts w:ascii="Times New Roman" w:hAnsi="Times New Roman"/>
          <w:i/>
          <w:sz w:val="24"/>
          <w:szCs w:val="24"/>
          <w:lang w:val="sq-AL"/>
        </w:rPr>
        <w:lastRenderedPageBreak/>
        <w:t xml:space="preserve">e planifikimit, ju duhet </w:t>
      </w:r>
      <w:r w:rsidRPr="00F7117C">
        <w:rPr>
          <w:rFonts w:ascii="Times New Roman" w:hAnsi="Times New Roman"/>
          <w:b/>
          <w:i/>
          <w:sz w:val="24"/>
          <w:szCs w:val="24"/>
          <w:lang w:val="sq-AL"/>
        </w:rPr>
        <w:t>të përcaktoni vlerën e planifikuar të treguesve sasiorë dhe metodave/mjeteve që do të përdorni për matjen e suksesit</w:t>
      </w:r>
      <w:r w:rsidRPr="00F7117C">
        <w:rPr>
          <w:rFonts w:ascii="Times New Roman" w:hAnsi="Times New Roman"/>
          <w:i/>
          <w:sz w:val="24"/>
          <w:szCs w:val="24"/>
          <w:lang w:val="sq-AL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663"/>
        <w:gridCol w:w="451"/>
        <w:gridCol w:w="1207"/>
        <w:gridCol w:w="703"/>
        <w:gridCol w:w="1092"/>
        <w:gridCol w:w="1643"/>
      </w:tblGrid>
      <w:tr w:rsidR="000663C5" w:rsidRPr="00F7117C" w14:paraId="22069135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000384B4" w14:textId="77777777" w:rsidR="000663C5" w:rsidRPr="00F7117C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dhe metodat për monitorimin e procesit</w:t>
            </w:r>
          </w:p>
        </w:tc>
      </w:tr>
      <w:tr w:rsidR="000663C5" w:rsidRPr="00F7117C" w14:paraId="7DAAC273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0FD7159" w14:textId="77777777" w:rsidR="000663C5" w:rsidRPr="00F7117C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5F25BDB" w14:textId="099DCFD4" w:rsidR="000663C5" w:rsidRPr="00F7117C" w:rsidRDefault="00F7117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Përshtatshmëria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DBAADCE" w14:textId="77777777" w:rsidR="000663C5" w:rsidRPr="00F7117C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Masat p</w:t>
            </w:r>
            <w:r w:rsidR="00296408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</w:t>
            </w:r>
            <w:r w:rsidR="00296408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rmir</w:t>
            </w:r>
            <w:r w:rsidR="00296408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sime</w:t>
            </w:r>
            <w:r w:rsidR="000663C5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0663C5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</w:t>
            </w:r>
            <w:r w:rsidR="000663C5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, 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si do t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rmir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soni procesin e pjes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marrjes</w:t>
            </w:r>
            <w:r w:rsidR="000663C5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F7117C" w14:paraId="6D348F99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AF2B77B" w14:textId="77777777" w:rsidR="000663C5" w:rsidRPr="00F7117C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6C75AD57" w14:textId="7AA3B629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sq-AL"/>
              </w:rPr>
              <w:t>po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j</w:t>
            </w:r>
            <w:r w:rsidR="000663C5" w:rsidRPr="00F7117C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987E3A1" w14:textId="61FEE07A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</w:tc>
      </w:tr>
      <w:tr w:rsidR="000663C5" w:rsidRPr="00F7117C" w14:paraId="7DA43B71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475C105" w14:textId="77777777" w:rsidR="000663C5" w:rsidRPr="00F7117C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burimeve financiare</w:t>
            </w:r>
            <w:r w:rsidR="00646DD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planifikuara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47A879B" w14:textId="4A831B7E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b/>
                <w:sz w:val="24"/>
                <w:szCs w:val="24"/>
                <w:u w:val="single"/>
                <w:lang w:val="sq-AL"/>
              </w:rPr>
              <w:t>po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j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BB0EDEB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F7117C" w14:paraId="182AB7C0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0894D9F" w14:textId="77777777" w:rsidR="000663C5" w:rsidRPr="00F7117C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E739212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316BF2" w:rsidRPr="00F7117C">
              <w:rPr>
                <w:rFonts w:ascii="Times New Roman" w:hAnsi="Times New Roman"/>
                <w:b/>
                <w:sz w:val="24"/>
                <w:szCs w:val="24"/>
                <w:u w:val="single"/>
                <w:lang w:val="sq-AL"/>
              </w:rPr>
              <w:t>po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j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2B7970D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F7117C" w14:paraId="2CE0C552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D7F50D" w14:textId="77777777" w:rsidR="000663C5" w:rsidRPr="00F7117C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sasior</w:t>
            </w:r>
            <w:r w:rsidR="00296408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</w:p>
        </w:tc>
      </w:tr>
      <w:tr w:rsidR="00646DDC" w:rsidRPr="00F7117C" w14:paraId="3AAE57C5" w14:textId="77777777" w:rsidTr="0013257E">
        <w:trPr>
          <w:trHeight w:val="777"/>
        </w:trPr>
        <w:tc>
          <w:tcPr>
            <w:tcW w:w="1319" w:type="pct"/>
            <w:shd w:val="clear" w:color="auto" w:fill="D9E2F3"/>
          </w:tcPr>
          <w:p w14:paraId="45FEAD36" w14:textId="77777777" w:rsidR="00646DDC" w:rsidRPr="00F7117C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Treguesit sasiorë</w:t>
            </w:r>
          </w:p>
          <w:p w14:paraId="51390FBE" w14:textId="77777777" w:rsidR="000663C5" w:rsidRPr="00F7117C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treguesit për monitorim)</w:t>
            </w:r>
          </w:p>
          <w:p w14:paraId="5647C2F6" w14:textId="611069C0" w:rsidR="003916EE" w:rsidRPr="00F7117C" w:rsidRDefault="003916EE" w:rsidP="008E1759">
            <w:pPr>
              <w:pStyle w:val="BodyText"/>
              <w:spacing w:line="276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1A0F491C" w14:textId="77777777" w:rsidR="000663C5" w:rsidRPr="00F7117C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Vlerat e planifikuara</w:t>
            </w:r>
          </w:p>
          <w:p w14:paraId="7829EBE1" w14:textId="77777777" w:rsidR="000663C5" w:rsidRPr="00F7117C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treguesit për vlerat</w:t>
            </w:r>
            <w:r w:rsidR="000663C5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  <w:p w14:paraId="577486AB" w14:textId="65356971" w:rsidR="003916EE" w:rsidRPr="00F7117C" w:rsidRDefault="003916EE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2C5F439C" w14:textId="77777777" w:rsidR="000663C5" w:rsidRPr="00F7117C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Vlerat e arritura</w:t>
            </w:r>
          </w:p>
          <w:p w14:paraId="5DB18A51" w14:textId="77777777" w:rsidR="000663C5" w:rsidRPr="00F7117C" w:rsidRDefault="000663C5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vlerën e arritur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7F142CAC" w14:textId="09F6926C" w:rsidR="000663C5" w:rsidRPr="00F7117C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rsh</w:t>
            </w:r>
            <w:r w:rsidR="00E97E7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atshm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ria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4402CE3A" w14:textId="77777777" w:rsidR="000663C5" w:rsidRPr="00F7117C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="000663C5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si do t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rmir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soni performanc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</w:t>
            </w:r>
            <w:r w:rsidR="000663C5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F7117C" w14:paraId="70F7EF69" w14:textId="77777777" w:rsidTr="0013257E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4D69EC18" w14:textId="06094014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plotësojeni gjat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faz</w:t>
            </w:r>
            <w:r w:rsidR="00A042DE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 s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planifikimit të procesit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73933227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plotësojeni gjatë monitorimit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646DDC" w:rsidRPr="00F7117C" w14:paraId="2439451C" w14:textId="77777777" w:rsidTr="0013257E">
        <w:tc>
          <w:tcPr>
            <w:tcW w:w="1319" w:type="pct"/>
            <w:shd w:val="clear" w:color="auto" w:fill="auto"/>
          </w:tcPr>
          <w:p w14:paraId="72A8890D" w14:textId="12947ABD" w:rsidR="000663C5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11AED8DA" w14:textId="77777777" w:rsidR="000663C5" w:rsidRPr="00FF4679" w:rsidRDefault="00FF4679" w:rsidP="00660F44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-</w:t>
            </w:r>
            <w:r w:rsidRPr="00FF4679">
              <w:rPr>
                <w:rFonts w:ascii="Times New Roman" w:hAnsi="Times New Roman"/>
                <w:sz w:val="24"/>
                <w:szCs w:val="24"/>
                <w:lang w:val="sq-AL"/>
              </w:rPr>
              <w:t>RENJK</w:t>
            </w:r>
          </w:p>
          <w:p w14:paraId="469EA5F1" w14:textId="5823B6E9" w:rsidR="00FF4679" w:rsidRPr="00F7117C" w:rsidRDefault="00FF4679" w:rsidP="00660F44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F4679">
              <w:rPr>
                <w:rFonts w:ascii="Times New Roman" w:hAnsi="Times New Roman"/>
                <w:sz w:val="24"/>
                <w:szCs w:val="24"/>
                <w:lang w:val="sq-AL"/>
              </w:rPr>
              <w:t>-email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F50EFE2" w14:textId="549927F2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6F0F8911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sq-AL"/>
              </w:rPr>
              <w:t>po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20A3475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C8B39E8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F7117C" w14:paraId="35573F7B" w14:textId="77777777" w:rsidTr="0013257E">
        <w:tc>
          <w:tcPr>
            <w:tcW w:w="1319" w:type="pct"/>
            <w:shd w:val="clear" w:color="auto" w:fill="auto"/>
          </w:tcPr>
          <w:p w14:paraId="441D161E" w14:textId="216F241A" w:rsidR="000663C5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AE659A9" w14:textId="29656A15" w:rsidR="000A5F6F" w:rsidRPr="00F7117C" w:rsidRDefault="000A5F6F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20A7D49" w14:textId="5F25D11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7755201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sq-AL"/>
              </w:rPr>
              <w:t>po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AD7CD32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3E7F964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F7117C" w14:paraId="6BDF144C" w14:textId="77777777" w:rsidTr="0013257E">
        <w:tc>
          <w:tcPr>
            <w:tcW w:w="1319" w:type="pct"/>
            <w:shd w:val="clear" w:color="auto" w:fill="auto"/>
          </w:tcPr>
          <w:p w14:paraId="6F2B1677" w14:textId="3793A8A0" w:rsidR="000663C5" w:rsidRPr="00F7117C" w:rsidRDefault="005A015E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A042DE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6309C9B1" w14:textId="3FAEA10E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98B6BE3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4B69C1C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C8FC44D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26A878E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F7117C" w14:paraId="53BCF42F" w14:textId="77777777" w:rsidTr="0013257E">
        <w:tc>
          <w:tcPr>
            <w:tcW w:w="1319" w:type="pct"/>
            <w:shd w:val="clear" w:color="auto" w:fill="auto"/>
          </w:tcPr>
          <w:p w14:paraId="681A8CE9" w14:textId="105FC129" w:rsidR="000663C5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5D9CB6A9" w14:textId="3C8E8AFA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0186070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223889DF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E0DFA0A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93E3D28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F7117C" w14:paraId="45DD22C6" w14:textId="77777777" w:rsidTr="0013257E">
        <w:tc>
          <w:tcPr>
            <w:tcW w:w="1319" w:type="pct"/>
            <w:shd w:val="clear" w:color="auto" w:fill="auto"/>
          </w:tcPr>
          <w:p w14:paraId="12F081F3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tjet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46DD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FB5F6B5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2C656C4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DFB9550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79BFE7E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67F1F36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F7117C" w14:paraId="439E7F8A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4F8BDCB2" w14:textId="77777777" w:rsidR="000663C5" w:rsidRPr="00F7117C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Mjetet për matjen e treguesve</w:t>
            </w:r>
          </w:p>
        </w:tc>
      </w:tr>
      <w:tr w:rsidR="000663C5" w:rsidRPr="00F7117C" w14:paraId="7474A1B7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328FBA09" w14:textId="6E5876FE" w:rsidR="000663C5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lista e pjesëmarrësve</w:t>
            </w:r>
          </w:p>
          <w:p w14:paraId="4EE0AA22" w14:textId="52D9F0B9" w:rsidR="005428A0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raporti</w:t>
            </w:r>
            <w:r w:rsidR="00B2019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mi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</w:t>
            </w:r>
            <w:r w:rsidR="005428A0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aktivitetit</w:t>
            </w:r>
          </w:p>
          <w:p w14:paraId="1BEBC367" w14:textId="3998A393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raporti i reagimeve</w:t>
            </w:r>
          </w:p>
          <w:p w14:paraId="3EB41338" w14:textId="034A2542" w:rsidR="000663C5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lista e komenteve të marra</w:t>
            </w:r>
          </w:p>
          <w:p w14:paraId="1D522C27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</w:p>
        </w:tc>
      </w:tr>
      <w:tr w:rsidR="000663C5" w:rsidRPr="00F7117C" w14:paraId="224AD087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6CE99C" w14:textId="77777777" w:rsidR="000663C5" w:rsidRPr="00F7117C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cilësorë</w:t>
            </w:r>
          </w:p>
        </w:tc>
      </w:tr>
      <w:tr w:rsidR="000663C5" w:rsidRPr="00F7117C" w14:paraId="36F6CFFF" w14:textId="77777777" w:rsidTr="0013257E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2B2E9021" w14:textId="77777777" w:rsidR="000663C5" w:rsidRPr="00F7117C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345C0799" w14:textId="77777777" w:rsidR="000663C5" w:rsidRPr="00F7117C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Gjetjet</w:t>
            </w:r>
          </w:p>
          <w:p w14:paraId="499C489B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gjetet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0B9A3BDA" w14:textId="77777777" w:rsidR="000663C5" w:rsidRPr="00F7117C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si do të përmirësoni performancën)</w:t>
            </w:r>
          </w:p>
        </w:tc>
      </w:tr>
      <w:tr w:rsidR="000663C5" w:rsidRPr="00F7117C" w14:paraId="3A2CC757" w14:textId="77777777" w:rsidTr="0056142C">
        <w:trPr>
          <w:trHeight w:val="5116"/>
        </w:trPr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962D26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4AF563F" w14:textId="09EE7904" w:rsidR="000663C5" w:rsidRPr="00F7117C" w:rsidRDefault="005A015E" w:rsidP="00A0757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Ministria synon të vijojë përdorimin e metodave të </w:t>
            </w:r>
            <w:r w:rsidRPr="0065278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ndryshme të konsultimit </w:t>
            </w:r>
            <w:r w:rsidR="00FF467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si RENJK, tryezë publike apo email </w:t>
            </w:r>
            <w:r w:rsidRPr="0065278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sidomos </w:t>
            </w:r>
            <w:r w:rsidR="0056142C" w:rsidRPr="0065278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me </w:t>
            </w:r>
            <w:r w:rsidR="005300A5" w:rsidRPr="0065278D">
              <w:rPr>
                <w:rFonts w:ascii="Times New Roman" w:hAnsi="Times New Roman"/>
                <w:sz w:val="24"/>
                <w:szCs w:val="24"/>
                <w:lang w:val="sq-AL"/>
              </w:rPr>
              <w:t>qytetar</w:t>
            </w:r>
            <w:r w:rsidR="00256F71" w:rsidRPr="0065278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300A5" w:rsidRPr="0065278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56142C" w:rsidRPr="0065278D">
              <w:rPr>
                <w:rFonts w:ascii="Times New Roman" w:hAnsi="Times New Roman"/>
                <w:sz w:val="24"/>
                <w:szCs w:val="24"/>
                <w:lang w:val="sq-AL"/>
              </w:rPr>
              <w:t>organizata të shoqërisë civile, ekspertë të fushës</w:t>
            </w:r>
            <w:r w:rsidR="00A871D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FF4679" w:rsidRPr="00790FA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përfaqësues të tjerë të publikut të interesuar për të kontribuar përgjatë procesit të konsultimit publik të </w:t>
            </w:r>
            <w:r w:rsidR="0092460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këtij </w:t>
            </w:r>
            <w:r w:rsidR="00A07571">
              <w:rPr>
                <w:rFonts w:ascii="Times New Roman" w:hAnsi="Times New Roman"/>
                <w:sz w:val="24"/>
                <w:szCs w:val="24"/>
                <w:lang w:val="sq-AL"/>
              </w:rPr>
              <w:t>projektligji.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C808F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F7117C" w14:paraId="7E757150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E822D4" w14:textId="4E04D301" w:rsidR="000663C5" w:rsidRPr="00F7117C" w:rsidRDefault="00C82DC0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përmbushja e pritshmërive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E8D1121" w14:textId="226AC6E6" w:rsidR="000663C5" w:rsidRPr="00F7117C" w:rsidRDefault="005A015E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Përdorimi i sa më shumë metodave të konsultimit do të ndikojë jo vetëm në rritjen e numrit të pjesëmarrësve por dhe në forcimin e rolit që grupet e inter</w:t>
            </w:r>
            <w:r w:rsidR="001B2424">
              <w:rPr>
                <w:rFonts w:ascii="Times New Roman" w:hAnsi="Times New Roman"/>
                <w:sz w:val="24"/>
                <w:szCs w:val="24"/>
                <w:lang w:val="sq-AL"/>
              </w:rPr>
              <w:t>esit, shoqëria civile</w:t>
            </w:r>
            <w:r w:rsidR="00017181">
              <w:rPr>
                <w:rFonts w:ascii="Times New Roman" w:hAnsi="Times New Roman"/>
                <w:sz w:val="24"/>
                <w:szCs w:val="24"/>
                <w:lang w:val="sq-AL"/>
              </w:rPr>
              <w:t>, organizatat sportive etj.</w:t>
            </w:r>
            <w:bookmarkStart w:id="1" w:name="_GoBack"/>
            <w:bookmarkEnd w:id="1"/>
            <w:r w:rsidR="001B242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BE43D7">
              <w:rPr>
                <w:rFonts w:ascii="Times New Roman" w:hAnsi="Times New Roman"/>
                <w:sz w:val="24"/>
                <w:szCs w:val="24"/>
                <w:lang w:val="sq-AL"/>
              </w:rPr>
              <w:t>dhe rritjen e numrit të komenteve me qëllim përmirësimin e draftit.</w:t>
            </w:r>
          </w:p>
          <w:p w14:paraId="04D71155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0A48C" w14:textId="0EEC8AF9" w:rsidR="000663C5" w:rsidRPr="00F7117C" w:rsidRDefault="000663C5" w:rsidP="000E7FC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F7117C" w14:paraId="3D20FEED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88FDD3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47E79EA" w14:textId="088F8BEF" w:rsidR="000663C5" w:rsidRPr="00F7117C" w:rsidRDefault="00A656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Duke zhvilluar më shumë tryeza konsultimi apo duke përdorur sa më shumë metoda të konsultimit, do të rritet dhe pjesëmarrja e publikut e për pasojë dhe numri i komenteve të përcjella prej tyre.</w:t>
            </w:r>
          </w:p>
          <w:p w14:paraId="3318065C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8D71B" w14:textId="36A584D5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</w:tc>
      </w:tr>
      <w:tr w:rsidR="000663C5" w:rsidRPr="00F7117C" w14:paraId="470773D6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E094F4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3BF19BB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54ABA2D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546BC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F7117C" w14:paraId="376FEBCB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03F3B4E8" w14:textId="77777777" w:rsidR="000663C5" w:rsidRPr="00F7117C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Mjetet për matjen e treguesve</w:t>
            </w:r>
          </w:p>
        </w:tc>
      </w:tr>
      <w:tr w:rsidR="000663C5" w:rsidRPr="00F7117C" w14:paraId="1F6FBF3F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BB59779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pyetësori i vlerësimit</w:t>
            </w:r>
          </w:p>
          <w:p w14:paraId="6080D6CB" w14:textId="32C463B2" w:rsidR="000663C5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diskutim</w:t>
            </w:r>
            <w:r w:rsidR="00194761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joformal me pjesëmarrësit</w:t>
            </w:r>
          </w:p>
          <w:p w14:paraId="49BD21C8" w14:textId="2A87B200" w:rsidR="000663C5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regjistrimi i pikëpamjeve të pjesëmarrësve</w:t>
            </w:r>
          </w:p>
          <w:p w14:paraId="77C5CF0B" w14:textId="2FC81984" w:rsidR="000663C5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raport</w:t>
            </w:r>
            <w:r w:rsidR="00B2019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imi i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428A0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aktivitetit</w:t>
            </w:r>
          </w:p>
          <w:p w14:paraId="7AA4CD95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AC1D7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</w:tc>
      </w:tr>
    </w:tbl>
    <w:p w14:paraId="6EECA209" w14:textId="08A11870" w:rsidR="000663C5" w:rsidRPr="00F7117C" w:rsidRDefault="000663C5" w:rsidP="008E1759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0663C5" w:rsidRPr="00F7117C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61617" w14:textId="77777777" w:rsidR="00AC1D7B" w:rsidRDefault="00AC1D7B" w:rsidP="00E97E7C">
      <w:r>
        <w:separator/>
      </w:r>
    </w:p>
  </w:endnote>
  <w:endnote w:type="continuationSeparator" w:id="0">
    <w:p w14:paraId="52D1EE6B" w14:textId="77777777" w:rsidR="00AC1D7B" w:rsidRDefault="00AC1D7B" w:rsidP="00E9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7926F" w14:textId="77777777" w:rsidR="00AC1D7B" w:rsidRDefault="00AC1D7B" w:rsidP="00E97E7C">
      <w:r>
        <w:separator/>
      </w:r>
    </w:p>
  </w:footnote>
  <w:footnote w:type="continuationSeparator" w:id="0">
    <w:p w14:paraId="7FD41682" w14:textId="77777777" w:rsidR="00AC1D7B" w:rsidRDefault="00AC1D7B" w:rsidP="00E97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FE0"/>
    <w:multiLevelType w:val="hybridMultilevel"/>
    <w:tmpl w:val="CBA64FC6"/>
    <w:lvl w:ilvl="0" w:tplc="D91E00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CAF"/>
    <w:multiLevelType w:val="hybridMultilevel"/>
    <w:tmpl w:val="18C234C4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3519D"/>
    <w:multiLevelType w:val="hybridMultilevel"/>
    <w:tmpl w:val="88BC1564"/>
    <w:lvl w:ilvl="0" w:tplc="226E1FC0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F6896"/>
    <w:multiLevelType w:val="hybridMultilevel"/>
    <w:tmpl w:val="1900694C"/>
    <w:lvl w:ilvl="0" w:tplc="7E88953A">
      <w:numFmt w:val="bullet"/>
      <w:lvlText w:val="-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25073C"/>
    <w:multiLevelType w:val="hybridMultilevel"/>
    <w:tmpl w:val="68BC792C"/>
    <w:lvl w:ilvl="0" w:tplc="F7540336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C159D"/>
    <w:multiLevelType w:val="hybridMultilevel"/>
    <w:tmpl w:val="734E0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F97801"/>
    <w:multiLevelType w:val="hybridMultilevel"/>
    <w:tmpl w:val="1234A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13F8D"/>
    <w:rsid w:val="000160D1"/>
    <w:rsid w:val="00017181"/>
    <w:rsid w:val="00027802"/>
    <w:rsid w:val="00043A6E"/>
    <w:rsid w:val="00047127"/>
    <w:rsid w:val="00057A12"/>
    <w:rsid w:val="000663C5"/>
    <w:rsid w:val="00071F72"/>
    <w:rsid w:val="000A5F6F"/>
    <w:rsid w:val="000B1ED1"/>
    <w:rsid w:val="000B2444"/>
    <w:rsid w:val="000C1128"/>
    <w:rsid w:val="000D6C72"/>
    <w:rsid w:val="000D7CC1"/>
    <w:rsid w:val="000E0714"/>
    <w:rsid w:val="000E7FC1"/>
    <w:rsid w:val="000F04B9"/>
    <w:rsid w:val="000F297E"/>
    <w:rsid w:val="000F483C"/>
    <w:rsid w:val="000F73BC"/>
    <w:rsid w:val="000F760E"/>
    <w:rsid w:val="00110BB7"/>
    <w:rsid w:val="001118D4"/>
    <w:rsid w:val="00113D44"/>
    <w:rsid w:val="0012332A"/>
    <w:rsid w:val="0013257E"/>
    <w:rsid w:val="0014635A"/>
    <w:rsid w:val="00171928"/>
    <w:rsid w:val="00173696"/>
    <w:rsid w:val="00177096"/>
    <w:rsid w:val="001803DB"/>
    <w:rsid w:val="00182314"/>
    <w:rsid w:val="00194761"/>
    <w:rsid w:val="001A1402"/>
    <w:rsid w:val="001B2424"/>
    <w:rsid w:val="001C596A"/>
    <w:rsid w:val="001D3A60"/>
    <w:rsid w:val="001D4776"/>
    <w:rsid w:val="001D53CB"/>
    <w:rsid w:val="001D5AC2"/>
    <w:rsid w:val="001D67AF"/>
    <w:rsid w:val="0020113E"/>
    <w:rsid w:val="00205AB2"/>
    <w:rsid w:val="00210BD5"/>
    <w:rsid w:val="00211DD3"/>
    <w:rsid w:val="00213A63"/>
    <w:rsid w:val="002175E1"/>
    <w:rsid w:val="00220A68"/>
    <w:rsid w:val="00237E52"/>
    <w:rsid w:val="00240EE4"/>
    <w:rsid w:val="00243BBA"/>
    <w:rsid w:val="00256F71"/>
    <w:rsid w:val="00260952"/>
    <w:rsid w:val="00261837"/>
    <w:rsid w:val="00262210"/>
    <w:rsid w:val="0026491F"/>
    <w:rsid w:val="00277FE3"/>
    <w:rsid w:val="002807B0"/>
    <w:rsid w:val="00287119"/>
    <w:rsid w:val="002943E0"/>
    <w:rsid w:val="00296408"/>
    <w:rsid w:val="002A1C5B"/>
    <w:rsid w:val="002B3FE0"/>
    <w:rsid w:val="00316BF2"/>
    <w:rsid w:val="00320B4B"/>
    <w:rsid w:val="00333416"/>
    <w:rsid w:val="00352725"/>
    <w:rsid w:val="00366B79"/>
    <w:rsid w:val="00380BD8"/>
    <w:rsid w:val="003916EE"/>
    <w:rsid w:val="00396749"/>
    <w:rsid w:val="00397A3D"/>
    <w:rsid w:val="003B0509"/>
    <w:rsid w:val="003B731B"/>
    <w:rsid w:val="003C3BBC"/>
    <w:rsid w:val="003C69A9"/>
    <w:rsid w:val="003D0B47"/>
    <w:rsid w:val="003F5C4F"/>
    <w:rsid w:val="00401215"/>
    <w:rsid w:val="004168FF"/>
    <w:rsid w:val="00417DCB"/>
    <w:rsid w:val="004226B4"/>
    <w:rsid w:val="00436729"/>
    <w:rsid w:val="0047616D"/>
    <w:rsid w:val="00491B23"/>
    <w:rsid w:val="004A1912"/>
    <w:rsid w:val="004B1141"/>
    <w:rsid w:val="004B4DEC"/>
    <w:rsid w:val="004B6638"/>
    <w:rsid w:val="004B6E3F"/>
    <w:rsid w:val="004E023F"/>
    <w:rsid w:val="004E5DC6"/>
    <w:rsid w:val="004E6C92"/>
    <w:rsid w:val="004F76C2"/>
    <w:rsid w:val="00502A65"/>
    <w:rsid w:val="00503EEC"/>
    <w:rsid w:val="00507410"/>
    <w:rsid w:val="005078D1"/>
    <w:rsid w:val="005300A5"/>
    <w:rsid w:val="005334D9"/>
    <w:rsid w:val="005360D2"/>
    <w:rsid w:val="00536389"/>
    <w:rsid w:val="005428A0"/>
    <w:rsid w:val="00550D32"/>
    <w:rsid w:val="005534D4"/>
    <w:rsid w:val="0056142C"/>
    <w:rsid w:val="005616A6"/>
    <w:rsid w:val="00564BB1"/>
    <w:rsid w:val="00590186"/>
    <w:rsid w:val="00591F72"/>
    <w:rsid w:val="005A015E"/>
    <w:rsid w:val="005A04B5"/>
    <w:rsid w:val="005B6E26"/>
    <w:rsid w:val="005C42CA"/>
    <w:rsid w:val="005C6B2B"/>
    <w:rsid w:val="005E1DC5"/>
    <w:rsid w:val="00604850"/>
    <w:rsid w:val="006079AA"/>
    <w:rsid w:val="006139F7"/>
    <w:rsid w:val="00621AD0"/>
    <w:rsid w:val="006232FA"/>
    <w:rsid w:val="00623714"/>
    <w:rsid w:val="0062635D"/>
    <w:rsid w:val="0063524D"/>
    <w:rsid w:val="006359CF"/>
    <w:rsid w:val="006376C1"/>
    <w:rsid w:val="006422A4"/>
    <w:rsid w:val="00645CE6"/>
    <w:rsid w:val="00646DDC"/>
    <w:rsid w:val="0065278D"/>
    <w:rsid w:val="006567D0"/>
    <w:rsid w:val="006570B0"/>
    <w:rsid w:val="00660DF5"/>
    <w:rsid w:val="00660F44"/>
    <w:rsid w:val="00665EA8"/>
    <w:rsid w:val="0067306E"/>
    <w:rsid w:val="00683200"/>
    <w:rsid w:val="00692B74"/>
    <w:rsid w:val="00694D57"/>
    <w:rsid w:val="00696630"/>
    <w:rsid w:val="006A2016"/>
    <w:rsid w:val="006A486A"/>
    <w:rsid w:val="006B02D8"/>
    <w:rsid w:val="006B7444"/>
    <w:rsid w:val="006C15D8"/>
    <w:rsid w:val="006C4128"/>
    <w:rsid w:val="006C66D8"/>
    <w:rsid w:val="006E2BE8"/>
    <w:rsid w:val="006E6723"/>
    <w:rsid w:val="00730C74"/>
    <w:rsid w:val="00742464"/>
    <w:rsid w:val="007460B6"/>
    <w:rsid w:val="007644DE"/>
    <w:rsid w:val="0076471A"/>
    <w:rsid w:val="00765708"/>
    <w:rsid w:val="00766D3C"/>
    <w:rsid w:val="00767BF2"/>
    <w:rsid w:val="00771307"/>
    <w:rsid w:val="00792B36"/>
    <w:rsid w:val="007B4C0F"/>
    <w:rsid w:val="007C4135"/>
    <w:rsid w:val="007C4942"/>
    <w:rsid w:val="007C4B63"/>
    <w:rsid w:val="007C5DAD"/>
    <w:rsid w:val="007D2ED8"/>
    <w:rsid w:val="007D53B4"/>
    <w:rsid w:val="007D751E"/>
    <w:rsid w:val="007E11F6"/>
    <w:rsid w:val="007E6CC0"/>
    <w:rsid w:val="007F390A"/>
    <w:rsid w:val="007F62D6"/>
    <w:rsid w:val="00801355"/>
    <w:rsid w:val="00814ACE"/>
    <w:rsid w:val="008158B6"/>
    <w:rsid w:val="00825A31"/>
    <w:rsid w:val="008347AF"/>
    <w:rsid w:val="0084482C"/>
    <w:rsid w:val="0085410F"/>
    <w:rsid w:val="00870187"/>
    <w:rsid w:val="00872B59"/>
    <w:rsid w:val="00884183"/>
    <w:rsid w:val="008933F4"/>
    <w:rsid w:val="00893534"/>
    <w:rsid w:val="008B7D5D"/>
    <w:rsid w:val="008C2225"/>
    <w:rsid w:val="008C4E78"/>
    <w:rsid w:val="008D3967"/>
    <w:rsid w:val="008E1759"/>
    <w:rsid w:val="009061A0"/>
    <w:rsid w:val="00913DFC"/>
    <w:rsid w:val="00914F4D"/>
    <w:rsid w:val="009166B8"/>
    <w:rsid w:val="0092460F"/>
    <w:rsid w:val="00927886"/>
    <w:rsid w:val="009538C4"/>
    <w:rsid w:val="00964762"/>
    <w:rsid w:val="0098532B"/>
    <w:rsid w:val="00986542"/>
    <w:rsid w:val="00992937"/>
    <w:rsid w:val="009A1D56"/>
    <w:rsid w:val="009A335C"/>
    <w:rsid w:val="009C72C8"/>
    <w:rsid w:val="009D23BD"/>
    <w:rsid w:val="009D61F9"/>
    <w:rsid w:val="00A042DE"/>
    <w:rsid w:val="00A06B43"/>
    <w:rsid w:val="00A07571"/>
    <w:rsid w:val="00A10600"/>
    <w:rsid w:val="00A15CB7"/>
    <w:rsid w:val="00A21E7F"/>
    <w:rsid w:val="00A2327C"/>
    <w:rsid w:val="00A342C5"/>
    <w:rsid w:val="00A41A56"/>
    <w:rsid w:val="00A41BF0"/>
    <w:rsid w:val="00A43E4D"/>
    <w:rsid w:val="00A542AF"/>
    <w:rsid w:val="00A55329"/>
    <w:rsid w:val="00A656DC"/>
    <w:rsid w:val="00A70784"/>
    <w:rsid w:val="00A74E07"/>
    <w:rsid w:val="00A75D54"/>
    <w:rsid w:val="00A7644B"/>
    <w:rsid w:val="00A7794D"/>
    <w:rsid w:val="00A871DF"/>
    <w:rsid w:val="00AA3897"/>
    <w:rsid w:val="00AB5E8D"/>
    <w:rsid w:val="00AC1D7B"/>
    <w:rsid w:val="00AD3828"/>
    <w:rsid w:val="00AE3017"/>
    <w:rsid w:val="00AE3A52"/>
    <w:rsid w:val="00AE3EE6"/>
    <w:rsid w:val="00AF30AA"/>
    <w:rsid w:val="00AF6F78"/>
    <w:rsid w:val="00AF77EE"/>
    <w:rsid w:val="00B20195"/>
    <w:rsid w:val="00B27DEA"/>
    <w:rsid w:val="00B31D7E"/>
    <w:rsid w:val="00B35298"/>
    <w:rsid w:val="00B407AF"/>
    <w:rsid w:val="00B43531"/>
    <w:rsid w:val="00B65733"/>
    <w:rsid w:val="00B65758"/>
    <w:rsid w:val="00BA192E"/>
    <w:rsid w:val="00BA789C"/>
    <w:rsid w:val="00BB0B2E"/>
    <w:rsid w:val="00BB247C"/>
    <w:rsid w:val="00BB3F2B"/>
    <w:rsid w:val="00BC0A83"/>
    <w:rsid w:val="00BD3C4A"/>
    <w:rsid w:val="00BD451C"/>
    <w:rsid w:val="00BD4D17"/>
    <w:rsid w:val="00BD67EB"/>
    <w:rsid w:val="00BE43D7"/>
    <w:rsid w:val="00BE513D"/>
    <w:rsid w:val="00BF0629"/>
    <w:rsid w:val="00C04E6F"/>
    <w:rsid w:val="00C22C41"/>
    <w:rsid w:val="00C27BC5"/>
    <w:rsid w:val="00C31962"/>
    <w:rsid w:val="00C40E0B"/>
    <w:rsid w:val="00C43C59"/>
    <w:rsid w:val="00C45968"/>
    <w:rsid w:val="00C61D17"/>
    <w:rsid w:val="00C62E04"/>
    <w:rsid w:val="00C653E5"/>
    <w:rsid w:val="00C82DC0"/>
    <w:rsid w:val="00CA2407"/>
    <w:rsid w:val="00CC4227"/>
    <w:rsid w:val="00CD67B0"/>
    <w:rsid w:val="00CE2E04"/>
    <w:rsid w:val="00CE468E"/>
    <w:rsid w:val="00CE6200"/>
    <w:rsid w:val="00CF0F4E"/>
    <w:rsid w:val="00CF4173"/>
    <w:rsid w:val="00D0796D"/>
    <w:rsid w:val="00D10D2E"/>
    <w:rsid w:val="00D16AA1"/>
    <w:rsid w:val="00D17638"/>
    <w:rsid w:val="00D17DFF"/>
    <w:rsid w:val="00D43086"/>
    <w:rsid w:val="00D44DEB"/>
    <w:rsid w:val="00D524C6"/>
    <w:rsid w:val="00D663A7"/>
    <w:rsid w:val="00D73876"/>
    <w:rsid w:val="00D739F6"/>
    <w:rsid w:val="00D90C2A"/>
    <w:rsid w:val="00D93F61"/>
    <w:rsid w:val="00DB5D27"/>
    <w:rsid w:val="00DC562B"/>
    <w:rsid w:val="00DC7593"/>
    <w:rsid w:val="00DD6508"/>
    <w:rsid w:val="00DD74D1"/>
    <w:rsid w:val="00DE261B"/>
    <w:rsid w:val="00DE6383"/>
    <w:rsid w:val="00E0185F"/>
    <w:rsid w:val="00E13E5B"/>
    <w:rsid w:val="00E20CDD"/>
    <w:rsid w:val="00E460A6"/>
    <w:rsid w:val="00E62E5D"/>
    <w:rsid w:val="00E66135"/>
    <w:rsid w:val="00E76BCB"/>
    <w:rsid w:val="00E97E7C"/>
    <w:rsid w:val="00EA733F"/>
    <w:rsid w:val="00EB1602"/>
    <w:rsid w:val="00EC0E85"/>
    <w:rsid w:val="00EC65D5"/>
    <w:rsid w:val="00ED615B"/>
    <w:rsid w:val="00EF29EC"/>
    <w:rsid w:val="00F07F32"/>
    <w:rsid w:val="00F12EC3"/>
    <w:rsid w:val="00F521BB"/>
    <w:rsid w:val="00F5797A"/>
    <w:rsid w:val="00F60460"/>
    <w:rsid w:val="00F61E2C"/>
    <w:rsid w:val="00F66997"/>
    <w:rsid w:val="00F7117C"/>
    <w:rsid w:val="00F8246C"/>
    <w:rsid w:val="00F83328"/>
    <w:rsid w:val="00F90BFF"/>
    <w:rsid w:val="00F93B60"/>
    <w:rsid w:val="00FD05E5"/>
    <w:rsid w:val="00FE2CC7"/>
    <w:rsid w:val="00FE2EE6"/>
    <w:rsid w:val="00FE3A73"/>
    <w:rsid w:val="00FE588B"/>
    <w:rsid w:val="00FE63FB"/>
    <w:rsid w:val="00FE75B1"/>
    <w:rsid w:val="00FF4679"/>
    <w:rsid w:val="00FF55E6"/>
    <w:rsid w:val="00FF6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  <w15:docId w15:val="{B1248047-3DB1-4B1A-9C7D-E6283390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C9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92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6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C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C9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C9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E6C9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6C92"/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3F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7E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E7C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97E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E7C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0F760E"/>
    <w:rPr>
      <w:rFonts w:ascii="Arial" w:eastAsia="Times New Roman" w:hAnsi="Arial" w:cs="Times New Roman"/>
      <w:sz w:val="2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14F4D"/>
    <w:pPr>
      <w:ind w:left="720"/>
      <w:contextualSpacing/>
    </w:pPr>
  </w:style>
  <w:style w:type="paragraph" w:customStyle="1" w:styleId="cm9">
    <w:name w:val="cm9"/>
    <w:basedOn w:val="Normal"/>
    <w:rsid w:val="0084482C"/>
    <w:pPr>
      <w:autoSpaceDE w:val="0"/>
      <w:autoSpaceDN w:val="0"/>
      <w:spacing w:after="928"/>
    </w:pPr>
    <w:rPr>
      <w:rFonts w:cs="Arial"/>
      <w:noProof/>
      <w:sz w:val="24"/>
      <w:szCs w:val="24"/>
      <w:lang w:val="sq-AL" w:bidi="sq-AL"/>
    </w:rPr>
  </w:style>
  <w:style w:type="table" w:styleId="TableGrid">
    <w:name w:val="Table Grid"/>
    <w:basedOn w:val="TableNormal"/>
    <w:rsid w:val="0084482C"/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mira.hoxha@mb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onsultimipublik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A624A-42C1-4690-B9B9-7102605D8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Besmira Hoxha</cp:lastModifiedBy>
  <cp:revision>173</cp:revision>
  <dcterms:created xsi:type="dcterms:W3CDTF">2022-05-10T07:55:00Z</dcterms:created>
  <dcterms:modified xsi:type="dcterms:W3CDTF">2023-03-31T11:09:00Z</dcterms:modified>
</cp:coreProperties>
</file>