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4A0F" w:rsidRPr="00B91485" w:rsidRDefault="00E431ED">
      <w:pPr>
        <w:jc w:val="center"/>
        <w:rPr>
          <w:b/>
        </w:rPr>
      </w:pPr>
      <w:r w:rsidRPr="00B91485">
        <w:rPr>
          <w:b/>
        </w:rPr>
        <w:t xml:space="preserve">RELACION </w:t>
      </w:r>
    </w:p>
    <w:p w14:paraId="00000002" w14:textId="77777777" w:rsidR="00CB4A0F" w:rsidRPr="00B91485" w:rsidRDefault="00E431ED">
      <w:pPr>
        <w:jc w:val="center"/>
        <w:rPr>
          <w:b/>
        </w:rPr>
      </w:pPr>
      <w:r w:rsidRPr="00B91485">
        <w:rPr>
          <w:b/>
        </w:rPr>
        <w:t xml:space="preserve">PËR PROJEKTLIGJIN </w:t>
      </w:r>
    </w:p>
    <w:p w14:paraId="00000003" w14:textId="77777777" w:rsidR="00CB4A0F" w:rsidRPr="00B91485" w:rsidRDefault="00CB4A0F">
      <w:pPr>
        <w:jc w:val="center"/>
        <w:rPr>
          <w:b/>
        </w:rPr>
      </w:pPr>
    </w:p>
    <w:p w14:paraId="00000004" w14:textId="77777777" w:rsidR="00CB4A0F" w:rsidRPr="00B91485" w:rsidRDefault="00E431ED">
      <w:pPr>
        <w:jc w:val="center"/>
        <w:rPr>
          <w:b/>
        </w:rPr>
      </w:pPr>
      <w:r w:rsidRPr="00B91485">
        <w:rPr>
          <w:b/>
        </w:rPr>
        <w:t xml:space="preserve">“PËR DISA SHTESA DHE NDRYSHIME NË LIGJIN NR. 25/2022, “PËR MBËSHTETJEN DHE ZHVILLIMIN E </w:t>
      </w:r>
      <w:r w:rsidRPr="00B91485">
        <w:rPr>
          <w:b/>
          <w:i/>
        </w:rPr>
        <w:t>STARTUP</w:t>
      </w:r>
      <w:r w:rsidRPr="00B91485">
        <w:rPr>
          <w:b/>
        </w:rPr>
        <w:t>-EVE”</w:t>
      </w:r>
    </w:p>
    <w:p w14:paraId="00000005" w14:textId="77777777" w:rsidR="00CB4A0F" w:rsidRPr="00B91485" w:rsidRDefault="00CB4A0F">
      <w:pPr>
        <w:jc w:val="center"/>
        <w:rPr>
          <w:b/>
          <w:u w:val="single"/>
        </w:rPr>
      </w:pPr>
    </w:p>
    <w:p w14:paraId="00000006" w14:textId="77777777" w:rsidR="00CB4A0F" w:rsidRPr="00B91485" w:rsidRDefault="00CB4A0F">
      <w:pPr>
        <w:jc w:val="center"/>
        <w:rPr>
          <w:b/>
          <w:u w:val="single"/>
        </w:rPr>
      </w:pPr>
    </w:p>
    <w:p w14:paraId="00000007" w14:textId="77777777" w:rsidR="00CB4A0F" w:rsidRPr="00B91485" w:rsidRDefault="00E431ED">
      <w:pPr>
        <w:rPr>
          <w:b/>
        </w:rPr>
      </w:pPr>
      <w:r w:rsidRPr="00B91485">
        <w:rPr>
          <w:b/>
        </w:rPr>
        <w:t>I. QËLLIMI I PROJEKTAKTIT DHE OBJEKTIVAT QË SYNOHEN TË ARRIHEN</w:t>
      </w:r>
    </w:p>
    <w:p w14:paraId="00000008" w14:textId="77777777" w:rsidR="00CB4A0F" w:rsidRPr="00B91485" w:rsidRDefault="00CB4A0F">
      <w:pPr>
        <w:rPr>
          <w:b/>
        </w:rPr>
      </w:pPr>
    </w:p>
    <w:p w14:paraId="00000009" w14:textId="77777777" w:rsidR="00CB4A0F" w:rsidRPr="00B91485" w:rsidRDefault="00E431ED">
      <w:pPr>
        <w:jc w:val="both"/>
      </w:pPr>
      <w:r w:rsidRPr="00B91485">
        <w:t xml:space="preserve">Ministri i Shtetit për Mbrojtjen e Sipërmarrjes është angazhuar në përgatitjen e këtij projektligji në përputhje me fushat e veprimtarisë shtetërore që ka në kompetencë. Ministri i Shtetit për Mbrojtjen e Sipërmarrjes është bazuar dhe në tagrat e ngarkuara nëpërmjet ligjit nr. 25/2022 “Për mbështetjen dhe zhvillimin e </w:t>
      </w:r>
      <w:r w:rsidRPr="00B91485">
        <w:rPr>
          <w:i/>
        </w:rPr>
        <w:t>startup</w:t>
      </w:r>
      <w:r w:rsidRPr="00B91485">
        <w:t>-eve”.</w:t>
      </w:r>
    </w:p>
    <w:p w14:paraId="0000000A" w14:textId="77777777" w:rsidR="00CB4A0F" w:rsidRPr="00B91485" w:rsidRDefault="00CB4A0F">
      <w:pPr>
        <w:jc w:val="both"/>
      </w:pPr>
    </w:p>
    <w:p w14:paraId="0000000B" w14:textId="77777777" w:rsidR="00CB4A0F" w:rsidRPr="00B91485" w:rsidRDefault="00E431ED">
      <w:pPr>
        <w:jc w:val="both"/>
      </w:pPr>
      <w:r w:rsidRPr="00B91485">
        <w:t xml:space="preserve">Ky projektligj ka për qëllim ndryshimin e mekanizmit të dhënies së masave mbështetëse për nismat në ekosistemin e </w:t>
      </w:r>
      <w:r w:rsidRPr="00B91485">
        <w:rPr>
          <w:i/>
        </w:rPr>
        <w:t>startup</w:t>
      </w:r>
      <w:r w:rsidRPr="00B91485">
        <w:t xml:space="preserve">-eve dhe të ofrimit të një rregullimi lehtësues për veprimtarinë e punonjësve lëvizës digjitalë (nomadëve digjitalë) në territorin e Republikës së Shqipërisë. Përsa i përket ndryshimit në mekanizmin e dhënies së masave mbështetëse, qëllimi këtyre ndërhyrjeve është rritja e efikasitetit të mekanizmit dhe lehtësimi i procedurave ligjore në mbështetjen e ekosistemit vendas të </w:t>
      </w:r>
      <w:r w:rsidRPr="00B91485">
        <w:rPr>
          <w:i/>
        </w:rPr>
        <w:t>startup</w:t>
      </w:r>
      <w:r w:rsidRPr="00B91485">
        <w:t>-eve, duke nxitur ndërkombëtarizimin e tij.</w:t>
      </w:r>
    </w:p>
    <w:p w14:paraId="0000000C" w14:textId="77777777" w:rsidR="00CB4A0F" w:rsidRPr="00B91485" w:rsidRDefault="00CB4A0F">
      <w:pPr>
        <w:jc w:val="both"/>
      </w:pPr>
    </w:p>
    <w:p w14:paraId="0000000D" w14:textId="77777777" w:rsidR="00CB4A0F" w:rsidRPr="00B91485" w:rsidRDefault="00E431ED">
      <w:pPr>
        <w:jc w:val="both"/>
      </w:pPr>
      <w:r w:rsidRPr="00B91485">
        <w:t>Për sa i përket ndryshimit në mekanizmin e dhënies së masave mbështetës për nismat në ekosistem, si</w:t>
      </w:r>
      <w:r w:rsidRPr="00B91485">
        <w:rPr>
          <w:i/>
        </w:rPr>
        <w:t xml:space="preserve"> startup</w:t>
      </w:r>
      <w:r w:rsidRPr="00B91485">
        <w:t xml:space="preserve"> dhe lehtësues, objektivi i ndryshimeve është lehtësimi dhe thjeshtëzimin i procedurave.</w:t>
      </w:r>
    </w:p>
    <w:p w14:paraId="0000000E" w14:textId="77777777" w:rsidR="00CB4A0F" w:rsidRPr="00B91485" w:rsidRDefault="00CB4A0F">
      <w:pPr>
        <w:jc w:val="both"/>
      </w:pPr>
    </w:p>
    <w:p w14:paraId="0000000F" w14:textId="77777777" w:rsidR="00CB4A0F" w:rsidRPr="00B91485" w:rsidRDefault="00E431ED">
      <w:pPr>
        <w:jc w:val="both"/>
      </w:pPr>
      <w:r w:rsidRPr="00B91485">
        <w:t>Objektivat që synohen të arrihen  përmes miratimit të këtij projektligji dhe zbatimit të tij janë:</w:t>
      </w:r>
    </w:p>
    <w:p w14:paraId="00000010" w14:textId="77777777" w:rsidR="00CB4A0F" w:rsidRPr="00B91485" w:rsidRDefault="00E431ED">
      <w:pPr>
        <w:numPr>
          <w:ilvl w:val="0"/>
          <w:numId w:val="1"/>
        </w:numPr>
        <w:ind w:left="450"/>
        <w:jc w:val="both"/>
      </w:pPr>
      <w:r w:rsidRPr="00B91485">
        <w:t xml:space="preserve">Krijimi i një njësie menaxhuese dhe monitoruese e realizimit të masave mbështetëse financiare nëpërmjet fondeve publike ose me të tretë për nismat në ekosistemin e </w:t>
      </w:r>
      <w:r w:rsidRPr="00B91485">
        <w:rPr>
          <w:i/>
        </w:rPr>
        <w:t>startup</w:t>
      </w:r>
      <w:r w:rsidRPr="00B91485">
        <w:t>-eve;</w:t>
      </w:r>
    </w:p>
    <w:p w14:paraId="00000011" w14:textId="77777777" w:rsidR="00CB4A0F" w:rsidRPr="00B91485" w:rsidRDefault="00E431ED">
      <w:pPr>
        <w:numPr>
          <w:ilvl w:val="0"/>
          <w:numId w:val="1"/>
        </w:numPr>
        <w:ind w:left="450"/>
        <w:jc w:val="both"/>
      </w:pPr>
      <w:r w:rsidRPr="00B91485">
        <w:t xml:space="preserve">Shkurtimi i kohës së shpalljes së fituesve në rastin e mbështetjes me grant; </w:t>
      </w:r>
    </w:p>
    <w:p w14:paraId="00000012" w14:textId="77777777" w:rsidR="00CB4A0F" w:rsidRPr="00B91485" w:rsidRDefault="00E431ED">
      <w:pPr>
        <w:numPr>
          <w:ilvl w:val="0"/>
          <w:numId w:val="1"/>
        </w:numPr>
        <w:ind w:left="450"/>
        <w:jc w:val="both"/>
      </w:pPr>
      <w:r w:rsidRPr="00B91485">
        <w:t xml:space="preserve">Rritjen e efikasitetit dhe menaxhimit të kohës duke lënë kështu kohë mjaftueshëm për implementimin e projekteve;  </w:t>
      </w:r>
    </w:p>
    <w:p w14:paraId="00000013" w14:textId="77777777" w:rsidR="00CB4A0F" w:rsidRPr="00B91485" w:rsidRDefault="00E431ED">
      <w:pPr>
        <w:numPr>
          <w:ilvl w:val="0"/>
          <w:numId w:val="1"/>
        </w:numPr>
        <w:ind w:left="450"/>
        <w:jc w:val="both"/>
      </w:pPr>
      <w:r w:rsidRPr="00B91485">
        <w:t xml:space="preserve">Mbështetjen e </w:t>
      </w:r>
      <w:r w:rsidRPr="00B91485">
        <w:rPr>
          <w:i/>
        </w:rPr>
        <w:t>startup</w:t>
      </w:r>
      <w:r w:rsidRPr="00B91485">
        <w:t xml:space="preserve">-eve dhe lehtësuesve të </w:t>
      </w:r>
      <w:r w:rsidRPr="00B91485">
        <w:rPr>
          <w:i/>
        </w:rPr>
        <w:t>startup</w:t>
      </w:r>
      <w:r w:rsidRPr="00B91485">
        <w:t>-eve të vetëdeklaruar për t’u pajisur me pasaportën përkatëse, duke ju dhënë mundësinë e ripërtëritjes së pasaportës;</w:t>
      </w:r>
    </w:p>
    <w:p w14:paraId="00000014" w14:textId="77777777" w:rsidR="00CB4A0F" w:rsidRPr="00B91485" w:rsidRDefault="00E431ED">
      <w:pPr>
        <w:numPr>
          <w:ilvl w:val="0"/>
          <w:numId w:val="1"/>
        </w:numPr>
        <w:ind w:left="450"/>
        <w:jc w:val="both"/>
      </w:pPr>
      <w:r w:rsidRPr="00B91485">
        <w:t>Parashikimi i një kuadri rregullator lehtësues për punonjësit lëvizës digjitalë.</w:t>
      </w:r>
    </w:p>
    <w:p w14:paraId="00000015" w14:textId="77777777" w:rsidR="00CB4A0F" w:rsidRPr="00B91485" w:rsidRDefault="00CB4A0F">
      <w:pPr>
        <w:jc w:val="both"/>
      </w:pPr>
    </w:p>
    <w:p w14:paraId="0000001A" w14:textId="4D200C98" w:rsidR="00CB4A0F" w:rsidRPr="00B91485" w:rsidRDefault="00E431ED" w:rsidP="004F2D9C">
      <w:pPr>
        <w:jc w:val="both"/>
      </w:pPr>
      <w:r w:rsidRPr="00B91485">
        <w:t xml:space="preserve">Përsa i përket ndryshimeve në rregullimin e veprimtarisë së </w:t>
      </w:r>
      <w:r w:rsidR="0011511C" w:rsidRPr="00B91485">
        <w:t>punonj</w:t>
      </w:r>
      <w:r w:rsidR="00627C08" w:rsidRPr="00B91485">
        <w:t>ë</w:t>
      </w:r>
      <w:r w:rsidR="0011511C" w:rsidRPr="00B91485">
        <w:t>sve l</w:t>
      </w:r>
      <w:r w:rsidR="00627C08" w:rsidRPr="00B91485">
        <w:t>ë</w:t>
      </w:r>
      <w:r w:rsidR="0011511C" w:rsidRPr="00B91485">
        <w:t>viz</w:t>
      </w:r>
      <w:r w:rsidR="00627C08" w:rsidRPr="00B91485">
        <w:t>ë</w:t>
      </w:r>
      <w:r w:rsidR="0011511C" w:rsidRPr="00B91485">
        <w:t>s</w:t>
      </w:r>
      <w:r w:rsidRPr="00B91485">
        <w:t xml:space="preserve"> digjitalë në territorin e Republikës së Shqipërisë. Objektivi është reflektimi i parashikimit të lehtësirave të ndërmarra nga qeveria shqiptare si incentivizim të </w:t>
      </w:r>
      <w:r w:rsidR="0011511C" w:rsidRPr="00B91485">
        <w:t>punonj</w:t>
      </w:r>
      <w:r w:rsidR="00627C08" w:rsidRPr="00B91485">
        <w:t>ë</w:t>
      </w:r>
      <w:r w:rsidR="0011511C" w:rsidRPr="00B91485">
        <w:t>sve l</w:t>
      </w:r>
      <w:r w:rsidR="00627C08" w:rsidRPr="00B91485">
        <w:t>ë</w:t>
      </w:r>
      <w:r w:rsidR="0011511C" w:rsidRPr="00B91485">
        <w:t>viz</w:t>
      </w:r>
      <w:r w:rsidR="00627C08" w:rsidRPr="00B91485">
        <w:t>ë</w:t>
      </w:r>
      <w:r w:rsidR="0011511C" w:rsidRPr="00B91485">
        <w:t xml:space="preserve">s </w:t>
      </w:r>
      <w:r w:rsidRPr="00B91485">
        <w:t xml:space="preserve">për vepruar në territorin e Republikës së Shqipërisë. Incentivizimi synohet të arrihet nëpërmjet masave të propozuara që ofrojnë lehtësi për </w:t>
      </w:r>
      <w:r w:rsidR="0011511C" w:rsidRPr="00B91485">
        <w:t>punonj</w:t>
      </w:r>
      <w:r w:rsidR="00627C08" w:rsidRPr="00B91485">
        <w:t>ë</w:t>
      </w:r>
      <w:r w:rsidR="0011511C" w:rsidRPr="00B91485">
        <w:t>sit l</w:t>
      </w:r>
      <w:r w:rsidR="00627C08" w:rsidRPr="00B91485">
        <w:t>ë</w:t>
      </w:r>
      <w:r w:rsidR="0011511C" w:rsidRPr="00B91485">
        <w:t>viz</w:t>
      </w:r>
      <w:r w:rsidR="00627C08" w:rsidRPr="00B91485">
        <w:t>ë</w:t>
      </w:r>
      <w:r w:rsidR="0011511C" w:rsidRPr="00B91485">
        <w:t>s digjital</w:t>
      </w:r>
      <w:r w:rsidR="00627C08" w:rsidRPr="00B91485">
        <w:t>ë</w:t>
      </w:r>
      <w:r w:rsidRPr="00B91485">
        <w:t>.</w:t>
      </w:r>
      <w:r w:rsidR="004F2D9C" w:rsidRPr="00B91485">
        <w:t xml:space="preserve"> </w:t>
      </w:r>
      <w:r w:rsidRPr="00B91485">
        <w:t>Kjo për ta bërë Republikën e Shqipërisë më tërheqëse ndaj i individëve me ekspertizë të lartë profesionale.</w:t>
      </w:r>
    </w:p>
    <w:p w14:paraId="0000001B" w14:textId="77777777" w:rsidR="00CB4A0F" w:rsidRPr="00B91485" w:rsidRDefault="00CB4A0F">
      <w:pPr>
        <w:jc w:val="both"/>
      </w:pPr>
    </w:p>
    <w:p w14:paraId="0000001C" w14:textId="619008D2" w:rsidR="00CB4A0F" w:rsidRPr="00B91485" w:rsidRDefault="00E431ED">
      <w:pPr>
        <w:jc w:val="both"/>
      </w:pPr>
      <w:r w:rsidRPr="00B91485">
        <w:lastRenderedPageBreak/>
        <w:t>Përsa i përket ndryshimeve me qëllim shmangien nga barra e tatimit mbi të ardhurat nga punojësit lëvizës digjitalë, ato janë konkluzion</w:t>
      </w:r>
      <w:r w:rsidRPr="00B91485">
        <w:rPr>
          <w:vertAlign w:val="superscript"/>
        </w:rPr>
        <w:footnoteReference w:id="1"/>
      </w:r>
      <w:r w:rsidRPr="00B91485">
        <w:t xml:space="preserve"> i veprimtarisë së Grupit të Punës së ngritur nga Ministria e Financave dhe Ekonomisë</w:t>
      </w:r>
      <w:r w:rsidRPr="00B91485">
        <w:rPr>
          <w:vertAlign w:val="superscript"/>
        </w:rPr>
        <w:footnoteReference w:id="2"/>
      </w:r>
      <w:r w:rsidRPr="00B91485">
        <w:t xml:space="preserve">. </w:t>
      </w:r>
    </w:p>
    <w:p w14:paraId="0000001D" w14:textId="77777777" w:rsidR="00CB4A0F" w:rsidRPr="00B91485" w:rsidRDefault="00CB4A0F">
      <w:pPr>
        <w:jc w:val="both"/>
      </w:pPr>
    </w:p>
    <w:p w14:paraId="0000001E" w14:textId="77777777" w:rsidR="00CB4A0F" w:rsidRPr="00B91485" w:rsidRDefault="00E431ED">
      <w:pPr>
        <w:pBdr>
          <w:top w:val="nil"/>
          <w:left w:val="nil"/>
          <w:bottom w:val="nil"/>
          <w:right w:val="nil"/>
          <w:between w:val="nil"/>
        </w:pBdr>
        <w:tabs>
          <w:tab w:val="left" w:pos="0"/>
        </w:tabs>
        <w:jc w:val="both"/>
        <w:rPr>
          <w:color w:val="000000"/>
        </w:rPr>
      </w:pPr>
      <w:r w:rsidRPr="00B91485">
        <w:rPr>
          <w:color w:val="000000"/>
        </w:rPr>
        <w:t xml:space="preserve">Qëllimet dhe Objektivat e këtij projektligji janë në përputhje të plotë me Programin e Qeverisë, si dhe Strategjinë e Zhvillimit të Biznesit dhe Investimeve për periudhën 2021-2027. </w:t>
      </w:r>
    </w:p>
    <w:p w14:paraId="0000001F" w14:textId="77777777" w:rsidR="00CB4A0F" w:rsidRPr="00B91485" w:rsidRDefault="00CB4A0F">
      <w:pPr>
        <w:jc w:val="both"/>
      </w:pPr>
    </w:p>
    <w:p w14:paraId="00000020" w14:textId="77777777" w:rsidR="00CB4A0F" w:rsidRPr="00B91485" w:rsidRDefault="00CB4A0F">
      <w:pPr>
        <w:jc w:val="both"/>
      </w:pPr>
    </w:p>
    <w:p w14:paraId="00000021" w14:textId="77777777" w:rsidR="00CB4A0F" w:rsidRPr="00B91485" w:rsidRDefault="00E431ED">
      <w:pPr>
        <w:pBdr>
          <w:top w:val="nil"/>
          <w:left w:val="nil"/>
          <w:bottom w:val="nil"/>
          <w:right w:val="nil"/>
          <w:between w:val="nil"/>
        </w:pBdr>
        <w:tabs>
          <w:tab w:val="left" w:pos="0"/>
        </w:tabs>
        <w:jc w:val="both"/>
        <w:rPr>
          <w:b/>
          <w:color w:val="000000"/>
        </w:rPr>
      </w:pPr>
      <w:r w:rsidRPr="00B91485">
        <w:rPr>
          <w:b/>
          <w:color w:val="000000"/>
        </w:rPr>
        <w:t>II. VLERËSIMI I PROJEKTAKTIT NË RAPORT ME PROGRAMIN POLITIK TË KËSHILLIT TË MINISTRAVE, ME PROGRAMIN ANALITIK TË AKTEVE DHE DOKUMENTEVE TË TJERA POLITIKE</w:t>
      </w:r>
    </w:p>
    <w:p w14:paraId="00000022" w14:textId="77777777" w:rsidR="00CB4A0F" w:rsidRPr="00B91485" w:rsidRDefault="00CB4A0F">
      <w:pPr>
        <w:jc w:val="both"/>
      </w:pPr>
    </w:p>
    <w:p w14:paraId="00000023" w14:textId="77777777" w:rsidR="00CB4A0F" w:rsidRPr="00B91485" w:rsidRDefault="00E431ED">
      <w:pPr>
        <w:jc w:val="both"/>
      </w:pPr>
      <w:r w:rsidRPr="00B91485">
        <w:t>Projektligji është në përputhje me objektivat e parashikuara në programin e qeverisë dhe hartohet jashtë programit të përgjithshëm analitik të projektakteve që do të paraqiten gjatë vitit 2023, për shqyrtim, pranë Këshillit të Ministrave.</w:t>
      </w:r>
    </w:p>
    <w:p w14:paraId="00000024" w14:textId="77777777" w:rsidR="00CB4A0F" w:rsidRPr="00B91485" w:rsidRDefault="00CB4A0F">
      <w:pPr>
        <w:jc w:val="both"/>
        <w:rPr>
          <w:b/>
        </w:rPr>
      </w:pPr>
    </w:p>
    <w:p w14:paraId="00000025" w14:textId="77777777" w:rsidR="00CB4A0F" w:rsidRPr="00B91485" w:rsidRDefault="00CB4A0F">
      <w:pPr>
        <w:jc w:val="both"/>
        <w:rPr>
          <w:b/>
        </w:rPr>
      </w:pPr>
    </w:p>
    <w:p w14:paraId="00000026" w14:textId="77777777" w:rsidR="00CB4A0F" w:rsidRPr="00B91485" w:rsidRDefault="00E431ED">
      <w:pPr>
        <w:jc w:val="both"/>
        <w:rPr>
          <w:b/>
        </w:rPr>
      </w:pPr>
      <w:r w:rsidRPr="00B91485">
        <w:rPr>
          <w:b/>
        </w:rPr>
        <w:t>III. ARGUMENTIMI I PROJEKTAKTIT LIDHUR ME PËRPARËSITË, PROBLEMATIKAT, EFEKTET E PRITSHME</w:t>
      </w:r>
    </w:p>
    <w:p w14:paraId="00000027" w14:textId="77777777" w:rsidR="00CB4A0F" w:rsidRPr="00B91485" w:rsidRDefault="00CB4A0F">
      <w:pPr>
        <w:jc w:val="both"/>
        <w:rPr>
          <w:b/>
        </w:rPr>
      </w:pPr>
    </w:p>
    <w:p w14:paraId="00000028" w14:textId="77777777" w:rsidR="00CB4A0F" w:rsidRPr="00B91485" w:rsidRDefault="00E431ED">
      <w:pPr>
        <w:jc w:val="both"/>
      </w:pPr>
      <w:r w:rsidRPr="00B91485">
        <w:t xml:space="preserve">Në raport me skemën e dhënies së masave mbështetëse për nismat në ekosistemin e </w:t>
      </w:r>
      <w:r w:rsidRPr="00B91485">
        <w:rPr>
          <w:i/>
        </w:rPr>
        <w:t>startup</w:t>
      </w:r>
      <w:r w:rsidRPr="00B91485">
        <w:t>-eve, projektligji është hartuar si rezultat i nevojës për të përshtatur kuadrin ligjor që të favorizojë procedurën e miratimit të fituesve të thirrjes për grant në kuadër të ligjit nr. 25/2022, “Për mbështejen dhe zhvillimin e</w:t>
      </w:r>
      <w:r w:rsidRPr="00B91485">
        <w:rPr>
          <w:i/>
        </w:rPr>
        <w:t xml:space="preserve"> startup</w:t>
      </w:r>
      <w:r w:rsidRPr="00B91485">
        <w:t xml:space="preserve">-eve” dhe mbështetjen e ekosistemit të </w:t>
      </w:r>
      <w:r w:rsidRPr="00B91485">
        <w:rPr>
          <w:i/>
        </w:rPr>
        <w:t>startup</w:t>
      </w:r>
      <w:r w:rsidRPr="00B91485">
        <w:t xml:space="preserve">-eve në Shqipëri. </w:t>
      </w:r>
    </w:p>
    <w:p w14:paraId="00000029" w14:textId="77777777" w:rsidR="00CB4A0F" w:rsidRPr="00B91485" w:rsidRDefault="00CB4A0F">
      <w:pPr>
        <w:jc w:val="both"/>
      </w:pPr>
    </w:p>
    <w:p w14:paraId="0000002A" w14:textId="77777777" w:rsidR="00CB4A0F" w:rsidRPr="00B91485" w:rsidRDefault="00E431ED">
      <w:pPr>
        <w:jc w:val="both"/>
      </w:pPr>
      <w:r w:rsidRPr="00B91485">
        <w:t xml:space="preserve">Argumentohet se granti për mbështetjen e </w:t>
      </w:r>
      <w:r w:rsidRPr="00B91485">
        <w:rPr>
          <w:i/>
          <w:iCs/>
        </w:rPr>
        <w:t>startup</w:t>
      </w:r>
      <w:r w:rsidRPr="00B91485">
        <w:t xml:space="preserve">-eve dhe lehtësuesve të </w:t>
      </w:r>
      <w:r w:rsidRPr="00B91485">
        <w:rPr>
          <w:i/>
        </w:rPr>
        <w:t>startup</w:t>
      </w:r>
      <w:r w:rsidRPr="00B91485">
        <w:t xml:space="preserve">-eve ka një impakt të rëndësishëm në lehtësimin e krijimit, hyrjes në treg dhe ushtrimit të veprimtarisë së </w:t>
      </w:r>
      <w:r w:rsidRPr="00B91485">
        <w:rPr>
          <w:i/>
        </w:rPr>
        <w:t>startup</w:t>
      </w:r>
      <w:r w:rsidRPr="00B91485">
        <w:t>-eve. Kështu, nevoja tjetër që adresojnë këto ndryshime është të ndihmojë në krijimin e një klime të favorshme për tërheqjen, përfshirjen dhe mbajtjen e talentit dhe burimeve njerëzore, lehtësimin dhe mbështetjen në aksesimin e burimeve financiare dhe përfshirjen sociale dhe diversitetin në mbrojtje të vlerave demokratike.</w:t>
      </w:r>
    </w:p>
    <w:p w14:paraId="0000002B" w14:textId="77777777" w:rsidR="00CB4A0F" w:rsidRPr="00B91485" w:rsidRDefault="00CB4A0F">
      <w:pPr>
        <w:jc w:val="both"/>
      </w:pPr>
    </w:p>
    <w:p w14:paraId="0000002C" w14:textId="77777777" w:rsidR="00CB4A0F" w:rsidRPr="00B91485" w:rsidRDefault="00E431ED">
      <w:pPr>
        <w:jc w:val="both"/>
      </w:pPr>
      <w:r w:rsidRPr="00B91485">
        <w:t xml:space="preserve">Nevoja e këtij projektakti mbështetet në përvojën e zbatimit të Thirrjes së Parë për masat mbështetëse; përvojat e vendeve të tjera përsa i përket mbështetjes dhe zhvillimit të ekosistemit të startup-eve dhe në funksion të koordinimit të mbështetjes dhe zhvillimit të ekosistemit vendas të </w:t>
      </w:r>
      <w:r w:rsidRPr="00B91485">
        <w:rPr>
          <w:i/>
        </w:rPr>
        <w:t>startup</w:t>
      </w:r>
      <w:r w:rsidRPr="00B91485">
        <w:t>-eve.</w:t>
      </w:r>
    </w:p>
    <w:p w14:paraId="0000002F" w14:textId="77777777" w:rsidR="00CB4A0F" w:rsidRPr="00B91485" w:rsidRDefault="00CB4A0F">
      <w:pPr>
        <w:pBdr>
          <w:top w:val="nil"/>
          <w:left w:val="nil"/>
          <w:bottom w:val="nil"/>
          <w:right w:val="nil"/>
          <w:between w:val="nil"/>
        </w:pBdr>
        <w:jc w:val="both"/>
        <w:rPr>
          <w:color w:val="000000"/>
        </w:rPr>
      </w:pPr>
    </w:p>
    <w:p w14:paraId="00000030" w14:textId="77777777" w:rsidR="00CB4A0F" w:rsidRPr="00B91485" w:rsidRDefault="00E431ED">
      <w:pPr>
        <w:pBdr>
          <w:top w:val="nil"/>
          <w:left w:val="nil"/>
          <w:bottom w:val="nil"/>
          <w:right w:val="nil"/>
          <w:between w:val="nil"/>
        </w:pBdr>
        <w:jc w:val="both"/>
      </w:pPr>
      <w:r w:rsidRPr="00B91485">
        <w:rPr>
          <w:color w:val="000000"/>
        </w:rPr>
        <w:t>Aktualisht, kuadri ligjor parashi</w:t>
      </w:r>
      <w:r w:rsidRPr="00B91485">
        <w:t xml:space="preserve">kon </w:t>
      </w:r>
      <w:r w:rsidRPr="00B91485">
        <w:rPr>
          <w:color w:val="000000"/>
        </w:rPr>
        <w:t>q</w:t>
      </w:r>
      <w:r w:rsidRPr="00B91485">
        <w:t>ë</w:t>
      </w:r>
      <w:r w:rsidRPr="00B91485">
        <w:rPr>
          <w:color w:val="000000"/>
        </w:rPr>
        <w:t xml:space="preserve"> lista e fituesve nga aplikant</w:t>
      </w:r>
      <w:r w:rsidRPr="00B91485">
        <w:t xml:space="preserve">ët kërkues përcaktohet </w:t>
      </w:r>
      <w:r w:rsidRPr="00B91485">
        <w:rPr>
          <w:color w:val="000000"/>
        </w:rPr>
        <w:t>me vendim të Komisionit të Vlerësimit</w:t>
      </w:r>
      <w:r w:rsidRPr="00B91485">
        <w:t xml:space="preserve"> dhe miratohet me Vendim të Këshillit të Ministrave. Në përvojën e thirrjes së parë për mbështetje me grante të </w:t>
      </w:r>
      <w:r w:rsidRPr="00B91485">
        <w:rPr>
          <w:i/>
        </w:rPr>
        <w:t>startup</w:t>
      </w:r>
      <w:r w:rsidRPr="00B91485">
        <w:t xml:space="preserve">-eve dhe lehtësuesve të </w:t>
      </w:r>
      <w:r w:rsidRPr="00B91485">
        <w:rPr>
          <w:i/>
        </w:rPr>
        <w:t>startup</w:t>
      </w:r>
      <w:r w:rsidRPr="00B91485">
        <w:t xml:space="preserve">-eve,  vendimi i Këshillit të Ministrave u ndryshua, në reflektim dhe për shkak të shqyrtimit të ankesave nga Komisionit i Vlerësimit. Pas nënshkrimit të kontratave ndërmjet Ministrit të Shtetit për Mbrojtjen e Sipërmarrjes dhe ngrantmarrësit fitues, disbursimi i fondeve kryhet nga Agjencia </w:t>
      </w:r>
      <w:r w:rsidRPr="00B91485">
        <w:lastRenderedPageBreak/>
        <w:t>Shqiptare e Zhvillimit të Investimeve. Në vijueshmëri, Sekretariati Teknik i Këshillit Ekonomik Kombëtar kryen shqyrtimin e dokumentacionit provues të shpenzimeve, zbatimit të kalendarit të veprimtarive dhe raportimit mbi ecurinë e zbatimit të projektit.</w:t>
      </w:r>
    </w:p>
    <w:p w14:paraId="00000031" w14:textId="77777777" w:rsidR="00CB4A0F" w:rsidRPr="00B91485" w:rsidRDefault="00CB4A0F">
      <w:pPr>
        <w:pBdr>
          <w:top w:val="nil"/>
          <w:left w:val="nil"/>
          <w:bottom w:val="nil"/>
          <w:right w:val="nil"/>
          <w:between w:val="nil"/>
        </w:pBdr>
        <w:jc w:val="both"/>
      </w:pPr>
    </w:p>
    <w:p w14:paraId="00000032" w14:textId="77777777" w:rsidR="00CB4A0F" w:rsidRPr="00B91485" w:rsidRDefault="00E431ED">
      <w:pPr>
        <w:jc w:val="both"/>
      </w:pPr>
      <w:r w:rsidRPr="00B91485">
        <w:t xml:space="preserve">Lidhur me nevojën për krijimin e kësaj agjencie janë marrë në studim dhe përvojat nga shtetet e tjera, të cilët kanë krijuar njësi mbështetëse për </w:t>
      </w:r>
      <w:r w:rsidRPr="00B91485">
        <w:rPr>
          <w:i/>
        </w:rPr>
        <w:t>startup</w:t>
      </w:r>
      <w:r w:rsidRPr="00B91485">
        <w:t xml:space="preserve">-et dhe ekosistemin e tyre. Përsa është evidentuar nga ecuria dhe funksionimi i këtyre përvojave, janë konsideruar histori suksesi në zbatimin dhe rezultatet që kanë ardhur si pasojë. Më konkretisht, tre kanë qenë përvojat të vlerësuara në përfundim të analizës së kryer, nga të cilat mund të merren në konsideratë në modelimin e STARTUP ALBANIA, të cilat janë trajtuar shkurtimisht si më poshtë: </w:t>
      </w:r>
    </w:p>
    <w:p w14:paraId="00000033" w14:textId="77777777" w:rsidR="00CB4A0F" w:rsidRPr="00B91485" w:rsidRDefault="00CB4A0F"/>
    <w:p w14:paraId="00000034" w14:textId="77777777" w:rsidR="00CB4A0F" w:rsidRPr="00B91485" w:rsidRDefault="00E431ED">
      <w:pPr>
        <w:ind w:firstLine="720"/>
        <w:jc w:val="both"/>
      </w:pPr>
      <w:r w:rsidRPr="00B91485">
        <w:rPr>
          <w:b/>
        </w:rPr>
        <w:t>i. Fondi i Inovacionit në Serbi</w:t>
      </w:r>
      <w:r w:rsidRPr="00B91485">
        <w:t xml:space="preserve"> është një </w:t>
      </w:r>
      <w:r w:rsidRPr="00B91485">
        <w:rPr>
          <w:i/>
        </w:rPr>
        <w:t>institucion publik i specializuar</w:t>
      </w:r>
      <w:r w:rsidRPr="00B91485">
        <w:t xml:space="preserve"> në ofrimin e mbështetjes për ekosistemin e startup-eve dhe inovacionit në Serbi  që në vitin 2006. Misioni i kësaj organizate është të mbështesë zhvillimin e inovacionit nëpërmjet instrumenteve të përshtatshme të mbështetjes financiare dhe këshilluese. Realizimi i programeve të Fondit të Inovacionit mbështetet nga Qeveria, Bashkimi Evropian dhe Banka Botërore.</w:t>
      </w:r>
    </w:p>
    <w:p w14:paraId="00000035" w14:textId="77777777" w:rsidR="00CB4A0F" w:rsidRPr="00B91485" w:rsidRDefault="00E431ED">
      <w:pPr>
        <w:jc w:val="both"/>
      </w:pPr>
      <w:r w:rsidRPr="00B91485">
        <w:t>Në përputhje me mandatin, Fondi zbaton programe përmes të cilave financon krijimin e produkteve, shërbimeve dhe teknologjive të reja. Nga viti 2011 deri më sot, totali i vlerës së fondit qeveritar për sipërmarrjen inovative ka qënë 50 milion euro dhe ka mbështetur 351 projekte.</w:t>
      </w:r>
    </w:p>
    <w:p w14:paraId="00000036" w14:textId="77777777" w:rsidR="00CB4A0F" w:rsidRPr="00B91485" w:rsidRDefault="00CB4A0F">
      <w:pPr>
        <w:jc w:val="both"/>
      </w:pPr>
    </w:p>
    <w:p w14:paraId="00000037" w14:textId="77777777" w:rsidR="00CB4A0F" w:rsidRPr="00B91485" w:rsidRDefault="00E431ED">
      <w:pPr>
        <w:ind w:firstLine="720"/>
        <w:jc w:val="both"/>
      </w:pPr>
      <w:r w:rsidRPr="00B91485">
        <w:rPr>
          <w:b/>
        </w:rPr>
        <w:t>ii. Fondi për Inovacion dhe Zhvillim Teknologjik në Maqedoninë e Veriut</w:t>
      </w:r>
      <w:r w:rsidRPr="00B91485">
        <w:t xml:space="preserve"> është themeluar në vitin 2013 si</w:t>
      </w:r>
      <w:r w:rsidRPr="00B91485">
        <w:rPr>
          <w:i/>
        </w:rPr>
        <w:t xml:space="preserve"> agjenci qeveritare.</w:t>
      </w:r>
      <w:r w:rsidRPr="00B91485">
        <w:t xml:space="preserve"> FIZHT për herë të parë në vend themelon Këshillin e Startup-it, me qëllim kryesor që të përfaqësojë komunitetin startup. Qëllimi i këtyre aktiviteteve është rritja e numrit të startup-eve dhe pozicionimi i vendit si një qendër fillestare dhe rajonale.</w:t>
      </w:r>
    </w:p>
    <w:p w14:paraId="00000038" w14:textId="77777777" w:rsidR="00CB4A0F" w:rsidRPr="00B91485" w:rsidRDefault="00CB4A0F">
      <w:pPr>
        <w:jc w:val="both"/>
      </w:pPr>
    </w:p>
    <w:p w14:paraId="00000039" w14:textId="77777777" w:rsidR="00CB4A0F" w:rsidRPr="00B91485" w:rsidRDefault="00E431ED">
      <w:pPr>
        <w:jc w:val="both"/>
      </w:pPr>
      <w:r w:rsidRPr="00B91485">
        <w:t xml:space="preserve">Qeveria e Maqedonisë së Veriut miratoi Planin e Përshpejtuar të Rritjes Ekonomike 2022-2026, i cili përfshin një fond investimi hibrid prej 27 milionë eurosh që do të fokusohet në startup-et dhe kompanitë inovative nëpërmjet </w:t>
      </w:r>
      <w:r w:rsidRPr="00B91485">
        <w:rPr>
          <w:i/>
        </w:rPr>
        <w:t>Fondit për Inovacion dhe Zhvillim Teknologjik</w:t>
      </w:r>
      <w:r w:rsidRPr="00B91485">
        <w:t xml:space="preserve">. Aktualisht, në vend janë rreth 400 startup-e aktive që operojnë në fusha të ndryshme, si inovacioni, teknologjia, krijimi i vlerës dhe rritja e potencialit të rritjes. Shumica e tyre fokusohen në tregjet e huaja dhe globale, në industri të reja dhe në zhvillim si AI, teknologjia bujqësore ose bioteknologjia dhe marrin fondet dhe kapitalin e tyre fillestar përmes </w:t>
      </w:r>
      <w:r w:rsidRPr="00B91485">
        <w:rPr>
          <w:i/>
        </w:rPr>
        <w:t>FIZHT-së</w:t>
      </w:r>
      <w:r w:rsidRPr="00B91485">
        <w:t xml:space="preserve"> të sponsorizuar nga shteti duke filluar me grante dhe projekte për financime shtesë.</w:t>
      </w:r>
    </w:p>
    <w:p w14:paraId="0000003A" w14:textId="77777777" w:rsidR="00CB4A0F" w:rsidRPr="00B91485" w:rsidRDefault="00CB4A0F">
      <w:pPr>
        <w:jc w:val="both"/>
      </w:pPr>
    </w:p>
    <w:p w14:paraId="0000003B" w14:textId="77777777" w:rsidR="00CB4A0F" w:rsidRPr="00B91485" w:rsidRDefault="00E431ED">
      <w:pPr>
        <w:ind w:firstLine="720"/>
        <w:jc w:val="both"/>
      </w:pPr>
      <w:r w:rsidRPr="00B91485">
        <w:t xml:space="preserve">iii. Nëpërmjet </w:t>
      </w:r>
      <w:r w:rsidRPr="00B91485">
        <w:rPr>
          <w:b/>
        </w:rPr>
        <w:t xml:space="preserve">Agjencisë Estoneze të Biznesit </w:t>
      </w:r>
      <w:r w:rsidRPr="00B91485">
        <w:t>dhe</w:t>
      </w:r>
      <w:r w:rsidRPr="00B91485">
        <w:rPr>
          <w:b/>
        </w:rPr>
        <w:t xml:space="preserve"> Startup Estonia</w:t>
      </w:r>
      <w:r w:rsidRPr="00B91485">
        <w:t xml:space="preserve">, qeveria e Estonisë ka mbështetur ekosistemin dhe e ka ndihmuar atë të marrë vrull që në fillimet e tij. </w:t>
      </w:r>
      <w:r w:rsidRPr="00B91485">
        <w:rPr>
          <w:i/>
        </w:rPr>
        <w:t xml:space="preserve"> Startup Estonia</w:t>
      </w:r>
      <w:r w:rsidRPr="00B91485">
        <w:t xml:space="preserve"> një iniciativë e qeverisë që synon të mbështesë ekosistemin lokal të startup-eve. </w:t>
      </w:r>
      <w:r w:rsidRPr="00B91485">
        <w:rPr>
          <w:i/>
        </w:rPr>
        <w:t>Startup Estonia</w:t>
      </w:r>
      <w:r w:rsidRPr="00B91485">
        <w:t xml:space="preserve"> ofron programe trajnimi për startup-et, punon në edukimin e investitorëve vendas dhe tërheqjen e investitorëve të huaj, ndër të tjera. Mundësohet nga institucioni financiar KredEx dhe financohet nga Fondi Evropian i Zhvillimit Rajonal me 7 milionë euro, e regjistruar si markë tregtare nga  </w:t>
      </w:r>
      <w:r w:rsidRPr="00B91485">
        <w:rPr>
          <w:i/>
        </w:rPr>
        <w:t>Agjencia Estoneze e Biznesit dhe Inovacionit</w:t>
      </w:r>
      <w:r w:rsidRPr="00B91485">
        <w:t xml:space="preserve">. </w:t>
      </w:r>
      <w:r w:rsidRPr="00B91485">
        <w:rPr>
          <w:i/>
        </w:rPr>
        <w:t xml:space="preserve">Agjencia Estoneze e Biznesit dhe Inovacionit </w:t>
      </w:r>
      <w:r w:rsidRPr="00B91485">
        <w:t>ka si objektiv të mbështesë sipërmarrjen dhe përmirësimin e kushteve të jetesës në Estoni, të rrisë konkurrencën ndërkombëtare, dukshmërinë dhe atraktivitetin si një vend për biznes, jetesë dhe studime.</w:t>
      </w:r>
    </w:p>
    <w:p w14:paraId="0000003C" w14:textId="77777777" w:rsidR="00CB4A0F" w:rsidRPr="00B91485" w:rsidRDefault="00CB4A0F">
      <w:pPr>
        <w:jc w:val="both"/>
      </w:pPr>
    </w:p>
    <w:p w14:paraId="0000003D" w14:textId="77777777" w:rsidR="00CB4A0F" w:rsidRPr="00B91485" w:rsidRDefault="00E431ED">
      <w:pPr>
        <w:jc w:val="both"/>
      </w:pPr>
      <w:r w:rsidRPr="00B91485">
        <w:lastRenderedPageBreak/>
        <w:t>Ndërsa referuar përvojës së zbatimit të Thirrjes së Parë, funksionet administrative të parashikuara nga ligji nr. 25/2022, realizohen më mirë nëpërmjet agjencisë, krahasuar me një ministri apo institucion varësie në formën e një sekretariati me një tagër të ndryshëm veprimi dhe misioni, në përputhje me parimin e ekonomisë, efiçencës dhe të efektivitetit.</w:t>
      </w:r>
    </w:p>
    <w:p w14:paraId="0000003E" w14:textId="77777777" w:rsidR="00CB4A0F" w:rsidRPr="00B91485" w:rsidRDefault="00CB4A0F">
      <w:pPr>
        <w:pBdr>
          <w:top w:val="nil"/>
          <w:left w:val="nil"/>
          <w:bottom w:val="nil"/>
          <w:right w:val="nil"/>
          <w:between w:val="nil"/>
        </w:pBdr>
        <w:jc w:val="both"/>
        <w:rPr>
          <w:color w:val="000000"/>
        </w:rPr>
      </w:pPr>
    </w:p>
    <w:p w14:paraId="0000003F" w14:textId="77777777" w:rsidR="00CB4A0F" w:rsidRPr="00B91485" w:rsidRDefault="00E431ED">
      <w:pPr>
        <w:pBdr>
          <w:top w:val="nil"/>
          <w:left w:val="nil"/>
          <w:bottom w:val="nil"/>
          <w:right w:val="nil"/>
          <w:between w:val="nil"/>
        </w:pBdr>
        <w:jc w:val="both"/>
        <w:rPr>
          <w:color w:val="000000"/>
        </w:rPr>
      </w:pPr>
      <w:r w:rsidRPr="00B91485">
        <w:rPr>
          <w:color w:val="000000"/>
        </w:rPr>
        <w:t>Për të arritur objektivat e sipërpërmendura lindi nevoja e këtij projektligji ndryshues, i cili sjell p</w:t>
      </w:r>
      <w:r w:rsidRPr="00B91485">
        <w:t>ë</w:t>
      </w:r>
      <w:r w:rsidRPr="00B91485">
        <w:rPr>
          <w:color w:val="000000"/>
        </w:rPr>
        <w:t>r efekt shkurtimin në kohë të shpalljes së fituesve dhe për rrjedhojë të zbatimit të projekteve, dhe nj</w:t>
      </w:r>
      <w:r w:rsidRPr="00B91485">
        <w:t>ë</w:t>
      </w:r>
      <w:r w:rsidRPr="00B91485">
        <w:rPr>
          <w:color w:val="000000"/>
        </w:rPr>
        <w:t xml:space="preserve"> efikasitet m</w:t>
      </w:r>
      <w:r w:rsidRPr="00B91485">
        <w:t>ë</w:t>
      </w:r>
      <w:r w:rsidRPr="00B91485">
        <w:rPr>
          <w:color w:val="000000"/>
        </w:rPr>
        <w:t xml:space="preserve"> t</w:t>
      </w:r>
      <w:r w:rsidRPr="00B91485">
        <w:t>ë</w:t>
      </w:r>
      <w:r w:rsidRPr="00B91485">
        <w:rPr>
          <w:color w:val="000000"/>
        </w:rPr>
        <w:t xml:space="preserve"> lart</w:t>
      </w:r>
      <w:r w:rsidRPr="00B91485">
        <w:t>ë</w:t>
      </w:r>
      <w:r w:rsidRPr="00B91485">
        <w:rPr>
          <w:color w:val="000000"/>
        </w:rPr>
        <w:t xml:space="preserve"> n</w:t>
      </w:r>
      <w:r w:rsidRPr="00B91485">
        <w:t>ë</w:t>
      </w:r>
      <w:r w:rsidRPr="00B91485">
        <w:rPr>
          <w:color w:val="000000"/>
        </w:rPr>
        <w:t xml:space="preserve"> monitorimin e zbatimit t</w:t>
      </w:r>
      <w:r w:rsidRPr="00B91485">
        <w:t>ë</w:t>
      </w:r>
      <w:r w:rsidRPr="00B91485">
        <w:rPr>
          <w:color w:val="000000"/>
        </w:rPr>
        <w:t xml:space="preserve"> projekteve. </w:t>
      </w:r>
      <w:r w:rsidRPr="00B91485">
        <w:t>Gjithashtu për</w:t>
      </w:r>
      <w:r w:rsidRPr="00B91485">
        <w:rPr>
          <w:color w:val="000000"/>
        </w:rPr>
        <w:t xml:space="preserve"> rrjedhojë, ulja e intesitetit kohor të ecurisë së skemës, mundëson dhe monitorim më të kujdesshëm dhe më të plotë të zbatimit të granteve fituese.</w:t>
      </w:r>
    </w:p>
    <w:p w14:paraId="00000040" w14:textId="77777777" w:rsidR="00CB4A0F" w:rsidRPr="00B91485" w:rsidRDefault="00CB4A0F">
      <w:pPr>
        <w:pBdr>
          <w:top w:val="nil"/>
          <w:left w:val="nil"/>
          <w:bottom w:val="nil"/>
          <w:right w:val="nil"/>
          <w:between w:val="nil"/>
        </w:pBdr>
        <w:jc w:val="both"/>
        <w:rPr>
          <w:color w:val="000000"/>
        </w:rPr>
      </w:pPr>
    </w:p>
    <w:p w14:paraId="00000041" w14:textId="77777777" w:rsidR="00CB4A0F" w:rsidRPr="00B91485" w:rsidRDefault="00CB4A0F">
      <w:pPr>
        <w:pBdr>
          <w:top w:val="nil"/>
          <w:left w:val="nil"/>
          <w:bottom w:val="nil"/>
          <w:right w:val="nil"/>
          <w:between w:val="nil"/>
        </w:pBdr>
        <w:jc w:val="both"/>
        <w:rPr>
          <w:color w:val="000000"/>
        </w:rPr>
      </w:pPr>
    </w:p>
    <w:p w14:paraId="00000042" w14:textId="77777777" w:rsidR="00CB4A0F" w:rsidRPr="00B91485" w:rsidRDefault="00E431ED">
      <w:pPr>
        <w:tabs>
          <w:tab w:val="left" w:pos="990"/>
        </w:tabs>
        <w:jc w:val="both"/>
        <w:rPr>
          <w:b/>
        </w:rPr>
      </w:pPr>
      <w:r w:rsidRPr="00B91485">
        <w:rPr>
          <w:b/>
        </w:rPr>
        <w:t>IV. VLERËSIMI I LIGJSHMËRISË, KUSHTETUTSHMËRISË DHE HARMONIZIMI ME LEGJISLACIONIN NË FUQI VENDAS E NDËRKOMBËTAR</w:t>
      </w:r>
    </w:p>
    <w:p w14:paraId="00000043" w14:textId="77777777" w:rsidR="00CB4A0F" w:rsidRPr="00B91485" w:rsidRDefault="00CB4A0F">
      <w:pPr>
        <w:jc w:val="both"/>
        <w:rPr>
          <w:b/>
        </w:rPr>
      </w:pPr>
    </w:p>
    <w:p w14:paraId="00000044" w14:textId="77777777" w:rsidR="00CB4A0F" w:rsidRPr="00B91485" w:rsidRDefault="00E431ED">
      <w:pPr>
        <w:jc w:val="both"/>
      </w:pPr>
      <w:r w:rsidRPr="00B91485">
        <w:t xml:space="preserve">Baza ligjore mbi të cilën është hartuar ky projektvendim është në mbështetje të nenit 100 të Kushtetutës, si dhe të ligjit nr. 25/2022 “Për mbështetjen dhe zhvillimin e </w:t>
      </w:r>
      <w:r w:rsidRPr="00B91485">
        <w:rPr>
          <w:i/>
        </w:rPr>
        <w:t>startup</w:t>
      </w:r>
      <w:r w:rsidRPr="00B91485">
        <w:t>-eve”, të vendimit nr. 610, datë 20.10.2021 “Për përcaktimin e fushës së përgjegjësisë shtetërore të Ministrit të Shtetit për Mbrojtjen e Sipërmarrjes”.</w:t>
      </w:r>
    </w:p>
    <w:p w14:paraId="00000045" w14:textId="77777777" w:rsidR="00CB4A0F" w:rsidRPr="00B91485" w:rsidRDefault="00CB4A0F">
      <w:pPr>
        <w:jc w:val="both"/>
      </w:pPr>
    </w:p>
    <w:p w14:paraId="00000046" w14:textId="77777777" w:rsidR="00CB4A0F" w:rsidRPr="00B91485" w:rsidRDefault="00E431ED">
      <w:pPr>
        <w:jc w:val="both"/>
      </w:pPr>
      <w:r w:rsidRPr="00B91485">
        <w:t xml:space="preserve">Gjithashtu, referuar VKM nr. 466, datë 30.07.2021, “Për miratimin e Strategjisë së Zhvillimit të Biznesit dhe Investimeve, 2021-2027”, parashikohet ngritja e një Agjencie të emërtuar “Startup Albania”. Më konkretisht parashikohet në “Objektivin Specifik 1.2, Zhvillimi i NVM-ve, sipërmarrja dhe inovacioni”, në komponentin e masave “Fuqizimi i ekosistemit të </w:t>
      </w:r>
      <w:r w:rsidRPr="00B91485">
        <w:rPr>
          <w:i/>
        </w:rPr>
        <w:t>startup</w:t>
      </w:r>
      <w:r w:rsidRPr="00B91485">
        <w:t>-eve”.</w:t>
      </w:r>
    </w:p>
    <w:p w14:paraId="00000047" w14:textId="77777777" w:rsidR="00CB4A0F" w:rsidRPr="00B91485" w:rsidRDefault="00CB4A0F">
      <w:pPr>
        <w:jc w:val="both"/>
      </w:pPr>
    </w:p>
    <w:p w14:paraId="00000048" w14:textId="77777777" w:rsidR="00CB4A0F" w:rsidRPr="00B91485" w:rsidRDefault="00CB4A0F">
      <w:pPr>
        <w:jc w:val="both"/>
      </w:pPr>
    </w:p>
    <w:p w14:paraId="00000049" w14:textId="77777777" w:rsidR="00CB4A0F" w:rsidRPr="00B91485" w:rsidRDefault="00E431ED">
      <w:pPr>
        <w:jc w:val="both"/>
        <w:rPr>
          <w:b/>
        </w:rPr>
      </w:pPr>
      <w:r w:rsidRPr="00B91485">
        <w:rPr>
          <w:b/>
        </w:rPr>
        <w:t xml:space="preserve">V. VLERËSIMI I SHKALLËS SË PËRAFRIMIT ME </w:t>
      </w:r>
      <w:r w:rsidRPr="00B91485">
        <w:rPr>
          <w:b/>
          <w:i/>
        </w:rPr>
        <w:t xml:space="preserve">ACQUIS COMMUNAUTAIRE </w:t>
      </w:r>
      <w:r w:rsidRPr="00B91485">
        <w:rPr>
          <w:b/>
        </w:rPr>
        <w:t>(PËR PROJEKTAKET NORMATIVE)</w:t>
      </w:r>
    </w:p>
    <w:p w14:paraId="0000004A" w14:textId="77777777" w:rsidR="00CB4A0F" w:rsidRPr="00B91485" w:rsidRDefault="00CB4A0F">
      <w:pPr>
        <w:jc w:val="both"/>
      </w:pPr>
    </w:p>
    <w:p w14:paraId="0000004B" w14:textId="77777777" w:rsidR="00CB4A0F" w:rsidRPr="00B91485" w:rsidRDefault="00E431ED">
      <w:pPr>
        <w:jc w:val="both"/>
        <w:rPr>
          <w:b/>
          <w:i/>
        </w:rPr>
      </w:pPr>
      <w:r w:rsidRPr="00B91485">
        <w:t xml:space="preserve">Ky projektvendim nuk ka për qëllim përafrimin me </w:t>
      </w:r>
      <w:r w:rsidRPr="00B91485">
        <w:rPr>
          <w:b/>
          <w:i/>
        </w:rPr>
        <w:t>ACQUIS COMMUNAUTAIRE</w:t>
      </w:r>
    </w:p>
    <w:p w14:paraId="0000004C" w14:textId="77777777" w:rsidR="00CB4A0F" w:rsidRPr="00B91485" w:rsidRDefault="00CB4A0F">
      <w:pPr>
        <w:jc w:val="both"/>
        <w:rPr>
          <w:b/>
          <w:i/>
        </w:rPr>
      </w:pPr>
    </w:p>
    <w:p w14:paraId="0000004D" w14:textId="77777777" w:rsidR="00CB4A0F" w:rsidRPr="00B91485" w:rsidRDefault="00CB4A0F">
      <w:pPr>
        <w:jc w:val="both"/>
        <w:rPr>
          <w:b/>
          <w:i/>
        </w:rPr>
      </w:pPr>
    </w:p>
    <w:p w14:paraId="0000004E" w14:textId="77777777" w:rsidR="00CB4A0F" w:rsidRPr="00B91485" w:rsidRDefault="00E431ED">
      <w:pPr>
        <w:jc w:val="both"/>
        <w:rPr>
          <w:b/>
        </w:rPr>
      </w:pPr>
      <w:r w:rsidRPr="00B91485">
        <w:rPr>
          <w:b/>
        </w:rPr>
        <w:t>VI. PËRMBLEDHJE SHPJEGUESE E PËRMBAJTJES SË PROJEKTAKTIT</w:t>
      </w:r>
    </w:p>
    <w:p w14:paraId="0000004F" w14:textId="77777777" w:rsidR="00CB4A0F" w:rsidRPr="00B91485" w:rsidRDefault="00CB4A0F">
      <w:pPr>
        <w:jc w:val="both"/>
      </w:pPr>
    </w:p>
    <w:p w14:paraId="00000050" w14:textId="77777777" w:rsidR="00CB4A0F" w:rsidRPr="00B91485" w:rsidRDefault="00E431ED">
      <w:pPr>
        <w:jc w:val="both"/>
      </w:pPr>
      <w:r w:rsidRPr="00B91485">
        <w:t>Ky projektligj është konceptuar në propozimin e ndryshimeve për sa i përket mekanizmit të dhënies së masave mbështetëse për nismat në ekosistem dhe ndryshimeve sipas për sa i përket rregullimit të veprimtarisë së punojësve lëviz digjitalë.</w:t>
      </w:r>
    </w:p>
    <w:p w14:paraId="00000051" w14:textId="77777777" w:rsidR="00CB4A0F" w:rsidRPr="00B91485" w:rsidRDefault="00CB4A0F">
      <w:pPr>
        <w:jc w:val="both"/>
      </w:pPr>
    </w:p>
    <w:p w14:paraId="00000052" w14:textId="77777777" w:rsidR="00CB4A0F" w:rsidRPr="00B91485" w:rsidRDefault="00E431ED">
      <w:pPr>
        <w:jc w:val="both"/>
      </w:pPr>
      <w:r w:rsidRPr="00B91485">
        <w:t>a)</w:t>
      </w:r>
      <w:r w:rsidRPr="00B91485">
        <w:rPr>
          <w:u w:val="single"/>
        </w:rPr>
        <w:t xml:space="preserve"> Për sa i përket mekanizmit të dhënies së masave mbështetëse për nismat në ekosistem</w:t>
      </w:r>
    </w:p>
    <w:p w14:paraId="00000053" w14:textId="77777777" w:rsidR="00CB4A0F" w:rsidRPr="00B91485" w:rsidRDefault="00CB4A0F">
      <w:pPr>
        <w:jc w:val="both"/>
      </w:pPr>
    </w:p>
    <w:p w14:paraId="00000054" w14:textId="77777777" w:rsidR="00CB4A0F" w:rsidRPr="00B91485" w:rsidRDefault="00E431ED">
      <w:pPr>
        <w:jc w:val="both"/>
      </w:pPr>
      <w:r w:rsidRPr="00B91485">
        <w:t>Përmbajtësisht ndryshimet përsa i përket skemës së dhënies së masave mbështetës për nismat në ekosistemin e startup-eve adresojnë:</w:t>
      </w:r>
    </w:p>
    <w:p w14:paraId="00000055" w14:textId="77777777" w:rsidR="00CB4A0F" w:rsidRPr="00B91485" w:rsidRDefault="00E431ED">
      <w:pPr>
        <w:numPr>
          <w:ilvl w:val="0"/>
          <w:numId w:val="4"/>
        </w:numPr>
        <w:pBdr>
          <w:top w:val="nil"/>
          <w:left w:val="nil"/>
          <w:bottom w:val="nil"/>
          <w:right w:val="nil"/>
          <w:between w:val="nil"/>
        </w:pBdr>
        <w:ind w:left="450"/>
        <w:jc w:val="both"/>
        <w:rPr>
          <w:color w:val="000000"/>
        </w:rPr>
      </w:pPr>
      <w:r w:rsidRPr="00B91485">
        <w:rPr>
          <w:color w:val="000000"/>
        </w:rPr>
        <w:t>Ndryshimin e vendimmarrjes për shpalljen e aplikantëve fitues pas shqyrtimit të aplikimeve. Ndryshe nga rregullimi aktual, ku aplikantët fitues të përzgjedhur nga Komisioni i Vlerësimit shpalle</w:t>
      </w:r>
      <w:r w:rsidRPr="00B91485">
        <w:t>n</w:t>
      </w:r>
      <w:r w:rsidRPr="00B91485">
        <w:rPr>
          <w:color w:val="000000"/>
        </w:rPr>
        <w:t xml:space="preserve"> me Vendim të Këshillit të Ministrave, parashikohet shpallja e tyre me </w:t>
      </w:r>
      <w:r w:rsidRPr="00B91485">
        <w:t>urdhër</w:t>
      </w:r>
      <w:r w:rsidRPr="00B91485">
        <w:rPr>
          <w:color w:val="000000"/>
        </w:rPr>
        <w:t xml:space="preserve"> të </w:t>
      </w:r>
      <w:r w:rsidRPr="00B91485">
        <w:t>ministrit përgjegjës për sipërmarrjen</w:t>
      </w:r>
      <w:r w:rsidRPr="00B91485">
        <w:rPr>
          <w:color w:val="000000"/>
        </w:rPr>
        <w:t>;</w:t>
      </w:r>
    </w:p>
    <w:p w14:paraId="00000056" w14:textId="77777777" w:rsidR="00CB4A0F" w:rsidRPr="00B91485" w:rsidRDefault="00E431ED">
      <w:pPr>
        <w:numPr>
          <w:ilvl w:val="0"/>
          <w:numId w:val="4"/>
        </w:numPr>
        <w:pBdr>
          <w:top w:val="nil"/>
          <w:left w:val="nil"/>
          <w:bottom w:val="nil"/>
          <w:right w:val="nil"/>
          <w:between w:val="nil"/>
        </w:pBdr>
        <w:ind w:left="450"/>
        <w:jc w:val="both"/>
      </w:pPr>
      <w:r w:rsidRPr="00B91485">
        <w:rPr>
          <w:color w:val="000000"/>
        </w:rPr>
        <w:lastRenderedPageBreak/>
        <w:t>Shqyrtimin e ankesave nga aplikantët nga një komision ankimesh i ngritur specifikisht. Ndryshe nga Thirrja e Parë, ku shqyrtimi i ankimeve u krye nga Komisioni i Vlerësimit, parashikohet ngritja e një komisioni specifik për ankimet e aplikantëve;</w:t>
      </w:r>
    </w:p>
    <w:p w14:paraId="00000057" w14:textId="77777777" w:rsidR="00CB4A0F" w:rsidRPr="00B91485" w:rsidRDefault="00E431ED">
      <w:pPr>
        <w:numPr>
          <w:ilvl w:val="0"/>
          <w:numId w:val="4"/>
        </w:numPr>
        <w:pBdr>
          <w:top w:val="nil"/>
          <w:left w:val="nil"/>
          <w:bottom w:val="nil"/>
          <w:right w:val="nil"/>
          <w:between w:val="nil"/>
        </w:pBdr>
        <w:ind w:left="450"/>
        <w:jc w:val="both"/>
      </w:pPr>
      <w:r w:rsidRPr="00B91485">
        <w:rPr>
          <w:color w:val="000000"/>
        </w:rPr>
        <w:t>Kryerjen e disbursimit të fondeve nga një institucion i ndryshëm nga sa parashikohej më parë. Ndryshe nga rregullimi aktual, ku disbursimi kryhet nga Agjencia Shqiptare e Zhvillimit te Investimeve, parashikohet që disbursimi i granteve të kryhet nga Sekretariati Teknik i Këshillit Ekonomik Kombëtar.;</w:t>
      </w:r>
    </w:p>
    <w:p w14:paraId="00000058" w14:textId="77777777" w:rsidR="00CB4A0F" w:rsidRPr="00B91485" w:rsidRDefault="00E431ED">
      <w:pPr>
        <w:numPr>
          <w:ilvl w:val="0"/>
          <w:numId w:val="4"/>
        </w:numPr>
        <w:pBdr>
          <w:top w:val="nil"/>
          <w:left w:val="nil"/>
          <w:bottom w:val="nil"/>
          <w:right w:val="nil"/>
          <w:between w:val="nil"/>
        </w:pBdr>
        <w:ind w:left="450"/>
        <w:jc w:val="both"/>
      </w:pPr>
      <w:r w:rsidRPr="00B91485">
        <w:rPr>
          <w:color w:val="000000"/>
        </w:rPr>
        <w:t xml:space="preserve">Parashikimin e një strukture të posatshme për shqyrtimin e praktikës dokumentare për zbatimin e granteve fitues dhe për monitorimin e zbatimit të granteve. </w:t>
      </w:r>
    </w:p>
    <w:p w14:paraId="00000059" w14:textId="77777777" w:rsidR="00CB4A0F" w:rsidRPr="00B91485" w:rsidRDefault="00CB4A0F">
      <w:pPr>
        <w:pBdr>
          <w:top w:val="nil"/>
          <w:left w:val="nil"/>
          <w:bottom w:val="nil"/>
          <w:right w:val="nil"/>
          <w:between w:val="nil"/>
        </w:pBdr>
        <w:jc w:val="both"/>
      </w:pPr>
    </w:p>
    <w:p w14:paraId="0000005A" w14:textId="77777777" w:rsidR="00CB4A0F" w:rsidRPr="00B91485" w:rsidRDefault="00E431ED">
      <w:pPr>
        <w:jc w:val="both"/>
      </w:pPr>
      <w:r w:rsidRPr="00B91485">
        <w:t>Dispozitat e parashikuara që adresojnë çështjet e mësipërme janë:</w:t>
      </w:r>
    </w:p>
    <w:p w14:paraId="5B404427" w14:textId="77777777" w:rsidR="004F2D9C" w:rsidRPr="00B91485" w:rsidRDefault="004F2D9C" w:rsidP="004F2D9C">
      <w:pPr>
        <w:pBdr>
          <w:top w:val="nil"/>
          <w:left w:val="nil"/>
          <w:bottom w:val="nil"/>
          <w:right w:val="nil"/>
          <w:between w:val="nil"/>
        </w:pBdr>
        <w:jc w:val="both"/>
        <w:rPr>
          <w:color w:val="000000"/>
        </w:rPr>
      </w:pPr>
    </w:p>
    <w:p w14:paraId="4B837538" w14:textId="6250917E" w:rsidR="004F2D9C" w:rsidRPr="00B91485" w:rsidRDefault="004F2D9C" w:rsidP="004F2D9C">
      <w:pPr>
        <w:pBdr>
          <w:top w:val="nil"/>
          <w:left w:val="nil"/>
          <w:bottom w:val="nil"/>
          <w:right w:val="nil"/>
          <w:between w:val="nil"/>
        </w:pBdr>
        <w:jc w:val="both"/>
        <w:rPr>
          <w:color w:val="000000"/>
        </w:rPr>
      </w:pPr>
      <w:r w:rsidRPr="00B91485">
        <w:rPr>
          <w:color w:val="000000"/>
        </w:rPr>
        <w:t>i. Pas shkronjës “c”, të Nenit 6, “Organet Përgjegjëse”, shtohet:</w:t>
      </w:r>
    </w:p>
    <w:p w14:paraId="0D34B226" w14:textId="77777777" w:rsidR="004F2D9C" w:rsidRPr="00B91485" w:rsidRDefault="004F2D9C" w:rsidP="004F2D9C">
      <w:pPr>
        <w:pBdr>
          <w:top w:val="nil"/>
          <w:left w:val="nil"/>
          <w:bottom w:val="nil"/>
          <w:right w:val="nil"/>
          <w:between w:val="nil"/>
        </w:pBdr>
        <w:jc w:val="both"/>
        <w:rPr>
          <w:color w:val="000000"/>
        </w:rPr>
      </w:pPr>
    </w:p>
    <w:p w14:paraId="39A31640" w14:textId="77777777" w:rsidR="004F2D9C" w:rsidRPr="00B91485" w:rsidRDefault="004F2D9C" w:rsidP="004F2D9C">
      <w:pPr>
        <w:pBdr>
          <w:top w:val="nil"/>
          <w:left w:val="nil"/>
          <w:bottom w:val="nil"/>
          <w:right w:val="nil"/>
          <w:between w:val="nil"/>
        </w:pBdr>
        <w:jc w:val="both"/>
        <w:rPr>
          <w:color w:val="000000"/>
        </w:rPr>
      </w:pPr>
      <w:r w:rsidRPr="00B91485">
        <w:rPr>
          <w:color w:val="000000"/>
        </w:rPr>
        <w:t xml:space="preserve">“ç) Agjencia Shtetërore për Mbështetjen dhe Zhvillimin e </w:t>
      </w:r>
      <w:r w:rsidRPr="00B91485">
        <w:rPr>
          <w:i/>
          <w:color w:val="000000"/>
        </w:rPr>
        <w:t>Startup</w:t>
      </w:r>
      <w:r w:rsidRPr="00B91485">
        <w:rPr>
          <w:color w:val="000000"/>
        </w:rPr>
        <w:t xml:space="preserve">-eve dhe Lehtësuesve (në vijim </w:t>
      </w:r>
      <w:r w:rsidRPr="00B91485">
        <w:rPr>
          <w:i/>
          <w:iCs/>
          <w:color w:val="000000"/>
        </w:rPr>
        <w:t>STARTUP ALBANIA</w:t>
      </w:r>
      <w:r w:rsidRPr="00B91485">
        <w:rPr>
          <w:color w:val="000000"/>
        </w:rPr>
        <w:t>).”</w:t>
      </w:r>
    </w:p>
    <w:p w14:paraId="0E1EF359" w14:textId="77777777" w:rsidR="004F2D9C" w:rsidRPr="00B91485" w:rsidRDefault="004F2D9C" w:rsidP="004F2D9C">
      <w:pPr>
        <w:widowControl w:val="0"/>
        <w:jc w:val="both"/>
      </w:pPr>
    </w:p>
    <w:p w14:paraId="7F07FDCB" w14:textId="3904659E" w:rsidR="004F2D9C" w:rsidRPr="00B91485" w:rsidRDefault="004F2D9C" w:rsidP="004F2D9C">
      <w:pPr>
        <w:widowControl w:val="0"/>
        <w:jc w:val="both"/>
      </w:pPr>
      <w:r w:rsidRPr="00B91485">
        <w:t>ii. Shkronja “d” e pikës 1, të Nenit 7, “Detyrat e ministrit përgjegjës për sipërmarrjen”, ndryshohet si më poshtë:</w:t>
      </w:r>
    </w:p>
    <w:p w14:paraId="70A048F5" w14:textId="77777777" w:rsidR="004F2D9C" w:rsidRPr="00B91485" w:rsidRDefault="004F2D9C" w:rsidP="004F2D9C">
      <w:pPr>
        <w:rPr>
          <w:color w:val="000000"/>
        </w:rPr>
      </w:pPr>
    </w:p>
    <w:p w14:paraId="501BD4B7" w14:textId="77777777" w:rsidR="004F2D9C" w:rsidRPr="00B91485" w:rsidRDefault="004F2D9C" w:rsidP="004F2D9C">
      <w:pPr>
        <w:tabs>
          <w:tab w:val="left" w:pos="284"/>
          <w:tab w:val="left" w:pos="567"/>
          <w:tab w:val="left" w:pos="851"/>
        </w:tabs>
        <w:jc w:val="both"/>
        <w:rPr>
          <w:color w:val="000000"/>
        </w:rPr>
      </w:pPr>
      <w:r w:rsidRPr="00B91485">
        <w:rPr>
          <w:color w:val="000000"/>
        </w:rPr>
        <w:t xml:space="preserve">“d) miraton modelet tip të marrëveshjes së bashkëpunimit që nënshkruhen ndërmjet </w:t>
      </w:r>
      <w:r w:rsidRPr="00B91485">
        <w:rPr>
          <w:i/>
          <w:iCs/>
          <w:color w:val="000000"/>
        </w:rPr>
        <w:t>STARTUP ALBANIA</w:t>
      </w:r>
      <w:r w:rsidRPr="00B91485">
        <w:rPr>
          <w:color w:val="000000"/>
        </w:rPr>
        <w:t xml:space="preserve"> dhe </w:t>
      </w:r>
      <w:r w:rsidRPr="00B91485">
        <w:rPr>
          <w:i/>
          <w:color w:val="000000"/>
        </w:rPr>
        <w:t>startup</w:t>
      </w:r>
      <w:r w:rsidRPr="00B91485">
        <w:rPr>
          <w:color w:val="000000"/>
        </w:rPr>
        <w:t>-eve, lehtësuesve dhe palëve të treta;”</w:t>
      </w:r>
    </w:p>
    <w:p w14:paraId="56BC581B" w14:textId="77777777" w:rsidR="004F2D9C" w:rsidRPr="00B91485" w:rsidRDefault="004F2D9C" w:rsidP="004F2D9C">
      <w:pPr>
        <w:tabs>
          <w:tab w:val="left" w:pos="284"/>
          <w:tab w:val="left" w:pos="567"/>
          <w:tab w:val="left" w:pos="851"/>
        </w:tabs>
        <w:jc w:val="both"/>
        <w:rPr>
          <w:color w:val="000000"/>
        </w:rPr>
      </w:pPr>
    </w:p>
    <w:p w14:paraId="128CE5AB" w14:textId="6E6C44C7" w:rsidR="004F2D9C" w:rsidRPr="00B91485" w:rsidRDefault="004F2D9C" w:rsidP="004F2D9C">
      <w:pPr>
        <w:tabs>
          <w:tab w:val="left" w:pos="284"/>
          <w:tab w:val="left" w:pos="567"/>
          <w:tab w:val="left" w:pos="851"/>
        </w:tabs>
        <w:jc w:val="both"/>
        <w:rPr>
          <w:color w:val="000000"/>
        </w:rPr>
      </w:pPr>
      <w:r w:rsidRPr="00B91485">
        <w:rPr>
          <w:color w:val="000000"/>
        </w:rPr>
        <w:t>iii. Shkronja “ë” e pikës 1, të Nenit 7, ndryshohet si më poshtë:</w:t>
      </w:r>
    </w:p>
    <w:p w14:paraId="42538D24" w14:textId="77777777" w:rsidR="004F2D9C" w:rsidRPr="00B91485" w:rsidRDefault="004F2D9C" w:rsidP="004F2D9C">
      <w:pPr>
        <w:tabs>
          <w:tab w:val="left" w:pos="284"/>
          <w:tab w:val="left" w:pos="567"/>
          <w:tab w:val="left" w:pos="851"/>
        </w:tabs>
        <w:jc w:val="both"/>
        <w:rPr>
          <w:color w:val="000000"/>
        </w:rPr>
      </w:pPr>
    </w:p>
    <w:p w14:paraId="1A5A6483" w14:textId="77777777" w:rsidR="004F2D9C" w:rsidRPr="00B91485" w:rsidRDefault="004F2D9C" w:rsidP="004F2D9C">
      <w:pPr>
        <w:tabs>
          <w:tab w:val="left" w:pos="284"/>
          <w:tab w:val="left" w:pos="567"/>
          <w:tab w:val="left" w:pos="851"/>
        </w:tabs>
        <w:jc w:val="both"/>
        <w:rPr>
          <w:color w:val="000000"/>
        </w:rPr>
      </w:pPr>
      <w:r w:rsidRPr="00B91485">
        <w:rPr>
          <w:color w:val="000000"/>
        </w:rPr>
        <w:t xml:space="preserve">“ë) mbikëqyr administrimin e regjistrit të </w:t>
      </w:r>
      <w:r w:rsidRPr="00B91485">
        <w:rPr>
          <w:i/>
          <w:color w:val="000000"/>
        </w:rPr>
        <w:t>startup</w:t>
      </w:r>
      <w:r w:rsidRPr="00B91485">
        <w:rPr>
          <w:color w:val="000000"/>
        </w:rPr>
        <w:t>-eve dhe të lehtësuesve në përputhje me parashikimet e këtij ligji;”</w:t>
      </w:r>
    </w:p>
    <w:p w14:paraId="18CEC58B" w14:textId="77777777" w:rsidR="004F2D9C" w:rsidRPr="00B91485" w:rsidRDefault="004F2D9C" w:rsidP="004F2D9C">
      <w:pPr>
        <w:tabs>
          <w:tab w:val="left" w:pos="284"/>
          <w:tab w:val="left" w:pos="567"/>
          <w:tab w:val="left" w:pos="851"/>
        </w:tabs>
        <w:jc w:val="both"/>
        <w:rPr>
          <w:color w:val="000000"/>
        </w:rPr>
      </w:pPr>
    </w:p>
    <w:p w14:paraId="4F7D11B4" w14:textId="49C9A7CE" w:rsidR="004F2D9C" w:rsidRPr="00B91485" w:rsidRDefault="004F2D9C" w:rsidP="004F2D9C">
      <w:pPr>
        <w:tabs>
          <w:tab w:val="left" w:pos="284"/>
          <w:tab w:val="left" w:pos="567"/>
          <w:tab w:val="left" w:pos="851"/>
        </w:tabs>
        <w:jc w:val="both"/>
        <w:rPr>
          <w:color w:val="000000"/>
        </w:rPr>
      </w:pPr>
      <w:r w:rsidRPr="00B91485">
        <w:rPr>
          <w:color w:val="000000"/>
        </w:rPr>
        <w:t>iv. Shkronja “f” e pikës 1, të Nenit 7, ndryshohet si më poshtë:</w:t>
      </w:r>
    </w:p>
    <w:p w14:paraId="0C1D06AD" w14:textId="77777777" w:rsidR="004F2D9C" w:rsidRPr="00B91485" w:rsidRDefault="004F2D9C" w:rsidP="004F2D9C">
      <w:pPr>
        <w:tabs>
          <w:tab w:val="left" w:pos="284"/>
          <w:tab w:val="left" w:pos="567"/>
          <w:tab w:val="left" w:pos="851"/>
        </w:tabs>
        <w:jc w:val="both"/>
        <w:rPr>
          <w:color w:val="000000"/>
        </w:rPr>
      </w:pPr>
    </w:p>
    <w:p w14:paraId="5095DDFC" w14:textId="77777777" w:rsidR="004F2D9C" w:rsidRPr="00B91485" w:rsidRDefault="004F2D9C" w:rsidP="004F2D9C">
      <w:pPr>
        <w:tabs>
          <w:tab w:val="left" w:pos="284"/>
          <w:tab w:val="left" w:pos="567"/>
          <w:tab w:val="left" w:pos="851"/>
        </w:tabs>
        <w:jc w:val="both"/>
        <w:rPr>
          <w:color w:val="000000"/>
        </w:rPr>
      </w:pPr>
      <w:r w:rsidRPr="00B91485">
        <w:rPr>
          <w:color w:val="000000"/>
        </w:rPr>
        <w:t>“f) administron faqen zyrtare në internet të institucionit me qëllim informimin e ndërgjegjësimin e publikut dhe publikon thirrjet për grante;”</w:t>
      </w:r>
    </w:p>
    <w:p w14:paraId="2071DCCC" w14:textId="77777777" w:rsidR="004F2D9C" w:rsidRPr="00B91485" w:rsidRDefault="004F2D9C" w:rsidP="004F2D9C">
      <w:pPr>
        <w:tabs>
          <w:tab w:val="left" w:pos="284"/>
          <w:tab w:val="left" w:pos="567"/>
          <w:tab w:val="left" w:pos="851"/>
        </w:tabs>
        <w:jc w:val="both"/>
        <w:rPr>
          <w:color w:val="000000"/>
        </w:rPr>
      </w:pPr>
    </w:p>
    <w:p w14:paraId="4B304631" w14:textId="509B4C4E" w:rsidR="004F2D9C" w:rsidRPr="00B91485" w:rsidRDefault="004F2D9C" w:rsidP="004F2D9C">
      <w:pPr>
        <w:tabs>
          <w:tab w:val="left" w:pos="284"/>
          <w:tab w:val="left" w:pos="567"/>
          <w:tab w:val="left" w:pos="851"/>
        </w:tabs>
        <w:jc w:val="both"/>
        <w:rPr>
          <w:color w:val="000000"/>
        </w:rPr>
      </w:pPr>
      <w:r w:rsidRPr="00B91485">
        <w:rPr>
          <w:color w:val="000000"/>
        </w:rPr>
        <w:t>v. Shkronjat “gj” dhe “h” të pikës 1 të Nenit 7, shfuqizohen.</w:t>
      </w:r>
    </w:p>
    <w:p w14:paraId="1601959A" w14:textId="77777777" w:rsidR="004F2D9C" w:rsidRPr="00B91485" w:rsidRDefault="004F2D9C" w:rsidP="004F2D9C">
      <w:pPr>
        <w:tabs>
          <w:tab w:val="left" w:pos="284"/>
          <w:tab w:val="left" w:pos="567"/>
          <w:tab w:val="left" w:pos="851"/>
        </w:tabs>
        <w:jc w:val="both"/>
        <w:rPr>
          <w:color w:val="000000"/>
        </w:rPr>
      </w:pPr>
    </w:p>
    <w:p w14:paraId="55D4F994" w14:textId="26C6473D" w:rsidR="004F2D9C" w:rsidRPr="00B91485" w:rsidRDefault="004F2D9C" w:rsidP="004F2D9C">
      <w:pPr>
        <w:tabs>
          <w:tab w:val="left" w:pos="284"/>
          <w:tab w:val="left" w:pos="567"/>
          <w:tab w:val="left" w:pos="851"/>
        </w:tabs>
        <w:jc w:val="both"/>
        <w:rPr>
          <w:color w:val="000000"/>
        </w:rPr>
      </w:pPr>
      <w:r w:rsidRPr="00B91485">
        <w:rPr>
          <w:color w:val="000000"/>
        </w:rPr>
        <w:t>vi. Pika 2 e Nenit 7, ndryshohet si më poshtë:</w:t>
      </w:r>
    </w:p>
    <w:p w14:paraId="66778B4A" w14:textId="77777777" w:rsidR="004F2D9C" w:rsidRPr="00B91485" w:rsidRDefault="004F2D9C" w:rsidP="004F2D9C">
      <w:pPr>
        <w:tabs>
          <w:tab w:val="left" w:pos="284"/>
          <w:tab w:val="left" w:pos="567"/>
          <w:tab w:val="left" w:pos="851"/>
        </w:tabs>
        <w:jc w:val="both"/>
        <w:rPr>
          <w:color w:val="000000"/>
        </w:rPr>
      </w:pPr>
    </w:p>
    <w:p w14:paraId="13277EA3" w14:textId="77777777" w:rsidR="004F2D9C" w:rsidRPr="00B91485" w:rsidRDefault="004F2D9C" w:rsidP="004F2D9C">
      <w:pPr>
        <w:ind w:right="112"/>
        <w:jc w:val="both"/>
        <w:rPr>
          <w:color w:val="000000"/>
        </w:rPr>
      </w:pPr>
      <w:r w:rsidRPr="00B91485">
        <w:rPr>
          <w:color w:val="000000"/>
        </w:rPr>
        <w:t xml:space="preserve">“2. Në ushtrimin e detyrave të tij sipas përcaktimeve të këtij ligji, ministri përgjegjës për sipërmarrjen ndihmohet nga Sekretariati Teknik i Këshillit Ekonomik Kombëtar, i cili e ushtron veprimtarinë bazuar në legjislacionin në fuqi për krijimin dhe funksionimin e Këshillit Ekonomik Kombëtar dhe nga </w:t>
      </w:r>
      <w:r w:rsidRPr="00B91485">
        <w:rPr>
          <w:i/>
          <w:iCs/>
          <w:color w:val="000000"/>
        </w:rPr>
        <w:t>STARTUP ALBANIA</w:t>
      </w:r>
      <w:r w:rsidRPr="00B91485">
        <w:rPr>
          <w:color w:val="000000"/>
        </w:rPr>
        <w:t>.”</w:t>
      </w:r>
    </w:p>
    <w:p w14:paraId="57084A90" w14:textId="77777777" w:rsidR="004F2D9C" w:rsidRPr="00B91485" w:rsidRDefault="004F2D9C" w:rsidP="004F2D9C"/>
    <w:p w14:paraId="74215E29" w14:textId="4720D400" w:rsidR="004F2D9C" w:rsidRPr="00B91485" w:rsidRDefault="004F2D9C" w:rsidP="004F2D9C">
      <w:pPr>
        <w:widowControl w:val="0"/>
        <w:jc w:val="both"/>
      </w:pPr>
      <w:r w:rsidRPr="00B91485">
        <w:t xml:space="preserve">vii. Pika 3 e Nenit 8, “Këshilli i </w:t>
      </w:r>
      <w:r w:rsidRPr="00B91485">
        <w:rPr>
          <w:i/>
        </w:rPr>
        <w:t>Startup</w:t>
      </w:r>
      <w:r w:rsidRPr="00B91485">
        <w:t xml:space="preserve">-eve”, </w:t>
      </w:r>
      <w:r w:rsidRPr="00B91485">
        <w:rPr>
          <w:color w:val="000000"/>
        </w:rPr>
        <w:t>ndryshohet si më poshtë:</w:t>
      </w:r>
    </w:p>
    <w:p w14:paraId="3F2641A8" w14:textId="77777777" w:rsidR="004F2D9C" w:rsidRPr="00B91485" w:rsidRDefault="004F2D9C" w:rsidP="004F2D9C">
      <w:pPr>
        <w:widowControl w:val="0"/>
        <w:jc w:val="both"/>
      </w:pPr>
    </w:p>
    <w:p w14:paraId="39B1A020" w14:textId="77777777" w:rsidR="004F2D9C" w:rsidRPr="00B91485" w:rsidRDefault="004F2D9C" w:rsidP="004F2D9C">
      <w:pPr>
        <w:widowControl w:val="0"/>
        <w:jc w:val="both"/>
      </w:pPr>
      <w:r w:rsidRPr="00B91485">
        <w:rPr>
          <w:color w:val="000000"/>
        </w:rPr>
        <w:t>“</w:t>
      </w:r>
      <w:r w:rsidRPr="00B91485">
        <w:rPr>
          <w:i/>
          <w:iCs/>
          <w:color w:val="000000"/>
        </w:rPr>
        <w:t>STARTUP ALBANIA</w:t>
      </w:r>
      <w:r w:rsidRPr="00B91485">
        <w:rPr>
          <w:color w:val="000000"/>
        </w:rPr>
        <w:t xml:space="preserve"> vepron si sekretariat teknik i Këshillit dhe e mbështet atë për përmbushjen e detyrave të parashikuara nga ky ligj.”</w:t>
      </w:r>
    </w:p>
    <w:p w14:paraId="1E90FCE5" w14:textId="77777777" w:rsidR="004F2D9C" w:rsidRPr="00B91485" w:rsidRDefault="004F2D9C" w:rsidP="004F2D9C">
      <w:pPr>
        <w:widowControl w:val="0"/>
        <w:jc w:val="both"/>
      </w:pPr>
    </w:p>
    <w:p w14:paraId="3B42A02E" w14:textId="56EAA9FD" w:rsidR="004F2D9C" w:rsidRPr="00B91485" w:rsidRDefault="004F2D9C" w:rsidP="004F2D9C">
      <w:pPr>
        <w:widowControl w:val="0"/>
        <w:jc w:val="both"/>
      </w:pPr>
      <w:r w:rsidRPr="00B91485">
        <w:t>viii. Pas Neni 9, “Detyrat e ministrive ose të institucioneve të tjera publike”, shtohet Neni 9/1, “</w:t>
      </w:r>
      <w:r w:rsidRPr="00B91485">
        <w:rPr>
          <w:i/>
        </w:rPr>
        <w:t>STARTUP ALBANIA</w:t>
      </w:r>
      <w:r w:rsidRPr="00B91485">
        <w:t>”:</w:t>
      </w:r>
    </w:p>
    <w:p w14:paraId="0607C707" w14:textId="77777777" w:rsidR="004F2D9C" w:rsidRPr="00B91485" w:rsidRDefault="004F2D9C" w:rsidP="004F2D9C">
      <w:pPr>
        <w:widowControl w:val="0"/>
        <w:tabs>
          <w:tab w:val="left" w:pos="142"/>
        </w:tabs>
        <w:jc w:val="both"/>
      </w:pPr>
    </w:p>
    <w:p w14:paraId="736B0180" w14:textId="77777777" w:rsidR="004F2D9C" w:rsidRPr="00B91485" w:rsidRDefault="004F2D9C" w:rsidP="004F2D9C">
      <w:pPr>
        <w:pBdr>
          <w:top w:val="nil"/>
          <w:left w:val="nil"/>
          <w:bottom w:val="nil"/>
          <w:right w:val="nil"/>
          <w:between w:val="nil"/>
        </w:pBdr>
        <w:tabs>
          <w:tab w:val="left" w:pos="142"/>
        </w:tabs>
        <w:jc w:val="both"/>
        <w:rPr>
          <w:color w:val="000000"/>
        </w:rPr>
      </w:pPr>
      <w:r w:rsidRPr="00B91485">
        <w:rPr>
          <w:color w:val="000000"/>
        </w:rPr>
        <w:t xml:space="preserve">“1. </w:t>
      </w:r>
      <w:r w:rsidRPr="00B91485">
        <w:rPr>
          <w:i/>
          <w:color w:val="000000"/>
        </w:rPr>
        <w:t>STARTUP ALBANIA</w:t>
      </w:r>
      <w:r w:rsidRPr="00B91485">
        <w:rPr>
          <w:color w:val="000000"/>
        </w:rPr>
        <w:t xml:space="preserve"> është njësia menaxhuese dhe monitoruese e realizimit të masave mbështetëse financiare nëpërmjet fondeve publike ose me të tretë për nismat në ekosistemin e </w:t>
      </w:r>
      <w:r w:rsidRPr="00B91485">
        <w:rPr>
          <w:i/>
          <w:iCs/>
          <w:color w:val="000000"/>
        </w:rPr>
        <w:t>startup</w:t>
      </w:r>
      <w:r w:rsidRPr="00B91485">
        <w:rPr>
          <w:color w:val="000000"/>
        </w:rPr>
        <w:t>-eve.</w:t>
      </w:r>
    </w:p>
    <w:p w14:paraId="6B2580E9" w14:textId="77777777" w:rsidR="004F2D9C" w:rsidRPr="00B91485" w:rsidRDefault="004F2D9C" w:rsidP="004F2D9C">
      <w:pPr>
        <w:ind w:left="66"/>
        <w:jc w:val="both"/>
        <w:rPr>
          <w:color w:val="000000"/>
        </w:rPr>
      </w:pPr>
      <w:r w:rsidRPr="00B91485">
        <w:t xml:space="preserve">2. Rregullat për funksionimin dhe organizimin e Agjencisë Shtetërore për Mbështetjen e </w:t>
      </w:r>
      <w:r w:rsidRPr="00B91485">
        <w:rPr>
          <w:i/>
          <w:iCs/>
        </w:rPr>
        <w:t>Startup</w:t>
      </w:r>
      <w:r w:rsidRPr="00B91485">
        <w:t>-eve dhe Lehtësuesve përcaktohen me Vendim të Këshillit të Ministrave.”</w:t>
      </w:r>
    </w:p>
    <w:p w14:paraId="6BC5C2AD" w14:textId="77777777" w:rsidR="004F2D9C" w:rsidRPr="00B91485" w:rsidRDefault="004F2D9C" w:rsidP="004F2D9C">
      <w:pPr>
        <w:widowControl w:val="0"/>
        <w:jc w:val="both"/>
      </w:pPr>
    </w:p>
    <w:p w14:paraId="1CCA5D9D" w14:textId="5FA17669" w:rsidR="004F2D9C" w:rsidRPr="00B91485" w:rsidRDefault="004F2D9C" w:rsidP="004F2D9C">
      <w:pPr>
        <w:widowControl w:val="0"/>
        <w:jc w:val="both"/>
      </w:pPr>
      <w:r w:rsidRPr="00B91485">
        <w:t>ix. Pika 2 e Nenit 10, ndryshohet si më poshtë:</w:t>
      </w:r>
    </w:p>
    <w:p w14:paraId="1A75FFC4" w14:textId="77777777" w:rsidR="004F2D9C" w:rsidRPr="00B91485" w:rsidRDefault="004F2D9C" w:rsidP="004F2D9C">
      <w:pPr>
        <w:widowControl w:val="0"/>
        <w:jc w:val="both"/>
      </w:pPr>
    </w:p>
    <w:p w14:paraId="3BE1D0BB" w14:textId="77777777" w:rsidR="004F2D9C" w:rsidRPr="00B91485" w:rsidRDefault="004F2D9C" w:rsidP="004F2D9C">
      <w:pPr>
        <w:widowControl w:val="0"/>
        <w:jc w:val="both"/>
      </w:pPr>
      <w:r w:rsidRPr="00B91485">
        <w:t>“Kohëzgjatja e periudhës së inkubimit dhe e statusit si startup është 24 (njëzet e katër) muaj nga momenti i vetëdeklarimit në regjistrin e startup-eve, me të drejtë përsëritje.”</w:t>
      </w:r>
    </w:p>
    <w:p w14:paraId="648CD132" w14:textId="77777777" w:rsidR="004F2D9C" w:rsidRPr="00B91485" w:rsidRDefault="004F2D9C" w:rsidP="004F2D9C">
      <w:pPr>
        <w:widowControl w:val="0"/>
        <w:jc w:val="both"/>
      </w:pPr>
    </w:p>
    <w:p w14:paraId="0942580A" w14:textId="57307308" w:rsidR="004F2D9C" w:rsidRPr="00B91485" w:rsidRDefault="004F2D9C" w:rsidP="004F2D9C">
      <w:pPr>
        <w:widowControl w:val="0"/>
        <w:jc w:val="both"/>
      </w:pPr>
      <w:r w:rsidRPr="00B91485">
        <w:t>x. Pika 1 e Nenit 11, ndryshohet si më poshtë:</w:t>
      </w:r>
    </w:p>
    <w:p w14:paraId="51382830" w14:textId="77777777" w:rsidR="004F2D9C" w:rsidRPr="00B91485" w:rsidRDefault="004F2D9C" w:rsidP="004F2D9C">
      <w:pPr>
        <w:widowControl w:val="0"/>
        <w:jc w:val="both"/>
      </w:pPr>
    </w:p>
    <w:p w14:paraId="726A87E2" w14:textId="671EDF9A" w:rsidR="004F2D9C" w:rsidRPr="00B91485" w:rsidRDefault="004F2D9C" w:rsidP="004F2D9C">
      <w:pPr>
        <w:widowControl w:val="0"/>
        <w:jc w:val="both"/>
        <w:rPr>
          <w:color w:val="000000"/>
        </w:rPr>
      </w:pPr>
      <w:r w:rsidRPr="00B91485">
        <w:rPr>
          <w:color w:val="000000"/>
        </w:rPr>
        <w:t xml:space="preserve">“1. Regjistri i </w:t>
      </w:r>
      <w:r w:rsidRPr="00B91485">
        <w:rPr>
          <w:i/>
          <w:color w:val="000000"/>
        </w:rPr>
        <w:t>startup-</w:t>
      </w:r>
      <w:r w:rsidRPr="00B91485">
        <w:rPr>
          <w:color w:val="000000"/>
        </w:rPr>
        <w:t xml:space="preserve">eve dhe lehtësuesve (në vijim Regjistri) administrohet nga </w:t>
      </w:r>
      <w:r w:rsidRPr="00B91485">
        <w:rPr>
          <w:i/>
          <w:color w:val="000000"/>
        </w:rPr>
        <w:t>STARTUP ALBANIA</w:t>
      </w:r>
      <w:r w:rsidRPr="00B91485">
        <w:rPr>
          <w:color w:val="000000"/>
        </w:rPr>
        <w:t xml:space="preserve"> si bazë shtetërore të dhënash në funksion të këtij ligji dhe të legjislacionit në fuqi për bazat e të dhënave shtetërore.”</w:t>
      </w:r>
    </w:p>
    <w:p w14:paraId="178CB4FC" w14:textId="77777777" w:rsidR="004F2D9C" w:rsidRPr="00B91485" w:rsidRDefault="004F2D9C" w:rsidP="004F2D9C">
      <w:pPr>
        <w:widowControl w:val="0"/>
        <w:jc w:val="both"/>
      </w:pPr>
    </w:p>
    <w:p w14:paraId="0C07F03B" w14:textId="1F91223E" w:rsidR="004F2D9C" w:rsidRPr="00B91485" w:rsidRDefault="004F2D9C" w:rsidP="004F2D9C">
      <w:pPr>
        <w:widowControl w:val="0"/>
        <w:jc w:val="both"/>
      </w:pPr>
      <w:r w:rsidRPr="00B91485">
        <w:t xml:space="preserve">xi. Pika 1 e Nenit 12, “Mbështetja e </w:t>
      </w:r>
      <w:r w:rsidRPr="00B91485">
        <w:rPr>
          <w:i/>
        </w:rPr>
        <w:t>startup</w:t>
      </w:r>
      <w:r w:rsidRPr="00B91485">
        <w:t xml:space="preserve">-eve nëpërmjet shërbimit </w:t>
      </w:r>
      <w:r w:rsidRPr="00B91485">
        <w:rPr>
          <w:i/>
        </w:rPr>
        <w:t>startup one-stop-shop</w:t>
      </w:r>
      <w:r w:rsidRPr="00B91485">
        <w:t>”, ndryshohet si më poshtë:</w:t>
      </w:r>
    </w:p>
    <w:p w14:paraId="2797C241" w14:textId="77777777" w:rsidR="004F2D9C" w:rsidRPr="00B91485" w:rsidRDefault="004F2D9C" w:rsidP="004F2D9C">
      <w:pPr>
        <w:widowControl w:val="0"/>
        <w:jc w:val="both"/>
      </w:pPr>
    </w:p>
    <w:p w14:paraId="040401A5" w14:textId="0E5D9DE8" w:rsidR="004F2D9C" w:rsidRPr="00B91485" w:rsidRDefault="004F2D9C" w:rsidP="004F2D9C">
      <w:pPr>
        <w:widowControl w:val="0"/>
        <w:jc w:val="both"/>
        <w:rPr>
          <w:color w:val="000000"/>
        </w:rPr>
      </w:pPr>
      <w:r w:rsidRPr="00B91485">
        <w:rPr>
          <w:color w:val="000000"/>
        </w:rPr>
        <w:t xml:space="preserve">“1. Me qëllim mbështetjen e zhvillimit dhe rritjes së </w:t>
      </w:r>
      <w:r w:rsidRPr="00B91485">
        <w:rPr>
          <w:i/>
          <w:color w:val="000000"/>
        </w:rPr>
        <w:t>startup</w:t>
      </w:r>
      <w:r w:rsidRPr="00B91485">
        <w:rPr>
          <w:color w:val="000000"/>
        </w:rPr>
        <w:t xml:space="preserve">-eve, ofrohet shërbimi </w:t>
      </w:r>
      <w:r w:rsidRPr="00B91485">
        <w:rPr>
          <w:i/>
          <w:color w:val="000000"/>
        </w:rPr>
        <w:t xml:space="preserve">startup one-stop-shop </w:t>
      </w:r>
      <w:r w:rsidRPr="00B91485">
        <w:rPr>
          <w:color w:val="000000"/>
        </w:rPr>
        <w:t xml:space="preserve">pranë </w:t>
      </w:r>
      <w:r w:rsidRPr="00B91485">
        <w:rPr>
          <w:i/>
          <w:color w:val="000000"/>
        </w:rPr>
        <w:t>STARTUP ALBANIA</w:t>
      </w:r>
      <w:r w:rsidRPr="00B91485">
        <w:rPr>
          <w:color w:val="000000"/>
        </w:rPr>
        <w:t>.”</w:t>
      </w:r>
    </w:p>
    <w:p w14:paraId="28BFDC1A" w14:textId="77777777" w:rsidR="004F2D9C" w:rsidRPr="00B91485" w:rsidRDefault="004F2D9C" w:rsidP="004F2D9C">
      <w:pPr>
        <w:widowControl w:val="0"/>
        <w:jc w:val="both"/>
        <w:rPr>
          <w:color w:val="000000"/>
        </w:rPr>
      </w:pPr>
    </w:p>
    <w:p w14:paraId="5C9AB78B" w14:textId="1ECAD40D" w:rsidR="004F2D9C" w:rsidRPr="00B91485" w:rsidRDefault="004F2D9C" w:rsidP="004F2D9C">
      <w:pPr>
        <w:widowControl w:val="0"/>
        <w:jc w:val="both"/>
      </w:pPr>
      <w:r w:rsidRPr="00B91485">
        <w:t xml:space="preserve">xii. Pika 2 e Nenit 14, “Mbështetja e </w:t>
      </w:r>
      <w:r w:rsidRPr="00B91485">
        <w:rPr>
          <w:i/>
        </w:rPr>
        <w:t>startup</w:t>
      </w:r>
      <w:r w:rsidRPr="00B91485">
        <w:t xml:space="preserve">-eve dhe lehtësuesve të </w:t>
      </w:r>
      <w:r w:rsidRPr="00B91485">
        <w:rPr>
          <w:i/>
        </w:rPr>
        <w:t>startup</w:t>
      </w:r>
      <w:r w:rsidRPr="00B91485">
        <w:t>-eve nëpërmjet granteve dhe masave mbështetëse”, ndryshohet si më poshtë:</w:t>
      </w:r>
    </w:p>
    <w:p w14:paraId="36802823" w14:textId="77777777" w:rsidR="004F2D9C" w:rsidRPr="00B91485" w:rsidRDefault="004F2D9C" w:rsidP="004F2D9C">
      <w:pPr>
        <w:widowControl w:val="0"/>
        <w:jc w:val="both"/>
      </w:pPr>
    </w:p>
    <w:p w14:paraId="6D909BFB" w14:textId="77777777" w:rsidR="004F2D9C" w:rsidRPr="00B91485" w:rsidRDefault="004F2D9C" w:rsidP="004F2D9C">
      <w:pPr>
        <w:pBdr>
          <w:top w:val="nil"/>
          <w:left w:val="nil"/>
          <w:bottom w:val="nil"/>
          <w:right w:val="nil"/>
          <w:between w:val="nil"/>
        </w:pBdr>
        <w:ind w:right="112"/>
        <w:jc w:val="both"/>
        <w:rPr>
          <w:color w:val="000000"/>
        </w:rPr>
      </w:pPr>
      <w:r w:rsidRPr="00B91485">
        <w:rPr>
          <w:color w:val="000000"/>
        </w:rPr>
        <w:t xml:space="preserve">“2. </w:t>
      </w:r>
      <w:r w:rsidRPr="00B91485">
        <w:rPr>
          <w:i/>
          <w:color w:val="000000"/>
        </w:rPr>
        <w:t>STARTUP ALBANIA</w:t>
      </w:r>
      <w:r w:rsidRPr="00B91485">
        <w:rPr>
          <w:color w:val="000000"/>
        </w:rPr>
        <w:t xml:space="preserve"> i propozon ministrit përgjegjës për sipërmarrjen shpalljen e thirrjes për aplikime nga ana e </w:t>
      </w:r>
      <w:r w:rsidRPr="00B91485">
        <w:rPr>
          <w:i/>
          <w:color w:val="000000"/>
        </w:rPr>
        <w:t>startup</w:t>
      </w:r>
      <w:r w:rsidRPr="00B91485">
        <w:rPr>
          <w:color w:val="000000"/>
        </w:rPr>
        <w:t xml:space="preserve">-eve dhe lehtësuesve të </w:t>
      </w:r>
      <w:r w:rsidRPr="00B91485">
        <w:rPr>
          <w:i/>
          <w:color w:val="000000"/>
        </w:rPr>
        <w:t>startup</w:t>
      </w:r>
      <w:r w:rsidRPr="00B91485">
        <w:rPr>
          <w:color w:val="000000"/>
        </w:rPr>
        <w:t xml:space="preserve">-eve dhe kryen publikimin në shërbimin </w:t>
      </w:r>
      <w:r w:rsidRPr="00B91485">
        <w:rPr>
          <w:i/>
          <w:color w:val="000000"/>
        </w:rPr>
        <w:t xml:space="preserve">startup one-stop-shop </w:t>
      </w:r>
      <w:r w:rsidRPr="00B91485">
        <w:rPr>
          <w:color w:val="000000"/>
        </w:rPr>
        <w:t>në faqen zyrtare.”</w:t>
      </w:r>
    </w:p>
    <w:p w14:paraId="5FBCE125" w14:textId="77777777" w:rsidR="004F2D9C" w:rsidRPr="00B91485" w:rsidRDefault="004F2D9C" w:rsidP="004F2D9C">
      <w:pPr>
        <w:pBdr>
          <w:top w:val="nil"/>
          <w:left w:val="nil"/>
          <w:bottom w:val="nil"/>
          <w:right w:val="nil"/>
          <w:between w:val="nil"/>
        </w:pBdr>
        <w:ind w:right="115"/>
        <w:jc w:val="both"/>
        <w:rPr>
          <w:color w:val="000000"/>
        </w:rPr>
      </w:pPr>
    </w:p>
    <w:p w14:paraId="6C16371C" w14:textId="74114E72" w:rsidR="004F2D9C" w:rsidRPr="00B91485" w:rsidRDefault="004F2D9C" w:rsidP="004F2D9C">
      <w:pPr>
        <w:pBdr>
          <w:top w:val="nil"/>
          <w:left w:val="nil"/>
          <w:bottom w:val="nil"/>
          <w:right w:val="nil"/>
          <w:between w:val="nil"/>
        </w:pBdr>
        <w:ind w:right="115"/>
        <w:jc w:val="both"/>
        <w:rPr>
          <w:color w:val="000000"/>
        </w:rPr>
      </w:pPr>
      <w:r w:rsidRPr="00B91485">
        <w:rPr>
          <w:color w:val="000000"/>
        </w:rPr>
        <w:t>xiii. Pika 4 e Nenit 14, ndryshohet si më poshtë:</w:t>
      </w:r>
    </w:p>
    <w:p w14:paraId="2B4D11E1" w14:textId="77777777" w:rsidR="004F2D9C" w:rsidRPr="00B91485" w:rsidRDefault="004F2D9C" w:rsidP="004F2D9C">
      <w:pPr>
        <w:pBdr>
          <w:top w:val="nil"/>
          <w:left w:val="nil"/>
          <w:bottom w:val="nil"/>
          <w:right w:val="nil"/>
          <w:between w:val="nil"/>
        </w:pBdr>
        <w:ind w:right="113"/>
        <w:jc w:val="both"/>
        <w:rPr>
          <w:color w:val="000000"/>
        </w:rPr>
      </w:pPr>
    </w:p>
    <w:p w14:paraId="46B39D02" w14:textId="77777777" w:rsidR="004F2D9C" w:rsidRPr="00B91485" w:rsidRDefault="004F2D9C" w:rsidP="004F2D9C">
      <w:pPr>
        <w:pBdr>
          <w:top w:val="nil"/>
          <w:left w:val="nil"/>
          <w:bottom w:val="nil"/>
          <w:right w:val="nil"/>
          <w:between w:val="nil"/>
        </w:pBdr>
        <w:ind w:right="115"/>
        <w:jc w:val="both"/>
        <w:rPr>
          <w:color w:val="000000"/>
        </w:rPr>
      </w:pPr>
      <w:r w:rsidRPr="00B91485">
        <w:rPr>
          <w:color w:val="000000"/>
        </w:rPr>
        <w:t xml:space="preserve">“4. Me qëllim vlerësimin e kërkesave nga </w:t>
      </w:r>
      <w:r w:rsidRPr="00B91485">
        <w:rPr>
          <w:i/>
          <w:color w:val="000000"/>
        </w:rPr>
        <w:t>startup</w:t>
      </w:r>
      <w:r w:rsidRPr="00B91485">
        <w:rPr>
          <w:color w:val="000000"/>
        </w:rPr>
        <w:t xml:space="preserve">-et dhe lehtësuesit e </w:t>
      </w:r>
      <w:r w:rsidRPr="00B91485">
        <w:rPr>
          <w:i/>
          <w:color w:val="000000"/>
        </w:rPr>
        <w:t>startup-</w:t>
      </w:r>
      <w:r w:rsidRPr="00B91485">
        <w:rPr>
          <w:color w:val="000000"/>
        </w:rPr>
        <w:t>eve ngrihet komisioni i vlerësimit dhe komisioni i ankimit. Ministri përgjegjës për sipërmarrjen cakton kryetarët e këtyre komisioneve. Rregullat e hollësishme për përbërjen e komisionit të vlerësimit dhe komisionit të ankimit, kriteret, procedura e përzgjedhjes dhe shpërblimit të anëtarëve përcaktohen me Vendim të Këshillit të Ministrave.”</w:t>
      </w:r>
    </w:p>
    <w:p w14:paraId="739B3F5F" w14:textId="77777777" w:rsidR="004F2D9C" w:rsidRPr="00B91485" w:rsidRDefault="004F2D9C" w:rsidP="004F2D9C">
      <w:pPr>
        <w:pBdr>
          <w:top w:val="nil"/>
          <w:left w:val="nil"/>
          <w:bottom w:val="nil"/>
          <w:right w:val="nil"/>
          <w:between w:val="nil"/>
        </w:pBdr>
        <w:spacing w:before="1"/>
        <w:ind w:right="113"/>
        <w:jc w:val="both"/>
        <w:rPr>
          <w:color w:val="000000"/>
        </w:rPr>
      </w:pPr>
    </w:p>
    <w:p w14:paraId="25DB2410" w14:textId="785D90E1" w:rsidR="004F2D9C" w:rsidRPr="00B91485" w:rsidRDefault="004F2D9C" w:rsidP="004F2D9C">
      <w:pPr>
        <w:pBdr>
          <w:top w:val="nil"/>
          <w:left w:val="nil"/>
          <w:bottom w:val="nil"/>
          <w:right w:val="nil"/>
          <w:between w:val="nil"/>
        </w:pBdr>
        <w:ind w:right="115"/>
        <w:jc w:val="both"/>
        <w:rPr>
          <w:color w:val="000000"/>
        </w:rPr>
      </w:pPr>
      <w:r w:rsidRPr="00B91485">
        <w:rPr>
          <w:color w:val="000000"/>
        </w:rPr>
        <w:t>xiv. Pika 6 e Nenit 14, ndryshohet si më poshtë:</w:t>
      </w:r>
    </w:p>
    <w:p w14:paraId="630339B9" w14:textId="77777777" w:rsidR="004F2D9C" w:rsidRPr="00B91485" w:rsidRDefault="004F2D9C" w:rsidP="004F2D9C">
      <w:pPr>
        <w:pBdr>
          <w:top w:val="nil"/>
          <w:left w:val="nil"/>
          <w:bottom w:val="nil"/>
          <w:right w:val="nil"/>
          <w:between w:val="nil"/>
        </w:pBdr>
        <w:ind w:right="114"/>
        <w:jc w:val="both"/>
        <w:rPr>
          <w:color w:val="000000"/>
        </w:rPr>
      </w:pPr>
    </w:p>
    <w:p w14:paraId="0DCA6C17" w14:textId="77777777" w:rsidR="004F2D9C" w:rsidRPr="00B91485" w:rsidRDefault="004F2D9C" w:rsidP="004F2D9C">
      <w:pPr>
        <w:pBdr>
          <w:top w:val="nil"/>
          <w:left w:val="nil"/>
          <w:bottom w:val="nil"/>
          <w:right w:val="nil"/>
          <w:between w:val="nil"/>
        </w:pBdr>
        <w:spacing w:before="1"/>
        <w:ind w:right="113"/>
        <w:jc w:val="both"/>
        <w:rPr>
          <w:color w:val="000000"/>
        </w:rPr>
      </w:pPr>
      <w:r w:rsidRPr="00B91485">
        <w:rPr>
          <w:color w:val="000000"/>
        </w:rPr>
        <w:t xml:space="preserve">“6. Vendimi i komisionit të vlerësimit për përfituesit e granteve financiare për mbështetjen e </w:t>
      </w:r>
      <w:r w:rsidRPr="00B91485">
        <w:rPr>
          <w:i/>
          <w:color w:val="000000"/>
        </w:rPr>
        <w:t>startup</w:t>
      </w:r>
      <w:r w:rsidRPr="00B91485">
        <w:rPr>
          <w:color w:val="000000"/>
        </w:rPr>
        <w:t xml:space="preserve">-eve sipas thirrjes dhe në përfundim të procesit të ankimit, miratohet me urdhër të ministrit </w:t>
      </w:r>
      <w:r w:rsidRPr="00B91485">
        <w:rPr>
          <w:color w:val="000000"/>
        </w:rPr>
        <w:lastRenderedPageBreak/>
        <w:t xml:space="preserve">përgjegjës për sipërmarrjen. Urdhri botohet në faqen zyrtare të </w:t>
      </w:r>
      <w:r w:rsidRPr="00B91485">
        <w:rPr>
          <w:i/>
          <w:color w:val="000000"/>
        </w:rPr>
        <w:t>STARTUP ALBANIA</w:t>
      </w:r>
      <w:r w:rsidRPr="00B91485">
        <w:rPr>
          <w:color w:val="000000"/>
        </w:rPr>
        <w:t>, në faqen zyrtare të ministrit përgjegjës për sipërmarrjen dhe në Buletinin e Njoftimeve Zyrtare.”</w:t>
      </w:r>
    </w:p>
    <w:p w14:paraId="29A167D4" w14:textId="77777777" w:rsidR="004F2D9C" w:rsidRPr="00B91485" w:rsidRDefault="004F2D9C" w:rsidP="004F2D9C">
      <w:pPr>
        <w:pBdr>
          <w:top w:val="nil"/>
          <w:left w:val="nil"/>
          <w:bottom w:val="nil"/>
          <w:right w:val="nil"/>
          <w:between w:val="nil"/>
        </w:pBdr>
        <w:spacing w:before="1"/>
        <w:ind w:right="113"/>
        <w:jc w:val="both"/>
        <w:rPr>
          <w:color w:val="000000"/>
        </w:rPr>
      </w:pPr>
    </w:p>
    <w:p w14:paraId="3018EFB5" w14:textId="7665CBE0" w:rsidR="004F2D9C" w:rsidRPr="00B91485" w:rsidRDefault="004F2D9C" w:rsidP="004F2D9C">
      <w:pPr>
        <w:pBdr>
          <w:top w:val="nil"/>
          <w:left w:val="nil"/>
          <w:bottom w:val="nil"/>
          <w:right w:val="nil"/>
          <w:between w:val="nil"/>
        </w:pBdr>
        <w:ind w:right="115"/>
        <w:jc w:val="both"/>
        <w:rPr>
          <w:color w:val="000000"/>
        </w:rPr>
      </w:pPr>
      <w:r w:rsidRPr="00B91485">
        <w:rPr>
          <w:color w:val="000000"/>
        </w:rPr>
        <w:t>xv. Pika 7 e Nenit 14, ndryshohet si më poshtë:</w:t>
      </w:r>
    </w:p>
    <w:p w14:paraId="47B0B55D" w14:textId="77777777" w:rsidR="004F2D9C" w:rsidRPr="00B91485" w:rsidRDefault="004F2D9C" w:rsidP="004F2D9C">
      <w:pPr>
        <w:pBdr>
          <w:top w:val="nil"/>
          <w:left w:val="nil"/>
          <w:bottom w:val="nil"/>
          <w:right w:val="nil"/>
          <w:between w:val="nil"/>
        </w:pBdr>
        <w:spacing w:before="1"/>
        <w:ind w:right="113"/>
        <w:jc w:val="both"/>
        <w:rPr>
          <w:color w:val="000000"/>
        </w:rPr>
      </w:pPr>
    </w:p>
    <w:p w14:paraId="612A9CFB" w14:textId="77777777" w:rsidR="004F2D9C" w:rsidRPr="00B91485" w:rsidRDefault="004F2D9C" w:rsidP="004F2D9C">
      <w:pPr>
        <w:pBdr>
          <w:top w:val="nil"/>
          <w:left w:val="nil"/>
          <w:bottom w:val="nil"/>
          <w:right w:val="nil"/>
          <w:between w:val="nil"/>
        </w:pBdr>
        <w:ind w:right="112"/>
        <w:jc w:val="both"/>
        <w:rPr>
          <w:color w:val="000000"/>
        </w:rPr>
      </w:pPr>
      <w:r w:rsidRPr="00B91485">
        <w:rPr>
          <w:color w:val="000000"/>
        </w:rPr>
        <w:t xml:space="preserve">“7. Urdhri i ministrit përgjegjës për sipërmarrjen zbatohet nga </w:t>
      </w:r>
      <w:r w:rsidRPr="00B91485">
        <w:rPr>
          <w:i/>
          <w:color w:val="000000"/>
        </w:rPr>
        <w:t>STARTUP ALBANIA</w:t>
      </w:r>
      <w:r w:rsidRPr="00B91485">
        <w:rPr>
          <w:color w:val="000000"/>
        </w:rPr>
        <w:t>.”</w:t>
      </w:r>
    </w:p>
    <w:p w14:paraId="6237B267" w14:textId="77777777" w:rsidR="004F2D9C" w:rsidRPr="00B91485" w:rsidRDefault="004F2D9C" w:rsidP="004F2D9C">
      <w:pPr>
        <w:widowControl w:val="0"/>
        <w:jc w:val="both"/>
      </w:pPr>
    </w:p>
    <w:p w14:paraId="0DC3F8BB" w14:textId="5370F05D" w:rsidR="004F2D9C" w:rsidRPr="00B91485" w:rsidRDefault="004F2D9C" w:rsidP="004F2D9C">
      <w:pPr>
        <w:widowControl w:val="0"/>
        <w:jc w:val="both"/>
      </w:pPr>
      <w:r w:rsidRPr="00B91485">
        <w:t>xvi. Pika 1 e Nenit 15, “Monitorimi i masave mbështetëse”, ndryshohet si më poshtë:</w:t>
      </w:r>
    </w:p>
    <w:p w14:paraId="3229D335" w14:textId="77777777" w:rsidR="004F2D9C" w:rsidRPr="00B91485" w:rsidRDefault="004F2D9C" w:rsidP="004F2D9C">
      <w:pPr>
        <w:widowControl w:val="0"/>
        <w:jc w:val="both"/>
      </w:pPr>
    </w:p>
    <w:p w14:paraId="099877B7" w14:textId="77777777" w:rsidR="004F2D9C" w:rsidRPr="00B91485" w:rsidRDefault="004F2D9C" w:rsidP="004F2D9C">
      <w:pPr>
        <w:widowControl w:val="0"/>
        <w:jc w:val="both"/>
        <w:rPr>
          <w:color w:val="000000"/>
        </w:rPr>
      </w:pPr>
      <w:r w:rsidRPr="00B91485">
        <w:rPr>
          <w:color w:val="000000"/>
        </w:rPr>
        <w:t>“</w:t>
      </w:r>
      <w:r w:rsidRPr="00B91485">
        <w:rPr>
          <w:i/>
          <w:color w:val="000000"/>
        </w:rPr>
        <w:t>STARTUP ALBANIA</w:t>
      </w:r>
      <w:r w:rsidRPr="00B91485">
        <w:rPr>
          <w:color w:val="000000"/>
        </w:rPr>
        <w:t xml:space="preserve"> gjatë periudhës së inkubimit dhe deri në përfundimin e zbatimit të projektit të mbështetur financiarisht si </w:t>
      </w:r>
      <w:r w:rsidRPr="00B91485">
        <w:rPr>
          <w:i/>
          <w:color w:val="000000"/>
        </w:rPr>
        <w:t xml:space="preserve">startup </w:t>
      </w:r>
      <w:r w:rsidRPr="00B91485">
        <w:rPr>
          <w:color w:val="000000"/>
        </w:rPr>
        <w:t xml:space="preserve">ose si lehtësues i </w:t>
      </w:r>
      <w:r w:rsidRPr="00B91485">
        <w:rPr>
          <w:i/>
          <w:color w:val="000000"/>
        </w:rPr>
        <w:t>startup</w:t>
      </w:r>
      <w:r w:rsidRPr="00B91485">
        <w:rPr>
          <w:color w:val="000000"/>
        </w:rPr>
        <w:t xml:space="preserve">-eve, monitoron periodikisht </w:t>
      </w:r>
      <w:r w:rsidRPr="00B91485">
        <w:rPr>
          <w:i/>
          <w:color w:val="000000"/>
        </w:rPr>
        <w:t>startup</w:t>
      </w:r>
      <w:r w:rsidRPr="00B91485">
        <w:rPr>
          <w:color w:val="000000"/>
        </w:rPr>
        <w:t xml:space="preserve">-et dhe lehtësuesit e </w:t>
      </w:r>
      <w:r w:rsidRPr="00B91485">
        <w:rPr>
          <w:i/>
          <w:color w:val="000000"/>
        </w:rPr>
        <w:t>startup</w:t>
      </w:r>
      <w:r w:rsidRPr="00B91485">
        <w:rPr>
          <w:color w:val="000000"/>
        </w:rPr>
        <w:t>-eve, që kanë fituar masë mbështetëse nëpërmjet granteve, me qëllim verifikimin e përputhshmërisë së zbatimit të këtij ligji.”</w:t>
      </w:r>
    </w:p>
    <w:p w14:paraId="39356AB1" w14:textId="77777777" w:rsidR="004F2D9C" w:rsidRPr="00B91485" w:rsidRDefault="004F2D9C" w:rsidP="004F2D9C">
      <w:pPr>
        <w:widowControl w:val="0"/>
        <w:jc w:val="both"/>
        <w:rPr>
          <w:color w:val="000000"/>
        </w:rPr>
      </w:pPr>
    </w:p>
    <w:p w14:paraId="514ADF84" w14:textId="1B3EEA70" w:rsidR="004F2D9C" w:rsidRPr="00B91485" w:rsidRDefault="004F2D9C" w:rsidP="004F2D9C">
      <w:pPr>
        <w:widowControl w:val="0"/>
        <w:jc w:val="both"/>
      </w:pPr>
      <w:r w:rsidRPr="00B91485">
        <w:rPr>
          <w:color w:val="000000"/>
        </w:rPr>
        <w:t>xvii. Pika 4 e Nenit 15, shfuqizohet.</w:t>
      </w:r>
    </w:p>
    <w:p w14:paraId="306A8511" w14:textId="77777777" w:rsidR="00B91485" w:rsidRDefault="00B91485">
      <w:pPr>
        <w:jc w:val="both"/>
      </w:pPr>
    </w:p>
    <w:p w14:paraId="1AB9D058" w14:textId="31EEE3D8" w:rsidR="00B91485" w:rsidRPr="00B91485" w:rsidRDefault="00B91485">
      <w:pPr>
        <w:jc w:val="both"/>
      </w:pPr>
      <w:r>
        <w:t>N</w:t>
      </w:r>
      <w:r w:rsidR="002314BF">
        <w:t>ë</w:t>
      </w:r>
      <w:r>
        <w:t xml:space="preserve"> lidhje m</w:t>
      </w:r>
      <w:r w:rsidR="002314BF">
        <w:t>ë</w:t>
      </w:r>
      <w:r>
        <w:t xml:space="preserve"> k</w:t>
      </w:r>
      <w:r w:rsidR="002314BF">
        <w:t>ë</w:t>
      </w:r>
      <w:r>
        <w:t>t</w:t>
      </w:r>
      <w:r w:rsidR="002314BF">
        <w:t>ë</w:t>
      </w:r>
      <w:r>
        <w:t xml:space="preserve"> ndryshim t</w:t>
      </w:r>
      <w:r w:rsidR="002314BF">
        <w:t>ë</w:t>
      </w:r>
      <w:r>
        <w:t xml:space="preserve"> propozuar sqarohet se me p</w:t>
      </w:r>
      <w:r w:rsidR="002314BF">
        <w:t>ë</w:t>
      </w:r>
      <w:r>
        <w:t>rfshirjen e STARTUP ALBANIA si nj</w:t>
      </w:r>
      <w:r w:rsidR="002314BF">
        <w:t>ë</w:t>
      </w:r>
      <w:r>
        <w:t>sia menaxhuese dhe monitoruese e masave mb</w:t>
      </w:r>
      <w:r w:rsidR="002314BF">
        <w:t>ë</w:t>
      </w:r>
      <w:r>
        <w:t>shtet</w:t>
      </w:r>
      <w:r w:rsidR="002314BF">
        <w:t>ë</w:t>
      </w:r>
      <w:r>
        <w:t>se, roli i ministrit p</w:t>
      </w:r>
      <w:r w:rsidR="002314BF">
        <w:t>ë</w:t>
      </w:r>
      <w:r>
        <w:t>rgjegj</w:t>
      </w:r>
      <w:r w:rsidR="002314BF">
        <w:t>ë</w:t>
      </w:r>
      <w:r>
        <w:t>s p</w:t>
      </w:r>
      <w:r w:rsidR="002314BF">
        <w:t>ë</w:t>
      </w:r>
      <w:r>
        <w:t>r sip</w:t>
      </w:r>
      <w:r w:rsidR="002314BF">
        <w:t>ë</w:t>
      </w:r>
      <w:r>
        <w:t xml:space="preserve">rmarrjen </w:t>
      </w:r>
      <w:r w:rsidR="002314BF">
        <w:t>ë</w:t>
      </w:r>
      <w:r>
        <w:t>sht</w:t>
      </w:r>
      <w:r w:rsidR="002314BF">
        <w:t>ë</w:t>
      </w:r>
      <w:r>
        <w:t xml:space="preserve"> kufizuar n</w:t>
      </w:r>
      <w:r w:rsidR="002314BF">
        <w:t>ë</w:t>
      </w:r>
      <w:r>
        <w:t xml:space="preserve"> k</w:t>
      </w:r>
      <w:r w:rsidR="002314BF">
        <w:t>ë</w:t>
      </w:r>
      <w:r>
        <w:t>t</w:t>
      </w:r>
      <w:r w:rsidR="002314BF">
        <w:t>ë</w:t>
      </w:r>
      <w:r>
        <w:t xml:space="preserve"> drejtim. STARTUP ALBANIA si nj</w:t>
      </w:r>
      <w:r w:rsidR="002314BF">
        <w:t>ë</w:t>
      </w:r>
      <w:r>
        <w:t>si menaxhuese dhe monitoruese mbart detyrimin p</w:t>
      </w:r>
      <w:r w:rsidR="002314BF">
        <w:t>ë</w:t>
      </w:r>
      <w:r>
        <w:t>r ndjekjen p</w:t>
      </w:r>
      <w:r w:rsidR="002314BF">
        <w:t>ë</w:t>
      </w:r>
      <w:r>
        <w:t>r ecurin</w:t>
      </w:r>
      <w:r w:rsidR="002314BF">
        <w:t>ë</w:t>
      </w:r>
      <w:r>
        <w:t xml:space="preserve"> e zbatimit t</w:t>
      </w:r>
      <w:r w:rsidR="002314BF">
        <w:t>ë</w:t>
      </w:r>
      <w:r>
        <w:t xml:space="preserve"> masave mb</w:t>
      </w:r>
      <w:r w:rsidR="002314BF">
        <w:t>ë</w:t>
      </w:r>
      <w:r>
        <w:t>shte</w:t>
      </w:r>
      <w:r w:rsidR="002314BF">
        <w:t>tëse dhe për rrjedhojë marrjen e masave për rastet e abuzimit. Eventualiteti i abuzimit me masën mbështetëse nga subjekti përfitues, konsiderohet element që do të duhet të rregullohet në kontratën e lidhur ndërmjet STARTUP ALBANIA dhe subjektit përfitues.</w:t>
      </w:r>
    </w:p>
    <w:p w14:paraId="0000009F" w14:textId="77777777" w:rsidR="00CB4A0F" w:rsidRPr="00B91485" w:rsidRDefault="00CB4A0F">
      <w:pPr>
        <w:jc w:val="both"/>
      </w:pPr>
    </w:p>
    <w:p w14:paraId="000000A0" w14:textId="77777777" w:rsidR="00CB4A0F" w:rsidRPr="00B91485" w:rsidRDefault="00E431ED">
      <w:pPr>
        <w:jc w:val="both"/>
        <w:rPr>
          <w:u w:val="single"/>
        </w:rPr>
      </w:pPr>
      <w:r w:rsidRPr="00B91485">
        <w:t>b)</w:t>
      </w:r>
      <w:r w:rsidRPr="00B91485">
        <w:rPr>
          <w:u w:val="single"/>
        </w:rPr>
        <w:t xml:space="preserve"> Për sa i përket rregullimit të veprimtarisë së punojësve lëviz digjitalë</w:t>
      </w:r>
    </w:p>
    <w:p w14:paraId="000000A1" w14:textId="77777777" w:rsidR="00CB4A0F" w:rsidRPr="00B91485" w:rsidRDefault="00CB4A0F">
      <w:pPr>
        <w:jc w:val="both"/>
        <w:rPr>
          <w:u w:val="single"/>
        </w:rPr>
      </w:pPr>
    </w:p>
    <w:p w14:paraId="000000A2" w14:textId="58338B51" w:rsidR="00CB4A0F" w:rsidRPr="00B91485" w:rsidRDefault="00E431ED">
      <w:pPr>
        <w:widowControl w:val="0"/>
        <w:jc w:val="both"/>
      </w:pPr>
      <w:r w:rsidRPr="00B91485">
        <w:t xml:space="preserve">Së pari, ndryshimet e propozuara ndërhyjnë në qëllimin dhe objektin e Ligjit Nr. 25/2022 “Për mbështetjen dhe zhvillimin e </w:t>
      </w:r>
      <w:r w:rsidRPr="00B91485">
        <w:rPr>
          <w:i/>
          <w:iCs/>
        </w:rPr>
        <w:t>startup</w:t>
      </w:r>
      <w:r w:rsidRPr="00B91485">
        <w:t xml:space="preserve">-eve”. Ky ligj deri më tani ka rregulluar ekosistemin në raport me </w:t>
      </w:r>
      <w:r w:rsidRPr="00B91485">
        <w:rPr>
          <w:i/>
          <w:iCs/>
        </w:rPr>
        <w:t>startup</w:t>
      </w:r>
      <w:r w:rsidRPr="00B91485">
        <w:t xml:space="preserve">-et dhe për sa i përket </w:t>
      </w:r>
      <w:r w:rsidR="0011511C" w:rsidRPr="00B91485">
        <w:t>punonj</w:t>
      </w:r>
      <w:r w:rsidR="00627C08" w:rsidRPr="00B91485">
        <w:t>ë</w:t>
      </w:r>
      <w:r w:rsidR="0011511C" w:rsidRPr="00B91485">
        <w:t>sve l</w:t>
      </w:r>
      <w:r w:rsidR="00627C08" w:rsidRPr="00B91485">
        <w:t>ë</w:t>
      </w:r>
      <w:r w:rsidR="0011511C" w:rsidRPr="00B91485">
        <w:t>viz</w:t>
      </w:r>
      <w:r w:rsidR="00627C08" w:rsidRPr="00B91485">
        <w:t>ë</w:t>
      </w:r>
      <w:r w:rsidR="0011511C" w:rsidRPr="00B91485">
        <w:t>s digjital</w:t>
      </w:r>
      <w:r w:rsidR="00627C08" w:rsidRPr="00B91485">
        <w:t>ë</w:t>
      </w:r>
      <w:r w:rsidRPr="00B91485">
        <w:t xml:space="preserve"> gjendet vetëm përkufizimi i tyre. Ky përkufizim është kryer për formalizimin e tyre në ekosistem si </w:t>
      </w:r>
      <w:r w:rsidRPr="00B91485">
        <w:rPr>
          <w:i/>
        </w:rPr>
        <w:t>startup</w:t>
      </w:r>
      <w:r w:rsidRPr="00B91485">
        <w:t xml:space="preserve">-e të mundshme. Rregullimi i veprimtarisë së </w:t>
      </w:r>
      <w:r w:rsidR="0011511C" w:rsidRPr="00B91485">
        <w:t>punonj</w:t>
      </w:r>
      <w:r w:rsidR="00627C08" w:rsidRPr="00B91485">
        <w:t>ë</w:t>
      </w:r>
      <w:r w:rsidR="0011511C" w:rsidRPr="00B91485">
        <w:t>sve l</w:t>
      </w:r>
      <w:r w:rsidR="00627C08" w:rsidRPr="00B91485">
        <w:t>ë</w:t>
      </w:r>
      <w:r w:rsidR="0011511C" w:rsidRPr="00B91485">
        <w:t>viz</w:t>
      </w:r>
      <w:r w:rsidR="00627C08" w:rsidRPr="00B91485">
        <w:t>ë</w:t>
      </w:r>
      <w:r w:rsidR="0011511C" w:rsidRPr="00B91485">
        <w:t>s digjital</w:t>
      </w:r>
      <w:r w:rsidR="00627C08" w:rsidRPr="00B91485">
        <w:t>ë</w:t>
      </w:r>
      <w:r w:rsidRPr="00B91485">
        <w:t>, për më tepër në raport me incetivizimin e tyre, sjell një zgjerim në qëllimin dhe objektivin e ligjit.</w:t>
      </w:r>
    </w:p>
    <w:p w14:paraId="000000A3" w14:textId="77777777" w:rsidR="00CB4A0F" w:rsidRPr="00B91485" w:rsidRDefault="00CB4A0F">
      <w:pPr>
        <w:widowControl w:val="0"/>
      </w:pPr>
    </w:p>
    <w:p w14:paraId="6F159339" w14:textId="389C7C43" w:rsidR="004F2D9C" w:rsidRPr="00B91485" w:rsidRDefault="00E431ED" w:rsidP="004F2D9C">
      <w:pPr>
        <w:jc w:val="both"/>
      </w:pPr>
      <w:r w:rsidRPr="00B91485">
        <w:t>Dispozitat e parashikuara që adresojnë çështjet e mësipërme janë:</w:t>
      </w:r>
    </w:p>
    <w:p w14:paraId="29BDEA6B" w14:textId="77777777" w:rsidR="004F2D9C" w:rsidRPr="00B91485" w:rsidRDefault="004F2D9C" w:rsidP="004F2D9C">
      <w:pPr>
        <w:widowControl w:val="0"/>
        <w:jc w:val="both"/>
      </w:pPr>
    </w:p>
    <w:p w14:paraId="75D6D652" w14:textId="3B4002D0" w:rsidR="004F2D9C" w:rsidRPr="00B91485" w:rsidRDefault="00B91485" w:rsidP="004F2D9C">
      <w:pPr>
        <w:widowControl w:val="0"/>
        <w:jc w:val="both"/>
      </w:pPr>
      <w:r w:rsidRPr="00B91485">
        <w:t>xviii</w:t>
      </w:r>
      <w:r w:rsidR="004F2D9C" w:rsidRPr="00B91485">
        <w:t>. Neni 1, “Qëllimi”, ndryshohet si më poshtë:</w:t>
      </w:r>
    </w:p>
    <w:p w14:paraId="4DE9049E" w14:textId="77777777" w:rsidR="004F2D9C" w:rsidRPr="00B91485" w:rsidRDefault="004F2D9C" w:rsidP="004F2D9C">
      <w:pPr>
        <w:widowControl w:val="0"/>
        <w:jc w:val="both"/>
      </w:pPr>
    </w:p>
    <w:p w14:paraId="7F6312E9" w14:textId="77777777" w:rsidR="004F2D9C" w:rsidRPr="00B91485" w:rsidRDefault="004F2D9C" w:rsidP="004F2D9C">
      <w:pPr>
        <w:widowControl w:val="0"/>
        <w:jc w:val="both"/>
      </w:pPr>
      <w:r w:rsidRPr="00B91485">
        <w:t xml:space="preserve">“Qëllimi i këtij ligji është hartimi i një kuadri rregullator dhe institucional të favorshëm, për krijimin e zhvillimin e </w:t>
      </w:r>
      <w:r w:rsidRPr="00B91485">
        <w:rPr>
          <w:i/>
        </w:rPr>
        <w:t>startup</w:t>
      </w:r>
      <w:r w:rsidRPr="00B91485">
        <w:t xml:space="preserve">-eve dhe të veprimtarisë së punonjësve lëvizës digjitalë në territorin e Republikës së Shqipërisë. </w:t>
      </w:r>
    </w:p>
    <w:p w14:paraId="16D97BF8" w14:textId="77777777" w:rsidR="004F2D9C" w:rsidRPr="00B91485" w:rsidRDefault="004F2D9C" w:rsidP="004F2D9C">
      <w:pPr>
        <w:widowControl w:val="0"/>
        <w:jc w:val="both"/>
      </w:pPr>
      <w:r w:rsidRPr="00B91485">
        <w:t xml:space="preserve">Mbështetjen e ekosistemit vendas të </w:t>
      </w:r>
      <w:r w:rsidRPr="00B91485">
        <w:rPr>
          <w:i/>
        </w:rPr>
        <w:t>startup</w:t>
      </w:r>
      <w:r w:rsidRPr="00B91485">
        <w:t>-eve dhe integrimit me ekosistemin ndërkombëtar, për nxitjen e kërkimit, realizimit dhe përdorimit të ideve inovative, si dhe modeleve, produkteve dhe proceseve të reja, të cilat sjellin risi në çdo fushë për zhvillimin ekonomik.”</w:t>
      </w:r>
    </w:p>
    <w:p w14:paraId="3C6FA2E2" w14:textId="77777777" w:rsidR="004F2D9C" w:rsidRPr="00B91485" w:rsidRDefault="004F2D9C" w:rsidP="004F2D9C">
      <w:pPr>
        <w:widowControl w:val="0"/>
      </w:pPr>
    </w:p>
    <w:p w14:paraId="21C88F52" w14:textId="2256C9F5" w:rsidR="004F2D9C" w:rsidRPr="00B91485" w:rsidRDefault="00B91485" w:rsidP="004F2D9C">
      <w:pPr>
        <w:widowControl w:val="0"/>
        <w:jc w:val="both"/>
      </w:pPr>
      <w:r w:rsidRPr="00B91485">
        <w:t>xix</w:t>
      </w:r>
      <w:r w:rsidR="004F2D9C" w:rsidRPr="00B91485">
        <w:t>. Neni 2, “Objekti”, ndryshohet si më poshtë:</w:t>
      </w:r>
    </w:p>
    <w:p w14:paraId="262F00C0" w14:textId="77777777" w:rsidR="004F2D9C" w:rsidRPr="00B91485" w:rsidRDefault="004F2D9C" w:rsidP="004F2D9C">
      <w:pPr>
        <w:widowControl w:val="0"/>
      </w:pPr>
    </w:p>
    <w:p w14:paraId="743C95EC" w14:textId="77777777" w:rsidR="004F2D9C" w:rsidRPr="00B91485" w:rsidRDefault="004F2D9C" w:rsidP="004F2D9C">
      <w:pPr>
        <w:widowControl w:val="0"/>
        <w:jc w:val="both"/>
      </w:pPr>
      <w:r w:rsidRPr="00B91485">
        <w:lastRenderedPageBreak/>
        <w:t xml:space="preserve">“Ky ligj përcakton rregullat bazë, procedurat dhe organet shtetërore që rregullojnë, mbështesin dhe zhvillojnë ekosistemin e </w:t>
      </w:r>
      <w:r w:rsidRPr="00B91485">
        <w:rPr>
          <w:i/>
          <w:iCs/>
        </w:rPr>
        <w:t>startup-</w:t>
      </w:r>
      <w:r w:rsidRPr="00B91485">
        <w:t>eve të Republikës së Shqipërisë si dhe format e mbështetjes së punonjësve lëvizës digjitalë.</w:t>
      </w:r>
    </w:p>
    <w:p w14:paraId="000000B4" w14:textId="77777777" w:rsidR="00CB4A0F" w:rsidRPr="00B91485" w:rsidRDefault="00CB4A0F">
      <w:pPr>
        <w:widowControl w:val="0"/>
      </w:pPr>
    </w:p>
    <w:p w14:paraId="000000B5" w14:textId="57B49697" w:rsidR="00CB4A0F" w:rsidRPr="00B91485" w:rsidRDefault="00E431ED">
      <w:pPr>
        <w:widowControl w:val="0"/>
        <w:jc w:val="both"/>
      </w:pPr>
      <w:r w:rsidRPr="00B91485">
        <w:t xml:space="preserve">Në vijim, amendimet e propozuara ofrojnë masa mbështetëse për incetivizimin e veprimtarisë së </w:t>
      </w:r>
      <w:r w:rsidR="0011511C" w:rsidRPr="00B91485">
        <w:t>punonj</w:t>
      </w:r>
      <w:r w:rsidR="00627C08" w:rsidRPr="00B91485">
        <w:t>ë</w:t>
      </w:r>
      <w:r w:rsidR="0011511C" w:rsidRPr="00B91485">
        <w:t>sve l</w:t>
      </w:r>
      <w:r w:rsidR="00627C08" w:rsidRPr="00B91485">
        <w:t>ë</w:t>
      </w:r>
      <w:r w:rsidR="0011511C" w:rsidRPr="00B91485">
        <w:t>viz</w:t>
      </w:r>
      <w:r w:rsidR="00627C08" w:rsidRPr="00B91485">
        <w:t>ë</w:t>
      </w:r>
      <w:r w:rsidR="0011511C" w:rsidRPr="00B91485">
        <w:t xml:space="preserve">s </w:t>
      </w:r>
      <w:r w:rsidRPr="00B91485">
        <w:t xml:space="preserve">digjitalë në territorin e Republikës së Shqipërisë. </w:t>
      </w:r>
    </w:p>
    <w:p w14:paraId="000000B6" w14:textId="77777777" w:rsidR="00CB4A0F" w:rsidRPr="00B91485" w:rsidRDefault="00CB4A0F">
      <w:pPr>
        <w:widowControl w:val="0"/>
      </w:pPr>
    </w:p>
    <w:p w14:paraId="000000B7" w14:textId="77777777" w:rsidR="00CB4A0F" w:rsidRPr="00B91485" w:rsidRDefault="00E431ED">
      <w:pPr>
        <w:jc w:val="both"/>
      </w:pPr>
      <w:r w:rsidRPr="00B91485">
        <w:t>Dispozitat e parashikuara që adresojnë çështjet e mësipërme janë:</w:t>
      </w:r>
    </w:p>
    <w:p w14:paraId="000000B8" w14:textId="77777777" w:rsidR="00CB4A0F" w:rsidRPr="00B91485" w:rsidRDefault="00CB4A0F">
      <w:pPr>
        <w:widowControl w:val="0"/>
      </w:pPr>
    </w:p>
    <w:p w14:paraId="1FE3D813" w14:textId="5DA07D3E" w:rsidR="00B91485" w:rsidRPr="00B91485" w:rsidRDefault="00B91485" w:rsidP="00B91485">
      <w:pPr>
        <w:widowControl w:val="0"/>
        <w:jc w:val="both"/>
      </w:pPr>
      <w:r w:rsidRPr="00B91485">
        <w:t xml:space="preserve">xx. Pas Nenit 5, “Format e mbështetjes së </w:t>
      </w:r>
      <w:r w:rsidRPr="00B91485">
        <w:rPr>
          <w:i/>
        </w:rPr>
        <w:t>startup</w:t>
      </w:r>
      <w:r w:rsidRPr="00B91485">
        <w:t>-eve”, shtohet Neni 5/1 me titull “Format e mbështetjes së punonjësve lëvizës digjitalë”, me përmbajtje si më poshtë:</w:t>
      </w:r>
    </w:p>
    <w:p w14:paraId="02E51577" w14:textId="77777777" w:rsidR="00B91485" w:rsidRPr="00B91485" w:rsidRDefault="00B91485" w:rsidP="00B91485">
      <w:pPr>
        <w:widowControl w:val="0"/>
      </w:pPr>
    </w:p>
    <w:p w14:paraId="2975316D" w14:textId="77777777" w:rsidR="00B91485" w:rsidRPr="00B91485" w:rsidRDefault="00B91485" w:rsidP="00B91485">
      <w:pPr>
        <w:pBdr>
          <w:top w:val="nil"/>
          <w:left w:val="nil"/>
          <w:bottom w:val="nil"/>
          <w:right w:val="nil"/>
          <w:between w:val="nil"/>
        </w:pBdr>
        <w:jc w:val="both"/>
        <w:rPr>
          <w:color w:val="000000"/>
        </w:rPr>
      </w:pPr>
      <w:r w:rsidRPr="00B91485">
        <w:rPr>
          <w:color w:val="000000"/>
        </w:rPr>
        <w:t>“1.</w:t>
      </w:r>
      <w:r w:rsidRPr="00B91485">
        <w:rPr>
          <w:i/>
          <w:color w:val="000000"/>
        </w:rPr>
        <w:t xml:space="preserve"> </w:t>
      </w:r>
      <w:r w:rsidRPr="00B91485">
        <w:rPr>
          <w:color w:val="000000"/>
        </w:rPr>
        <w:t>Punonjësit lëvizës digjitalë nuk do të konsiderohen rezident tatimor në Republikën e Shqipërisë.</w:t>
      </w:r>
    </w:p>
    <w:p w14:paraId="59E82EEE" w14:textId="708E308A" w:rsidR="004F2D9C" w:rsidRPr="00B91485" w:rsidRDefault="00B91485" w:rsidP="00B91485">
      <w:pPr>
        <w:pBdr>
          <w:top w:val="nil"/>
          <w:left w:val="nil"/>
          <w:bottom w:val="nil"/>
          <w:right w:val="nil"/>
          <w:between w:val="nil"/>
        </w:pBdr>
        <w:jc w:val="both"/>
        <w:rPr>
          <w:color w:val="000000"/>
        </w:rPr>
      </w:pPr>
      <w:r w:rsidRPr="00B91485">
        <w:rPr>
          <w:color w:val="000000"/>
        </w:rPr>
        <w:t>2. Punonjësit lëvizës digjitalë pajisen me leje unike bazuar në ligjin “Për të huajt” dhe akteve nënligjore në zbatim të tij.”</w:t>
      </w:r>
    </w:p>
    <w:p w14:paraId="03C04012" w14:textId="77777777" w:rsidR="004F2D9C" w:rsidRPr="00B91485" w:rsidRDefault="004F2D9C">
      <w:pPr>
        <w:jc w:val="both"/>
        <w:rPr>
          <w:b/>
        </w:rPr>
      </w:pPr>
    </w:p>
    <w:p w14:paraId="7D617F1C" w14:textId="77777777" w:rsidR="00B91485" w:rsidRPr="00B91485" w:rsidRDefault="00B91485">
      <w:pPr>
        <w:jc w:val="both"/>
        <w:rPr>
          <w:b/>
        </w:rPr>
      </w:pPr>
    </w:p>
    <w:p w14:paraId="000000C0" w14:textId="77777777" w:rsidR="00CB4A0F" w:rsidRPr="00B91485" w:rsidRDefault="00E431ED">
      <w:pPr>
        <w:jc w:val="both"/>
        <w:rPr>
          <w:b/>
        </w:rPr>
      </w:pPr>
      <w:r w:rsidRPr="00B91485">
        <w:rPr>
          <w:b/>
        </w:rPr>
        <w:t>VII. INSTITUCIONET DHE ORGANET QË NGARKOHEN PËR ZBATIMIN E AKTIT</w:t>
      </w:r>
    </w:p>
    <w:p w14:paraId="000000C1" w14:textId="77777777" w:rsidR="00CB4A0F" w:rsidRPr="00B91485" w:rsidRDefault="00CB4A0F">
      <w:pPr>
        <w:jc w:val="both"/>
        <w:rPr>
          <w:b/>
        </w:rPr>
      </w:pPr>
    </w:p>
    <w:p w14:paraId="000000C2" w14:textId="77777777" w:rsidR="00CB4A0F" w:rsidRPr="00B91485" w:rsidRDefault="00E431ED">
      <w:pPr>
        <w:jc w:val="both"/>
      </w:pPr>
      <w:r w:rsidRPr="00B91485">
        <w:t>Për zbatimin e këtij projektligji ngarkohet Ministri i Shtetit për Mbrojtjen e Sipërmarrjes si dhe Ministritë e linjës ose institucionet e tjera publike brenda kompetencave të tyre.</w:t>
      </w:r>
    </w:p>
    <w:p w14:paraId="000000C3" w14:textId="77777777" w:rsidR="00CB4A0F" w:rsidRPr="00B91485" w:rsidRDefault="00CB4A0F">
      <w:pPr>
        <w:jc w:val="both"/>
        <w:rPr>
          <w:b/>
        </w:rPr>
      </w:pPr>
    </w:p>
    <w:p w14:paraId="000000C4" w14:textId="77777777" w:rsidR="00CB4A0F" w:rsidRPr="00B91485" w:rsidRDefault="00CB4A0F">
      <w:pPr>
        <w:jc w:val="both"/>
        <w:rPr>
          <w:b/>
        </w:rPr>
      </w:pPr>
    </w:p>
    <w:p w14:paraId="000000C5" w14:textId="77777777" w:rsidR="00CB4A0F" w:rsidRPr="00B91485" w:rsidRDefault="00E431ED">
      <w:pPr>
        <w:jc w:val="both"/>
        <w:rPr>
          <w:b/>
        </w:rPr>
      </w:pPr>
      <w:r w:rsidRPr="00B91485">
        <w:rPr>
          <w:b/>
        </w:rPr>
        <w:t>VIII. PERSONAT DHE INSTITUCIONET QË KANË KONTRIBUAR NË HARTIMIN E PROJEKTAKTIT</w:t>
      </w:r>
    </w:p>
    <w:p w14:paraId="000000C6" w14:textId="77777777" w:rsidR="00CB4A0F" w:rsidRPr="00B91485" w:rsidRDefault="00CB4A0F">
      <w:pPr>
        <w:jc w:val="both"/>
        <w:rPr>
          <w:b/>
        </w:rPr>
      </w:pPr>
    </w:p>
    <w:p w14:paraId="000000C7" w14:textId="5EE66EA5" w:rsidR="00CB4A0F" w:rsidRPr="00B91485" w:rsidRDefault="00E431ED">
      <w:pPr>
        <w:jc w:val="both"/>
      </w:pPr>
      <w:r w:rsidRPr="00B91485">
        <w:t>Projektligji është përgatitur nga Ministri i Shtetit për Mbrojtjen e Sipërmarrjes</w:t>
      </w:r>
      <w:r w:rsidR="00310C7C" w:rsidRPr="00B91485">
        <w:t>.</w:t>
      </w:r>
    </w:p>
    <w:p w14:paraId="000000C8" w14:textId="77777777" w:rsidR="00CB4A0F" w:rsidRPr="00B91485" w:rsidRDefault="00CB4A0F">
      <w:pPr>
        <w:jc w:val="both"/>
      </w:pPr>
    </w:p>
    <w:p w14:paraId="4A441677" w14:textId="5938F60A" w:rsidR="00EF5514" w:rsidRDefault="00E431ED">
      <w:pPr>
        <w:jc w:val="both"/>
      </w:pPr>
      <w:r w:rsidRPr="00B91485">
        <w:t xml:space="preserve">Projektligji </w:t>
      </w:r>
      <w:r w:rsidR="0011511C" w:rsidRPr="00B91485">
        <w:t xml:space="preserve">i </w:t>
      </w:r>
      <w:r w:rsidR="00627C08" w:rsidRPr="00B91485">
        <w:t>ë</w:t>
      </w:r>
      <w:r w:rsidR="0011511C" w:rsidRPr="00B91485">
        <w:t>sht</w:t>
      </w:r>
      <w:r w:rsidR="00627C08" w:rsidRPr="00B91485">
        <w:t>ë</w:t>
      </w:r>
      <w:r w:rsidR="0011511C" w:rsidRPr="00B91485">
        <w:t xml:space="preserve"> </w:t>
      </w:r>
      <w:r w:rsidRPr="00B91485">
        <w:t>dërg</w:t>
      </w:r>
      <w:r w:rsidR="0011511C" w:rsidRPr="00B91485">
        <w:t>uar</w:t>
      </w:r>
      <w:r w:rsidRPr="00B91485">
        <w:t xml:space="preserve"> për mendim në</w:t>
      </w:r>
      <w:r w:rsidR="006B413E" w:rsidRPr="00B91485">
        <w:t xml:space="preserve"> </w:t>
      </w:r>
      <w:r w:rsidRPr="00B91485">
        <w:t>Ministrinë e Drejtësisë,</w:t>
      </w:r>
      <w:r w:rsidR="006B413E" w:rsidRPr="00B91485">
        <w:t xml:space="preserve"> Ministrinë e Financave dhe Ekonomisë,</w:t>
      </w:r>
      <w:r w:rsidRPr="00B91485">
        <w:t xml:space="preserve"> Ministrinë e Brendshme</w:t>
      </w:r>
      <w:r w:rsidR="002E6C42" w:rsidRPr="00B91485">
        <w:t>,</w:t>
      </w:r>
      <w:r w:rsidR="00310C7C" w:rsidRPr="00B91485">
        <w:t xml:space="preserve"> Departamenti</w:t>
      </w:r>
      <w:r w:rsidR="002E6C42" w:rsidRPr="00B91485">
        <w:t>n e</w:t>
      </w:r>
      <w:r w:rsidR="00310C7C" w:rsidRPr="00B91485">
        <w:t xml:space="preserve"> Administratës Publike </w:t>
      </w:r>
      <w:r w:rsidRPr="00B91485">
        <w:t xml:space="preserve">dhe </w:t>
      </w:r>
      <w:r w:rsidR="00310C7C" w:rsidRPr="00B91485">
        <w:t>A</w:t>
      </w:r>
      <w:r w:rsidR="002E6C42" w:rsidRPr="00B91485">
        <w:t>gjencinë</w:t>
      </w:r>
      <w:r w:rsidR="00310C7C" w:rsidRPr="00B91485">
        <w:t xml:space="preserve"> Kombë</w:t>
      </w:r>
      <w:r w:rsidR="002E6C42" w:rsidRPr="00B91485">
        <w:t xml:space="preserve">tare të </w:t>
      </w:r>
      <w:r w:rsidR="00310C7C" w:rsidRPr="00B91485">
        <w:t>Shoqërisë së Informacionit</w:t>
      </w:r>
      <w:r w:rsidRPr="00B91485">
        <w:t>.</w:t>
      </w:r>
      <w:r w:rsidR="00EF5514" w:rsidRPr="00B91485">
        <w:t xml:space="preserve"> K</w:t>
      </w:r>
      <w:r w:rsidR="002314BF">
        <w:t>ë</w:t>
      </w:r>
      <w:r w:rsidR="00EF5514" w:rsidRPr="00B91485">
        <w:t>to institucione kan</w:t>
      </w:r>
      <w:r w:rsidR="002314BF">
        <w:t>ë</w:t>
      </w:r>
      <w:r w:rsidR="00EF5514" w:rsidRPr="00B91485">
        <w:t xml:space="preserve"> p</w:t>
      </w:r>
      <w:r w:rsidR="002314BF">
        <w:t>ë</w:t>
      </w:r>
      <w:r w:rsidR="00EF5514" w:rsidRPr="00B91485">
        <w:t>rcjell</w:t>
      </w:r>
      <w:r w:rsidR="002314BF">
        <w:t>ë</w:t>
      </w:r>
      <w:r w:rsidR="00EF5514" w:rsidRPr="00B91485">
        <w:t xml:space="preserve"> komentet e tyre, t</w:t>
      </w:r>
      <w:r w:rsidR="002314BF">
        <w:t>ë</w:t>
      </w:r>
      <w:r w:rsidR="00EF5514" w:rsidRPr="00B91485">
        <w:t xml:space="preserve"> cilat jan</w:t>
      </w:r>
      <w:r w:rsidR="002314BF">
        <w:t>ë</w:t>
      </w:r>
      <w:r w:rsidR="00EF5514" w:rsidRPr="00B91485">
        <w:t xml:space="preserve"> reflektuar n</w:t>
      </w:r>
      <w:r w:rsidR="002314BF">
        <w:t>ë</w:t>
      </w:r>
      <w:r w:rsidR="00EF5514" w:rsidRPr="00B91485">
        <w:t xml:space="preserve"> tekstin e projektligjit dhe n</w:t>
      </w:r>
      <w:r w:rsidR="002314BF">
        <w:t>ë</w:t>
      </w:r>
      <w:r w:rsidR="00EF5514" w:rsidRPr="00B91485">
        <w:t xml:space="preserve"> relacionin shoq</w:t>
      </w:r>
      <w:r w:rsidR="002314BF">
        <w:t>ë</w:t>
      </w:r>
      <w:r w:rsidR="00EF5514" w:rsidRPr="00B91485">
        <w:t>rues.</w:t>
      </w:r>
    </w:p>
    <w:p w14:paraId="07EFF0E2" w14:textId="2ADBFB49" w:rsidR="00B91485" w:rsidRDefault="00B91485">
      <w:pPr>
        <w:jc w:val="both"/>
      </w:pPr>
    </w:p>
    <w:p w14:paraId="4B04DB29" w14:textId="075EAFA4" w:rsidR="00B91485" w:rsidRPr="002314BF" w:rsidRDefault="002314BF">
      <w:pPr>
        <w:jc w:val="both"/>
        <w:rPr>
          <w:u w:val="single"/>
        </w:rPr>
      </w:pPr>
      <w:r>
        <w:rPr>
          <w:u w:val="single"/>
        </w:rPr>
        <w:t xml:space="preserve">i. </w:t>
      </w:r>
      <w:r w:rsidR="00B91485" w:rsidRPr="002314BF">
        <w:rPr>
          <w:u w:val="single"/>
        </w:rPr>
        <w:t>Sipas shkres</w:t>
      </w:r>
      <w:r>
        <w:rPr>
          <w:u w:val="single"/>
        </w:rPr>
        <w:t>ë</w:t>
      </w:r>
      <w:r w:rsidR="00B91485" w:rsidRPr="002314BF">
        <w:rPr>
          <w:u w:val="single"/>
        </w:rPr>
        <w:t>s s</w:t>
      </w:r>
      <w:r>
        <w:rPr>
          <w:u w:val="single"/>
        </w:rPr>
        <w:t>ë</w:t>
      </w:r>
      <w:r w:rsidR="00B91485" w:rsidRPr="002314BF">
        <w:rPr>
          <w:u w:val="single"/>
        </w:rPr>
        <w:t xml:space="preserve"> p</w:t>
      </w:r>
      <w:r>
        <w:rPr>
          <w:u w:val="single"/>
        </w:rPr>
        <w:t>ë</w:t>
      </w:r>
      <w:r w:rsidR="00B91485" w:rsidRPr="002314BF">
        <w:rPr>
          <w:u w:val="single"/>
        </w:rPr>
        <w:t>rcjell</w:t>
      </w:r>
      <w:r>
        <w:rPr>
          <w:u w:val="single"/>
        </w:rPr>
        <w:t>ë</w:t>
      </w:r>
      <w:r w:rsidR="00B91485" w:rsidRPr="002314BF">
        <w:rPr>
          <w:u w:val="single"/>
        </w:rPr>
        <w:t xml:space="preserve"> nga Ministria e Drejt</w:t>
      </w:r>
      <w:r>
        <w:rPr>
          <w:u w:val="single"/>
        </w:rPr>
        <w:t>ë</w:t>
      </w:r>
      <w:r w:rsidR="00B91485" w:rsidRPr="002314BF">
        <w:rPr>
          <w:u w:val="single"/>
        </w:rPr>
        <w:t>sis</w:t>
      </w:r>
      <w:r>
        <w:rPr>
          <w:u w:val="single"/>
        </w:rPr>
        <w:t>ë</w:t>
      </w:r>
      <w:r w:rsidR="00B91485" w:rsidRPr="002314BF">
        <w:rPr>
          <w:u w:val="single"/>
        </w:rPr>
        <w:t>, komentet ishin:</w:t>
      </w:r>
    </w:p>
    <w:p w14:paraId="2A843196" w14:textId="77777777" w:rsidR="00B91485" w:rsidRDefault="00B91485">
      <w:pPr>
        <w:jc w:val="both"/>
      </w:pPr>
    </w:p>
    <w:p w14:paraId="7940DA21" w14:textId="57A97F64" w:rsidR="00B91485" w:rsidRPr="00B91485" w:rsidRDefault="00B91485" w:rsidP="00B91485">
      <w:pPr>
        <w:jc w:val="both"/>
        <w:rPr>
          <w:b/>
          <w:bCs/>
        </w:rPr>
      </w:pPr>
      <w:r w:rsidRPr="002125D6">
        <w:t xml:space="preserve">“ </w:t>
      </w:r>
      <w:r w:rsidRPr="00B91485">
        <w:rPr>
          <w:b/>
          <w:bCs/>
        </w:rPr>
        <w:t xml:space="preserve">1. Mbi ligjshmërinë e formës dhe përmbajtjes </w:t>
      </w:r>
    </w:p>
    <w:p w14:paraId="26EDAF07" w14:textId="77777777" w:rsidR="00B91485" w:rsidRDefault="00B91485" w:rsidP="00B91485">
      <w:pPr>
        <w:jc w:val="both"/>
      </w:pPr>
    </w:p>
    <w:p w14:paraId="47FD143B" w14:textId="77D7A54F" w:rsidR="00B91485" w:rsidRDefault="00B91485" w:rsidP="00B91485">
      <w:pPr>
        <w:jc w:val="both"/>
      </w:pPr>
      <w:r w:rsidRPr="00B91485">
        <w:t xml:space="preserve">1.1. Në lidhje me projektvendimin e propozuar të mbahet në konsideratë se Agjencia Shtetërore për Mbështetjen dhe zhvillimin e startup-eve dhe lehtësuesve është një institucion i cili nuk mund të ngrihet sipas parashikimeve të pikës 2 të nenit 6 të ligjit nr.90/2012, në kuadër të parimit “lex specialis derogat generalis”, si dhe në kushtet kur në nenin 6 të ligjit nr.25/2022 “Për mbështetjen dhe zhvillimin e startup-eve”, janë përcaktuar shprehimisht organet përgjegjëse në fushën e nxitjes, ndihmës dhe zhvillimit të startup-eve. Për rrjedhojë, projektvendimi për organizimin dhe funksionimin e STARTUP ALBANIA të dërgohet për mendim pranë Ministrisë së Drejtësisë pas miratimit të projektligjit. </w:t>
      </w:r>
    </w:p>
    <w:p w14:paraId="1826986B" w14:textId="77777777" w:rsidR="00B91485" w:rsidRPr="00B91485" w:rsidRDefault="00B91485" w:rsidP="00B91485">
      <w:pPr>
        <w:jc w:val="both"/>
      </w:pPr>
    </w:p>
    <w:p w14:paraId="52FDF92B" w14:textId="77777777" w:rsidR="00B91485" w:rsidRDefault="00B91485" w:rsidP="00B91485">
      <w:pPr>
        <w:jc w:val="both"/>
      </w:pPr>
      <w:r w:rsidRPr="00B91485">
        <w:t xml:space="preserve">1.2. Në përputhje me pikën 2 të nenit 35 të udhëzimit nr. 6/2022 të Ministrit të Drejtësisë “Për përcaktimin e metodologjisë së unifikuar për hartimin e akteve normative”, baza ligjore e projektligjit të dërguar për mendim duhet të jetë e njëjtë me atë të ligjit nr. 25/2022 i cili është aktualisht në fuqi. Parashikimi i dhënë në pikën 2 të nenit 4 të projektligjit përcakton një trajtim të ndryshëm nga pika 2 e nenit 3 të ligjit nr. 8438/1998 “Për tatimin mbi të ardhurat”, i ndryshuar. Në këto kushte, çdo lehtësim që do t’i ofrohet subjekteve të parashikuara në këtë pikë duhet të reflektohet në ligjin nr. 8438/1998, të ndryshuar dhe jo në ligje të tjera të cilat në objektin e tyre nuk rregullojnë aspekte tatimore. </w:t>
      </w:r>
    </w:p>
    <w:p w14:paraId="43F74D6E" w14:textId="77777777" w:rsidR="00B91485" w:rsidRPr="00B91485" w:rsidRDefault="00B91485" w:rsidP="00B91485">
      <w:pPr>
        <w:jc w:val="both"/>
      </w:pPr>
    </w:p>
    <w:p w14:paraId="744CC960" w14:textId="77777777" w:rsidR="00B91485" w:rsidRDefault="00B91485" w:rsidP="00B91485">
      <w:pPr>
        <w:jc w:val="both"/>
      </w:pPr>
      <w:r w:rsidRPr="00B91485">
        <w:t xml:space="preserve">1.3. Në projektligj të parashikohen vetëm kompetencat bazë që do të ketë Agjencia Shtetërore për Mbështetjen dhe Zhvillimin e Startup-eve dhe Lehtësuesve. Në këtë kontekst, rregullat e detajuara për organizimin dhe funksionimin e agjencisë të përcaktohen me vendim të Këshillit të Ministrave, sikurse është parashikuar në pikën 5 të nenit 8 të projektligjit. </w:t>
      </w:r>
    </w:p>
    <w:p w14:paraId="16F774FD" w14:textId="77777777" w:rsidR="00B91485" w:rsidRPr="00B91485" w:rsidRDefault="00B91485" w:rsidP="00084C30">
      <w:pPr>
        <w:jc w:val="both"/>
      </w:pPr>
    </w:p>
    <w:p w14:paraId="40D65126" w14:textId="77777777" w:rsidR="00B91485" w:rsidRPr="00B91485" w:rsidRDefault="00B91485" w:rsidP="00084C30">
      <w:pPr>
        <w:jc w:val="both"/>
        <w:rPr>
          <w:b/>
          <w:bCs/>
        </w:rPr>
      </w:pPr>
      <w:r w:rsidRPr="00B91485">
        <w:rPr>
          <w:b/>
          <w:bCs/>
        </w:rPr>
        <w:t xml:space="preserve">2. Mbi çështjet e zbatimit të unifikuar të teknikës legjislative </w:t>
      </w:r>
    </w:p>
    <w:p w14:paraId="35250CBF" w14:textId="77777777" w:rsidR="00B91485" w:rsidRPr="00B91485" w:rsidRDefault="00B91485" w:rsidP="00084C30">
      <w:pPr>
        <w:jc w:val="both"/>
      </w:pPr>
    </w:p>
    <w:p w14:paraId="07D6F852" w14:textId="77777777" w:rsidR="00B91485" w:rsidRDefault="00B91485" w:rsidP="00084C30">
      <w:pPr>
        <w:jc w:val="both"/>
      </w:pPr>
      <w:r w:rsidRPr="00B91485">
        <w:t xml:space="preserve">2.1. Neni 2 i projektligjit të riformulohet, duke mbajtur në konsideratë që objekti i projektligjit të përfshihet në një fjali të vetme në të cilin të parashikohen vetëm aspektet e përgjithshme dhe jo detaje konkrete. Në fjalinë e parë të nenit 3 të projektligjit të korrigjohet gabimi material ku “Gërma “ç” e Nenit 4 të zëvendësohet me “Shkronja “ç” e nenit 3”, si dhe togfjalëshi “...për ofruar shërbimet...” të zëvendësohet me “...për të ofruar shërbimet...”. </w:t>
      </w:r>
    </w:p>
    <w:p w14:paraId="2FD262B1" w14:textId="77777777" w:rsidR="00B91485" w:rsidRPr="00B91485" w:rsidRDefault="00B91485" w:rsidP="00084C30">
      <w:pPr>
        <w:jc w:val="both"/>
      </w:pPr>
    </w:p>
    <w:p w14:paraId="5D0112B7" w14:textId="77777777" w:rsidR="00B91485" w:rsidRDefault="00B91485" w:rsidP="00084C30">
      <w:pPr>
        <w:jc w:val="both"/>
      </w:pPr>
      <w:r w:rsidRPr="00B91485">
        <w:t xml:space="preserve">2.2. Në pikën 1 të nenit 4 të projektligjit të përcaktohet në mënyrë konkrete se çfarë nënkuptohet me termin “një rregullim specifik”. </w:t>
      </w:r>
    </w:p>
    <w:p w14:paraId="4B1260CE" w14:textId="77777777" w:rsidR="00B91485" w:rsidRPr="00B91485" w:rsidRDefault="00B91485" w:rsidP="00084C30">
      <w:pPr>
        <w:jc w:val="both"/>
      </w:pPr>
    </w:p>
    <w:p w14:paraId="0D37E7C7" w14:textId="77777777" w:rsidR="00B91485" w:rsidRDefault="00B91485" w:rsidP="00084C30">
      <w:pPr>
        <w:jc w:val="both"/>
      </w:pPr>
      <w:r w:rsidRPr="00B91485">
        <w:t xml:space="preserve">2.3. Duke ju referuar nenit 6 të projektligjit konstatohet se riprodhohet e gjithë përmbajtja e nenit 7 të ligjit nr.25/2022 edhe për ato pika që nuk ndryshohen. Sa më sipër, sugjerohet që në tekstin e projektligjit të gjejnë parashikim vetëm ato shtesa dhe ndryshime që propozohet të ndërmerren, në përputhje me nenin 37 të udhëzimit nr. 6/2022 të Ministrit të Drejtësisë, rekomandim i cili të mbahet në konsideratë për të gjithë përmbajtjen e projektligjit. </w:t>
      </w:r>
    </w:p>
    <w:p w14:paraId="1977F897" w14:textId="77777777" w:rsidR="00B91485" w:rsidRPr="00B91485" w:rsidRDefault="00B91485" w:rsidP="00084C30">
      <w:pPr>
        <w:jc w:val="both"/>
      </w:pPr>
    </w:p>
    <w:p w14:paraId="34C362FC" w14:textId="77777777" w:rsidR="00B91485" w:rsidRDefault="00B91485" w:rsidP="00084C30">
      <w:pPr>
        <w:jc w:val="both"/>
      </w:pPr>
      <w:r w:rsidRPr="00B91485">
        <w:t xml:space="preserve">2.4. Nënparagrafët e pikës 1 të nenit 6 të projektligjit të rinumërtohen me shkronja të vogla në rend kronologjik alfabetik si p.sh, (a,b,c,ç etj), në përputhje me shkronjën “e” të nenit 10 të udhëzimit nr. 6/2022 të Ministrit të Drejtësisë, sugjerim i cili të mbahet në konsideratë për të gjithë përmbajtjen e projektligjit. </w:t>
      </w:r>
    </w:p>
    <w:p w14:paraId="52C15BBC" w14:textId="77777777" w:rsidR="00B91485" w:rsidRPr="00B91485" w:rsidRDefault="00B91485" w:rsidP="00084C30">
      <w:pPr>
        <w:jc w:val="both"/>
      </w:pPr>
    </w:p>
    <w:p w14:paraId="46B91F09" w14:textId="049747D5" w:rsidR="00B91485" w:rsidRPr="002125D6" w:rsidRDefault="00B91485" w:rsidP="00084C30">
      <w:pPr>
        <w:jc w:val="both"/>
      </w:pPr>
      <w:r w:rsidRPr="00B91485">
        <w:t>2.5. Arsyeja e shfuqizimit i cili kërkohet të realizohet sipas fjalisë së dytë të nenit 13 të projektligjit është e paqartë, në kushtet kur kjo pikë garanton përdorimin e rregullt të masave mbështetëse që u jepen subjekteve përfituese, për rrjedhojë në relacionin shoqërues të argumentohet në mënyrë shteruese parashikimi i propozuar.</w:t>
      </w:r>
      <w:r w:rsidRPr="002125D6">
        <w:t>”</w:t>
      </w:r>
    </w:p>
    <w:p w14:paraId="78F40095" w14:textId="46E86CAB" w:rsidR="00B91485" w:rsidRPr="00B91485" w:rsidRDefault="00B91485" w:rsidP="00084C30">
      <w:pPr>
        <w:jc w:val="both"/>
      </w:pPr>
    </w:p>
    <w:p w14:paraId="3C4DA359" w14:textId="09FF643C" w:rsidR="00B91485" w:rsidRPr="002314BF" w:rsidRDefault="00B91485" w:rsidP="00084C30">
      <w:pPr>
        <w:jc w:val="both"/>
        <w:rPr>
          <w:b/>
          <w:bCs/>
        </w:rPr>
      </w:pPr>
      <w:r w:rsidRPr="002314BF">
        <w:rPr>
          <w:b/>
          <w:bCs/>
        </w:rPr>
        <w:t>K</w:t>
      </w:r>
      <w:r w:rsidR="002314BF">
        <w:rPr>
          <w:b/>
          <w:bCs/>
        </w:rPr>
        <w:t>ë</w:t>
      </w:r>
      <w:r w:rsidRPr="002314BF">
        <w:rPr>
          <w:b/>
          <w:bCs/>
        </w:rPr>
        <w:t xml:space="preserve">to komente </w:t>
      </w:r>
      <w:r w:rsidR="002314BF">
        <w:rPr>
          <w:b/>
          <w:bCs/>
        </w:rPr>
        <w:t>janë reflektuar</w:t>
      </w:r>
      <w:r w:rsidRPr="002314BF">
        <w:rPr>
          <w:b/>
          <w:bCs/>
        </w:rPr>
        <w:t xml:space="preserve"> n</w:t>
      </w:r>
      <w:r w:rsidR="002314BF">
        <w:rPr>
          <w:b/>
          <w:bCs/>
        </w:rPr>
        <w:t>ë</w:t>
      </w:r>
      <w:r w:rsidRPr="002314BF">
        <w:rPr>
          <w:b/>
          <w:bCs/>
        </w:rPr>
        <w:t xml:space="preserve"> projektligj dhe</w:t>
      </w:r>
      <w:r w:rsidR="002314BF">
        <w:rPr>
          <w:b/>
          <w:bCs/>
        </w:rPr>
        <w:t xml:space="preserve"> në</w:t>
      </w:r>
      <w:r w:rsidRPr="002314BF">
        <w:rPr>
          <w:b/>
          <w:bCs/>
        </w:rPr>
        <w:t xml:space="preserve"> relacionin e tij.</w:t>
      </w:r>
    </w:p>
    <w:p w14:paraId="000000CA" w14:textId="77777777" w:rsidR="00CB4A0F" w:rsidRDefault="00CB4A0F" w:rsidP="00084C30">
      <w:pPr>
        <w:jc w:val="both"/>
      </w:pPr>
    </w:p>
    <w:p w14:paraId="11A82E98" w14:textId="028DBED5" w:rsidR="002314BF" w:rsidRPr="002314BF" w:rsidRDefault="002314BF" w:rsidP="00084C30">
      <w:pPr>
        <w:jc w:val="both"/>
        <w:rPr>
          <w:u w:val="single"/>
        </w:rPr>
      </w:pPr>
      <w:r>
        <w:rPr>
          <w:u w:val="single"/>
        </w:rPr>
        <w:t xml:space="preserve">ii. </w:t>
      </w:r>
      <w:r w:rsidRPr="002314BF">
        <w:rPr>
          <w:u w:val="single"/>
        </w:rPr>
        <w:t>Sipas shkres</w:t>
      </w:r>
      <w:r>
        <w:rPr>
          <w:u w:val="single"/>
        </w:rPr>
        <w:t>ë</w:t>
      </w:r>
      <w:r w:rsidRPr="002314BF">
        <w:rPr>
          <w:u w:val="single"/>
        </w:rPr>
        <w:t>s s</w:t>
      </w:r>
      <w:r>
        <w:rPr>
          <w:u w:val="single"/>
        </w:rPr>
        <w:t>ë</w:t>
      </w:r>
      <w:r w:rsidRPr="002314BF">
        <w:rPr>
          <w:u w:val="single"/>
        </w:rPr>
        <w:t xml:space="preserve"> p</w:t>
      </w:r>
      <w:r>
        <w:rPr>
          <w:u w:val="single"/>
        </w:rPr>
        <w:t>ë</w:t>
      </w:r>
      <w:r w:rsidRPr="002314BF">
        <w:rPr>
          <w:u w:val="single"/>
        </w:rPr>
        <w:t>rcjell</w:t>
      </w:r>
      <w:r>
        <w:rPr>
          <w:u w:val="single"/>
        </w:rPr>
        <w:t>ë</w:t>
      </w:r>
      <w:r w:rsidRPr="002314BF">
        <w:rPr>
          <w:u w:val="single"/>
        </w:rPr>
        <w:t xml:space="preserve"> nga Ministria e </w:t>
      </w:r>
      <w:r>
        <w:rPr>
          <w:u w:val="single"/>
        </w:rPr>
        <w:t>Financave dhe e Ekonomisë</w:t>
      </w:r>
      <w:r w:rsidRPr="002314BF">
        <w:rPr>
          <w:u w:val="single"/>
        </w:rPr>
        <w:t>, komentet ishin:</w:t>
      </w:r>
    </w:p>
    <w:p w14:paraId="31547F66" w14:textId="77777777" w:rsidR="002314BF" w:rsidRPr="00B91485" w:rsidRDefault="002314BF" w:rsidP="00084C30">
      <w:pPr>
        <w:jc w:val="both"/>
      </w:pPr>
    </w:p>
    <w:p w14:paraId="43B83006" w14:textId="77777777" w:rsidR="002314BF" w:rsidRPr="002314BF" w:rsidRDefault="002314BF" w:rsidP="00084C30">
      <w:pPr>
        <w:jc w:val="both"/>
      </w:pPr>
      <w:r>
        <w:lastRenderedPageBreak/>
        <w:t>“</w:t>
      </w:r>
      <w:r w:rsidRPr="002314BF">
        <w:t xml:space="preserve">Lidhur me projektligjin e ardhur për mendim me anë të sistemit e-akte, “Për disa shtesa dhe ndryshime në ligjin nr. 25/2022, ‘Për mbështetjen dhe zhvillimin e startup-eve’”, shprehemi parimisht dakord me nismën, por parë në këndvështrimin buxhetor shprehemi me sugjerimet e mëposhtme: </w:t>
      </w:r>
    </w:p>
    <w:p w14:paraId="34139D6C" w14:textId="77777777" w:rsidR="002314BF" w:rsidRDefault="002314BF" w:rsidP="00084C30">
      <w:pPr>
        <w:jc w:val="both"/>
      </w:pPr>
      <w:r w:rsidRPr="002314BF">
        <w:t>Kërkojmë që në relacionin shpjegues të përllogariten në mënyrë të detajuar të gjitha kostot potenciale që parashikon zbatimi i projektligjit, konkretisht:</w:t>
      </w:r>
    </w:p>
    <w:p w14:paraId="0C1724DC" w14:textId="0FAE7D8F" w:rsidR="002314BF" w:rsidRPr="002314BF" w:rsidRDefault="002314BF" w:rsidP="00084C30">
      <w:pPr>
        <w:jc w:val="both"/>
      </w:pPr>
      <w:r w:rsidRPr="002314BF">
        <w:t xml:space="preserve">• Kostot e ngritjes dhe funksionimit të Agjencisë “Startup Albania” si dhe burimi i financimit. Pra të saktësohet numri i punonjësve dedikuar agjencisë, kostot operative të funksionimit si dhe të shprehet qartë burimi i financimit; </w:t>
      </w:r>
    </w:p>
    <w:p w14:paraId="569C833E" w14:textId="77777777" w:rsidR="002314BF" w:rsidRDefault="002314BF" w:rsidP="00084C30">
      <w:pPr>
        <w:jc w:val="both"/>
      </w:pPr>
      <w:r w:rsidRPr="002314BF">
        <w:t>• Të përllogariten kostot e ngritjes së komisioneve të vlerësimit dhe komisionit të ankimimit. Konkretisht, të paraqitet një përllogaritje e masës së shpërblimit si dhe numrit të anëtarëve në komision, duke marrë si referencë funksionimin e komisionit aktual të vlerësimit;</w:t>
      </w:r>
    </w:p>
    <w:p w14:paraId="6EEDB4C1" w14:textId="416B90BD" w:rsidR="002314BF" w:rsidRPr="002314BF" w:rsidRDefault="002314BF" w:rsidP="00084C30">
      <w:pPr>
        <w:jc w:val="both"/>
      </w:pPr>
      <w:r w:rsidRPr="002314BF">
        <w:t xml:space="preserve">• Të përllogaritet fondi vjetor i parashikuar për grantin e startup-eve, në të cilin të shprehet qartë burimi i financimit si dhe saktësohet qartë institucioni përgjegjës që do të planifikohen, menaxhohen dhe disbursohen fondet për këtë qëllim, pasi referuar relacionit shpjegues sqarohet se disbursimi i fondeve është kryer nga Agjencia Shqiptare e Zhvillimit të Investimeve dhe në vijueshmëri nga Sekretariati Teknik i Këshillit Ekonomik Kombëtar. </w:t>
      </w:r>
    </w:p>
    <w:p w14:paraId="00710473" w14:textId="77777777" w:rsidR="002314BF" w:rsidRDefault="002314BF" w:rsidP="00084C30">
      <w:pPr>
        <w:jc w:val="both"/>
      </w:pPr>
      <w:r w:rsidRPr="002314BF">
        <w:t>Sa i përket përmbajtjes së projektligjit, shprehemi si vijon:</w:t>
      </w:r>
    </w:p>
    <w:p w14:paraId="303C5018" w14:textId="0AC46E1F" w:rsidR="002314BF" w:rsidRPr="002125D6" w:rsidRDefault="002314BF" w:rsidP="00084C30">
      <w:pPr>
        <w:jc w:val="both"/>
      </w:pPr>
      <w:r w:rsidRPr="002314BF">
        <w:t>• Referuar nenit 12, pikës 7 të projektligjit, të hiqet togfjalëshi “</w:t>
      </w:r>
      <w:r w:rsidRPr="002314BF">
        <w:rPr>
          <w:i/>
          <w:iCs/>
        </w:rPr>
        <w:t>sipas legjislacionit në fuqi për</w:t>
      </w:r>
      <w:r w:rsidRPr="002125D6">
        <w:rPr>
          <w:i/>
          <w:iCs/>
        </w:rPr>
        <w:t xml:space="preserve"> </w:t>
      </w:r>
      <w:r w:rsidRPr="002314BF">
        <w:rPr>
          <w:i/>
          <w:iCs/>
        </w:rPr>
        <w:t>buxhetin e shtetit</w:t>
      </w:r>
      <w:r w:rsidRPr="002314BF">
        <w:t>”.</w:t>
      </w:r>
      <w:r w:rsidRPr="002125D6">
        <w:t>”</w:t>
      </w:r>
    </w:p>
    <w:p w14:paraId="2CDAD6AC" w14:textId="77777777" w:rsidR="002314BF" w:rsidRPr="002125D6" w:rsidRDefault="002314BF" w:rsidP="00084C30">
      <w:pPr>
        <w:jc w:val="both"/>
      </w:pPr>
    </w:p>
    <w:p w14:paraId="06DE078A" w14:textId="2E623E5E" w:rsidR="002314BF" w:rsidRPr="002314BF" w:rsidRDefault="002314BF" w:rsidP="00084C30">
      <w:pPr>
        <w:jc w:val="both"/>
        <w:rPr>
          <w:b/>
          <w:bCs/>
        </w:rPr>
      </w:pPr>
      <w:r w:rsidRPr="002314BF">
        <w:rPr>
          <w:b/>
          <w:bCs/>
        </w:rPr>
        <w:t>K</w:t>
      </w:r>
      <w:r>
        <w:rPr>
          <w:b/>
          <w:bCs/>
        </w:rPr>
        <w:t>ë</w:t>
      </w:r>
      <w:r w:rsidRPr="002314BF">
        <w:rPr>
          <w:b/>
          <w:bCs/>
        </w:rPr>
        <w:t xml:space="preserve">to komente </w:t>
      </w:r>
      <w:r>
        <w:rPr>
          <w:b/>
          <w:bCs/>
        </w:rPr>
        <w:t>janë reflektuar</w:t>
      </w:r>
      <w:r w:rsidRPr="002314BF">
        <w:rPr>
          <w:b/>
          <w:bCs/>
        </w:rPr>
        <w:t xml:space="preserve"> n</w:t>
      </w:r>
      <w:r>
        <w:rPr>
          <w:b/>
          <w:bCs/>
        </w:rPr>
        <w:t>ë</w:t>
      </w:r>
      <w:r w:rsidRPr="002314BF">
        <w:rPr>
          <w:b/>
          <w:bCs/>
        </w:rPr>
        <w:t xml:space="preserve"> projektligj dhe</w:t>
      </w:r>
      <w:r>
        <w:rPr>
          <w:b/>
          <w:bCs/>
        </w:rPr>
        <w:t xml:space="preserve"> në</w:t>
      </w:r>
      <w:r w:rsidRPr="002314BF">
        <w:rPr>
          <w:b/>
          <w:bCs/>
        </w:rPr>
        <w:t xml:space="preserve"> relacionin e tij.</w:t>
      </w:r>
    </w:p>
    <w:p w14:paraId="22478F24" w14:textId="77777777" w:rsidR="002314BF" w:rsidRPr="002125D6" w:rsidRDefault="002314BF" w:rsidP="00084C30">
      <w:pPr>
        <w:jc w:val="both"/>
      </w:pPr>
    </w:p>
    <w:p w14:paraId="3A0EBEA6" w14:textId="580788DB" w:rsidR="002314BF" w:rsidRPr="002314BF" w:rsidRDefault="002314BF" w:rsidP="00084C30">
      <w:pPr>
        <w:jc w:val="both"/>
        <w:rPr>
          <w:u w:val="single"/>
        </w:rPr>
      </w:pPr>
      <w:r>
        <w:rPr>
          <w:u w:val="single"/>
        </w:rPr>
        <w:t xml:space="preserve">iii. </w:t>
      </w:r>
      <w:r w:rsidRPr="002314BF">
        <w:rPr>
          <w:u w:val="single"/>
        </w:rPr>
        <w:t>Sipas shkres</w:t>
      </w:r>
      <w:r>
        <w:rPr>
          <w:u w:val="single"/>
        </w:rPr>
        <w:t>ë</w:t>
      </w:r>
      <w:r w:rsidRPr="002314BF">
        <w:rPr>
          <w:u w:val="single"/>
        </w:rPr>
        <w:t>s s</w:t>
      </w:r>
      <w:r>
        <w:rPr>
          <w:u w:val="single"/>
        </w:rPr>
        <w:t>ë</w:t>
      </w:r>
      <w:r w:rsidRPr="002314BF">
        <w:rPr>
          <w:u w:val="single"/>
        </w:rPr>
        <w:t xml:space="preserve"> p</w:t>
      </w:r>
      <w:r>
        <w:rPr>
          <w:u w:val="single"/>
        </w:rPr>
        <w:t>ë</w:t>
      </w:r>
      <w:r w:rsidRPr="002314BF">
        <w:rPr>
          <w:u w:val="single"/>
        </w:rPr>
        <w:t>rcjell</w:t>
      </w:r>
      <w:r>
        <w:rPr>
          <w:u w:val="single"/>
        </w:rPr>
        <w:t>ë</w:t>
      </w:r>
      <w:r w:rsidRPr="002314BF">
        <w:rPr>
          <w:u w:val="single"/>
        </w:rPr>
        <w:t xml:space="preserve"> nga </w:t>
      </w:r>
      <w:r>
        <w:rPr>
          <w:u w:val="single"/>
        </w:rPr>
        <w:t xml:space="preserve">Agjencia Kombëtare për Shoqërinë e Informacionit, </w:t>
      </w:r>
      <w:r w:rsidRPr="002314BF">
        <w:rPr>
          <w:u w:val="single"/>
        </w:rPr>
        <w:t>komentet ishin:</w:t>
      </w:r>
    </w:p>
    <w:p w14:paraId="70B92A68" w14:textId="77777777" w:rsidR="002314BF" w:rsidRPr="008349A1" w:rsidRDefault="002314BF" w:rsidP="00084C30">
      <w:pPr>
        <w:jc w:val="both"/>
      </w:pPr>
    </w:p>
    <w:p w14:paraId="494D8E74" w14:textId="32D21E0F" w:rsidR="002314BF" w:rsidRPr="008349A1" w:rsidRDefault="002314BF" w:rsidP="00084C30">
      <w:pPr>
        <w:jc w:val="both"/>
      </w:pPr>
      <w:r w:rsidRPr="008349A1">
        <w:t>“</w:t>
      </w:r>
      <w:r w:rsidRPr="002314BF">
        <w:t xml:space="preserve">Në përgjigje të shkresës suaj, përcjellë nëpërmjet sistemit të e-akteve, me anë të së cilës është dërguar për mendim projektligji i Këshillit të Ministrave </w:t>
      </w:r>
      <w:r w:rsidRPr="002314BF">
        <w:rPr>
          <w:i/>
          <w:iCs/>
        </w:rPr>
        <w:t xml:space="preserve">“Për disa shtesa dhe ndryshime në ligjin nr. 25/2022, ‘Për mbështetjen dhe zhvillimin e startup-eve’” </w:t>
      </w:r>
      <w:r w:rsidRPr="002314BF">
        <w:t>së bashku me dokumentacionin shoqërues, pas shqyrtimit të projektaktit, shprehemi parimisht dakord.</w:t>
      </w:r>
      <w:r w:rsidRPr="008349A1">
        <w:t>”</w:t>
      </w:r>
    </w:p>
    <w:p w14:paraId="48A9DABB" w14:textId="77777777" w:rsidR="002314BF" w:rsidRPr="008349A1" w:rsidRDefault="002314BF" w:rsidP="00084C30">
      <w:pPr>
        <w:jc w:val="both"/>
      </w:pPr>
    </w:p>
    <w:p w14:paraId="5110D28E" w14:textId="2F8EA93C" w:rsidR="002314BF" w:rsidRPr="002314BF" w:rsidRDefault="002314BF" w:rsidP="00084C30">
      <w:pPr>
        <w:jc w:val="both"/>
        <w:rPr>
          <w:u w:val="single"/>
        </w:rPr>
      </w:pPr>
      <w:r>
        <w:rPr>
          <w:u w:val="single"/>
        </w:rPr>
        <w:t>i</w:t>
      </w:r>
      <w:r w:rsidR="00EF2040">
        <w:rPr>
          <w:u w:val="single"/>
        </w:rPr>
        <w:t>v</w:t>
      </w:r>
      <w:r>
        <w:rPr>
          <w:u w:val="single"/>
        </w:rPr>
        <w:t xml:space="preserve">. </w:t>
      </w:r>
      <w:r w:rsidRPr="002314BF">
        <w:rPr>
          <w:u w:val="single"/>
        </w:rPr>
        <w:t>Sipas shkres</w:t>
      </w:r>
      <w:r>
        <w:rPr>
          <w:u w:val="single"/>
        </w:rPr>
        <w:t>ë</w:t>
      </w:r>
      <w:r w:rsidRPr="002314BF">
        <w:rPr>
          <w:u w:val="single"/>
        </w:rPr>
        <w:t>s s</w:t>
      </w:r>
      <w:r>
        <w:rPr>
          <w:u w:val="single"/>
        </w:rPr>
        <w:t>ë</w:t>
      </w:r>
      <w:r w:rsidRPr="002314BF">
        <w:rPr>
          <w:u w:val="single"/>
        </w:rPr>
        <w:t xml:space="preserve"> p</w:t>
      </w:r>
      <w:r>
        <w:rPr>
          <w:u w:val="single"/>
        </w:rPr>
        <w:t>ë</w:t>
      </w:r>
      <w:r w:rsidRPr="002314BF">
        <w:rPr>
          <w:u w:val="single"/>
        </w:rPr>
        <w:t>rcjell</w:t>
      </w:r>
      <w:r>
        <w:rPr>
          <w:u w:val="single"/>
        </w:rPr>
        <w:t>ë</w:t>
      </w:r>
      <w:r w:rsidRPr="002314BF">
        <w:rPr>
          <w:u w:val="single"/>
        </w:rPr>
        <w:t xml:space="preserve"> nga </w:t>
      </w:r>
      <w:r>
        <w:rPr>
          <w:u w:val="single"/>
        </w:rPr>
        <w:t xml:space="preserve">Ministria e Brendshme, </w:t>
      </w:r>
      <w:r w:rsidRPr="002314BF">
        <w:rPr>
          <w:u w:val="single"/>
        </w:rPr>
        <w:t>komentet ishin:</w:t>
      </w:r>
    </w:p>
    <w:p w14:paraId="1276C685" w14:textId="77777777" w:rsidR="008349A1" w:rsidRPr="008349A1" w:rsidRDefault="008349A1" w:rsidP="00084C30">
      <w:pPr>
        <w:spacing w:before="100" w:beforeAutospacing="1" w:after="100" w:afterAutospacing="1"/>
        <w:jc w:val="both"/>
        <w:rPr>
          <w:color w:val="000000"/>
          <w:lang w:eastAsia="en-GB"/>
        </w:rPr>
      </w:pPr>
      <w:r w:rsidRPr="008349A1">
        <w:rPr>
          <w:color w:val="000000"/>
          <w:lang w:eastAsia="en-GB"/>
        </w:rPr>
        <w:t>“Në nenin 2 të projektligjit, sugjerojmë që paragrafi i parë të riformulohet si vijon: “Ky ligj përcakton rregullat bazë, procedurat dhe organet shtetërore kompetente që rregullojnë ekosistemin e startup-eve të Republikës së Shqipërisë si dhe format e mbështetjes së punonjësve lëviz digjitalë”, pasi në përmbajtje të projektligjit nuk të parashikuara rregullat bazë apo procedura për veprimtarinë e punonjësve digjitalë.</w:t>
      </w:r>
    </w:p>
    <w:p w14:paraId="3A26FBB8" w14:textId="79C2B4BD" w:rsidR="008349A1" w:rsidRPr="008349A1" w:rsidRDefault="008349A1" w:rsidP="00084C30">
      <w:pPr>
        <w:spacing w:before="100" w:beforeAutospacing="1" w:after="100" w:afterAutospacing="1"/>
        <w:jc w:val="both"/>
        <w:rPr>
          <w:color w:val="000000"/>
          <w:lang w:val="en-GB" w:eastAsia="en-GB"/>
        </w:rPr>
      </w:pPr>
      <w:r w:rsidRPr="008349A1">
        <w:rPr>
          <w:color w:val="000000"/>
          <w:lang w:val="en-GB" w:eastAsia="en-GB"/>
        </w:rPr>
        <w:t xml:space="preserve">Neni 4 </w:t>
      </w:r>
      <w:proofErr w:type="spellStart"/>
      <w:r w:rsidRPr="008349A1">
        <w:rPr>
          <w:color w:val="000000"/>
          <w:lang w:val="en-GB" w:eastAsia="en-GB"/>
        </w:rPr>
        <w:t>i</w:t>
      </w:r>
      <w:proofErr w:type="spellEnd"/>
      <w:r w:rsidRPr="008349A1">
        <w:rPr>
          <w:color w:val="000000"/>
          <w:lang w:val="en-GB" w:eastAsia="en-GB"/>
        </w:rPr>
        <w:t xml:space="preserve"> </w:t>
      </w:r>
      <w:proofErr w:type="spellStart"/>
      <w:r w:rsidRPr="008349A1">
        <w:rPr>
          <w:color w:val="000000"/>
          <w:lang w:val="en-GB" w:eastAsia="en-GB"/>
        </w:rPr>
        <w:t>projektligjit</w:t>
      </w:r>
      <w:proofErr w:type="spellEnd"/>
      <w:r w:rsidRPr="008349A1">
        <w:rPr>
          <w:color w:val="000000"/>
          <w:lang w:val="en-GB" w:eastAsia="en-GB"/>
        </w:rPr>
        <w:t xml:space="preserve"> </w:t>
      </w:r>
      <w:proofErr w:type="spellStart"/>
      <w:r w:rsidRPr="008349A1">
        <w:rPr>
          <w:color w:val="000000"/>
          <w:lang w:val="en-GB" w:eastAsia="en-GB"/>
        </w:rPr>
        <w:t>parashikon</w:t>
      </w:r>
      <w:proofErr w:type="spellEnd"/>
      <w:r w:rsidRPr="008349A1">
        <w:rPr>
          <w:color w:val="000000"/>
          <w:lang w:val="en-GB" w:eastAsia="en-GB"/>
        </w:rPr>
        <w:t xml:space="preserve"> </w:t>
      </w:r>
      <w:proofErr w:type="spellStart"/>
      <w:r w:rsidRPr="008349A1">
        <w:rPr>
          <w:color w:val="000000"/>
          <w:lang w:val="en-GB" w:eastAsia="en-GB"/>
        </w:rPr>
        <w:t>si</w:t>
      </w:r>
      <w:proofErr w:type="spellEnd"/>
      <w:r w:rsidRPr="008349A1">
        <w:rPr>
          <w:color w:val="000000"/>
          <w:lang w:val="en-GB" w:eastAsia="en-GB"/>
        </w:rPr>
        <w:t xml:space="preserve"> </w:t>
      </w:r>
      <w:proofErr w:type="spellStart"/>
      <w:r w:rsidRPr="008349A1">
        <w:rPr>
          <w:color w:val="000000"/>
          <w:lang w:val="en-GB" w:eastAsia="en-GB"/>
        </w:rPr>
        <w:t>formë</w:t>
      </w:r>
      <w:proofErr w:type="spellEnd"/>
      <w:r w:rsidRPr="008349A1">
        <w:rPr>
          <w:color w:val="000000"/>
          <w:lang w:val="en-GB" w:eastAsia="en-GB"/>
        </w:rPr>
        <w:t xml:space="preserve"> </w:t>
      </w:r>
      <w:proofErr w:type="spellStart"/>
      <w:r w:rsidRPr="008349A1">
        <w:rPr>
          <w:color w:val="000000"/>
          <w:lang w:val="en-GB" w:eastAsia="en-GB"/>
        </w:rPr>
        <w:t>mbështetje</w:t>
      </w:r>
      <w:proofErr w:type="spellEnd"/>
      <w:r w:rsidRPr="008349A1">
        <w:rPr>
          <w:color w:val="000000"/>
          <w:lang w:val="en-GB" w:eastAsia="en-GB"/>
        </w:rPr>
        <w:t xml:space="preserve"> të </w:t>
      </w:r>
      <w:proofErr w:type="spellStart"/>
      <w:r w:rsidRPr="008349A1">
        <w:rPr>
          <w:color w:val="000000"/>
          <w:lang w:val="en-GB" w:eastAsia="en-GB"/>
        </w:rPr>
        <w:t>punonjësve</w:t>
      </w:r>
      <w:proofErr w:type="spellEnd"/>
      <w:r w:rsidRPr="008349A1">
        <w:rPr>
          <w:color w:val="000000"/>
          <w:lang w:val="en-GB" w:eastAsia="en-GB"/>
        </w:rPr>
        <w:t xml:space="preserve"> </w:t>
      </w:r>
      <w:proofErr w:type="spellStart"/>
      <w:r w:rsidRPr="008349A1">
        <w:rPr>
          <w:color w:val="000000"/>
          <w:lang w:val="en-GB" w:eastAsia="en-GB"/>
        </w:rPr>
        <w:t>lëvizës</w:t>
      </w:r>
      <w:proofErr w:type="spellEnd"/>
      <w:r w:rsidRPr="008349A1">
        <w:rPr>
          <w:color w:val="000000"/>
          <w:lang w:val="en-GB" w:eastAsia="en-GB"/>
        </w:rPr>
        <w:t xml:space="preserve"> </w:t>
      </w:r>
      <w:proofErr w:type="spellStart"/>
      <w:r w:rsidRPr="008349A1">
        <w:rPr>
          <w:color w:val="000000"/>
          <w:lang w:val="en-GB" w:eastAsia="en-GB"/>
        </w:rPr>
        <w:t>digjital</w:t>
      </w:r>
      <w:proofErr w:type="spellEnd"/>
      <w:r w:rsidRPr="008349A1">
        <w:rPr>
          <w:color w:val="000000"/>
          <w:lang w:val="en-GB" w:eastAsia="en-GB"/>
        </w:rPr>
        <w:t xml:space="preserve"> </w:t>
      </w:r>
      <w:proofErr w:type="spellStart"/>
      <w:r w:rsidRPr="008349A1">
        <w:rPr>
          <w:color w:val="000000"/>
          <w:lang w:val="en-GB" w:eastAsia="en-GB"/>
        </w:rPr>
        <w:t>lehtësimin</w:t>
      </w:r>
      <w:proofErr w:type="spellEnd"/>
      <w:r w:rsidRPr="008349A1">
        <w:rPr>
          <w:color w:val="000000"/>
          <w:lang w:val="en-GB" w:eastAsia="en-GB"/>
        </w:rPr>
        <w:t xml:space="preserve"> fiskal duke </w:t>
      </w:r>
      <w:proofErr w:type="spellStart"/>
      <w:r w:rsidRPr="008349A1">
        <w:rPr>
          <w:color w:val="000000"/>
          <w:lang w:val="en-GB" w:eastAsia="en-GB"/>
        </w:rPr>
        <w:t>mos</w:t>
      </w:r>
      <w:proofErr w:type="spellEnd"/>
      <w:r w:rsidRPr="008349A1">
        <w:rPr>
          <w:color w:val="000000"/>
          <w:lang w:val="en-GB" w:eastAsia="en-GB"/>
        </w:rPr>
        <w:t xml:space="preserve"> e </w:t>
      </w:r>
      <w:proofErr w:type="spellStart"/>
      <w:r w:rsidRPr="008349A1">
        <w:rPr>
          <w:color w:val="000000"/>
          <w:lang w:val="en-GB" w:eastAsia="en-GB"/>
        </w:rPr>
        <w:t>konsideruar</w:t>
      </w:r>
      <w:proofErr w:type="spellEnd"/>
      <w:r w:rsidRPr="008349A1">
        <w:rPr>
          <w:color w:val="000000"/>
          <w:lang w:val="en-GB" w:eastAsia="en-GB"/>
        </w:rPr>
        <w:t xml:space="preserve"> </w:t>
      </w:r>
      <w:proofErr w:type="spellStart"/>
      <w:r w:rsidRPr="008349A1">
        <w:rPr>
          <w:color w:val="000000"/>
          <w:lang w:val="en-GB" w:eastAsia="en-GB"/>
        </w:rPr>
        <w:t>këtë</w:t>
      </w:r>
      <w:proofErr w:type="spellEnd"/>
      <w:r w:rsidRPr="008349A1">
        <w:rPr>
          <w:color w:val="000000"/>
          <w:lang w:val="en-GB" w:eastAsia="en-GB"/>
        </w:rPr>
        <w:t xml:space="preserve"> </w:t>
      </w:r>
      <w:proofErr w:type="spellStart"/>
      <w:r w:rsidRPr="008349A1">
        <w:rPr>
          <w:color w:val="000000"/>
          <w:lang w:val="en-GB" w:eastAsia="en-GB"/>
        </w:rPr>
        <w:t>kategori</w:t>
      </w:r>
      <w:proofErr w:type="spellEnd"/>
      <w:r w:rsidRPr="008349A1">
        <w:rPr>
          <w:color w:val="000000"/>
          <w:lang w:val="en-GB" w:eastAsia="en-GB"/>
        </w:rPr>
        <w:t xml:space="preserve"> të </w:t>
      </w:r>
      <w:proofErr w:type="spellStart"/>
      <w:r w:rsidRPr="008349A1">
        <w:rPr>
          <w:color w:val="000000"/>
          <w:lang w:val="en-GB" w:eastAsia="en-GB"/>
        </w:rPr>
        <w:t>huajsh</w:t>
      </w:r>
      <w:proofErr w:type="spellEnd"/>
      <w:r w:rsidRPr="008349A1">
        <w:rPr>
          <w:color w:val="000000"/>
          <w:lang w:val="en-GB" w:eastAsia="en-GB"/>
        </w:rPr>
        <w:t xml:space="preserve">, </w:t>
      </w:r>
      <w:proofErr w:type="spellStart"/>
      <w:r w:rsidRPr="008349A1">
        <w:rPr>
          <w:color w:val="000000"/>
          <w:lang w:val="en-GB" w:eastAsia="en-GB"/>
        </w:rPr>
        <w:t>rezidentë</w:t>
      </w:r>
      <w:proofErr w:type="spellEnd"/>
      <w:r w:rsidRPr="008349A1">
        <w:rPr>
          <w:color w:val="000000"/>
          <w:lang w:val="en-GB" w:eastAsia="en-GB"/>
        </w:rPr>
        <w:t xml:space="preserve"> </w:t>
      </w:r>
      <w:proofErr w:type="spellStart"/>
      <w:r w:rsidRPr="008349A1">
        <w:rPr>
          <w:color w:val="000000"/>
          <w:lang w:val="en-GB" w:eastAsia="en-GB"/>
        </w:rPr>
        <w:t>tatimor</w:t>
      </w:r>
      <w:proofErr w:type="spellEnd"/>
      <w:r w:rsidRPr="008349A1">
        <w:rPr>
          <w:color w:val="000000"/>
          <w:lang w:val="en-GB" w:eastAsia="en-GB"/>
        </w:rPr>
        <w:t xml:space="preserve"> në </w:t>
      </w:r>
      <w:proofErr w:type="spellStart"/>
      <w:r w:rsidRPr="008349A1">
        <w:rPr>
          <w:color w:val="000000"/>
          <w:lang w:val="en-GB" w:eastAsia="en-GB"/>
        </w:rPr>
        <w:t>Republikën</w:t>
      </w:r>
      <w:proofErr w:type="spellEnd"/>
      <w:r w:rsidRPr="008349A1">
        <w:rPr>
          <w:color w:val="000000"/>
          <w:lang w:val="en-GB" w:eastAsia="en-GB"/>
        </w:rPr>
        <w:t xml:space="preserve"> e </w:t>
      </w:r>
      <w:proofErr w:type="spellStart"/>
      <w:r w:rsidRPr="008349A1">
        <w:rPr>
          <w:color w:val="000000"/>
          <w:lang w:val="en-GB" w:eastAsia="en-GB"/>
        </w:rPr>
        <w:t>Shqipërisë</w:t>
      </w:r>
      <w:proofErr w:type="spellEnd"/>
      <w:r w:rsidRPr="008349A1">
        <w:rPr>
          <w:color w:val="000000"/>
          <w:lang w:val="en-GB" w:eastAsia="en-GB"/>
        </w:rPr>
        <w:t xml:space="preserve"> për </w:t>
      </w:r>
      <w:proofErr w:type="spellStart"/>
      <w:r w:rsidRPr="008349A1">
        <w:rPr>
          <w:color w:val="000000"/>
          <w:lang w:val="en-GB" w:eastAsia="en-GB"/>
        </w:rPr>
        <w:t>një</w:t>
      </w:r>
      <w:proofErr w:type="spellEnd"/>
      <w:r w:rsidRPr="008349A1">
        <w:rPr>
          <w:color w:val="000000"/>
          <w:lang w:val="en-GB" w:eastAsia="en-GB"/>
        </w:rPr>
        <w:t xml:space="preserve"> </w:t>
      </w:r>
      <w:proofErr w:type="spellStart"/>
      <w:r w:rsidRPr="008349A1">
        <w:rPr>
          <w:color w:val="000000"/>
          <w:lang w:val="en-GB" w:eastAsia="en-GB"/>
        </w:rPr>
        <w:t>periudhë</w:t>
      </w:r>
      <w:proofErr w:type="spellEnd"/>
      <w:r w:rsidRPr="008349A1">
        <w:rPr>
          <w:color w:val="000000"/>
          <w:lang w:val="en-GB" w:eastAsia="en-GB"/>
        </w:rPr>
        <w:t xml:space="preserve"> 1 </w:t>
      </w:r>
      <w:proofErr w:type="spellStart"/>
      <w:r w:rsidRPr="008349A1">
        <w:rPr>
          <w:color w:val="000000"/>
          <w:lang w:val="en-GB" w:eastAsia="en-GB"/>
        </w:rPr>
        <w:t>vjeçare</w:t>
      </w:r>
      <w:proofErr w:type="spellEnd"/>
      <w:r w:rsidRPr="008349A1">
        <w:rPr>
          <w:color w:val="000000"/>
          <w:lang w:val="en-GB" w:eastAsia="en-GB"/>
        </w:rPr>
        <w:t xml:space="preserve">. Për </w:t>
      </w:r>
      <w:proofErr w:type="spellStart"/>
      <w:r w:rsidRPr="008349A1">
        <w:rPr>
          <w:color w:val="000000"/>
          <w:lang w:val="en-GB" w:eastAsia="en-GB"/>
        </w:rPr>
        <w:t>këtë</w:t>
      </w:r>
      <w:proofErr w:type="spellEnd"/>
      <w:r w:rsidRPr="008349A1">
        <w:rPr>
          <w:color w:val="000000"/>
          <w:lang w:val="en-GB" w:eastAsia="en-GB"/>
        </w:rPr>
        <w:t xml:space="preserve"> arsye, </w:t>
      </w:r>
      <w:proofErr w:type="spellStart"/>
      <w:r w:rsidRPr="008349A1">
        <w:rPr>
          <w:color w:val="000000"/>
          <w:lang w:val="en-GB" w:eastAsia="en-GB"/>
        </w:rPr>
        <w:t>sugjerojmë</w:t>
      </w:r>
      <w:proofErr w:type="spellEnd"/>
      <w:r w:rsidRPr="008349A1">
        <w:rPr>
          <w:color w:val="000000"/>
          <w:lang w:val="en-GB" w:eastAsia="en-GB"/>
        </w:rPr>
        <w:t xml:space="preserve"> që në </w:t>
      </w:r>
      <w:proofErr w:type="spellStart"/>
      <w:r w:rsidRPr="008349A1">
        <w:rPr>
          <w:color w:val="000000"/>
          <w:lang w:val="en-GB" w:eastAsia="en-GB"/>
        </w:rPr>
        <w:t>relacionin</w:t>
      </w:r>
      <w:proofErr w:type="spellEnd"/>
      <w:r w:rsidRPr="008349A1">
        <w:rPr>
          <w:color w:val="000000"/>
          <w:lang w:val="en-GB" w:eastAsia="en-GB"/>
        </w:rPr>
        <w:t xml:space="preserve"> </w:t>
      </w:r>
      <w:proofErr w:type="spellStart"/>
      <w:r w:rsidRPr="008349A1">
        <w:rPr>
          <w:color w:val="000000"/>
          <w:lang w:val="en-GB" w:eastAsia="en-GB"/>
        </w:rPr>
        <w:t>shoqërues</w:t>
      </w:r>
      <w:proofErr w:type="spellEnd"/>
      <w:r w:rsidRPr="008349A1">
        <w:rPr>
          <w:color w:val="000000"/>
          <w:lang w:val="en-GB" w:eastAsia="en-GB"/>
        </w:rPr>
        <w:t xml:space="preserve"> të </w:t>
      </w:r>
      <w:proofErr w:type="spellStart"/>
      <w:r w:rsidRPr="008349A1">
        <w:rPr>
          <w:color w:val="000000"/>
          <w:lang w:val="en-GB" w:eastAsia="en-GB"/>
        </w:rPr>
        <w:t>hiqen</w:t>
      </w:r>
      <w:proofErr w:type="spellEnd"/>
      <w:r w:rsidRPr="008349A1">
        <w:rPr>
          <w:color w:val="000000"/>
          <w:lang w:val="en-GB" w:eastAsia="en-GB"/>
        </w:rPr>
        <w:t xml:space="preserve"> </w:t>
      </w:r>
      <w:proofErr w:type="spellStart"/>
      <w:r w:rsidRPr="008349A1">
        <w:rPr>
          <w:color w:val="000000"/>
          <w:lang w:val="en-GB" w:eastAsia="en-GB"/>
        </w:rPr>
        <w:t>parashikimet</w:t>
      </w:r>
      <w:proofErr w:type="spellEnd"/>
      <w:r w:rsidRPr="008349A1">
        <w:rPr>
          <w:color w:val="000000"/>
          <w:lang w:val="en-GB" w:eastAsia="en-GB"/>
        </w:rPr>
        <w:t xml:space="preserve"> lidhur me </w:t>
      </w:r>
      <w:proofErr w:type="spellStart"/>
      <w:r w:rsidRPr="008349A1">
        <w:rPr>
          <w:color w:val="000000"/>
          <w:lang w:val="en-GB" w:eastAsia="en-GB"/>
        </w:rPr>
        <w:t>uljen</w:t>
      </w:r>
      <w:proofErr w:type="spellEnd"/>
      <w:r w:rsidRPr="008349A1">
        <w:rPr>
          <w:color w:val="000000"/>
          <w:lang w:val="en-GB" w:eastAsia="en-GB"/>
        </w:rPr>
        <w:t xml:space="preserve"> e </w:t>
      </w:r>
      <w:proofErr w:type="spellStart"/>
      <w:r w:rsidRPr="008349A1">
        <w:rPr>
          <w:color w:val="000000"/>
          <w:lang w:val="en-GB" w:eastAsia="en-GB"/>
        </w:rPr>
        <w:t>barrierës</w:t>
      </w:r>
      <w:proofErr w:type="spellEnd"/>
      <w:r w:rsidRPr="008349A1">
        <w:rPr>
          <w:color w:val="000000"/>
          <w:lang w:val="en-GB" w:eastAsia="en-GB"/>
        </w:rPr>
        <w:t xml:space="preserve"> administrative për </w:t>
      </w:r>
      <w:proofErr w:type="spellStart"/>
      <w:r w:rsidRPr="008349A1">
        <w:rPr>
          <w:color w:val="000000"/>
          <w:lang w:val="en-GB" w:eastAsia="en-GB"/>
        </w:rPr>
        <w:t>lëvizjen</w:t>
      </w:r>
      <w:proofErr w:type="spellEnd"/>
      <w:r w:rsidRPr="008349A1">
        <w:rPr>
          <w:color w:val="000000"/>
          <w:lang w:val="en-GB" w:eastAsia="en-GB"/>
        </w:rPr>
        <w:t xml:space="preserve"> </w:t>
      </w:r>
      <w:proofErr w:type="spellStart"/>
      <w:r w:rsidRPr="008349A1">
        <w:rPr>
          <w:color w:val="000000"/>
          <w:lang w:val="en-GB" w:eastAsia="en-GB"/>
        </w:rPr>
        <w:t>dhe</w:t>
      </w:r>
      <w:proofErr w:type="spellEnd"/>
      <w:r w:rsidRPr="008349A1">
        <w:rPr>
          <w:color w:val="000000"/>
          <w:lang w:val="en-GB" w:eastAsia="en-GB"/>
        </w:rPr>
        <w:t xml:space="preserve"> </w:t>
      </w:r>
      <w:proofErr w:type="spellStart"/>
      <w:r w:rsidRPr="008349A1">
        <w:rPr>
          <w:color w:val="000000"/>
          <w:lang w:val="en-GB" w:eastAsia="en-GB"/>
        </w:rPr>
        <w:t>qëndrimin</w:t>
      </w:r>
      <w:proofErr w:type="spellEnd"/>
      <w:r w:rsidRPr="008349A1">
        <w:rPr>
          <w:color w:val="000000"/>
          <w:lang w:val="en-GB" w:eastAsia="en-GB"/>
        </w:rPr>
        <w:t xml:space="preserve"> në </w:t>
      </w:r>
      <w:proofErr w:type="spellStart"/>
      <w:r w:rsidRPr="008349A1">
        <w:rPr>
          <w:color w:val="000000"/>
          <w:lang w:val="en-GB" w:eastAsia="en-GB"/>
        </w:rPr>
        <w:t>territorin</w:t>
      </w:r>
      <w:proofErr w:type="spellEnd"/>
      <w:r w:rsidRPr="008349A1">
        <w:rPr>
          <w:color w:val="000000"/>
          <w:lang w:val="en-GB" w:eastAsia="en-GB"/>
        </w:rPr>
        <w:t xml:space="preserve"> e </w:t>
      </w:r>
      <w:proofErr w:type="spellStart"/>
      <w:r w:rsidRPr="008349A1">
        <w:rPr>
          <w:color w:val="000000"/>
          <w:lang w:val="en-GB" w:eastAsia="en-GB"/>
        </w:rPr>
        <w:t>Republikës</w:t>
      </w:r>
      <w:proofErr w:type="spellEnd"/>
      <w:r w:rsidRPr="008349A1">
        <w:rPr>
          <w:color w:val="000000"/>
          <w:lang w:val="en-GB" w:eastAsia="en-GB"/>
        </w:rPr>
        <w:t xml:space="preserve"> së </w:t>
      </w:r>
      <w:proofErr w:type="spellStart"/>
      <w:r w:rsidRPr="008349A1">
        <w:rPr>
          <w:color w:val="000000"/>
          <w:lang w:val="en-GB" w:eastAsia="en-GB"/>
        </w:rPr>
        <w:t>Shqipërisë</w:t>
      </w:r>
      <w:proofErr w:type="spellEnd"/>
      <w:r w:rsidRPr="008349A1">
        <w:rPr>
          <w:color w:val="000000"/>
          <w:lang w:val="en-GB" w:eastAsia="en-GB"/>
        </w:rPr>
        <w:t xml:space="preserve">, pasi </w:t>
      </w:r>
      <w:proofErr w:type="spellStart"/>
      <w:r w:rsidRPr="008349A1">
        <w:rPr>
          <w:color w:val="000000"/>
          <w:lang w:val="en-GB" w:eastAsia="en-GB"/>
        </w:rPr>
        <w:t>legjislacioni</w:t>
      </w:r>
      <w:proofErr w:type="spellEnd"/>
      <w:r w:rsidRPr="008349A1">
        <w:rPr>
          <w:color w:val="000000"/>
          <w:lang w:val="en-GB" w:eastAsia="en-GB"/>
        </w:rPr>
        <w:t xml:space="preserve"> në fuqi për të huajt ka </w:t>
      </w:r>
      <w:proofErr w:type="spellStart"/>
      <w:r w:rsidRPr="008349A1">
        <w:rPr>
          <w:color w:val="000000"/>
          <w:lang w:val="en-GB" w:eastAsia="en-GB"/>
        </w:rPr>
        <w:t>parashikuar</w:t>
      </w:r>
      <w:proofErr w:type="spellEnd"/>
      <w:r w:rsidRPr="008349A1">
        <w:rPr>
          <w:color w:val="000000"/>
          <w:lang w:val="en-GB" w:eastAsia="en-GB"/>
        </w:rPr>
        <w:t xml:space="preserve"> të </w:t>
      </w:r>
      <w:proofErr w:type="spellStart"/>
      <w:r w:rsidRPr="008349A1">
        <w:rPr>
          <w:color w:val="000000"/>
          <w:lang w:val="en-GB" w:eastAsia="en-GB"/>
        </w:rPr>
        <w:t>gjitha</w:t>
      </w:r>
      <w:proofErr w:type="spellEnd"/>
      <w:r w:rsidRPr="008349A1">
        <w:rPr>
          <w:color w:val="000000"/>
          <w:lang w:val="en-GB" w:eastAsia="en-GB"/>
        </w:rPr>
        <w:t xml:space="preserve"> </w:t>
      </w:r>
      <w:proofErr w:type="spellStart"/>
      <w:r w:rsidRPr="008349A1">
        <w:rPr>
          <w:color w:val="000000"/>
          <w:lang w:val="en-GB" w:eastAsia="en-GB"/>
        </w:rPr>
        <w:t>procedurat</w:t>
      </w:r>
      <w:proofErr w:type="spellEnd"/>
      <w:r w:rsidRPr="008349A1">
        <w:rPr>
          <w:color w:val="000000"/>
          <w:lang w:val="en-GB" w:eastAsia="en-GB"/>
        </w:rPr>
        <w:t xml:space="preserve"> </w:t>
      </w:r>
      <w:proofErr w:type="spellStart"/>
      <w:r w:rsidRPr="008349A1">
        <w:rPr>
          <w:color w:val="000000"/>
          <w:lang w:val="en-GB" w:eastAsia="en-GB"/>
        </w:rPr>
        <w:t>dhe</w:t>
      </w:r>
      <w:proofErr w:type="spellEnd"/>
      <w:r w:rsidRPr="008349A1">
        <w:rPr>
          <w:color w:val="000000"/>
          <w:lang w:val="en-GB" w:eastAsia="en-GB"/>
        </w:rPr>
        <w:t xml:space="preserve"> </w:t>
      </w:r>
      <w:proofErr w:type="spellStart"/>
      <w:r w:rsidRPr="008349A1">
        <w:rPr>
          <w:color w:val="000000"/>
          <w:lang w:val="en-GB" w:eastAsia="en-GB"/>
        </w:rPr>
        <w:t>lehtësirat</w:t>
      </w:r>
      <w:proofErr w:type="spellEnd"/>
      <w:r w:rsidRPr="008349A1">
        <w:rPr>
          <w:color w:val="000000"/>
          <w:lang w:val="en-GB" w:eastAsia="en-GB"/>
        </w:rPr>
        <w:t xml:space="preserve"> administrative lidhur me </w:t>
      </w:r>
      <w:proofErr w:type="spellStart"/>
      <w:r w:rsidRPr="008349A1">
        <w:rPr>
          <w:color w:val="000000"/>
          <w:lang w:val="en-GB" w:eastAsia="en-GB"/>
        </w:rPr>
        <w:t>hyrjen</w:t>
      </w:r>
      <w:proofErr w:type="spellEnd"/>
      <w:r w:rsidRPr="008349A1">
        <w:rPr>
          <w:color w:val="000000"/>
          <w:lang w:val="en-GB" w:eastAsia="en-GB"/>
        </w:rPr>
        <w:t xml:space="preserve">, </w:t>
      </w:r>
      <w:proofErr w:type="spellStart"/>
      <w:r w:rsidRPr="008349A1">
        <w:rPr>
          <w:color w:val="000000"/>
          <w:lang w:val="en-GB" w:eastAsia="en-GB"/>
        </w:rPr>
        <w:t>qëndrimin</w:t>
      </w:r>
      <w:proofErr w:type="spellEnd"/>
      <w:r w:rsidRPr="008349A1">
        <w:rPr>
          <w:color w:val="000000"/>
          <w:lang w:val="en-GB" w:eastAsia="en-GB"/>
        </w:rPr>
        <w:t xml:space="preserve"> </w:t>
      </w:r>
      <w:proofErr w:type="spellStart"/>
      <w:r w:rsidRPr="008349A1">
        <w:rPr>
          <w:color w:val="000000"/>
          <w:lang w:val="en-GB" w:eastAsia="en-GB"/>
        </w:rPr>
        <w:t>dhe</w:t>
      </w:r>
      <w:proofErr w:type="spellEnd"/>
      <w:r w:rsidRPr="008349A1">
        <w:rPr>
          <w:color w:val="000000"/>
          <w:lang w:val="en-GB" w:eastAsia="en-GB"/>
        </w:rPr>
        <w:t xml:space="preserve"> miratimin e </w:t>
      </w:r>
      <w:proofErr w:type="spellStart"/>
      <w:r w:rsidRPr="008349A1">
        <w:rPr>
          <w:color w:val="000000"/>
          <w:lang w:val="en-GB" w:eastAsia="en-GB"/>
        </w:rPr>
        <w:t>punësimit</w:t>
      </w:r>
      <w:proofErr w:type="spellEnd"/>
      <w:r w:rsidRPr="008349A1">
        <w:rPr>
          <w:color w:val="000000"/>
          <w:lang w:val="en-GB" w:eastAsia="en-GB"/>
        </w:rPr>
        <w:t xml:space="preserve"> të tyr</w:t>
      </w:r>
      <w:r w:rsidR="00084C30">
        <w:rPr>
          <w:color w:val="000000"/>
          <w:lang w:val="en-GB" w:eastAsia="en-GB"/>
        </w:rPr>
        <w:t xml:space="preserve">e </w:t>
      </w:r>
      <w:proofErr w:type="spellStart"/>
      <w:r w:rsidRPr="008349A1">
        <w:rPr>
          <w:color w:val="000000"/>
          <w:lang w:val="en-GB" w:eastAsia="en-GB"/>
        </w:rPr>
        <w:t>pajisjen</w:t>
      </w:r>
      <w:proofErr w:type="spellEnd"/>
      <w:r w:rsidRPr="008349A1">
        <w:rPr>
          <w:color w:val="000000"/>
          <w:lang w:val="en-GB" w:eastAsia="en-GB"/>
        </w:rPr>
        <w:t xml:space="preserve"> me </w:t>
      </w:r>
      <w:proofErr w:type="spellStart"/>
      <w:r w:rsidRPr="008349A1">
        <w:rPr>
          <w:color w:val="000000"/>
          <w:lang w:val="en-GB" w:eastAsia="en-GB"/>
        </w:rPr>
        <w:t>vizë</w:t>
      </w:r>
      <w:proofErr w:type="spellEnd"/>
      <w:r w:rsidRPr="008349A1">
        <w:rPr>
          <w:color w:val="000000"/>
          <w:lang w:val="en-GB" w:eastAsia="en-GB"/>
        </w:rPr>
        <w:t xml:space="preserve">, </w:t>
      </w:r>
      <w:proofErr w:type="spellStart"/>
      <w:r w:rsidRPr="008349A1">
        <w:rPr>
          <w:color w:val="000000"/>
          <w:lang w:val="en-GB" w:eastAsia="en-GB"/>
        </w:rPr>
        <w:t>miratim</w:t>
      </w:r>
      <w:proofErr w:type="spellEnd"/>
      <w:r w:rsidRPr="008349A1">
        <w:rPr>
          <w:color w:val="000000"/>
          <w:lang w:val="en-GB" w:eastAsia="en-GB"/>
        </w:rPr>
        <w:t xml:space="preserve"> </w:t>
      </w:r>
      <w:proofErr w:type="spellStart"/>
      <w:r w:rsidRPr="008349A1">
        <w:rPr>
          <w:color w:val="000000"/>
          <w:lang w:val="en-GB" w:eastAsia="en-GB"/>
        </w:rPr>
        <w:t>punësimi</w:t>
      </w:r>
      <w:proofErr w:type="spellEnd"/>
      <w:r w:rsidRPr="008349A1">
        <w:rPr>
          <w:color w:val="000000"/>
          <w:lang w:val="en-GB" w:eastAsia="en-GB"/>
        </w:rPr>
        <w:t xml:space="preserve"> </w:t>
      </w:r>
      <w:proofErr w:type="spellStart"/>
      <w:r w:rsidRPr="008349A1">
        <w:rPr>
          <w:color w:val="000000"/>
          <w:lang w:val="en-GB" w:eastAsia="en-GB"/>
        </w:rPr>
        <w:t>dhe</w:t>
      </w:r>
      <w:proofErr w:type="spellEnd"/>
      <w:r w:rsidRPr="008349A1">
        <w:rPr>
          <w:color w:val="000000"/>
          <w:lang w:val="en-GB" w:eastAsia="en-GB"/>
        </w:rPr>
        <w:t xml:space="preserve"> leje </w:t>
      </w:r>
      <w:proofErr w:type="spellStart"/>
      <w:r w:rsidRPr="008349A1">
        <w:rPr>
          <w:color w:val="000000"/>
          <w:lang w:val="en-GB" w:eastAsia="en-GB"/>
        </w:rPr>
        <w:t>unike</w:t>
      </w:r>
      <w:proofErr w:type="spellEnd"/>
      <w:r w:rsidRPr="008349A1">
        <w:rPr>
          <w:color w:val="000000"/>
          <w:lang w:val="en-GB" w:eastAsia="en-GB"/>
        </w:rPr>
        <w:t xml:space="preserve"> për </w:t>
      </w:r>
      <w:proofErr w:type="spellStart"/>
      <w:r w:rsidRPr="008349A1">
        <w:rPr>
          <w:color w:val="000000"/>
          <w:lang w:val="en-GB" w:eastAsia="en-GB"/>
        </w:rPr>
        <w:t>pun</w:t>
      </w:r>
      <w:r w:rsidR="00084C30">
        <w:rPr>
          <w:color w:val="000000"/>
          <w:lang w:val="en-GB" w:eastAsia="en-GB"/>
        </w:rPr>
        <w:t>o</w:t>
      </w:r>
      <w:r w:rsidRPr="008349A1">
        <w:rPr>
          <w:color w:val="000000"/>
          <w:lang w:val="en-GB" w:eastAsia="en-GB"/>
        </w:rPr>
        <w:t>njësit</w:t>
      </w:r>
      <w:proofErr w:type="spellEnd"/>
      <w:r w:rsidRPr="008349A1">
        <w:rPr>
          <w:color w:val="000000"/>
          <w:lang w:val="en-GB" w:eastAsia="en-GB"/>
        </w:rPr>
        <w:t xml:space="preserve"> </w:t>
      </w:r>
      <w:proofErr w:type="spellStart"/>
      <w:r w:rsidRPr="008349A1">
        <w:rPr>
          <w:color w:val="000000"/>
          <w:lang w:val="en-GB" w:eastAsia="en-GB"/>
        </w:rPr>
        <w:t>digjital</w:t>
      </w:r>
      <w:proofErr w:type="spellEnd"/>
      <w:r w:rsidRPr="008349A1">
        <w:rPr>
          <w:color w:val="000000"/>
          <w:lang w:val="en-GB" w:eastAsia="en-GB"/>
        </w:rPr>
        <w:t xml:space="preserve">, me </w:t>
      </w:r>
      <w:proofErr w:type="spellStart"/>
      <w:r w:rsidRPr="008349A1">
        <w:rPr>
          <w:color w:val="000000"/>
          <w:lang w:val="en-GB" w:eastAsia="en-GB"/>
        </w:rPr>
        <w:t>një</w:t>
      </w:r>
      <w:proofErr w:type="spellEnd"/>
      <w:r w:rsidRPr="008349A1">
        <w:rPr>
          <w:color w:val="000000"/>
          <w:lang w:val="en-GB" w:eastAsia="en-GB"/>
        </w:rPr>
        <w:t xml:space="preserve"> </w:t>
      </w:r>
      <w:proofErr w:type="spellStart"/>
      <w:r w:rsidRPr="008349A1">
        <w:rPr>
          <w:color w:val="000000"/>
          <w:lang w:val="en-GB" w:eastAsia="en-GB"/>
        </w:rPr>
        <w:t>aplikim</w:t>
      </w:r>
      <w:proofErr w:type="spellEnd"/>
      <w:r w:rsidRPr="008349A1">
        <w:rPr>
          <w:color w:val="000000"/>
          <w:lang w:val="en-GB" w:eastAsia="en-GB"/>
        </w:rPr>
        <w:t xml:space="preserve"> të </w:t>
      </w:r>
      <w:proofErr w:type="spellStart"/>
      <w:r w:rsidRPr="008349A1">
        <w:rPr>
          <w:color w:val="000000"/>
          <w:lang w:val="en-GB" w:eastAsia="en-GB"/>
        </w:rPr>
        <w:t>vetëm</w:t>
      </w:r>
      <w:proofErr w:type="spellEnd"/>
      <w:r w:rsidRPr="008349A1">
        <w:rPr>
          <w:color w:val="000000"/>
          <w:lang w:val="en-GB" w:eastAsia="en-GB"/>
        </w:rPr>
        <w:t xml:space="preserve"> online.</w:t>
      </w:r>
    </w:p>
    <w:p w14:paraId="04938D4D" w14:textId="77777777" w:rsidR="008349A1" w:rsidRPr="008349A1" w:rsidRDefault="008349A1" w:rsidP="00084C30">
      <w:pPr>
        <w:spacing w:before="100" w:beforeAutospacing="1" w:after="100" w:afterAutospacing="1"/>
        <w:jc w:val="both"/>
        <w:rPr>
          <w:color w:val="000000"/>
          <w:lang w:val="en-GB" w:eastAsia="en-GB"/>
        </w:rPr>
      </w:pPr>
      <w:r w:rsidRPr="008349A1">
        <w:rPr>
          <w:color w:val="000000"/>
          <w:lang w:val="en-GB" w:eastAsia="en-GB"/>
        </w:rPr>
        <w:lastRenderedPageBreak/>
        <w:t xml:space="preserve">Në të </w:t>
      </w:r>
      <w:proofErr w:type="spellStart"/>
      <w:r w:rsidRPr="008349A1">
        <w:rPr>
          <w:color w:val="000000"/>
          <w:lang w:val="en-GB" w:eastAsia="en-GB"/>
        </w:rPr>
        <w:t>gjithë</w:t>
      </w:r>
      <w:proofErr w:type="spellEnd"/>
      <w:r w:rsidRPr="008349A1">
        <w:rPr>
          <w:color w:val="000000"/>
          <w:lang w:val="en-GB" w:eastAsia="en-GB"/>
        </w:rPr>
        <w:t xml:space="preserve"> </w:t>
      </w:r>
      <w:proofErr w:type="spellStart"/>
      <w:r w:rsidRPr="008349A1">
        <w:rPr>
          <w:color w:val="000000"/>
          <w:lang w:val="en-GB" w:eastAsia="en-GB"/>
        </w:rPr>
        <w:t>përmbajtjen</w:t>
      </w:r>
      <w:proofErr w:type="spellEnd"/>
      <w:r w:rsidRPr="008349A1">
        <w:rPr>
          <w:color w:val="000000"/>
          <w:lang w:val="en-GB" w:eastAsia="en-GB"/>
        </w:rPr>
        <w:t xml:space="preserve"> e </w:t>
      </w:r>
      <w:proofErr w:type="spellStart"/>
      <w:r w:rsidRPr="008349A1">
        <w:rPr>
          <w:color w:val="000000"/>
          <w:lang w:val="en-GB" w:eastAsia="en-GB"/>
        </w:rPr>
        <w:t>relacionit</w:t>
      </w:r>
      <w:proofErr w:type="spellEnd"/>
      <w:r w:rsidRPr="008349A1">
        <w:rPr>
          <w:color w:val="000000"/>
          <w:lang w:val="en-GB" w:eastAsia="en-GB"/>
        </w:rPr>
        <w:t xml:space="preserve"> </w:t>
      </w:r>
      <w:proofErr w:type="spellStart"/>
      <w:r w:rsidRPr="008349A1">
        <w:rPr>
          <w:color w:val="000000"/>
          <w:lang w:val="en-GB" w:eastAsia="en-GB"/>
        </w:rPr>
        <w:t>shoqërues</w:t>
      </w:r>
      <w:proofErr w:type="spellEnd"/>
      <w:r w:rsidRPr="008349A1">
        <w:rPr>
          <w:color w:val="000000"/>
          <w:lang w:val="en-GB" w:eastAsia="en-GB"/>
        </w:rPr>
        <w:t xml:space="preserve">, </w:t>
      </w:r>
      <w:proofErr w:type="spellStart"/>
      <w:r w:rsidRPr="008349A1">
        <w:rPr>
          <w:color w:val="000000"/>
          <w:lang w:val="en-GB" w:eastAsia="en-GB"/>
        </w:rPr>
        <w:t>sugjerojmë</w:t>
      </w:r>
      <w:proofErr w:type="spellEnd"/>
      <w:r w:rsidRPr="008349A1">
        <w:rPr>
          <w:color w:val="000000"/>
          <w:lang w:val="en-GB" w:eastAsia="en-GB"/>
        </w:rPr>
        <w:t xml:space="preserve"> që të </w:t>
      </w:r>
      <w:proofErr w:type="spellStart"/>
      <w:r w:rsidRPr="008349A1">
        <w:rPr>
          <w:color w:val="000000"/>
          <w:lang w:val="en-GB" w:eastAsia="en-GB"/>
        </w:rPr>
        <w:t>zëvendësohet</w:t>
      </w:r>
      <w:proofErr w:type="spellEnd"/>
      <w:r w:rsidRPr="008349A1">
        <w:rPr>
          <w:color w:val="000000"/>
          <w:lang w:val="en-GB" w:eastAsia="en-GB"/>
        </w:rPr>
        <w:t xml:space="preserve"> </w:t>
      </w:r>
      <w:proofErr w:type="spellStart"/>
      <w:r w:rsidRPr="008349A1">
        <w:rPr>
          <w:color w:val="000000"/>
          <w:lang w:val="en-GB" w:eastAsia="en-GB"/>
        </w:rPr>
        <w:t>togfjalëshi</w:t>
      </w:r>
      <w:proofErr w:type="spellEnd"/>
      <w:r w:rsidRPr="008349A1">
        <w:rPr>
          <w:color w:val="000000"/>
          <w:lang w:val="en-GB" w:eastAsia="en-GB"/>
        </w:rPr>
        <w:t xml:space="preserve"> “nomad </w:t>
      </w:r>
      <w:proofErr w:type="spellStart"/>
      <w:r w:rsidRPr="008349A1">
        <w:rPr>
          <w:color w:val="000000"/>
          <w:lang w:val="en-GB" w:eastAsia="en-GB"/>
        </w:rPr>
        <w:t>digjital</w:t>
      </w:r>
      <w:proofErr w:type="spellEnd"/>
      <w:r w:rsidRPr="008349A1">
        <w:rPr>
          <w:color w:val="000000"/>
          <w:lang w:val="en-GB" w:eastAsia="en-GB"/>
        </w:rPr>
        <w:t xml:space="preserve">”, me </w:t>
      </w:r>
      <w:proofErr w:type="spellStart"/>
      <w:r w:rsidRPr="008349A1">
        <w:rPr>
          <w:color w:val="000000"/>
          <w:lang w:val="en-GB" w:eastAsia="en-GB"/>
        </w:rPr>
        <w:t>togfjalëshin</w:t>
      </w:r>
      <w:proofErr w:type="spellEnd"/>
      <w:r w:rsidRPr="008349A1">
        <w:rPr>
          <w:color w:val="000000"/>
          <w:lang w:val="en-GB" w:eastAsia="en-GB"/>
        </w:rPr>
        <w:t xml:space="preserve"> “</w:t>
      </w:r>
      <w:proofErr w:type="spellStart"/>
      <w:r w:rsidRPr="008349A1">
        <w:rPr>
          <w:color w:val="000000"/>
          <w:lang w:val="en-GB" w:eastAsia="en-GB"/>
        </w:rPr>
        <w:t>punonjës</w:t>
      </w:r>
      <w:proofErr w:type="spellEnd"/>
      <w:r w:rsidRPr="008349A1">
        <w:rPr>
          <w:color w:val="000000"/>
          <w:lang w:val="en-GB" w:eastAsia="en-GB"/>
        </w:rPr>
        <w:t xml:space="preserve"> </w:t>
      </w:r>
      <w:proofErr w:type="spellStart"/>
      <w:r w:rsidRPr="008349A1">
        <w:rPr>
          <w:color w:val="000000"/>
          <w:lang w:val="en-GB" w:eastAsia="en-GB"/>
        </w:rPr>
        <w:t>lëvizës</w:t>
      </w:r>
      <w:proofErr w:type="spellEnd"/>
      <w:r w:rsidRPr="008349A1">
        <w:rPr>
          <w:color w:val="000000"/>
          <w:lang w:val="en-GB" w:eastAsia="en-GB"/>
        </w:rPr>
        <w:t xml:space="preserve"> </w:t>
      </w:r>
      <w:proofErr w:type="spellStart"/>
      <w:r w:rsidRPr="008349A1">
        <w:rPr>
          <w:color w:val="000000"/>
          <w:lang w:val="en-GB" w:eastAsia="en-GB"/>
        </w:rPr>
        <w:t>digjital</w:t>
      </w:r>
      <w:proofErr w:type="spellEnd"/>
      <w:r w:rsidRPr="008349A1">
        <w:rPr>
          <w:color w:val="000000"/>
          <w:lang w:val="en-GB" w:eastAsia="en-GB"/>
        </w:rPr>
        <w:t>”.”</w:t>
      </w:r>
    </w:p>
    <w:p w14:paraId="2BA07314" w14:textId="77777777" w:rsidR="008349A1" w:rsidRPr="008349A1" w:rsidRDefault="008349A1" w:rsidP="00084C30">
      <w:pPr>
        <w:spacing w:before="100" w:beforeAutospacing="1" w:after="100" w:afterAutospacing="1"/>
        <w:jc w:val="both"/>
        <w:rPr>
          <w:b/>
          <w:bCs/>
          <w:color w:val="000000"/>
          <w:lang w:val="en-GB" w:eastAsia="en-GB"/>
        </w:rPr>
      </w:pPr>
      <w:proofErr w:type="spellStart"/>
      <w:r w:rsidRPr="008349A1">
        <w:rPr>
          <w:b/>
          <w:bCs/>
          <w:color w:val="000000"/>
          <w:lang w:val="en-GB" w:eastAsia="en-GB"/>
        </w:rPr>
        <w:t>Këto</w:t>
      </w:r>
      <w:proofErr w:type="spellEnd"/>
      <w:r w:rsidRPr="008349A1">
        <w:rPr>
          <w:b/>
          <w:bCs/>
          <w:color w:val="000000"/>
          <w:lang w:val="en-GB" w:eastAsia="en-GB"/>
        </w:rPr>
        <w:t xml:space="preserve"> </w:t>
      </w:r>
      <w:proofErr w:type="spellStart"/>
      <w:r w:rsidRPr="008349A1">
        <w:rPr>
          <w:b/>
          <w:bCs/>
          <w:color w:val="000000"/>
          <w:lang w:val="en-GB" w:eastAsia="en-GB"/>
        </w:rPr>
        <w:t>komente</w:t>
      </w:r>
      <w:proofErr w:type="spellEnd"/>
      <w:r w:rsidRPr="008349A1">
        <w:rPr>
          <w:b/>
          <w:bCs/>
          <w:color w:val="000000"/>
          <w:lang w:val="en-GB" w:eastAsia="en-GB"/>
        </w:rPr>
        <w:t xml:space="preserve"> </w:t>
      </w:r>
      <w:proofErr w:type="spellStart"/>
      <w:r w:rsidRPr="008349A1">
        <w:rPr>
          <w:b/>
          <w:bCs/>
          <w:color w:val="000000"/>
          <w:lang w:val="en-GB" w:eastAsia="en-GB"/>
        </w:rPr>
        <w:t>janë</w:t>
      </w:r>
      <w:proofErr w:type="spellEnd"/>
      <w:r w:rsidRPr="008349A1">
        <w:rPr>
          <w:b/>
          <w:bCs/>
          <w:color w:val="000000"/>
          <w:lang w:val="en-GB" w:eastAsia="en-GB"/>
        </w:rPr>
        <w:t xml:space="preserve"> </w:t>
      </w:r>
      <w:proofErr w:type="spellStart"/>
      <w:r w:rsidRPr="008349A1">
        <w:rPr>
          <w:b/>
          <w:bCs/>
          <w:color w:val="000000"/>
          <w:lang w:val="en-GB" w:eastAsia="en-GB"/>
        </w:rPr>
        <w:t>reflektuar</w:t>
      </w:r>
      <w:proofErr w:type="spellEnd"/>
      <w:r w:rsidRPr="008349A1">
        <w:rPr>
          <w:b/>
          <w:bCs/>
          <w:color w:val="000000"/>
          <w:lang w:val="en-GB" w:eastAsia="en-GB"/>
        </w:rPr>
        <w:t xml:space="preserve"> në </w:t>
      </w:r>
      <w:proofErr w:type="spellStart"/>
      <w:r w:rsidRPr="008349A1">
        <w:rPr>
          <w:b/>
          <w:bCs/>
          <w:color w:val="000000"/>
          <w:lang w:val="en-GB" w:eastAsia="en-GB"/>
        </w:rPr>
        <w:t>projektligj</w:t>
      </w:r>
      <w:proofErr w:type="spellEnd"/>
      <w:r w:rsidRPr="008349A1">
        <w:rPr>
          <w:b/>
          <w:bCs/>
          <w:color w:val="000000"/>
          <w:lang w:val="en-GB" w:eastAsia="en-GB"/>
        </w:rPr>
        <w:t xml:space="preserve"> </w:t>
      </w:r>
      <w:proofErr w:type="spellStart"/>
      <w:r w:rsidRPr="008349A1">
        <w:rPr>
          <w:b/>
          <w:bCs/>
          <w:color w:val="000000"/>
          <w:lang w:val="en-GB" w:eastAsia="en-GB"/>
        </w:rPr>
        <w:t>dhe</w:t>
      </w:r>
      <w:proofErr w:type="spellEnd"/>
      <w:r w:rsidRPr="008349A1">
        <w:rPr>
          <w:b/>
          <w:bCs/>
          <w:color w:val="000000"/>
          <w:lang w:val="en-GB" w:eastAsia="en-GB"/>
        </w:rPr>
        <w:t xml:space="preserve"> në </w:t>
      </w:r>
      <w:proofErr w:type="spellStart"/>
      <w:r w:rsidRPr="008349A1">
        <w:rPr>
          <w:b/>
          <w:bCs/>
          <w:color w:val="000000"/>
          <w:lang w:val="en-GB" w:eastAsia="en-GB"/>
        </w:rPr>
        <w:t>relacionin</w:t>
      </w:r>
      <w:proofErr w:type="spellEnd"/>
      <w:r w:rsidRPr="008349A1">
        <w:rPr>
          <w:b/>
          <w:bCs/>
          <w:color w:val="000000"/>
          <w:lang w:val="en-GB" w:eastAsia="en-GB"/>
        </w:rPr>
        <w:t xml:space="preserve"> e tij.</w:t>
      </w:r>
    </w:p>
    <w:p w14:paraId="456B9145" w14:textId="20DB9B88" w:rsidR="008349A1" w:rsidRPr="008349A1" w:rsidRDefault="00EF2040" w:rsidP="00084C30">
      <w:pPr>
        <w:spacing w:before="100" w:beforeAutospacing="1" w:after="100" w:afterAutospacing="1"/>
        <w:jc w:val="both"/>
        <w:rPr>
          <w:color w:val="000000"/>
          <w:u w:val="single"/>
          <w:lang w:val="en-GB" w:eastAsia="en-GB"/>
        </w:rPr>
      </w:pPr>
      <w:r w:rsidRPr="00EF2040">
        <w:rPr>
          <w:color w:val="000000"/>
          <w:u w:val="single"/>
          <w:lang w:val="en-GB" w:eastAsia="en-GB"/>
        </w:rPr>
        <w:t>v</w:t>
      </w:r>
      <w:r w:rsidR="008349A1" w:rsidRPr="008349A1">
        <w:rPr>
          <w:color w:val="000000"/>
          <w:u w:val="single"/>
          <w:lang w:val="en-GB" w:eastAsia="en-GB"/>
        </w:rPr>
        <w:t xml:space="preserve">. Sipas </w:t>
      </w:r>
      <w:proofErr w:type="spellStart"/>
      <w:r w:rsidR="008349A1" w:rsidRPr="008349A1">
        <w:rPr>
          <w:color w:val="000000"/>
          <w:u w:val="single"/>
          <w:lang w:val="en-GB" w:eastAsia="en-GB"/>
        </w:rPr>
        <w:t>shkresës</w:t>
      </w:r>
      <w:proofErr w:type="spellEnd"/>
      <w:r w:rsidR="008349A1" w:rsidRPr="008349A1">
        <w:rPr>
          <w:color w:val="000000"/>
          <w:u w:val="single"/>
          <w:lang w:val="en-GB" w:eastAsia="en-GB"/>
        </w:rPr>
        <w:t xml:space="preserve"> së </w:t>
      </w:r>
      <w:proofErr w:type="spellStart"/>
      <w:r w:rsidR="008349A1" w:rsidRPr="008349A1">
        <w:rPr>
          <w:color w:val="000000"/>
          <w:u w:val="single"/>
          <w:lang w:val="en-GB" w:eastAsia="en-GB"/>
        </w:rPr>
        <w:t>përcjellë</w:t>
      </w:r>
      <w:proofErr w:type="spellEnd"/>
      <w:r w:rsidR="008349A1" w:rsidRPr="008349A1">
        <w:rPr>
          <w:color w:val="000000"/>
          <w:u w:val="single"/>
          <w:lang w:val="en-GB" w:eastAsia="en-GB"/>
        </w:rPr>
        <w:t xml:space="preserve"> </w:t>
      </w:r>
      <w:proofErr w:type="spellStart"/>
      <w:r w:rsidR="008349A1" w:rsidRPr="008349A1">
        <w:rPr>
          <w:color w:val="000000"/>
          <w:u w:val="single"/>
          <w:lang w:val="en-GB" w:eastAsia="en-GB"/>
        </w:rPr>
        <w:t>nga</w:t>
      </w:r>
      <w:proofErr w:type="spellEnd"/>
      <w:r w:rsidR="008349A1" w:rsidRPr="008349A1">
        <w:rPr>
          <w:color w:val="000000"/>
          <w:u w:val="single"/>
          <w:lang w:val="en-GB" w:eastAsia="en-GB"/>
        </w:rPr>
        <w:t xml:space="preserve"> </w:t>
      </w:r>
      <w:proofErr w:type="spellStart"/>
      <w:r w:rsidR="008349A1" w:rsidRPr="008349A1">
        <w:rPr>
          <w:color w:val="000000"/>
          <w:u w:val="single"/>
          <w:lang w:val="en-GB" w:eastAsia="en-GB"/>
        </w:rPr>
        <w:t>Departamenti</w:t>
      </w:r>
      <w:proofErr w:type="spellEnd"/>
      <w:r w:rsidR="008349A1" w:rsidRPr="008349A1">
        <w:rPr>
          <w:color w:val="000000"/>
          <w:u w:val="single"/>
          <w:lang w:val="en-GB" w:eastAsia="en-GB"/>
        </w:rPr>
        <w:t xml:space="preserve"> </w:t>
      </w:r>
      <w:proofErr w:type="spellStart"/>
      <w:r w:rsidR="008349A1" w:rsidRPr="008349A1">
        <w:rPr>
          <w:color w:val="000000"/>
          <w:u w:val="single"/>
          <w:lang w:val="en-GB" w:eastAsia="en-GB"/>
        </w:rPr>
        <w:t>i</w:t>
      </w:r>
      <w:proofErr w:type="spellEnd"/>
      <w:r w:rsidR="008349A1" w:rsidRPr="008349A1">
        <w:rPr>
          <w:color w:val="000000"/>
          <w:u w:val="single"/>
          <w:lang w:val="en-GB" w:eastAsia="en-GB"/>
        </w:rPr>
        <w:t xml:space="preserve"> </w:t>
      </w:r>
      <w:proofErr w:type="spellStart"/>
      <w:r w:rsidR="008349A1" w:rsidRPr="008349A1">
        <w:rPr>
          <w:color w:val="000000"/>
          <w:u w:val="single"/>
          <w:lang w:val="en-GB" w:eastAsia="en-GB"/>
        </w:rPr>
        <w:t>Administratës</w:t>
      </w:r>
      <w:proofErr w:type="spellEnd"/>
      <w:r w:rsidR="008349A1" w:rsidRPr="008349A1">
        <w:rPr>
          <w:color w:val="000000"/>
          <w:u w:val="single"/>
          <w:lang w:val="en-GB" w:eastAsia="en-GB"/>
        </w:rPr>
        <w:t xml:space="preserve"> Publike, </w:t>
      </w:r>
      <w:proofErr w:type="spellStart"/>
      <w:r w:rsidR="008349A1" w:rsidRPr="008349A1">
        <w:rPr>
          <w:color w:val="000000"/>
          <w:u w:val="single"/>
          <w:lang w:val="en-GB" w:eastAsia="en-GB"/>
        </w:rPr>
        <w:t>komentet</w:t>
      </w:r>
      <w:proofErr w:type="spellEnd"/>
      <w:r w:rsidR="008349A1" w:rsidRPr="008349A1">
        <w:rPr>
          <w:color w:val="000000"/>
          <w:u w:val="single"/>
          <w:lang w:val="en-GB" w:eastAsia="en-GB"/>
        </w:rPr>
        <w:t xml:space="preserve"> </w:t>
      </w:r>
      <w:proofErr w:type="spellStart"/>
      <w:r w:rsidR="008349A1" w:rsidRPr="008349A1">
        <w:rPr>
          <w:color w:val="000000"/>
          <w:u w:val="single"/>
          <w:lang w:val="en-GB" w:eastAsia="en-GB"/>
        </w:rPr>
        <w:t>ishin</w:t>
      </w:r>
      <w:proofErr w:type="spellEnd"/>
      <w:r w:rsidR="008349A1" w:rsidRPr="008349A1">
        <w:rPr>
          <w:color w:val="000000"/>
          <w:u w:val="single"/>
          <w:lang w:val="en-GB" w:eastAsia="en-GB"/>
        </w:rPr>
        <w:t>:</w:t>
      </w:r>
    </w:p>
    <w:p w14:paraId="4AB0D716" w14:textId="77777777" w:rsidR="008349A1" w:rsidRPr="008349A1" w:rsidRDefault="008349A1" w:rsidP="00084C30">
      <w:pPr>
        <w:spacing w:before="100" w:beforeAutospacing="1" w:after="100" w:afterAutospacing="1"/>
        <w:jc w:val="both"/>
        <w:rPr>
          <w:color w:val="000000"/>
          <w:lang w:val="en-GB" w:eastAsia="en-GB"/>
        </w:rPr>
      </w:pPr>
      <w:r w:rsidRPr="008349A1">
        <w:rPr>
          <w:color w:val="000000"/>
          <w:lang w:val="en-GB" w:eastAsia="en-GB"/>
        </w:rPr>
        <w:t xml:space="preserve">“Në vijim të </w:t>
      </w:r>
      <w:proofErr w:type="spellStart"/>
      <w:r w:rsidRPr="008349A1">
        <w:rPr>
          <w:color w:val="000000"/>
          <w:lang w:val="en-GB" w:eastAsia="en-GB"/>
        </w:rPr>
        <w:t>shkresës</w:t>
      </w:r>
      <w:proofErr w:type="spellEnd"/>
      <w:r w:rsidRPr="008349A1">
        <w:rPr>
          <w:color w:val="000000"/>
          <w:lang w:val="en-GB" w:eastAsia="en-GB"/>
        </w:rPr>
        <w:t xml:space="preserve"> </w:t>
      </w:r>
      <w:proofErr w:type="spellStart"/>
      <w:r w:rsidRPr="008349A1">
        <w:rPr>
          <w:color w:val="000000"/>
          <w:lang w:val="en-GB" w:eastAsia="en-GB"/>
        </w:rPr>
        <w:t>Suaj</w:t>
      </w:r>
      <w:proofErr w:type="spellEnd"/>
      <w:r w:rsidRPr="008349A1">
        <w:rPr>
          <w:color w:val="000000"/>
          <w:lang w:val="en-GB" w:eastAsia="en-GB"/>
        </w:rPr>
        <w:t xml:space="preserve"> nr. 1188, </w:t>
      </w:r>
      <w:proofErr w:type="spellStart"/>
      <w:r w:rsidRPr="008349A1">
        <w:rPr>
          <w:color w:val="000000"/>
          <w:lang w:val="en-GB" w:eastAsia="en-GB"/>
        </w:rPr>
        <w:t>datë</w:t>
      </w:r>
      <w:proofErr w:type="spellEnd"/>
      <w:r w:rsidRPr="008349A1">
        <w:rPr>
          <w:color w:val="000000"/>
          <w:lang w:val="en-GB" w:eastAsia="en-GB"/>
        </w:rPr>
        <w:t xml:space="preserve"> 09/03/2023 </w:t>
      </w:r>
      <w:proofErr w:type="spellStart"/>
      <w:r w:rsidRPr="008349A1">
        <w:rPr>
          <w:color w:val="000000"/>
          <w:lang w:val="en-GB" w:eastAsia="en-GB"/>
        </w:rPr>
        <w:t>dhe</w:t>
      </w:r>
      <w:proofErr w:type="spellEnd"/>
      <w:r w:rsidRPr="008349A1">
        <w:rPr>
          <w:color w:val="000000"/>
          <w:lang w:val="en-GB" w:eastAsia="en-GB"/>
        </w:rPr>
        <w:t xml:space="preserve"> </w:t>
      </w:r>
      <w:proofErr w:type="spellStart"/>
      <w:r w:rsidRPr="008349A1">
        <w:rPr>
          <w:color w:val="000000"/>
          <w:lang w:val="en-GB" w:eastAsia="en-GB"/>
        </w:rPr>
        <w:t>materialit</w:t>
      </w:r>
      <w:proofErr w:type="spellEnd"/>
      <w:r w:rsidRPr="008349A1">
        <w:rPr>
          <w:color w:val="000000"/>
          <w:lang w:val="en-GB" w:eastAsia="en-GB"/>
        </w:rPr>
        <w:t xml:space="preserve"> të printuar </w:t>
      </w:r>
      <w:proofErr w:type="spellStart"/>
      <w:r w:rsidRPr="008349A1">
        <w:rPr>
          <w:color w:val="000000"/>
          <w:lang w:val="en-GB" w:eastAsia="en-GB"/>
        </w:rPr>
        <w:t>nga</w:t>
      </w:r>
      <w:proofErr w:type="spellEnd"/>
      <w:r w:rsidRPr="008349A1">
        <w:rPr>
          <w:color w:val="000000"/>
          <w:lang w:val="en-GB" w:eastAsia="en-GB"/>
        </w:rPr>
        <w:t xml:space="preserve"> sistemi e-</w:t>
      </w:r>
      <w:proofErr w:type="spellStart"/>
      <w:r w:rsidRPr="008349A1">
        <w:rPr>
          <w:color w:val="000000"/>
          <w:lang w:val="en-GB" w:eastAsia="en-GB"/>
        </w:rPr>
        <w:t>akte</w:t>
      </w:r>
      <w:proofErr w:type="spellEnd"/>
      <w:r w:rsidRPr="008349A1">
        <w:rPr>
          <w:color w:val="000000"/>
          <w:lang w:val="en-GB" w:eastAsia="en-GB"/>
        </w:rPr>
        <w:t xml:space="preserve"> me </w:t>
      </w:r>
      <w:proofErr w:type="spellStart"/>
      <w:r w:rsidRPr="008349A1">
        <w:rPr>
          <w:color w:val="000000"/>
          <w:lang w:val="en-GB" w:eastAsia="en-GB"/>
        </w:rPr>
        <w:t>anë</w:t>
      </w:r>
      <w:proofErr w:type="spellEnd"/>
      <w:r w:rsidRPr="008349A1">
        <w:rPr>
          <w:color w:val="000000"/>
          <w:lang w:val="en-GB" w:eastAsia="en-GB"/>
        </w:rPr>
        <w:t xml:space="preserve"> të </w:t>
      </w:r>
      <w:proofErr w:type="spellStart"/>
      <w:r w:rsidRPr="008349A1">
        <w:rPr>
          <w:color w:val="000000"/>
          <w:lang w:val="en-GB" w:eastAsia="en-GB"/>
        </w:rPr>
        <w:t>të</w:t>
      </w:r>
      <w:proofErr w:type="spellEnd"/>
      <w:r w:rsidRPr="008349A1">
        <w:rPr>
          <w:color w:val="000000"/>
          <w:lang w:val="en-GB" w:eastAsia="en-GB"/>
        </w:rPr>
        <w:t xml:space="preserve"> </w:t>
      </w:r>
      <w:proofErr w:type="spellStart"/>
      <w:r w:rsidRPr="008349A1">
        <w:rPr>
          <w:color w:val="000000"/>
          <w:lang w:val="en-GB" w:eastAsia="en-GB"/>
        </w:rPr>
        <w:t>cilave</w:t>
      </w:r>
      <w:proofErr w:type="spellEnd"/>
      <w:r w:rsidRPr="008349A1">
        <w:rPr>
          <w:color w:val="000000"/>
          <w:lang w:val="en-GB" w:eastAsia="en-GB"/>
        </w:rPr>
        <w:t xml:space="preserve"> </w:t>
      </w:r>
      <w:proofErr w:type="spellStart"/>
      <w:r w:rsidRPr="008349A1">
        <w:rPr>
          <w:color w:val="000000"/>
          <w:lang w:val="en-GB" w:eastAsia="en-GB"/>
        </w:rPr>
        <w:t>dërgohet</w:t>
      </w:r>
      <w:proofErr w:type="spellEnd"/>
      <w:r w:rsidRPr="008349A1">
        <w:rPr>
          <w:color w:val="000000"/>
          <w:lang w:val="en-GB" w:eastAsia="en-GB"/>
        </w:rPr>
        <w:t xml:space="preserve"> për </w:t>
      </w:r>
      <w:proofErr w:type="spellStart"/>
      <w:r w:rsidRPr="008349A1">
        <w:rPr>
          <w:color w:val="000000"/>
          <w:lang w:val="en-GB" w:eastAsia="en-GB"/>
        </w:rPr>
        <w:t>mendim</w:t>
      </w:r>
      <w:proofErr w:type="spellEnd"/>
      <w:r w:rsidRPr="008349A1">
        <w:rPr>
          <w:color w:val="000000"/>
          <w:lang w:val="en-GB" w:eastAsia="en-GB"/>
        </w:rPr>
        <w:t xml:space="preserve"> </w:t>
      </w:r>
      <w:proofErr w:type="spellStart"/>
      <w:r w:rsidRPr="008349A1">
        <w:rPr>
          <w:color w:val="000000"/>
          <w:lang w:val="en-GB" w:eastAsia="en-GB"/>
        </w:rPr>
        <w:t>projektligji</w:t>
      </w:r>
      <w:proofErr w:type="spellEnd"/>
      <w:r w:rsidRPr="008349A1">
        <w:rPr>
          <w:color w:val="000000"/>
          <w:lang w:val="en-GB" w:eastAsia="en-GB"/>
        </w:rPr>
        <w:t xml:space="preserve">, “Për </w:t>
      </w:r>
      <w:proofErr w:type="spellStart"/>
      <w:r w:rsidRPr="008349A1">
        <w:rPr>
          <w:color w:val="000000"/>
          <w:lang w:val="en-GB" w:eastAsia="en-GB"/>
        </w:rPr>
        <w:t>disa</w:t>
      </w:r>
      <w:proofErr w:type="spellEnd"/>
      <w:r w:rsidRPr="008349A1">
        <w:rPr>
          <w:color w:val="000000"/>
          <w:lang w:val="en-GB" w:eastAsia="en-GB"/>
        </w:rPr>
        <w:t xml:space="preserve"> </w:t>
      </w:r>
      <w:proofErr w:type="spellStart"/>
      <w:r w:rsidRPr="008349A1">
        <w:rPr>
          <w:color w:val="000000"/>
          <w:lang w:val="en-GB" w:eastAsia="en-GB"/>
        </w:rPr>
        <w:t>shtesa</w:t>
      </w:r>
      <w:proofErr w:type="spellEnd"/>
      <w:r w:rsidRPr="008349A1">
        <w:rPr>
          <w:color w:val="000000"/>
          <w:lang w:val="en-GB" w:eastAsia="en-GB"/>
        </w:rPr>
        <w:t xml:space="preserve"> </w:t>
      </w:r>
      <w:proofErr w:type="spellStart"/>
      <w:r w:rsidRPr="008349A1">
        <w:rPr>
          <w:color w:val="000000"/>
          <w:lang w:val="en-GB" w:eastAsia="en-GB"/>
        </w:rPr>
        <w:t>dhe</w:t>
      </w:r>
      <w:proofErr w:type="spellEnd"/>
      <w:r w:rsidRPr="008349A1">
        <w:rPr>
          <w:color w:val="000000"/>
          <w:lang w:val="en-GB" w:eastAsia="en-GB"/>
        </w:rPr>
        <w:t xml:space="preserve"> </w:t>
      </w:r>
      <w:proofErr w:type="spellStart"/>
      <w:r w:rsidRPr="008349A1">
        <w:rPr>
          <w:color w:val="000000"/>
          <w:lang w:val="en-GB" w:eastAsia="en-GB"/>
        </w:rPr>
        <w:t>ndryshime</w:t>
      </w:r>
      <w:proofErr w:type="spellEnd"/>
      <w:r w:rsidRPr="008349A1">
        <w:rPr>
          <w:color w:val="000000"/>
          <w:lang w:val="en-GB" w:eastAsia="en-GB"/>
        </w:rPr>
        <w:t xml:space="preserve"> në ligjin nr. 25/2022, “Për </w:t>
      </w:r>
      <w:proofErr w:type="spellStart"/>
      <w:r w:rsidRPr="008349A1">
        <w:rPr>
          <w:color w:val="000000"/>
          <w:lang w:val="en-GB" w:eastAsia="en-GB"/>
        </w:rPr>
        <w:t>mbështetjen</w:t>
      </w:r>
      <w:proofErr w:type="spellEnd"/>
      <w:r w:rsidRPr="008349A1">
        <w:rPr>
          <w:color w:val="000000"/>
          <w:lang w:val="en-GB" w:eastAsia="en-GB"/>
        </w:rPr>
        <w:t xml:space="preserve"> </w:t>
      </w:r>
      <w:proofErr w:type="spellStart"/>
      <w:r w:rsidRPr="008349A1">
        <w:rPr>
          <w:color w:val="000000"/>
          <w:lang w:val="en-GB" w:eastAsia="en-GB"/>
        </w:rPr>
        <w:t>dhe</w:t>
      </w:r>
      <w:proofErr w:type="spellEnd"/>
      <w:r w:rsidRPr="008349A1">
        <w:rPr>
          <w:color w:val="000000"/>
          <w:lang w:val="en-GB" w:eastAsia="en-GB"/>
        </w:rPr>
        <w:t xml:space="preserve"> zhvillimin e startup-eve”, pas </w:t>
      </w:r>
      <w:proofErr w:type="spellStart"/>
      <w:r w:rsidRPr="008349A1">
        <w:rPr>
          <w:color w:val="000000"/>
          <w:lang w:val="en-GB" w:eastAsia="en-GB"/>
        </w:rPr>
        <w:t>shqyrtimit</w:t>
      </w:r>
      <w:proofErr w:type="spellEnd"/>
      <w:r w:rsidRPr="008349A1">
        <w:rPr>
          <w:color w:val="000000"/>
          <w:lang w:val="en-GB" w:eastAsia="en-GB"/>
        </w:rPr>
        <w:t xml:space="preserve"> të tij </w:t>
      </w:r>
      <w:proofErr w:type="spellStart"/>
      <w:r w:rsidRPr="008349A1">
        <w:rPr>
          <w:color w:val="000000"/>
          <w:lang w:val="en-GB" w:eastAsia="en-GB"/>
        </w:rPr>
        <w:t>dhe</w:t>
      </w:r>
      <w:proofErr w:type="spellEnd"/>
      <w:r w:rsidRPr="008349A1">
        <w:rPr>
          <w:color w:val="000000"/>
          <w:lang w:val="en-GB" w:eastAsia="en-GB"/>
        </w:rPr>
        <w:t xml:space="preserve"> </w:t>
      </w:r>
      <w:proofErr w:type="spellStart"/>
      <w:r w:rsidRPr="008349A1">
        <w:rPr>
          <w:color w:val="000000"/>
          <w:lang w:val="en-GB" w:eastAsia="en-GB"/>
        </w:rPr>
        <w:t>relacionit</w:t>
      </w:r>
      <w:proofErr w:type="spellEnd"/>
      <w:r w:rsidRPr="008349A1">
        <w:rPr>
          <w:color w:val="000000"/>
          <w:lang w:val="en-GB" w:eastAsia="en-GB"/>
        </w:rPr>
        <w:t xml:space="preserve"> </w:t>
      </w:r>
      <w:proofErr w:type="spellStart"/>
      <w:r w:rsidRPr="008349A1">
        <w:rPr>
          <w:color w:val="000000"/>
          <w:lang w:val="en-GB" w:eastAsia="en-GB"/>
        </w:rPr>
        <w:t>shoqërues</w:t>
      </w:r>
      <w:proofErr w:type="spellEnd"/>
      <w:r w:rsidRPr="008349A1">
        <w:rPr>
          <w:color w:val="000000"/>
          <w:lang w:val="en-GB" w:eastAsia="en-GB"/>
        </w:rPr>
        <w:t xml:space="preserve">, </w:t>
      </w:r>
      <w:proofErr w:type="spellStart"/>
      <w:r w:rsidRPr="008349A1">
        <w:rPr>
          <w:color w:val="000000"/>
          <w:lang w:val="en-GB" w:eastAsia="en-GB"/>
        </w:rPr>
        <w:t>Departamenti</w:t>
      </w:r>
      <w:proofErr w:type="spellEnd"/>
      <w:r w:rsidRPr="008349A1">
        <w:rPr>
          <w:color w:val="000000"/>
          <w:lang w:val="en-GB" w:eastAsia="en-GB"/>
        </w:rPr>
        <w:t xml:space="preserve"> </w:t>
      </w:r>
      <w:proofErr w:type="spellStart"/>
      <w:r w:rsidRPr="008349A1">
        <w:rPr>
          <w:color w:val="000000"/>
          <w:lang w:val="en-GB" w:eastAsia="en-GB"/>
        </w:rPr>
        <w:t>i</w:t>
      </w:r>
      <w:proofErr w:type="spellEnd"/>
      <w:r w:rsidRPr="008349A1">
        <w:rPr>
          <w:color w:val="000000"/>
          <w:lang w:val="en-GB" w:eastAsia="en-GB"/>
        </w:rPr>
        <w:t xml:space="preserve"> </w:t>
      </w:r>
      <w:proofErr w:type="spellStart"/>
      <w:r w:rsidRPr="008349A1">
        <w:rPr>
          <w:color w:val="000000"/>
          <w:lang w:val="en-GB" w:eastAsia="en-GB"/>
        </w:rPr>
        <w:t>Administratës</w:t>
      </w:r>
      <w:proofErr w:type="spellEnd"/>
      <w:r w:rsidRPr="008349A1">
        <w:rPr>
          <w:color w:val="000000"/>
          <w:lang w:val="en-GB" w:eastAsia="en-GB"/>
        </w:rPr>
        <w:t xml:space="preserve"> Publike, </w:t>
      </w:r>
      <w:proofErr w:type="spellStart"/>
      <w:r w:rsidRPr="008349A1">
        <w:rPr>
          <w:color w:val="000000"/>
          <w:lang w:val="en-GB" w:eastAsia="en-GB"/>
        </w:rPr>
        <w:t>shprehet</w:t>
      </w:r>
      <w:proofErr w:type="spellEnd"/>
      <w:r w:rsidRPr="008349A1">
        <w:rPr>
          <w:color w:val="000000"/>
          <w:lang w:val="en-GB" w:eastAsia="en-GB"/>
        </w:rPr>
        <w:t xml:space="preserve"> në </w:t>
      </w:r>
      <w:proofErr w:type="spellStart"/>
      <w:r w:rsidRPr="008349A1">
        <w:rPr>
          <w:color w:val="000000"/>
          <w:lang w:val="en-GB" w:eastAsia="en-GB"/>
        </w:rPr>
        <w:t>parim</w:t>
      </w:r>
      <w:proofErr w:type="spellEnd"/>
      <w:r w:rsidRPr="008349A1">
        <w:rPr>
          <w:color w:val="000000"/>
          <w:lang w:val="en-GB" w:eastAsia="en-GB"/>
        </w:rPr>
        <w:t xml:space="preserve"> </w:t>
      </w:r>
      <w:proofErr w:type="spellStart"/>
      <w:r w:rsidRPr="008349A1">
        <w:rPr>
          <w:color w:val="000000"/>
          <w:lang w:val="en-GB" w:eastAsia="en-GB"/>
        </w:rPr>
        <w:t>dakord</w:t>
      </w:r>
      <w:proofErr w:type="spellEnd"/>
      <w:r w:rsidRPr="008349A1">
        <w:rPr>
          <w:color w:val="000000"/>
          <w:lang w:val="en-GB" w:eastAsia="en-GB"/>
        </w:rPr>
        <w:t>.”</w:t>
      </w:r>
    </w:p>
    <w:p w14:paraId="000000CB" w14:textId="14D9657D" w:rsidR="00CB4A0F" w:rsidRPr="008349A1" w:rsidRDefault="00CB4A0F">
      <w:pPr>
        <w:jc w:val="both"/>
        <w:rPr>
          <w:lang w:val="en-GB"/>
        </w:rPr>
      </w:pPr>
    </w:p>
    <w:p w14:paraId="000000CC" w14:textId="77777777" w:rsidR="00CB4A0F" w:rsidRPr="00B91485" w:rsidRDefault="00E431ED">
      <w:pPr>
        <w:tabs>
          <w:tab w:val="left" w:pos="1080"/>
        </w:tabs>
        <w:jc w:val="both"/>
        <w:rPr>
          <w:b/>
        </w:rPr>
      </w:pPr>
      <w:r w:rsidRPr="00B91485">
        <w:rPr>
          <w:b/>
        </w:rPr>
        <w:t>IX. RAPORTI I VLERËSIMIT TË TË ARDHURAVE DHE SHPENZIMEVE BUXHETORE</w:t>
      </w:r>
    </w:p>
    <w:p w14:paraId="000000CD" w14:textId="0D4BA5B9" w:rsidR="00CB4A0F" w:rsidRPr="00B91485" w:rsidRDefault="00CB4A0F">
      <w:pPr>
        <w:jc w:val="both"/>
        <w:rPr>
          <w:bCs/>
        </w:rPr>
      </w:pPr>
    </w:p>
    <w:p w14:paraId="64D6F4B5" w14:textId="5FDE6D99" w:rsidR="0011511C" w:rsidRPr="00B91485" w:rsidRDefault="0011511C" w:rsidP="0011511C">
      <w:pPr>
        <w:jc w:val="both"/>
        <w:rPr>
          <w:bCs/>
        </w:rPr>
      </w:pPr>
      <w:r w:rsidRPr="00B91485">
        <w:rPr>
          <w:bCs/>
        </w:rPr>
        <w:t xml:space="preserve">Fondi i parashikuar në “Programin e Qeverisë 2021-2025” për masat mbështetëse për </w:t>
      </w:r>
      <w:r w:rsidRPr="00B91485">
        <w:rPr>
          <w:bCs/>
          <w:i/>
          <w:iCs/>
        </w:rPr>
        <w:t>startup-</w:t>
      </w:r>
      <w:r w:rsidRPr="00B91485">
        <w:rPr>
          <w:bCs/>
        </w:rPr>
        <w:t xml:space="preserve">et është në vlerën 10 milionë euro, pra rreth 1.2 miliard Lekë. Sipas këtij parashikimi, fondi i masave mbështetëse për </w:t>
      </w:r>
      <w:r w:rsidRPr="00B91485">
        <w:rPr>
          <w:bCs/>
          <w:i/>
          <w:iCs/>
        </w:rPr>
        <w:t>startup</w:t>
      </w:r>
      <w:r w:rsidRPr="00B91485">
        <w:rPr>
          <w:bCs/>
        </w:rPr>
        <w:t>-et për vitin 2023 i takon të jetë 300.000.000 Lekë.</w:t>
      </w:r>
    </w:p>
    <w:p w14:paraId="2576A3D0" w14:textId="77777777" w:rsidR="0011511C" w:rsidRPr="00B91485" w:rsidRDefault="0011511C" w:rsidP="0011511C">
      <w:pPr>
        <w:jc w:val="both"/>
        <w:rPr>
          <w:bCs/>
        </w:rPr>
      </w:pPr>
    </w:p>
    <w:p w14:paraId="1B9DB553" w14:textId="77777777" w:rsidR="00627C08" w:rsidRPr="00B91485" w:rsidRDefault="0011511C" w:rsidP="0011511C">
      <w:pPr>
        <w:jc w:val="both"/>
        <w:rPr>
          <w:bCs/>
        </w:rPr>
      </w:pPr>
      <w:r w:rsidRPr="00B91485">
        <w:rPr>
          <w:bCs/>
        </w:rPr>
        <w:t>Si më lart, propozimi i MiSHMS është që brenda fondit vjetor prej 300.000.000 Lekë për vitin 2023 të ndahet në funksion të</w:t>
      </w:r>
      <w:r w:rsidR="00627C08" w:rsidRPr="00B91485">
        <w:rPr>
          <w:bCs/>
        </w:rPr>
        <w:t>:</w:t>
      </w:r>
      <w:r w:rsidRPr="00B91485">
        <w:rPr>
          <w:bCs/>
        </w:rPr>
        <w:t xml:space="preserve"> </w:t>
      </w:r>
    </w:p>
    <w:p w14:paraId="225FE927" w14:textId="0AE34C96" w:rsidR="00627C08" w:rsidRPr="00B91485" w:rsidRDefault="00627C08" w:rsidP="005016DF">
      <w:pPr>
        <w:pStyle w:val="ListParagraph"/>
        <w:numPr>
          <w:ilvl w:val="0"/>
          <w:numId w:val="6"/>
        </w:numPr>
        <w:ind w:left="426"/>
        <w:jc w:val="both"/>
        <w:rPr>
          <w:bCs/>
        </w:rPr>
      </w:pPr>
      <w:r w:rsidRPr="00B91485">
        <w:rPr>
          <w:bCs/>
        </w:rPr>
        <w:t>për masat mbështetëse p</w:t>
      </w:r>
      <w:r w:rsidR="00EF5514" w:rsidRPr="00B91485">
        <w:rPr>
          <w:bCs/>
        </w:rPr>
        <w:t>ë</w:t>
      </w:r>
      <w:r w:rsidRPr="00B91485">
        <w:rPr>
          <w:bCs/>
        </w:rPr>
        <w:t xml:space="preserve">r </w:t>
      </w:r>
      <w:r w:rsidR="0011511C" w:rsidRPr="00B91485">
        <w:rPr>
          <w:bCs/>
        </w:rPr>
        <w:t>Thirrje</w:t>
      </w:r>
      <w:r w:rsidRPr="00B91485">
        <w:rPr>
          <w:bCs/>
        </w:rPr>
        <w:t>n</w:t>
      </w:r>
      <w:r w:rsidR="0011511C" w:rsidRPr="00B91485">
        <w:rPr>
          <w:bCs/>
        </w:rPr>
        <w:t xml:space="preserve"> </w:t>
      </w:r>
      <w:r w:rsidRPr="00B91485">
        <w:rPr>
          <w:bCs/>
        </w:rPr>
        <w:t>e</w:t>
      </w:r>
      <w:r w:rsidR="0011511C" w:rsidRPr="00B91485">
        <w:rPr>
          <w:bCs/>
        </w:rPr>
        <w:t xml:space="preserve"> Dytë</w:t>
      </w:r>
      <w:r w:rsidRPr="00B91485">
        <w:rPr>
          <w:bCs/>
        </w:rPr>
        <w:t>:</w:t>
      </w:r>
      <w:r w:rsidR="0011511C" w:rsidRPr="00B91485">
        <w:rPr>
          <w:bCs/>
        </w:rPr>
        <w:t xml:space="preserve"> </w:t>
      </w:r>
    </w:p>
    <w:p w14:paraId="6C3A5482" w14:textId="77777777" w:rsidR="00627C08" w:rsidRPr="00B91485" w:rsidRDefault="0011511C" w:rsidP="005016DF">
      <w:pPr>
        <w:pStyle w:val="ListParagraph"/>
        <w:numPr>
          <w:ilvl w:val="0"/>
          <w:numId w:val="6"/>
        </w:numPr>
        <w:ind w:left="426"/>
        <w:jc w:val="both"/>
        <w:rPr>
          <w:bCs/>
        </w:rPr>
      </w:pPr>
      <w:r w:rsidRPr="00B91485">
        <w:rPr>
          <w:bCs/>
        </w:rPr>
        <w:t xml:space="preserve">për shpenzimet korente dhe shpenzimet për investime të nevojshme për funksionimin e STARTUP ALBANIA, </w:t>
      </w:r>
    </w:p>
    <w:p w14:paraId="2A215A16" w14:textId="7F1F95F3" w:rsidR="0011511C" w:rsidRPr="00B91485" w:rsidRDefault="00627C08" w:rsidP="005016DF">
      <w:pPr>
        <w:pStyle w:val="ListParagraph"/>
        <w:numPr>
          <w:ilvl w:val="0"/>
          <w:numId w:val="6"/>
        </w:numPr>
        <w:ind w:left="426"/>
        <w:jc w:val="both"/>
        <w:rPr>
          <w:bCs/>
        </w:rPr>
      </w:pPr>
      <w:r w:rsidRPr="00B91485">
        <w:rPr>
          <w:bCs/>
        </w:rPr>
        <w:t>pagesat e anëtarësisë së dy komisioneve t</w:t>
      </w:r>
      <w:r w:rsidR="00EF5514" w:rsidRPr="00B91485">
        <w:rPr>
          <w:bCs/>
        </w:rPr>
        <w:t>ë</w:t>
      </w:r>
      <w:r w:rsidRPr="00B91485">
        <w:rPr>
          <w:bCs/>
        </w:rPr>
        <w:t xml:space="preserve"> posa</w:t>
      </w:r>
      <w:r w:rsidR="00597AC2">
        <w:rPr>
          <w:bCs/>
        </w:rPr>
        <w:t>ç</w:t>
      </w:r>
      <w:r w:rsidRPr="00B91485">
        <w:rPr>
          <w:bCs/>
        </w:rPr>
        <w:t>me.</w:t>
      </w:r>
    </w:p>
    <w:p w14:paraId="17948BF5" w14:textId="77777777" w:rsidR="0011511C" w:rsidRPr="00B91485" w:rsidRDefault="0011511C" w:rsidP="0011511C">
      <w:pPr>
        <w:jc w:val="both"/>
        <w:rPr>
          <w:bCs/>
        </w:rPr>
      </w:pPr>
    </w:p>
    <w:p w14:paraId="147D5950" w14:textId="781A76D2" w:rsidR="0011511C" w:rsidRPr="00B91485" w:rsidRDefault="00627C08" w:rsidP="0011511C">
      <w:pPr>
        <w:jc w:val="both"/>
      </w:pPr>
      <w:r w:rsidRPr="00B91485">
        <w:t>Përsa i përket shpenzimeve korente të STARTUP ALB</w:t>
      </w:r>
      <w:r w:rsidR="0038064C">
        <w:t>ANIA</w:t>
      </w:r>
      <w:r w:rsidRPr="00B91485">
        <w:t>, a</w:t>
      </w:r>
      <w:r w:rsidR="0011511C" w:rsidRPr="00B91485">
        <w:t xml:space="preserve">naliza e detajuar e kostove buxhetore do të mundësohet pas miratimit të vendimit përkatës që përcakton nivelin e pagave për punonjësit e Agjencisë. Një parashikim i përafërt për funksionimin e saj me rreth 10 punonjës organik, rezulton me një kosto totale jo më shumë se 20 milion lekë. </w:t>
      </w:r>
    </w:p>
    <w:p w14:paraId="27D80E9B" w14:textId="505C4D60" w:rsidR="0011511C" w:rsidRPr="00B91485" w:rsidRDefault="0011511C" w:rsidP="0011511C">
      <w:pPr>
        <w:jc w:val="both"/>
      </w:pPr>
    </w:p>
    <w:p w14:paraId="3F279384" w14:textId="77777777" w:rsidR="005016DF" w:rsidRPr="00B91485" w:rsidRDefault="005016DF" w:rsidP="005016DF">
      <w:pPr>
        <w:jc w:val="both"/>
      </w:pPr>
      <w:r w:rsidRPr="00B91485">
        <w:t>Për sa i përket shpenzimeve të nevojshme për ngritjen dhe funksionimin e STARTUP ALBANIA më poshtë gjeni një përmbledhje e vlerësimit të fondit të nevojshëm.</w:t>
      </w:r>
    </w:p>
    <w:p w14:paraId="6C52FE26" w14:textId="77777777" w:rsidR="005016DF" w:rsidRPr="00B91485" w:rsidRDefault="005016DF" w:rsidP="005016DF">
      <w:pPr>
        <w:jc w:val="both"/>
      </w:pPr>
    </w:p>
    <w:p w14:paraId="0BEA96CA" w14:textId="73C4287F" w:rsidR="005016DF" w:rsidRPr="00B91485" w:rsidRDefault="005016DF" w:rsidP="005016DF">
      <w:pPr>
        <w:jc w:val="both"/>
      </w:pPr>
      <w:r w:rsidRPr="00B91485">
        <w:t>Shpenzimet për funkisonimin e agjencisë parashikohen:</w:t>
      </w:r>
    </w:p>
    <w:p w14:paraId="5250B308" w14:textId="31AB97D8" w:rsidR="005016DF" w:rsidRPr="00B91485" w:rsidRDefault="005016DF" w:rsidP="00EF5514">
      <w:pPr>
        <w:ind w:left="567"/>
        <w:jc w:val="both"/>
      </w:pPr>
      <w:r w:rsidRPr="00B91485">
        <w:t>1. Paga 10.000.000 lekë</w:t>
      </w:r>
    </w:p>
    <w:p w14:paraId="47083E23" w14:textId="5F2365F3" w:rsidR="005016DF" w:rsidRPr="00B91485" w:rsidRDefault="005016DF" w:rsidP="00EF5514">
      <w:pPr>
        <w:ind w:left="567"/>
        <w:jc w:val="both"/>
      </w:pPr>
      <w:r w:rsidRPr="00B91485">
        <w:t>2. Sigurimet shoqerore dhe shëndetësore 2.000.000 lekë</w:t>
      </w:r>
    </w:p>
    <w:p w14:paraId="3DBCFCAC" w14:textId="298E5C8C" w:rsidR="005016DF" w:rsidRPr="00B91485" w:rsidRDefault="005016DF" w:rsidP="00EF5514">
      <w:pPr>
        <w:ind w:left="567"/>
        <w:jc w:val="both"/>
      </w:pPr>
      <w:r w:rsidRPr="00B91485">
        <w:t>3. Shpenzime operative 4.000.000 lekë</w:t>
      </w:r>
    </w:p>
    <w:p w14:paraId="3663886E" w14:textId="3CC5A108" w:rsidR="005016DF" w:rsidRPr="00B91485" w:rsidRDefault="005016DF" w:rsidP="00EF5514">
      <w:pPr>
        <w:ind w:left="567"/>
        <w:jc w:val="both"/>
      </w:pPr>
      <w:r w:rsidRPr="00B91485">
        <w:t>4. Investime 4.000.000 lekë</w:t>
      </w:r>
    </w:p>
    <w:p w14:paraId="2375B602" w14:textId="24F55B81" w:rsidR="005016DF" w:rsidRPr="00B91485" w:rsidRDefault="005016DF" w:rsidP="00EF5514">
      <w:pPr>
        <w:ind w:left="567"/>
        <w:jc w:val="both"/>
      </w:pPr>
      <w:r w:rsidRPr="00B91485">
        <w:t>TOTALI 20.000.000 Lekë</w:t>
      </w:r>
    </w:p>
    <w:p w14:paraId="75D44097" w14:textId="1D17E642" w:rsidR="005016DF" w:rsidRPr="00B91485" w:rsidRDefault="005016DF" w:rsidP="005016DF">
      <w:pPr>
        <w:jc w:val="both"/>
      </w:pPr>
    </w:p>
    <w:p w14:paraId="38E940E0" w14:textId="324B0B9E" w:rsidR="005016DF" w:rsidRPr="00B91485" w:rsidRDefault="005016DF" w:rsidP="005016DF">
      <w:pPr>
        <w:jc w:val="both"/>
      </w:pPr>
      <w:r w:rsidRPr="00B91485">
        <w:t>P</w:t>
      </w:r>
      <w:r w:rsidR="00EF5514" w:rsidRPr="00B91485">
        <w:t>ë</w:t>
      </w:r>
      <w:r w:rsidRPr="00B91485">
        <w:t>rsa i p</w:t>
      </w:r>
      <w:r w:rsidR="00EF5514" w:rsidRPr="00B91485">
        <w:t>ë</w:t>
      </w:r>
      <w:r w:rsidRPr="00B91485">
        <w:t>rket kostos p</w:t>
      </w:r>
      <w:r w:rsidR="00EF5514" w:rsidRPr="00B91485">
        <w:t>ë</w:t>
      </w:r>
      <w:r w:rsidRPr="00B91485">
        <w:t>r veprimtarin</w:t>
      </w:r>
      <w:r w:rsidR="00EF5514" w:rsidRPr="00B91485">
        <w:t>ë</w:t>
      </w:r>
      <w:r w:rsidRPr="00B91485">
        <w:t xml:space="preserve"> e komisioneve, n</w:t>
      </w:r>
      <w:r w:rsidR="00EF5514" w:rsidRPr="00B91485">
        <w:t>ë</w:t>
      </w:r>
      <w:r w:rsidRPr="00B91485">
        <w:t xml:space="preserve"> vijim do t</w:t>
      </w:r>
      <w:r w:rsidR="00EF5514" w:rsidRPr="00B91485">
        <w:t>ë</w:t>
      </w:r>
      <w:r w:rsidRPr="00B91485">
        <w:t xml:space="preserve"> duhet t</w:t>
      </w:r>
      <w:r w:rsidR="00EF5514" w:rsidRPr="00B91485">
        <w:t>ë</w:t>
      </w:r>
      <w:r w:rsidRPr="00B91485">
        <w:t xml:space="preserve"> nd</w:t>
      </w:r>
      <w:r w:rsidR="00EF5514" w:rsidRPr="00B91485">
        <w:t>ë</w:t>
      </w:r>
      <w:r w:rsidRPr="00B91485">
        <w:t>rhyhet n</w:t>
      </w:r>
      <w:r w:rsidR="00EF5514" w:rsidRPr="00B91485">
        <w:t>ë</w:t>
      </w:r>
      <w:r w:rsidRPr="00B91485">
        <w:t xml:space="preserve"> VKM nr. 313, “</w:t>
      </w:r>
      <w:r w:rsidRPr="00B91485">
        <w:rPr>
          <w:i/>
          <w:iCs/>
        </w:rPr>
        <w:t>Për përcaktimin e rregullave të hollësishme për përbërjen e Komisionit të Vlerësimit, si dhe të kritereve, procedurës së përzgjedhjes dhe shpërblimit të anëtarëve të tij</w:t>
      </w:r>
      <w:r w:rsidRPr="00B91485">
        <w:t xml:space="preserve">”. Kjo VKM kryen </w:t>
      </w:r>
      <w:r w:rsidRPr="00B91485">
        <w:lastRenderedPageBreak/>
        <w:t>rregullimin e veprimtaris</w:t>
      </w:r>
      <w:r w:rsidR="00EF5514" w:rsidRPr="00B91485">
        <w:t>ë</w:t>
      </w:r>
      <w:r w:rsidRPr="00B91485">
        <w:t xml:space="preserve"> s</w:t>
      </w:r>
      <w:r w:rsidR="00EF5514" w:rsidRPr="00B91485">
        <w:t>ë</w:t>
      </w:r>
      <w:r w:rsidRPr="00B91485">
        <w:t xml:space="preserve"> vet</w:t>
      </w:r>
      <w:r w:rsidR="00EF5514" w:rsidRPr="00B91485">
        <w:t>ë</w:t>
      </w:r>
      <w:r w:rsidRPr="00B91485">
        <w:t>m Komisionit t</w:t>
      </w:r>
      <w:r w:rsidR="00EF5514" w:rsidRPr="00B91485">
        <w:t>ë</w:t>
      </w:r>
      <w:r w:rsidRPr="00B91485">
        <w:t xml:space="preserve"> Vler</w:t>
      </w:r>
      <w:r w:rsidR="00EF5514" w:rsidRPr="00B91485">
        <w:t>ë</w:t>
      </w:r>
      <w:r w:rsidRPr="00B91485">
        <w:t>simit, nd</w:t>
      </w:r>
      <w:r w:rsidR="00EF5514" w:rsidRPr="00B91485">
        <w:t>ë</w:t>
      </w:r>
      <w:r w:rsidRPr="00B91485">
        <w:t>rsa me ndryshimet ligjore parashikohet dhe ngritja e Komisionit t</w:t>
      </w:r>
      <w:r w:rsidR="00EF5514" w:rsidRPr="00B91485">
        <w:t>ë</w:t>
      </w:r>
      <w:r w:rsidRPr="00B91485">
        <w:t xml:space="preserve"> Ankimit. </w:t>
      </w:r>
    </w:p>
    <w:p w14:paraId="6A3E2619" w14:textId="6D4885A4" w:rsidR="005016DF" w:rsidRPr="00B91485" w:rsidRDefault="005016DF" w:rsidP="005016DF">
      <w:pPr>
        <w:jc w:val="both"/>
      </w:pPr>
    </w:p>
    <w:p w14:paraId="123BC863" w14:textId="10710EC0" w:rsidR="005016DF" w:rsidRPr="00B91485" w:rsidRDefault="00A525AC" w:rsidP="005016DF">
      <w:pPr>
        <w:jc w:val="both"/>
      </w:pPr>
      <w:r>
        <w:t>Për sa i përket masës së shpërblimit të anëtarëve të komisionit të vlerësimit</w:t>
      </w:r>
      <w:r w:rsidR="005016DF" w:rsidRPr="00B91485">
        <w:t xml:space="preserve"> kjo vler</w:t>
      </w:r>
      <w:r w:rsidR="00EF5514" w:rsidRPr="00B91485">
        <w:t>ë</w:t>
      </w:r>
      <w:r w:rsidR="005016DF" w:rsidRPr="00B91485">
        <w:t xml:space="preserve"> nuk duhet t</w:t>
      </w:r>
      <w:r w:rsidR="00EF5514" w:rsidRPr="00B91485">
        <w:t>ë</w:t>
      </w:r>
      <w:r w:rsidR="005016DF" w:rsidRPr="00B91485">
        <w:t xml:space="preserve"> tejkaloj</w:t>
      </w:r>
      <w:r w:rsidR="00EF5514" w:rsidRPr="00B91485">
        <w:t>ë</w:t>
      </w:r>
      <w:r w:rsidR="005016DF" w:rsidRPr="00B91485">
        <w:t xml:space="preserve"> vler</w:t>
      </w:r>
      <w:r w:rsidR="00EF5514" w:rsidRPr="00B91485">
        <w:t>ë</w:t>
      </w:r>
      <w:r w:rsidR="005016DF" w:rsidRPr="00B91485">
        <w:t xml:space="preserve">n vjetore prej </w:t>
      </w:r>
      <w:r w:rsidR="004C5528">
        <w:t>1.2</w:t>
      </w:r>
      <w:r w:rsidR="00EF5514" w:rsidRPr="00B91485">
        <w:t xml:space="preserve">00.000 Lekë. Kjo e përllogaritur për 5 anëtarë të Komisionit të Vlerësimit, me pagesën për mbledhje prej </w:t>
      </w:r>
      <w:r w:rsidR="004C5528">
        <w:t>20</w:t>
      </w:r>
      <w:r w:rsidR="00EF5514" w:rsidRPr="00B91485">
        <w:t>.000 Lekës</w:t>
      </w:r>
      <w:r w:rsidR="00F211AE" w:rsidRPr="00B91485">
        <w:t>h</w:t>
      </w:r>
      <w:r w:rsidR="00EF5514" w:rsidRPr="00B91485">
        <w:t xml:space="preserve"> dhe jo më shumë se 12 mbledhje në vit. Përsa i përket vlerës për pagesat e Komisionit të Ankimit, duke patur në konsideratë veprimtarinë e tij, kjo kosto nuk kalon vlerën prej </w:t>
      </w:r>
      <w:r w:rsidR="004C5528">
        <w:t>60</w:t>
      </w:r>
      <w:r w:rsidR="00EF5514" w:rsidRPr="00B91485">
        <w:t>0.000. Vlerë kjo e përllogaritur maksimalisht me gjysmën e veprimtarisë së Komisionit të Vlerësimit.</w:t>
      </w:r>
      <w:r w:rsidR="004C5528" w:rsidRPr="004C5528">
        <w:t xml:space="preserve"> </w:t>
      </w:r>
      <w:r w:rsidR="004C5528" w:rsidRPr="00B91485">
        <w:t xml:space="preserve">Kjo e përllogaritur për 5 anëtarë të Komisionit të </w:t>
      </w:r>
      <w:r w:rsidR="0038064C">
        <w:t>Ankimit</w:t>
      </w:r>
      <w:r w:rsidR="004C5528" w:rsidRPr="00B91485">
        <w:t xml:space="preserve">, me pagesën për mbledhje prej </w:t>
      </w:r>
      <w:r w:rsidR="004C5528">
        <w:t>20</w:t>
      </w:r>
      <w:r w:rsidR="004C5528" w:rsidRPr="00B91485">
        <w:t xml:space="preserve">.000 Lekësh dhe jo më shumë se </w:t>
      </w:r>
      <w:r w:rsidR="0038064C">
        <w:t>6</w:t>
      </w:r>
      <w:r w:rsidR="004C5528" w:rsidRPr="00B91485">
        <w:t xml:space="preserve"> mbledhje në vit.</w:t>
      </w:r>
    </w:p>
    <w:p w14:paraId="03C0FCF0" w14:textId="77777777" w:rsidR="005016DF" w:rsidRPr="00B91485" w:rsidRDefault="005016DF" w:rsidP="005016DF">
      <w:pPr>
        <w:jc w:val="both"/>
      </w:pPr>
    </w:p>
    <w:p w14:paraId="00114168" w14:textId="3968A971" w:rsidR="005016DF" w:rsidRPr="00B91485" w:rsidRDefault="005016DF" w:rsidP="005016DF">
      <w:pPr>
        <w:jc w:val="both"/>
      </w:pPr>
      <w:r w:rsidRPr="00B91485">
        <w:t xml:space="preserve">Në fund, sqarojmë se fondi vjetor i parashikuar për masat mbështetëse për </w:t>
      </w:r>
      <w:r w:rsidRPr="00B91485">
        <w:rPr>
          <w:i/>
          <w:iCs/>
        </w:rPr>
        <w:t>startup-</w:t>
      </w:r>
      <w:r w:rsidRPr="00B91485">
        <w:t xml:space="preserve">et për vitin 2023 sipas “Programit të Qeverisë 2021-2025” do të duhet të mbulohet nga Fondi Rezervë. </w:t>
      </w:r>
    </w:p>
    <w:p w14:paraId="71715B80" w14:textId="77777777" w:rsidR="005016DF" w:rsidRPr="00B91485" w:rsidRDefault="005016DF" w:rsidP="0011511C">
      <w:pPr>
        <w:jc w:val="both"/>
      </w:pPr>
    </w:p>
    <w:p w14:paraId="000000CF" w14:textId="2B43094F" w:rsidR="00CB4A0F" w:rsidRPr="00B91485" w:rsidRDefault="0011511C" w:rsidP="0011511C">
      <w:pPr>
        <w:jc w:val="both"/>
      </w:pPr>
      <w:r w:rsidRPr="00B91485">
        <w:t>Për të bërë të mundur funksionimin e Agjencisë, është diskutuar dhe dakordësuar në parim me strukturat përgjegjëse të Ministrisë së Financave dhe Ekonomisë mbi shtimin e numrit të punonjësve dhe për buxhetin respektiv të nevojshëm për ngritjen e Agjencisë.</w:t>
      </w:r>
    </w:p>
    <w:p w14:paraId="000000D2" w14:textId="77777777" w:rsidR="00CB4A0F" w:rsidRPr="00B91485" w:rsidRDefault="00CB4A0F">
      <w:pPr>
        <w:widowControl w:val="0"/>
        <w:jc w:val="both"/>
        <w:rPr>
          <w:b/>
        </w:rPr>
      </w:pPr>
    </w:p>
    <w:p w14:paraId="000000D4" w14:textId="77777777" w:rsidR="00CB4A0F" w:rsidRPr="00B91485" w:rsidRDefault="00CB4A0F">
      <w:pPr>
        <w:widowControl w:val="0"/>
        <w:jc w:val="both"/>
        <w:rPr>
          <w:b/>
        </w:rPr>
      </w:pPr>
    </w:p>
    <w:p w14:paraId="000000D5" w14:textId="77777777" w:rsidR="00CB4A0F" w:rsidRPr="00B91485" w:rsidRDefault="00E431ED">
      <w:pPr>
        <w:widowControl w:val="0"/>
        <w:ind w:left="4678"/>
        <w:jc w:val="center"/>
        <w:rPr>
          <w:b/>
        </w:rPr>
      </w:pPr>
      <w:r w:rsidRPr="00B91485">
        <w:rPr>
          <w:b/>
        </w:rPr>
        <w:t>MINISTRI I SHTETIT PËR MBROJTJEN E SIPËRMARRJES</w:t>
      </w:r>
    </w:p>
    <w:p w14:paraId="000000D6" w14:textId="77777777" w:rsidR="00CB4A0F" w:rsidRPr="00B91485" w:rsidRDefault="00CB4A0F">
      <w:pPr>
        <w:widowControl w:val="0"/>
        <w:ind w:left="4678"/>
        <w:jc w:val="center"/>
        <w:rPr>
          <w:b/>
        </w:rPr>
      </w:pPr>
    </w:p>
    <w:p w14:paraId="1C71DC25" w14:textId="27F2D3D1" w:rsidR="002314BF" w:rsidRDefault="00E431ED" w:rsidP="00597AC2">
      <w:pPr>
        <w:widowControl w:val="0"/>
        <w:ind w:left="4678"/>
        <w:jc w:val="center"/>
        <w:rPr>
          <w:b/>
        </w:rPr>
      </w:pPr>
      <w:r w:rsidRPr="00B91485">
        <w:rPr>
          <w:b/>
        </w:rPr>
        <w:t>EDONA BILALI</w:t>
      </w:r>
    </w:p>
    <w:sectPr w:rsidR="002314BF">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0475" w14:textId="77777777" w:rsidR="00BD729E" w:rsidRDefault="00BD729E">
      <w:r>
        <w:separator/>
      </w:r>
    </w:p>
  </w:endnote>
  <w:endnote w:type="continuationSeparator" w:id="0">
    <w:p w14:paraId="7909C5D8" w14:textId="77777777" w:rsidR="00BD729E" w:rsidRDefault="00BD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A" w14:textId="77777777" w:rsidR="00CB4A0F" w:rsidRDefault="00E431ED">
    <w:pPr>
      <w:pBdr>
        <w:top w:val="single" w:sz="24" w:space="1" w:color="622423"/>
        <w:left w:val="nil"/>
        <w:bottom w:val="nil"/>
        <w:right w:val="nil"/>
        <w:between w:val="nil"/>
      </w:pBdr>
      <w:tabs>
        <w:tab w:val="center" w:pos="4680"/>
        <w:tab w:val="right" w:pos="9360"/>
        <w:tab w:val="right" w:pos="9237"/>
      </w:tabs>
      <w:rPr>
        <w:b/>
        <w:color w:val="000000"/>
        <w:sz w:val="22"/>
        <w:szCs w:val="22"/>
      </w:rPr>
    </w:pPr>
    <w:r>
      <w:rPr>
        <w:color w:val="000000"/>
        <w:sz w:val="22"/>
        <w:szCs w:val="22"/>
      </w:rPr>
      <w:t xml:space="preserve">Relacion shpjegues për projektligjin “Për disa shtesa dhe ndryshime në </w:t>
    </w:r>
    <w:r>
      <w:rPr>
        <w:sz w:val="22"/>
        <w:szCs w:val="22"/>
      </w:rPr>
      <w:t>l</w:t>
    </w:r>
    <w:r>
      <w:rPr>
        <w:color w:val="000000"/>
        <w:sz w:val="22"/>
        <w:szCs w:val="22"/>
      </w:rPr>
      <w:t xml:space="preserve">igjin </w:t>
    </w:r>
    <w:r>
      <w:rPr>
        <w:sz w:val="22"/>
        <w:szCs w:val="22"/>
      </w:rPr>
      <w:t>n</w:t>
    </w:r>
    <w:r>
      <w:rPr>
        <w:color w:val="000000"/>
        <w:sz w:val="22"/>
        <w:szCs w:val="22"/>
      </w:rPr>
      <w:t xml:space="preserve">r. 25/2022, </w:t>
    </w:r>
    <w:r>
      <w:rPr>
        <w:sz w:val="22"/>
        <w:szCs w:val="22"/>
      </w:rPr>
      <w:t>“</w:t>
    </w:r>
    <w:r>
      <w:rPr>
        <w:color w:val="000000"/>
        <w:sz w:val="22"/>
        <w:szCs w:val="22"/>
      </w:rPr>
      <w:t xml:space="preserve">Për mbështetjen dhe </w:t>
    </w:r>
    <w:r>
      <w:rPr>
        <w:sz w:val="22"/>
        <w:szCs w:val="22"/>
      </w:rPr>
      <w:t>z</w:t>
    </w:r>
    <w:r>
      <w:rPr>
        <w:color w:val="000000"/>
        <w:sz w:val="22"/>
        <w:szCs w:val="22"/>
      </w:rPr>
      <w:t xml:space="preserve">hvillimin e </w:t>
    </w:r>
    <w:r>
      <w:rPr>
        <w:i/>
        <w:sz w:val="22"/>
        <w:szCs w:val="22"/>
      </w:rPr>
      <w:t>s</w:t>
    </w:r>
    <w:r>
      <w:rPr>
        <w:i/>
        <w:color w:val="000000"/>
        <w:sz w:val="22"/>
        <w:szCs w:val="22"/>
      </w:rPr>
      <w:t>tartup-eve</w:t>
    </w:r>
    <w:r>
      <w:rPr>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10F6" w14:textId="77777777" w:rsidR="00BD729E" w:rsidRDefault="00BD729E">
      <w:r>
        <w:separator/>
      </w:r>
    </w:p>
  </w:footnote>
  <w:footnote w:type="continuationSeparator" w:id="0">
    <w:p w14:paraId="36E401D8" w14:textId="77777777" w:rsidR="00BD729E" w:rsidRDefault="00BD729E">
      <w:r>
        <w:continuationSeparator/>
      </w:r>
    </w:p>
  </w:footnote>
  <w:footnote w:id="1">
    <w:p w14:paraId="000000DC" w14:textId="77777777" w:rsidR="00CB4A0F" w:rsidRDefault="00E431ED">
      <w:pPr>
        <w:rPr>
          <w:sz w:val="16"/>
          <w:szCs w:val="16"/>
        </w:rPr>
      </w:pPr>
      <w:r>
        <w:rPr>
          <w:vertAlign w:val="superscript"/>
        </w:rPr>
        <w:footnoteRef/>
      </w:r>
      <w:r>
        <w:rPr>
          <w:sz w:val="16"/>
          <w:szCs w:val="16"/>
        </w:rPr>
        <w:t xml:space="preserve"> Memo e Grupit të Punës Nr. 852/1 prot., datë 08.02.2023, “Mbi nomadët digjitalë”.</w:t>
      </w:r>
    </w:p>
  </w:footnote>
  <w:footnote w:id="2">
    <w:p w14:paraId="000000DB" w14:textId="77777777" w:rsidR="00CB4A0F" w:rsidRDefault="00E431ED">
      <w:pPr>
        <w:jc w:val="both"/>
        <w:rPr>
          <w:sz w:val="16"/>
          <w:szCs w:val="16"/>
        </w:rPr>
      </w:pPr>
      <w:r>
        <w:rPr>
          <w:vertAlign w:val="superscript"/>
        </w:rPr>
        <w:footnoteRef/>
      </w:r>
      <w:r>
        <w:rPr>
          <w:sz w:val="16"/>
          <w:szCs w:val="16"/>
        </w:rPr>
        <w:t xml:space="preserve"> Urdhri nr. 852, datë 18.01.2023, “Për një ndryshim në urdhërin nr. 24183 prot., date 30.12.2022, ‘Për ngritjen e grupit të punës për përmirësimin e legjislacionit me qëllim krijimin e një regjismi të posaccëm ligjor tatimor dhe administrativ për nomadët digjital’”.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8" w14:textId="77777777" w:rsidR="00CB4A0F" w:rsidRDefault="00E431ED">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6B413E">
      <w:rPr>
        <w:noProof/>
        <w:color w:val="000000"/>
      </w:rPr>
      <w:t>8</w:t>
    </w:r>
    <w:r>
      <w:rPr>
        <w:color w:val="000000"/>
      </w:rPr>
      <w:fldChar w:fldCharType="end"/>
    </w:r>
  </w:p>
  <w:p w14:paraId="000000D9" w14:textId="77777777" w:rsidR="00CB4A0F" w:rsidRDefault="00CB4A0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444"/>
    <w:multiLevelType w:val="multilevel"/>
    <w:tmpl w:val="74A2F0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BFD1BF6"/>
    <w:multiLevelType w:val="multilevel"/>
    <w:tmpl w:val="E6D067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DD43602"/>
    <w:multiLevelType w:val="hybridMultilevel"/>
    <w:tmpl w:val="52422314"/>
    <w:lvl w:ilvl="0" w:tplc="08090003">
      <w:start w:val="1"/>
      <w:numFmt w:val="bullet"/>
      <w:lvlText w:val="o"/>
      <w:lvlJc w:val="left"/>
      <w:pPr>
        <w:ind w:left="1340" w:hanging="360"/>
      </w:pPr>
      <w:rPr>
        <w:rFonts w:ascii="Courier New" w:hAnsi="Courier New" w:cs="Courier New"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3" w15:restartNumberingAfterBreak="0">
    <w:nsid w:val="41FE5C64"/>
    <w:multiLevelType w:val="multilevel"/>
    <w:tmpl w:val="4550624A"/>
    <w:lvl w:ilvl="0">
      <w:start w:val="2"/>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E911EA"/>
    <w:multiLevelType w:val="multilevel"/>
    <w:tmpl w:val="DE8098E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E37356F"/>
    <w:multiLevelType w:val="multilevel"/>
    <w:tmpl w:val="2E92E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8734913">
    <w:abstractNumId w:val="5"/>
  </w:num>
  <w:num w:numId="2" w16cid:durableId="1400859763">
    <w:abstractNumId w:val="4"/>
  </w:num>
  <w:num w:numId="3" w16cid:durableId="1728650072">
    <w:abstractNumId w:val="1"/>
  </w:num>
  <w:num w:numId="4" w16cid:durableId="1557545023">
    <w:abstractNumId w:val="3"/>
  </w:num>
  <w:num w:numId="5" w16cid:durableId="1014843589">
    <w:abstractNumId w:val="0"/>
  </w:num>
  <w:num w:numId="6" w16cid:durableId="55766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A0F"/>
    <w:rsid w:val="0001598B"/>
    <w:rsid w:val="00084C30"/>
    <w:rsid w:val="000B4AFC"/>
    <w:rsid w:val="0011511C"/>
    <w:rsid w:val="00176DB4"/>
    <w:rsid w:val="002125D6"/>
    <w:rsid w:val="002314BF"/>
    <w:rsid w:val="002D5EC7"/>
    <w:rsid w:val="002E4CAD"/>
    <w:rsid w:val="002E6C42"/>
    <w:rsid w:val="00310C7C"/>
    <w:rsid w:val="0038064C"/>
    <w:rsid w:val="00381D35"/>
    <w:rsid w:val="003D5F8B"/>
    <w:rsid w:val="0047085E"/>
    <w:rsid w:val="004C5528"/>
    <w:rsid w:val="004F2D9C"/>
    <w:rsid w:val="005016DF"/>
    <w:rsid w:val="00597AC2"/>
    <w:rsid w:val="00627C08"/>
    <w:rsid w:val="006759FE"/>
    <w:rsid w:val="006B413E"/>
    <w:rsid w:val="00711400"/>
    <w:rsid w:val="008349A1"/>
    <w:rsid w:val="00893923"/>
    <w:rsid w:val="00A525AC"/>
    <w:rsid w:val="00B91485"/>
    <w:rsid w:val="00BD4CED"/>
    <w:rsid w:val="00BD729E"/>
    <w:rsid w:val="00CB4A0F"/>
    <w:rsid w:val="00D307A5"/>
    <w:rsid w:val="00E431ED"/>
    <w:rsid w:val="00EF2040"/>
    <w:rsid w:val="00EF5514"/>
    <w:rsid w:val="00F2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71F6"/>
  <w15:docId w15:val="{3F08BA3D-A7FA-4959-9D6E-3CE542DC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line="276" w:lineRule="auto"/>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7085E"/>
    <w:pPr>
      <w:tabs>
        <w:tab w:val="center" w:pos="4680"/>
        <w:tab w:val="right" w:pos="9360"/>
      </w:tabs>
    </w:pPr>
  </w:style>
  <w:style w:type="character" w:customStyle="1" w:styleId="HeaderChar">
    <w:name w:val="Header Char"/>
    <w:basedOn w:val="DefaultParagraphFont"/>
    <w:link w:val="Header"/>
    <w:uiPriority w:val="99"/>
    <w:rsid w:val="0047085E"/>
  </w:style>
  <w:style w:type="paragraph" w:styleId="Footer">
    <w:name w:val="footer"/>
    <w:basedOn w:val="Normal"/>
    <w:link w:val="FooterChar"/>
    <w:uiPriority w:val="99"/>
    <w:unhideWhenUsed/>
    <w:rsid w:val="0047085E"/>
    <w:pPr>
      <w:tabs>
        <w:tab w:val="center" w:pos="4680"/>
        <w:tab w:val="right" w:pos="9360"/>
      </w:tabs>
    </w:pPr>
  </w:style>
  <w:style w:type="character" w:customStyle="1" w:styleId="FooterChar">
    <w:name w:val="Footer Char"/>
    <w:basedOn w:val="DefaultParagraphFont"/>
    <w:link w:val="Footer"/>
    <w:uiPriority w:val="99"/>
    <w:rsid w:val="0047085E"/>
  </w:style>
  <w:style w:type="paragraph" w:styleId="ListParagraph">
    <w:name w:val="List Paragraph"/>
    <w:basedOn w:val="Normal"/>
    <w:uiPriority w:val="34"/>
    <w:qFormat/>
    <w:rsid w:val="00627C08"/>
    <w:pPr>
      <w:ind w:left="720"/>
      <w:contextualSpacing/>
    </w:pPr>
  </w:style>
  <w:style w:type="paragraph" w:styleId="NormalWeb">
    <w:name w:val="Normal (Web)"/>
    <w:basedOn w:val="Normal"/>
    <w:uiPriority w:val="99"/>
    <w:semiHidden/>
    <w:unhideWhenUsed/>
    <w:rsid w:val="00B9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3627">
      <w:bodyDiv w:val="1"/>
      <w:marLeft w:val="0"/>
      <w:marRight w:val="0"/>
      <w:marTop w:val="0"/>
      <w:marBottom w:val="0"/>
      <w:divBdr>
        <w:top w:val="none" w:sz="0" w:space="0" w:color="auto"/>
        <w:left w:val="none" w:sz="0" w:space="0" w:color="auto"/>
        <w:bottom w:val="none" w:sz="0" w:space="0" w:color="auto"/>
        <w:right w:val="none" w:sz="0" w:space="0" w:color="auto"/>
      </w:divBdr>
    </w:div>
    <w:div w:id="170949827">
      <w:bodyDiv w:val="1"/>
      <w:marLeft w:val="0"/>
      <w:marRight w:val="0"/>
      <w:marTop w:val="0"/>
      <w:marBottom w:val="0"/>
      <w:divBdr>
        <w:top w:val="none" w:sz="0" w:space="0" w:color="auto"/>
        <w:left w:val="none" w:sz="0" w:space="0" w:color="auto"/>
        <w:bottom w:val="none" w:sz="0" w:space="0" w:color="auto"/>
        <w:right w:val="none" w:sz="0" w:space="0" w:color="auto"/>
      </w:divBdr>
      <w:divsChild>
        <w:div w:id="1359965512">
          <w:marLeft w:val="0"/>
          <w:marRight w:val="0"/>
          <w:marTop w:val="0"/>
          <w:marBottom w:val="0"/>
          <w:divBdr>
            <w:top w:val="none" w:sz="0" w:space="0" w:color="auto"/>
            <w:left w:val="none" w:sz="0" w:space="0" w:color="auto"/>
            <w:bottom w:val="none" w:sz="0" w:space="0" w:color="auto"/>
            <w:right w:val="none" w:sz="0" w:space="0" w:color="auto"/>
          </w:divBdr>
          <w:divsChild>
            <w:div w:id="548541260">
              <w:marLeft w:val="0"/>
              <w:marRight w:val="0"/>
              <w:marTop w:val="0"/>
              <w:marBottom w:val="0"/>
              <w:divBdr>
                <w:top w:val="none" w:sz="0" w:space="0" w:color="auto"/>
                <w:left w:val="none" w:sz="0" w:space="0" w:color="auto"/>
                <w:bottom w:val="none" w:sz="0" w:space="0" w:color="auto"/>
                <w:right w:val="none" w:sz="0" w:space="0" w:color="auto"/>
              </w:divBdr>
              <w:divsChild>
                <w:div w:id="3396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538604">
      <w:bodyDiv w:val="1"/>
      <w:marLeft w:val="0"/>
      <w:marRight w:val="0"/>
      <w:marTop w:val="0"/>
      <w:marBottom w:val="0"/>
      <w:divBdr>
        <w:top w:val="none" w:sz="0" w:space="0" w:color="auto"/>
        <w:left w:val="none" w:sz="0" w:space="0" w:color="auto"/>
        <w:bottom w:val="none" w:sz="0" w:space="0" w:color="auto"/>
        <w:right w:val="none" w:sz="0" w:space="0" w:color="auto"/>
      </w:divBdr>
    </w:div>
    <w:div w:id="357395174">
      <w:bodyDiv w:val="1"/>
      <w:marLeft w:val="0"/>
      <w:marRight w:val="0"/>
      <w:marTop w:val="0"/>
      <w:marBottom w:val="0"/>
      <w:divBdr>
        <w:top w:val="none" w:sz="0" w:space="0" w:color="auto"/>
        <w:left w:val="none" w:sz="0" w:space="0" w:color="auto"/>
        <w:bottom w:val="none" w:sz="0" w:space="0" w:color="auto"/>
        <w:right w:val="none" w:sz="0" w:space="0" w:color="auto"/>
      </w:divBdr>
      <w:divsChild>
        <w:div w:id="417867258">
          <w:marLeft w:val="0"/>
          <w:marRight w:val="0"/>
          <w:marTop w:val="0"/>
          <w:marBottom w:val="0"/>
          <w:divBdr>
            <w:top w:val="none" w:sz="0" w:space="0" w:color="auto"/>
            <w:left w:val="none" w:sz="0" w:space="0" w:color="auto"/>
            <w:bottom w:val="none" w:sz="0" w:space="0" w:color="auto"/>
            <w:right w:val="none" w:sz="0" w:space="0" w:color="auto"/>
          </w:divBdr>
          <w:divsChild>
            <w:div w:id="656418548">
              <w:marLeft w:val="0"/>
              <w:marRight w:val="0"/>
              <w:marTop w:val="0"/>
              <w:marBottom w:val="0"/>
              <w:divBdr>
                <w:top w:val="none" w:sz="0" w:space="0" w:color="auto"/>
                <w:left w:val="none" w:sz="0" w:space="0" w:color="auto"/>
                <w:bottom w:val="none" w:sz="0" w:space="0" w:color="auto"/>
                <w:right w:val="none" w:sz="0" w:space="0" w:color="auto"/>
              </w:divBdr>
              <w:divsChild>
                <w:div w:id="949974892">
                  <w:marLeft w:val="0"/>
                  <w:marRight w:val="0"/>
                  <w:marTop w:val="0"/>
                  <w:marBottom w:val="0"/>
                  <w:divBdr>
                    <w:top w:val="none" w:sz="0" w:space="0" w:color="auto"/>
                    <w:left w:val="none" w:sz="0" w:space="0" w:color="auto"/>
                    <w:bottom w:val="none" w:sz="0" w:space="0" w:color="auto"/>
                    <w:right w:val="none" w:sz="0" w:space="0" w:color="auto"/>
                  </w:divBdr>
                </w:div>
              </w:divsChild>
            </w:div>
            <w:div w:id="1508251360">
              <w:marLeft w:val="0"/>
              <w:marRight w:val="0"/>
              <w:marTop w:val="0"/>
              <w:marBottom w:val="0"/>
              <w:divBdr>
                <w:top w:val="none" w:sz="0" w:space="0" w:color="auto"/>
                <w:left w:val="none" w:sz="0" w:space="0" w:color="auto"/>
                <w:bottom w:val="none" w:sz="0" w:space="0" w:color="auto"/>
                <w:right w:val="none" w:sz="0" w:space="0" w:color="auto"/>
              </w:divBdr>
              <w:divsChild>
                <w:div w:id="18699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2873">
          <w:marLeft w:val="0"/>
          <w:marRight w:val="0"/>
          <w:marTop w:val="0"/>
          <w:marBottom w:val="0"/>
          <w:divBdr>
            <w:top w:val="none" w:sz="0" w:space="0" w:color="auto"/>
            <w:left w:val="none" w:sz="0" w:space="0" w:color="auto"/>
            <w:bottom w:val="none" w:sz="0" w:space="0" w:color="auto"/>
            <w:right w:val="none" w:sz="0" w:space="0" w:color="auto"/>
          </w:divBdr>
          <w:divsChild>
            <w:div w:id="1808473518">
              <w:marLeft w:val="0"/>
              <w:marRight w:val="0"/>
              <w:marTop w:val="0"/>
              <w:marBottom w:val="0"/>
              <w:divBdr>
                <w:top w:val="none" w:sz="0" w:space="0" w:color="auto"/>
                <w:left w:val="none" w:sz="0" w:space="0" w:color="auto"/>
                <w:bottom w:val="none" w:sz="0" w:space="0" w:color="auto"/>
                <w:right w:val="none" w:sz="0" w:space="0" w:color="auto"/>
              </w:divBdr>
              <w:divsChild>
                <w:div w:id="21428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4263">
      <w:bodyDiv w:val="1"/>
      <w:marLeft w:val="0"/>
      <w:marRight w:val="0"/>
      <w:marTop w:val="0"/>
      <w:marBottom w:val="0"/>
      <w:divBdr>
        <w:top w:val="none" w:sz="0" w:space="0" w:color="auto"/>
        <w:left w:val="none" w:sz="0" w:space="0" w:color="auto"/>
        <w:bottom w:val="none" w:sz="0" w:space="0" w:color="auto"/>
        <w:right w:val="none" w:sz="0" w:space="0" w:color="auto"/>
      </w:divBdr>
      <w:divsChild>
        <w:div w:id="942880475">
          <w:marLeft w:val="0"/>
          <w:marRight w:val="0"/>
          <w:marTop w:val="0"/>
          <w:marBottom w:val="0"/>
          <w:divBdr>
            <w:top w:val="none" w:sz="0" w:space="0" w:color="auto"/>
            <w:left w:val="none" w:sz="0" w:space="0" w:color="auto"/>
            <w:bottom w:val="none" w:sz="0" w:space="0" w:color="auto"/>
            <w:right w:val="none" w:sz="0" w:space="0" w:color="auto"/>
          </w:divBdr>
          <w:divsChild>
            <w:div w:id="194122218">
              <w:marLeft w:val="0"/>
              <w:marRight w:val="0"/>
              <w:marTop w:val="0"/>
              <w:marBottom w:val="0"/>
              <w:divBdr>
                <w:top w:val="none" w:sz="0" w:space="0" w:color="auto"/>
                <w:left w:val="none" w:sz="0" w:space="0" w:color="auto"/>
                <w:bottom w:val="none" w:sz="0" w:space="0" w:color="auto"/>
                <w:right w:val="none" w:sz="0" w:space="0" w:color="auto"/>
              </w:divBdr>
              <w:divsChild>
                <w:div w:id="16068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82119">
      <w:bodyDiv w:val="1"/>
      <w:marLeft w:val="0"/>
      <w:marRight w:val="0"/>
      <w:marTop w:val="0"/>
      <w:marBottom w:val="0"/>
      <w:divBdr>
        <w:top w:val="none" w:sz="0" w:space="0" w:color="auto"/>
        <w:left w:val="none" w:sz="0" w:space="0" w:color="auto"/>
        <w:bottom w:val="none" w:sz="0" w:space="0" w:color="auto"/>
        <w:right w:val="none" w:sz="0" w:space="0" w:color="auto"/>
      </w:divBdr>
      <w:divsChild>
        <w:div w:id="605381516">
          <w:marLeft w:val="0"/>
          <w:marRight w:val="0"/>
          <w:marTop w:val="0"/>
          <w:marBottom w:val="0"/>
          <w:divBdr>
            <w:top w:val="none" w:sz="0" w:space="0" w:color="auto"/>
            <w:left w:val="none" w:sz="0" w:space="0" w:color="auto"/>
            <w:bottom w:val="none" w:sz="0" w:space="0" w:color="auto"/>
            <w:right w:val="none" w:sz="0" w:space="0" w:color="auto"/>
          </w:divBdr>
          <w:divsChild>
            <w:div w:id="473643980">
              <w:marLeft w:val="0"/>
              <w:marRight w:val="0"/>
              <w:marTop w:val="0"/>
              <w:marBottom w:val="0"/>
              <w:divBdr>
                <w:top w:val="none" w:sz="0" w:space="0" w:color="auto"/>
                <w:left w:val="none" w:sz="0" w:space="0" w:color="auto"/>
                <w:bottom w:val="none" w:sz="0" w:space="0" w:color="auto"/>
                <w:right w:val="none" w:sz="0" w:space="0" w:color="auto"/>
              </w:divBdr>
              <w:divsChild>
                <w:div w:id="7278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33283">
      <w:bodyDiv w:val="1"/>
      <w:marLeft w:val="0"/>
      <w:marRight w:val="0"/>
      <w:marTop w:val="0"/>
      <w:marBottom w:val="0"/>
      <w:divBdr>
        <w:top w:val="none" w:sz="0" w:space="0" w:color="auto"/>
        <w:left w:val="none" w:sz="0" w:space="0" w:color="auto"/>
        <w:bottom w:val="none" w:sz="0" w:space="0" w:color="auto"/>
        <w:right w:val="none" w:sz="0" w:space="0" w:color="auto"/>
      </w:divBdr>
      <w:divsChild>
        <w:div w:id="310914622">
          <w:marLeft w:val="0"/>
          <w:marRight w:val="0"/>
          <w:marTop w:val="0"/>
          <w:marBottom w:val="0"/>
          <w:divBdr>
            <w:top w:val="none" w:sz="0" w:space="0" w:color="auto"/>
            <w:left w:val="none" w:sz="0" w:space="0" w:color="auto"/>
            <w:bottom w:val="none" w:sz="0" w:space="0" w:color="auto"/>
            <w:right w:val="none" w:sz="0" w:space="0" w:color="auto"/>
          </w:divBdr>
          <w:divsChild>
            <w:div w:id="1677729427">
              <w:marLeft w:val="0"/>
              <w:marRight w:val="0"/>
              <w:marTop w:val="0"/>
              <w:marBottom w:val="0"/>
              <w:divBdr>
                <w:top w:val="none" w:sz="0" w:space="0" w:color="auto"/>
                <w:left w:val="none" w:sz="0" w:space="0" w:color="auto"/>
                <w:bottom w:val="none" w:sz="0" w:space="0" w:color="auto"/>
                <w:right w:val="none" w:sz="0" w:space="0" w:color="auto"/>
              </w:divBdr>
              <w:divsChild>
                <w:div w:id="654069758">
                  <w:marLeft w:val="0"/>
                  <w:marRight w:val="0"/>
                  <w:marTop w:val="0"/>
                  <w:marBottom w:val="0"/>
                  <w:divBdr>
                    <w:top w:val="none" w:sz="0" w:space="0" w:color="auto"/>
                    <w:left w:val="none" w:sz="0" w:space="0" w:color="auto"/>
                    <w:bottom w:val="none" w:sz="0" w:space="0" w:color="auto"/>
                    <w:right w:val="none" w:sz="0" w:space="0" w:color="auto"/>
                  </w:divBdr>
                </w:div>
              </w:divsChild>
            </w:div>
            <w:div w:id="1936327881">
              <w:marLeft w:val="0"/>
              <w:marRight w:val="0"/>
              <w:marTop w:val="0"/>
              <w:marBottom w:val="0"/>
              <w:divBdr>
                <w:top w:val="none" w:sz="0" w:space="0" w:color="auto"/>
                <w:left w:val="none" w:sz="0" w:space="0" w:color="auto"/>
                <w:bottom w:val="none" w:sz="0" w:space="0" w:color="auto"/>
                <w:right w:val="none" w:sz="0" w:space="0" w:color="auto"/>
              </w:divBdr>
              <w:divsChild>
                <w:div w:id="476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9810">
          <w:marLeft w:val="0"/>
          <w:marRight w:val="0"/>
          <w:marTop w:val="0"/>
          <w:marBottom w:val="0"/>
          <w:divBdr>
            <w:top w:val="none" w:sz="0" w:space="0" w:color="auto"/>
            <w:left w:val="none" w:sz="0" w:space="0" w:color="auto"/>
            <w:bottom w:val="none" w:sz="0" w:space="0" w:color="auto"/>
            <w:right w:val="none" w:sz="0" w:space="0" w:color="auto"/>
          </w:divBdr>
          <w:divsChild>
            <w:div w:id="1681814032">
              <w:marLeft w:val="0"/>
              <w:marRight w:val="0"/>
              <w:marTop w:val="0"/>
              <w:marBottom w:val="0"/>
              <w:divBdr>
                <w:top w:val="none" w:sz="0" w:space="0" w:color="auto"/>
                <w:left w:val="none" w:sz="0" w:space="0" w:color="auto"/>
                <w:bottom w:val="none" w:sz="0" w:space="0" w:color="auto"/>
                <w:right w:val="none" w:sz="0" w:space="0" w:color="auto"/>
              </w:divBdr>
              <w:divsChild>
                <w:div w:id="1987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18206">
      <w:bodyDiv w:val="1"/>
      <w:marLeft w:val="0"/>
      <w:marRight w:val="0"/>
      <w:marTop w:val="0"/>
      <w:marBottom w:val="0"/>
      <w:divBdr>
        <w:top w:val="none" w:sz="0" w:space="0" w:color="auto"/>
        <w:left w:val="none" w:sz="0" w:space="0" w:color="auto"/>
        <w:bottom w:val="none" w:sz="0" w:space="0" w:color="auto"/>
        <w:right w:val="none" w:sz="0" w:space="0" w:color="auto"/>
      </w:divBdr>
      <w:divsChild>
        <w:div w:id="724572963">
          <w:marLeft w:val="0"/>
          <w:marRight w:val="0"/>
          <w:marTop w:val="0"/>
          <w:marBottom w:val="0"/>
          <w:divBdr>
            <w:top w:val="none" w:sz="0" w:space="0" w:color="auto"/>
            <w:left w:val="none" w:sz="0" w:space="0" w:color="auto"/>
            <w:bottom w:val="none" w:sz="0" w:space="0" w:color="auto"/>
            <w:right w:val="none" w:sz="0" w:space="0" w:color="auto"/>
          </w:divBdr>
          <w:divsChild>
            <w:div w:id="297683654">
              <w:marLeft w:val="0"/>
              <w:marRight w:val="0"/>
              <w:marTop w:val="0"/>
              <w:marBottom w:val="0"/>
              <w:divBdr>
                <w:top w:val="none" w:sz="0" w:space="0" w:color="auto"/>
                <w:left w:val="none" w:sz="0" w:space="0" w:color="auto"/>
                <w:bottom w:val="none" w:sz="0" w:space="0" w:color="auto"/>
                <w:right w:val="none" w:sz="0" w:space="0" w:color="auto"/>
              </w:divBdr>
              <w:divsChild>
                <w:div w:id="17533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78620">
      <w:bodyDiv w:val="1"/>
      <w:marLeft w:val="0"/>
      <w:marRight w:val="0"/>
      <w:marTop w:val="0"/>
      <w:marBottom w:val="0"/>
      <w:divBdr>
        <w:top w:val="none" w:sz="0" w:space="0" w:color="auto"/>
        <w:left w:val="none" w:sz="0" w:space="0" w:color="auto"/>
        <w:bottom w:val="none" w:sz="0" w:space="0" w:color="auto"/>
        <w:right w:val="none" w:sz="0" w:space="0" w:color="auto"/>
      </w:divBdr>
      <w:divsChild>
        <w:div w:id="159467399">
          <w:marLeft w:val="0"/>
          <w:marRight w:val="0"/>
          <w:marTop w:val="0"/>
          <w:marBottom w:val="0"/>
          <w:divBdr>
            <w:top w:val="none" w:sz="0" w:space="0" w:color="auto"/>
            <w:left w:val="none" w:sz="0" w:space="0" w:color="auto"/>
            <w:bottom w:val="none" w:sz="0" w:space="0" w:color="auto"/>
            <w:right w:val="none" w:sz="0" w:space="0" w:color="auto"/>
          </w:divBdr>
          <w:divsChild>
            <w:div w:id="1736928597">
              <w:marLeft w:val="0"/>
              <w:marRight w:val="0"/>
              <w:marTop w:val="0"/>
              <w:marBottom w:val="0"/>
              <w:divBdr>
                <w:top w:val="none" w:sz="0" w:space="0" w:color="auto"/>
                <w:left w:val="none" w:sz="0" w:space="0" w:color="auto"/>
                <w:bottom w:val="none" w:sz="0" w:space="0" w:color="auto"/>
                <w:right w:val="none" w:sz="0" w:space="0" w:color="auto"/>
              </w:divBdr>
              <w:divsChild>
                <w:div w:id="3130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76838">
      <w:bodyDiv w:val="1"/>
      <w:marLeft w:val="0"/>
      <w:marRight w:val="0"/>
      <w:marTop w:val="0"/>
      <w:marBottom w:val="0"/>
      <w:divBdr>
        <w:top w:val="none" w:sz="0" w:space="0" w:color="auto"/>
        <w:left w:val="none" w:sz="0" w:space="0" w:color="auto"/>
        <w:bottom w:val="none" w:sz="0" w:space="0" w:color="auto"/>
        <w:right w:val="none" w:sz="0" w:space="0" w:color="auto"/>
      </w:divBdr>
    </w:div>
    <w:div w:id="1664165730">
      <w:bodyDiv w:val="1"/>
      <w:marLeft w:val="0"/>
      <w:marRight w:val="0"/>
      <w:marTop w:val="0"/>
      <w:marBottom w:val="0"/>
      <w:divBdr>
        <w:top w:val="none" w:sz="0" w:space="0" w:color="auto"/>
        <w:left w:val="none" w:sz="0" w:space="0" w:color="auto"/>
        <w:bottom w:val="none" w:sz="0" w:space="0" w:color="auto"/>
        <w:right w:val="none" w:sz="0" w:space="0" w:color="auto"/>
      </w:divBdr>
      <w:divsChild>
        <w:div w:id="10107183">
          <w:marLeft w:val="0"/>
          <w:marRight w:val="0"/>
          <w:marTop w:val="0"/>
          <w:marBottom w:val="0"/>
          <w:divBdr>
            <w:top w:val="none" w:sz="0" w:space="0" w:color="auto"/>
            <w:left w:val="none" w:sz="0" w:space="0" w:color="auto"/>
            <w:bottom w:val="none" w:sz="0" w:space="0" w:color="auto"/>
            <w:right w:val="none" w:sz="0" w:space="0" w:color="auto"/>
          </w:divBdr>
          <w:divsChild>
            <w:div w:id="1631589514">
              <w:marLeft w:val="0"/>
              <w:marRight w:val="0"/>
              <w:marTop w:val="0"/>
              <w:marBottom w:val="0"/>
              <w:divBdr>
                <w:top w:val="none" w:sz="0" w:space="0" w:color="auto"/>
                <w:left w:val="none" w:sz="0" w:space="0" w:color="auto"/>
                <w:bottom w:val="none" w:sz="0" w:space="0" w:color="auto"/>
                <w:right w:val="none" w:sz="0" w:space="0" w:color="auto"/>
              </w:divBdr>
              <w:divsChild>
                <w:div w:id="2759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5962">
      <w:bodyDiv w:val="1"/>
      <w:marLeft w:val="0"/>
      <w:marRight w:val="0"/>
      <w:marTop w:val="0"/>
      <w:marBottom w:val="0"/>
      <w:divBdr>
        <w:top w:val="none" w:sz="0" w:space="0" w:color="auto"/>
        <w:left w:val="none" w:sz="0" w:space="0" w:color="auto"/>
        <w:bottom w:val="none" w:sz="0" w:space="0" w:color="auto"/>
        <w:right w:val="none" w:sz="0" w:space="0" w:color="auto"/>
      </w:divBdr>
      <w:divsChild>
        <w:div w:id="1795826993">
          <w:marLeft w:val="0"/>
          <w:marRight w:val="0"/>
          <w:marTop w:val="0"/>
          <w:marBottom w:val="0"/>
          <w:divBdr>
            <w:top w:val="none" w:sz="0" w:space="0" w:color="auto"/>
            <w:left w:val="none" w:sz="0" w:space="0" w:color="auto"/>
            <w:bottom w:val="none" w:sz="0" w:space="0" w:color="auto"/>
            <w:right w:val="none" w:sz="0" w:space="0" w:color="auto"/>
          </w:divBdr>
          <w:divsChild>
            <w:div w:id="448548602">
              <w:marLeft w:val="0"/>
              <w:marRight w:val="0"/>
              <w:marTop w:val="0"/>
              <w:marBottom w:val="0"/>
              <w:divBdr>
                <w:top w:val="none" w:sz="0" w:space="0" w:color="auto"/>
                <w:left w:val="none" w:sz="0" w:space="0" w:color="auto"/>
                <w:bottom w:val="none" w:sz="0" w:space="0" w:color="auto"/>
                <w:right w:val="none" w:sz="0" w:space="0" w:color="auto"/>
              </w:divBdr>
              <w:divsChild>
                <w:div w:id="17198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0985">
      <w:bodyDiv w:val="1"/>
      <w:marLeft w:val="0"/>
      <w:marRight w:val="0"/>
      <w:marTop w:val="0"/>
      <w:marBottom w:val="0"/>
      <w:divBdr>
        <w:top w:val="none" w:sz="0" w:space="0" w:color="auto"/>
        <w:left w:val="none" w:sz="0" w:space="0" w:color="auto"/>
        <w:bottom w:val="none" w:sz="0" w:space="0" w:color="auto"/>
        <w:right w:val="none" w:sz="0" w:space="0" w:color="auto"/>
      </w:divBdr>
      <w:divsChild>
        <w:div w:id="1333294421">
          <w:marLeft w:val="0"/>
          <w:marRight w:val="0"/>
          <w:marTop w:val="0"/>
          <w:marBottom w:val="0"/>
          <w:divBdr>
            <w:top w:val="none" w:sz="0" w:space="0" w:color="auto"/>
            <w:left w:val="none" w:sz="0" w:space="0" w:color="auto"/>
            <w:bottom w:val="none" w:sz="0" w:space="0" w:color="auto"/>
            <w:right w:val="none" w:sz="0" w:space="0" w:color="auto"/>
          </w:divBdr>
          <w:divsChild>
            <w:div w:id="291450108">
              <w:marLeft w:val="0"/>
              <w:marRight w:val="0"/>
              <w:marTop w:val="0"/>
              <w:marBottom w:val="0"/>
              <w:divBdr>
                <w:top w:val="none" w:sz="0" w:space="0" w:color="auto"/>
                <w:left w:val="none" w:sz="0" w:space="0" w:color="auto"/>
                <w:bottom w:val="none" w:sz="0" w:space="0" w:color="auto"/>
                <w:right w:val="none" w:sz="0" w:space="0" w:color="auto"/>
              </w:divBdr>
              <w:divsChild>
                <w:div w:id="9015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4701</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manushaqe gojka</dc:creator>
  <cp:lastModifiedBy>manushaqe gojka</cp:lastModifiedBy>
  <cp:revision>5</cp:revision>
  <dcterms:created xsi:type="dcterms:W3CDTF">2023-03-15T11:21:00Z</dcterms:created>
  <dcterms:modified xsi:type="dcterms:W3CDTF">2023-03-15T11:25:00Z</dcterms:modified>
</cp:coreProperties>
</file>