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5A152" w14:textId="77777777" w:rsidR="00DC204A" w:rsidRPr="00010E6E" w:rsidRDefault="00DC204A" w:rsidP="00910120">
      <w:pPr>
        <w:jc w:val="both"/>
        <w:rPr>
          <w:lang w:val="sq-AL"/>
        </w:rPr>
      </w:pPr>
      <w:bookmarkStart w:id="0" w:name="_GoBack"/>
      <w:bookmarkEnd w:id="0"/>
    </w:p>
    <w:p w14:paraId="559A9025" w14:textId="77777777" w:rsidR="00DC204A" w:rsidRPr="00010E6E" w:rsidRDefault="00DC204A" w:rsidP="00910120">
      <w:pPr>
        <w:jc w:val="both"/>
        <w:rPr>
          <w:lang w:val="sq-AL"/>
        </w:rPr>
      </w:pPr>
    </w:p>
    <w:p w14:paraId="2598AE9D" w14:textId="77777777" w:rsidR="000627FC" w:rsidRPr="00010E6E" w:rsidRDefault="000627FC" w:rsidP="000627FC">
      <w:pPr>
        <w:spacing w:line="276" w:lineRule="auto"/>
        <w:jc w:val="both"/>
        <w:rPr>
          <w:lang w:val="sq-AL"/>
        </w:rPr>
      </w:pPr>
    </w:p>
    <w:p w14:paraId="6D6F8856" w14:textId="77777777" w:rsidR="000627FC" w:rsidRPr="00010E6E" w:rsidRDefault="000627FC" w:rsidP="000627FC">
      <w:pPr>
        <w:spacing w:line="276" w:lineRule="auto"/>
        <w:jc w:val="center"/>
        <w:rPr>
          <w:b/>
          <w:lang w:val="sq-AL"/>
        </w:rPr>
      </w:pPr>
      <w:r w:rsidRPr="00010E6E">
        <w:rPr>
          <w:b/>
          <w:lang w:val="sq-AL"/>
        </w:rPr>
        <w:t xml:space="preserve">RELACION MBI PROJEKTLIGJIN </w:t>
      </w:r>
    </w:p>
    <w:p w14:paraId="357E7814" w14:textId="5655D825" w:rsidR="003A149E" w:rsidRDefault="000627FC" w:rsidP="00BE1769">
      <w:pPr>
        <w:spacing w:line="276" w:lineRule="auto"/>
        <w:jc w:val="center"/>
        <w:rPr>
          <w:b/>
          <w:bCs/>
          <w:color w:val="000000"/>
          <w:lang w:val="sq-AL"/>
        </w:rPr>
      </w:pPr>
      <w:r w:rsidRPr="00010E6E">
        <w:rPr>
          <w:b/>
          <w:lang w:val="sq-AL"/>
        </w:rPr>
        <w:t>“PËR</w:t>
      </w:r>
      <w:r w:rsidR="005D499E">
        <w:rPr>
          <w:b/>
          <w:lang w:val="sq-AL"/>
        </w:rPr>
        <w:t xml:space="preserve"> LLOGARIN</w:t>
      </w:r>
      <w:r w:rsidR="00EF03B9">
        <w:rPr>
          <w:b/>
          <w:lang w:val="sq-AL"/>
        </w:rPr>
        <w:t>Ë</w:t>
      </w:r>
      <w:r w:rsidR="008C6BBA">
        <w:rPr>
          <w:b/>
          <w:lang w:val="sq-AL"/>
        </w:rPr>
        <w:t xml:space="preserve"> E PAGESAVE ME SH</w:t>
      </w:r>
      <w:r w:rsidR="00EF03B9">
        <w:rPr>
          <w:b/>
          <w:lang w:val="sq-AL"/>
        </w:rPr>
        <w:t>Ë</w:t>
      </w:r>
      <w:r w:rsidR="008C6BBA">
        <w:rPr>
          <w:b/>
          <w:lang w:val="sq-AL"/>
        </w:rPr>
        <w:t>RBIME BAZIKE</w:t>
      </w:r>
      <w:r w:rsidRPr="00010E6E">
        <w:rPr>
          <w:b/>
          <w:lang w:val="sq-AL"/>
        </w:rPr>
        <w:t>”</w:t>
      </w:r>
    </w:p>
    <w:p w14:paraId="4FD15F92" w14:textId="77777777" w:rsidR="00C177F7" w:rsidRPr="00010E6E" w:rsidRDefault="00C177F7" w:rsidP="00C177F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lang w:val="sq-AL"/>
        </w:rPr>
      </w:pPr>
    </w:p>
    <w:bookmarkStart w:id="1" w:name="_Toc18481859" w:displacedByCustomXml="next"/>
    <w:sdt>
      <w:sdtPr>
        <w:rPr>
          <w:rFonts w:ascii="Times New Roman" w:eastAsia="MS Mincho" w:hAnsi="Times New Roman"/>
          <w:color w:val="auto"/>
          <w:sz w:val="24"/>
          <w:szCs w:val="24"/>
        </w:rPr>
        <w:id w:val="125193969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E6F59D2" w14:textId="21E835CE" w:rsidR="00156948" w:rsidRDefault="00156948">
          <w:pPr>
            <w:pStyle w:val="TOCHeading"/>
          </w:pPr>
        </w:p>
        <w:p w14:paraId="5BEC4F4D" w14:textId="77777777" w:rsidR="00161607" w:rsidRDefault="00156948" w:rsidP="005E297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r>
            <w:rPr>
              <w:bCs/>
              <w:noProof/>
            </w:rPr>
            <w:fldChar w:fldCharType="begin"/>
          </w:r>
          <w:r>
            <w:rPr>
              <w:bCs/>
              <w:noProof/>
            </w:rPr>
            <w:instrText xml:space="preserve"> TOC \o "1-3" \h \z \u </w:instrText>
          </w:r>
          <w:r>
            <w:rPr>
              <w:bCs/>
              <w:noProof/>
            </w:rPr>
            <w:fldChar w:fldCharType="separate"/>
          </w:r>
          <w:hyperlink w:anchor="_Toc112249465" w:history="1">
            <w:r w:rsidR="00161607" w:rsidRPr="00877C8E">
              <w:rPr>
                <w:rStyle w:val="Hyperlink"/>
                <w:b/>
                <w:noProof/>
                <w:lang w:val="sq-AL"/>
              </w:rPr>
              <w:t>I.</w:t>
            </w:r>
            <w:r w:rsidR="001616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/>
              </w:rPr>
              <w:tab/>
            </w:r>
            <w:r w:rsidR="00161607" w:rsidRPr="00877C8E">
              <w:rPr>
                <w:rStyle w:val="Hyperlink"/>
                <w:b/>
                <w:noProof/>
                <w:lang w:val="sq-AL"/>
              </w:rPr>
              <w:t>QËLLIMI I PROJEKTLIGJIT DHE OBJEKTIVAT QË SYNOHEN TË ARRIHEN</w:t>
            </w:r>
            <w:r w:rsidR="00161607">
              <w:rPr>
                <w:noProof/>
                <w:webHidden/>
              </w:rPr>
              <w:tab/>
            </w:r>
            <w:r w:rsidR="00161607">
              <w:rPr>
                <w:noProof/>
                <w:webHidden/>
              </w:rPr>
              <w:fldChar w:fldCharType="begin"/>
            </w:r>
            <w:r w:rsidR="00161607">
              <w:rPr>
                <w:noProof/>
                <w:webHidden/>
              </w:rPr>
              <w:instrText xml:space="preserve"> PAGEREF _Toc112249465 \h </w:instrText>
            </w:r>
            <w:r w:rsidR="00161607">
              <w:rPr>
                <w:noProof/>
                <w:webHidden/>
              </w:rPr>
            </w:r>
            <w:r w:rsidR="00161607">
              <w:rPr>
                <w:noProof/>
                <w:webHidden/>
              </w:rPr>
              <w:fldChar w:fldCharType="separate"/>
            </w:r>
            <w:r w:rsidR="002B429F">
              <w:rPr>
                <w:noProof/>
                <w:webHidden/>
              </w:rPr>
              <w:t>2</w:t>
            </w:r>
            <w:r w:rsidR="00161607">
              <w:rPr>
                <w:noProof/>
                <w:webHidden/>
              </w:rPr>
              <w:fldChar w:fldCharType="end"/>
            </w:r>
          </w:hyperlink>
        </w:p>
        <w:p w14:paraId="13AB16F7" w14:textId="77777777" w:rsidR="00161607" w:rsidRDefault="001F47AF" w:rsidP="005E297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112249466" w:history="1">
            <w:r w:rsidR="00161607" w:rsidRPr="00877C8E">
              <w:rPr>
                <w:rStyle w:val="Hyperlink"/>
                <w:b/>
                <w:noProof/>
                <w:lang w:val="sq-AL"/>
              </w:rPr>
              <w:t>II.</w:t>
            </w:r>
            <w:r w:rsidR="001616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/>
              </w:rPr>
              <w:tab/>
            </w:r>
            <w:r w:rsidR="00161607" w:rsidRPr="00877C8E">
              <w:rPr>
                <w:rStyle w:val="Hyperlink"/>
                <w:b/>
                <w:noProof/>
                <w:lang w:val="sq-AL"/>
              </w:rPr>
              <w:t>VLERËSIMI I PROJEKTAKTIT NË RAPORT ME PROGRAMIN POLITIK TË KËSHILLIT TË MINISTRAVE, ME PROGRAMIN ANALITIK TË AKTEVE DHE DOKUMENTEVE TË TJERA POLITIKE</w:t>
            </w:r>
            <w:r w:rsidR="00161607">
              <w:rPr>
                <w:noProof/>
                <w:webHidden/>
              </w:rPr>
              <w:tab/>
            </w:r>
            <w:r w:rsidR="00161607">
              <w:rPr>
                <w:noProof/>
                <w:webHidden/>
              </w:rPr>
              <w:fldChar w:fldCharType="begin"/>
            </w:r>
            <w:r w:rsidR="00161607">
              <w:rPr>
                <w:noProof/>
                <w:webHidden/>
              </w:rPr>
              <w:instrText xml:space="preserve"> PAGEREF _Toc112249466 \h </w:instrText>
            </w:r>
            <w:r w:rsidR="00161607">
              <w:rPr>
                <w:noProof/>
                <w:webHidden/>
              </w:rPr>
            </w:r>
            <w:r w:rsidR="00161607">
              <w:rPr>
                <w:noProof/>
                <w:webHidden/>
              </w:rPr>
              <w:fldChar w:fldCharType="separate"/>
            </w:r>
            <w:r w:rsidR="002B429F">
              <w:rPr>
                <w:noProof/>
                <w:webHidden/>
              </w:rPr>
              <w:t>3</w:t>
            </w:r>
            <w:r w:rsidR="00161607">
              <w:rPr>
                <w:noProof/>
                <w:webHidden/>
              </w:rPr>
              <w:fldChar w:fldCharType="end"/>
            </w:r>
          </w:hyperlink>
        </w:p>
        <w:p w14:paraId="259CBAFA" w14:textId="77777777" w:rsidR="00161607" w:rsidRDefault="001F47AF" w:rsidP="005E297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112249467" w:history="1">
            <w:r w:rsidR="00161607" w:rsidRPr="00877C8E">
              <w:rPr>
                <w:rStyle w:val="Hyperlink"/>
                <w:rFonts w:cs="Arial"/>
                <w:b/>
                <w:noProof/>
                <w:lang w:val="sq-AL"/>
              </w:rPr>
              <w:t>III.</w:t>
            </w:r>
            <w:r w:rsidR="001616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/>
              </w:rPr>
              <w:tab/>
            </w:r>
            <w:r w:rsidR="00161607" w:rsidRPr="00877C8E">
              <w:rPr>
                <w:rStyle w:val="Hyperlink"/>
                <w:rFonts w:cs="Arial"/>
                <w:b/>
                <w:noProof/>
                <w:lang w:val="sq-AL"/>
              </w:rPr>
              <w:t>VLERËSIMI I LIGJSHMËRISË, KUSHTETUTSHMËRISË DHE HARMONIZIMI ME LEGJISLACIONIN NË FUQI VENDAS E NDËRKOMBËTAR</w:t>
            </w:r>
            <w:r w:rsidR="00161607">
              <w:rPr>
                <w:noProof/>
                <w:webHidden/>
              </w:rPr>
              <w:tab/>
            </w:r>
            <w:r w:rsidR="00161607">
              <w:rPr>
                <w:noProof/>
                <w:webHidden/>
              </w:rPr>
              <w:fldChar w:fldCharType="begin"/>
            </w:r>
            <w:r w:rsidR="00161607">
              <w:rPr>
                <w:noProof/>
                <w:webHidden/>
              </w:rPr>
              <w:instrText xml:space="preserve"> PAGEREF _Toc112249467 \h </w:instrText>
            </w:r>
            <w:r w:rsidR="00161607">
              <w:rPr>
                <w:noProof/>
                <w:webHidden/>
              </w:rPr>
            </w:r>
            <w:r w:rsidR="00161607">
              <w:rPr>
                <w:noProof/>
                <w:webHidden/>
              </w:rPr>
              <w:fldChar w:fldCharType="separate"/>
            </w:r>
            <w:r w:rsidR="002B429F">
              <w:rPr>
                <w:noProof/>
                <w:webHidden/>
              </w:rPr>
              <w:t>4</w:t>
            </w:r>
            <w:r w:rsidR="00161607">
              <w:rPr>
                <w:noProof/>
                <w:webHidden/>
              </w:rPr>
              <w:fldChar w:fldCharType="end"/>
            </w:r>
          </w:hyperlink>
        </w:p>
        <w:p w14:paraId="08BDD9F9" w14:textId="77777777" w:rsidR="00161607" w:rsidRDefault="001F47AF" w:rsidP="005E297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112249468" w:history="1">
            <w:r w:rsidR="00161607" w:rsidRPr="00877C8E">
              <w:rPr>
                <w:rStyle w:val="Hyperlink"/>
                <w:b/>
                <w:bCs/>
                <w:iCs/>
                <w:noProof/>
                <w:lang w:val="sq-AL"/>
              </w:rPr>
              <w:t>IV.</w:t>
            </w:r>
            <w:r w:rsidR="001616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/>
              </w:rPr>
              <w:tab/>
            </w:r>
            <w:r w:rsidR="00161607" w:rsidRPr="00877C8E">
              <w:rPr>
                <w:rStyle w:val="Hyperlink"/>
                <w:rFonts w:cs="Arial"/>
                <w:b/>
                <w:noProof/>
                <w:lang w:val="sq-AL"/>
              </w:rPr>
              <w:t xml:space="preserve">VLERËSIMI I SHKALLËS SË PËRAFRIMIT ME </w:t>
            </w:r>
            <w:r w:rsidR="00161607" w:rsidRPr="00877C8E">
              <w:rPr>
                <w:rStyle w:val="Hyperlink"/>
                <w:rFonts w:cs="Arial"/>
                <w:b/>
                <w:i/>
                <w:noProof/>
                <w:lang w:val="sq-AL"/>
              </w:rPr>
              <w:t>ACQUIS COMMUNAUTAIRE</w:t>
            </w:r>
            <w:r w:rsidR="00161607">
              <w:rPr>
                <w:noProof/>
                <w:webHidden/>
              </w:rPr>
              <w:tab/>
            </w:r>
            <w:r w:rsidR="00161607">
              <w:rPr>
                <w:noProof/>
                <w:webHidden/>
              </w:rPr>
              <w:fldChar w:fldCharType="begin"/>
            </w:r>
            <w:r w:rsidR="00161607">
              <w:rPr>
                <w:noProof/>
                <w:webHidden/>
              </w:rPr>
              <w:instrText xml:space="preserve"> PAGEREF _Toc112249468 \h </w:instrText>
            </w:r>
            <w:r w:rsidR="00161607">
              <w:rPr>
                <w:noProof/>
                <w:webHidden/>
              </w:rPr>
            </w:r>
            <w:r w:rsidR="00161607">
              <w:rPr>
                <w:noProof/>
                <w:webHidden/>
              </w:rPr>
              <w:fldChar w:fldCharType="separate"/>
            </w:r>
            <w:r w:rsidR="002B429F">
              <w:rPr>
                <w:noProof/>
                <w:webHidden/>
              </w:rPr>
              <w:t>4</w:t>
            </w:r>
            <w:r w:rsidR="00161607">
              <w:rPr>
                <w:noProof/>
                <w:webHidden/>
              </w:rPr>
              <w:fldChar w:fldCharType="end"/>
            </w:r>
          </w:hyperlink>
        </w:p>
        <w:p w14:paraId="765FCE11" w14:textId="77777777" w:rsidR="00161607" w:rsidRDefault="001F47AF" w:rsidP="005E297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112249469" w:history="1">
            <w:r w:rsidR="00161607" w:rsidRPr="00877C8E">
              <w:rPr>
                <w:rStyle w:val="Hyperlink"/>
                <w:rFonts w:cs="Arial"/>
                <w:b/>
                <w:noProof/>
                <w:lang w:val="sq-AL"/>
              </w:rPr>
              <w:t>V.</w:t>
            </w:r>
            <w:r w:rsidR="001616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/>
              </w:rPr>
              <w:tab/>
            </w:r>
            <w:r w:rsidR="00161607" w:rsidRPr="00877C8E">
              <w:rPr>
                <w:rStyle w:val="Hyperlink"/>
                <w:rFonts w:cs="Arial"/>
                <w:b/>
                <w:noProof/>
                <w:lang w:val="sq-AL"/>
              </w:rPr>
              <w:t>PËRMBLEDHJE SHPJEGUESE E PËRMBAJTJES SË PROJEKTLIGJIT</w:t>
            </w:r>
            <w:r w:rsidR="00161607">
              <w:rPr>
                <w:noProof/>
                <w:webHidden/>
              </w:rPr>
              <w:tab/>
            </w:r>
            <w:r w:rsidR="00161607">
              <w:rPr>
                <w:noProof/>
                <w:webHidden/>
              </w:rPr>
              <w:fldChar w:fldCharType="begin"/>
            </w:r>
            <w:r w:rsidR="00161607">
              <w:rPr>
                <w:noProof/>
                <w:webHidden/>
              </w:rPr>
              <w:instrText xml:space="preserve"> PAGEREF _Toc112249469 \h </w:instrText>
            </w:r>
            <w:r w:rsidR="00161607">
              <w:rPr>
                <w:noProof/>
                <w:webHidden/>
              </w:rPr>
            </w:r>
            <w:r w:rsidR="00161607">
              <w:rPr>
                <w:noProof/>
                <w:webHidden/>
              </w:rPr>
              <w:fldChar w:fldCharType="separate"/>
            </w:r>
            <w:r w:rsidR="002B429F">
              <w:rPr>
                <w:noProof/>
                <w:webHidden/>
              </w:rPr>
              <w:t>4</w:t>
            </w:r>
            <w:r w:rsidR="00161607">
              <w:rPr>
                <w:noProof/>
                <w:webHidden/>
              </w:rPr>
              <w:fldChar w:fldCharType="end"/>
            </w:r>
          </w:hyperlink>
        </w:p>
        <w:p w14:paraId="54714D3F" w14:textId="77777777" w:rsidR="00161607" w:rsidRDefault="001F47AF" w:rsidP="005E297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112249470" w:history="1">
            <w:r w:rsidR="00161607" w:rsidRPr="00877C8E">
              <w:rPr>
                <w:rStyle w:val="Hyperlink"/>
                <w:b/>
                <w:noProof/>
                <w:lang w:val="sq-AL"/>
              </w:rPr>
              <w:t>VI.</w:t>
            </w:r>
            <w:r w:rsidR="001616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/>
              </w:rPr>
              <w:tab/>
            </w:r>
            <w:r w:rsidR="00161607" w:rsidRPr="00877C8E">
              <w:rPr>
                <w:rStyle w:val="Hyperlink"/>
                <w:b/>
                <w:noProof/>
                <w:lang w:val="sq-AL"/>
              </w:rPr>
              <w:t>INSTITUCIONET DHE ORGANET QË NGARKOHEN ME ZBATIMIN E PROJEKTLIGJIT</w:t>
            </w:r>
            <w:r w:rsidR="00161607">
              <w:rPr>
                <w:noProof/>
                <w:webHidden/>
              </w:rPr>
              <w:tab/>
            </w:r>
            <w:r w:rsidR="00161607">
              <w:rPr>
                <w:noProof/>
                <w:webHidden/>
              </w:rPr>
              <w:fldChar w:fldCharType="begin"/>
            </w:r>
            <w:r w:rsidR="00161607">
              <w:rPr>
                <w:noProof/>
                <w:webHidden/>
              </w:rPr>
              <w:instrText xml:space="preserve"> PAGEREF _Toc112249470 \h </w:instrText>
            </w:r>
            <w:r w:rsidR="00161607">
              <w:rPr>
                <w:noProof/>
                <w:webHidden/>
              </w:rPr>
            </w:r>
            <w:r w:rsidR="00161607">
              <w:rPr>
                <w:noProof/>
                <w:webHidden/>
              </w:rPr>
              <w:fldChar w:fldCharType="separate"/>
            </w:r>
            <w:r w:rsidR="002B429F">
              <w:rPr>
                <w:noProof/>
                <w:webHidden/>
              </w:rPr>
              <w:t>8</w:t>
            </w:r>
            <w:r w:rsidR="00161607">
              <w:rPr>
                <w:noProof/>
                <w:webHidden/>
              </w:rPr>
              <w:fldChar w:fldCharType="end"/>
            </w:r>
          </w:hyperlink>
        </w:p>
        <w:p w14:paraId="19AD5975" w14:textId="77777777" w:rsidR="00161607" w:rsidRDefault="001F47AF" w:rsidP="005E297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112249471" w:history="1">
            <w:r w:rsidR="00161607" w:rsidRPr="00877C8E">
              <w:rPr>
                <w:rStyle w:val="Hyperlink"/>
                <w:b/>
                <w:noProof/>
                <w:lang w:val="sq-AL"/>
              </w:rPr>
              <w:t>VII.</w:t>
            </w:r>
            <w:r w:rsidR="001616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/>
              </w:rPr>
              <w:tab/>
            </w:r>
            <w:r w:rsidR="00161607" w:rsidRPr="00877C8E">
              <w:rPr>
                <w:rStyle w:val="Hyperlink"/>
                <w:b/>
                <w:noProof/>
                <w:lang w:val="sq-AL"/>
              </w:rPr>
              <w:t>PERSONAT DHE INSTITUCIONET QË KANË KONTRIBUAR NË HARTIMIN E PROJEKTLIGJIT</w:t>
            </w:r>
            <w:r w:rsidR="00161607">
              <w:rPr>
                <w:noProof/>
                <w:webHidden/>
              </w:rPr>
              <w:tab/>
            </w:r>
            <w:r w:rsidR="00161607">
              <w:rPr>
                <w:noProof/>
                <w:webHidden/>
              </w:rPr>
              <w:fldChar w:fldCharType="begin"/>
            </w:r>
            <w:r w:rsidR="00161607">
              <w:rPr>
                <w:noProof/>
                <w:webHidden/>
              </w:rPr>
              <w:instrText xml:space="preserve"> PAGEREF _Toc112249471 \h </w:instrText>
            </w:r>
            <w:r w:rsidR="00161607">
              <w:rPr>
                <w:noProof/>
                <w:webHidden/>
              </w:rPr>
            </w:r>
            <w:r w:rsidR="00161607">
              <w:rPr>
                <w:noProof/>
                <w:webHidden/>
              </w:rPr>
              <w:fldChar w:fldCharType="separate"/>
            </w:r>
            <w:r w:rsidR="002B429F">
              <w:rPr>
                <w:noProof/>
                <w:webHidden/>
              </w:rPr>
              <w:t>8</w:t>
            </w:r>
            <w:r w:rsidR="00161607">
              <w:rPr>
                <w:noProof/>
                <w:webHidden/>
              </w:rPr>
              <w:fldChar w:fldCharType="end"/>
            </w:r>
          </w:hyperlink>
        </w:p>
        <w:p w14:paraId="2A4DA2BD" w14:textId="77777777" w:rsidR="00161607" w:rsidRDefault="001F47AF" w:rsidP="005E297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112249472" w:history="1">
            <w:r w:rsidR="00161607" w:rsidRPr="00877C8E">
              <w:rPr>
                <w:rStyle w:val="Hyperlink"/>
                <w:b/>
                <w:noProof/>
                <w:lang w:val="sq-AL" w:eastAsia="en-GB"/>
              </w:rPr>
              <w:t>VIII.</w:t>
            </w:r>
            <w:r w:rsidR="001616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/>
              </w:rPr>
              <w:tab/>
            </w:r>
            <w:r w:rsidR="00161607" w:rsidRPr="00877C8E">
              <w:rPr>
                <w:rStyle w:val="Hyperlink"/>
                <w:b/>
                <w:noProof/>
                <w:lang w:val="sq-AL"/>
              </w:rPr>
              <w:t>RAPORTI I VLERËSIMIT TË TË ARDHURAVE DHE SHPENZIMEVE BUXHETORE</w:t>
            </w:r>
            <w:r w:rsidR="00161607">
              <w:rPr>
                <w:noProof/>
                <w:webHidden/>
              </w:rPr>
              <w:tab/>
            </w:r>
            <w:r w:rsidR="00161607">
              <w:rPr>
                <w:noProof/>
                <w:webHidden/>
              </w:rPr>
              <w:fldChar w:fldCharType="begin"/>
            </w:r>
            <w:r w:rsidR="00161607">
              <w:rPr>
                <w:noProof/>
                <w:webHidden/>
              </w:rPr>
              <w:instrText xml:space="preserve"> PAGEREF _Toc112249472 \h </w:instrText>
            </w:r>
            <w:r w:rsidR="00161607">
              <w:rPr>
                <w:noProof/>
                <w:webHidden/>
              </w:rPr>
            </w:r>
            <w:r w:rsidR="00161607">
              <w:rPr>
                <w:noProof/>
                <w:webHidden/>
              </w:rPr>
              <w:fldChar w:fldCharType="separate"/>
            </w:r>
            <w:r w:rsidR="002B429F">
              <w:rPr>
                <w:noProof/>
                <w:webHidden/>
              </w:rPr>
              <w:t>8</w:t>
            </w:r>
            <w:r w:rsidR="00161607">
              <w:rPr>
                <w:noProof/>
                <w:webHidden/>
              </w:rPr>
              <w:fldChar w:fldCharType="end"/>
            </w:r>
          </w:hyperlink>
        </w:p>
        <w:p w14:paraId="7F690034" w14:textId="77777777" w:rsidR="00161607" w:rsidRDefault="001F47AF" w:rsidP="005E297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112249473" w:history="1">
            <w:r w:rsidR="00161607" w:rsidRPr="00877C8E">
              <w:rPr>
                <w:rStyle w:val="Hyperlink"/>
                <w:b/>
                <w:noProof/>
                <w:lang w:val="sq-AL"/>
              </w:rPr>
              <w:t>IX.</w:t>
            </w:r>
            <w:r w:rsidR="001616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/>
              </w:rPr>
              <w:tab/>
            </w:r>
            <w:r w:rsidR="00161607" w:rsidRPr="00877C8E">
              <w:rPr>
                <w:rStyle w:val="Hyperlink"/>
                <w:b/>
                <w:noProof/>
                <w:lang w:val="sq-AL"/>
              </w:rPr>
              <w:t>KOMENTET E MINISTRIVE, INSTITUCIONEVE DHE SUBJEKTEVE TË TJERA</w:t>
            </w:r>
            <w:r w:rsidR="00161607">
              <w:rPr>
                <w:noProof/>
                <w:webHidden/>
              </w:rPr>
              <w:tab/>
            </w:r>
            <w:r w:rsidR="00161607">
              <w:rPr>
                <w:noProof/>
                <w:webHidden/>
              </w:rPr>
              <w:fldChar w:fldCharType="begin"/>
            </w:r>
            <w:r w:rsidR="00161607">
              <w:rPr>
                <w:noProof/>
                <w:webHidden/>
              </w:rPr>
              <w:instrText xml:space="preserve"> PAGEREF _Toc112249473 \h </w:instrText>
            </w:r>
            <w:r w:rsidR="00161607">
              <w:rPr>
                <w:noProof/>
                <w:webHidden/>
              </w:rPr>
            </w:r>
            <w:r w:rsidR="00161607">
              <w:rPr>
                <w:noProof/>
                <w:webHidden/>
              </w:rPr>
              <w:fldChar w:fldCharType="separate"/>
            </w:r>
            <w:r w:rsidR="002B429F">
              <w:rPr>
                <w:noProof/>
                <w:webHidden/>
              </w:rPr>
              <w:t>8</w:t>
            </w:r>
            <w:r w:rsidR="00161607">
              <w:rPr>
                <w:noProof/>
                <w:webHidden/>
              </w:rPr>
              <w:fldChar w:fldCharType="end"/>
            </w:r>
          </w:hyperlink>
        </w:p>
        <w:p w14:paraId="50D59512" w14:textId="4CAB0DCE" w:rsidR="00156948" w:rsidRDefault="00156948">
          <w:r>
            <w:rPr>
              <w:b/>
              <w:bCs/>
              <w:noProof/>
            </w:rPr>
            <w:fldChar w:fldCharType="end"/>
          </w:r>
        </w:p>
      </w:sdtContent>
    </w:sdt>
    <w:p w14:paraId="55349E7E" w14:textId="77777777" w:rsidR="00BE1769" w:rsidRDefault="00BE1769" w:rsidP="00BE1769">
      <w:pPr>
        <w:pStyle w:val="Default"/>
        <w:spacing w:line="276" w:lineRule="auto"/>
        <w:ind w:left="720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5EB12BA7" w14:textId="77777777" w:rsidR="00BE1769" w:rsidRPr="00223286" w:rsidRDefault="00BE1769" w:rsidP="00BE1769">
      <w:pPr>
        <w:pStyle w:val="Default"/>
        <w:spacing w:line="276" w:lineRule="auto"/>
        <w:ind w:left="720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4DE48460" w14:textId="77777777" w:rsidR="00BE1769" w:rsidRPr="00223286" w:rsidRDefault="00BE1769" w:rsidP="00BE1769">
      <w:pPr>
        <w:pStyle w:val="Default"/>
        <w:spacing w:line="276" w:lineRule="auto"/>
        <w:ind w:left="720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52B7477E" w14:textId="77777777" w:rsidR="00BE1769" w:rsidRPr="00223286" w:rsidRDefault="00BE1769" w:rsidP="00BE1769">
      <w:pPr>
        <w:pStyle w:val="Default"/>
        <w:spacing w:line="276" w:lineRule="auto"/>
        <w:ind w:left="720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5C3E86D6" w14:textId="77777777" w:rsidR="00BE1769" w:rsidRPr="00223286" w:rsidRDefault="00BE1769" w:rsidP="00BE1769">
      <w:pPr>
        <w:pStyle w:val="Default"/>
        <w:spacing w:line="276" w:lineRule="auto"/>
        <w:ind w:left="720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65C7A651" w14:textId="77777777" w:rsidR="00BE1769" w:rsidRPr="00223286" w:rsidRDefault="00BE1769" w:rsidP="00BE1769">
      <w:pPr>
        <w:pStyle w:val="Default"/>
        <w:spacing w:line="276" w:lineRule="auto"/>
        <w:ind w:left="720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374464D1" w14:textId="77777777" w:rsidR="00BE1769" w:rsidRPr="00223286" w:rsidRDefault="00BE1769" w:rsidP="00BE1769">
      <w:pPr>
        <w:pStyle w:val="Default"/>
        <w:spacing w:line="276" w:lineRule="auto"/>
        <w:ind w:left="720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55DC7546" w14:textId="77777777" w:rsidR="00BE1769" w:rsidRPr="00223286" w:rsidRDefault="00BE1769" w:rsidP="00BE1769">
      <w:pPr>
        <w:pStyle w:val="Default"/>
        <w:spacing w:line="276" w:lineRule="auto"/>
        <w:ind w:left="720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058BE5FC" w14:textId="77777777" w:rsidR="00BE1769" w:rsidRPr="00223286" w:rsidRDefault="00BE1769" w:rsidP="00BE1769">
      <w:pPr>
        <w:pStyle w:val="Default"/>
        <w:spacing w:line="276" w:lineRule="auto"/>
        <w:ind w:left="720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1827FD25" w14:textId="77777777" w:rsidR="00BE1769" w:rsidRPr="00223286" w:rsidRDefault="00BE1769" w:rsidP="00EE61C9">
      <w:pPr>
        <w:pStyle w:val="Default"/>
        <w:spacing w:line="276" w:lineRule="auto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51272345" w14:textId="77777777" w:rsidR="00BE1769" w:rsidRPr="00223286" w:rsidRDefault="00BE1769" w:rsidP="00BE1769">
      <w:pPr>
        <w:pStyle w:val="Default"/>
        <w:spacing w:line="276" w:lineRule="auto"/>
        <w:ind w:left="720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6580FC0F" w14:textId="77777777" w:rsidR="00BE1769" w:rsidRPr="00223286" w:rsidRDefault="00BE1769" w:rsidP="00BE1769">
      <w:pPr>
        <w:pStyle w:val="Default"/>
        <w:spacing w:line="276" w:lineRule="auto"/>
        <w:ind w:left="720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61E69076" w14:textId="77777777" w:rsidR="00161607" w:rsidRPr="00223286" w:rsidRDefault="00161607" w:rsidP="00BE1769">
      <w:pPr>
        <w:pStyle w:val="Default"/>
        <w:spacing w:line="276" w:lineRule="auto"/>
        <w:ind w:left="720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36B3875C" w14:textId="77777777" w:rsidR="00161607" w:rsidRPr="00223286" w:rsidRDefault="00161607" w:rsidP="00BE1769">
      <w:pPr>
        <w:pStyle w:val="Default"/>
        <w:spacing w:line="276" w:lineRule="auto"/>
        <w:ind w:left="720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205CB7DB" w14:textId="77777777" w:rsidR="00161607" w:rsidRPr="00223286" w:rsidRDefault="00161607" w:rsidP="00BE1769">
      <w:pPr>
        <w:pStyle w:val="Default"/>
        <w:spacing w:line="276" w:lineRule="auto"/>
        <w:ind w:left="720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20060176" w14:textId="77777777" w:rsidR="00161607" w:rsidRPr="00223286" w:rsidRDefault="00161607" w:rsidP="00BE1769">
      <w:pPr>
        <w:pStyle w:val="Default"/>
        <w:spacing w:line="276" w:lineRule="auto"/>
        <w:ind w:left="720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2172C87D" w14:textId="77777777" w:rsidR="00161607" w:rsidRPr="00223286" w:rsidRDefault="00161607" w:rsidP="00BE1769">
      <w:pPr>
        <w:pStyle w:val="Default"/>
        <w:spacing w:line="276" w:lineRule="auto"/>
        <w:ind w:left="720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4B8214DD" w14:textId="77777777" w:rsidR="00161607" w:rsidRPr="00223286" w:rsidRDefault="00161607" w:rsidP="00BE1769">
      <w:pPr>
        <w:pStyle w:val="Default"/>
        <w:spacing w:line="276" w:lineRule="auto"/>
        <w:ind w:left="720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2E4C48BE" w14:textId="77777777" w:rsidR="00C177F7" w:rsidRPr="00223286" w:rsidRDefault="00C177F7" w:rsidP="004E2752">
      <w:pPr>
        <w:pStyle w:val="Default"/>
        <w:numPr>
          <w:ilvl w:val="0"/>
          <w:numId w:val="19"/>
        </w:numPr>
        <w:spacing w:line="276" w:lineRule="auto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  <w:bookmarkStart w:id="2" w:name="_Toc112249465"/>
      <w:r w:rsidRPr="00223286"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  <w:t>QËLLIMI I PROJEKTLIGJIT DHE OBJEKTIVAT QË SYNOHEN TË ARRIHEN</w:t>
      </w:r>
      <w:bookmarkEnd w:id="1"/>
      <w:bookmarkEnd w:id="2"/>
      <w:r w:rsidRPr="00223286"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14:paraId="3F8F7FA9" w14:textId="77777777" w:rsidR="004B6D0E" w:rsidRPr="00223286" w:rsidRDefault="004B6D0E" w:rsidP="004B6D0E">
      <w:pPr>
        <w:spacing w:line="276" w:lineRule="auto"/>
        <w:jc w:val="both"/>
        <w:rPr>
          <w:rFonts w:eastAsia="Times New Roman"/>
          <w:lang w:val="sq-AL"/>
        </w:rPr>
      </w:pPr>
    </w:p>
    <w:p w14:paraId="7F2139AD" w14:textId="77777777" w:rsidR="00FE5514" w:rsidRPr="00223286" w:rsidRDefault="00FE5514" w:rsidP="00FE5514">
      <w:pPr>
        <w:jc w:val="both"/>
        <w:rPr>
          <w:b/>
          <w:i/>
          <w:color w:val="5B9BD5"/>
          <w:lang w:val="sq-AL"/>
        </w:rPr>
      </w:pPr>
      <w:r w:rsidRPr="00223286">
        <w:rPr>
          <w:b/>
          <w:i/>
          <w:color w:val="5B9BD5"/>
          <w:lang w:val="sq-AL"/>
        </w:rPr>
        <w:t xml:space="preserve">Nevojat dhe detyrimet e BSH për hartimin e projektligjit. </w:t>
      </w:r>
    </w:p>
    <w:p w14:paraId="38AEA666" w14:textId="77777777" w:rsidR="005D499E" w:rsidRPr="00223286" w:rsidRDefault="005D499E" w:rsidP="00FE5514">
      <w:pPr>
        <w:jc w:val="both"/>
        <w:rPr>
          <w:b/>
          <w:i/>
          <w:color w:val="5B9BD5"/>
          <w:lang w:val="sq-AL"/>
        </w:rPr>
      </w:pPr>
    </w:p>
    <w:p w14:paraId="693F3F9C" w14:textId="19232C01" w:rsidR="005D499E" w:rsidRPr="00223286" w:rsidRDefault="005D499E" w:rsidP="00EE61C9">
      <w:pPr>
        <w:pStyle w:val="ListParagraph"/>
        <w:numPr>
          <w:ilvl w:val="0"/>
          <w:numId w:val="24"/>
        </w:numPr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223286">
        <w:rPr>
          <w:rFonts w:ascii="Times New Roman" w:eastAsia="MS Mincho" w:hAnsi="Times New Roman"/>
          <w:sz w:val="24"/>
          <w:szCs w:val="24"/>
          <w:lang w:val="sq-AL"/>
        </w:rPr>
        <w:t>Nj</w:t>
      </w:r>
      <w:r w:rsidR="00EF03B9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 hallk</w:t>
      </w:r>
      <w:r w:rsidR="00EF03B9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 e r</w:t>
      </w:r>
      <w:r w:rsidR="00EF03B9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223286">
        <w:rPr>
          <w:rFonts w:ascii="Times New Roman" w:eastAsia="MS Mincho" w:hAnsi="Times New Roman"/>
          <w:sz w:val="24"/>
          <w:szCs w:val="24"/>
          <w:lang w:val="sq-AL"/>
        </w:rPr>
        <w:t>nd</w:t>
      </w:r>
      <w:r w:rsidR="00EF03B9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223286">
        <w:rPr>
          <w:rFonts w:ascii="Times New Roman" w:eastAsia="MS Mincho" w:hAnsi="Times New Roman"/>
          <w:sz w:val="24"/>
          <w:szCs w:val="24"/>
          <w:lang w:val="sq-AL"/>
        </w:rPr>
        <w:t>sishme n</w:t>
      </w:r>
      <w:r w:rsidR="00EF03B9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 kuad</w:t>
      </w:r>
      <w:r w:rsidR="00EF03B9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223286">
        <w:rPr>
          <w:rFonts w:ascii="Times New Roman" w:eastAsia="MS Mincho" w:hAnsi="Times New Roman"/>
          <w:sz w:val="24"/>
          <w:szCs w:val="24"/>
          <w:lang w:val="sq-AL"/>
        </w:rPr>
        <w:t>r t</w:t>
      </w:r>
      <w:r w:rsidR="00EF03B9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 p</w:t>
      </w:r>
      <w:r w:rsidR="00EF03B9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223286">
        <w:rPr>
          <w:rFonts w:ascii="Times New Roman" w:eastAsia="MS Mincho" w:hAnsi="Times New Roman"/>
          <w:sz w:val="24"/>
          <w:szCs w:val="24"/>
          <w:lang w:val="sq-AL"/>
        </w:rPr>
        <w:t>rmbushjes s</w:t>
      </w:r>
      <w:r w:rsidR="00EF03B9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 detyrimit p</w:t>
      </w:r>
      <w:r w:rsidR="00EF03B9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223286">
        <w:rPr>
          <w:rFonts w:ascii="Times New Roman" w:eastAsia="MS Mincho" w:hAnsi="Times New Roman"/>
          <w:sz w:val="24"/>
          <w:szCs w:val="24"/>
          <w:lang w:val="sq-AL"/>
        </w:rPr>
        <w:t>r zbatimin e strategjis</w:t>
      </w:r>
      <w:r w:rsidR="00EF03B9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 komb</w:t>
      </w:r>
      <w:r w:rsidR="00EF03B9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223286">
        <w:rPr>
          <w:rFonts w:ascii="Times New Roman" w:eastAsia="MS Mincho" w:hAnsi="Times New Roman"/>
          <w:sz w:val="24"/>
          <w:szCs w:val="24"/>
          <w:lang w:val="sq-AL"/>
        </w:rPr>
        <w:t>tare p</w:t>
      </w:r>
      <w:r w:rsidR="00EF03B9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223286">
        <w:rPr>
          <w:rFonts w:ascii="Times New Roman" w:eastAsia="MS Mincho" w:hAnsi="Times New Roman"/>
          <w:sz w:val="24"/>
          <w:szCs w:val="24"/>
          <w:lang w:val="sq-AL"/>
        </w:rPr>
        <w:t>r Pagesat me Vlerë të Vogël në Shqipëri (2018-2023)</w:t>
      </w:r>
      <w:r w:rsidR="00F20E19" w:rsidRPr="00223286">
        <w:rPr>
          <w:rFonts w:ascii="Times New Roman" w:eastAsia="MS Mincho" w:hAnsi="Times New Roman"/>
          <w:sz w:val="24"/>
          <w:szCs w:val="24"/>
          <w:lang w:val="sq-AL"/>
        </w:rPr>
        <w:t>,</w:t>
      </w:r>
      <w:r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 e cila synon nxitjen e p</w:t>
      </w:r>
      <w:r w:rsidR="00EF03B9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223286">
        <w:rPr>
          <w:rFonts w:ascii="Times New Roman" w:eastAsia="MS Mincho" w:hAnsi="Times New Roman"/>
          <w:sz w:val="24"/>
          <w:szCs w:val="24"/>
          <w:lang w:val="sq-AL"/>
        </w:rPr>
        <w:t>rfshirjes financiare të popullsisë dhe të përdorimit të pagesave elektronike në Shqipëri.</w:t>
      </w:r>
    </w:p>
    <w:p w14:paraId="5C1485F2" w14:textId="77777777" w:rsidR="00EE61C9" w:rsidRPr="00223286" w:rsidRDefault="00EE61C9" w:rsidP="00EE61C9">
      <w:pPr>
        <w:pStyle w:val="ListParagraph"/>
        <w:ind w:left="360"/>
        <w:jc w:val="both"/>
        <w:rPr>
          <w:rFonts w:ascii="Times New Roman" w:eastAsia="MS Mincho" w:hAnsi="Times New Roman"/>
          <w:sz w:val="24"/>
          <w:szCs w:val="24"/>
          <w:lang w:val="sq-AL"/>
        </w:rPr>
      </w:pPr>
    </w:p>
    <w:p w14:paraId="50663761" w14:textId="617FE606" w:rsidR="00ED2074" w:rsidRPr="00223286" w:rsidRDefault="00FE5514" w:rsidP="00A8731D">
      <w:pPr>
        <w:pStyle w:val="ListParagraph"/>
        <w:numPr>
          <w:ilvl w:val="0"/>
          <w:numId w:val="24"/>
        </w:numPr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Një detyrim në kuadër të </w:t>
      </w:r>
      <w:r w:rsidR="00CB4321" w:rsidRPr="00223286">
        <w:rPr>
          <w:rFonts w:ascii="Times New Roman" w:eastAsia="MS Mincho" w:hAnsi="Times New Roman"/>
          <w:sz w:val="24"/>
          <w:szCs w:val="24"/>
          <w:lang w:val="sq-AL"/>
        </w:rPr>
        <w:t>integrimit dhe m</w:t>
      </w:r>
      <w:r w:rsidR="0090064C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="00CB4321"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 konkretisht</w:t>
      </w:r>
      <w:r w:rsidR="00F20E19" w:rsidRPr="00223286">
        <w:rPr>
          <w:rFonts w:ascii="Times New Roman" w:eastAsia="MS Mincho" w:hAnsi="Times New Roman"/>
          <w:sz w:val="24"/>
          <w:szCs w:val="24"/>
          <w:lang w:val="sq-AL"/>
        </w:rPr>
        <w:t>, për</w:t>
      </w:r>
      <w:r w:rsidR="00CB4321"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 p</w:t>
      </w:r>
      <w:r w:rsidR="0090064C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="00CB4321" w:rsidRPr="00223286">
        <w:rPr>
          <w:rFonts w:ascii="Times New Roman" w:eastAsia="MS Mincho" w:hAnsi="Times New Roman"/>
          <w:sz w:val="24"/>
          <w:szCs w:val="24"/>
          <w:lang w:val="sq-AL"/>
        </w:rPr>
        <w:t>rmbushjen e detyrimeve t</w:t>
      </w:r>
      <w:r w:rsidR="0090064C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="00CB4321"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 Bank</w:t>
      </w:r>
      <w:r w:rsidR="0090064C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="00CB4321" w:rsidRPr="00223286">
        <w:rPr>
          <w:rFonts w:ascii="Times New Roman" w:eastAsia="MS Mincho" w:hAnsi="Times New Roman"/>
          <w:sz w:val="24"/>
          <w:szCs w:val="24"/>
          <w:lang w:val="sq-AL"/>
        </w:rPr>
        <w:t>s s</w:t>
      </w:r>
      <w:r w:rsidR="0090064C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="00CB4321"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 Shqip</w:t>
      </w:r>
      <w:r w:rsidR="0090064C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="00CB4321" w:rsidRPr="00223286">
        <w:rPr>
          <w:rFonts w:ascii="Times New Roman" w:eastAsia="MS Mincho" w:hAnsi="Times New Roman"/>
          <w:sz w:val="24"/>
          <w:szCs w:val="24"/>
          <w:lang w:val="sq-AL"/>
        </w:rPr>
        <w:t>ris</w:t>
      </w:r>
      <w:r w:rsidR="0090064C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="00CB4321"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 n</w:t>
      </w:r>
      <w:r w:rsidR="0090064C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="00CB4321"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 lidhje me </w:t>
      </w:r>
      <w:r w:rsidR="00F20E19"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përafrimin e akteve të </w:t>
      </w:r>
      <w:r w:rsidR="00D16D7E" w:rsidRPr="00223286">
        <w:rPr>
          <w:rFonts w:ascii="Times New Roman" w:eastAsia="MS Mincho" w:hAnsi="Times New Roman"/>
          <w:sz w:val="24"/>
          <w:szCs w:val="24"/>
          <w:lang w:val="sq-AL"/>
        </w:rPr>
        <w:t>Kapitulli</w:t>
      </w:r>
      <w:r w:rsidR="00F20E19" w:rsidRPr="00223286">
        <w:rPr>
          <w:rFonts w:ascii="Times New Roman" w:eastAsia="MS Mincho" w:hAnsi="Times New Roman"/>
          <w:sz w:val="24"/>
          <w:szCs w:val="24"/>
          <w:lang w:val="sq-AL"/>
        </w:rPr>
        <w:t>t</w:t>
      </w:r>
      <w:r w:rsidR="0091788E"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 9 </w:t>
      </w:r>
      <w:r w:rsidR="00D16D7E" w:rsidRPr="00223286">
        <w:rPr>
          <w:rFonts w:ascii="Times New Roman" w:eastAsia="MS Mincho" w:hAnsi="Times New Roman"/>
          <w:sz w:val="24"/>
          <w:szCs w:val="24"/>
          <w:lang w:val="sq-AL"/>
        </w:rPr>
        <w:t>“Sh</w:t>
      </w:r>
      <w:r w:rsidR="0090064C" w:rsidRPr="00223286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="00D16D7E"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rbimet Financiare”. </w:t>
      </w:r>
      <w:r w:rsidR="0091788E" w:rsidRPr="00223286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</w:p>
    <w:p w14:paraId="7C67692A" w14:textId="77777777" w:rsidR="00FE5514" w:rsidRPr="00223286" w:rsidRDefault="008D1AB8" w:rsidP="00ED2074">
      <w:pPr>
        <w:jc w:val="both"/>
        <w:rPr>
          <w:lang w:val="sq-AL"/>
        </w:rPr>
      </w:pPr>
      <w:r w:rsidRPr="00223286">
        <w:rPr>
          <w:b/>
          <w:i/>
          <w:color w:val="5B9BD5"/>
          <w:lang w:val="sq-AL"/>
        </w:rPr>
        <w:t xml:space="preserve">Situata aktuale, problematikat dhe vakumet ligjore. </w:t>
      </w:r>
    </w:p>
    <w:p w14:paraId="263A63CD" w14:textId="77777777" w:rsidR="000801CC" w:rsidRPr="00223286" w:rsidRDefault="000801CC" w:rsidP="008D736E">
      <w:pPr>
        <w:spacing w:line="276" w:lineRule="auto"/>
        <w:jc w:val="both"/>
        <w:rPr>
          <w:highlight w:val="yellow"/>
          <w:lang w:val="sq-AL"/>
        </w:rPr>
      </w:pPr>
    </w:p>
    <w:p w14:paraId="4B4FFD92" w14:textId="1631582A" w:rsidR="00DE7548" w:rsidRPr="00223286" w:rsidRDefault="00DE7548" w:rsidP="000801CC">
      <w:pPr>
        <w:spacing w:after="160" w:line="259" w:lineRule="auto"/>
        <w:jc w:val="both"/>
        <w:rPr>
          <w:lang w:val="sq-AL"/>
        </w:rPr>
      </w:pPr>
      <w:r w:rsidRPr="00223286">
        <w:rPr>
          <w:lang w:val="sq-AL"/>
        </w:rPr>
        <w:t xml:space="preserve">Gjatë viteve të fundit, kuadri ligjor e nënligjor i Republikës së Shqipërisë ka qenë në proces të vazhdueshëm transpozimi të direktivave e rregulloreve të Bashkimit Evropian, me qëllim integrimin në BE. Veçanërisht, legjislacioni dhe kuadri rregullativ është përshtatur edhe me teknologjitë dhe modelet e reja të biznesit, për shembull në fushën e shërbimeve financiare digjitale për pagesat elektronike, nënshkrimet elektronike, komunikimet elektronike dhe identifikimin elektronik të klientëve. Në 30 prill 2020, parlamenti shqiptar miratoi ligjin “Për shërbimet e pagesave”, i cili transpozoi Direktivën e Dytë për Shërbimet e Pagesave të Bashkimit Evropian (PSD2). Miratimi i këtij ligji konsiderohet si një arritje shumëdimensionale dhe përmbushje e një sërë angazhimesh të Bankës së Shqipërisë, në procesin e integrimit të vendit në Bashkimin Evropian, si dhe për integrimin me tregun e përbashkët të pagesave në euro (Single Euro Payment Area). </w:t>
      </w:r>
    </w:p>
    <w:p w14:paraId="259B7F6C" w14:textId="77777777" w:rsidR="00F6748E" w:rsidRPr="00223286" w:rsidRDefault="00F6748E" w:rsidP="008D736E">
      <w:pPr>
        <w:spacing w:line="276" w:lineRule="auto"/>
        <w:jc w:val="both"/>
        <w:rPr>
          <w:lang w:val="sq-AL"/>
        </w:rPr>
      </w:pPr>
    </w:p>
    <w:p w14:paraId="54003DCC" w14:textId="34DE284B" w:rsidR="00FE5514" w:rsidRPr="00223286" w:rsidRDefault="0097357A" w:rsidP="008D736E">
      <w:pPr>
        <w:spacing w:line="276" w:lineRule="auto"/>
        <w:jc w:val="both"/>
        <w:rPr>
          <w:lang w:val="sq-AL"/>
        </w:rPr>
      </w:pPr>
      <w:r w:rsidRPr="00223286">
        <w:rPr>
          <w:lang w:val="sq-AL"/>
        </w:rPr>
        <w:t>N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 xml:space="preserve"> zbatim t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 xml:space="preserve"> k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>rkesave t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 xml:space="preserve"> </w:t>
      </w:r>
      <w:r w:rsidR="008D4F21" w:rsidRPr="00223286">
        <w:rPr>
          <w:lang w:val="sq-AL"/>
        </w:rPr>
        <w:t>l</w:t>
      </w:r>
      <w:r w:rsidR="00457CA5" w:rsidRPr="00223286">
        <w:rPr>
          <w:lang w:val="sq-AL"/>
        </w:rPr>
        <w:t>igji</w:t>
      </w:r>
      <w:r w:rsidR="008D4F21" w:rsidRPr="00223286">
        <w:rPr>
          <w:lang w:val="sq-AL"/>
        </w:rPr>
        <w:t xml:space="preserve">t </w:t>
      </w:r>
      <w:r w:rsidR="00C4728A" w:rsidRPr="00223286">
        <w:rPr>
          <w:lang w:val="sq-AL"/>
        </w:rPr>
        <w:t>“Për shërbimet e pagesave”</w:t>
      </w:r>
      <w:r w:rsidR="00457CA5" w:rsidRPr="00223286">
        <w:rPr>
          <w:lang w:val="sq-AL"/>
        </w:rPr>
        <w:t>, B</w:t>
      </w:r>
      <w:r w:rsidR="00F6748E" w:rsidRPr="00223286">
        <w:rPr>
          <w:lang w:val="sq-AL"/>
        </w:rPr>
        <w:t>anka e Shqip</w:t>
      </w:r>
      <w:r w:rsidR="00EF03B9" w:rsidRPr="00223286">
        <w:rPr>
          <w:lang w:val="sq-AL"/>
        </w:rPr>
        <w:t>ë</w:t>
      </w:r>
      <w:r w:rsidR="00F6748E" w:rsidRPr="00223286">
        <w:rPr>
          <w:lang w:val="sq-AL"/>
        </w:rPr>
        <w:t>ris</w:t>
      </w:r>
      <w:r w:rsidR="00EF03B9" w:rsidRPr="00223286">
        <w:rPr>
          <w:lang w:val="sq-AL"/>
        </w:rPr>
        <w:t>ë</w:t>
      </w:r>
      <w:r w:rsidR="00F6748E" w:rsidRPr="00223286">
        <w:rPr>
          <w:lang w:val="sq-AL"/>
        </w:rPr>
        <w:t xml:space="preserve"> </w:t>
      </w:r>
      <w:r w:rsidR="00EF03B9" w:rsidRPr="00223286">
        <w:rPr>
          <w:lang w:val="sq-AL"/>
        </w:rPr>
        <w:t>ë</w:t>
      </w:r>
      <w:r w:rsidR="00F6748E" w:rsidRPr="00223286">
        <w:rPr>
          <w:lang w:val="sq-AL"/>
        </w:rPr>
        <w:t>sht</w:t>
      </w:r>
      <w:r w:rsidR="00EF03B9" w:rsidRPr="00223286">
        <w:rPr>
          <w:lang w:val="sq-AL"/>
        </w:rPr>
        <w:t>ë</w:t>
      </w:r>
      <w:r w:rsidR="00F6748E" w:rsidRPr="00223286">
        <w:rPr>
          <w:lang w:val="sq-AL"/>
        </w:rPr>
        <w:t xml:space="preserve"> n</w:t>
      </w:r>
      <w:r w:rsidR="00EF03B9" w:rsidRPr="00223286">
        <w:rPr>
          <w:lang w:val="sq-AL"/>
        </w:rPr>
        <w:t>ë</w:t>
      </w:r>
      <w:r w:rsidR="00F6748E" w:rsidRPr="00223286">
        <w:rPr>
          <w:lang w:val="sq-AL"/>
        </w:rPr>
        <w:t xml:space="preserve"> proces t</w:t>
      </w:r>
      <w:r w:rsidR="00EF03B9" w:rsidRPr="00223286">
        <w:rPr>
          <w:lang w:val="sq-AL"/>
        </w:rPr>
        <w:t>ë</w:t>
      </w:r>
      <w:r w:rsidR="00F6748E" w:rsidRPr="00223286">
        <w:rPr>
          <w:lang w:val="sq-AL"/>
        </w:rPr>
        <w:t xml:space="preserve"> hartimit t</w:t>
      </w:r>
      <w:r w:rsidR="00EF03B9" w:rsidRPr="00223286">
        <w:rPr>
          <w:lang w:val="sq-AL"/>
        </w:rPr>
        <w:t>ë</w:t>
      </w:r>
      <w:r w:rsidR="00F6748E" w:rsidRPr="00223286">
        <w:rPr>
          <w:lang w:val="sq-AL"/>
        </w:rPr>
        <w:t xml:space="preserve"> kuadrit rregullativ</w:t>
      </w:r>
      <w:r w:rsidR="00457CA5" w:rsidRPr="00223286">
        <w:rPr>
          <w:lang w:val="sq-AL"/>
        </w:rPr>
        <w:t xml:space="preserve"> </w:t>
      </w:r>
      <w:r w:rsidR="00C4728A" w:rsidRPr="00223286">
        <w:rPr>
          <w:lang w:val="sq-AL"/>
        </w:rPr>
        <w:t>në përputhje me</w:t>
      </w:r>
      <w:r w:rsidR="00457CA5" w:rsidRPr="00223286">
        <w:rPr>
          <w:lang w:val="sq-AL"/>
        </w:rPr>
        <w:t xml:space="preserve"> akte</w:t>
      </w:r>
      <w:r w:rsidR="00C4728A" w:rsidRPr="00223286">
        <w:rPr>
          <w:lang w:val="sq-AL"/>
        </w:rPr>
        <w:t>t përkatëse</w:t>
      </w:r>
      <w:r w:rsidR="00457CA5" w:rsidRPr="00223286">
        <w:rPr>
          <w:lang w:val="sq-AL"/>
        </w:rPr>
        <w:t xml:space="preserve"> të BE-së për ofruesit e sh</w:t>
      </w:r>
      <w:r w:rsidR="00EF03B9" w:rsidRPr="00223286">
        <w:rPr>
          <w:lang w:val="sq-AL"/>
        </w:rPr>
        <w:t>ë</w:t>
      </w:r>
      <w:r w:rsidR="00457CA5" w:rsidRPr="00223286">
        <w:rPr>
          <w:lang w:val="sq-AL"/>
        </w:rPr>
        <w:t>rbimeve t</w:t>
      </w:r>
      <w:r w:rsidR="00EF03B9" w:rsidRPr="00223286">
        <w:rPr>
          <w:lang w:val="sq-AL"/>
        </w:rPr>
        <w:t>ë</w:t>
      </w:r>
      <w:r w:rsidR="00457CA5" w:rsidRPr="00223286">
        <w:rPr>
          <w:lang w:val="sq-AL"/>
        </w:rPr>
        <w:t xml:space="preserve"> pagesave, me q</w:t>
      </w:r>
      <w:r w:rsidR="00EF03B9" w:rsidRPr="00223286">
        <w:rPr>
          <w:lang w:val="sq-AL"/>
        </w:rPr>
        <w:t>ë</w:t>
      </w:r>
      <w:r w:rsidR="00457CA5" w:rsidRPr="00223286">
        <w:rPr>
          <w:lang w:val="sq-AL"/>
        </w:rPr>
        <w:t xml:space="preserve">llim </w:t>
      </w:r>
      <w:r w:rsidR="0091788E" w:rsidRPr="00223286">
        <w:rPr>
          <w:lang w:val="sq-AL"/>
        </w:rPr>
        <w:t xml:space="preserve">edhe </w:t>
      </w:r>
      <w:r w:rsidR="00457CA5" w:rsidRPr="00223286">
        <w:rPr>
          <w:lang w:val="sq-AL"/>
        </w:rPr>
        <w:t>plot</w:t>
      </w:r>
      <w:r w:rsidR="00EF03B9" w:rsidRPr="00223286">
        <w:rPr>
          <w:lang w:val="sq-AL"/>
        </w:rPr>
        <w:t>ë</w:t>
      </w:r>
      <w:r w:rsidR="00457CA5" w:rsidRPr="00223286">
        <w:rPr>
          <w:lang w:val="sq-AL"/>
        </w:rPr>
        <w:t>simin e k</w:t>
      </w:r>
      <w:r w:rsidR="00EF03B9" w:rsidRPr="00223286">
        <w:rPr>
          <w:lang w:val="sq-AL"/>
        </w:rPr>
        <w:t>ë</w:t>
      </w:r>
      <w:r w:rsidR="00457CA5" w:rsidRPr="00223286">
        <w:rPr>
          <w:lang w:val="sq-AL"/>
        </w:rPr>
        <w:t>rkesave p</w:t>
      </w:r>
      <w:r w:rsidR="00EF03B9" w:rsidRPr="00223286">
        <w:rPr>
          <w:lang w:val="sq-AL"/>
        </w:rPr>
        <w:t>ë</w:t>
      </w:r>
      <w:r w:rsidR="00457CA5" w:rsidRPr="00223286">
        <w:rPr>
          <w:lang w:val="sq-AL"/>
        </w:rPr>
        <w:t>r harmonizimin e kuadrit ligjor e rregullativ në kuadër të procesit të integrimit të Shqipërisë në Bashkimin Evropian.</w:t>
      </w:r>
      <w:r w:rsidR="00F6748E" w:rsidRPr="00223286">
        <w:rPr>
          <w:lang w:val="sq-AL"/>
        </w:rPr>
        <w:t xml:space="preserve"> </w:t>
      </w:r>
      <w:r w:rsidR="00C4728A" w:rsidRPr="00223286">
        <w:rPr>
          <w:lang w:val="sq-AL"/>
        </w:rPr>
        <w:t>Kërkesat</w:t>
      </w:r>
      <w:r w:rsidR="008D4F21" w:rsidRPr="00223286">
        <w:rPr>
          <w:lang w:val="sq-AL"/>
        </w:rPr>
        <w:t xml:space="preserve"> e reja të </w:t>
      </w:r>
      <w:r w:rsidR="000801CC" w:rsidRPr="00223286">
        <w:rPr>
          <w:lang w:val="sq-AL"/>
        </w:rPr>
        <w:t>ligji</w:t>
      </w:r>
      <w:r w:rsidR="00C4728A" w:rsidRPr="00223286">
        <w:rPr>
          <w:lang w:val="sq-AL"/>
        </w:rPr>
        <w:t>t</w:t>
      </w:r>
      <w:r w:rsidR="000801CC" w:rsidRPr="00223286">
        <w:rPr>
          <w:lang w:val="sq-AL"/>
        </w:rPr>
        <w:t xml:space="preserve"> </w:t>
      </w:r>
      <w:r w:rsidR="008D4F21" w:rsidRPr="00223286">
        <w:rPr>
          <w:lang w:val="sq-AL"/>
        </w:rPr>
        <w:t>“P</w:t>
      </w:r>
      <w:r w:rsidR="00EF03B9" w:rsidRPr="00223286">
        <w:rPr>
          <w:lang w:val="sq-AL"/>
        </w:rPr>
        <w:t>ë</w:t>
      </w:r>
      <w:r w:rsidR="008D4F21" w:rsidRPr="00223286">
        <w:rPr>
          <w:lang w:val="sq-AL"/>
        </w:rPr>
        <w:t>r sh</w:t>
      </w:r>
      <w:r w:rsidR="00EF03B9" w:rsidRPr="00223286">
        <w:rPr>
          <w:lang w:val="sq-AL"/>
        </w:rPr>
        <w:t>ë</w:t>
      </w:r>
      <w:r w:rsidR="008D4F21" w:rsidRPr="00223286">
        <w:rPr>
          <w:lang w:val="sq-AL"/>
        </w:rPr>
        <w:t>rbimet e pagesave”</w:t>
      </w:r>
      <w:r w:rsidRPr="00223286">
        <w:rPr>
          <w:lang w:val="sq-AL"/>
        </w:rPr>
        <w:t xml:space="preserve"> </w:t>
      </w:r>
      <w:r w:rsidR="000801CC" w:rsidRPr="00223286">
        <w:rPr>
          <w:lang w:val="sq-AL"/>
        </w:rPr>
        <w:t xml:space="preserve">kanë </w:t>
      </w:r>
      <w:r w:rsidR="00C4728A" w:rsidRPr="00223286">
        <w:rPr>
          <w:lang w:val="sq-AL"/>
        </w:rPr>
        <w:t xml:space="preserve">si </w:t>
      </w:r>
      <w:r w:rsidR="000801CC" w:rsidRPr="00223286">
        <w:rPr>
          <w:lang w:val="sq-AL"/>
        </w:rPr>
        <w:t>objektiv promovimin dhe zgjerimin e përfshirjes financiare të popullatës, reduktimin e kostove të shërbimeve</w:t>
      </w:r>
      <w:r w:rsidR="00C4728A" w:rsidRPr="00223286">
        <w:rPr>
          <w:lang w:val="sq-AL"/>
        </w:rPr>
        <w:t xml:space="preserve"> të pagesave</w:t>
      </w:r>
      <w:r w:rsidR="000801CC" w:rsidRPr="00223286">
        <w:rPr>
          <w:lang w:val="sq-AL"/>
        </w:rPr>
        <w:t xml:space="preserve"> dhe nxitjen e përdorimit të instrumenteve elektronike të pagesave</w:t>
      </w:r>
      <w:r w:rsidR="00F6748E" w:rsidRPr="00223286">
        <w:rPr>
          <w:lang w:val="sq-AL"/>
        </w:rPr>
        <w:t>.</w:t>
      </w:r>
    </w:p>
    <w:p w14:paraId="230B722F" w14:textId="5DFC4D78" w:rsidR="00C4728A" w:rsidRPr="00223286" w:rsidRDefault="003F4082" w:rsidP="00C4728A">
      <w:pPr>
        <w:spacing w:after="160" w:line="252" w:lineRule="auto"/>
        <w:jc w:val="both"/>
        <w:rPr>
          <w:lang w:val="sq-AL"/>
        </w:rPr>
      </w:pPr>
      <w:r w:rsidRPr="00223286">
        <w:rPr>
          <w:lang w:val="sq-AL"/>
        </w:rPr>
        <w:t xml:space="preserve">Por, </w:t>
      </w:r>
      <w:r w:rsidR="00C4728A" w:rsidRPr="00223286">
        <w:rPr>
          <w:lang w:val="sq-AL"/>
        </w:rPr>
        <w:t xml:space="preserve">këto </w:t>
      </w:r>
      <w:r w:rsidRPr="00223286">
        <w:rPr>
          <w:lang w:val="sq-AL"/>
        </w:rPr>
        <w:t xml:space="preserve">zhvillime </w:t>
      </w:r>
      <w:r w:rsidR="00C4728A" w:rsidRPr="00223286">
        <w:rPr>
          <w:lang w:val="sq-AL"/>
        </w:rPr>
        <w:t>n</w:t>
      </w:r>
      <w:r w:rsidRPr="00223286">
        <w:rPr>
          <w:lang w:val="sq-AL"/>
        </w:rPr>
        <w:t xml:space="preserve">ë </w:t>
      </w:r>
      <w:r w:rsidR="00C4728A" w:rsidRPr="00223286">
        <w:rPr>
          <w:lang w:val="sq-AL"/>
        </w:rPr>
        <w:t>fush</w:t>
      </w:r>
      <w:r w:rsidR="00E53196">
        <w:rPr>
          <w:lang w:val="sq-AL"/>
        </w:rPr>
        <w:t>ë</w:t>
      </w:r>
      <w:r w:rsidR="00C4728A" w:rsidRPr="00223286">
        <w:rPr>
          <w:lang w:val="sq-AL"/>
        </w:rPr>
        <w:t>n e sh</w:t>
      </w:r>
      <w:r w:rsidR="00E53196">
        <w:rPr>
          <w:lang w:val="sq-AL"/>
        </w:rPr>
        <w:t>ë</w:t>
      </w:r>
      <w:r w:rsidR="00C4728A" w:rsidRPr="00223286">
        <w:rPr>
          <w:lang w:val="sq-AL"/>
        </w:rPr>
        <w:t>rbimeve t</w:t>
      </w:r>
      <w:r w:rsidR="00E53196">
        <w:rPr>
          <w:lang w:val="sq-AL"/>
        </w:rPr>
        <w:t>ë</w:t>
      </w:r>
      <w:r w:rsidR="00C4728A" w:rsidRPr="00223286">
        <w:rPr>
          <w:lang w:val="sq-AL"/>
        </w:rPr>
        <w:t xml:space="preserve"> pagesave </w:t>
      </w:r>
      <w:r w:rsidRPr="00223286">
        <w:rPr>
          <w:lang w:val="sq-AL"/>
        </w:rPr>
        <w:t xml:space="preserve">mund të arrijnë rezultate më të </w:t>
      </w:r>
      <w:r w:rsidR="00C4728A" w:rsidRPr="00223286">
        <w:rPr>
          <w:lang w:val="sq-AL"/>
        </w:rPr>
        <w:t xml:space="preserve">larta, </w:t>
      </w:r>
      <w:r w:rsidRPr="00223286">
        <w:rPr>
          <w:lang w:val="sq-AL"/>
        </w:rPr>
        <w:t>nëse k</w:t>
      </w:r>
      <w:r w:rsidR="0097357A" w:rsidRPr="00223286">
        <w:rPr>
          <w:lang w:val="sq-AL"/>
        </w:rPr>
        <w:t xml:space="preserve">ombinohen </w:t>
      </w:r>
      <w:r w:rsidR="00C4728A" w:rsidRPr="00223286">
        <w:rPr>
          <w:lang w:val="sq-AL"/>
        </w:rPr>
        <w:t>dhe plot</w:t>
      </w:r>
      <w:r w:rsidR="00E53196">
        <w:rPr>
          <w:lang w:val="sq-AL"/>
        </w:rPr>
        <w:t>ë</w:t>
      </w:r>
      <w:r w:rsidR="00C4728A" w:rsidRPr="00223286">
        <w:rPr>
          <w:lang w:val="sq-AL"/>
        </w:rPr>
        <w:t xml:space="preserve">sohen </w:t>
      </w:r>
      <w:r w:rsidR="0097357A" w:rsidRPr="00223286">
        <w:rPr>
          <w:lang w:val="sq-AL"/>
        </w:rPr>
        <w:t xml:space="preserve">me </w:t>
      </w:r>
      <w:r w:rsidRPr="00223286">
        <w:rPr>
          <w:lang w:val="sq-AL"/>
        </w:rPr>
        <w:t>transpozimi</w:t>
      </w:r>
      <w:r w:rsidR="00C4728A" w:rsidRPr="00223286">
        <w:rPr>
          <w:lang w:val="sq-AL"/>
        </w:rPr>
        <w:t>n e</w:t>
      </w:r>
      <w:r w:rsidRPr="00223286">
        <w:rPr>
          <w:lang w:val="sq-AL"/>
        </w:rPr>
        <w:t xml:space="preserve"> direktivës mbi Llogarinë e Pagesave (PAD). </w:t>
      </w:r>
      <w:r w:rsidR="00116B55" w:rsidRPr="00223286">
        <w:rPr>
          <w:lang w:val="sq-AL"/>
        </w:rPr>
        <w:t xml:space="preserve">Transpozimi </w:t>
      </w:r>
      <w:r w:rsidR="00C4728A" w:rsidRPr="00223286">
        <w:rPr>
          <w:lang w:val="sq-AL"/>
        </w:rPr>
        <w:t>i</w:t>
      </w:r>
      <w:r w:rsidR="00116B55" w:rsidRPr="00223286">
        <w:rPr>
          <w:lang w:val="sq-AL"/>
        </w:rPr>
        <w:t xml:space="preserve"> Direktiv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>s PAD p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>r llogarin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 xml:space="preserve"> bazike n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 xml:space="preserve"> form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>n e nj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 xml:space="preserve"> </w:t>
      </w:r>
      <w:r w:rsidR="00C4728A" w:rsidRPr="00223286">
        <w:rPr>
          <w:lang w:val="sq-AL"/>
        </w:rPr>
        <w:t xml:space="preserve">akti </w:t>
      </w:r>
      <w:r w:rsidR="00116B55" w:rsidRPr="00223286">
        <w:rPr>
          <w:lang w:val="sq-AL"/>
        </w:rPr>
        <w:t>ligj</w:t>
      </w:r>
      <w:r w:rsidR="00C4728A" w:rsidRPr="00223286">
        <w:rPr>
          <w:lang w:val="sq-AL"/>
        </w:rPr>
        <w:t>or, parashikohet që</w:t>
      </w:r>
      <w:r w:rsidR="00116B55" w:rsidRPr="00223286">
        <w:rPr>
          <w:lang w:val="sq-AL"/>
        </w:rPr>
        <w:t xml:space="preserve"> do t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 xml:space="preserve"> mund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>soj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 xml:space="preserve"> ofrimin e shërbimeve t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 xml:space="preserve"> pagesave </w:t>
      </w:r>
      <w:r w:rsidR="00C4728A" w:rsidRPr="00223286">
        <w:rPr>
          <w:lang w:val="sq-AL"/>
        </w:rPr>
        <w:t xml:space="preserve">me kosto </w:t>
      </w:r>
      <w:r w:rsidR="00116B55" w:rsidRPr="00223286">
        <w:rPr>
          <w:lang w:val="sq-AL"/>
        </w:rPr>
        <w:t xml:space="preserve">të përballueshme dhe </w:t>
      </w:r>
      <w:r w:rsidR="00C4728A" w:rsidRPr="00223286">
        <w:rPr>
          <w:lang w:val="sq-AL"/>
        </w:rPr>
        <w:t>q</w:t>
      </w:r>
      <w:r w:rsidR="00E53196">
        <w:rPr>
          <w:lang w:val="sq-AL"/>
        </w:rPr>
        <w:t>ë</w:t>
      </w:r>
      <w:r w:rsidR="00C4728A" w:rsidRPr="00223286">
        <w:rPr>
          <w:lang w:val="sq-AL"/>
        </w:rPr>
        <w:t xml:space="preserve"> kan</w:t>
      </w:r>
      <w:r w:rsidR="00E53196">
        <w:rPr>
          <w:lang w:val="sq-AL"/>
        </w:rPr>
        <w:t>ë</w:t>
      </w:r>
      <w:r w:rsidR="00116B55" w:rsidRPr="00223286">
        <w:rPr>
          <w:lang w:val="sq-AL"/>
        </w:rPr>
        <w:t xml:space="preserve"> në qendër klientin, nëpërmjet krijimit të produktit t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 xml:space="preserve"> llogaris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 xml:space="preserve"> bazike për</w:t>
      </w:r>
      <w:r w:rsidR="00C4728A" w:rsidRPr="00223286">
        <w:rPr>
          <w:lang w:val="sq-AL"/>
        </w:rPr>
        <w:t xml:space="preserve"> ata</w:t>
      </w:r>
      <w:r w:rsidR="00116B55" w:rsidRPr="00223286">
        <w:rPr>
          <w:lang w:val="sq-AL"/>
        </w:rPr>
        <w:t xml:space="preserve"> konsumator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 xml:space="preserve"> </w:t>
      </w:r>
      <w:r w:rsidR="00C4728A" w:rsidRPr="00223286">
        <w:rPr>
          <w:lang w:val="sq-AL"/>
        </w:rPr>
        <w:t>q</w:t>
      </w:r>
      <w:r w:rsidR="00116B55" w:rsidRPr="00223286">
        <w:rPr>
          <w:lang w:val="sq-AL"/>
        </w:rPr>
        <w:t>ë nuk zotërojnë llogari bankare, si dhe tarifimit</w:t>
      </w:r>
      <w:r w:rsidR="00C4728A" w:rsidRPr="00223286">
        <w:rPr>
          <w:lang w:val="sq-AL"/>
        </w:rPr>
        <w:t xml:space="preserve"> t</w:t>
      </w:r>
      <w:r w:rsidR="00E53196">
        <w:rPr>
          <w:lang w:val="sq-AL"/>
        </w:rPr>
        <w:t>ë</w:t>
      </w:r>
      <w:r w:rsidR="00C4728A" w:rsidRPr="00223286">
        <w:rPr>
          <w:lang w:val="sq-AL"/>
        </w:rPr>
        <w:t xml:space="preserve"> diferencuar p</w:t>
      </w:r>
      <w:r w:rsidR="00E53196">
        <w:rPr>
          <w:lang w:val="sq-AL"/>
        </w:rPr>
        <w:t>ë</w:t>
      </w:r>
      <w:r w:rsidR="00C4728A" w:rsidRPr="00223286">
        <w:rPr>
          <w:lang w:val="sq-AL"/>
        </w:rPr>
        <w:t>r kategori t</w:t>
      </w:r>
      <w:r w:rsidR="00E53196">
        <w:rPr>
          <w:lang w:val="sq-AL"/>
        </w:rPr>
        <w:t>ë</w:t>
      </w:r>
      <w:r w:rsidR="00C4728A" w:rsidRPr="00223286">
        <w:rPr>
          <w:lang w:val="sq-AL"/>
        </w:rPr>
        <w:t xml:space="preserve"> ndryshme klient</w:t>
      </w:r>
      <w:r w:rsidR="00E53196">
        <w:rPr>
          <w:lang w:val="sq-AL"/>
        </w:rPr>
        <w:t>ë</w:t>
      </w:r>
      <w:r w:rsidR="00C4728A" w:rsidRPr="00223286">
        <w:rPr>
          <w:lang w:val="sq-AL"/>
        </w:rPr>
        <w:t>sh,</w:t>
      </w:r>
      <w:r w:rsidR="00116B55" w:rsidRPr="00223286">
        <w:rPr>
          <w:lang w:val="sq-AL"/>
        </w:rPr>
        <w:t xml:space="preserve"> si nxitës për rritjen e përdorimit të pagesave</w:t>
      </w:r>
      <w:r w:rsidR="00C4728A" w:rsidRPr="00223286">
        <w:rPr>
          <w:lang w:val="sq-AL"/>
        </w:rPr>
        <w:t>. M</w:t>
      </w:r>
      <w:r w:rsidR="00E53196">
        <w:rPr>
          <w:lang w:val="sq-AL"/>
        </w:rPr>
        <w:t>ë</w:t>
      </w:r>
      <w:r w:rsidR="00C4728A" w:rsidRPr="00223286">
        <w:rPr>
          <w:lang w:val="sq-AL"/>
        </w:rPr>
        <w:t xml:space="preserve"> konkretisht, parashikohet q</w:t>
      </w:r>
      <w:r w:rsidR="00E53196">
        <w:rPr>
          <w:lang w:val="sq-AL"/>
        </w:rPr>
        <w:t>ë</w:t>
      </w:r>
      <w:r w:rsidR="00116B55" w:rsidRPr="00223286">
        <w:rPr>
          <w:lang w:val="sq-AL"/>
        </w:rPr>
        <w:t xml:space="preserve"> p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>r disa kategori vulnerab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>l ofrimi i sh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>rbimeve do t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 xml:space="preserve"> jet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 xml:space="preserve"> pa </w:t>
      </w:r>
      <w:r w:rsidR="00116B55" w:rsidRPr="00223286">
        <w:rPr>
          <w:lang w:val="sq-AL"/>
        </w:rPr>
        <w:lastRenderedPageBreak/>
        <w:t>kosto dhe p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>r pjes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>n tjet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>r t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 xml:space="preserve"> konsumator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>ve kostoja do t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 xml:space="preserve"> jet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 xml:space="preserve"> </w:t>
      </w:r>
      <w:r w:rsidR="00C4728A" w:rsidRPr="00223286">
        <w:rPr>
          <w:lang w:val="sq-AL"/>
        </w:rPr>
        <w:t xml:space="preserve">më </w:t>
      </w:r>
      <w:r w:rsidR="00116B55" w:rsidRPr="00223286">
        <w:rPr>
          <w:lang w:val="sq-AL"/>
        </w:rPr>
        <w:t>e ul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>t krahasuar me sh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>rbimet e tjera t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 xml:space="preserve"> nj</w:t>
      </w:r>
      <w:r w:rsidR="00EF03B9" w:rsidRPr="00223286">
        <w:rPr>
          <w:lang w:val="sq-AL"/>
        </w:rPr>
        <w:t>ë</w:t>
      </w:r>
      <w:r w:rsidR="00116B55" w:rsidRPr="00223286">
        <w:rPr>
          <w:lang w:val="sq-AL"/>
        </w:rPr>
        <w:t xml:space="preserve"> llogarie pagesash</w:t>
      </w:r>
      <w:r w:rsidR="00C4728A" w:rsidRPr="00223286">
        <w:rPr>
          <w:lang w:val="sq-AL"/>
        </w:rPr>
        <w:t xml:space="preserve"> t</w:t>
      </w:r>
      <w:r w:rsidR="00E53196">
        <w:rPr>
          <w:lang w:val="sq-AL"/>
        </w:rPr>
        <w:t>ë</w:t>
      </w:r>
      <w:r w:rsidR="00C4728A" w:rsidRPr="00223286">
        <w:rPr>
          <w:lang w:val="sq-AL"/>
        </w:rPr>
        <w:t xml:space="preserve"> form</w:t>
      </w:r>
      <w:r w:rsidR="00E53196">
        <w:rPr>
          <w:lang w:val="sq-AL"/>
        </w:rPr>
        <w:t>ë</w:t>
      </w:r>
      <w:r w:rsidR="00C4728A" w:rsidRPr="00223286">
        <w:rPr>
          <w:lang w:val="sq-AL"/>
        </w:rPr>
        <w:t>s standarde</w:t>
      </w:r>
      <w:r w:rsidR="00116B55" w:rsidRPr="00223286">
        <w:rPr>
          <w:lang w:val="sq-AL"/>
        </w:rPr>
        <w:t>.</w:t>
      </w:r>
    </w:p>
    <w:p w14:paraId="2B80B4A6" w14:textId="1004FA47" w:rsidR="008D1AB8" w:rsidRPr="00223286" w:rsidRDefault="003F4082" w:rsidP="00116B55">
      <w:pPr>
        <w:spacing w:after="160" w:line="259" w:lineRule="auto"/>
        <w:jc w:val="both"/>
        <w:rPr>
          <w:lang w:val="sq-AL"/>
        </w:rPr>
      </w:pPr>
      <w:r w:rsidRPr="00223286">
        <w:rPr>
          <w:lang w:val="sq-AL"/>
        </w:rPr>
        <w:t xml:space="preserve">Kjo etapë e ardhshme </w:t>
      </w:r>
      <w:r w:rsidR="00D27E9B" w:rsidRPr="00223286">
        <w:rPr>
          <w:lang w:val="sq-AL"/>
        </w:rPr>
        <w:t xml:space="preserve">pritet </w:t>
      </w:r>
      <w:r w:rsidRPr="00223286">
        <w:rPr>
          <w:lang w:val="sq-AL"/>
        </w:rPr>
        <w:t xml:space="preserve">të shënojë padyshim një arritje në afrimin e </w:t>
      </w:r>
      <w:r w:rsidR="00D27E9B" w:rsidRPr="00223286">
        <w:rPr>
          <w:lang w:val="sq-AL"/>
        </w:rPr>
        <w:t xml:space="preserve">personave </w:t>
      </w:r>
      <w:r w:rsidRPr="00223286">
        <w:rPr>
          <w:lang w:val="sq-AL"/>
        </w:rPr>
        <w:t>të përjashtuar financiarisht</w:t>
      </w:r>
      <w:r w:rsidR="00D27E9B" w:rsidRPr="00223286">
        <w:rPr>
          <w:lang w:val="sq-AL"/>
        </w:rPr>
        <w:t xml:space="preserve"> drejt bankave</w:t>
      </w:r>
      <w:r w:rsidRPr="00223286">
        <w:rPr>
          <w:lang w:val="sq-AL"/>
        </w:rPr>
        <w:t>, për t’u shndërruar në v</w:t>
      </w:r>
      <w:r w:rsidR="00A8731D" w:rsidRPr="00223286">
        <w:rPr>
          <w:lang w:val="sq-AL"/>
        </w:rPr>
        <w:t>ijim në një mision më angazhues,</w:t>
      </w:r>
      <w:r w:rsidRPr="00223286">
        <w:rPr>
          <w:lang w:val="sq-AL"/>
        </w:rPr>
        <w:t xml:space="preserve"> përdorimin e këtyre llogarive aktive për më shumë veprime jo me para fizike</w:t>
      </w:r>
      <w:r w:rsidR="00D27E9B" w:rsidRPr="00223286">
        <w:rPr>
          <w:lang w:val="sq-AL"/>
        </w:rPr>
        <w:t xml:space="preserve"> (</w:t>
      </w:r>
      <w:r w:rsidR="00D27E9B" w:rsidRPr="00223286">
        <w:rPr>
          <w:i/>
          <w:lang w:val="sq-AL"/>
        </w:rPr>
        <w:t>cash</w:t>
      </w:r>
      <w:r w:rsidR="00D27E9B" w:rsidRPr="00223286">
        <w:rPr>
          <w:lang w:val="sq-AL"/>
        </w:rPr>
        <w:t>)</w:t>
      </w:r>
      <w:r w:rsidRPr="00223286">
        <w:rPr>
          <w:lang w:val="sq-AL"/>
        </w:rPr>
        <w:t>, për më shumë transferta elektronike, akses në kreditim e remitanca që më parë mund të merreshin e dërgoheshin në formë “</w:t>
      </w:r>
      <w:r w:rsidRPr="00E53196">
        <w:rPr>
          <w:i/>
          <w:lang w:val="sq-AL"/>
        </w:rPr>
        <w:t>cash</w:t>
      </w:r>
      <w:r w:rsidRPr="00223286">
        <w:rPr>
          <w:lang w:val="sq-AL"/>
        </w:rPr>
        <w:t>”.</w:t>
      </w:r>
    </w:p>
    <w:p w14:paraId="039F1D8C" w14:textId="77777777" w:rsidR="00801F4B" w:rsidRPr="00223286" w:rsidRDefault="00801F4B" w:rsidP="008D736E">
      <w:pPr>
        <w:spacing w:line="276" w:lineRule="auto"/>
        <w:jc w:val="both"/>
        <w:rPr>
          <w:b/>
          <w:i/>
          <w:color w:val="5B9BD5"/>
          <w:lang w:val="sq-AL"/>
        </w:rPr>
      </w:pPr>
      <w:r w:rsidRPr="00223286">
        <w:rPr>
          <w:b/>
          <w:i/>
          <w:color w:val="5B9BD5"/>
          <w:lang w:val="sq-AL"/>
        </w:rPr>
        <w:t xml:space="preserve">Qëllimi dhe objektivat </w:t>
      </w:r>
    </w:p>
    <w:p w14:paraId="0A3D4427" w14:textId="77777777" w:rsidR="008D1AB8" w:rsidRPr="00223286" w:rsidRDefault="008D1AB8" w:rsidP="008D736E">
      <w:pPr>
        <w:spacing w:line="276" w:lineRule="auto"/>
        <w:jc w:val="both"/>
        <w:rPr>
          <w:rFonts w:eastAsia="Times New Roman"/>
          <w:lang w:val="sq-AL"/>
        </w:rPr>
      </w:pPr>
    </w:p>
    <w:p w14:paraId="6B6C39CC" w14:textId="28B5EF7B" w:rsidR="00586521" w:rsidRPr="00223286" w:rsidRDefault="00521829" w:rsidP="00116B55">
      <w:pPr>
        <w:spacing w:line="276" w:lineRule="auto"/>
        <w:jc w:val="both"/>
        <w:rPr>
          <w:lang w:val="sq-AL"/>
        </w:rPr>
      </w:pPr>
      <w:r w:rsidRPr="00223286">
        <w:rPr>
          <w:lang w:val="sq-AL"/>
        </w:rPr>
        <w:t xml:space="preserve">Qëllimi i projektligjit, i hartuar me asistencën e Bankës Botërore, </w:t>
      </w:r>
      <w:r w:rsidR="004B6D0E" w:rsidRPr="00223286">
        <w:rPr>
          <w:lang w:val="sq-AL"/>
        </w:rPr>
        <w:t xml:space="preserve">është krijimi i kuadrit ligjor </w:t>
      </w:r>
      <w:r w:rsidR="008C6BBA" w:rsidRPr="00223286">
        <w:rPr>
          <w:lang w:val="sq-AL"/>
        </w:rPr>
        <w:t xml:space="preserve">për të </w:t>
      </w:r>
      <w:r w:rsidR="00BA59CF" w:rsidRPr="00223286">
        <w:rPr>
          <w:lang w:val="sq-AL"/>
        </w:rPr>
        <w:t>ofruar sh</w:t>
      </w:r>
      <w:r w:rsidR="00EF03B9" w:rsidRPr="00223286">
        <w:rPr>
          <w:lang w:val="sq-AL"/>
        </w:rPr>
        <w:t>ë</w:t>
      </w:r>
      <w:r w:rsidR="00BA59CF" w:rsidRPr="00223286">
        <w:rPr>
          <w:lang w:val="sq-AL"/>
        </w:rPr>
        <w:t xml:space="preserve">rbimet e pagesave </w:t>
      </w:r>
      <w:r w:rsidR="00CB4321" w:rsidRPr="00223286">
        <w:rPr>
          <w:lang w:val="sq-AL"/>
        </w:rPr>
        <w:t>p</w:t>
      </w:r>
      <w:r w:rsidR="0090064C" w:rsidRPr="00223286">
        <w:rPr>
          <w:lang w:val="sq-AL"/>
        </w:rPr>
        <w:t>ë</w:t>
      </w:r>
      <w:r w:rsidR="00CB4321" w:rsidRPr="00223286">
        <w:rPr>
          <w:lang w:val="sq-AL"/>
        </w:rPr>
        <w:t>r t</w:t>
      </w:r>
      <w:r w:rsidR="0090064C" w:rsidRPr="00223286">
        <w:rPr>
          <w:lang w:val="sq-AL"/>
        </w:rPr>
        <w:t>ë</w:t>
      </w:r>
      <w:r w:rsidR="00CB4321" w:rsidRPr="00223286">
        <w:rPr>
          <w:lang w:val="sq-AL"/>
        </w:rPr>
        <w:t xml:space="preserve"> gjith</w:t>
      </w:r>
      <w:r w:rsidR="0090064C" w:rsidRPr="00223286">
        <w:rPr>
          <w:lang w:val="sq-AL"/>
        </w:rPr>
        <w:t>ë</w:t>
      </w:r>
      <w:r w:rsidR="00CB4321" w:rsidRPr="00223286">
        <w:rPr>
          <w:lang w:val="sq-AL"/>
        </w:rPr>
        <w:t xml:space="preserve"> konsumator</w:t>
      </w:r>
      <w:r w:rsidR="0090064C" w:rsidRPr="00223286">
        <w:rPr>
          <w:lang w:val="sq-AL"/>
        </w:rPr>
        <w:t>ë</w:t>
      </w:r>
      <w:r w:rsidR="00CB4321" w:rsidRPr="00223286">
        <w:rPr>
          <w:lang w:val="sq-AL"/>
        </w:rPr>
        <w:t>t dhe ve</w:t>
      </w:r>
      <w:r w:rsidR="00D27E9B" w:rsidRPr="00223286">
        <w:rPr>
          <w:lang w:val="sq-AL"/>
        </w:rPr>
        <w:t>ç</w:t>
      </w:r>
      <w:r w:rsidR="00CB4321" w:rsidRPr="00223286">
        <w:rPr>
          <w:lang w:val="sq-AL"/>
        </w:rPr>
        <w:t>an</w:t>
      </w:r>
      <w:r w:rsidR="0090064C" w:rsidRPr="00223286">
        <w:rPr>
          <w:lang w:val="sq-AL"/>
        </w:rPr>
        <w:t>ë</w:t>
      </w:r>
      <w:r w:rsidR="00CB4321" w:rsidRPr="00223286">
        <w:rPr>
          <w:lang w:val="sq-AL"/>
        </w:rPr>
        <w:t>risht</w:t>
      </w:r>
      <w:r w:rsidR="00D27E9B" w:rsidRPr="00223286">
        <w:rPr>
          <w:lang w:val="sq-AL"/>
        </w:rPr>
        <w:t>,</w:t>
      </w:r>
      <w:r w:rsidR="00CB4321" w:rsidRPr="00223286">
        <w:rPr>
          <w:lang w:val="sq-AL"/>
        </w:rPr>
        <w:t xml:space="preserve"> </w:t>
      </w:r>
      <w:r w:rsidR="00BA59CF" w:rsidRPr="00223286">
        <w:rPr>
          <w:lang w:val="sq-AL"/>
        </w:rPr>
        <w:t>p</w:t>
      </w:r>
      <w:r w:rsidR="00EF03B9" w:rsidRPr="00223286">
        <w:rPr>
          <w:lang w:val="sq-AL"/>
        </w:rPr>
        <w:t>ë</w:t>
      </w:r>
      <w:r w:rsidR="00BA59CF" w:rsidRPr="00223286">
        <w:rPr>
          <w:lang w:val="sq-AL"/>
        </w:rPr>
        <w:t>r individ</w:t>
      </w:r>
      <w:r w:rsidR="00EF03B9" w:rsidRPr="00223286">
        <w:rPr>
          <w:lang w:val="sq-AL"/>
        </w:rPr>
        <w:t>ë</w:t>
      </w:r>
      <w:r w:rsidR="00BA59CF" w:rsidRPr="00223286">
        <w:rPr>
          <w:lang w:val="sq-AL"/>
        </w:rPr>
        <w:t>t t</w:t>
      </w:r>
      <w:r w:rsidR="00EF03B9" w:rsidRPr="00223286">
        <w:rPr>
          <w:lang w:val="sq-AL"/>
        </w:rPr>
        <w:t>ë</w:t>
      </w:r>
      <w:r w:rsidR="00BA59CF" w:rsidRPr="00223286">
        <w:rPr>
          <w:lang w:val="sq-AL"/>
        </w:rPr>
        <w:t xml:space="preserve"> cil</w:t>
      </w:r>
      <w:r w:rsidR="00EF03B9" w:rsidRPr="00223286">
        <w:rPr>
          <w:lang w:val="sq-AL"/>
        </w:rPr>
        <w:t>ë</w:t>
      </w:r>
      <w:r w:rsidR="00BA59CF" w:rsidRPr="00223286">
        <w:rPr>
          <w:lang w:val="sq-AL"/>
        </w:rPr>
        <w:t>t nuk zot</w:t>
      </w:r>
      <w:r w:rsidR="00EF03B9" w:rsidRPr="00223286">
        <w:rPr>
          <w:lang w:val="sq-AL"/>
        </w:rPr>
        <w:t>ë</w:t>
      </w:r>
      <w:r w:rsidR="00BA59CF" w:rsidRPr="00223286">
        <w:rPr>
          <w:lang w:val="sq-AL"/>
        </w:rPr>
        <w:t>rojn</w:t>
      </w:r>
      <w:r w:rsidR="00EF03B9" w:rsidRPr="00223286">
        <w:rPr>
          <w:lang w:val="sq-AL"/>
        </w:rPr>
        <w:t>ë</w:t>
      </w:r>
      <w:r w:rsidR="00CB4321" w:rsidRPr="00223286">
        <w:rPr>
          <w:lang w:val="sq-AL"/>
        </w:rPr>
        <w:t xml:space="preserve"> llogari bankare, </w:t>
      </w:r>
      <w:r w:rsidR="00BA59CF" w:rsidRPr="00223286">
        <w:rPr>
          <w:lang w:val="sq-AL"/>
        </w:rPr>
        <w:t>pa kosto ose me kosto t</w:t>
      </w:r>
      <w:r w:rsidR="00EF03B9" w:rsidRPr="00223286">
        <w:rPr>
          <w:lang w:val="sq-AL"/>
        </w:rPr>
        <w:t>ë</w:t>
      </w:r>
      <w:r w:rsidR="00BA59CF" w:rsidRPr="00223286">
        <w:rPr>
          <w:lang w:val="sq-AL"/>
        </w:rPr>
        <w:t xml:space="preserve"> p</w:t>
      </w:r>
      <w:r w:rsidR="00EF03B9" w:rsidRPr="00223286">
        <w:rPr>
          <w:lang w:val="sq-AL"/>
        </w:rPr>
        <w:t>ë</w:t>
      </w:r>
      <w:r w:rsidR="00BA59CF" w:rsidRPr="00223286">
        <w:rPr>
          <w:lang w:val="sq-AL"/>
        </w:rPr>
        <w:t>rballueshme</w:t>
      </w:r>
      <w:r w:rsidR="00D27E9B" w:rsidRPr="00223286">
        <w:rPr>
          <w:lang w:val="sq-AL"/>
        </w:rPr>
        <w:t xml:space="preserve"> prej tyre</w:t>
      </w:r>
      <w:r w:rsidR="00BA59CF" w:rsidRPr="00223286">
        <w:rPr>
          <w:lang w:val="sq-AL"/>
        </w:rPr>
        <w:t xml:space="preserve">, duke </w:t>
      </w:r>
      <w:r w:rsidR="008C6BBA" w:rsidRPr="00223286">
        <w:rPr>
          <w:lang w:val="sq-AL"/>
        </w:rPr>
        <w:t>garantuar dhe mund</w:t>
      </w:r>
      <w:r w:rsidR="00EF03B9" w:rsidRPr="00223286">
        <w:rPr>
          <w:lang w:val="sq-AL"/>
        </w:rPr>
        <w:t>ë</w:t>
      </w:r>
      <w:r w:rsidR="008C6BBA" w:rsidRPr="00223286">
        <w:rPr>
          <w:lang w:val="sq-AL"/>
        </w:rPr>
        <w:t>suar t</w:t>
      </w:r>
      <w:r w:rsidR="00EF03B9" w:rsidRPr="00223286">
        <w:rPr>
          <w:lang w:val="sq-AL"/>
        </w:rPr>
        <w:t>ë</w:t>
      </w:r>
      <w:r w:rsidR="008C6BBA" w:rsidRPr="00223286">
        <w:rPr>
          <w:lang w:val="sq-AL"/>
        </w:rPr>
        <w:t xml:space="preserve"> drejt</w:t>
      </w:r>
      <w:r w:rsidR="00EF03B9" w:rsidRPr="00223286">
        <w:rPr>
          <w:lang w:val="sq-AL"/>
        </w:rPr>
        <w:t>ë</w:t>
      </w:r>
      <w:r w:rsidR="008C6BBA" w:rsidRPr="00223286">
        <w:rPr>
          <w:lang w:val="sq-AL"/>
        </w:rPr>
        <w:t xml:space="preserve">n e </w:t>
      </w:r>
      <w:r w:rsidR="00D27E9B" w:rsidRPr="00223286">
        <w:rPr>
          <w:lang w:val="sq-AL"/>
        </w:rPr>
        <w:t>ç</w:t>
      </w:r>
      <w:r w:rsidR="008C6BBA" w:rsidRPr="00223286">
        <w:rPr>
          <w:lang w:val="sq-AL"/>
        </w:rPr>
        <w:t xml:space="preserve">do konsumatori, pavarësisht </w:t>
      </w:r>
      <w:r w:rsidR="00D27E9B" w:rsidRPr="00223286">
        <w:rPr>
          <w:lang w:val="sq-AL"/>
        </w:rPr>
        <w:t xml:space="preserve">nivelit të të ardhurave, statusit të punësimit, historikut të aftësisë paguese, </w:t>
      </w:r>
      <w:r w:rsidR="008C6BBA" w:rsidRPr="00223286">
        <w:rPr>
          <w:lang w:val="sq-AL"/>
        </w:rPr>
        <w:t>për të patur akses në shërbimet bazë të llogarisë së pagesës.</w:t>
      </w:r>
    </w:p>
    <w:p w14:paraId="31F238B4" w14:textId="77777777" w:rsidR="00116B55" w:rsidRPr="00223286" w:rsidRDefault="00116B55" w:rsidP="008C6BBA">
      <w:pPr>
        <w:spacing w:line="276" w:lineRule="auto"/>
        <w:jc w:val="both"/>
        <w:rPr>
          <w:lang w:val="sq-AL"/>
        </w:rPr>
      </w:pPr>
    </w:p>
    <w:p w14:paraId="347612F4" w14:textId="224FC44E" w:rsidR="008C6BBA" w:rsidRPr="00223286" w:rsidRDefault="00FE5514" w:rsidP="008C6BBA">
      <w:pPr>
        <w:spacing w:line="276" w:lineRule="auto"/>
        <w:jc w:val="both"/>
        <w:rPr>
          <w:lang w:val="sq-AL"/>
        </w:rPr>
      </w:pPr>
      <w:r w:rsidRPr="00223286">
        <w:rPr>
          <w:lang w:val="sq-AL"/>
        </w:rPr>
        <w:t>Për këtë qëllim projektligji krijon</w:t>
      </w:r>
      <w:r w:rsidR="008C6BBA" w:rsidRPr="00223286">
        <w:rPr>
          <w:lang w:val="sq-AL"/>
        </w:rPr>
        <w:t xml:space="preserve"> kushte dhe rregulla p</w:t>
      </w:r>
      <w:r w:rsidR="00EF03B9" w:rsidRPr="00223286">
        <w:rPr>
          <w:lang w:val="sq-AL"/>
        </w:rPr>
        <w:t>ë</w:t>
      </w:r>
      <w:r w:rsidR="008C6BBA" w:rsidRPr="00223286">
        <w:rPr>
          <w:lang w:val="sq-AL"/>
        </w:rPr>
        <w:t>r</w:t>
      </w:r>
      <w:r w:rsidR="00D27E9B" w:rsidRPr="00223286">
        <w:rPr>
          <w:lang w:val="sq-AL"/>
        </w:rPr>
        <w:t>:</w:t>
      </w:r>
      <w:r w:rsidR="008C6BBA" w:rsidRPr="00223286">
        <w:rPr>
          <w:lang w:val="sq-AL"/>
        </w:rPr>
        <w:t xml:space="preserve"> a) mosdiskriminimin e konsumatorëve për hapjen e një llogarie pagese me shërbime bazike</w:t>
      </w:r>
      <w:r w:rsidR="00D27E9B" w:rsidRPr="00223286">
        <w:rPr>
          <w:lang w:val="sq-AL"/>
        </w:rPr>
        <w:t xml:space="preserve">; </w:t>
      </w:r>
      <w:r w:rsidR="008C6BBA" w:rsidRPr="00223286">
        <w:rPr>
          <w:lang w:val="sq-AL"/>
        </w:rPr>
        <w:t xml:space="preserve">b) detyrimin për bankat që të mos lejohen të refuzojnë hapjen e një llogarie bazike, </w:t>
      </w:r>
      <w:r w:rsidR="00D27E9B" w:rsidRPr="00223286">
        <w:rPr>
          <w:lang w:val="sq-AL"/>
        </w:rPr>
        <w:t>përveç</w:t>
      </w:r>
      <w:r w:rsidR="008C6BBA" w:rsidRPr="00223286">
        <w:rPr>
          <w:lang w:val="sq-AL"/>
        </w:rPr>
        <w:t xml:space="preserve"> raste</w:t>
      </w:r>
      <w:r w:rsidR="00D27E9B" w:rsidRPr="00223286">
        <w:rPr>
          <w:lang w:val="sq-AL"/>
        </w:rPr>
        <w:t>ve</w:t>
      </w:r>
      <w:r w:rsidR="008C6BBA" w:rsidRPr="00223286">
        <w:rPr>
          <w:lang w:val="sq-AL"/>
        </w:rPr>
        <w:t xml:space="preserve"> specifike të tilla si cënimi i kërkesave të parandalimit të pastrimit </w:t>
      </w:r>
      <w:r w:rsidR="00CB4321" w:rsidRPr="00223286">
        <w:rPr>
          <w:lang w:val="sq-AL"/>
        </w:rPr>
        <w:t>t</w:t>
      </w:r>
      <w:r w:rsidR="008C6BBA" w:rsidRPr="00223286">
        <w:rPr>
          <w:lang w:val="sq-AL"/>
        </w:rPr>
        <w:t>ë parave</w:t>
      </w:r>
      <w:r w:rsidR="00CB4321" w:rsidRPr="00223286">
        <w:rPr>
          <w:lang w:val="sq-AL"/>
        </w:rPr>
        <w:t xml:space="preserve"> dhe financimit t</w:t>
      </w:r>
      <w:r w:rsidR="0090064C" w:rsidRPr="00223286">
        <w:rPr>
          <w:lang w:val="sq-AL"/>
        </w:rPr>
        <w:t>ë</w:t>
      </w:r>
      <w:r w:rsidR="00CB4321" w:rsidRPr="00223286">
        <w:rPr>
          <w:lang w:val="sq-AL"/>
        </w:rPr>
        <w:t xml:space="preserve"> terrorizmit</w:t>
      </w:r>
      <w:r w:rsidR="00D27E9B" w:rsidRPr="00223286">
        <w:rPr>
          <w:lang w:val="sq-AL"/>
        </w:rPr>
        <w:t xml:space="preserve">; </w:t>
      </w:r>
      <w:r w:rsidR="008C6BBA" w:rsidRPr="00223286">
        <w:rPr>
          <w:lang w:val="sq-AL"/>
        </w:rPr>
        <w:t>c) mekanizmin e vendosjes së tarifave për llogarinë bazike</w:t>
      </w:r>
      <w:r w:rsidR="001A26EF" w:rsidRPr="00223286">
        <w:rPr>
          <w:lang w:val="sq-AL"/>
        </w:rPr>
        <w:t>,</w:t>
      </w:r>
      <w:r w:rsidR="008C6BBA" w:rsidRPr="00223286">
        <w:rPr>
          <w:lang w:val="sq-AL"/>
        </w:rPr>
        <w:t xml:space="preserve"> ku </w:t>
      </w:r>
      <w:r w:rsidR="001A26EF" w:rsidRPr="00223286">
        <w:rPr>
          <w:lang w:val="sq-AL"/>
        </w:rPr>
        <w:t xml:space="preserve">në përgjithësi parashikohet që tarifat për shërbimet e ofruara për llogarinë me shërbime bazike të jenë më të ulëta se ato për llogaritë standarde të pagesave, ndërsa </w:t>
      </w:r>
      <w:r w:rsidR="008C6BBA" w:rsidRPr="00223286">
        <w:rPr>
          <w:lang w:val="sq-AL"/>
        </w:rPr>
        <w:t>për disa kategori vulnerabël është parashikuar që tarifa e shërbimeve të jetë zero.</w:t>
      </w:r>
    </w:p>
    <w:p w14:paraId="30C1F202" w14:textId="77777777" w:rsidR="00801F4B" w:rsidRPr="00223286" w:rsidRDefault="00801F4B" w:rsidP="008D736E">
      <w:pPr>
        <w:spacing w:line="276" w:lineRule="auto"/>
        <w:jc w:val="both"/>
        <w:rPr>
          <w:lang w:val="sq-AL"/>
        </w:rPr>
      </w:pPr>
    </w:p>
    <w:p w14:paraId="1B6E08A0" w14:textId="25580AAB" w:rsidR="00801F4B" w:rsidRPr="00223286" w:rsidRDefault="00801F4B" w:rsidP="00BA59CF">
      <w:pPr>
        <w:spacing w:line="276" w:lineRule="auto"/>
        <w:jc w:val="both"/>
        <w:rPr>
          <w:lang w:val="sq-AL"/>
        </w:rPr>
      </w:pPr>
      <w:r w:rsidRPr="00223286">
        <w:rPr>
          <w:lang w:val="sq-AL"/>
        </w:rPr>
        <w:t xml:space="preserve">Objektivi i këtij projektligji është </w:t>
      </w:r>
      <w:r w:rsidR="005A6F8D" w:rsidRPr="00223286">
        <w:rPr>
          <w:lang w:val="sq-AL"/>
        </w:rPr>
        <w:t>promovimi</w:t>
      </w:r>
      <w:r w:rsidRPr="00223286">
        <w:rPr>
          <w:lang w:val="sq-AL"/>
        </w:rPr>
        <w:t xml:space="preserve"> </w:t>
      </w:r>
      <w:r w:rsidR="008C6BBA" w:rsidRPr="00223286">
        <w:rPr>
          <w:lang w:val="sq-AL"/>
        </w:rPr>
        <w:t xml:space="preserve">dhe rritja e  </w:t>
      </w:r>
      <w:r w:rsidRPr="00223286">
        <w:rPr>
          <w:lang w:val="sq-AL"/>
        </w:rPr>
        <w:t>përfshirjes financiare të popullsisë</w:t>
      </w:r>
      <w:r w:rsidR="001A26EF" w:rsidRPr="00223286">
        <w:rPr>
          <w:lang w:val="sq-AL"/>
        </w:rPr>
        <w:t>, duke krijuar leht</w:t>
      </w:r>
      <w:r w:rsidR="00E53196">
        <w:rPr>
          <w:lang w:val="sq-AL"/>
        </w:rPr>
        <w:t>ë</w:t>
      </w:r>
      <w:r w:rsidR="001A26EF" w:rsidRPr="00223286">
        <w:rPr>
          <w:lang w:val="sq-AL"/>
        </w:rPr>
        <w:t>sira p</w:t>
      </w:r>
      <w:r w:rsidR="00E53196">
        <w:rPr>
          <w:lang w:val="sq-AL"/>
        </w:rPr>
        <w:t>ë</w:t>
      </w:r>
      <w:r w:rsidR="001A26EF" w:rsidRPr="00223286">
        <w:rPr>
          <w:lang w:val="sq-AL"/>
        </w:rPr>
        <w:t>r kategori konsumator</w:t>
      </w:r>
      <w:r w:rsidR="00E53196">
        <w:rPr>
          <w:lang w:val="sq-AL"/>
        </w:rPr>
        <w:t>ë</w:t>
      </w:r>
      <w:r w:rsidR="001A26EF" w:rsidRPr="00223286">
        <w:rPr>
          <w:lang w:val="sq-AL"/>
        </w:rPr>
        <w:t>sh t</w:t>
      </w:r>
      <w:r w:rsidR="00E53196">
        <w:rPr>
          <w:lang w:val="sq-AL"/>
        </w:rPr>
        <w:t>ë</w:t>
      </w:r>
      <w:r w:rsidR="001A26EF" w:rsidRPr="00223286">
        <w:rPr>
          <w:lang w:val="sq-AL"/>
        </w:rPr>
        <w:t xml:space="preserve"> cil</w:t>
      </w:r>
      <w:r w:rsidR="00E53196">
        <w:rPr>
          <w:lang w:val="sq-AL"/>
        </w:rPr>
        <w:t>ë</w:t>
      </w:r>
      <w:r w:rsidR="001A26EF" w:rsidRPr="00223286">
        <w:rPr>
          <w:lang w:val="sq-AL"/>
        </w:rPr>
        <w:t>t e kan</w:t>
      </w:r>
      <w:r w:rsidR="00E53196">
        <w:rPr>
          <w:lang w:val="sq-AL"/>
        </w:rPr>
        <w:t>ë</w:t>
      </w:r>
      <w:r w:rsidR="001A26EF" w:rsidRPr="00223286">
        <w:rPr>
          <w:lang w:val="sq-AL"/>
        </w:rPr>
        <w:t xml:space="preserve"> t</w:t>
      </w:r>
      <w:r w:rsidR="00E53196">
        <w:rPr>
          <w:lang w:val="sq-AL"/>
        </w:rPr>
        <w:t>ë</w:t>
      </w:r>
      <w:r w:rsidR="001A26EF" w:rsidRPr="00223286">
        <w:rPr>
          <w:lang w:val="sq-AL"/>
        </w:rPr>
        <w:t xml:space="preserve"> v</w:t>
      </w:r>
      <w:r w:rsidR="00E53196">
        <w:rPr>
          <w:lang w:val="sq-AL"/>
        </w:rPr>
        <w:t>ë</w:t>
      </w:r>
      <w:r w:rsidR="001A26EF" w:rsidRPr="00223286">
        <w:rPr>
          <w:lang w:val="sq-AL"/>
        </w:rPr>
        <w:t>shtir</w:t>
      </w:r>
      <w:r w:rsidR="00E53196">
        <w:rPr>
          <w:lang w:val="sq-AL"/>
        </w:rPr>
        <w:t>ë</w:t>
      </w:r>
      <w:r w:rsidR="001A26EF" w:rsidRPr="00223286">
        <w:rPr>
          <w:lang w:val="sq-AL"/>
        </w:rPr>
        <w:t xml:space="preserve"> apo t</w:t>
      </w:r>
      <w:r w:rsidR="00E53196">
        <w:rPr>
          <w:lang w:val="sq-AL"/>
        </w:rPr>
        <w:t>ë</w:t>
      </w:r>
      <w:r w:rsidR="001A26EF" w:rsidRPr="00223286">
        <w:rPr>
          <w:lang w:val="sq-AL"/>
        </w:rPr>
        <w:t xml:space="preserve"> pamundur hapjen dhe mbajtjen e nj</w:t>
      </w:r>
      <w:r w:rsidR="00E53196">
        <w:rPr>
          <w:lang w:val="sq-AL"/>
        </w:rPr>
        <w:t>ë</w:t>
      </w:r>
      <w:r w:rsidR="001A26EF" w:rsidRPr="00223286">
        <w:rPr>
          <w:lang w:val="sq-AL"/>
        </w:rPr>
        <w:t xml:space="preserve"> llogarie pagesash (rrjedh</w:t>
      </w:r>
      <w:r w:rsidR="00E53196">
        <w:rPr>
          <w:lang w:val="sq-AL"/>
        </w:rPr>
        <w:t>ë</w:t>
      </w:r>
      <w:r w:rsidR="001A26EF" w:rsidRPr="00223286">
        <w:rPr>
          <w:lang w:val="sq-AL"/>
        </w:rPr>
        <w:t>se) n</w:t>
      </w:r>
      <w:r w:rsidR="00E53196">
        <w:rPr>
          <w:lang w:val="sq-AL"/>
        </w:rPr>
        <w:t>ë</w:t>
      </w:r>
      <w:r w:rsidR="001A26EF" w:rsidRPr="00223286">
        <w:rPr>
          <w:lang w:val="sq-AL"/>
        </w:rPr>
        <w:t xml:space="preserve"> banka, p</w:t>
      </w:r>
      <w:r w:rsidR="00E53196">
        <w:rPr>
          <w:lang w:val="sq-AL"/>
        </w:rPr>
        <w:t>ë</w:t>
      </w:r>
      <w:r w:rsidR="001A26EF" w:rsidRPr="00223286">
        <w:rPr>
          <w:lang w:val="sq-AL"/>
        </w:rPr>
        <w:t>r shkak t</w:t>
      </w:r>
      <w:r w:rsidR="00E53196">
        <w:rPr>
          <w:lang w:val="sq-AL"/>
        </w:rPr>
        <w:t>ë</w:t>
      </w:r>
      <w:r w:rsidR="001A26EF" w:rsidRPr="00223286">
        <w:rPr>
          <w:lang w:val="sq-AL"/>
        </w:rPr>
        <w:t xml:space="preserve"> kostove q</w:t>
      </w:r>
      <w:r w:rsidR="00E53196">
        <w:rPr>
          <w:lang w:val="sq-AL"/>
        </w:rPr>
        <w:t>ë</w:t>
      </w:r>
      <w:r w:rsidR="001A26EF" w:rsidRPr="00223286">
        <w:rPr>
          <w:lang w:val="sq-AL"/>
        </w:rPr>
        <w:t xml:space="preserve"> ajo mbart</w:t>
      </w:r>
      <w:r w:rsidRPr="00223286">
        <w:rPr>
          <w:lang w:val="sq-AL"/>
        </w:rPr>
        <w:t xml:space="preserve">. Më konkretisht, ky projektligj vlerësohet se do të mbështesë </w:t>
      </w:r>
      <w:r w:rsidR="001A26EF" w:rsidRPr="00223286">
        <w:rPr>
          <w:lang w:val="sq-AL"/>
        </w:rPr>
        <w:t xml:space="preserve">edhe </w:t>
      </w:r>
      <w:r w:rsidRPr="00223286">
        <w:rPr>
          <w:lang w:val="sq-AL"/>
        </w:rPr>
        <w:t>përmbushjen e objektivave të strategjisë kombëtare të pagesave</w:t>
      </w:r>
      <w:r w:rsidR="00E73235" w:rsidRPr="00223286">
        <w:rPr>
          <w:lang w:val="sq-AL"/>
        </w:rPr>
        <w:t>,</w:t>
      </w:r>
      <w:r w:rsidRPr="00223286">
        <w:rPr>
          <w:lang w:val="sq-AL"/>
        </w:rPr>
        <w:t xml:space="preserve"> për pagesat me vlerë të vogël si vijon:</w:t>
      </w:r>
    </w:p>
    <w:p w14:paraId="674DAA0E" w14:textId="77777777" w:rsidR="00801F4B" w:rsidRPr="00223286" w:rsidRDefault="00801F4B" w:rsidP="00801F4B">
      <w:pPr>
        <w:jc w:val="both"/>
        <w:rPr>
          <w:lang w:val="sq-AL"/>
        </w:rPr>
      </w:pPr>
    </w:p>
    <w:p w14:paraId="2981C350" w14:textId="692A9EA1" w:rsidR="005A6F8D" w:rsidRPr="00223286" w:rsidRDefault="00801F4B" w:rsidP="005A6F8D">
      <w:pPr>
        <w:pStyle w:val="ListParagraph"/>
        <w:numPr>
          <w:ilvl w:val="0"/>
          <w:numId w:val="22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223286">
        <w:rPr>
          <w:rFonts w:ascii="Times New Roman" w:hAnsi="Times New Roman"/>
          <w:i/>
          <w:sz w:val="24"/>
          <w:szCs w:val="24"/>
          <w:lang w:val="sq-AL"/>
        </w:rPr>
        <w:t>Zgjerimi i mundësisë për aksesin në llogaritë e transaksioneve është një kusht i domosdoshëm për të arritur objektivin kryesor</w:t>
      </w:r>
      <w:r w:rsidR="001A26EF" w:rsidRPr="00223286">
        <w:rPr>
          <w:rFonts w:ascii="Times New Roman" w:hAnsi="Times New Roman"/>
          <w:i/>
          <w:sz w:val="24"/>
          <w:szCs w:val="24"/>
          <w:lang w:val="sq-AL"/>
        </w:rPr>
        <w:t>,</w:t>
      </w:r>
      <w:r w:rsidRPr="00223286">
        <w:rPr>
          <w:rFonts w:ascii="Times New Roman" w:hAnsi="Times New Roman"/>
          <w:i/>
          <w:sz w:val="24"/>
          <w:szCs w:val="24"/>
          <w:lang w:val="sq-AL"/>
        </w:rPr>
        <w:t xml:space="preserve"> duke syn</w:t>
      </w:r>
      <w:r w:rsidR="001A26EF" w:rsidRPr="00223286">
        <w:rPr>
          <w:rFonts w:ascii="Times New Roman" w:hAnsi="Times New Roman"/>
          <w:i/>
          <w:sz w:val="24"/>
          <w:szCs w:val="24"/>
          <w:lang w:val="sq-AL"/>
        </w:rPr>
        <w:t>uar</w:t>
      </w:r>
      <w:r w:rsidRPr="00223286">
        <w:rPr>
          <w:rFonts w:ascii="Times New Roman" w:hAnsi="Times New Roman"/>
          <w:i/>
          <w:sz w:val="24"/>
          <w:szCs w:val="24"/>
          <w:lang w:val="sq-AL"/>
        </w:rPr>
        <w:t xml:space="preserve"> të arrijë një raport të zotërimit të llogarisë n</w:t>
      </w:r>
      <w:r w:rsidR="004E4810" w:rsidRPr="00223286">
        <w:rPr>
          <w:rFonts w:ascii="Times New Roman" w:hAnsi="Times New Roman"/>
          <w:i/>
          <w:sz w:val="24"/>
          <w:szCs w:val="24"/>
          <w:lang w:val="sq-AL"/>
        </w:rPr>
        <w:t>ë nivelin 70% deri në vitin 2023</w:t>
      </w:r>
      <w:r w:rsidRPr="00223286">
        <w:rPr>
          <w:rFonts w:ascii="Times New Roman" w:hAnsi="Times New Roman"/>
          <w:i/>
          <w:sz w:val="24"/>
          <w:szCs w:val="24"/>
          <w:lang w:val="sq-AL"/>
        </w:rPr>
        <w:t xml:space="preserve">. </w:t>
      </w:r>
    </w:p>
    <w:p w14:paraId="722EA0F0" w14:textId="23146C78" w:rsidR="00801F4B" w:rsidRPr="00223286" w:rsidRDefault="005A6F8D" w:rsidP="005A6F8D">
      <w:pPr>
        <w:pStyle w:val="ListParagraph"/>
        <w:numPr>
          <w:ilvl w:val="0"/>
          <w:numId w:val="22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223286">
        <w:rPr>
          <w:rFonts w:ascii="Times New Roman" w:hAnsi="Times New Roman"/>
          <w:i/>
          <w:sz w:val="24"/>
          <w:szCs w:val="24"/>
          <w:lang w:val="sq-AL"/>
        </w:rPr>
        <w:t xml:space="preserve">Nxitja e përdorimit intensiv të instrumenteve moderne të pagesave (plotësisht elektronike) me vlerë të vogël në të gjithë vendin, me qëllim arritjen e 10 pagesave jo me para fizike për frymë, deri në fund të vitit </w:t>
      </w:r>
      <w:r w:rsidR="001A26EF" w:rsidRPr="00223286">
        <w:rPr>
          <w:rFonts w:ascii="Times New Roman" w:hAnsi="Times New Roman"/>
          <w:i/>
          <w:sz w:val="24"/>
          <w:szCs w:val="24"/>
          <w:lang w:val="sq-AL"/>
        </w:rPr>
        <w:t>2023</w:t>
      </w:r>
      <w:r w:rsidRPr="00223286">
        <w:rPr>
          <w:rFonts w:ascii="Times New Roman" w:hAnsi="Times New Roman"/>
          <w:i/>
          <w:sz w:val="24"/>
          <w:szCs w:val="24"/>
          <w:lang w:val="sq-AL"/>
        </w:rPr>
        <w:t>.</w:t>
      </w:r>
    </w:p>
    <w:p w14:paraId="2FA2133D" w14:textId="77777777" w:rsidR="00FE5514" w:rsidRDefault="00FE5514" w:rsidP="00FE5514">
      <w:pPr>
        <w:jc w:val="both"/>
        <w:rPr>
          <w:rFonts w:eastAsia="Arial Unicode MS"/>
          <w:b/>
          <w:i/>
          <w:color w:val="000000"/>
          <w:lang w:val="sq-AL" w:eastAsia="ja-JP"/>
        </w:rPr>
      </w:pPr>
    </w:p>
    <w:p w14:paraId="77C8C5E7" w14:textId="77777777" w:rsidR="00FE5514" w:rsidRPr="00223286" w:rsidRDefault="00FE5514" w:rsidP="00FE5514">
      <w:pPr>
        <w:shd w:val="clear" w:color="auto" w:fill="FFFFFF"/>
        <w:jc w:val="both"/>
        <w:rPr>
          <w:rFonts w:eastAsia="Calibri"/>
          <w:lang w:val="sq-AL" w:eastAsia="ja-JP"/>
        </w:rPr>
      </w:pPr>
    </w:p>
    <w:p w14:paraId="6C5D2F58" w14:textId="77777777" w:rsidR="00C177F7" w:rsidRPr="00223286" w:rsidRDefault="00C177F7" w:rsidP="004E2752">
      <w:pPr>
        <w:numPr>
          <w:ilvl w:val="0"/>
          <w:numId w:val="19"/>
        </w:numPr>
        <w:spacing w:line="276" w:lineRule="auto"/>
        <w:jc w:val="both"/>
        <w:rPr>
          <w:rStyle w:val="Heading1Char"/>
          <w:rFonts w:ascii="Times New Roman" w:eastAsia="MS Mincho" w:hAnsi="Times New Roman"/>
          <w:b/>
          <w:color w:val="000000"/>
          <w:sz w:val="24"/>
          <w:szCs w:val="24"/>
          <w:lang w:val="sq-AL"/>
        </w:rPr>
      </w:pPr>
      <w:bookmarkStart w:id="3" w:name="_Toc18481860"/>
      <w:bookmarkStart w:id="4" w:name="_Toc112249466"/>
      <w:r w:rsidRPr="00223286">
        <w:rPr>
          <w:rStyle w:val="Heading1Char"/>
          <w:rFonts w:ascii="Times New Roman" w:eastAsia="MS Mincho" w:hAnsi="Times New Roman"/>
          <w:b/>
          <w:color w:val="000000"/>
          <w:sz w:val="24"/>
          <w:szCs w:val="24"/>
          <w:lang w:val="sq-AL"/>
        </w:rPr>
        <w:t>VLERËSIMI I PROJEKTAKTIT NË RAPORT ME PROGRAMIN POLITIK TË KËSHILLIT TË MINISTRAVE, ME PROGRAMIN ANALITIK TË AKTEVE DHE DOKUMENTEVE TË TJERA POLITIKE</w:t>
      </w:r>
      <w:bookmarkEnd w:id="3"/>
      <w:bookmarkEnd w:id="4"/>
    </w:p>
    <w:p w14:paraId="4DEE29B2" w14:textId="77777777" w:rsidR="00C177F7" w:rsidRPr="00223286" w:rsidRDefault="00C177F7" w:rsidP="00C177F7">
      <w:pPr>
        <w:spacing w:line="276" w:lineRule="auto"/>
        <w:jc w:val="both"/>
        <w:rPr>
          <w:b/>
          <w:lang w:val="sq-AL"/>
        </w:rPr>
      </w:pPr>
    </w:p>
    <w:p w14:paraId="44C26CB4" w14:textId="6BC5299C" w:rsidR="00C177F7" w:rsidRPr="00223286" w:rsidRDefault="00C177F7" w:rsidP="00161607">
      <w:pPr>
        <w:spacing w:line="276" w:lineRule="auto"/>
        <w:jc w:val="both"/>
        <w:rPr>
          <w:lang w:val="sq-AL"/>
        </w:rPr>
      </w:pPr>
      <w:r w:rsidRPr="00223286">
        <w:rPr>
          <w:color w:val="000000"/>
          <w:lang w:val="sq-AL"/>
        </w:rPr>
        <w:t>Projektligji “</w:t>
      </w:r>
      <w:r w:rsidRPr="00223286">
        <w:rPr>
          <w:lang w:val="sq-AL"/>
        </w:rPr>
        <w:t>Për</w:t>
      </w:r>
      <w:r w:rsidR="00E8234C" w:rsidRPr="00223286">
        <w:rPr>
          <w:lang w:val="sq-AL"/>
        </w:rPr>
        <w:t xml:space="preserve"> llogarin</w:t>
      </w:r>
      <w:r w:rsidR="00EF03B9" w:rsidRPr="00223286">
        <w:rPr>
          <w:lang w:val="sq-AL"/>
        </w:rPr>
        <w:t>ë</w:t>
      </w:r>
      <w:r w:rsidR="00E8234C" w:rsidRPr="00223286">
        <w:rPr>
          <w:lang w:val="sq-AL"/>
        </w:rPr>
        <w:t xml:space="preserve"> e pagesave me sh</w:t>
      </w:r>
      <w:r w:rsidR="00EF03B9" w:rsidRPr="00223286">
        <w:rPr>
          <w:lang w:val="sq-AL"/>
        </w:rPr>
        <w:t>ë</w:t>
      </w:r>
      <w:r w:rsidR="00E8234C" w:rsidRPr="00223286">
        <w:rPr>
          <w:lang w:val="sq-AL"/>
        </w:rPr>
        <w:t>rbime bazike</w:t>
      </w:r>
      <w:r w:rsidRPr="00223286">
        <w:rPr>
          <w:lang w:val="sq-AL"/>
        </w:rPr>
        <w:t>”</w:t>
      </w:r>
      <w:r w:rsidRPr="00223286">
        <w:rPr>
          <w:b/>
          <w:lang w:val="sq-AL"/>
        </w:rPr>
        <w:t xml:space="preserve"> </w:t>
      </w:r>
      <w:r w:rsidRPr="00223286">
        <w:rPr>
          <w:lang w:val="sq-AL"/>
        </w:rPr>
        <w:t xml:space="preserve">nuk është parashikuar në programin analitik të akteve të miratuara me VKM </w:t>
      </w:r>
      <w:r w:rsidR="00B87BC4" w:rsidRPr="00223286">
        <w:rPr>
          <w:lang w:val="sq-AL"/>
        </w:rPr>
        <w:t>nr.</w:t>
      </w:r>
      <w:r w:rsidR="00D16D7E" w:rsidRPr="00223286">
        <w:rPr>
          <w:lang w:val="sq-AL"/>
        </w:rPr>
        <w:t>850, datë 29.12.2021</w:t>
      </w:r>
      <w:r w:rsidR="00B87BC4" w:rsidRPr="00223286">
        <w:rPr>
          <w:lang w:val="sq-AL"/>
        </w:rPr>
        <w:t xml:space="preserve"> </w:t>
      </w:r>
      <w:r w:rsidRPr="00223286">
        <w:rPr>
          <w:lang w:val="sq-AL"/>
        </w:rPr>
        <w:t xml:space="preserve">“Për miratimin e programit të përgjithshëm analitik të projektakteve që do të paraqiten për shqyrtim në Këshillin e Ministrave gjatë vitit </w:t>
      </w:r>
      <w:r w:rsidR="00D16D7E" w:rsidRPr="00223286">
        <w:rPr>
          <w:lang w:val="sq-AL"/>
        </w:rPr>
        <w:t>2022</w:t>
      </w:r>
      <w:r w:rsidRPr="00223286">
        <w:rPr>
          <w:lang w:val="sq-AL"/>
        </w:rPr>
        <w:t>”.</w:t>
      </w:r>
      <w:r w:rsidR="00A36D7E" w:rsidRPr="00223286">
        <w:rPr>
          <w:lang w:val="sq-AL"/>
        </w:rPr>
        <w:t xml:space="preserve"> Megjithatë vlen të theksohet se ky projektligj </w:t>
      </w:r>
      <w:r w:rsidR="00A947D8" w:rsidRPr="00223286">
        <w:rPr>
          <w:lang w:val="sq-AL"/>
        </w:rPr>
        <w:t>është një</w:t>
      </w:r>
      <w:r w:rsidR="00A36D7E" w:rsidRPr="00223286">
        <w:rPr>
          <w:lang w:val="sq-AL"/>
        </w:rPr>
        <w:t xml:space="preserve"> kërkesë </w:t>
      </w:r>
      <w:r w:rsidR="00010E6E" w:rsidRPr="00223286">
        <w:rPr>
          <w:lang w:val="sq-AL"/>
        </w:rPr>
        <w:t xml:space="preserve">e </w:t>
      </w:r>
      <w:r w:rsidR="00A947D8" w:rsidRPr="00223286">
        <w:rPr>
          <w:lang w:val="sq-AL"/>
        </w:rPr>
        <w:t>vazhdueshme e</w:t>
      </w:r>
      <w:r w:rsidR="00A36D7E" w:rsidRPr="00223286">
        <w:rPr>
          <w:lang w:val="sq-AL"/>
        </w:rPr>
        <w:t xml:space="preserve"> Komisionit Evropia</w:t>
      </w:r>
      <w:r w:rsidR="000628E0" w:rsidRPr="00223286">
        <w:rPr>
          <w:lang w:val="sq-AL"/>
        </w:rPr>
        <w:t>n</w:t>
      </w:r>
      <w:r w:rsidR="00A36D7E" w:rsidRPr="00223286">
        <w:rPr>
          <w:lang w:val="sq-AL"/>
        </w:rPr>
        <w:t xml:space="preserve"> </w:t>
      </w:r>
      <w:r w:rsidR="00A947D8" w:rsidRPr="00223286">
        <w:rPr>
          <w:lang w:val="sq-AL"/>
        </w:rPr>
        <w:t xml:space="preserve">për </w:t>
      </w:r>
      <w:r w:rsidR="00BB527C" w:rsidRPr="00223286">
        <w:rPr>
          <w:lang w:val="sq-AL"/>
        </w:rPr>
        <w:t>K</w:t>
      </w:r>
      <w:r w:rsidR="00E8234C" w:rsidRPr="00223286">
        <w:rPr>
          <w:lang w:val="sq-AL"/>
        </w:rPr>
        <w:t>apitullin 9</w:t>
      </w:r>
      <w:r w:rsidR="00A947D8" w:rsidRPr="00223286">
        <w:rPr>
          <w:lang w:val="sq-AL"/>
        </w:rPr>
        <w:t xml:space="preserve"> </w:t>
      </w:r>
      <w:r w:rsidR="00BB527C" w:rsidRPr="00223286">
        <w:rPr>
          <w:lang w:val="sq-AL"/>
        </w:rPr>
        <w:t>“</w:t>
      </w:r>
      <w:r w:rsidR="00D16D7E" w:rsidRPr="00223286">
        <w:rPr>
          <w:lang w:val="sq-AL"/>
        </w:rPr>
        <w:t>Sh</w:t>
      </w:r>
      <w:r w:rsidR="0090064C" w:rsidRPr="00223286">
        <w:rPr>
          <w:lang w:val="sq-AL"/>
        </w:rPr>
        <w:t>ë</w:t>
      </w:r>
      <w:r w:rsidR="00D16D7E" w:rsidRPr="00223286">
        <w:rPr>
          <w:lang w:val="sq-AL"/>
        </w:rPr>
        <w:t>rbimet Financiare</w:t>
      </w:r>
      <w:r w:rsidR="00A947D8" w:rsidRPr="00223286">
        <w:rPr>
          <w:lang w:val="sq-AL"/>
        </w:rPr>
        <w:t>”</w:t>
      </w:r>
      <w:r w:rsidR="001A26EF" w:rsidRPr="00223286">
        <w:rPr>
          <w:lang w:val="sq-AL"/>
        </w:rPr>
        <w:t>,</w:t>
      </w:r>
      <w:r w:rsidR="00A947D8" w:rsidRPr="00223286">
        <w:rPr>
          <w:lang w:val="sq-AL"/>
        </w:rPr>
        <w:t xml:space="preserve"> si baza kryesore e </w:t>
      </w:r>
      <w:r w:rsidR="00A947D8" w:rsidRPr="00223286">
        <w:rPr>
          <w:i/>
          <w:lang w:val="sq-AL"/>
        </w:rPr>
        <w:t>A</w:t>
      </w:r>
      <w:r w:rsidR="001A26EF" w:rsidRPr="00223286">
        <w:rPr>
          <w:i/>
          <w:lang w:val="sq-AL"/>
        </w:rPr>
        <w:t>c</w:t>
      </w:r>
      <w:r w:rsidR="00A947D8" w:rsidRPr="00223286">
        <w:rPr>
          <w:i/>
          <w:lang w:val="sq-AL"/>
        </w:rPr>
        <w:t>quis</w:t>
      </w:r>
      <w:r w:rsidR="00D16D7E" w:rsidRPr="00223286">
        <w:rPr>
          <w:lang w:val="sq-AL"/>
        </w:rPr>
        <w:t xml:space="preserve"> i parashikuar n</w:t>
      </w:r>
      <w:r w:rsidR="0090064C" w:rsidRPr="00223286">
        <w:rPr>
          <w:lang w:val="sq-AL"/>
        </w:rPr>
        <w:t>ë</w:t>
      </w:r>
      <w:r w:rsidR="00D16D7E" w:rsidRPr="00223286">
        <w:rPr>
          <w:lang w:val="sq-AL"/>
        </w:rPr>
        <w:t xml:space="preserve"> PKIE 2022-2024 p</w:t>
      </w:r>
      <w:r w:rsidR="0090064C" w:rsidRPr="00223286">
        <w:rPr>
          <w:lang w:val="sq-AL"/>
        </w:rPr>
        <w:t>ë</w:t>
      </w:r>
      <w:r w:rsidR="00D16D7E" w:rsidRPr="00223286">
        <w:rPr>
          <w:lang w:val="sq-AL"/>
        </w:rPr>
        <w:t>r t</w:t>
      </w:r>
      <w:r w:rsidR="001A26EF" w:rsidRPr="00223286">
        <w:rPr>
          <w:lang w:val="sq-AL"/>
        </w:rPr>
        <w:t>’</w:t>
      </w:r>
      <w:r w:rsidR="00D16D7E" w:rsidRPr="00223286">
        <w:rPr>
          <w:lang w:val="sq-AL"/>
        </w:rPr>
        <w:t xml:space="preserve">u miratuar brenda vitit 2022. </w:t>
      </w:r>
      <w:r w:rsidR="00A947D8" w:rsidRPr="00223286">
        <w:rPr>
          <w:lang w:val="sq-AL"/>
        </w:rPr>
        <w:t xml:space="preserve">Për më shumë, ky projektligj </w:t>
      </w:r>
      <w:r w:rsidR="008419C5" w:rsidRPr="00223286">
        <w:rPr>
          <w:lang w:val="sq-AL"/>
        </w:rPr>
        <w:t>përbën një prioritet edhe për Str</w:t>
      </w:r>
      <w:r w:rsidR="000628E0" w:rsidRPr="00223286">
        <w:rPr>
          <w:lang w:val="sq-AL"/>
        </w:rPr>
        <w:t>a</w:t>
      </w:r>
      <w:r w:rsidR="008419C5" w:rsidRPr="00223286">
        <w:rPr>
          <w:lang w:val="sq-AL"/>
        </w:rPr>
        <w:t xml:space="preserve">tegjinë Kombëtare </w:t>
      </w:r>
      <w:r w:rsidR="00566851" w:rsidRPr="00223286">
        <w:rPr>
          <w:lang w:val="sq-AL"/>
        </w:rPr>
        <w:t>për Pagesat me Vlerë të Vogël</w:t>
      </w:r>
      <w:r w:rsidR="001A26EF" w:rsidRPr="00223286">
        <w:rPr>
          <w:lang w:val="sq-AL"/>
        </w:rPr>
        <w:t xml:space="preserve"> 2018-2023</w:t>
      </w:r>
      <w:r w:rsidR="00B87BC4" w:rsidRPr="00223286">
        <w:rPr>
          <w:lang w:val="sq-AL"/>
        </w:rPr>
        <w:t>,</w:t>
      </w:r>
      <w:r w:rsidR="00566851" w:rsidRPr="00223286">
        <w:rPr>
          <w:lang w:val="sq-AL"/>
        </w:rPr>
        <w:t xml:space="preserve"> e cila synon modernizimin e tregu</w:t>
      </w:r>
      <w:r w:rsidR="001A26EF" w:rsidRPr="00223286">
        <w:rPr>
          <w:lang w:val="sq-AL"/>
        </w:rPr>
        <w:t>t t</w:t>
      </w:r>
      <w:r w:rsidR="00E53196">
        <w:rPr>
          <w:lang w:val="sq-AL"/>
        </w:rPr>
        <w:t>ë</w:t>
      </w:r>
      <w:r w:rsidR="001A26EF" w:rsidRPr="00223286">
        <w:rPr>
          <w:lang w:val="sq-AL"/>
        </w:rPr>
        <w:t xml:space="preserve"> pagesave,</w:t>
      </w:r>
      <w:r w:rsidR="00566851" w:rsidRPr="00223286">
        <w:rPr>
          <w:lang w:val="sq-AL"/>
        </w:rPr>
        <w:t xml:space="preserve"> me qëllim zgjerimin e përfshi</w:t>
      </w:r>
      <w:r w:rsidR="000628E0" w:rsidRPr="00223286">
        <w:rPr>
          <w:lang w:val="sq-AL"/>
        </w:rPr>
        <w:t>r</w:t>
      </w:r>
      <w:r w:rsidR="00566851" w:rsidRPr="00223286">
        <w:rPr>
          <w:lang w:val="sq-AL"/>
        </w:rPr>
        <w:t xml:space="preserve">jes financiare të popullsisë shqiptare, </w:t>
      </w:r>
      <w:r w:rsidR="001A26EF" w:rsidRPr="00223286">
        <w:rPr>
          <w:lang w:val="sq-AL"/>
        </w:rPr>
        <w:t>që</w:t>
      </w:r>
      <w:r w:rsidR="00566851" w:rsidRPr="00223286">
        <w:rPr>
          <w:lang w:val="sq-AL"/>
        </w:rPr>
        <w:t xml:space="preserve"> rezulton në nivele relativisht të ul</w:t>
      </w:r>
      <w:r w:rsidR="00010E6E" w:rsidRPr="00223286">
        <w:rPr>
          <w:lang w:val="sq-AL"/>
        </w:rPr>
        <w:t>ë</w:t>
      </w:r>
      <w:r w:rsidR="00566851" w:rsidRPr="00223286">
        <w:rPr>
          <w:lang w:val="sq-AL"/>
        </w:rPr>
        <w:t xml:space="preserve">ta krahasuar me vendet e tjera të rajonit. </w:t>
      </w:r>
    </w:p>
    <w:p w14:paraId="71D10377" w14:textId="77777777" w:rsidR="00B70634" w:rsidRPr="00223286" w:rsidRDefault="00B70634" w:rsidP="00B70634">
      <w:pPr>
        <w:pStyle w:val="Default"/>
        <w:spacing w:line="276" w:lineRule="auto"/>
        <w:rPr>
          <w:rFonts w:ascii="Times New Roman" w:hAnsi="Times New Roman" w:cs="Times New Roman"/>
          <w:lang w:val="sq-AL"/>
        </w:rPr>
      </w:pPr>
    </w:p>
    <w:p w14:paraId="7A7ED068" w14:textId="77777777" w:rsidR="007C328E" w:rsidRPr="00223286" w:rsidRDefault="007C328E" w:rsidP="007C3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lang w:val="sq-AL"/>
        </w:rPr>
      </w:pPr>
    </w:p>
    <w:p w14:paraId="6E0E2070" w14:textId="77777777" w:rsidR="00CC0758" w:rsidRPr="00223286" w:rsidRDefault="00CC0758" w:rsidP="004E2752">
      <w:pPr>
        <w:pStyle w:val="Default"/>
        <w:numPr>
          <w:ilvl w:val="0"/>
          <w:numId w:val="19"/>
        </w:numPr>
        <w:spacing w:line="276" w:lineRule="auto"/>
        <w:jc w:val="both"/>
        <w:rPr>
          <w:rStyle w:val="Heading1Char"/>
          <w:rFonts w:ascii="Times New Roman" w:eastAsia="MS Mincho" w:hAnsi="Times New Roman"/>
          <w:b/>
          <w:color w:val="000000"/>
          <w:sz w:val="24"/>
          <w:szCs w:val="24"/>
          <w:lang w:val="sq-AL"/>
        </w:rPr>
      </w:pPr>
      <w:bookmarkStart w:id="5" w:name="_Toc18481861"/>
      <w:bookmarkStart w:id="6" w:name="_Toc112249467"/>
      <w:r w:rsidRPr="00223286">
        <w:rPr>
          <w:rStyle w:val="Heading1Char"/>
          <w:rFonts w:ascii="Times New Roman" w:eastAsia="MS Mincho" w:hAnsi="Times New Roman"/>
          <w:b/>
          <w:color w:val="000000"/>
          <w:sz w:val="24"/>
          <w:szCs w:val="24"/>
          <w:lang w:val="sq-AL"/>
        </w:rPr>
        <w:t>VLERËSIMI I LIGJSHMËRISË, KUSHTETUTSHMËRISË DHE HARMONIZIMI ME LEGJISLACIONIN NË FUQI VENDAS E NDËRKOMBËTAR</w:t>
      </w:r>
      <w:bookmarkEnd w:id="5"/>
      <w:bookmarkEnd w:id="6"/>
      <w:r w:rsidRPr="00223286">
        <w:rPr>
          <w:rStyle w:val="Heading1Char"/>
          <w:rFonts w:ascii="Times New Roman" w:eastAsia="MS Mincho" w:hAnsi="Times New Roman"/>
          <w:b/>
          <w:color w:val="000000"/>
          <w:sz w:val="24"/>
          <w:szCs w:val="24"/>
          <w:lang w:val="sq-AL"/>
        </w:rPr>
        <w:t xml:space="preserve"> </w:t>
      </w:r>
    </w:p>
    <w:p w14:paraId="2EFF4FDD" w14:textId="77777777" w:rsidR="00CC0758" w:rsidRPr="00223286" w:rsidRDefault="00CC0758" w:rsidP="00CC0758">
      <w:pPr>
        <w:jc w:val="both"/>
        <w:rPr>
          <w:rFonts w:eastAsia="Times New Roman"/>
          <w:lang w:val="sq-AL" w:eastAsia="en-GB"/>
        </w:rPr>
      </w:pPr>
    </w:p>
    <w:p w14:paraId="13A7AFC6" w14:textId="77777777" w:rsidR="00CC0758" w:rsidRPr="00223286" w:rsidRDefault="00CC0758" w:rsidP="00CC0758">
      <w:pPr>
        <w:jc w:val="both"/>
        <w:rPr>
          <w:lang w:val="sq-AL"/>
        </w:rPr>
      </w:pPr>
      <w:r w:rsidRPr="00223286">
        <w:rPr>
          <w:lang w:val="sq-AL"/>
        </w:rPr>
        <w:t>Projektligji i propozuar mbështetet në nenet 78 dhe 83, pika 1 të Kushtetutës.</w:t>
      </w:r>
    </w:p>
    <w:p w14:paraId="230EF448" w14:textId="77777777" w:rsidR="007166A9" w:rsidRPr="00223286" w:rsidRDefault="007166A9" w:rsidP="00CC0758">
      <w:pPr>
        <w:jc w:val="both"/>
        <w:rPr>
          <w:lang w:val="sq-AL"/>
        </w:rPr>
      </w:pPr>
    </w:p>
    <w:p w14:paraId="0FBE2E39" w14:textId="77777777" w:rsidR="0002198C" w:rsidRPr="00223286" w:rsidRDefault="0002198C" w:rsidP="00D73AF9">
      <w:pPr>
        <w:jc w:val="both"/>
        <w:rPr>
          <w:b/>
          <w:lang w:val="sq-AL"/>
        </w:rPr>
      </w:pPr>
    </w:p>
    <w:p w14:paraId="0DFFFFCD" w14:textId="77777777" w:rsidR="0002198C" w:rsidRPr="00223286" w:rsidRDefault="00711144" w:rsidP="004E2752">
      <w:pPr>
        <w:numPr>
          <w:ilvl w:val="0"/>
          <w:numId w:val="19"/>
        </w:numPr>
        <w:jc w:val="both"/>
        <w:rPr>
          <w:b/>
          <w:bCs/>
          <w:i/>
          <w:iCs/>
          <w:lang w:val="sq-AL"/>
        </w:rPr>
      </w:pPr>
      <w:bookmarkStart w:id="7" w:name="_Toc18481862"/>
      <w:bookmarkStart w:id="8" w:name="_Toc112249468"/>
      <w:r w:rsidRPr="00223286">
        <w:rPr>
          <w:rStyle w:val="Heading1Char"/>
          <w:rFonts w:ascii="Times New Roman" w:eastAsia="MS Mincho" w:hAnsi="Times New Roman" w:cs="Arial"/>
          <w:b/>
          <w:color w:val="000000"/>
          <w:sz w:val="24"/>
          <w:szCs w:val="24"/>
          <w:lang w:val="sq-AL"/>
        </w:rPr>
        <w:t xml:space="preserve">VLERËSIMI I SHKALLËS SË PËRAFRIMIT ME </w:t>
      </w:r>
      <w:r w:rsidRPr="00223286">
        <w:rPr>
          <w:rStyle w:val="Heading1Char"/>
          <w:rFonts w:ascii="Times New Roman" w:eastAsia="MS Mincho" w:hAnsi="Times New Roman" w:cs="Arial"/>
          <w:b/>
          <w:i/>
          <w:color w:val="000000"/>
          <w:sz w:val="24"/>
          <w:szCs w:val="24"/>
          <w:lang w:val="sq-AL"/>
        </w:rPr>
        <w:t>ACQUIS COMMUNAUTAIRE</w:t>
      </w:r>
      <w:bookmarkEnd w:id="7"/>
      <w:bookmarkEnd w:id="8"/>
    </w:p>
    <w:p w14:paraId="31050CB4" w14:textId="77777777" w:rsidR="00711144" w:rsidRPr="00223286" w:rsidRDefault="00711144" w:rsidP="00D73AF9">
      <w:pPr>
        <w:jc w:val="both"/>
        <w:rPr>
          <w:b/>
          <w:bCs/>
          <w:i/>
          <w:iCs/>
          <w:lang w:val="sq-AL"/>
        </w:rPr>
      </w:pPr>
    </w:p>
    <w:p w14:paraId="29C515D5" w14:textId="77777777" w:rsidR="004B6D0E" w:rsidRPr="00223286" w:rsidRDefault="004B6D0E" w:rsidP="00161607">
      <w:pPr>
        <w:pStyle w:val="FootnoteText"/>
        <w:tabs>
          <w:tab w:val="left" w:pos="0"/>
        </w:tabs>
        <w:spacing w:line="276" w:lineRule="auto"/>
        <w:jc w:val="both"/>
        <w:rPr>
          <w:rFonts w:eastAsia="Times New Roman"/>
          <w:color w:val="000000"/>
          <w:sz w:val="24"/>
          <w:szCs w:val="24"/>
          <w:lang w:val="sq-AL" w:eastAsia="sq-AL"/>
        </w:rPr>
      </w:pPr>
      <w:r w:rsidRPr="00223286">
        <w:rPr>
          <w:rFonts w:eastAsia="Times New Roman"/>
          <w:color w:val="000000"/>
          <w:sz w:val="24"/>
          <w:szCs w:val="24"/>
          <w:lang w:val="sq-AL" w:eastAsia="sq-AL"/>
        </w:rPr>
        <w:t>Projekt</w:t>
      </w:r>
      <w:r w:rsidR="00711144" w:rsidRPr="00223286">
        <w:rPr>
          <w:rFonts w:eastAsia="Times New Roman"/>
          <w:color w:val="000000"/>
          <w:sz w:val="24"/>
          <w:szCs w:val="24"/>
          <w:lang w:val="sq-AL" w:eastAsia="sq-AL"/>
        </w:rPr>
        <w:t>ligj</w:t>
      </w:r>
      <w:r w:rsidRPr="00223286">
        <w:rPr>
          <w:rFonts w:eastAsia="Times New Roman"/>
          <w:color w:val="000000"/>
          <w:sz w:val="24"/>
          <w:szCs w:val="24"/>
          <w:lang w:val="sq-AL" w:eastAsia="sq-AL"/>
        </w:rPr>
        <w:t>i</w:t>
      </w:r>
      <w:r w:rsidR="00711144" w:rsidRPr="00223286">
        <w:rPr>
          <w:rFonts w:eastAsia="Times New Roman"/>
          <w:color w:val="000000"/>
          <w:sz w:val="24"/>
          <w:szCs w:val="24"/>
          <w:lang w:val="sq-AL" w:eastAsia="sq-AL"/>
        </w:rPr>
        <w:t xml:space="preserve"> ka si qëllim krijimin e bazë</w:t>
      </w:r>
      <w:r w:rsidR="008F64B4" w:rsidRPr="00223286">
        <w:rPr>
          <w:rFonts w:eastAsia="Times New Roman"/>
          <w:color w:val="000000"/>
          <w:sz w:val="24"/>
          <w:szCs w:val="24"/>
          <w:lang w:val="sq-AL" w:eastAsia="sq-AL"/>
        </w:rPr>
        <w:t>s</w:t>
      </w:r>
      <w:r w:rsidR="00711144" w:rsidRPr="00223286">
        <w:rPr>
          <w:rFonts w:eastAsia="Times New Roman"/>
          <w:color w:val="000000"/>
          <w:sz w:val="24"/>
          <w:szCs w:val="24"/>
          <w:lang w:val="sq-AL" w:eastAsia="sq-AL"/>
        </w:rPr>
        <w:t xml:space="preserve"> ligjore për </w:t>
      </w:r>
      <w:r w:rsidR="00200F4D" w:rsidRPr="00223286">
        <w:rPr>
          <w:rFonts w:eastAsia="Times New Roman"/>
          <w:color w:val="000000"/>
          <w:sz w:val="24"/>
          <w:szCs w:val="24"/>
          <w:lang w:val="sq-AL" w:eastAsia="sq-AL"/>
        </w:rPr>
        <w:t>llogarin</w:t>
      </w:r>
      <w:r w:rsidR="00EF03B9" w:rsidRPr="00223286">
        <w:rPr>
          <w:rFonts w:eastAsia="Times New Roman"/>
          <w:color w:val="000000"/>
          <w:sz w:val="24"/>
          <w:szCs w:val="24"/>
          <w:lang w:val="sq-AL" w:eastAsia="sq-AL"/>
        </w:rPr>
        <w:t>ë</w:t>
      </w:r>
      <w:r w:rsidR="00200F4D" w:rsidRPr="00223286">
        <w:rPr>
          <w:rFonts w:eastAsia="Times New Roman"/>
          <w:color w:val="000000"/>
          <w:sz w:val="24"/>
          <w:szCs w:val="24"/>
          <w:lang w:val="sq-AL" w:eastAsia="sq-AL"/>
        </w:rPr>
        <w:t xml:space="preserve"> e pagesave me sh</w:t>
      </w:r>
      <w:r w:rsidR="00EF03B9" w:rsidRPr="00223286">
        <w:rPr>
          <w:rFonts w:eastAsia="Times New Roman"/>
          <w:color w:val="000000"/>
          <w:sz w:val="24"/>
          <w:szCs w:val="24"/>
          <w:lang w:val="sq-AL" w:eastAsia="sq-AL"/>
        </w:rPr>
        <w:t>ë</w:t>
      </w:r>
      <w:r w:rsidR="00200F4D" w:rsidRPr="00223286">
        <w:rPr>
          <w:rFonts w:eastAsia="Times New Roman"/>
          <w:color w:val="000000"/>
          <w:sz w:val="24"/>
          <w:szCs w:val="24"/>
          <w:lang w:val="sq-AL" w:eastAsia="sq-AL"/>
        </w:rPr>
        <w:t xml:space="preserve">rbime bazike </w:t>
      </w:r>
      <w:r w:rsidR="00711144" w:rsidRPr="00223286">
        <w:rPr>
          <w:rFonts w:eastAsia="Times New Roman"/>
          <w:color w:val="000000"/>
          <w:sz w:val="24"/>
          <w:szCs w:val="24"/>
          <w:lang w:val="sq-AL" w:eastAsia="sq-AL"/>
        </w:rPr>
        <w:t>n</w:t>
      </w:r>
      <w:r w:rsidRPr="00223286">
        <w:rPr>
          <w:rFonts w:eastAsia="Times New Roman"/>
          <w:color w:val="000000"/>
          <w:sz w:val="24"/>
          <w:szCs w:val="24"/>
          <w:lang w:val="sq-AL" w:eastAsia="sq-AL"/>
        </w:rPr>
        <w:t>ë</w:t>
      </w:r>
      <w:r w:rsidR="00711144" w:rsidRPr="00223286">
        <w:rPr>
          <w:rFonts w:eastAsia="Times New Roman"/>
          <w:color w:val="000000"/>
          <w:sz w:val="24"/>
          <w:szCs w:val="24"/>
          <w:lang w:val="sq-AL" w:eastAsia="sq-AL"/>
        </w:rPr>
        <w:t xml:space="preserve"> Republik</w:t>
      </w:r>
      <w:r w:rsidRPr="00223286">
        <w:rPr>
          <w:rFonts w:eastAsia="Times New Roman"/>
          <w:color w:val="000000"/>
          <w:sz w:val="24"/>
          <w:szCs w:val="24"/>
          <w:lang w:val="sq-AL" w:eastAsia="sq-AL"/>
        </w:rPr>
        <w:t>ë</w:t>
      </w:r>
      <w:r w:rsidR="00711144" w:rsidRPr="00223286">
        <w:rPr>
          <w:rFonts w:eastAsia="Times New Roman"/>
          <w:color w:val="000000"/>
          <w:sz w:val="24"/>
          <w:szCs w:val="24"/>
          <w:lang w:val="sq-AL" w:eastAsia="sq-AL"/>
        </w:rPr>
        <w:t>n e Shqip</w:t>
      </w:r>
      <w:r w:rsidRPr="00223286">
        <w:rPr>
          <w:rFonts w:eastAsia="Times New Roman"/>
          <w:color w:val="000000"/>
          <w:sz w:val="24"/>
          <w:szCs w:val="24"/>
          <w:lang w:val="sq-AL" w:eastAsia="sq-AL"/>
        </w:rPr>
        <w:t>ë</w:t>
      </w:r>
      <w:r w:rsidR="00711144" w:rsidRPr="00223286">
        <w:rPr>
          <w:rFonts w:eastAsia="Times New Roman"/>
          <w:color w:val="000000"/>
          <w:sz w:val="24"/>
          <w:szCs w:val="24"/>
          <w:lang w:val="sq-AL" w:eastAsia="sq-AL"/>
        </w:rPr>
        <w:t>ris</w:t>
      </w:r>
      <w:r w:rsidRPr="00223286">
        <w:rPr>
          <w:rFonts w:eastAsia="Times New Roman"/>
          <w:color w:val="000000"/>
          <w:sz w:val="24"/>
          <w:szCs w:val="24"/>
          <w:lang w:val="sq-AL" w:eastAsia="sq-AL"/>
        </w:rPr>
        <w:t>ë</w:t>
      </w:r>
      <w:r w:rsidR="00711144" w:rsidRPr="00223286">
        <w:rPr>
          <w:rFonts w:eastAsia="Times New Roman"/>
          <w:color w:val="000000"/>
          <w:sz w:val="24"/>
          <w:szCs w:val="24"/>
          <w:lang w:val="sq-AL" w:eastAsia="sq-AL"/>
        </w:rPr>
        <w:t xml:space="preserve"> dhe synon të përafrojë pjesërisht legjislacionin shqiptar me </w:t>
      </w:r>
      <w:r w:rsidR="008C6BBA" w:rsidRPr="00223286">
        <w:rPr>
          <w:rFonts w:eastAsia="Times New Roman"/>
          <w:color w:val="000000"/>
          <w:sz w:val="24"/>
          <w:szCs w:val="24"/>
          <w:lang w:val="sq-AL" w:eastAsia="sq-AL"/>
        </w:rPr>
        <w:t>Direktivën 2014</w:t>
      </w:r>
      <w:r w:rsidR="003F6E5A" w:rsidRPr="00223286">
        <w:rPr>
          <w:rFonts w:eastAsia="Times New Roman"/>
          <w:color w:val="000000"/>
          <w:sz w:val="24"/>
          <w:szCs w:val="24"/>
          <w:lang w:val="sq-AL" w:eastAsia="sq-AL"/>
        </w:rPr>
        <w:t>/92</w:t>
      </w:r>
      <w:r w:rsidRPr="00223286">
        <w:rPr>
          <w:rFonts w:eastAsia="Times New Roman"/>
          <w:color w:val="000000"/>
          <w:sz w:val="24"/>
          <w:szCs w:val="24"/>
          <w:lang w:val="sq-AL" w:eastAsia="sq-AL"/>
        </w:rPr>
        <w:t xml:space="preserve"> BE të Parlamentit Evropian dhe të Këshillit</w:t>
      </w:r>
      <w:r w:rsidR="003A4B22" w:rsidRPr="00223286">
        <w:rPr>
          <w:rFonts w:eastAsia="Times New Roman"/>
          <w:color w:val="000000"/>
          <w:sz w:val="24"/>
          <w:szCs w:val="24"/>
          <w:lang w:val="sq-AL" w:eastAsia="sq-AL"/>
        </w:rPr>
        <w:t xml:space="preserve">, </w:t>
      </w:r>
      <w:r w:rsidR="003F6E5A" w:rsidRPr="00223286">
        <w:rPr>
          <w:rFonts w:eastAsia="Times New Roman"/>
          <w:color w:val="000000"/>
          <w:sz w:val="24"/>
          <w:szCs w:val="24"/>
          <w:lang w:val="sq-AL" w:eastAsia="sq-AL"/>
        </w:rPr>
        <w:t>të datës 23 korrik 2014</w:t>
      </w:r>
      <w:r w:rsidRPr="00223286">
        <w:rPr>
          <w:rFonts w:eastAsia="Times New Roman"/>
          <w:color w:val="000000"/>
          <w:sz w:val="24"/>
          <w:szCs w:val="24"/>
          <w:lang w:val="sq-AL" w:eastAsia="sq-AL"/>
        </w:rPr>
        <w:t xml:space="preserve"> “</w:t>
      </w:r>
      <w:r w:rsidR="003F6E5A" w:rsidRPr="00223286">
        <w:rPr>
          <w:rFonts w:eastAsia="Times New Roman"/>
          <w:color w:val="000000"/>
          <w:sz w:val="24"/>
          <w:szCs w:val="24"/>
          <w:lang w:val="sq-AL" w:eastAsia="sq-AL"/>
        </w:rPr>
        <w:t>Mbi krahasueshm</w:t>
      </w:r>
      <w:r w:rsidR="00EF03B9" w:rsidRPr="00223286">
        <w:rPr>
          <w:rFonts w:eastAsia="Times New Roman"/>
          <w:color w:val="000000"/>
          <w:sz w:val="24"/>
          <w:szCs w:val="24"/>
          <w:lang w:val="sq-AL" w:eastAsia="sq-AL"/>
        </w:rPr>
        <w:t>ë</w:t>
      </w:r>
      <w:r w:rsidR="003F6E5A" w:rsidRPr="00223286">
        <w:rPr>
          <w:rFonts w:eastAsia="Times New Roman"/>
          <w:color w:val="000000"/>
          <w:sz w:val="24"/>
          <w:szCs w:val="24"/>
          <w:lang w:val="sq-AL" w:eastAsia="sq-AL"/>
        </w:rPr>
        <w:t>rin</w:t>
      </w:r>
      <w:r w:rsidR="00EF03B9" w:rsidRPr="00223286">
        <w:rPr>
          <w:rFonts w:eastAsia="Times New Roman"/>
          <w:color w:val="000000"/>
          <w:sz w:val="24"/>
          <w:szCs w:val="24"/>
          <w:lang w:val="sq-AL" w:eastAsia="sq-AL"/>
        </w:rPr>
        <w:t>ë</w:t>
      </w:r>
      <w:r w:rsidR="003F6E5A" w:rsidRPr="00223286">
        <w:rPr>
          <w:rFonts w:eastAsia="Times New Roman"/>
          <w:color w:val="000000"/>
          <w:sz w:val="24"/>
          <w:szCs w:val="24"/>
          <w:lang w:val="sq-AL" w:eastAsia="sq-AL"/>
        </w:rPr>
        <w:t xml:space="preserve"> e tarifave n</w:t>
      </w:r>
      <w:r w:rsidR="00EF03B9" w:rsidRPr="00223286">
        <w:rPr>
          <w:rFonts w:eastAsia="Times New Roman"/>
          <w:color w:val="000000"/>
          <w:sz w:val="24"/>
          <w:szCs w:val="24"/>
          <w:lang w:val="sq-AL" w:eastAsia="sq-AL"/>
        </w:rPr>
        <w:t>ë</w:t>
      </w:r>
      <w:r w:rsidR="003F6E5A" w:rsidRPr="00223286">
        <w:rPr>
          <w:rFonts w:eastAsia="Times New Roman"/>
          <w:color w:val="000000"/>
          <w:sz w:val="24"/>
          <w:szCs w:val="24"/>
          <w:lang w:val="sq-AL" w:eastAsia="sq-AL"/>
        </w:rPr>
        <w:t xml:space="preserve"> lidhje me llogarit</w:t>
      </w:r>
      <w:r w:rsidR="00EF03B9" w:rsidRPr="00223286">
        <w:rPr>
          <w:rFonts w:eastAsia="Times New Roman"/>
          <w:color w:val="000000"/>
          <w:sz w:val="24"/>
          <w:szCs w:val="24"/>
          <w:lang w:val="sq-AL" w:eastAsia="sq-AL"/>
        </w:rPr>
        <w:t>ë</w:t>
      </w:r>
      <w:r w:rsidR="003F6E5A" w:rsidRPr="00223286">
        <w:rPr>
          <w:rFonts w:eastAsia="Times New Roman"/>
          <w:color w:val="000000"/>
          <w:sz w:val="24"/>
          <w:szCs w:val="24"/>
          <w:lang w:val="sq-AL" w:eastAsia="sq-AL"/>
        </w:rPr>
        <w:t xml:space="preserve"> e pagesave, transferimin e llogarive t</w:t>
      </w:r>
      <w:r w:rsidR="00EF03B9" w:rsidRPr="00223286">
        <w:rPr>
          <w:rFonts w:eastAsia="Times New Roman"/>
          <w:color w:val="000000"/>
          <w:sz w:val="24"/>
          <w:szCs w:val="24"/>
          <w:lang w:val="sq-AL" w:eastAsia="sq-AL"/>
        </w:rPr>
        <w:t>ë</w:t>
      </w:r>
      <w:r w:rsidR="003F6E5A" w:rsidRPr="00223286">
        <w:rPr>
          <w:rFonts w:eastAsia="Times New Roman"/>
          <w:color w:val="000000"/>
          <w:sz w:val="24"/>
          <w:szCs w:val="24"/>
          <w:lang w:val="sq-AL" w:eastAsia="sq-AL"/>
        </w:rPr>
        <w:t xml:space="preserve"> pagesave dhe aksesin n</w:t>
      </w:r>
      <w:r w:rsidR="00EF03B9" w:rsidRPr="00223286">
        <w:rPr>
          <w:rFonts w:eastAsia="Times New Roman"/>
          <w:color w:val="000000"/>
          <w:sz w:val="24"/>
          <w:szCs w:val="24"/>
          <w:lang w:val="sq-AL" w:eastAsia="sq-AL"/>
        </w:rPr>
        <w:t>ë</w:t>
      </w:r>
      <w:r w:rsidR="003F6E5A" w:rsidRPr="00223286">
        <w:rPr>
          <w:rFonts w:eastAsia="Times New Roman"/>
          <w:color w:val="000000"/>
          <w:sz w:val="24"/>
          <w:szCs w:val="24"/>
          <w:lang w:val="sq-AL" w:eastAsia="sq-AL"/>
        </w:rPr>
        <w:t xml:space="preserve"> llogarit</w:t>
      </w:r>
      <w:r w:rsidR="00EF03B9" w:rsidRPr="00223286">
        <w:rPr>
          <w:rFonts w:eastAsia="Times New Roman"/>
          <w:color w:val="000000"/>
          <w:sz w:val="24"/>
          <w:szCs w:val="24"/>
          <w:lang w:val="sq-AL" w:eastAsia="sq-AL"/>
        </w:rPr>
        <w:t>ë</w:t>
      </w:r>
      <w:r w:rsidR="003F6E5A" w:rsidRPr="00223286">
        <w:rPr>
          <w:rFonts w:eastAsia="Times New Roman"/>
          <w:color w:val="000000"/>
          <w:sz w:val="24"/>
          <w:szCs w:val="24"/>
          <w:lang w:val="sq-AL" w:eastAsia="sq-AL"/>
        </w:rPr>
        <w:t xml:space="preserve"> e pagesave me sh</w:t>
      </w:r>
      <w:r w:rsidR="00EF03B9" w:rsidRPr="00223286">
        <w:rPr>
          <w:rFonts w:eastAsia="Times New Roman"/>
          <w:color w:val="000000"/>
          <w:sz w:val="24"/>
          <w:szCs w:val="24"/>
          <w:lang w:val="sq-AL" w:eastAsia="sq-AL"/>
        </w:rPr>
        <w:t>ë</w:t>
      </w:r>
      <w:r w:rsidR="003F6E5A" w:rsidRPr="00223286">
        <w:rPr>
          <w:rFonts w:eastAsia="Times New Roman"/>
          <w:color w:val="000000"/>
          <w:sz w:val="24"/>
          <w:szCs w:val="24"/>
          <w:lang w:val="sq-AL" w:eastAsia="sq-AL"/>
        </w:rPr>
        <w:t>rbime bazike”</w:t>
      </w:r>
      <w:r w:rsidR="00436D89" w:rsidRPr="00223286">
        <w:rPr>
          <w:rFonts w:eastAsia="Times New Roman"/>
          <w:color w:val="000000"/>
          <w:sz w:val="24"/>
          <w:szCs w:val="24"/>
          <w:lang w:val="sq-AL" w:eastAsia="sq-AL"/>
        </w:rPr>
        <w:t>.</w:t>
      </w:r>
    </w:p>
    <w:p w14:paraId="08E347F3" w14:textId="77777777" w:rsidR="005F0299" w:rsidRPr="00223286" w:rsidRDefault="005F0299" w:rsidP="00161607">
      <w:pPr>
        <w:pStyle w:val="FootnoteText"/>
        <w:tabs>
          <w:tab w:val="left" w:pos="0"/>
        </w:tabs>
        <w:spacing w:line="276" w:lineRule="auto"/>
        <w:jc w:val="both"/>
        <w:rPr>
          <w:sz w:val="24"/>
          <w:szCs w:val="24"/>
          <w:lang w:val="sq-AL"/>
        </w:rPr>
      </w:pPr>
    </w:p>
    <w:p w14:paraId="124BF844" w14:textId="77777777" w:rsidR="00283EA6" w:rsidRPr="00223286" w:rsidRDefault="00283EA6" w:rsidP="004E2752">
      <w:pPr>
        <w:pStyle w:val="Default"/>
        <w:numPr>
          <w:ilvl w:val="0"/>
          <w:numId w:val="19"/>
        </w:numPr>
        <w:spacing w:line="276" w:lineRule="auto"/>
        <w:jc w:val="both"/>
        <w:rPr>
          <w:rStyle w:val="Heading1Char"/>
          <w:rFonts w:ascii="Times New Roman" w:eastAsia="MS Mincho" w:hAnsi="Times New Roman"/>
          <w:b/>
          <w:color w:val="000000"/>
          <w:sz w:val="24"/>
          <w:szCs w:val="24"/>
          <w:lang w:val="sq-AL"/>
        </w:rPr>
      </w:pPr>
      <w:bookmarkStart w:id="9" w:name="_Toc18481863"/>
      <w:bookmarkStart w:id="10" w:name="_Toc112249469"/>
      <w:r w:rsidRPr="00223286">
        <w:rPr>
          <w:rStyle w:val="Heading1Char"/>
          <w:rFonts w:ascii="Times New Roman" w:eastAsia="MS Mincho" w:hAnsi="Times New Roman"/>
          <w:b/>
          <w:color w:val="000000"/>
          <w:sz w:val="24"/>
          <w:szCs w:val="24"/>
          <w:lang w:val="sq-AL"/>
        </w:rPr>
        <w:t>PËRMBLEDHJE SHPJEGUESE E PËRMBAJTJES SË PROJEKTLIGJIT</w:t>
      </w:r>
      <w:bookmarkEnd w:id="9"/>
      <w:bookmarkEnd w:id="10"/>
      <w:r w:rsidRPr="00223286">
        <w:rPr>
          <w:rStyle w:val="Heading1Char"/>
          <w:rFonts w:ascii="Times New Roman" w:eastAsia="MS Mincho" w:hAnsi="Times New Roman"/>
          <w:b/>
          <w:color w:val="000000"/>
          <w:sz w:val="24"/>
          <w:szCs w:val="24"/>
          <w:lang w:val="sq-AL"/>
        </w:rPr>
        <w:t xml:space="preserve"> </w:t>
      </w:r>
    </w:p>
    <w:p w14:paraId="07800B05" w14:textId="77777777" w:rsidR="00230D92" w:rsidRPr="00223286" w:rsidRDefault="00230D92" w:rsidP="00C6342C">
      <w:pPr>
        <w:contextualSpacing/>
        <w:jc w:val="both"/>
        <w:rPr>
          <w:rFonts w:eastAsia="Times New Roman"/>
          <w:color w:val="000000"/>
          <w:lang w:val="sq-AL" w:eastAsia="sq-AL"/>
        </w:rPr>
      </w:pPr>
    </w:p>
    <w:p w14:paraId="563368C6" w14:textId="77777777" w:rsidR="005A54D1" w:rsidRPr="00223286" w:rsidRDefault="00E8234C" w:rsidP="005A54D1">
      <w:pPr>
        <w:pStyle w:val="ListParagraph"/>
        <w:shd w:val="clear" w:color="auto" w:fill="D9D9D9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23286">
        <w:rPr>
          <w:rFonts w:ascii="Times New Roman" w:hAnsi="Times New Roman"/>
          <w:b/>
          <w:sz w:val="24"/>
          <w:szCs w:val="24"/>
          <w:lang w:val="sq-AL"/>
        </w:rPr>
        <w:t>Kreu</w:t>
      </w:r>
      <w:r w:rsidR="005A54D1" w:rsidRPr="00223286">
        <w:rPr>
          <w:rFonts w:ascii="Times New Roman" w:hAnsi="Times New Roman"/>
          <w:b/>
          <w:sz w:val="24"/>
          <w:szCs w:val="24"/>
          <w:lang w:val="sq-AL"/>
        </w:rPr>
        <w:t xml:space="preserve"> I: Dispozita t</w:t>
      </w:r>
      <w:r w:rsidR="00EF03B9" w:rsidRPr="00223286">
        <w:rPr>
          <w:rFonts w:ascii="Times New Roman" w:hAnsi="Times New Roman"/>
          <w:b/>
          <w:sz w:val="24"/>
          <w:szCs w:val="24"/>
          <w:lang w:val="sq-AL"/>
        </w:rPr>
        <w:t>ë</w:t>
      </w:r>
      <w:r w:rsidR="005A54D1" w:rsidRPr="00223286">
        <w:rPr>
          <w:rFonts w:ascii="Times New Roman" w:hAnsi="Times New Roman"/>
          <w:b/>
          <w:sz w:val="24"/>
          <w:szCs w:val="24"/>
          <w:lang w:val="sq-AL"/>
        </w:rPr>
        <w:t xml:space="preserve"> p</w:t>
      </w:r>
      <w:r w:rsidR="00EF03B9" w:rsidRPr="00223286">
        <w:rPr>
          <w:rFonts w:ascii="Times New Roman" w:hAnsi="Times New Roman"/>
          <w:b/>
          <w:sz w:val="24"/>
          <w:szCs w:val="24"/>
          <w:lang w:val="sq-AL"/>
        </w:rPr>
        <w:t>ë</w:t>
      </w:r>
      <w:r w:rsidR="005A54D1" w:rsidRPr="00223286">
        <w:rPr>
          <w:rFonts w:ascii="Times New Roman" w:hAnsi="Times New Roman"/>
          <w:b/>
          <w:sz w:val="24"/>
          <w:szCs w:val="24"/>
          <w:lang w:val="sq-AL"/>
        </w:rPr>
        <w:t>rgjithshme</w:t>
      </w:r>
    </w:p>
    <w:p w14:paraId="0D476959" w14:textId="77777777" w:rsidR="005A54D1" w:rsidRPr="00223286" w:rsidRDefault="005A54D1" w:rsidP="004E4810">
      <w:pPr>
        <w:contextualSpacing/>
        <w:jc w:val="both"/>
        <w:rPr>
          <w:rFonts w:eastAsia="Times New Roman"/>
          <w:color w:val="000000"/>
          <w:lang w:val="sq-AL" w:eastAsia="sq-AL"/>
        </w:rPr>
      </w:pPr>
    </w:p>
    <w:p w14:paraId="07A120A6" w14:textId="4322845F" w:rsidR="004E4810" w:rsidRPr="00223286" w:rsidRDefault="00EC17BC" w:rsidP="00161607">
      <w:pPr>
        <w:spacing w:line="276" w:lineRule="auto"/>
        <w:contextualSpacing/>
        <w:jc w:val="both"/>
        <w:rPr>
          <w:rFonts w:eastAsia="Times New Roman"/>
          <w:color w:val="000000"/>
          <w:lang w:val="sq-AL" w:eastAsia="sq-AL"/>
        </w:rPr>
      </w:pPr>
      <w:r w:rsidRPr="00223286">
        <w:rPr>
          <w:rFonts w:eastAsia="Times New Roman"/>
          <w:color w:val="000000"/>
          <w:lang w:val="sq-AL" w:eastAsia="sq-AL"/>
        </w:rPr>
        <w:t xml:space="preserve">Objekti i projektligjit (neni </w:t>
      </w:r>
      <w:r w:rsidR="00C52D19" w:rsidRPr="00223286">
        <w:rPr>
          <w:rFonts w:eastAsia="Times New Roman"/>
          <w:color w:val="000000"/>
          <w:lang w:val="sq-AL" w:eastAsia="sq-AL"/>
        </w:rPr>
        <w:t>1) është përcaktimi i kushteve dhe rregullave për</w:t>
      </w:r>
      <w:r w:rsidR="004E4810" w:rsidRPr="00223286">
        <w:rPr>
          <w:rFonts w:eastAsia="Times New Roman"/>
          <w:color w:val="000000"/>
          <w:lang w:val="sq-AL" w:eastAsia="sq-AL"/>
        </w:rPr>
        <w:t xml:space="preserve"> </w:t>
      </w:r>
      <w:r w:rsidR="004E4810" w:rsidRPr="00223286">
        <w:rPr>
          <w:lang w:val="sq-AL"/>
        </w:rPr>
        <w:t>hapjen dhe përdorimin e llogarisë së pagesave me shërbime bazike për konsumatorët dhe individët rezident</w:t>
      </w:r>
      <w:r w:rsidR="00DE5BF7" w:rsidRPr="00223286">
        <w:rPr>
          <w:lang w:val="sq-AL"/>
        </w:rPr>
        <w:t>ë</w:t>
      </w:r>
      <w:r w:rsidR="004E4810" w:rsidRPr="00223286">
        <w:rPr>
          <w:lang w:val="sq-AL"/>
        </w:rPr>
        <w:t xml:space="preserve"> në Republikën e Shqipërisë</w:t>
      </w:r>
      <w:r w:rsidR="00163FA0" w:rsidRPr="00223286">
        <w:rPr>
          <w:lang w:val="sq-AL"/>
        </w:rPr>
        <w:t xml:space="preserve"> (t</w:t>
      </w:r>
      <w:r w:rsidR="00E53196">
        <w:rPr>
          <w:lang w:val="sq-AL"/>
        </w:rPr>
        <w:t>ë</w:t>
      </w:r>
      <w:r w:rsidR="00163FA0" w:rsidRPr="00223286">
        <w:rPr>
          <w:lang w:val="sq-AL"/>
        </w:rPr>
        <w:t xml:space="preserve"> cil</w:t>
      </w:r>
      <w:r w:rsidR="00E53196">
        <w:rPr>
          <w:lang w:val="sq-AL"/>
        </w:rPr>
        <w:t>ë</w:t>
      </w:r>
      <w:r w:rsidR="00163FA0" w:rsidRPr="00223286">
        <w:rPr>
          <w:lang w:val="sq-AL"/>
        </w:rPr>
        <w:t>t n</w:t>
      </w:r>
      <w:r w:rsidR="00E53196">
        <w:rPr>
          <w:lang w:val="sq-AL"/>
        </w:rPr>
        <w:t>ë</w:t>
      </w:r>
      <w:r w:rsidR="00163FA0" w:rsidRPr="00223286">
        <w:rPr>
          <w:lang w:val="sq-AL"/>
        </w:rPr>
        <w:t xml:space="preserve"> t</w:t>
      </w:r>
      <w:r w:rsidR="00E53196">
        <w:rPr>
          <w:lang w:val="sq-AL"/>
        </w:rPr>
        <w:t>ë</w:t>
      </w:r>
      <w:r w:rsidR="00163FA0" w:rsidRPr="00223286">
        <w:rPr>
          <w:lang w:val="sq-AL"/>
        </w:rPr>
        <w:t>r</w:t>
      </w:r>
      <w:r w:rsidR="00E53196">
        <w:rPr>
          <w:lang w:val="sq-AL"/>
        </w:rPr>
        <w:t>ë</w:t>
      </w:r>
      <w:r w:rsidR="00163FA0" w:rsidRPr="00223286">
        <w:rPr>
          <w:lang w:val="sq-AL"/>
        </w:rPr>
        <w:t>sin</w:t>
      </w:r>
      <w:r w:rsidR="00E53196">
        <w:rPr>
          <w:lang w:val="sq-AL"/>
        </w:rPr>
        <w:t>ë</w:t>
      </w:r>
      <w:r w:rsidR="00163FA0" w:rsidRPr="00223286">
        <w:rPr>
          <w:lang w:val="sq-AL"/>
        </w:rPr>
        <w:t xml:space="preserve"> e ligjit do t</w:t>
      </w:r>
      <w:r w:rsidR="00E53196">
        <w:rPr>
          <w:lang w:val="sq-AL"/>
        </w:rPr>
        <w:t>ë</w:t>
      </w:r>
      <w:r w:rsidR="00163FA0" w:rsidRPr="00223286">
        <w:rPr>
          <w:lang w:val="sq-AL"/>
        </w:rPr>
        <w:t xml:space="preserve"> referohen si “konsumator</w:t>
      </w:r>
      <w:r w:rsidR="00E53196">
        <w:rPr>
          <w:lang w:val="sq-AL"/>
        </w:rPr>
        <w:t>ë</w:t>
      </w:r>
      <w:r w:rsidR="00163FA0" w:rsidRPr="00223286">
        <w:rPr>
          <w:lang w:val="sq-AL"/>
        </w:rPr>
        <w:t>”)</w:t>
      </w:r>
      <w:r w:rsidR="00DE5BF7" w:rsidRPr="00223286">
        <w:rPr>
          <w:lang w:val="sq-AL"/>
        </w:rPr>
        <w:t>,</w:t>
      </w:r>
      <w:r w:rsidR="004E4810" w:rsidRPr="00223286">
        <w:rPr>
          <w:lang w:val="sq-AL"/>
        </w:rPr>
        <w:t xml:space="preserve"> pavarësisht nivelit të të ardhurave, statusit të punësimit</w:t>
      </w:r>
      <w:r w:rsidR="00DE5BF7" w:rsidRPr="00223286">
        <w:rPr>
          <w:lang w:val="sq-AL"/>
        </w:rPr>
        <w:t xml:space="preserve"> apo</w:t>
      </w:r>
      <w:r w:rsidR="004E4810" w:rsidRPr="00223286">
        <w:rPr>
          <w:lang w:val="sq-AL"/>
        </w:rPr>
        <w:t xml:space="preserve"> historikut të aftësisë paguese brenda Republikës së Shqipërisë.</w:t>
      </w:r>
    </w:p>
    <w:p w14:paraId="4B6E4550" w14:textId="0E6D353F" w:rsidR="004E4810" w:rsidRPr="00223286" w:rsidRDefault="00E8234C" w:rsidP="00161607">
      <w:pPr>
        <w:spacing w:line="276" w:lineRule="auto"/>
        <w:contextualSpacing/>
        <w:jc w:val="both"/>
        <w:rPr>
          <w:rFonts w:eastAsia="Times New Roman"/>
          <w:color w:val="000000"/>
          <w:lang w:val="sq-AL" w:eastAsia="sq-AL"/>
        </w:rPr>
      </w:pPr>
      <w:r w:rsidRPr="00223286">
        <w:rPr>
          <w:lang w:val="sq-AL"/>
        </w:rPr>
        <w:t>Subjekte t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 xml:space="preserve"> ligjit jan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 xml:space="preserve"> vetëm </w:t>
      </w:r>
      <w:r w:rsidR="00DE5BF7" w:rsidRPr="00223286">
        <w:rPr>
          <w:lang w:val="sq-AL"/>
        </w:rPr>
        <w:t xml:space="preserve">bankat dhe degët e bankave të huaja, </w:t>
      </w:r>
      <w:r w:rsidRPr="00223286">
        <w:rPr>
          <w:lang w:val="sq-AL"/>
        </w:rPr>
        <w:t xml:space="preserve">duke </w:t>
      </w:r>
      <w:r w:rsidR="00DE5BF7" w:rsidRPr="00223286">
        <w:rPr>
          <w:lang w:val="sq-AL"/>
        </w:rPr>
        <w:t>p</w:t>
      </w:r>
      <w:r w:rsidR="00163FA0" w:rsidRPr="00223286">
        <w:rPr>
          <w:lang w:val="sq-AL"/>
        </w:rPr>
        <w:t>ë</w:t>
      </w:r>
      <w:r w:rsidR="00DE5BF7" w:rsidRPr="00223286">
        <w:rPr>
          <w:lang w:val="sq-AL"/>
        </w:rPr>
        <w:t>rjashtuar ofrues t</w:t>
      </w:r>
      <w:r w:rsidR="00163FA0" w:rsidRPr="00223286">
        <w:rPr>
          <w:lang w:val="sq-AL"/>
        </w:rPr>
        <w:t>ë</w:t>
      </w:r>
      <w:r w:rsidR="00DE5BF7" w:rsidRPr="00223286">
        <w:rPr>
          <w:lang w:val="sq-AL"/>
        </w:rPr>
        <w:t xml:space="preserve"> tjer</w:t>
      </w:r>
      <w:r w:rsidR="00163FA0" w:rsidRPr="00223286">
        <w:rPr>
          <w:lang w:val="sq-AL"/>
        </w:rPr>
        <w:t>ë</w:t>
      </w:r>
      <w:r w:rsidR="00DE5BF7" w:rsidRPr="00223286">
        <w:rPr>
          <w:lang w:val="sq-AL"/>
        </w:rPr>
        <w:t xml:space="preserve"> t</w:t>
      </w:r>
      <w:r w:rsidR="00163FA0" w:rsidRPr="00223286">
        <w:rPr>
          <w:lang w:val="sq-AL"/>
        </w:rPr>
        <w:t>ë</w:t>
      </w:r>
      <w:r w:rsidR="00DE5BF7" w:rsidRPr="00223286">
        <w:rPr>
          <w:lang w:val="sq-AL"/>
        </w:rPr>
        <w:t xml:space="preserve"> sh</w:t>
      </w:r>
      <w:r w:rsidR="00163FA0" w:rsidRPr="00223286">
        <w:rPr>
          <w:lang w:val="sq-AL"/>
        </w:rPr>
        <w:t>ë</w:t>
      </w:r>
      <w:r w:rsidR="00DE5BF7" w:rsidRPr="00223286">
        <w:rPr>
          <w:lang w:val="sq-AL"/>
        </w:rPr>
        <w:t>rbimeve t</w:t>
      </w:r>
      <w:r w:rsidR="00163FA0" w:rsidRPr="00223286">
        <w:rPr>
          <w:lang w:val="sq-AL"/>
        </w:rPr>
        <w:t>ë</w:t>
      </w:r>
      <w:r w:rsidR="00DE5BF7" w:rsidRPr="00223286">
        <w:rPr>
          <w:lang w:val="sq-AL"/>
        </w:rPr>
        <w:t xml:space="preserve"> pagesave, t</w:t>
      </w:r>
      <w:r w:rsidR="00163FA0" w:rsidRPr="00223286">
        <w:rPr>
          <w:lang w:val="sq-AL"/>
        </w:rPr>
        <w:t>ë</w:t>
      </w:r>
      <w:r w:rsidR="00DE5BF7" w:rsidRPr="00223286">
        <w:rPr>
          <w:lang w:val="sq-AL"/>
        </w:rPr>
        <w:t xml:space="preserve"> till</w:t>
      </w:r>
      <w:r w:rsidR="00163FA0" w:rsidRPr="00223286">
        <w:rPr>
          <w:lang w:val="sq-AL"/>
        </w:rPr>
        <w:t>ë</w:t>
      </w:r>
      <w:r w:rsidR="00DE5BF7" w:rsidRPr="00223286">
        <w:rPr>
          <w:lang w:val="sq-AL"/>
        </w:rPr>
        <w:t xml:space="preserve"> si</w:t>
      </w:r>
      <w:r w:rsidRPr="00223286">
        <w:rPr>
          <w:lang w:val="sq-AL"/>
        </w:rPr>
        <w:t xml:space="preserve"> institucionet e pagesave</w:t>
      </w:r>
      <w:r w:rsidR="00DE5BF7" w:rsidRPr="00223286">
        <w:rPr>
          <w:lang w:val="sq-AL"/>
        </w:rPr>
        <w:t>,</w:t>
      </w:r>
      <w:r w:rsidRPr="00223286">
        <w:rPr>
          <w:lang w:val="sq-AL"/>
        </w:rPr>
        <w:t xml:space="preserve"> institucionet e parasë elektronike dhe shoqëritë e kursim</w:t>
      </w:r>
      <w:r w:rsidR="00DE5BF7" w:rsidRPr="00223286">
        <w:rPr>
          <w:lang w:val="sq-AL"/>
        </w:rPr>
        <w:t>-</w:t>
      </w:r>
      <w:r w:rsidRPr="00223286">
        <w:rPr>
          <w:lang w:val="sq-AL"/>
        </w:rPr>
        <w:t>kreditit që do ushtrojnë veprimtarinë edhe si institucion pagesash.</w:t>
      </w:r>
    </w:p>
    <w:p w14:paraId="6065F310" w14:textId="07B57DE5" w:rsidR="00C52D19" w:rsidRPr="00223286" w:rsidRDefault="00DE5BF7" w:rsidP="00161607">
      <w:pPr>
        <w:spacing w:line="276" w:lineRule="auto"/>
        <w:contextualSpacing/>
        <w:jc w:val="both"/>
        <w:rPr>
          <w:rFonts w:eastAsia="Times New Roman"/>
          <w:color w:val="000000"/>
          <w:lang w:val="sq-AL" w:eastAsia="sq-AL"/>
        </w:rPr>
      </w:pPr>
      <w:r w:rsidRPr="00223286">
        <w:rPr>
          <w:rFonts w:eastAsia="Times New Roman"/>
          <w:color w:val="000000"/>
          <w:lang w:val="sq-AL" w:eastAsia="sq-AL"/>
        </w:rPr>
        <w:lastRenderedPageBreak/>
        <w:t>N</w:t>
      </w:r>
      <w:r w:rsidR="00163FA0" w:rsidRPr="00223286">
        <w:rPr>
          <w:rFonts w:eastAsia="Times New Roman"/>
          <w:color w:val="000000"/>
          <w:lang w:val="sq-AL" w:eastAsia="sq-AL"/>
        </w:rPr>
        <w:t>ë</w:t>
      </w:r>
      <w:r w:rsidRPr="00223286">
        <w:rPr>
          <w:rFonts w:eastAsia="Times New Roman"/>
          <w:color w:val="000000"/>
          <w:lang w:val="sq-AL" w:eastAsia="sq-AL"/>
        </w:rPr>
        <w:t xml:space="preserve"> nenin 3 t</w:t>
      </w:r>
      <w:r w:rsidR="00163FA0" w:rsidRPr="00223286">
        <w:rPr>
          <w:rFonts w:eastAsia="Times New Roman"/>
          <w:color w:val="000000"/>
          <w:lang w:val="sq-AL" w:eastAsia="sq-AL"/>
        </w:rPr>
        <w:t>ë</w:t>
      </w:r>
      <w:r w:rsidRPr="00223286">
        <w:rPr>
          <w:rFonts w:eastAsia="Times New Roman"/>
          <w:color w:val="000000"/>
          <w:lang w:val="sq-AL" w:eastAsia="sq-AL"/>
        </w:rPr>
        <w:t xml:space="preserve"> projektligjit p</w:t>
      </w:r>
      <w:r w:rsidR="00163FA0" w:rsidRPr="00223286">
        <w:rPr>
          <w:rFonts w:eastAsia="Times New Roman"/>
          <w:color w:val="000000"/>
          <w:lang w:val="sq-AL" w:eastAsia="sq-AL"/>
        </w:rPr>
        <w:t>ë</w:t>
      </w:r>
      <w:r w:rsidRPr="00223286">
        <w:rPr>
          <w:rFonts w:eastAsia="Times New Roman"/>
          <w:color w:val="000000"/>
          <w:lang w:val="sq-AL" w:eastAsia="sq-AL"/>
        </w:rPr>
        <w:t>rjashtohen shprehimisht nga fusha e zbatimit t</w:t>
      </w:r>
      <w:r w:rsidR="00163FA0" w:rsidRPr="00223286">
        <w:rPr>
          <w:rFonts w:eastAsia="Times New Roman"/>
          <w:color w:val="000000"/>
          <w:lang w:val="sq-AL" w:eastAsia="sq-AL"/>
        </w:rPr>
        <w:t>ë</w:t>
      </w:r>
      <w:r w:rsidRPr="00223286">
        <w:rPr>
          <w:rFonts w:eastAsia="Times New Roman"/>
          <w:color w:val="000000"/>
          <w:lang w:val="sq-AL" w:eastAsia="sq-AL"/>
        </w:rPr>
        <w:t xml:space="preserve"> tij, </w:t>
      </w:r>
      <w:r w:rsidRPr="00223286">
        <w:rPr>
          <w:lang w:val="sq-AL"/>
        </w:rPr>
        <w:t>llogaritë e pagesave të personave juridikë, mikrondërmarrjeve dhe ndërmarrjeve të vogla dhe personave fizikë tregtarë.</w:t>
      </w:r>
    </w:p>
    <w:p w14:paraId="422AA752" w14:textId="05F767E1" w:rsidR="00C52D19" w:rsidRPr="00223286" w:rsidRDefault="00C52D19" w:rsidP="00161607">
      <w:pPr>
        <w:spacing w:line="276" w:lineRule="auto"/>
        <w:contextualSpacing/>
        <w:jc w:val="both"/>
        <w:rPr>
          <w:rFonts w:eastAsia="Times New Roman"/>
          <w:color w:val="000000"/>
          <w:lang w:val="sq-AL" w:eastAsia="sq-AL"/>
        </w:rPr>
      </w:pPr>
      <w:r w:rsidRPr="00223286">
        <w:rPr>
          <w:rFonts w:eastAsia="Times New Roman"/>
          <w:color w:val="000000"/>
          <w:lang w:val="sq-AL" w:eastAsia="sq-AL"/>
        </w:rPr>
        <w:t xml:space="preserve">Së fundmi, në </w:t>
      </w:r>
      <w:r w:rsidR="00F476DE" w:rsidRPr="00223286">
        <w:rPr>
          <w:rFonts w:eastAsia="Times New Roman"/>
          <w:color w:val="000000"/>
          <w:lang w:val="sq-AL" w:eastAsia="sq-AL"/>
        </w:rPr>
        <w:t>Kreun</w:t>
      </w:r>
      <w:r w:rsidR="008C234C" w:rsidRPr="00223286">
        <w:rPr>
          <w:rFonts w:eastAsia="Times New Roman"/>
          <w:color w:val="000000"/>
          <w:lang w:val="sq-AL" w:eastAsia="sq-AL"/>
        </w:rPr>
        <w:t xml:space="preserve"> </w:t>
      </w:r>
      <w:r w:rsidRPr="00223286">
        <w:rPr>
          <w:rFonts w:eastAsia="Times New Roman"/>
          <w:color w:val="000000"/>
          <w:lang w:val="sq-AL" w:eastAsia="sq-AL"/>
        </w:rPr>
        <w:t xml:space="preserve">I të projektligjit </w:t>
      </w:r>
      <w:r w:rsidR="00163FA0" w:rsidRPr="00223286">
        <w:rPr>
          <w:rFonts w:eastAsia="Times New Roman"/>
          <w:color w:val="000000"/>
          <w:lang w:val="sq-AL" w:eastAsia="sq-AL"/>
        </w:rPr>
        <w:t>parashikohen edhe disa</w:t>
      </w:r>
      <w:r w:rsidR="00F476DE" w:rsidRPr="00223286">
        <w:rPr>
          <w:rFonts w:eastAsia="Times New Roman"/>
          <w:color w:val="000000"/>
          <w:lang w:val="sq-AL" w:eastAsia="sq-AL"/>
        </w:rPr>
        <w:t xml:space="preserve"> përkufizime (neni 4</w:t>
      </w:r>
      <w:r w:rsidRPr="00223286">
        <w:rPr>
          <w:rFonts w:eastAsia="Times New Roman"/>
          <w:color w:val="000000"/>
          <w:lang w:val="sq-AL" w:eastAsia="sq-AL"/>
        </w:rPr>
        <w:t>)</w:t>
      </w:r>
      <w:r w:rsidR="00163FA0" w:rsidRPr="00223286">
        <w:rPr>
          <w:rFonts w:eastAsia="Times New Roman"/>
          <w:color w:val="000000"/>
          <w:lang w:val="sq-AL" w:eastAsia="sq-AL"/>
        </w:rPr>
        <w:t>, ku përveç përkufizimeve të</w:t>
      </w:r>
      <w:r w:rsidRPr="00223286">
        <w:rPr>
          <w:rFonts w:eastAsia="Times New Roman"/>
          <w:color w:val="000000"/>
          <w:lang w:val="sq-AL" w:eastAsia="sq-AL"/>
        </w:rPr>
        <w:t xml:space="preserve"> përshtatur</w:t>
      </w:r>
      <w:r w:rsidR="0072315F" w:rsidRPr="00223286">
        <w:rPr>
          <w:rFonts w:eastAsia="Times New Roman"/>
          <w:color w:val="000000"/>
          <w:lang w:val="sq-AL" w:eastAsia="sq-AL"/>
        </w:rPr>
        <w:t>a</w:t>
      </w:r>
      <w:r w:rsidRPr="00223286">
        <w:rPr>
          <w:rFonts w:eastAsia="Times New Roman"/>
          <w:color w:val="000000"/>
          <w:lang w:val="sq-AL" w:eastAsia="sq-AL"/>
        </w:rPr>
        <w:t xml:space="preserve"> sipas legjislacionit shqiptar në fuqi</w:t>
      </w:r>
      <w:r w:rsidR="00163FA0" w:rsidRPr="00223286">
        <w:rPr>
          <w:rFonts w:eastAsia="Times New Roman"/>
          <w:color w:val="000000"/>
          <w:lang w:val="sq-AL" w:eastAsia="sq-AL"/>
        </w:rPr>
        <w:t xml:space="preserve">, parashikohen edhe disa përkufizime specifike </w:t>
      </w:r>
      <w:r w:rsidR="00163FA0" w:rsidRPr="00223286">
        <w:rPr>
          <w:lang w:val="sq-AL"/>
        </w:rPr>
        <w:t>për qëllime të zbatimit të projektligjit</w:t>
      </w:r>
      <w:r w:rsidRPr="00223286">
        <w:rPr>
          <w:rFonts w:eastAsia="Times New Roman"/>
          <w:color w:val="000000"/>
          <w:lang w:val="sq-AL" w:eastAsia="sq-AL"/>
        </w:rPr>
        <w:t xml:space="preserve">. </w:t>
      </w:r>
    </w:p>
    <w:p w14:paraId="7961CDF3" w14:textId="77777777" w:rsidR="00C52D19" w:rsidRPr="00010E6E" w:rsidRDefault="00C52D19" w:rsidP="00C6342C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3826E953" w14:textId="77777777" w:rsidR="0002198C" w:rsidRPr="00010E6E" w:rsidRDefault="00F476DE" w:rsidP="007223AA">
      <w:pPr>
        <w:pStyle w:val="ListParagraph"/>
        <w:shd w:val="clear" w:color="auto" w:fill="D9D9D9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Kreu</w:t>
      </w:r>
      <w:r w:rsidR="0002198C" w:rsidRPr="00010E6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1254E4" w:rsidRPr="00010E6E">
        <w:rPr>
          <w:rFonts w:ascii="Times New Roman" w:hAnsi="Times New Roman"/>
          <w:b/>
          <w:sz w:val="24"/>
          <w:szCs w:val="24"/>
          <w:lang w:val="sq-AL"/>
        </w:rPr>
        <w:t>II</w:t>
      </w:r>
      <w:r w:rsidR="00FA1823" w:rsidRPr="00010E6E">
        <w:rPr>
          <w:rFonts w:ascii="Times New Roman" w:hAnsi="Times New Roman"/>
          <w:b/>
          <w:sz w:val="24"/>
          <w:szCs w:val="24"/>
          <w:lang w:val="sq-AL"/>
        </w:rPr>
        <w:t>:</w:t>
      </w:r>
      <w:r w:rsidR="0002198C" w:rsidRPr="00010E6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q-AL"/>
        </w:rPr>
        <w:t>Llogaria e pagesave me sh</w:t>
      </w:r>
      <w:r w:rsidR="00EF03B9">
        <w:rPr>
          <w:rFonts w:ascii="Times New Roman" w:hAnsi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sz w:val="24"/>
          <w:szCs w:val="24"/>
          <w:lang w:val="sq-AL"/>
        </w:rPr>
        <w:t>rbime bazike</w:t>
      </w:r>
    </w:p>
    <w:p w14:paraId="47D1ED58" w14:textId="77777777" w:rsidR="0002198C" w:rsidRPr="00010E6E" w:rsidRDefault="0002198C" w:rsidP="00C6342C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sq-AL"/>
        </w:rPr>
      </w:pPr>
    </w:p>
    <w:p w14:paraId="5B8B1ACA" w14:textId="5253E6F8" w:rsidR="00F476DE" w:rsidRPr="00223286" w:rsidRDefault="007B2372" w:rsidP="00161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noProof/>
          <w:lang w:val="sq-AL"/>
        </w:rPr>
      </w:pPr>
      <w:r w:rsidRPr="00223286">
        <w:rPr>
          <w:lang w:val="sq-AL"/>
        </w:rPr>
        <w:t xml:space="preserve">Në </w:t>
      </w:r>
      <w:r w:rsidR="00F476DE" w:rsidRPr="00223286">
        <w:rPr>
          <w:lang w:val="sq-AL"/>
        </w:rPr>
        <w:t xml:space="preserve">Kreun </w:t>
      </w:r>
      <w:r w:rsidRPr="00223286">
        <w:rPr>
          <w:lang w:val="sq-AL"/>
        </w:rPr>
        <w:t xml:space="preserve">II </w:t>
      </w:r>
      <w:r w:rsidR="00163FA0" w:rsidRPr="00223286">
        <w:rPr>
          <w:lang w:val="sq-AL"/>
        </w:rPr>
        <w:t xml:space="preserve">(neni 5) </w:t>
      </w:r>
      <w:r w:rsidRPr="00223286">
        <w:rPr>
          <w:lang w:val="sq-AL"/>
        </w:rPr>
        <w:t>të projekt</w:t>
      </w:r>
      <w:r w:rsidR="0061577C" w:rsidRPr="00223286">
        <w:rPr>
          <w:lang w:val="sq-AL"/>
        </w:rPr>
        <w:t xml:space="preserve">ligjit trajtohen </w:t>
      </w:r>
      <w:r w:rsidR="00F476DE" w:rsidRPr="00223286">
        <w:rPr>
          <w:lang w:val="sq-AL"/>
        </w:rPr>
        <w:t>kushtet p</w:t>
      </w:r>
      <w:r w:rsidR="00EF03B9" w:rsidRPr="00223286">
        <w:rPr>
          <w:lang w:val="sq-AL"/>
        </w:rPr>
        <w:t>ë</w:t>
      </w:r>
      <w:r w:rsidR="00F476DE" w:rsidRPr="00223286">
        <w:rPr>
          <w:lang w:val="sq-AL"/>
        </w:rPr>
        <w:t>r hapjen ose refuzimin e llogaris</w:t>
      </w:r>
      <w:r w:rsidR="00EF03B9" w:rsidRPr="00223286">
        <w:rPr>
          <w:lang w:val="sq-AL"/>
        </w:rPr>
        <w:t>ë</w:t>
      </w:r>
      <w:r w:rsidR="00F476DE" w:rsidRPr="00223286">
        <w:rPr>
          <w:lang w:val="sq-AL"/>
        </w:rPr>
        <w:t xml:space="preserve"> s</w:t>
      </w:r>
      <w:r w:rsidR="00EF03B9" w:rsidRPr="00223286">
        <w:rPr>
          <w:lang w:val="sq-AL"/>
        </w:rPr>
        <w:t>ë</w:t>
      </w:r>
      <w:r w:rsidR="00F476DE" w:rsidRPr="00223286">
        <w:rPr>
          <w:lang w:val="sq-AL"/>
        </w:rPr>
        <w:t xml:space="preserve"> pagesave me sh</w:t>
      </w:r>
      <w:r w:rsidR="00EF03B9" w:rsidRPr="00223286">
        <w:rPr>
          <w:lang w:val="sq-AL"/>
        </w:rPr>
        <w:t>ë</w:t>
      </w:r>
      <w:r w:rsidR="00F476DE" w:rsidRPr="00223286">
        <w:rPr>
          <w:lang w:val="sq-AL"/>
        </w:rPr>
        <w:t>rbime bazike</w:t>
      </w:r>
      <w:r w:rsidR="00163FA0" w:rsidRPr="00223286">
        <w:rPr>
          <w:lang w:val="sq-AL"/>
        </w:rPr>
        <w:t>,</w:t>
      </w:r>
      <w:r w:rsidR="00F476DE" w:rsidRPr="00223286">
        <w:rPr>
          <w:lang w:val="sq-AL"/>
        </w:rPr>
        <w:t xml:space="preserve"> ku parashikohet </w:t>
      </w:r>
      <w:r w:rsidR="00F476DE" w:rsidRPr="00223286">
        <w:rPr>
          <w:noProof/>
          <w:lang w:val="sq-AL"/>
        </w:rPr>
        <w:t>detyrimi për bankat që të mos refuzojnë hapjen e një llogarie pagese me shërbime bazike, me përjashtim të rasteve specifike, të tilla si cënimi i kërkesave të parandalimit të pastrimit të parave si dhe disa kërkesa të tjera, me qëllim garantimin e shërbimeve bazë ndaj konsumatorëve. Hapja e llogaris</w:t>
      </w:r>
      <w:r w:rsidR="00EF03B9" w:rsidRPr="00223286">
        <w:rPr>
          <w:noProof/>
          <w:lang w:val="sq-AL"/>
        </w:rPr>
        <w:t>ë</w:t>
      </w:r>
      <w:r w:rsidR="00F476DE" w:rsidRPr="00223286">
        <w:rPr>
          <w:noProof/>
          <w:lang w:val="sq-AL"/>
        </w:rPr>
        <w:t xml:space="preserve"> bazike do t</w:t>
      </w:r>
      <w:r w:rsidR="00EF03B9" w:rsidRPr="00223286">
        <w:rPr>
          <w:noProof/>
          <w:lang w:val="sq-AL"/>
        </w:rPr>
        <w:t>ë</w:t>
      </w:r>
      <w:r w:rsidR="00F476DE" w:rsidRPr="00223286">
        <w:rPr>
          <w:noProof/>
          <w:lang w:val="sq-AL"/>
        </w:rPr>
        <w:t xml:space="preserve"> mund</w:t>
      </w:r>
      <w:r w:rsidR="00EF03B9" w:rsidRPr="00223286">
        <w:rPr>
          <w:noProof/>
          <w:lang w:val="sq-AL"/>
        </w:rPr>
        <w:t>ë</w:t>
      </w:r>
      <w:r w:rsidR="00F476DE" w:rsidRPr="00223286">
        <w:rPr>
          <w:noProof/>
          <w:lang w:val="sq-AL"/>
        </w:rPr>
        <w:t>sohet vet</w:t>
      </w:r>
      <w:r w:rsidR="00EF03B9" w:rsidRPr="00223286">
        <w:rPr>
          <w:noProof/>
          <w:lang w:val="sq-AL"/>
        </w:rPr>
        <w:t>ë</w:t>
      </w:r>
      <w:r w:rsidR="00F476DE" w:rsidRPr="00223286">
        <w:rPr>
          <w:noProof/>
          <w:lang w:val="sq-AL"/>
        </w:rPr>
        <w:t xml:space="preserve">m </w:t>
      </w:r>
      <w:r w:rsidR="00F476DE" w:rsidRPr="00223286">
        <w:rPr>
          <w:lang w:val="sq-AL"/>
        </w:rPr>
        <w:t>kur konsumatori nuk mban një llogari pagese ekzistuese në një bankë tjetër në Shqipëri</w:t>
      </w:r>
      <w:r w:rsidR="001E1CC6" w:rsidRPr="00223286">
        <w:rPr>
          <w:lang w:val="sq-AL"/>
        </w:rPr>
        <w:t>, p</w:t>
      </w:r>
      <w:r w:rsidR="00E53196">
        <w:rPr>
          <w:lang w:val="sq-AL"/>
        </w:rPr>
        <w:t>ë</w:t>
      </w:r>
      <w:r w:rsidR="001E1CC6" w:rsidRPr="00223286">
        <w:rPr>
          <w:lang w:val="sq-AL"/>
        </w:rPr>
        <w:t>r t</w:t>
      </w:r>
      <w:r w:rsidR="00E53196">
        <w:rPr>
          <w:lang w:val="sq-AL"/>
        </w:rPr>
        <w:t>ë</w:t>
      </w:r>
      <w:r w:rsidR="001E1CC6" w:rsidRPr="00223286">
        <w:rPr>
          <w:lang w:val="sq-AL"/>
        </w:rPr>
        <w:t xml:space="preserve"> cil</w:t>
      </w:r>
      <w:r w:rsidR="00E53196">
        <w:rPr>
          <w:lang w:val="sq-AL"/>
        </w:rPr>
        <w:t>ë</w:t>
      </w:r>
      <w:r w:rsidR="001E1CC6" w:rsidRPr="00223286">
        <w:rPr>
          <w:lang w:val="sq-AL"/>
        </w:rPr>
        <w:t>n konsumatori duhet t</w:t>
      </w:r>
      <w:r w:rsidR="00E53196">
        <w:rPr>
          <w:lang w:val="sq-AL"/>
        </w:rPr>
        <w:t>ë</w:t>
      </w:r>
      <w:r w:rsidR="001E1CC6" w:rsidRPr="00223286">
        <w:rPr>
          <w:lang w:val="sq-AL"/>
        </w:rPr>
        <w:t xml:space="preserve"> b</w:t>
      </w:r>
      <w:r w:rsidR="00E53196">
        <w:rPr>
          <w:lang w:val="sq-AL"/>
        </w:rPr>
        <w:t>ë</w:t>
      </w:r>
      <w:r w:rsidR="001E1CC6" w:rsidRPr="00223286">
        <w:rPr>
          <w:lang w:val="sq-AL"/>
        </w:rPr>
        <w:t>j</w:t>
      </w:r>
      <w:r w:rsidR="00E53196">
        <w:rPr>
          <w:lang w:val="sq-AL"/>
        </w:rPr>
        <w:t>ë</w:t>
      </w:r>
      <w:r w:rsidR="001E1CC6" w:rsidRPr="00223286">
        <w:rPr>
          <w:lang w:val="sq-AL"/>
        </w:rPr>
        <w:t xml:space="preserve"> edhe nj</w:t>
      </w:r>
      <w:r w:rsidR="00E53196">
        <w:rPr>
          <w:lang w:val="sq-AL"/>
        </w:rPr>
        <w:t>ë</w:t>
      </w:r>
      <w:r w:rsidR="001E1CC6" w:rsidRPr="00223286">
        <w:rPr>
          <w:lang w:val="sq-AL"/>
        </w:rPr>
        <w:t xml:space="preserve"> deklarat</w:t>
      </w:r>
      <w:r w:rsidR="00E53196">
        <w:rPr>
          <w:lang w:val="sq-AL"/>
        </w:rPr>
        <w:t>ë</w:t>
      </w:r>
      <w:r w:rsidR="001E1CC6" w:rsidRPr="00223286">
        <w:rPr>
          <w:lang w:val="sq-AL"/>
        </w:rPr>
        <w:t xml:space="preserve"> dhe v</w:t>
      </w:r>
      <w:r w:rsidR="00E53196">
        <w:rPr>
          <w:lang w:val="sq-AL"/>
        </w:rPr>
        <w:t>ë</w:t>
      </w:r>
      <w:r w:rsidR="001E1CC6" w:rsidRPr="00223286">
        <w:rPr>
          <w:lang w:val="sq-AL"/>
        </w:rPr>
        <w:t>rtet</w:t>
      </w:r>
      <w:r w:rsidR="00E53196">
        <w:rPr>
          <w:lang w:val="sq-AL"/>
        </w:rPr>
        <w:t>ë</w:t>
      </w:r>
      <w:r w:rsidR="001E1CC6" w:rsidRPr="00223286">
        <w:rPr>
          <w:lang w:val="sq-AL"/>
        </w:rPr>
        <w:t>sia e deklarat</w:t>
      </w:r>
      <w:r w:rsidR="00E53196">
        <w:rPr>
          <w:lang w:val="sq-AL"/>
        </w:rPr>
        <w:t>ë</w:t>
      </w:r>
      <w:r w:rsidR="001E1CC6" w:rsidRPr="00223286">
        <w:rPr>
          <w:lang w:val="sq-AL"/>
        </w:rPr>
        <w:t>s mund t</w:t>
      </w:r>
      <w:r w:rsidR="00E53196">
        <w:rPr>
          <w:lang w:val="sq-AL"/>
        </w:rPr>
        <w:t>ë</w:t>
      </w:r>
      <w:r w:rsidR="001E1CC6" w:rsidRPr="00223286">
        <w:rPr>
          <w:lang w:val="sq-AL"/>
        </w:rPr>
        <w:t xml:space="preserve"> verifikohet nga banka para hapjes së llogarisë së pagesave me shërbime bazike</w:t>
      </w:r>
      <w:r w:rsidR="00F476DE" w:rsidRPr="00223286">
        <w:rPr>
          <w:lang w:val="sq-AL"/>
        </w:rPr>
        <w:t xml:space="preserve">. </w:t>
      </w:r>
      <w:r w:rsidR="001E1CC6" w:rsidRPr="00223286">
        <w:rPr>
          <w:lang w:val="sq-AL"/>
        </w:rPr>
        <w:t>Në rast se banka vërteton se konsumatori ka një llogari pagesash në një bankë tjetër, pra ka dhënë deklaratë të pavërtetë për hapjen e llogarisë së pagesave me shërbime bazike, konsumatori humb të drejtën e hapjes së një llogarie pagesash me shërbime bazike për një periudhë kohore prej 24 muaj n</w:t>
      </w:r>
      <w:r w:rsidR="00E53196">
        <w:rPr>
          <w:lang w:val="sq-AL"/>
        </w:rPr>
        <w:t>ë</w:t>
      </w:r>
      <w:r w:rsidR="001E1CC6" w:rsidRPr="00223286">
        <w:rPr>
          <w:lang w:val="sq-AL"/>
        </w:rPr>
        <w:t xml:space="preserve"> k</w:t>
      </w:r>
      <w:r w:rsidR="00E53196">
        <w:rPr>
          <w:lang w:val="sq-AL"/>
        </w:rPr>
        <w:t>ë</w:t>
      </w:r>
      <w:r w:rsidR="001E1CC6" w:rsidRPr="00223286">
        <w:rPr>
          <w:lang w:val="sq-AL"/>
        </w:rPr>
        <w:t>t</w:t>
      </w:r>
      <w:r w:rsidR="00E53196">
        <w:rPr>
          <w:lang w:val="sq-AL"/>
        </w:rPr>
        <w:t>ë</w:t>
      </w:r>
      <w:r w:rsidR="001E1CC6" w:rsidRPr="00223286">
        <w:rPr>
          <w:lang w:val="sq-AL"/>
        </w:rPr>
        <w:t xml:space="preserve"> bank</w:t>
      </w:r>
      <w:r w:rsidR="00E53196">
        <w:rPr>
          <w:lang w:val="sq-AL"/>
        </w:rPr>
        <w:t>ë</w:t>
      </w:r>
      <w:r w:rsidR="001E1CC6" w:rsidRPr="00223286">
        <w:rPr>
          <w:lang w:val="sq-AL"/>
        </w:rPr>
        <w:t xml:space="preserve">. Kjo klauzolë duhet të parashikohet edhe në kontratën e bankës me klientin, në rastin e hapjes së llogarisë së pagesave me shërbime bazike. </w:t>
      </w:r>
      <w:r w:rsidR="00F476DE" w:rsidRPr="00223286">
        <w:rPr>
          <w:lang w:val="sq-AL"/>
        </w:rPr>
        <w:t>N</w:t>
      </w:r>
      <w:r w:rsidR="00EF03B9" w:rsidRPr="00223286">
        <w:rPr>
          <w:lang w:val="sq-AL"/>
        </w:rPr>
        <w:t>ë</w:t>
      </w:r>
      <w:r w:rsidR="00F476DE" w:rsidRPr="00223286">
        <w:rPr>
          <w:lang w:val="sq-AL"/>
        </w:rPr>
        <w:t xml:space="preserve"> k</w:t>
      </w:r>
      <w:r w:rsidR="00EF03B9" w:rsidRPr="00223286">
        <w:rPr>
          <w:lang w:val="sq-AL"/>
        </w:rPr>
        <w:t>ë</w:t>
      </w:r>
      <w:r w:rsidR="00F476DE" w:rsidRPr="00223286">
        <w:rPr>
          <w:lang w:val="sq-AL"/>
        </w:rPr>
        <w:t>t</w:t>
      </w:r>
      <w:r w:rsidR="00EF03B9" w:rsidRPr="00223286">
        <w:rPr>
          <w:lang w:val="sq-AL"/>
        </w:rPr>
        <w:t>ë</w:t>
      </w:r>
      <w:r w:rsidR="00F476DE" w:rsidRPr="00223286">
        <w:rPr>
          <w:lang w:val="sq-AL"/>
        </w:rPr>
        <w:t xml:space="preserve"> </w:t>
      </w:r>
      <w:r w:rsidR="001E1CC6" w:rsidRPr="00223286">
        <w:rPr>
          <w:lang w:val="sq-AL"/>
        </w:rPr>
        <w:t xml:space="preserve">nen </w:t>
      </w:r>
      <w:r w:rsidR="00F476DE" w:rsidRPr="00223286">
        <w:rPr>
          <w:lang w:val="sq-AL"/>
        </w:rPr>
        <w:t>parashikohet gjithashtu edhe detyrimi i bank</w:t>
      </w:r>
      <w:r w:rsidR="00EF03B9" w:rsidRPr="00223286">
        <w:rPr>
          <w:lang w:val="sq-AL"/>
        </w:rPr>
        <w:t>ë</w:t>
      </w:r>
      <w:r w:rsidR="00F476DE" w:rsidRPr="00223286">
        <w:rPr>
          <w:lang w:val="sq-AL"/>
        </w:rPr>
        <w:t>s p</w:t>
      </w:r>
      <w:r w:rsidR="00EF03B9" w:rsidRPr="00223286">
        <w:rPr>
          <w:lang w:val="sq-AL"/>
        </w:rPr>
        <w:t>ë</w:t>
      </w:r>
      <w:r w:rsidR="00F476DE" w:rsidRPr="00223286">
        <w:rPr>
          <w:lang w:val="sq-AL"/>
        </w:rPr>
        <w:t>r t</w:t>
      </w:r>
      <w:r w:rsidR="00EF03B9" w:rsidRPr="00223286">
        <w:rPr>
          <w:lang w:val="sq-AL"/>
        </w:rPr>
        <w:t>ë</w:t>
      </w:r>
      <w:r w:rsidR="00F476DE" w:rsidRPr="00223286">
        <w:rPr>
          <w:lang w:val="sq-AL"/>
        </w:rPr>
        <w:t xml:space="preserve"> k</w:t>
      </w:r>
      <w:r w:rsidR="00EF03B9" w:rsidRPr="00223286">
        <w:rPr>
          <w:lang w:val="sq-AL"/>
        </w:rPr>
        <w:t>ë</w:t>
      </w:r>
      <w:r w:rsidR="00F476DE" w:rsidRPr="00223286">
        <w:rPr>
          <w:lang w:val="sq-AL"/>
        </w:rPr>
        <w:t>shilluar konsumatorin për procedurën e paraqitjes së ankesës n</w:t>
      </w:r>
      <w:r w:rsidR="00EF03B9" w:rsidRPr="00223286">
        <w:rPr>
          <w:lang w:val="sq-AL"/>
        </w:rPr>
        <w:t>ë</w:t>
      </w:r>
      <w:r w:rsidR="00F476DE" w:rsidRPr="00223286">
        <w:rPr>
          <w:lang w:val="sq-AL"/>
        </w:rPr>
        <w:t xml:space="preserve"> rastet e refuzimit t</w:t>
      </w:r>
      <w:r w:rsidR="00EF03B9" w:rsidRPr="00223286">
        <w:rPr>
          <w:lang w:val="sq-AL"/>
        </w:rPr>
        <w:t>ë</w:t>
      </w:r>
      <w:r w:rsidR="00F476DE" w:rsidRPr="00223286">
        <w:rPr>
          <w:lang w:val="sq-AL"/>
        </w:rPr>
        <w:t xml:space="preserve"> hapjes s</w:t>
      </w:r>
      <w:r w:rsidR="00EF03B9" w:rsidRPr="00223286">
        <w:rPr>
          <w:lang w:val="sq-AL"/>
        </w:rPr>
        <w:t>ë</w:t>
      </w:r>
      <w:r w:rsidR="00F476DE" w:rsidRPr="00223286">
        <w:rPr>
          <w:lang w:val="sq-AL"/>
        </w:rPr>
        <w:t xml:space="preserve"> llogaris</w:t>
      </w:r>
      <w:r w:rsidR="00EF03B9" w:rsidRPr="00223286">
        <w:rPr>
          <w:lang w:val="sq-AL"/>
        </w:rPr>
        <w:t>ë</w:t>
      </w:r>
      <w:r w:rsidR="008113FC" w:rsidRPr="00223286">
        <w:rPr>
          <w:lang w:val="sq-AL"/>
        </w:rPr>
        <w:t xml:space="preserve"> dhe t</w:t>
      </w:r>
      <w:r w:rsidR="00EF03B9" w:rsidRPr="00223286">
        <w:rPr>
          <w:lang w:val="sq-AL"/>
        </w:rPr>
        <w:t>ë</w:t>
      </w:r>
      <w:r w:rsidR="008113FC" w:rsidRPr="00223286">
        <w:rPr>
          <w:lang w:val="sq-AL"/>
        </w:rPr>
        <w:t xml:space="preserve"> drejt</w:t>
      </w:r>
      <w:r w:rsidR="00EF03B9" w:rsidRPr="00223286">
        <w:rPr>
          <w:lang w:val="sq-AL"/>
        </w:rPr>
        <w:t>ë</w:t>
      </w:r>
      <w:r w:rsidR="008113FC" w:rsidRPr="00223286">
        <w:rPr>
          <w:lang w:val="sq-AL"/>
        </w:rPr>
        <w:t>n e tij p</w:t>
      </w:r>
      <w:r w:rsidR="00EF03B9" w:rsidRPr="00223286">
        <w:rPr>
          <w:lang w:val="sq-AL"/>
        </w:rPr>
        <w:t>ë</w:t>
      </w:r>
      <w:r w:rsidR="008113FC" w:rsidRPr="00223286">
        <w:rPr>
          <w:lang w:val="sq-AL"/>
        </w:rPr>
        <w:t>r ankimim pran</w:t>
      </w:r>
      <w:r w:rsidR="00EF03B9" w:rsidRPr="00223286">
        <w:rPr>
          <w:lang w:val="sq-AL"/>
        </w:rPr>
        <w:t>ë</w:t>
      </w:r>
      <w:r w:rsidR="008113FC" w:rsidRPr="00223286">
        <w:rPr>
          <w:lang w:val="sq-AL"/>
        </w:rPr>
        <w:t xml:space="preserve"> Bank</w:t>
      </w:r>
      <w:r w:rsidR="00EF03B9" w:rsidRPr="00223286">
        <w:rPr>
          <w:lang w:val="sq-AL"/>
        </w:rPr>
        <w:t>ë</w:t>
      </w:r>
      <w:r w:rsidR="008113FC" w:rsidRPr="00223286">
        <w:rPr>
          <w:lang w:val="sq-AL"/>
        </w:rPr>
        <w:t>s s</w:t>
      </w:r>
      <w:r w:rsidR="00EF03B9" w:rsidRPr="00223286">
        <w:rPr>
          <w:lang w:val="sq-AL"/>
        </w:rPr>
        <w:t>ë</w:t>
      </w:r>
      <w:r w:rsidR="008113FC" w:rsidRPr="00223286">
        <w:rPr>
          <w:lang w:val="sq-AL"/>
        </w:rPr>
        <w:t xml:space="preserve"> Shqip</w:t>
      </w:r>
      <w:r w:rsidR="00EF03B9" w:rsidRPr="00223286">
        <w:rPr>
          <w:lang w:val="sq-AL"/>
        </w:rPr>
        <w:t>ë</w:t>
      </w:r>
      <w:r w:rsidR="008113FC" w:rsidRPr="00223286">
        <w:rPr>
          <w:lang w:val="sq-AL"/>
        </w:rPr>
        <w:t>ris</w:t>
      </w:r>
      <w:r w:rsidR="00EF03B9" w:rsidRPr="00223286">
        <w:rPr>
          <w:lang w:val="sq-AL"/>
        </w:rPr>
        <w:t>ë</w:t>
      </w:r>
      <w:r w:rsidR="008113FC" w:rsidRPr="00223286">
        <w:rPr>
          <w:lang w:val="sq-AL"/>
        </w:rPr>
        <w:t xml:space="preserve">. </w:t>
      </w:r>
      <w:r w:rsidR="00F476DE" w:rsidRPr="00223286">
        <w:rPr>
          <w:lang w:val="sq-AL"/>
        </w:rPr>
        <w:t xml:space="preserve"> </w:t>
      </w:r>
    </w:p>
    <w:p w14:paraId="028F9EB7" w14:textId="77777777" w:rsidR="00F476DE" w:rsidRPr="00223286" w:rsidRDefault="00F476DE" w:rsidP="00161607">
      <w:pPr>
        <w:spacing w:line="276" w:lineRule="auto"/>
        <w:jc w:val="both"/>
        <w:rPr>
          <w:lang w:val="sq-AL"/>
        </w:rPr>
      </w:pPr>
    </w:p>
    <w:p w14:paraId="5AC87219" w14:textId="49799546" w:rsidR="008113FC" w:rsidRPr="00223286" w:rsidRDefault="008113FC" w:rsidP="00161607">
      <w:pPr>
        <w:spacing w:line="276" w:lineRule="auto"/>
        <w:jc w:val="both"/>
        <w:rPr>
          <w:noProof/>
          <w:lang w:val="sq-AL"/>
        </w:rPr>
      </w:pPr>
      <w:r w:rsidRPr="00223286">
        <w:rPr>
          <w:lang w:val="sq-AL"/>
        </w:rPr>
        <w:t>M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 xml:space="preserve"> tej n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 xml:space="preserve"> </w:t>
      </w:r>
      <w:r w:rsidR="000C298A" w:rsidRPr="00223286">
        <w:rPr>
          <w:lang w:val="sq-AL"/>
        </w:rPr>
        <w:t>nenin 6</w:t>
      </w:r>
      <w:r w:rsidRPr="00223286">
        <w:rPr>
          <w:lang w:val="sq-AL"/>
        </w:rPr>
        <w:t xml:space="preserve"> parashikohen </w:t>
      </w:r>
      <w:r w:rsidR="00F476DE" w:rsidRPr="00223286">
        <w:rPr>
          <w:noProof/>
          <w:lang w:val="sq-AL"/>
        </w:rPr>
        <w:t>karakteristikat kryesore dhe shërbimet bazë që ofron llogaria e pagesave me shërbime bazike</w:t>
      </w:r>
      <w:r w:rsidRPr="00223286">
        <w:rPr>
          <w:noProof/>
          <w:lang w:val="sq-AL"/>
        </w:rPr>
        <w:t>. N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k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to sh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rbime jan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p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rjashtuar transaksionet e pagesave me karta krediti si dhe ofrimi i kredi</w:t>
      </w:r>
      <w:r w:rsidR="00551273" w:rsidRPr="00223286">
        <w:rPr>
          <w:noProof/>
          <w:lang w:val="sq-AL"/>
        </w:rPr>
        <w:t>ve</w:t>
      </w:r>
      <w:r w:rsidRPr="00223286">
        <w:rPr>
          <w:noProof/>
          <w:lang w:val="sq-AL"/>
        </w:rPr>
        <w:t xml:space="preserve"> t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lidhur</w:t>
      </w:r>
      <w:r w:rsidR="00551273" w:rsidRPr="00223286">
        <w:rPr>
          <w:noProof/>
          <w:lang w:val="sq-AL"/>
        </w:rPr>
        <w:t>a</w:t>
      </w:r>
      <w:r w:rsidRPr="00223286">
        <w:rPr>
          <w:noProof/>
          <w:lang w:val="sq-AL"/>
        </w:rPr>
        <w:t xml:space="preserve"> me sh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rbimet e pagesave</w:t>
      </w:r>
      <w:r w:rsidR="000C298A" w:rsidRPr="00223286">
        <w:rPr>
          <w:noProof/>
          <w:lang w:val="sq-AL"/>
        </w:rPr>
        <w:t>,</w:t>
      </w:r>
      <w:r w:rsidRPr="00223286">
        <w:rPr>
          <w:noProof/>
          <w:lang w:val="sq-AL"/>
        </w:rPr>
        <w:t xml:space="preserve"> duke mos lejuar n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asnj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rast tejkalimin e tepric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s kreditore t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llogaris</w:t>
      </w:r>
      <w:r w:rsidR="00EF03B9" w:rsidRPr="00223286">
        <w:rPr>
          <w:noProof/>
          <w:lang w:val="sq-AL"/>
        </w:rPr>
        <w:t>ë</w:t>
      </w:r>
      <w:r w:rsidR="00551273" w:rsidRPr="00223286">
        <w:rPr>
          <w:noProof/>
          <w:lang w:val="sq-AL"/>
        </w:rPr>
        <w:t xml:space="preserve"> s</w:t>
      </w:r>
      <w:r w:rsidR="00EF03B9" w:rsidRPr="00223286">
        <w:rPr>
          <w:noProof/>
          <w:lang w:val="sq-AL"/>
        </w:rPr>
        <w:t>ë</w:t>
      </w:r>
      <w:r w:rsidR="00551273" w:rsidRPr="00223286">
        <w:rPr>
          <w:noProof/>
          <w:lang w:val="sq-AL"/>
        </w:rPr>
        <w:t xml:space="preserve"> pagesave</w:t>
      </w:r>
      <w:r w:rsidRPr="00223286">
        <w:rPr>
          <w:noProof/>
          <w:lang w:val="sq-AL"/>
        </w:rPr>
        <w:t>.</w:t>
      </w:r>
      <w:r w:rsidR="000C298A" w:rsidRPr="00223286">
        <w:rPr>
          <w:noProof/>
          <w:lang w:val="sq-AL"/>
        </w:rPr>
        <w:t xml:space="preserve"> N</w:t>
      </w:r>
      <w:r w:rsidR="00E53196">
        <w:rPr>
          <w:noProof/>
          <w:lang w:val="sq-AL"/>
        </w:rPr>
        <w:t>ë</w:t>
      </w:r>
      <w:r w:rsidR="000C298A" w:rsidRPr="00223286">
        <w:rPr>
          <w:noProof/>
          <w:lang w:val="sq-AL"/>
        </w:rPr>
        <w:t xml:space="preserve"> nenin 6 parashikohet gjithashtu q</w:t>
      </w:r>
      <w:r w:rsidR="00E53196">
        <w:rPr>
          <w:noProof/>
          <w:lang w:val="sq-AL"/>
        </w:rPr>
        <w:t>ë</w:t>
      </w:r>
      <w:r w:rsidR="000C298A" w:rsidRPr="00223286">
        <w:rPr>
          <w:noProof/>
          <w:lang w:val="sq-AL"/>
        </w:rPr>
        <w:t xml:space="preserve"> ofrimi i llogarive të pagesave me shërbime bazike do t</w:t>
      </w:r>
      <w:r w:rsidR="00E53196">
        <w:rPr>
          <w:noProof/>
          <w:lang w:val="sq-AL"/>
        </w:rPr>
        <w:t>ë</w:t>
      </w:r>
      <w:r w:rsidR="000C298A" w:rsidRPr="00223286">
        <w:rPr>
          <w:noProof/>
          <w:lang w:val="sq-AL"/>
        </w:rPr>
        <w:t xml:space="preserve"> b</w:t>
      </w:r>
      <w:r w:rsidR="00E53196">
        <w:rPr>
          <w:noProof/>
          <w:lang w:val="sq-AL"/>
        </w:rPr>
        <w:t>ë</w:t>
      </w:r>
      <w:r w:rsidR="000C298A" w:rsidRPr="00223286">
        <w:rPr>
          <w:noProof/>
          <w:lang w:val="sq-AL"/>
        </w:rPr>
        <w:t>het vetëm në monedhën vendase (lek).</w:t>
      </w:r>
    </w:p>
    <w:p w14:paraId="56CE1BF3" w14:textId="77777777" w:rsidR="00551273" w:rsidRPr="00223286" w:rsidRDefault="00551273" w:rsidP="00161607">
      <w:pPr>
        <w:spacing w:line="276" w:lineRule="auto"/>
        <w:jc w:val="both"/>
        <w:rPr>
          <w:noProof/>
          <w:lang w:val="sq-AL"/>
        </w:rPr>
      </w:pPr>
    </w:p>
    <w:p w14:paraId="4425EEF8" w14:textId="0A5CC4F0" w:rsidR="008C659C" w:rsidRPr="00223286" w:rsidRDefault="008113FC" w:rsidP="00161607">
      <w:pPr>
        <w:spacing w:line="276" w:lineRule="auto"/>
        <w:jc w:val="both"/>
        <w:rPr>
          <w:noProof/>
          <w:lang w:val="sq-AL"/>
        </w:rPr>
      </w:pPr>
      <w:r w:rsidRPr="00223286">
        <w:rPr>
          <w:noProof/>
          <w:lang w:val="sq-AL"/>
        </w:rPr>
        <w:t>Ligji</w:t>
      </w:r>
      <w:r w:rsidR="000C298A" w:rsidRPr="00223286">
        <w:rPr>
          <w:noProof/>
          <w:lang w:val="sq-AL"/>
        </w:rPr>
        <w:t xml:space="preserve"> (neni 7)</w:t>
      </w:r>
      <w:r w:rsidRPr="00223286">
        <w:rPr>
          <w:noProof/>
          <w:lang w:val="sq-AL"/>
        </w:rPr>
        <w:t xml:space="preserve"> vijon m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tej me p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rcaktimin e </w:t>
      </w:r>
      <w:r w:rsidR="00F476DE" w:rsidRPr="00223286">
        <w:rPr>
          <w:noProof/>
          <w:lang w:val="sq-AL"/>
        </w:rPr>
        <w:t>m</w:t>
      </w:r>
      <w:r w:rsidRPr="00223286">
        <w:rPr>
          <w:noProof/>
          <w:lang w:val="sq-AL"/>
        </w:rPr>
        <w:t>ekanizmave t</w:t>
      </w:r>
      <w:r w:rsidR="00EF03B9" w:rsidRPr="00223286">
        <w:rPr>
          <w:noProof/>
          <w:lang w:val="sq-AL"/>
        </w:rPr>
        <w:t>ë</w:t>
      </w:r>
      <w:r w:rsidR="00F476DE" w:rsidRPr="00223286">
        <w:rPr>
          <w:noProof/>
          <w:lang w:val="sq-AL"/>
        </w:rPr>
        <w:t xml:space="preserve"> vendosjes së tarifave për llogarinë e pagesave me shërbime bazike, bazuar në llojin e shërbimeve të ofruara nga kjo llogari, numrin </w:t>
      </w:r>
      <w:r w:rsidRPr="00223286">
        <w:rPr>
          <w:noProof/>
          <w:lang w:val="sq-AL"/>
        </w:rPr>
        <w:t>minimal t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</w:t>
      </w:r>
      <w:r w:rsidR="00F476DE" w:rsidRPr="00223286">
        <w:rPr>
          <w:noProof/>
          <w:lang w:val="sq-AL"/>
        </w:rPr>
        <w:t>transaksioneve dhe kategoritë e caktuara të konsumatorëve</w:t>
      </w:r>
      <w:r w:rsidR="00984B80" w:rsidRPr="00223286">
        <w:rPr>
          <w:noProof/>
          <w:lang w:val="sq-AL"/>
        </w:rPr>
        <w:t xml:space="preserve">. </w:t>
      </w:r>
      <w:r w:rsidR="0031470B" w:rsidRPr="00223286">
        <w:rPr>
          <w:noProof/>
          <w:lang w:val="sq-AL"/>
        </w:rPr>
        <w:t>Bazuar n</w:t>
      </w:r>
      <w:r w:rsidR="00EF03B9" w:rsidRPr="00223286">
        <w:rPr>
          <w:noProof/>
          <w:lang w:val="sq-AL"/>
        </w:rPr>
        <w:t>ë</w:t>
      </w:r>
      <w:r w:rsidR="0031470B" w:rsidRPr="00223286">
        <w:rPr>
          <w:noProof/>
          <w:lang w:val="sq-AL"/>
        </w:rPr>
        <w:t xml:space="preserve"> k</w:t>
      </w:r>
      <w:r w:rsidR="00EF03B9" w:rsidRPr="00223286">
        <w:rPr>
          <w:noProof/>
          <w:lang w:val="sq-AL"/>
        </w:rPr>
        <w:t>ë</w:t>
      </w:r>
      <w:r w:rsidR="0031470B" w:rsidRPr="00223286">
        <w:rPr>
          <w:noProof/>
          <w:lang w:val="sq-AL"/>
        </w:rPr>
        <w:t xml:space="preserve">to kritere </w:t>
      </w:r>
      <w:r w:rsidR="00EF03B9" w:rsidRPr="00223286">
        <w:rPr>
          <w:noProof/>
          <w:lang w:val="sq-AL"/>
        </w:rPr>
        <w:t>ë</w:t>
      </w:r>
      <w:r w:rsidR="0031470B" w:rsidRPr="00223286">
        <w:rPr>
          <w:noProof/>
          <w:lang w:val="sq-AL"/>
        </w:rPr>
        <w:t>sht</w:t>
      </w:r>
      <w:r w:rsidR="00EF03B9" w:rsidRPr="00223286">
        <w:rPr>
          <w:noProof/>
          <w:lang w:val="sq-AL"/>
        </w:rPr>
        <w:t>ë</w:t>
      </w:r>
      <w:r w:rsidR="0031470B" w:rsidRPr="00223286">
        <w:rPr>
          <w:noProof/>
          <w:lang w:val="sq-AL"/>
        </w:rPr>
        <w:t xml:space="preserve"> p</w:t>
      </w:r>
      <w:r w:rsidR="00EF03B9" w:rsidRPr="00223286">
        <w:rPr>
          <w:noProof/>
          <w:lang w:val="sq-AL"/>
        </w:rPr>
        <w:t>ë</w:t>
      </w:r>
      <w:r w:rsidR="0031470B" w:rsidRPr="00223286">
        <w:rPr>
          <w:noProof/>
          <w:lang w:val="sq-AL"/>
        </w:rPr>
        <w:t>rcaktuar aplikimi i nj</w:t>
      </w:r>
      <w:r w:rsidR="00EF03B9" w:rsidRPr="00223286">
        <w:rPr>
          <w:noProof/>
          <w:lang w:val="sq-AL"/>
        </w:rPr>
        <w:t>ë</w:t>
      </w:r>
      <w:r w:rsidR="0031470B" w:rsidRPr="00223286">
        <w:rPr>
          <w:noProof/>
          <w:lang w:val="sq-AL"/>
        </w:rPr>
        <w:t xml:space="preserve"> tarife t</w:t>
      </w:r>
      <w:r w:rsidR="00EF03B9" w:rsidRPr="00223286">
        <w:rPr>
          <w:noProof/>
          <w:lang w:val="sq-AL"/>
        </w:rPr>
        <w:t>ë</w:t>
      </w:r>
      <w:r w:rsidR="0031470B" w:rsidRPr="00223286">
        <w:rPr>
          <w:noProof/>
          <w:lang w:val="sq-AL"/>
        </w:rPr>
        <w:t xml:space="preserve"> </w:t>
      </w:r>
      <w:r w:rsidR="00984B80" w:rsidRPr="00223286">
        <w:rPr>
          <w:noProof/>
          <w:lang w:val="sq-AL"/>
        </w:rPr>
        <w:t>arsyeshme</w:t>
      </w:r>
      <w:r w:rsidR="00BB0B23" w:rsidRPr="00223286">
        <w:rPr>
          <w:noProof/>
          <w:lang w:val="sq-AL"/>
        </w:rPr>
        <w:t xml:space="preserve"> p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>r sh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>rbimet e orfuara n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>p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>rmjet llogaris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s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pagesave me sh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>rbime bazike,</w:t>
      </w:r>
      <w:r w:rsidR="00984B80" w:rsidRPr="00223286">
        <w:rPr>
          <w:noProof/>
          <w:lang w:val="sq-AL"/>
        </w:rPr>
        <w:t xml:space="preserve"> </w:t>
      </w:r>
      <w:r w:rsidR="0031470B" w:rsidRPr="00223286">
        <w:rPr>
          <w:noProof/>
          <w:lang w:val="sq-AL"/>
        </w:rPr>
        <w:t>e cila nuk d</w:t>
      </w:r>
      <w:r w:rsidR="00BB0B23" w:rsidRPr="00223286">
        <w:rPr>
          <w:noProof/>
          <w:lang w:val="sq-AL"/>
        </w:rPr>
        <w:t>uhet t</w:t>
      </w:r>
      <w:r w:rsidR="00E53196">
        <w:rPr>
          <w:noProof/>
          <w:lang w:val="sq-AL"/>
        </w:rPr>
        <w:t>ë</w:t>
      </w:r>
      <w:r w:rsidR="0031470B" w:rsidRPr="00223286">
        <w:rPr>
          <w:noProof/>
          <w:lang w:val="sq-AL"/>
        </w:rPr>
        <w:t xml:space="preserve"> tejkaloj</w:t>
      </w:r>
      <w:r w:rsidR="00EF03B9" w:rsidRPr="00223286">
        <w:rPr>
          <w:noProof/>
          <w:lang w:val="sq-AL"/>
        </w:rPr>
        <w:t>ë</w:t>
      </w:r>
      <w:r w:rsidR="0031470B" w:rsidRPr="00223286">
        <w:rPr>
          <w:noProof/>
          <w:lang w:val="sq-AL"/>
        </w:rPr>
        <w:t xml:space="preserve"> 50% t</w:t>
      </w:r>
      <w:r w:rsidR="00EF03B9" w:rsidRPr="00223286">
        <w:rPr>
          <w:noProof/>
          <w:lang w:val="sq-AL"/>
        </w:rPr>
        <w:t>ë</w:t>
      </w:r>
      <w:r w:rsidR="0031470B" w:rsidRPr="00223286">
        <w:rPr>
          <w:noProof/>
          <w:lang w:val="sq-AL"/>
        </w:rPr>
        <w:t xml:space="preserve"> nivelit mesatar t</w:t>
      </w:r>
      <w:r w:rsidR="00EF03B9" w:rsidRPr="00223286">
        <w:rPr>
          <w:noProof/>
          <w:lang w:val="sq-AL"/>
        </w:rPr>
        <w:t>ë</w:t>
      </w:r>
      <w:r w:rsidR="0031470B" w:rsidRPr="00223286">
        <w:rPr>
          <w:noProof/>
          <w:lang w:val="sq-AL"/>
        </w:rPr>
        <w:t xml:space="preserve"> tarif</w:t>
      </w:r>
      <w:r w:rsidR="00EF03B9" w:rsidRPr="00223286">
        <w:rPr>
          <w:noProof/>
          <w:lang w:val="sq-AL"/>
        </w:rPr>
        <w:t>ë</w:t>
      </w:r>
      <w:r w:rsidR="0031470B" w:rsidRPr="00223286">
        <w:rPr>
          <w:noProof/>
          <w:lang w:val="sq-AL"/>
        </w:rPr>
        <w:t>s s</w:t>
      </w:r>
      <w:r w:rsidR="00EF03B9" w:rsidRPr="00223286">
        <w:rPr>
          <w:noProof/>
          <w:lang w:val="sq-AL"/>
        </w:rPr>
        <w:t>ë</w:t>
      </w:r>
      <w:r w:rsidR="0031470B" w:rsidRPr="00223286">
        <w:rPr>
          <w:noProof/>
          <w:lang w:val="sq-AL"/>
        </w:rPr>
        <w:t xml:space="preserve"> aplikuar nga </w:t>
      </w:r>
      <w:r w:rsidR="00BB0B23" w:rsidRPr="00223286">
        <w:rPr>
          <w:noProof/>
          <w:lang w:val="sq-AL"/>
        </w:rPr>
        <w:t xml:space="preserve">banka </w:t>
      </w:r>
      <w:r w:rsidR="0031470B" w:rsidRPr="00223286">
        <w:rPr>
          <w:noProof/>
          <w:lang w:val="sq-AL"/>
        </w:rPr>
        <w:t>p</w:t>
      </w:r>
      <w:r w:rsidR="00EF03B9" w:rsidRPr="00223286">
        <w:rPr>
          <w:noProof/>
          <w:lang w:val="sq-AL"/>
        </w:rPr>
        <w:t>ë</w:t>
      </w:r>
      <w:r w:rsidR="0031470B" w:rsidRPr="00223286">
        <w:rPr>
          <w:noProof/>
          <w:lang w:val="sq-AL"/>
        </w:rPr>
        <w:t>r t</w:t>
      </w:r>
      <w:r w:rsidR="00EF03B9" w:rsidRPr="00223286">
        <w:rPr>
          <w:noProof/>
          <w:lang w:val="sq-AL"/>
        </w:rPr>
        <w:t>ë</w:t>
      </w:r>
      <w:r w:rsidR="0031470B" w:rsidRPr="00223286">
        <w:rPr>
          <w:noProof/>
          <w:lang w:val="sq-AL"/>
        </w:rPr>
        <w:t xml:space="preserve"> nj</w:t>
      </w:r>
      <w:r w:rsidR="00EF03B9" w:rsidRPr="00223286">
        <w:rPr>
          <w:noProof/>
          <w:lang w:val="sq-AL"/>
        </w:rPr>
        <w:t>ë</w:t>
      </w:r>
      <w:r w:rsidR="0031470B" w:rsidRPr="00223286">
        <w:rPr>
          <w:noProof/>
          <w:lang w:val="sq-AL"/>
        </w:rPr>
        <w:t>jtat sh</w:t>
      </w:r>
      <w:r w:rsidR="00EF03B9" w:rsidRPr="00223286">
        <w:rPr>
          <w:noProof/>
          <w:lang w:val="sq-AL"/>
        </w:rPr>
        <w:t>ë</w:t>
      </w:r>
      <w:r w:rsidR="0031470B" w:rsidRPr="00223286">
        <w:rPr>
          <w:noProof/>
          <w:lang w:val="sq-AL"/>
        </w:rPr>
        <w:t>rbime</w:t>
      </w:r>
      <w:r w:rsidR="00BB0B23" w:rsidRPr="00223286">
        <w:rPr>
          <w:noProof/>
          <w:lang w:val="sq-AL"/>
        </w:rPr>
        <w:t>, n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>se k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>to do t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ofroheshin nga nj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llogari pagesash standarde</w:t>
      </w:r>
      <w:r w:rsidR="0031470B" w:rsidRPr="00223286">
        <w:rPr>
          <w:noProof/>
          <w:lang w:val="sq-AL"/>
        </w:rPr>
        <w:t xml:space="preserve">. </w:t>
      </w:r>
      <w:r w:rsidR="00BB0B23" w:rsidRPr="00223286">
        <w:rPr>
          <w:noProof/>
          <w:lang w:val="sq-AL"/>
        </w:rPr>
        <w:t>Tarifat preferenciale do t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aplikohen edhe p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>r nj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num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>r t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kufizuar t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</w:t>
      </w:r>
      <w:r w:rsidR="00BB0B23" w:rsidRPr="00223286">
        <w:rPr>
          <w:lang w:val="sq-AL"/>
        </w:rPr>
        <w:t>debitimeve direkte</w:t>
      </w:r>
      <w:r w:rsidR="00BB0B23" w:rsidRPr="00223286">
        <w:rPr>
          <w:noProof/>
          <w:lang w:val="sq-AL"/>
        </w:rPr>
        <w:t xml:space="preserve"> dhe transfertave t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kreditit. N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>se numri i transaksioneve p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>r k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>to sh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>rbime, tejkalon kufirin e caktuar n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ligj (5 transaksione n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muaj), tarifat e aplikuara nuk duhet t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jen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m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t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larta se ato q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banka aplikon sipas p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rcaktimeve </w:t>
      </w:r>
      <w:r w:rsidR="00BB0B23" w:rsidRPr="00223286">
        <w:rPr>
          <w:noProof/>
          <w:lang w:val="sq-AL"/>
        </w:rPr>
        <w:lastRenderedPageBreak/>
        <w:t>n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politikat e saj t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brendshme p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>r p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rcaktimin e tarifave. </w:t>
      </w:r>
      <w:r w:rsidR="0031470B" w:rsidRPr="00223286">
        <w:rPr>
          <w:noProof/>
          <w:lang w:val="sq-AL"/>
        </w:rPr>
        <w:t>Gjithashtu p</w:t>
      </w:r>
      <w:r w:rsidR="00F476DE" w:rsidRPr="00223286">
        <w:rPr>
          <w:noProof/>
          <w:lang w:val="sq-AL"/>
        </w:rPr>
        <w:t>ër disa kategori vulnerabël është parashikuar që tarifa e shërbimeve të jetë</w:t>
      </w:r>
      <w:r w:rsidRPr="00223286">
        <w:rPr>
          <w:noProof/>
          <w:lang w:val="sq-AL"/>
        </w:rPr>
        <w:t xml:space="preserve"> zero. P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rcaktimi i k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saj kategorie </w:t>
      </w:r>
      <w:r w:rsidR="00551273" w:rsidRPr="00223286">
        <w:rPr>
          <w:noProof/>
          <w:lang w:val="sq-AL"/>
        </w:rPr>
        <w:t>vulnerab</w:t>
      </w:r>
      <w:r w:rsidR="00EF03B9" w:rsidRPr="00223286">
        <w:rPr>
          <w:noProof/>
          <w:lang w:val="sq-AL"/>
        </w:rPr>
        <w:t>ë</w:t>
      </w:r>
      <w:r w:rsidR="00551273" w:rsidRPr="00223286">
        <w:rPr>
          <w:noProof/>
          <w:lang w:val="sq-AL"/>
        </w:rPr>
        <w:t xml:space="preserve">l 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sht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bazuar n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legjislacionin q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rregullon asistenc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n sociale n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Republik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n e Shqip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ris</w:t>
      </w:r>
      <w:r w:rsidR="00EF03B9" w:rsidRPr="00223286">
        <w:rPr>
          <w:noProof/>
          <w:lang w:val="sq-AL"/>
        </w:rPr>
        <w:t>ë</w:t>
      </w:r>
      <w:r w:rsidR="00BB0B23" w:rsidRPr="00223286">
        <w:rPr>
          <w:lang w:val="sq-AL"/>
        </w:rPr>
        <w:t xml:space="preserve"> dhe kategori të tjera të mbrojtjes sociale</w:t>
      </w:r>
      <w:r w:rsidRPr="00223286">
        <w:rPr>
          <w:noProof/>
          <w:lang w:val="sq-AL"/>
        </w:rPr>
        <w:t>, dhe p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rfshirja e kategorive t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tjera p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rtej </w:t>
      </w:r>
      <w:r w:rsidR="00551273" w:rsidRPr="00223286">
        <w:rPr>
          <w:noProof/>
          <w:lang w:val="sq-AL"/>
        </w:rPr>
        <w:t>parashikimeve n</w:t>
      </w:r>
      <w:r w:rsidR="00EF03B9" w:rsidRPr="00223286">
        <w:rPr>
          <w:noProof/>
          <w:lang w:val="sq-AL"/>
        </w:rPr>
        <w:t>ë</w:t>
      </w:r>
      <w:r w:rsidR="00551273" w:rsidRPr="00223286">
        <w:rPr>
          <w:noProof/>
          <w:lang w:val="sq-AL"/>
        </w:rPr>
        <w:t xml:space="preserve"> k</w:t>
      </w:r>
      <w:r w:rsidR="00EF03B9" w:rsidRPr="00223286">
        <w:rPr>
          <w:noProof/>
          <w:lang w:val="sq-AL"/>
        </w:rPr>
        <w:t>ë</w:t>
      </w:r>
      <w:r w:rsidR="00551273" w:rsidRPr="00223286">
        <w:rPr>
          <w:noProof/>
          <w:lang w:val="sq-AL"/>
        </w:rPr>
        <w:t>t</w:t>
      </w:r>
      <w:r w:rsidR="00EF03B9" w:rsidRPr="00223286">
        <w:rPr>
          <w:noProof/>
          <w:lang w:val="sq-AL"/>
        </w:rPr>
        <w:t>ë</w:t>
      </w:r>
      <w:r w:rsidR="00551273" w:rsidRPr="00223286">
        <w:rPr>
          <w:noProof/>
          <w:lang w:val="sq-AL"/>
        </w:rPr>
        <w:t xml:space="preserve"> legjislacion </w:t>
      </w:r>
      <w:r w:rsidRPr="00223286">
        <w:rPr>
          <w:noProof/>
          <w:lang w:val="sq-AL"/>
        </w:rPr>
        <w:t>rregullohet n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p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rmjet </w:t>
      </w:r>
      <w:r w:rsidR="00551273" w:rsidRPr="00223286">
        <w:rPr>
          <w:noProof/>
          <w:lang w:val="sq-AL"/>
        </w:rPr>
        <w:t>parashikimit t</w:t>
      </w:r>
      <w:r w:rsidR="00EF03B9" w:rsidRPr="00223286">
        <w:rPr>
          <w:noProof/>
          <w:lang w:val="sq-AL"/>
        </w:rPr>
        <w:t>ë</w:t>
      </w:r>
      <w:r w:rsidR="00551273" w:rsidRPr="00223286">
        <w:rPr>
          <w:noProof/>
          <w:lang w:val="sq-AL"/>
        </w:rPr>
        <w:t xml:space="preserve"> p</w:t>
      </w:r>
      <w:r w:rsidR="00EF03B9" w:rsidRPr="00223286">
        <w:rPr>
          <w:noProof/>
          <w:lang w:val="sq-AL"/>
        </w:rPr>
        <w:t>ë</w:t>
      </w:r>
      <w:r w:rsidR="00551273" w:rsidRPr="00223286">
        <w:rPr>
          <w:noProof/>
          <w:lang w:val="sq-AL"/>
        </w:rPr>
        <w:t>rcaktimit t</w:t>
      </w:r>
      <w:r w:rsidR="00EF03B9" w:rsidRPr="00223286">
        <w:rPr>
          <w:noProof/>
          <w:lang w:val="sq-AL"/>
        </w:rPr>
        <w:t>ë</w:t>
      </w:r>
      <w:r w:rsidR="00551273" w:rsidRPr="00223286">
        <w:rPr>
          <w:noProof/>
          <w:lang w:val="sq-AL"/>
        </w:rPr>
        <w:t xml:space="preserve"> tyre nga Banka e Shqip</w:t>
      </w:r>
      <w:r w:rsidR="00EF03B9" w:rsidRPr="00223286">
        <w:rPr>
          <w:noProof/>
          <w:lang w:val="sq-AL"/>
        </w:rPr>
        <w:t>ë</w:t>
      </w:r>
      <w:r w:rsidR="00551273" w:rsidRPr="00223286">
        <w:rPr>
          <w:noProof/>
          <w:lang w:val="sq-AL"/>
        </w:rPr>
        <w:t>ris</w:t>
      </w:r>
      <w:r w:rsidR="00EF03B9" w:rsidRPr="00223286">
        <w:rPr>
          <w:noProof/>
          <w:lang w:val="sq-AL"/>
        </w:rPr>
        <w:t>ë</w:t>
      </w:r>
      <w:r w:rsidR="00551273" w:rsidRPr="00223286">
        <w:rPr>
          <w:noProof/>
          <w:lang w:val="sq-AL"/>
        </w:rPr>
        <w:t xml:space="preserve"> dhe publikimit n</w:t>
      </w:r>
      <w:r w:rsidR="00EF03B9" w:rsidRPr="00223286">
        <w:rPr>
          <w:noProof/>
          <w:lang w:val="sq-AL"/>
        </w:rPr>
        <w:t>ë</w:t>
      </w:r>
      <w:r w:rsidR="00551273" w:rsidRPr="00223286">
        <w:rPr>
          <w:noProof/>
          <w:lang w:val="sq-AL"/>
        </w:rPr>
        <w:t xml:space="preserve"> faqen zyrtare t</w:t>
      </w:r>
      <w:r w:rsidR="00EF03B9" w:rsidRPr="00223286">
        <w:rPr>
          <w:noProof/>
          <w:lang w:val="sq-AL"/>
        </w:rPr>
        <w:t>ë</w:t>
      </w:r>
      <w:r w:rsidR="00551273" w:rsidRPr="00223286">
        <w:rPr>
          <w:noProof/>
          <w:lang w:val="sq-AL"/>
        </w:rPr>
        <w:t xml:space="preserve"> saj koh</w:t>
      </w:r>
      <w:r w:rsidR="00EF03B9" w:rsidRPr="00223286">
        <w:rPr>
          <w:noProof/>
          <w:lang w:val="sq-AL"/>
        </w:rPr>
        <w:t>ë</w:t>
      </w:r>
      <w:r w:rsidR="00551273" w:rsidRPr="00223286">
        <w:rPr>
          <w:noProof/>
          <w:lang w:val="sq-AL"/>
        </w:rPr>
        <w:t xml:space="preserve"> pas kohe.</w:t>
      </w:r>
    </w:p>
    <w:p w14:paraId="3C131537" w14:textId="78A0DCDC" w:rsidR="00F476DE" w:rsidRPr="00223286" w:rsidRDefault="00F476DE" w:rsidP="00161607">
      <w:pPr>
        <w:spacing w:line="276" w:lineRule="auto"/>
        <w:jc w:val="both"/>
        <w:rPr>
          <w:noProof/>
          <w:lang w:val="sq-AL"/>
        </w:rPr>
      </w:pPr>
    </w:p>
    <w:p w14:paraId="4321B3F3" w14:textId="0FFBD88C" w:rsidR="005B03EC" w:rsidRPr="00223286" w:rsidRDefault="005B03EC" w:rsidP="00161607">
      <w:pPr>
        <w:spacing w:line="276" w:lineRule="auto"/>
        <w:jc w:val="both"/>
        <w:rPr>
          <w:noProof/>
          <w:lang w:val="sq-AL"/>
        </w:rPr>
      </w:pPr>
      <w:r w:rsidRPr="00223286">
        <w:rPr>
          <w:noProof/>
          <w:lang w:val="sq-AL"/>
        </w:rPr>
        <w:t>N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nenin 8 t</w:t>
      </w:r>
      <w:r w:rsidR="00EF03B9" w:rsidRPr="00223286">
        <w:rPr>
          <w:noProof/>
          <w:lang w:val="sq-AL"/>
        </w:rPr>
        <w:t>ë</w:t>
      </w:r>
      <w:r w:rsidR="0090064C" w:rsidRPr="00223286">
        <w:rPr>
          <w:noProof/>
          <w:lang w:val="sq-AL"/>
        </w:rPr>
        <w:t xml:space="preserve"> projektligjit parashikohen</w:t>
      </w:r>
      <w:r w:rsidRPr="00223286">
        <w:rPr>
          <w:noProof/>
          <w:lang w:val="sq-AL"/>
        </w:rPr>
        <w:t xml:space="preserve"> </w:t>
      </w:r>
      <w:r w:rsidR="00F476DE" w:rsidRPr="00223286">
        <w:rPr>
          <w:noProof/>
          <w:lang w:val="sq-AL"/>
        </w:rPr>
        <w:t xml:space="preserve">kushtet të cilat sjellin zgjidhjen e një kontrate të llogarisë së pagesave me shërbime </w:t>
      </w:r>
      <w:r w:rsidRPr="00223286">
        <w:rPr>
          <w:noProof/>
          <w:lang w:val="sq-AL"/>
        </w:rPr>
        <w:t>bazike n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m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nyr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t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nj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anshme nga ana e bank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s</w:t>
      </w:r>
      <w:r w:rsidR="00BB0B23" w:rsidRPr="00223286">
        <w:rPr>
          <w:noProof/>
          <w:lang w:val="sq-AL"/>
        </w:rPr>
        <w:t>,</w:t>
      </w:r>
      <w:r w:rsidRPr="00223286">
        <w:rPr>
          <w:noProof/>
          <w:lang w:val="sq-AL"/>
        </w:rPr>
        <w:t xml:space="preserve"> si dhe parashikohet e drej</w:t>
      </w:r>
      <w:r w:rsidR="008B39C4" w:rsidRPr="00223286">
        <w:rPr>
          <w:noProof/>
          <w:lang w:val="sq-AL"/>
        </w:rPr>
        <w:t>ta</w:t>
      </w:r>
      <w:r w:rsidRPr="00223286">
        <w:rPr>
          <w:noProof/>
          <w:lang w:val="sq-AL"/>
        </w:rPr>
        <w:t xml:space="preserve"> e konsumatorit dhe detyrimi </w:t>
      </w:r>
      <w:r w:rsidR="008B39C4" w:rsidRPr="00223286">
        <w:rPr>
          <w:noProof/>
          <w:lang w:val="sq-AL"/>
        </w:rPr>
        <w:t>i</w:t>
      </w:r>
      <w:r w:rsidRPr="00223286">
        <w:rPr>
          <w:noProof/>
          <w:lang w:val="sq-AL"/>
        </w:rPr>
        <w:t xml:space="preserve"> bank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s p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r njoftimin e konsumatorit </w:t>
      </w:r>
      <w:r w:rsidR="008B39C4" w:rsidRPr="00223286">
        <w:rPr>
          <w:noProof/>
          <w:lang w:val="sq-AL"/>
        </w:rPr>
        <w:t>mbi</w:t>
      </w:r>
      <w:r w:rsidRPr="00223286">
        <w:rPr>
          <w:noProof/>
          <w:lang w:val="sq-AL"/>
        </w:rPr>
        <w:t xml:space="preserve"> t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drejt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n e tij p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r ankimim pran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B</w:t>
      </w:r>
      <w:r w:rsidR="00BB0B23" w:rsidRPr="00223286">
        <w:rPr>
          <w:noProof/>
          <w:lang w:val="sq-AL"/>
        </w:rPr>
        <w:t>ank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>s s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 xml:space="preserve"> </w:t>
      </w:r>
      <w:r w:rsidRPr="00223286">
        <w:rPr>
          <w:noProof/>
          <w:lang w:val="sq-AL"/>
        </w:rPr>
        <w:t>S</w:t>
      </w:r>
      <w:r w:rsidR="00BB0B23" w:rsidRPr="00223286">
        <w:rPr>
          <w:noProof/>
          <w:lang w:val="sq-AL"/>
        </w:rPr>
        <w:t>hqip</w:t>
      </w:r>
      <w:r w:rsidR="00E53196">
        <w:rPr>
          <w:noProof/>
          <w:lang w:val="sq-AL"/>
        </w:rPr>
        <w:t>ë</w:t>
      </w:r>
      <w:r w:rsidR="00BB0B23" w:rsidRPr="00223286">
        <w:rPr>
          <w:noProof/>
          <w:lang w:val="sq-AL"/>
        </w:rPr>
        <w:t>ris</w:t>
      </w:r>
      <w:r w:rsidR="00E5319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dhe procedur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n e paraqitjes s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ankes</w:t>
      </w:r>
      <w:r w:rsidR="00EF03B9" w:rsidRPr="00223286">
        <w:rPr>
          <w:noProof/>
          <w:lang w:val="sq-AL"/>
        </w:rPr>
        <w:t>ë</w:t>
      </w:r>
      <w:r w:rsidRPr="00223286">
        <w:rPr>
          <w:noProof/>
          <w:lang w:val="sq-AL"/>
        </w:rPr>
        <w:t>s.</w:t>
      </w:r>
    </w:p>
    <w:p w14:paraId="7F014A5D" w14:textId="77777777" w:rsidR="005B03EC" w:rsidRPr="00223286" w:rsidRDefault="005B03EC" w:rsidP="00161607">
      <w:pPr>
        <w:spacing w:line="276" w:lineRule="auto"/>
        <w:jc w:val="both"/>
        <w:rPr>
          <w:noProof/>
          <w:lang w:val="sq-AL"/>
        </w:rPr>
      </w:pPr>
    </w:p>
    <w:p w14:paraId="6F8ED0DC" w14:textId="50019D0C" w:rsidR="00F476DE" w:rsidRPr="00223286" w:rsidRDefault="00B343F6" w:rsidP="00161607">
      <w:pPr>
        <w:spacing w:line="276" w:lineRule="auto"/>
        <w:jc w:val="both"/>
        <w:rPr>
          <w:noProof/>
          <w:lang w:val="sq-AL"/>
        </w:rPr>
      </w:pPr>
      <w:r w:rsidRPr="00223286">
        <w:rPr>
          <w:noProof/>
          <w:lang w:val="sq-AL"/>
        </w:rPr>
        <w:t>Nj</w:t>
      </w:r>
      <w:r w:rsidR="00E5319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tjet</w:t>
      </w:r>
      <w:r w:rsidR="00E53196">
        <w:rPr>
          <w:noProof/>
          <w:lang w:val="sq-AL"/>
        </w:rPr>
        <w:t>ë</w:t>
      </w:r>
      <w:r w:rsidRPr="00223286">
        <w:rPr>
          <w:noProof/>
          <w:lang w:val="sq-AL"/>
        </w:rPr>
        <w:t>r p</w:t>
      </w:r>
      <w:r w:rsidR="00F53457" w:rsidRPr="00223286">
        <w:rPr>
          <w:noProof/>
          <w:lang w:val="sq-AL"/>
        </w:rPr>
        <w:t xml:space="preserve">arashikim </w:t>
      </w:r>
      <w:r w:rsidRPr="00223286">
        <w:rPr>
          <w:noProof/>
          <w:lang w:val="sq-AL"/>
        </w:rPr>
        <w:t>n</w:t>
      </w:r>
      <w:r w:rsidR="00E5319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nenin 9 t</w:t>
      </w:r>
      <w:r w:rsidR="00E53196">
        <w:rPr>
          <w:noProof/>
          <w:lang w:val="sq-AL"/>
        </w:rPr>
        <w:t>ë</w:t>
      </w:r>
      <w:r w:rsidRPr="00223286">
        <w:rPr>
          <w:noProof/>
          <w:lang w:val="sq-AL"/>
        </w:rPr>
        <w:t xml:space="preserve"> projektligjit </w:t>
      </w:r>
      <w:r w:rsidR="00EF03B9" w:rsidRPr="00223286">
        <w:rPr>
          <w:noProof/>
          <w:lang w:val="sq-AL"/>
        </w:rPr>
        <w:t>ë</w:t>
      </w:r>
      <w:r w:rsidR="00F53457" w:rsidRPr="00223286">
        <w:rPr>
          <w:noProof/>
          <w:lang w:val="sq-AL"/>
        </w:rPr>
        <w:t>sht</w:t>
      </w:r>
      <w:r w:rsidR="00EF03B9" w:rsidRPr="00223286">
        <w:rPr>
          <w:noProof/>
          <w:lang w:val="sq-AL"/>
        </w:rPr>
        <w:t>ë</w:t>
      </w:r>
      <w:r w:rsidR="00F53457" w:rsidRPr="00223286">
        <w:rPr>
          <w:noProof/>
          <w:lang w:val="sq-AL"/>
        </w:rPr>
        <w:t xml:space="preserve"> </w:t>
      </w:r>
      <w:r w:rsidR="00F476DE" w:rsidRPr="00223286">
        <w:rPr>
          <w:noProof/>
          <w:lang w:val="sq-AL"/>
        </w:rPr>
        <w:t>dhe</w:t>
      </w:r>
      <w:r w:rsidR="00D83B50" w:rsidRPr="00223286">
        <w:rPr>
          <w:noProof/>
          <w:lang w:val="sq-AL"/>
        </w:rPr>
        <w:t xml:space="preserve"> detyrimi </w:t>
      </w:r>
      <w:r w:rsidR="008B39C4" w:rsidRPr="00223286">
        <w:rPr>
          <w:noProof/>
          <w:lang w:val="sq-AL"/>
        </w:rPr>
        <w:t>i bank</w:t>
      </w:r>
      <w:r w:rsidR="00EF03B9" w:rsidRPr="00223286">
        <w:rPr>
          <w:noProof/>
          <w:lang w:val="sq-AL"/>
        </w:rPr>
        <w:t>ë</w:t>
      </w:r>
      <w:r w:rsidR="008B39C4" w:rsidRPr="00223286">
        <w:rPr>
          <w:noProof/>
          <w:lang w:val="sq-AL"/>
        </w:rPr>
        <w:t xml:space="preserve">s </w:t>
      </w:r>
      <w:r w:rsidR="00D83B50" w:rsidRPr="00223286">
        <w:rPr>
          <w:noProof/>
          <w:lang w:val="sq-AL"/>
        </w:rPr>
        <w:t>p</w:t>
      </w:r>
      <w:r w:rsidR="00EF03B9" w:rsidRPr="00223286">
        <w:rPr>
          <w:noProof/>
          <w:lang w:val="sq-AL"/>
        </w:rPr>
        <w:t>ë</w:t>
      </w:r>
      <w:r w:rsidR="00D83B50" w:rsidRPr="00223286">
        <w:rPr>
          <w:noProof/>
          <w:lang w:val="sq-AL"/>
        </w:rPr>
        <w:t>r informim t</w:t>
      </w:r>
      <w:r w:rsidR="00EF03B9" w:rsidRPr="00223286">
        <w:rPr>
          <w:noProof/>
          <w:lang w:val="sq-AL"/>
        </w:rPr>
        <w:t>ë</w:t>
      </w:r>
      <w:r w:rsidR="00D83B50" w:rsidRPr="00223286">
        <w:rPr>
          <w:noProof/>
          <w:lang w:val="sq-AL"/>
        </w:rPr>
        <w:t xml:space="preserve"> konsumator</w:t>
      </w:r>
      <w:r w:rsidR="00EF03B9" w:rsidRPr="00223286">
        <w:rPr>
          <w:noProof/>
          <w:lang w:val="sq-AL"/>
        </w:rPr>
        <w:t>ë</w:t>
      </w:r>
      <w:r w:rsidR="00D83B50" w:rsidRPr="00223286">
        <w:rPr>
          <w:noProof/>
          <w:lang w:val="sq-AL"/>
        </w:rPr>
        <w:t>ve</w:t>
      </w:r>
      <w:r w:rsidR="008B39C4" w:rsidRPr="00223286">
        <w:rPr>
          <w:noProof/>
          <w:lang w:val="sq-AL"/>
        </w:rPr>
        <w:t xml:space="preserve"> t</w:t>
      </w:r>
      <w:r w:rsidR="00EF03B9" w:rsidRPr="00223286">
        <w:rPr>
          <w:noProof/>
          <w:lang w:val="sq-AL"/>
        </w:rPr>
        <w:t>ë</w:t>
      </w:r>
      <w:r w:rsidR="008B39C4" w:rsidRPr="00223286">
        <w:rPr>
          <w:noProof/>
          <w:lang w:val="sq-AL"/>
        </w:rPr>
        <w:t xml:space="preserve"> </w:t>
      </w:r>
      <w:r w:rsidRPr="00223286">
        <w:rPr>
          <w:noProof/>
          <w:lang w:val="sq-AL"/>
        </w:rPr>
        <w:t>ç</w:t>
      </w:r>
      <w:r w:rsidR="008B39C4" w:rsidRPr="00223286">
        <w:rPr>
          <w:noProof/>
          <w:lang w:val="sq-AL"/>
        </w:rPr>
        <w:t>do informacion</w:t>
      </w:r>
      <w:r w:rsidR="0086029F" w:rsidRPr="00223286">
        <w:rPr>
          <w:noProof/>
          <w:lang w:val="sq-AL"/>
        </w:rPr>
        <w:t>i</w:t>
      </w:r>
      <w:r w:rsidR="008B39C4" w:rsidRPr="00223286">
        <w:rPr>
          <w:noProof/>
          <w:lang w:val="sq-AL"/>
        </w:rPr>
        <w:t xml:space="preserve"> n</w:t>
      </w:r>
      <w:r w:rsidR="00EF03B9" w:rsidRPr="00223286">
        <w:rPr>
          <w:noProof/>
          <w:lang w:val="sq-AL"/>
        </w:rPr>
        <w:t>ë</w:t>
      </w:r>
      <w:r w:rsidR="008B39C4" w:rsidRPr="00223286">
        <w:rPr>
          <w:noProof/>
          <w:lang w:val="sq-AL"/>
        </w:rPr>
        <w:t xml:space="preserve"> lidhje me tiparet e llogaris</w:t>
      </w:r>
      <w:r w:rsidR="00EF03B9" w:rsidRPr="00223286">
        <w:rPr>
          <w:noProof/>
          <w:lang w:val="sq-AL"/>
        </w:rPr>
        <w:t>ë</w:t>
      </w:r>
      <w:r w:rsidR="008B39C4" w:rsidRPr="00223286">
        <w:rPr>
          <w:noProof/>
          <w:lang w:val="sq-AL"/>
        </w:rPr>
        <w:t xml:space="preserve"> </w:t>
      </w:r>
      <w:r w:rsidR="0086029F" w:rsidRPr="00223286">
        <w:rPr>
          <w:noProof/>
          <w:lang w:val="sq-AL"/>
        </w:rPr>
        <w:t xml:space="preserve">së pagesave me shërbime bazike </w:t>
      </w:r>
      <w:r w:rsidR="008B39C4" w:rsidRPr="00223286">
        <w:rPr>
          <w:noProof/>
          <w:lang w:val="sq-AL"/>
        </w:rPr>
        <w:t>dhe kushtet e p</w:t>
      </w:r>
      <w:r w:rsidR="00EF03B9" w:rsidRPr="00223286">
        <w:rPr>
          <w:noProof/>
          <w:lang w:val="sq-AL"/>
        </w:rPr>
        <w:t>ë</w:t>
      </w:r>
      <w:r w:rsidR="008B39C4" w:rsidRPr="00223286">
        <w:rPr>
          <w:noProof/>
          <w:lang w:val="sq-AL"/>
        </w:rPr>
        <w:t>rdorimit t</w:t>
      </w:r>
      <w:r w:rsidR="00EF03B9" w:rsidRPr="00223286">
        <w:rPr>
          <w:noProof/>
          <w:lang w:val="sq-AL"/>
        </w:rPr>
        <w:t>ë</w:t>
      </w:r>
      <w:r w:rsidR="008B39C4" w:rsidRPr="00223286">
        <w:rPr>
          <w:noProof/>
          <w:lang w:val="sq-AL"/>
        </w:rPr>
        <w:t xml:space="preserve"> saj</w:t>
      </w:r>
      <w:r w:rsidR="0086029F" w:rsidRPr="00223286">
        <w:rPr>
          <w:noProof/>
          <w:lang w:val="sq-AL"/>
        </w:rPr>
        <w:t>,</w:t>
      </w:r>
      <w:r w:rsidR="008B39C4" w:rsidRPr="00223286">
        <w:rPr>
          <w:noProof/>
          <w:lang w:val="sq-AL"/>
        </w:rPr>
        <w:t xml:space="preserve"> si dhe publikimin e k</w:t>
      </w:r>
      <w:r w:rsidR="00EF03B9" w:rsidRPr="00223286">
        <w:rPr>
          <w:noProof/>
          <w:lang w:val="sq-AL"/>
        </w:rPr>
        <w:t>ë</w:t>
      </w:r>
      <w:r w:rsidR="008B39C4" w:rsidRPr="00223286">
        <w:rPr>
          <w:noProof/>
          <w:lang w:val="sq-AL"/>
        </w:rPr>
        <w:t>tij informacioni n</w:t>
      </w:r>
      <w:r w:rsidR="00EF03B9" w:rsidRPr="00223286">
        <w:rPr>
          <w:noProof/>
          <w:lang w:val="sq-AL"/>
        </w:rPr>
        <w:t>ë</w:t>
      </w:r>
      <w:r w:rsidR="008B39C4" w:rsidRPr="00223286">
        <w:rPr>
          <w:noProof/>
          <w:lang w:val="sq-AL"/>
        </w:rPr>
        <w:t xml:space="preserve"> hap</w:t>
      </w:r>
      <w:r w:rsidR="00EF03B9" w:rsidRPr="00223286">
        <w:rPr>
          <w:noProof/>
          <w:lang w:val="sq-AL"/>
        </w:rPr>
        <w:t>ë</w:t>
      </w:r>
      <w:r w:rsidR="008B39C4" w:rsidRPr="00223286">
        <w:rPr>
          <w:noProof/>
          <w:lang w:val="sq-AL"/>
        </w:rPr>
        <w:t>sira t</w:t>
      </w:r>
      <w:r w:rsidR="00EF03B9" w:rsidRPr="00223286">
        <w:rPr>
          <w:noProof/>
          <w:lang w:val="sq-AL"/>
        </w:rPr>
        <w:t>ë</w:t>
      </w:r>
      <w:r w:rsidR="008B39C4" w:rsidRPr="00223286">
        <w:rPr>
          <w:noProof/>
          <w:lang w:val="sq-AL"/>
        </w:rPr>
        <w:t xml:space="preserve"> dukshme dhe n</w:t>
      </w:r>
      <w:r w:rsidR="00EF03B9" w:rsidRPr="00223286">
        <w:rPr>
          <w:noProof/>
          <w:lang w:val="sq-AL"/>
        </w:rPr>
        <w:t>ë</w:t>
      </w:r>
      <w:r w:rsidR="008B39C4" w:rsidRPr="00223286">
        <w:rPr>
          <w:noProof/>
          <w:lang w:val="sq-AL"/>
        </w:rPr>
        <w:t xml:space="preserve"> faqen zyrtare t</w:t>
      </w:r>
      <w:r w:rsidR="00EF03B9" w:rsidRPr="00223286">
        <w:rPr>
          <w:noProof/>
          <w:lang w:val="sq-AL"/>
        </w:rPr>
        <w:t>ë</w:t>
      </w:r>
      <w:r w:rsidR="008B39C4" w:rsidRPr="00223286">
        <w:rPr>
          <w:noProof/>
          <w:lang w:val="sq-AL"/>
        </w:rPr>
        <w:t xml:space="preserve"> inter</w:t>
      </w:r>
      <w:r w:rsidR="004C784F" w:rsidRPr="00223286">
        <w:rPr>
          <w:noProof/>
          <w:lang w:val="sq-AL"/>
        </w:rPr>
        <w:t>netit t</w:t>
      </w:r>
      <w:r w:rsidR="00EF03B9" w:rsidRPr="00223286">
        <w:rPr>
          <w:noProof/>
          <w:lang w:val="sq-AL"/>
        </w:rPr>
        <w:t>ë</w:t>
      </w:r>
      <w:r w:rsidR="004C784F" w:rsidRPr="00223286">
        <w:rPr>
          <w:noProof/>
          <w:lang w:val="sq-AL"/>
        </w:rPr>
        <w:t xml:space="preserve"> bank</w:t>
      </w:r>
      <w:r w:rsidR="00EF03B9" w:rsidRPr="00223286">
        <w:rPr>
          <w:noProof/>
          <w:lang w:val="sq-AL"/>
        </w:rPr>
        <w:t>ë</w:t>
      </w:r>
      <w:r w:rsidR="004C784F" w:rsidRPr="00223286">
        <w:rPr>
          <w:noProof/>
          <w:lang w:val="sq-AL"/>
        </w:rPr>
        <w:t>s, ku p</w:t>
      </w:r>
      <w:r w:rsidR="00EF03B9" w:rsidRPr="00223286">
        <w:rPr>
          <w:noProof/>
          <w:lang w:val="sq-AL"/>
        </w:rPr>
        <w:t>ë</w:t>
      </w:r>
      <w:r w:rsidR="004C784F" w:rsidRPr="00223286">
        <w:rPr>
          <w:noProof/>
          <w:lang w:val="sq-AL"/>
        </w:rPr>
        <w:t>rcaktohet qartazi q</w:t>
      </w:r>
      <w:r w:rsidR="00EF03B9" w:rsidRPr="00223286">
        <w:rPr>
          <w:noProof/>
          <w:lang w:val="sq-AL"/>
        </w:rPr>
        <w:t>ë</w:t>
      </w:r>
      <w:r w:rsidR="004C784F" w:rsidRPr="00223286">
        <w:rPr>
          <w:noProof/>
          <w:lang w:val="sq-AL"/>
        </w:rPr>
        <w:t xml:space="preserve"> ky informacion iu ofrohet konsumator</w:t>
      </w:r>
      <w:r w:rsidR="00EF03B9" w:rsidRPr="00223286">
        <w:rPr>
          <w:noProof/>
          <w:lang w:val="sq-AL"/>
        </w:rPr>
        <w:t>ë</w:t>
      </w:r>
      <w:r w:rsidR="004C784F" w:rsidRPr="00223286">
        <w:rPr>
          <w:noProof/>
          <w:lang w:val="sq-AL"/>
        </w:rPr>
        <w:t>ve pa pages</w:t>
      </w:r>
      <w:r w:rsidR="00EF03B9" w:rsidRPr="00223286">
        <w:rPr>
          <w:noProof/>
          <w:lang w:val="sq-AL"/>
        </w:rPr>
        <w:t>ë</w:t>
      </w:r>
      <w:r w:rsidR="004C784F" w:rsidRPr="00223286">
        <w:rPr>
          <w:noProof/>
          <w:lang w:val="sq-AL"/>
        </w:rPr>
        <w:t xml:space="preserve">. </w:t>
      </w:r>
    </w:p>
    <w:p w14:paraId="3FF4B5FE" w14:textId="36CF0767" w:rsidR="00C67BBB" w:rsidRPr="00223286" w:rsidRDefault="00B343F6" w:rsidP="00C67BBB">
      <w:pPr>
        <w:spacing w:line="276" w:lineRule="auto"/>
        <w:jc w:val="both"/>
        <w:rPr>
          <w:noProof/>
          <w:lang w:val="sq-AL"/>
        </w:rPr>
      </w:pPr>
      <w:r w:rsidRPr="00223286">
        <w:rPr>
          <w:noProof/>
          <w:lang w:val="sq-AL"/>
        </w:rPr>
        <w:t xml:space="preserve">Kërkesa të tjera të parashikuara </w:t>
      </w:r>
      <w:r w:rsidR="0086029F" w:rsidRPr="00223286">
        <w:rPr>
          <w:noProof/>
          <w:lang w:val="sq-AL"/>
        </w:rPr>
        <w:t>n</w:t>
      </w:r>
      <w:r w:rsidR="00E53196">
        <w:rPr>
          <w:noProof/>
          <w:lang w:val="sq-AL"/>
        </w:rPr>
        <w:t>ë</w:t>
      </w:r>
      <w:r w:rsidR="0086029F" w:rsidRPr="00223286">
        <w:rPr>
          <w:noProof/>
          <w:lang w:val="sq-AL"/>
        </w:rPr>
        <w:t xml:space="preserve"> nenet 10 dhe 11 </w:t>
      </w:r>
      <w:r w:rsidRPr="00223286">
        <w:rPr>
          <w:noProof/>
          <w:lang w:val="sq-AL"/>
        </w:rPr>
        <w:t xml:space="preserve">janë edhe e drejta e konsumatorit </w:t>
      </w:r>
      <w:r w:rsidR="0086029F" w:rsidRPr="00223286">
        <w:rPr>
          <w:noProof/>
          <w:lang w:val="sq-AL"/>
        </w:rPr>
        <w:t>p</w:t>
      </w:r>
      <w:r w:rsidR="00E53196">
        <w:rPr>
          <w:noProof/>
          <w:lang w:val="sq-AL"/>
        </w:rPr>
        <w:t>ë</w:t>
      </w:r>
      <w:r w:rsidR="0086029F" w:rsidRPr="00223286">
        <w:rPr>
          <w:noProof/>
          <w:lang w:val="sq-AL"/>
        </w:rPr>
        <w:t>r ankimim n</w:t>
      </w:r>
      <w:r w:rsidR="00E53196">
        <w:rPr>
          <w:noProof/>
          <w:lang w:val="sq-AL"/>
        </w:rPr>
        <w:t>ë</w:t>
      </w:r>
      <w:r w:rsidR="0086029F" w:rsidRPr="00223286">
        <w:rPr>
          <w:noProof/>
          <w:lang w:val="sq-AL"/>
        </w:rPr>
        <w:t xml:space="preserve"> Bank</w:t>
      </w:r>
      <w:r w:rsidR="00E53196">
        <w:rPr>
          <w:noProof/>
          <w:lang w:val="sq-AL"/>
        </w:rPr>
        <w:t>ë</w:t>
      </w:r>
      <w:r w:rsidR="0086029F" w:rsidRPr="00223286">
        <w:rPr>
          <w:noProof/>
          <w:lang w:val="sq-AL"/>
        </w:rPr>
        <w:t>n e Shqip</w:t>
      </w:r>
      <w:r w:rsidR="00E53196">
        <w:rPr>
          <w:noProof/>
          <w:lang w:val="sq-AL"/>
        </w:rPr>
        <w:t>ë</w:t>
      </w:r>
      <w:r w:rsidR="0086029F" w:rsidRPr="00223286">
        <w:rPr>
          <w:noProof/>
          <w:lang w:val="sq-AL"/>
        </w:rPr>
        <w:t>ris</w:t>
      </w:r>
      <w:r w:rsidR="00E53196">
        <w:rPr>
          <w:noProof/>
          <w:lang w:val="sq-AL"/>
        </w:rPr>
        <w:t>ë</w:t>
      </w:r>
      <w:r w:rsidR="0086029F" w:rsidRPr="00223286">
        <w:rPr>
          <w:noProof/>
          <w:lang w:val="sq-AL"/>
        </w:rPr>
        <w:t xml:space="preserve">, si dhe </w:t>
      </w:r>
      <w:r w:rsidRPr="00223286">
        <w:rPr>
          <w:noProof/>
          <w:lang w:val="sq-AL"/>
        </w:rPr>
        <w:t xml:space="preserve">për të konvertuar një llogari pagesash </w:t>
      </w:r>
      <w:r w:rsidR="0086029F" w:rsidRPr="00223286">
        <w:rPr>
          <w:noProof/>
          <w:lang w:val="sq-AL"/>
        </w:rPr>
        <w:t xml:space="preserve">ekzistuese </w:t>
      </w:r>
      <w:r w:rsidRPr="00223286">
        <w:rPr>
          <w:noProof/>
          <w:lang w:val="sq-AL"/>
        </w:rPr>
        <w:t>në një llogari pagesash me shërbime bazike</w:t>
      </w:r>
      <w:r w:rsidR="0086029F" w:rsidRPr="00223286">
        <w:rPr>
          <w:noProof/>
          <w:lang w:val="sq-AL"/>
        </w:rPr>
        <w:t>, ose duke hapur një llogari të re e duke mbyllur atë ekzistuese, nëse plotëso</w:t>
      </w:r>
      <w:r w:rsidR="008C135C" w:rsidRPr="00223286">
        <w:rPr>
          <w:noProof/>
          <w:lang w:val="sq-AL"/>
        </w:rPr>
        <w:t>hen</w:t>
      </w:r>
      <w:r w:rsidR="0086029F" w:rsidRPr="00223286">
        <w:rPr>
          <w:noProof/>
          <w:lang w:val="sq-AL"/>
        </w:rPr>
        <w:t xml:space="preserve"> kushtet e parashikuara në </w:t>
      </w:r>
      <w:r w:rsidR="008C135C" w:rsidRPr="00223286">
        <w:rPr>
          <w:noProof/>
          <w:lang w:val="sq-AL"/>
        </w:rPr>
        <w:t>projekt</w:t>
      </w:r>
      <w:r w:rsidR="0086029F" w:rsidRPr="00223286">
        <w:rPr>
          <w:noProof/>
          <w:lang w:val="sq-AL"/>
        </w:rPr>
        <w:t>ligj</w:t>
      </w:r>
      <w:r w:rsidRPr="00223286">
        <w:rPr>
          <w:noProof/>
          <w:lang w:val="sq-AL"/>
        </w:rPr>
        <w:t>.</w:t>
      </w:r>
      <w:r w:rsidR="00C67BBB" w:rsidRPr="00223286">
        <w:rPr>
          <w:noProof/>
          <w:lang w:val="sq-AL"/>
        </w:rPr>
        <w:t xml:space="preserve"> Ankesat e konsumatorëve për mos hapjen e llogarisë bazike nga ana e bankave do të shoqërohen me kërkesën nga ana e Bankës së Shqipërisë ndaj bankës, për hapjen e kësaj llogarie brenda 15 ditësh pune pas paraqitjes së kësaj kërkese. Gjithmonë kërkesa do vijojë pas shqyrtimit të paraqitjes së ankesës nga ana e konsumatorit dhe kur vlerësohet se nuk ka baza të arsyeshme për refuzimin e hapjes.  </w:t>
      </w:r>
    </w:p>
    <w:p w14:paraId="54EF8A85" w14:textId="20C3F5C2" w:rsidR="00896C1B" w:rsidRPr="00223286" w:rsidRDefault="00896C1B" w:rsidP="00161607">
      <w:pPr>
        <w:spacing w:line="276" w:lineRule="auto"/>
        <w:jc w:val="both"/>
        <w:rPr>
          <w:noProof/>
          <w:lang w:val="sq-AL"/>
        </w:rPr>
      </w:pPr>
    </w:p>
    <w:p w14:paraId="04A2013D" w14:textId="59F09DDC" w:rsidR="00984B80" w:rsidRPr="00223286" w:rsidRDefault="00896C1B" w:rsidP="00161607">
      <w:pPr>
        <w:spacing w:line="276" w:lineRule="auto"/>
        <w:jc w:val="both"/>
        <w:rPr>
          <w:noProof/>
          <w:lang w:val="sq-AL"/>
        </w:rPr>
      </w:pPr>
      <w:r w:rsidRPr="00223286">
        <w:rPr>
          <w:noProof/>
          <w:lang w:val="sq-AL"/>
        </w:rPr>
        <w:t>Ky kre</w:t>
      </w:r>
      <w:r w:rsidR="008C135C" w:rsidRPr="00223286">
        <w:rPr>
          <w:noProof/>
          <w:lang w:val="sq-AL"/>
        </w:rPr>
        <w:t xml:space="preserve"> (neni 12)</w:t>
      </w:r>
      <w:r w:rsidRPr="00223286">
        <w:rPr>
          <w:noProof/>
          <w:lang w:val="sq-AL"/>
        </w:rPr>
        <w:t xml:space="preserve"> ka si </w:t>
      </w:r>
      <w:r w:rsidRPr="00223286">
        <w:rPr>
          <w:lang w:val="sq-AL"/>
        </w:rPr>
        <w:t xml:space="preserve">objektiv edhe krijimin e rregullave </w:t>
      </w:r>
      <w:r w:rsidR="008C135C" w:rsidRPr="00223286">
        <w:rPr>
          <w:lang w:val="sq-AL"/>
        </w:rPr>
        <w:t>p</w:t>
      </w:r>
      <w:r w:rsidRPr="00223286">
        <w:rPr>
          <w:lang w:val="sq-AL"/>
        </w:rPr>
        <w:t>ë</w:t>
      </w:r>
      <w:r w:rsidR="008C135C" w:rsidRPr="00223286">
        <w:rPr>
          <w:lang w:val="sq-AL"/>
        </w:rPr>
        <w:t>r</w:t>
      </w:r>
      <w:r w:rsidRPr="00223286">
        <w:rPr>
          <w:lang w:val="sq-AL"/>
        </w:rPr>
        <w:t xml:space="preserve"> </w:t>
      </w:r>
      <w:r w:rsidR="008C135C" w:rsidRPr="00223286">
        <w:rPr>
          <w:lang w:val="sq-AL"/>
        </w:rPr>
        <w:t xml:space="preserve">transparencën </w:t>
      </w:r>
      <w:r w:rsidRPr="00223286">
        <w:rPr>
          <w:lang w:val="sq-AL"/>
        </w:rPr>
        <w:t xml:space="preserve">dhe </w:t>
      </w:r>
      <w:r w:rsidR="00C67BBB" w:rsidRPr="00223286">
        <w:rPr>
          <w:lang w:val="sq-AL"/>
        </w:rPr>
        <w:t>sh</w:t>
      </w:r>
      <w:r w:rsidR="00E53196">
        <w:rPr>
          <w:lang w:val="sq-AL"/>
        </w:rPr>
        <w:t>ë</w:t>
      </w:r>
      <w:r w:rsidR="00C67BBB" w:rsidRPr="00223286">
        <w:rPr>
          <w:lang w:val="sq-AL"/>
        </w:rPr>
        <w:t>rbimin e transferimit t</w:t>
      </w:r>
      <w:r w:rsidR="00E53196">
        <w:rPr>
          <w:lang w:val="sq-AL"/>
        </w:rPr>
        <w:t>ë</w:t>
      </w:r>
      <w:r w:rsidR="00C67BBB" w:rsidRPr="00223286">
        <w:rPr>
          <w:lang w:val="sq-AL"/>
        </w:rPr>
        <w:t xml:space="preserve"> llogaris</w:t>
      </w:r>
      <w:r w:rsidR="00E53196">
        <w:rPr>
          <w:lang w:val="sq-AL"/>
        </w:rPr>
        <w:t>ë</w:t>
      </w:r>
      <w:r w:rsidR="00C67BBB" w:rsidRPr="00223286">
        <w:rPr>
          <w:lang w:val="sq-AL"/>
        </w:rPr>
        <w:t xml:space="preserve"> s</w:t>
      </w:r>
      <w:r w:rsidR="00E53196">
        <w:rPr>
          <w:lang w:val="sq-AL"/>
        </w:rPr>
        <w:t>ë</w:t>
      </w:r>
      <w:r w:rsidRPr="00223286">
        <w:rPr>
          <w:lang w:val="sq-AL"/>
        </w:rPr>
        <w:t xml:space="preserve"> pagesave </w:t>
      </w:r>
      <w:r w:rsidR="00C67BBB" w:rsidRPr="00223286">
        <w:rPr>
          <w:lang w:val="sq-AL"/>
        </w:rPr>
        <w:t>me sh</w:t>
      </w:r>
      <w:r w:rsidR="00E53196">
        <w:rPr>
          <w:lang w:val="sq-AL"/>
        </w:rPr>
        <w:t>ë</w:t>
      </w:r>
      <w:r w:rsidR="00C67BBB" w:rsidRPr="00223286">
        <w:rPr>
          <w:lang w:val="sq-AL"/>
        </w:rPr>
        <w:t xml:space="preserve">rbime </w:t>
      </w:r>
      <w:r w:rsidRPr="00223286">
        <w:rPr>
          <w:lang w:val="sq-AL"/>
        </w:rPr>
        <w:t>bazike</w:t>
      </w:r>
      <w:r w:rsidR="002A788B" w:rsidRPr="002A788B">
        <w:rPr>
          <w:lang w:val="sq-AL"/>
        </w:rPr>
        <w:t xml:space="preserve"> </w:t>
      </w:r>
      <w:r w:rsidR="002A788B">
        <w:rPr>
          <w:lang w:val="sq-AL"/>
        </w:rPr>
        <w:t xml:space="preserve">nga </w:t>
      </w:r>
      <w:r w:rsidR="002A788B" w:rsidRPr="00615B50">
        <w:rPr>
          <w:lang w:val="sq-AL"/>
        </w:rPr>
        <w:t>Banka e Shqipërisë</w:t>
      </w:r>
      <w:r w:rsidR="002A788B">
        <w:rPr>
          <w:lang w:val="sq-AL"/>
        </w:rPr>
        <w:t xml:space="preserve">, nëpërmjet </w:t>
      </w:r>
      <w:r w:rsidR="002A788B" w:rsidRPr="00615B50">
        <w:rPr>
          <w:lang w:val="sq-AL"/>
        </w:rPr>
        <w:t>akt</w:t>
      </w:r>
      <w:r w:rsidR="002A788B">
        <w:rPr>
          <w:lang w:val="sq-AL"/>
        </w:rPr>
        <w:t>eve</w:t>
      </w:r>
      <w:r w:rsidR="002A788B" w:rsidRPr="00615B50">
        <w:rPr>
          <w:lang w:val="sq-AL"/>
        </w:rPr>
        <w:t xml:space="preserve"> nënligjor</w:t>
      </w:r>
      <w:r w:rsidR="002A788B">
        <w:rPr>
          <w:lang w:val="sq-AL"/>
        </w:rPr>
        <w:t>e</w:t>
      </w:r>
      <w:r w:rsidRPr="00223286">
        <w:rPr>
          <w:lang w:val="sq-AL"/>
        </w:rPr>
        <w:t>.</w:t>
      </w:r>
      <w:r w:rsidR="00984B80" w:rsidRPr="00223286">
        <w:rPr>
          <w:noProof/>
          <w:lang w:val="sq-AL"/>
        </w:rPr>
        <w:t xml:space="preserve">  </w:t>
      </w:r>
    </w:p>
    <w:p w14:paraId="56162A5F" w14:textId="77777777" w:rsidR="00F37D09" w:rsidRPr="00223286" w:rsidRDefault="00F37D09" w:rsidP="00161607">
      <w:pPr>
        <w:spacing w:line="276" w:lineRule="auto"/>
        <w:jc w:val="both"/>
        <w:rPr>
          <w:noProof/>
          <w:lang w:val="sq-AL"/>
        </w:rPr>
      </w:pPr>
    </w:p>
    <w:p w14:paraId="430E8CD5" w14:textId="77777777" w:rsidR="00C6342C" w:rsidRPr="00010E6E" w:rsidRDefault="00C6342C" w:rsidP="00C6342C">
      <w:pPr>
        <w:jc w:val="both"/>
        <w:rPr>
          <w:lang w:val="sq-AL"/>
        </w:rPr>
      </w:pPr>
    </w:p>
    <w:p w14:paraId="203DAF02" w14:textId="77777777" w:rsidR="0002198C" w:rsidRPr="00010E6E" w:rsidRDefault="00896C1B" w:rsidP="00C77C03">
      <w:pPr>
        <w:pStyle w:val="ListParagraph"/>
        <w:shd w:val="clear" w:color="auto" w:fill="D9D9D9"/>
        <w:spacing w:after="0" w:line="240" w:lineRule="auto"/>
        <w:ind w:left="0" w:right="-234"/>
        <w:contextualSpacing w:val="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KREU</w:t>
      </w:r>
      <w:r w:rsidR="0068548B" w:rsidRPr="00010E6E">
        <w:rPr>
          <w:rFonts w:ascii="Times New Roman" w:hAnsi="Times New Roman"/>
          <w:b/>
          <w:sz w:val="24"/>
          <w:szCs w:val="24"/>
          <w:lang w:val="sq-AL"/>
        </w:rPr>
        <w:t xml:space="preserve"> III</w:t>
      </w:r>
      <w:r w:rsidR="00FA1823" w:rsidRPr="00010E6E">
        <w:rPr>
          <w:rFonts w:ascii="Times New Roman" w:hAnsi="Times New Roman"/>
          <w:b/>
          <w:sz w:val="24"/>
          <w:szCs w:val="24"/>
          <w:lang w:val="sq-AL"/>
        </w:rPr>
        <w:t>:</w:t>
      </w:r>
      <w:r w:rsidR="0002198C" w:rsidRPr="00010E6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q-AL"/>
        </w:rPr>
        <w:t>Autoritetet p</w:t>
      </w:r>
      <w:r w:rsidR="00EF03B9">
        <w:rPr>
          <w:rFonts w:ascii="Times New Roman" w:hAnsi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sz w:val="24"/>
          <w:szCs w:val="24"/>
          <w:lang w:val="sq-AL"/>
        </w:rPr>
        <w:t>rgjegj</w:t>
      </w:r>
      <w:r w:rsidR="00EF03B9">
        <w:rPr>
          <w:rFonts w:ascii="Times New Roman" w:hAnsi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sz w:val="24"/>
          <w:szCs w:val="24"/>
          <w:lang w:val="sq-AL"/>
        </w:rPr>
        <w:t>se, bashk</w:t>
      </w:r>
      <w:r w:rsidR="00EF03B9">
        <w:rPr>
          <w:rFonts w:ascii="Times New Roman" w:hAnsi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sz w:val="24"/>
          <w:szCs w:val="24"/>
          <w:lang w:val="sq-AL"/>
        </w:rPr>
        <w:t>punimi dhe sekreti profesional</w:t>
      </w:r>
    </w:p>
    <w:p w14:paraId="796F9B37" w14:textId="77777777" w:rsidR="0002198C" w:rsidRPr="00010E6E" w:rsidRDefault="0002198C" w:rsidP="0002198C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sq-AL"/>
        </w:rPr>
      </w:pPr>
    </w:p>
    <w:p w14:paraId="49A295B9" w14:textId="30FE007B" w:rsidR="004C784F" w:rsidRPr="00223286" w:rsidRDefault="0002198C" w:rsidP="00161607">
      <w:pPr>
        <w:spacing w:line="276" w:lineRule="auto"/>
        <w:jc w:val="both"/>
        <w:rPr>
          <w:lang w:val="sq-AL"/>
        </w:rPr>
      </w:pPr>
      <w:r w:rsidRPr="00223286">
        <w:rPr>
          <w:lang w:val="sq-AL"/>
        </w:rPr>
        <w:t xml:space="preserve">Ky </w:t>
      </w:r>
      <w:r w:rsidR="00FB0EF4" w:rsidRPr="00223286">
        <w:rPr>
          <w:lang w:val="sq-AL"/>
        </w:rPr>
        <w:t xml:space="preserve">kre (neni 13) </w:t>
      </w:r>
      <w:r w:rsidRPr="00223286">
        <w:rPr>
          <w:lang w:val="sq-AL"/>
        </w:rPr>
        <w:t xml:space="preserve">ka si objektiv </w:t>
      </w:r>
      <w:r w:rsidR="004C784F" w:rsidRPr="00223286">
        <w:rPr>
          <w:lang w:val="sq-AL"/>
        </w:rPr>
        <w:t>p</w:t>
      </w:r>
      <w:r w:rsidR="00EF03B9" w:rsidRPr="00223286">
        <w:rPr>
          <w:lang w:val="sq-AL"/>
        </w:rPr>
        <w:t>ë</w:t>
      </w:r>
      <w:r w:rsidR="004C784F" w:rsidRPr="00223286">
        <w:rPr>
          <w:lang w:val="sq-AL"/>
        </w:rPr>
        <w:t>rcaktimin e Bank</w:t>
      </w:r>
      <w:r w:rsidR="00EF03B9" w:rsidRPr="00223286">
        <w:rPr>
          <w:lang w:val="sq-AL"/>
        </w:rPr>
        <w:t>ë</w:t>
      </w:r>
      <w:r w:rsidR="004C784F" w:rsidRPr="00223286">
        <w:rPr>
          <w:lang w:val="sq-AL"/>
        </w:rPr>
        <w:t>s s</w:t>
      </w:r>
      <w:r w:rsidR="00EF03B9" w:rsidRPr="00223286">
        <w:rPr>
          <w:lang w:val="sq-AL"/>
        </w:rPr>
        <w:t>ë</w:t>
      </w:r>
      <w:r w:rsidR="004C784F" w:rsidRPr="00223286">
        <w:rPr>
          <w:lang w:val="sq-AL"/>
        </w:rPr>
        <w:t xml:space="preserve"> Shqip</w:t>
      </w:r>
      <w:r w:rsidR="00EF03B9" w:rsidRPr="00223286">
        <w:rPr>
          <w:lang w:val="sq-AL"/>
        </w:rPr>
        <w:t>ë</w:t>
      </w:r>
      <w:r w:rsidR="004C784F" w:rsidRPr="00223286">
        <w:rPr>
          <w:lang w:val="sq-AL"/>
        </w:rPr>
        <w:t>ris</w:t>
      </w:r>
      <w:r w:rsidR="00EF03B9" w:rsidRPr="00223286">
        <w:rPr>
          <w:lang w:val="sq-AL"/>
        </w:rPr>
        <w:t>ë</w:t>
      </w:r>
      <w:r w:rsidR="004C784F" w:rsidRPr="00223286">
        <w:rPr>
          <w:lang w:val="sq-AL"/>
        </w:rPr>
        <w:t xml:space="preserve"> si autoriteti p</w:t>
      </w:r>
      <w:r w:rsidR="00EF03B9" w:rsidRPr="00223286">
        <w:rPr>
          <w:lang w:val="sq-AL"/>
        </w:rPr>
        <w:t>ë</w:t>
      </w:r>
      <w:r w:rsidR="004C784F" w:rsidRPr="00223286">
        <w:rPr>
          <w:lang w:val="sq-AL"/>
        </w:rPr>
        <w:t>rgjegj</w:t>
      </w:r>
      <w:r w:rsidR="00EF03B9" w:rsidRPr="00223286">
        <w:rPr>
          <w:lang w:val="sq-AL"/>
        </w:rPr>
        <w:t>ë</w:t>
      </w:r>
      <w:r w:rsidR="004C784F" w:rsidRPr="00223286">
        <w:rPr>
          <w:lang w:val="sq-AL"/>
        </w:rPr>
        <w:t>s p</w:t>
      </w:r>
      <w:r w:rsidR="00EF03B9" w:rsidRPr="00223286">
        <w:rPr>
          <w:lang w:val="sq-AL"/>
        </w:rPr>
        <w:t>ë</w:t>
      </w:r>
      <w:r w:rsidR="004C784F" w:rsidRPr="00223286">
        <w:rPr>
          <w:lang w:val="sq-AL"/>
        </w:rPr>
        <w:t>r</w:t>
      </w:r>
      <w:r w:rsidR="00FB0EF4" w:rsidRPr="00223286">
        <w:rPr>
          <w:lang w:val="sq-AL"/>
        </w:rPr>
        <w:t xml:space="preserve"> ushtrimin e funksionit t</w:t>
      </w:r>
      <w:r w:rsidR="00E53196">
        <w:rPr>
          <w:lang w:val="sq-AL"/>
        </w:rPr>
        <w:t>ë</w:t>
      </w:r>
      <w:r w:rsidR="00FB0EF4" w:rsidRPr="00223286">
        <w:rPr>
          <w:lang w:val="sq-AL"/>
        </w:rPr>
        <w:t xml:space="preserve"> saj mbik</w:t>
      </w:r>
      <w:r w:rsidR="00E53196">
        <w:rPr>
          <w:lang w:val="sq-AL"/>
        </w:rPr>
        <w:t>ë</w:t>
      </w:r>
      <w:r w:rsidR="00FB0EF4" w:rsidRPr="00223286">
        <w:rPr>
          <w:lang w:val="sq-AL"/>
        </w:rPr>
        <w:t>qyr</w:t>
      </w:r>
      <w:r w:rsidR="00E53196">
        <w:rPr>
          <w:lang w:val="sq-AL"/>
        </w:rPr>
        <w:t>ë</w:t>
      </w:r>
      <w:r w:rsidR="00FB0EF4" w:rsidRPr="00223286">
        <w:rPr>
          <w:lang w:val="sq-AL"/>
        </w:rPr>
        <w:t>s n</w:t>
      </w:r>
      <w:r w:rsidR="00E53196">
        <w:rPr>
          <w:lang w:val="sq-AL"/>
        </w:rPr>
        <w:t>ë</w:t>
      </w:r>
      <w:r w:rsidR="00FB0EF4" w:rsidRPr="00223286">
        <w:rPr>
          <w:lang w:val="sq-AL"/>
        </w:rPr>
        <w:t xml:space="preserve"> lidhje me</w:t>
      </w:r>
      <w:r w:rsidR="004C784F" w:rsidRPr="00223286">
        <w:rPr>
          <w:lang w:val="sq-AL"/>
        </w:rPr>
        <w:t xml:space="preserve"> zbatimin e dispozitave t</w:t>
      </w:r>
      <w:r w:rsidR="00EF03B9" w:rsidRPr="00223286">
        <w:rPr>
          <w:lang w:val="sq-AL"/>
        </w:rPr>
        <w:t>ë</w:t>
      </w:r>
      <w:r w:rsidR="004C784F" w:rsidRPr="00223286">
        <w:rPr>
          <w:lang w:val="sq-AL"/>
        </w:rPr>
        <w:t xml:space="preserve"> </w:t>
      </w:r>
      <w:r w:rsidR="00FB0EF4" w:rsidRPr="00223286">
        <w:rPr>
          <w:lang w:val="sq-AL"/>
        </w:rPr>
        <w:t>projekt</w:t>
      </w:r>
      <w:r w:rsidR="004C784F" w:rsidRPr="00223286">
        <w:rPr>
          <w:lang w:val="sq-AL"/>
        </w:rPr>
        <w:t>ligji</w:t>
      </w:r>
      <w:r w:rsidR="00FB0EF4" w:rsidRPr="00223286">
        <w:rPr>
          <w:lang w:val="sq-AL"/>
        </w:rPr>
        <w:t>t</w:t>
      </w:r>
      <w:r w:rsidR="004C784F" w:rsidRPr="00223286">
        <w:rPr>
          <w:lang w:val="sq-AL"/>
        </w:rPr>
        <w:t>, duke bashk</w:t>
      </w:r>
      <w:r w:rsidR="00EF03B9" w:rsidRPr="00223286">
        <w:rPr>
          <w:lang w:val="sq-AL"/>
        </w:rPr>
        <w:t>ë</w:t>
      </w:r>
      <w:r w:rsidR="004C784F" w:rsidRPr="00223286">
        <w:rPr>
          <w:lang w:val="sq-AL"/>
        </w:rPr>
        <w:t>punuar edhe me autoritete t</w:t>
      </w:r>
      <w:r w:rsidR="00EF03B9" w:rsidRPr="00223286">
        <w:rPr>
          <w:lang w:val="sq-AL"/>
        </w:rPr>
        <w:t>ë</w:t>
      </w:r>
      <w:r w:rsidR="004C784F" w:rsidRPr="00223286">
        <w:rPr>
          <w:lang w:val="sq-AL"/>
        </w:rPr>
        <w:t xml:space="preserve"> tjera venda</w:t>
      </w:r>
      <w:r w:rsidR="0090064C" w:rsidRPr="00223286">
        <w:rPr>
          <w:lang w:val="sq-AL"/>
        </w:rPr>
        <w:t>s</w:t>
      </w:r>
      <w:r w:rsidR="004C784F" w:rsidRPr="00223286">
        <w:rPr>
          <w:lang w:val="sq-AL"/>
        </w:rPr>
        <w:t>e ose t</w:t>
      </w:r>
      <w:r w:rsidR="00EF03B9" w:rsidRPr="00223286">
        <w:rPr>
          <w:lang w:val="sq-AL"/>
        </w:rPr>
        <w:t>ë</w:t>
      </w:r>
      <w:r w:rsidR="004C784F" w:rsidRPr="00223286">
        <w:rPr>
          <w:lang w:val="sq-AL"/>
        </w:rPr>
        <w:t xml:space="preserve"> huaja. </w:t>
      </w:r>
    </w:p>
    <w:p w14:paraId="7D56C713" w14:textId="77777777" w:rsidR="004C784F" w:rsidRPr="00223286" w:rsidRDefault="004C784F" w:rsidP="00161607">
      <w:pPr>
        <w:spacing w:line="276" w:lineRule="auto"/>
        <w:jc w:val="both"/>
        <w:rPr>
          <w:lang w:val="sq-AL"/>
        </w:rPr>
      </w:pPr>
    </w:p>
    <w:p w14:paraId="05202130" w14:textId="4D7D2E34" w:rsidR="004C784F" w:rsidRPr="00223286" w:rsidRDefault="004C784F" w:rsidP="00161607">
      <w:pPr>
        <w:spacing w:line="276" w:lineRule="auto"/>
        <w:jc w:val="both"/>
        <w:rPr>
          <w:lang w:val="sq-AL"/>
        </w:rPr>
      </w:pPr>
      <w:r w:rsidRPr="00223286">
        <w:rPr>
          <w:lang w:val="sq-AL"/>
        </w:rPr>
        <w:t>N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 xml:space="preserve"> </w:t>
      </w:r>
      <w:r w:rsidR="00F31B29" w:rsidRPr="00223286">
        <w:rPr>
          <w:lang w:val="sq-AL"/>
        </w:rPr>
        <w:t>nenin 14</w:t>
      </w:r>
      <w:r w:rsidRPr="00223286">
        <w:rPr>
          <w:lang w:val="sq-AL"/>
        </w:rPr>
        <w:t xml:space="preserve"> p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>rcaktohet detyrimi i ruajtjes s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 xml:space="preserve"> sekretit profesional p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>r nj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 xml:space="preserve"> kategori t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 xml:space="preserve"> caktuar personash sipas parashikimeve t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 xml:space="preserve"> nenit 91 t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 xml:space="preserve"> Ligjit p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 xml:space="preserve">r bankat. </w:t>
      </w:r>
      <w:r w:rsidR="00F31B29" w:rsidRPr="00223286">
        <w:rPr>
          <w:lang w:val="sq-AL"/>
        </w:rPr>
        <w:t xml:space="preserve">Gjithashtu parashikohet e drejta e </w:t>
      </w:r>
      <w:r w:rsidR="00F31B29" w:rsidRPr="00223286">
        <w:rPr>
          <w:rFonts w:eastAsia="Arial Unicode MS"/>
          <w:lang w:val="sq-AL"/>
        </w:rPr>
        <w:t>Bank</w:t>
      </w:r>
      <w:r w:rsidR="00E53196">
        <w:rPr>
          <w:rFonts w:eastAsia="Arial Unicode MS"/>
          <w:lang w:val="sq-AL"/>
        </w:rPr>
        <w:t>ë</w:t>
      </w:r>
      <w:r w:rsidR="00F31B29" w:rsidRPr="00223286">
        <w:rPr>
          <w:rFonts w:eastAsia="Arial Unicode MS"/>
          <w:lang w:val="sq-AL"/>
        </w:rPr>
        <w:t>s s</w:t>
      </w:r>
      <w:r w:rsidR="00E53196">
        <w:rPr>
          <w:rFonts w:eastAsia="Arial Unicode MS"/>
          <w:lang w:val="sq-AL"/>
        </w:rPr>
        <w:t>ë</w:t>
      </w:r>
      <w:r w:rsidR="00F31B29" w:rsidRPr="00223286">
        <w:rPr>
          <w:rFonts w:eastAsia="Arial Unicode MS"/>
          <w:lang w:val="sq-AL"/>
        </w:rPr>
        <w:t xml:space="preserve"> Shqipërisë p</w:t>
      </w:r>
      <w:r w:rsidR="00E53196">
        <w:rPr>
          <w:rFonts w:eastAsia="Arial Unicode MS"/>
          <w:lang w:val="sq-AL"/>
        </w:rPr>
        <w:t>ë</w:t>
      </w:r>
      <w:r w:rsidR="00F31B29" w:rsidRPr="00223286">
        <w:rPr>
          <w:rFonts w:eastAsia="Arial Unicode MS"/>
          <w:lang w:val="sq-AL"/>
        </w:rPr>
        <w:t xml:space="preserve">r të shkëmbyer informacion me autoritetet mbikëqyrëse/bankat qendrore të huaja, duke respektuar parimin e reciprocitetit, të miratimit </w:t>
      </w:r>
      <w:r w:rsidR="00F31B29" w:rsidRPr="00223286">
        <w:rPr>
          <w:rFonts w:eastAsia="Arial Unicode MS"/>
          <w:lang w:val="sq-AL"/>
        </w:rPr>
        <w:lastRenderedPageBreak/>
        <w:t>paraprak dhe me kusht që të ruhet konfidencialiteti e të garantohet niveli i mbrojtjes së të dhënave personale.</w:t>
      </w:r>
    </w:p>
    <w:p w14:paraId="3CA5D686" w14:textId="77777777" w:rsidR="004C784F" w:rsidRPr="00161607" w:rsidRDefault="004C784F" w:rsidP="0002198C">
      <w:pPr>
        <w:jc w:val="both"/>
        <w:rPr>
          <w:sz w:val="22"/>
          <w:szCs w:val="22"/>
          <w:highlight w:val="yellow"/>
          <w:lang w:val="sq-AL"/>
        </w:rPr>
      </w:pPr>
    </w:p>
    <w:p w14:paraId="4123B356" w14:textId="77777777" w:rsidR="00BA62E9" w:rsidRPr="00010E6E" w:rsidRDefault="00BA62E9" w:rsidP="0002198C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sq-AL"/>
        </w:rPr>
      </w:pPr>
    </w:p>
    <w:p w14:paraId="11A3D039" w14:textId="77777777" w:rsidR="00BA62E9" w:rsidRPr="00010E6E" w:rsidRDefault="0002198C" w:rsidP="001D14B2">
      <w:pPr>
        <w:pStyle w:val="ListParagraph"/>
        <w:shd w:val="clear" w:color="auto" w:fill="D9D9D9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10E6E">
        <w:rPr>
          <w:rFonts w:ascii="Times New Roman" w:hAnsi="Times New Roman"/>
          <w:b/>
          <w:sz w:val="24"/>
          <w:szCs w:val="24"/>
          <w:lang w:val="sq-AL"/>
        </w:rPr>
        <w:t xml:space="preserve">Titulli </w:t>
      </w:r>
      <w:r w:rsidR="00896B6D" w:rsidRPr="00010E6E">
        <w:rPr>
          <w:rFonts w:ascii="Times New Roman" w:hAnsi="Times New Roman"/>
          <w:b/>
          <w:sz w:val="24"/>
          <w:szCs w:val="24"/>
          <w:lang w:val="sq-AL"/>
        </w:rPr>
        <w:t xml:space="preserve">V: </w:t>
      </w:r>
      <w:r w:rsidR="00BD3095" w:rsidRPr="00010E6E">
        <w:rPr>
          <w:rFonts w:ascii="Times New Roman" w:hAnsi="Times New Roman"/>
          <w:b/>
          <w:sz w:val="24"/>
          <w:szCs w:val="24"/>
          <w:lang w:val="sq-AL"/>
        </w:rPr>
        <w:t>Kund</w:t>
      </w:r>
      <w:r w:rsidR="005A721F" w:rsidRPr="00010E6E">
        <w:rPr>
          <w:rFonts w:ascii="Times New Roman" w:hAnsi="Times New Roman"/>
          <w:b/>
          <w:sz w:val="24"/>
          <w:szCs w:val="24"/>
          <w:lang w:val="sq-AL"/>
        </w:rPr>
        <w:t>ë</w:t>
      </w:r>
      <w:r w:rsidR="00BD3095" w:rsidRPr="00010E6E">
        <w:rPr>
          <w:rFonts w:ascii="Times New Roman" w:hAnsi="Times New Roman"/>
          <w:b/>
          <w:sz w:val="24"/>
          <w:szCs w:val="24"/>
          <w:lang w:val="sq-AL"/>
        </w:rPr>
        <w:t>rvajtjet administrative, s</w:t>
      </w:r>
      <w:r w:rsidR="00896B6D" w:rsidRPr="00010E6E">
        <w:rPr>
          <w:rFonts w:ascii="Times New Roman" w:hAnsi="Times New Roman"/>
          <w:b/>
          <w:sz w:val="24"/>
          <w:szCs w:val="24"/>
          <w:lang w:val="sq-AL"/>
        </w:rPr>
        <w:t>anksionet dhe ankimet</w:t>
      </w:r>
    </w:p>
    <w:p w14:paraId="5477D659" w14:textId="77777777" w:rsidR="00896B6D" w:rsidRPr="00010E6E" w:rsidRDefault="00896B6D" w:rsidP="00AB4D14">
      <w:pPr>
        <w:pStyle w:val="ListParagraph"/>
        <w:spacing w:after="0"/>
        <w:ind w:left="0"/>
        <w:contextualSpacing w:val="0"/>
        <w:rPr>
          <w:rFonts w:ascii="Times New Roman" w:hAnsi="Times New Roman"/>
          <w:sz w:val="24"/>
          <w:szCs w:val="24"/>
          <w:lang w:val="sq-AL"/>
        </w:rPr>
      </w:pPr>
    </w:p>
    <w:p w14:paraId="146704A7" w14:textId="3D337C0F" w:rsidR="006F2B09" w:rsidRPr="00223286" w:rsidRDefault="00F5414A" w:rsidP="00161607">
      <w:pPr>
        <w:spacing w:line="276" w:lineRule="auto"/>
        <w:contextualSpacing/>
        <w:jc w:val="both"/>
        <w:rPr>
          <w:lang w:val="sq-AL"/>
        </w:rPr>
      </w:pPr>
      <w:r w:rsidRPr="00223286">
        <w:rPr>
          <w:lang w:val="sq-AL"/>
        </w:rPr>
        <w:t xml:space="preserve">Ky </w:t>
      </w:r>
      <w:r w:rsidR="00F31B29" w:rsidRPr="00223286">
        <w:rPr>
          <w:lang w:val="sq-AL"/>
        </w:rPr>
        <w:t>projekt</w:t>
      </w:r>
      <w:r w:rsidRPr="00223286">
        <w:rPr>
          <w:lang w:val="sq-AL"/>
        </w:rPr>
        <w:t xml:space="preserve">ligj trajton edhe </w:t>
      </w:r>
      <w:r w:rsidR="00BD3095" w:rsidRPr="00223286">
        <w:rPr>
          <w:lang w:val="sq-AL"/>
        </w:rPr>
        <w:t>kund</w:t>
      </w:r>
      <w:r w:rsidR="005A721F" w:rsidRPr="00223286">
        <w:rPr>
          <w:lang w:val="sq-AL"/>
        </w:rPr>
        <w:t>ë</w:t>
      </w:r>
      <w:r w:rsidR="00BD3095" w:rsidRPr="00223286">
        <w:rPr>
          <w:lang w:val="sq-AL"/>
        </w:rPr>
        <w:t xml:space="preserve">rvajtjet administrative dhe </w:t>
      </w:r>
      <w:r w:rsidR="006F2B09" w:rsidRPr="00223286">
        <w:rPr>
          <w:lang w:val="sq-AL"/>
        </w:rPr>
        <w:t>sanksionet</w:t>
      </w:r>
      <w:r w:rsidRPr="00223286">
        <w:rPr>
          <w:lang w:val="sq-AL"/>
        </w:rPr>
        <w:t xml:space="preserve"> p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>r bankat</w:t>
      </w:r>
      <w:r w:rsidR="006D6A8C" w:rsidRPr="00223286">
        <w:rPr>
          <w:lang w:val="sq-AL"/>
        </w:rPr>
        <w:t>,</w:t>
      </w:r>
      <w:r w:rsidR="006F2B09" w:rsidRPr="00223286">
        <w:rPr>
          <w:lang w:val="sq-AL"/>
        </w:rPr>
        <w:t xml:space="preserve"> </w:t>
      </w:r>
      <w:r w:rsidRPr="00223286">
        <w:rPr>
          <w:lang w:val="sq-AL"/>
        </w:rPr>
        <w:t>si dhe</w:t>
      </w:r>
      <w:r w:rsidR="006F2B09" w:rsidRPr="00223286">
        <w:rPr>
          <w:lang w:val="sq-AL"/>
        </w:rPr>
        <w:t xml:space="preserve"> ankimet: ankimin administrativ dhe ankimin gjyq</w:t>
      </w:r>
      <w:r w:rsidR="00283EA6" w:rsidRPr="00223286">
        <w:rPr>
          <w:lang w:val="sq-AL"/>
        </w:rPr>
        <w:t>ë</w:t>
      </w:r>
      <w:r w:rsidR="006F2B09" w:rsidRPr="00223286">
        <w:rPr>
          <w:lang w:val="sq-AL"/>
        </w:rPr>
        <w:t>sor.</w:t>
      </w:r>
    </w:p>
    <w:p w14:paraId="4F2A38DC" w14:textId="77777777" w:rsidR="007C3D30" w:rsidRPr="00223286" w:rsidRDefault="007C3D30" w:rsidP="00161607">
      <w:pPr>
        <w:spacing w:line="276" w:lineRule="auto"/>
        <w:contextualSpacing/>
        <w:jc w:val="both"/>
        <w:rPr>
          <w:lang w:val="sq-AL"/>
        </w:rPr>
      </w:pPr>
    </w:p>
    <w:p w14:paraId="21D4209F" w14:textId="77777777" w:rsidR="006F2B09" w:rsidRPr="00223286" w:rsidRDefault="006F2B09" w:rsidP="00161607">
      <w:pPr>
        <w:spacing w:line="276" w:lineRule="auto"/>
        <w:contextualSpacing/>
        <w:jc w:val="both"/>
        <w:rPr>
          <w:lang w:val="sq-AL"/>
        </w:rPr>
      </w:pPr>
      <w:r w:rsidRPr="00223286">
        <w:rPr>
          <w:lang w:val="sq-AL"/>
        </w:rPr>
        <w:t>M</w:t>
      </w:r>
      <w:r w:rsidR="00283EA6" w:rsidRPr="00223286">
        <w:rPr>
          <w:lang w:val="sq-AL"/>
        </w:rPr>
        <w:t>ë</w:t>
      </w:r>
      <w:r w:rsidRPr="00223286">
        <w:rPr>
          <w:lang w:val="sq-AL"/>
        </w:rPr>
        <w:t xml:space="preserve"> konkretisht:</w:t>
      </w:r>
    </w:p>
    <w:p w14:paraId="61F43F4A" w14:textId="7A8E3018" w:rsidR="00896B6D" w:rsidRPr="00223286" w:rsidRDefault="00896B6D" w:rsidP="00161607">
      <w:pPr>
        <w:spacing w:line="276" w:lineRule="auto"/>
        <w:contextualSpacing/>
        <w:jc w:val="both"/>
        <w:rPr>
          <w:lang w:val="sq-AL"/>
        </w:rPr>
      </w:pPr>
      <w:r w:rsidRPr="00223286">
        <w:rPr>
          <w:lang w:val="sq-AL"/>
        </w:rPr>
        <w:t xml:space="preserve">Neni </w:t>
      </w:r>
      <w:r w:rsidR="00F5414A" w:rsidRPr="00223286">
        <w:rPr>
          <w:lang w:val="sq-AL"/>
        </w:rPr>
        <w:t>15</w:t>
      </w:r>
      <w:r w:rsidR="002908B1" w:rsidRPr="00223286">
        <w:rPr>
          <w:lang w:val="sq-AL"/>
        </w:rPr>
        <w:t xml:space="preserve"> </w:t>
      </w:r>
      <w:r w:rsidRPr="00223286">
        <w:rPr>
          <w:lang w:val="sq-AL"/>
        </w:rPr>
        <w:t xml:space="preserve">i projektligjit përcakton sanksionet </w:t>
      </w:r>
      <w:r w:rsidR="0036481B" w:rsidRPr="00223286">
        <w:rPr>
          <w:lang w:val="sq-AL"/>
        </w:rPr>
        <w:t xml:space="preserve">që </w:t>
      </w:r>
      <w:r w:rsidRPr="00223286">
        <w:rPr>
          <w:lang w:val="sq-AL"/>
        </w:rPr>
        <w:t xml:space="preserve">Banka e Shqipërisë si autoritet mbikëqyrës, ka të drejtë të vendosë ndaj </w:t>
      </w:r>
      <w:r w:rsidR="00F5414A" w:rsidRPr="00223286">
        <w:rPr>
          <w:lang w:val="sq-AL"/>
        </w:rPr>
        <w:t xml:space="preserve">bankave </w:t>
      </w:r>
      <w:r w:rsidR="002908B1" w:rsidRPr="00223286">
        <w:rPr>
          <w:lang w:val="sq-AL"/>
        </w:rPr>
        <w:t>n</w:t>
      </w:r>
      <w:r w:rsidR="005A721F" w:rsidRPr="00223286">
        <w:rPr>
          <w:lang w:val="sq-AL"/>
        </w:rPr>
        <w:t>ë</w:t>
      </w:r>
      <w:r w:rsidR="002908B1" w:rsidRPr="00223286">
        <w:rPr>
          <w:lang w:val="sq-AL"/>
        </w:rPr>
        <w:t xml:space="preserve"> rast konstatim</w:t>
      </w:r>
      <w:r w:rsidR="006D6A8C" w:rsidRPr="00223286">
        <w:rPr>
          <w:lang w:val="sq-AL"/>
        </w:rPr>
        <w:t>i</w:t>
      </w:r>
      <w:r w:rsidR="002908B1" w:rsidRPr="00223286">
        <w:rPr>
          <w:lang w:val="sq-AL"/>
        </w:rPr>
        <w:t xml:space="preserve"> shkeljesh t</w:t>
      </w:r>
      <w:r w:rsidR="005A721F" w:rsidRPr="00223286">
        <w:rPr>
          <w:lang w:val="sq-AL"/>
        </w:rPr>
        <w:t>ë</w:t>
      </w:r>
      <w:r w:rsidR="002908B1" w:rsidRPr="00223286">
        <w:rPr>
          <w:lang w:val="sq-AL"/>
        </w:rPr>
        <w:t xml:space="preserve"> dispozitave t</w:t>
      </w:r>
      <w:r w:rsidR="005A721F" w:rsidRPr="00223286">
        <w:rPr>
          <w:lang w:val="sq-AL"/>
        </w:rPr>
        <w:t>ë</w:t>
      </w:r>
      <w:r w:rsidR="002908B1" w:rsidRPr="00223286">
        <w:rPr>
          <w:lang w:val="sq-AL"/>
        </w:rPr>
        <w:t xml:space="preserve"> ligji</w:t>
      </w:r>
      <w:r w:rsidR="00F31B29" w:rsidRPr="00223286">
        <w:rPr>
          <w:lang w:val="sq-AL"/>
        </w:rPr>
        <w:t>t</w:t>
      </w:r>
      <w:r w:rsidR="0036481B" w:rsidRPr="00223286">
        <w:rPr>
          <w:lang w:val="sq-AL"/>
        </w:rPr>
        <w:t>.</w:t>
      </w:r>
      <w:r w:rsidR="002908B1" w:rsidRPr="00223286">
        <w:rPr>
          <w:lang w:val="sq-AL"/>
        </w:rPr>
        <w:t xml:space="preserve"> </w:t>
      </w:r>
      <w:r w:rsidR="00F31B29" w:rsidRPr="00223286">
        <w:rPr>
          <w:lang w:val="sq-AL"/>
        </w:rPr>
        <w:t>K</w:t>
      </w:r>
      <w:r w:rsidR="00E53196">
        <w:rPr>
          <w:lang w:val="sq-AL"/>
        </w:rPr>
        <w:t>ë</w:t>
      </w:r>
      <w:r w:rsidR="00F31B29" w:rsidRPr="00223286">
        <w:rPr>
          <w:lang w:val="sq-AL"/>
        </w:rPr>
        <w:t>to shkelje</w:t>
      </w:r>
      <w:r w:rsidR="0036481B" w:rsidRPr="00223286">
        <w:rPr>
          <w:lang w:val="sq-AL"/>
        </w:rPr>
        <w:t xml:space="preserve"> </w:t>
      </w:r>
      <w:r w:rsidR="00F31B29" w:rsidRPr="00223286">
        <w:rPr>
          <w:lang w:val="sq-AL"/>
        </w:rPr>
        <w:t xml:space="preserve">konsiderohen </w:t>
      </w:r>
      <w:r w:rsidR="002908B1" w:rsidRPr="00223286">
        <w:rPr>
          <w:lang w:val="sq-AL"/>
        </w:rPr>
        <w:t>si kund</w:t>
      </w:r>
      <w:r w:rsidR="005A721F" w:rsidRPr="00223286">
        <w:rPr>
          <w:lang w:val="sq-AL"/>
        </w:rPr>
        <w:t>ë</w:t>
      </w:r>
      <w:r w:rsidR="002908B1" w:rsidRPr="00223286">
        <w:rPr>
          <w:lang w:val="sq-AL"/>
        </w:rPr>
        <w:t xml:space="preserve">rvajtje administrative, </w:t>
      </w:r>
      <w:r w:rsidR="00F31B29" w:rsidRPr="00223286">
        <w:rPr>
          <w:lang w:val="sq-AL"/>
        </w:rPr>
        <w:t>dhe masa e gjob</w:t>
      </w:r>
      <w:r w:rsidR="00E53196">
        <w:rPr>
          <w:lang w:val="sq-AL"/>
        </w:rPr>
        <w:t>ë</w:t>
      </w:r>
      <w:r w:rsidR="00F31B29" w:rsidRPr="00223286">
        <w:rPr>
          <w:lang w:val="sq-AL"/>
        </w:rPr>
        <w:t>s s</w:t>
      </w:r>
      <w:r w:rsidR="00E53196">
        <w:rPr>
          <w:lang w:val="sq-AL"/>
        </w:rPr>
        <w:t>ë</w:t>
      </w:r>
      <w:r w:rsidR="00F31B29" w:rsidRPr="00223286">
        <w:rPr>
          <w:lang w:val="sq-AL"/>
        </w:rPr>
        <w:t xml:space="preserve"> vendosur p</w:t>
      </w:r>
      <w:r w:rsidR="00E53196">
        <w:rPr>
          <w:lang w:val="sq-AL"/>
        </w:rPr>
        <w:t>ë</w:t>
      </w:r>
      <w:r w:rsidR="00F31B29" w:rsidRPr="00223286">
        <w:rPr>
          <w:lang w:val="sq-AL"/>
        </w:rPr>
        <w:t>rcaktohet n</w:t>
      </w:r>
      <w:r w:rsidR="00E53196">
        <w:rPr>
          <w:lang w:val="sq-AL"/>
        </w:rPr>
        <w:t>ë</w:t>
      </w:r>
      <w:r w:rsidR="00F31B29" w:rsidRPr="00223286">
        <w:rPr>
          <w:lang w:val="sq-AL"/>
        </w:rPr>
        <w:t xml:space="preserve"> var</w:t>
      </w:r>
      <w:r w:rsidR="00E53196">
        <w:rPr>
          <w:lang w:val="sq-AL"/>
        </w:rPr>
        <w:t>ë</w:t>
      </w:r>
      <w:r w:rsidR="00F31B29" w:rsidRPr="00223286">
        <w:rPr>
          <w:lang w:val="sq-AL"/>
        </w:rPr>
        <w:t>si t</w:t>
      </w:r>
      <w:r w:rsidR="00E53196">
        <w:rPr>
          <w:lang w:val="sq-AL"/>
        </w:rPr>
        <w:t>ë</w:t>
      </w:r>
      <w:r w:rsidR="00F31B29" w:rsidRPr="00223286">
        <w:rPr>
          <w:lang w:val="sq-AL"/>
        </w:rPr>
        <w:t xml:space="preserve"> rrethanave, pasojave, p</w:t>
      </w:r>
      <w:r w:rsidR="00E53196">
        <w:rPr>
          <w:lang w:val="sq-AL"/>
        </w:rPr>
        <w:t>ë</w:t>
      </w:r>
      <w:r w:rsidR="00F31B29" w:rsidRPr="00223286">
        <w:rPr>
          <w:lang w:val="sq-AL"/>
        </w:rPr>
        <w:t>rs</w:t>
      </w:r>
      <w:r w:rsidR="00E53196">
        <w:rPr>
          <w:lang w:val="sq-AL"/>
        </w:rPr>
        <w:t>ë</w:t>
      </w:r>
      <w:r w:rsidR="00F31B29" w:rsidRPr="00223286">
        <w:rPr>
          <w:lang w:val="sq-AL"/>
        </w:rPr>
        <w:t>ritjes dhe r</w:t>
      </w:r>
      <w:r w:rsidR="00E53196">
        <w:rPr>
          <w:lang w:val="sq-AL"/>
        </w:rPr>
        <w:t>ë</w:t>
      </w:r>
      <w:r w:rsidR="00F31B29" w:rsidRPr="00223286">
        <w:rPr>
          <w:lang w:val="sq-AL"/>
        </w:rPr>
        <w:t>nd</w:t>
      </w:r>
      <w:r w:rsidR="00E53196">
        <w:rPr>
          <w:lang w:val="sq-AL"/>
        </w:rPr>
        <w:t>ë</w:t>
      </w:r>
      <w:r w:rsidR="00F31B29" w:rsidRPr="00223286">
        <w:rPr>
          <w:lang w:val="sq-AL"/>
        </w:rPr>
        <w:t>sis</w:t>
      </w:r>
      <w:r w:rsidR="00E53196">
        <w:rPr>
          <w:lang w:val="sq-AL"/>
        </w:rPr>
        <w:t>ë</w:t>
      </w:r>
      <w:r w:rsidR="00F31B29" w:rsidRPr="00223286">
        <w:rPr>
          <w:lang w:val="sq-AL"/>
        </w:rPr>
        <w:t xml:space="preserve"> s</w:t>
      </w:r>
      <w:r w:rsidR="00E53196">
        <w:rPr>
          <w:lang w:val="sq-AL"/>
        </w:rPr>
        <w:t>ë</w:t>
      </w:r>
      <w:r w:rsidR="00F31B29" w:rsidRPr="00223286">
        <w:rPr>
          <w:lang w:val="sq-AL"/>
        </w:rPr>
        <w:t xml:space="preserve"> shkeljes. </w:t>
      </w:r>
    </w:p>
    <w:p w14:paraId="722CD751" w14:textId="77777777" w:rsidR="007C3D30" w:rsidRPr="00223286" w:rsidRDefault="007C3D30" w:rsidP="00161607">
      <w:pPr>
        <w:spacing w:line="276" w:lineRule="auto"/>
        <w:contextualSpacing/>
        <w:jc w:val="both"/>
        <w:rPr>
          <w:lang w:val="sq-AL"/>
        </w:rPr>
      </w:pPr>
    </w:p>
    <w:p w14:paraId="3D4D2BAC" w14:textId="38551BCB" w:rsidR="00BD41D7" w:rsidRPr="00223286" w:rsidRDefault="00896B6D" w:rsidP="00161607">
      <w:pPr>
        <w:spacing w:line="276" w:lineRule="auto"/>
        <w:contextualSpacing/>
        <w:jc w:val="both"/>
        <w:rPr>
          <w:lang w:val="sq-AL"/>
        </w:rPr>
      </w:pPr>
      <w:r w:rsidRPr="00223286">
        <w:rPr>
          <w:lang w:val="sq-AL"/>
        </w:rPr>
        <w:t xml:space="preserve">Trajtimi </w:t>
      </w:r>
      <w:r w:rsidR="00006EED" w:rsidRPr="00223286">
        <w:rPr>
          <w:lang w:val="sq-AL"/>
        </w:rPr>
        <w:t xml:space="preserve">në </w:t>
      </w:r>
      <w:r w:rsidRPr="00223286">
        <w:rPr>
          <w:lang w:val="sq-AL"/>
        </w:rPr>
        <w:t>ligj dhe jo në një akt nënligjor, i sanksioneve administrative është një detyrim i cili rrjedh nga ligji nr. 10279, datë 20.5.2010 “Për kundërvajtjet administrative”</w:t>
      </w:r>
      <w:r w:rsidRPr="00223286">
        <w:rPr>
          <w:vertAlign w:val="superscript"/>
          <w:lang w:val="sq-AL"/>
        </w:rPr>
        <w:footnoteReference w:id="1"/>
      </w:r>
      <w:r w:rsidRPr="00223286">
        <w:rPr>
          <w:lang w:val="sq-AL"/>
        </w:rPr>
        <w:t xml:space="preserve">. </w:t>
      </w:r>
      <w:r w:rsidR="00BD41D7" w:rsidRPr="00223286">
        <w:rPr>
          <w:lang w:val="sq-AL"/>
        </w:rPr>
        <w:t>N</w:t>
      </w:r>
      <w:r w:rsidR="003D7AAD" w:rsidRPr="00223286">
        <w:rPr>
          <w:lang w:val="sq-AL"/>
        </w:rPr>
        <w:t>ë</w:t>
      </w:r>
      <w:r w:rsidR="00BD41D7" w:rsidRPr="00223286">
        <w:rPr>
          <w:lang w:val="sq-AL"/>
        </w:rPr>
        <w:t xml:space="preserve"> nenin </w:t>
      </w:r>
      <w:r w:rsidR="00F5414A" w:rsidRPr="00223286">
        <w:rPr>
          <w:lang w:val="sq-AL"/>
        </w:rPr>
        <w:t>15</w:t>
      </w:r>
      <w:r w:rsidR="002908B1" w:rsidRPr="00223286">
        <w:rPr>
          <w:lang w:val="sq-AL"/>
        </w:rPr>
        <w:t xml:space="preserve"> </w:t>
      </w:r>
      <w:r w:rsidR="00BD41D7" w:rsidRPr="00223286">
        <w:rPr>
          <w:lang w:val="sq-AL"/>
        </w:rPr>
        <w:t>parashikohet se p</w:t>
      </w:r>
      <w:r w:rsidR="003D7AAD" w:rsidRPr="00223286">
        <w:rPr>
          <w:lang w:val="sq-AL"/>
        </w:rPr>
        <w:t>ë</w:t>
      </w:r>
      <w:r w:rsidR="00BD41D7" w:rsidRPr="00223286">
        <w:rPr>
          <w:lang w:val="sq-AL"/>
        </w:rPr>
        <w:t xml:space="preserve">r </w:t>
      </w:r>
      <w:r w:rsidR="004F141A" w:rsidRPr="00223286">
        <w:rPr>
          <w:lang w:val="sq-AL"/>
        </w:rPr>
        <w:t>ç</w:t>
      </w:r>
      <w:r w:rsidR="00BD41D7" w:rsidRPr="00223286">
        <w:rPr>
          <w:lang w:val="sq-AL"/>
        </w:rPr>
        <w:t>do shkelje konkrete t</w:t>
      </w:r>
      <w:r w:rsidR="003D7AAD" w:rsidRPr="00223286">
        <w:rPr>
          <w:lang w:val="sq-AL"/>
        </w:rPr>
        <w:t>ë</w:t>
      </w:r>
      <w:r w:rsidR="00BD41D7" w:rsidRPr="00223286">
        <w:rPr>
          <w:lang w:val="sq-AL"/>
        </w:rPr>
        <w:t xml:space="preserve"> dispozitave t</w:t>
      </w:r>
      <w:r w:rsidR="003D7AAD" w:rsidRPr="00223286">
        <w:rPr>
          <w:lang w:val="sq-AL"/>
        </w:rPr>
        <w:t>ë</w:t>
      </w:r>
      <w:r w:rsidR="00BD41D7" w:rsidRPr="00223286">
        <w:rPr>
          <w:lang w:val="sq-AL"/>
        </w:rPr>
        <w:t xml:space="preserve"> k</w:t>
      </w:r>
      <w:r w:rsidR="003D7AAD" w:rsidRPr="00223286">
        <w:rPr>
          <w:lang w:val="sq-AL"/>
        </w:rPr>
        <w:t>ë</w:t>
      </w:r>
      <w:r w:rsidR="00BD41D7" w:rsidRPr="00223286">
        <w:rPr>
          <w:lang w:val="sq-AL"/>
        </w:rPr>
        <w:t xml:space="preserve">tij ligji </w:t>
      </w:r>
      <w:r w:rsidR="002908B1" w:rsidRPr="00223286">
        <w:rPr>
          <w:lang w:val="sq-AL"/>
        </w:rPr>
        <w:t>ka</w:t>
      </w:r>
      <w:r w:rsidR="00BD41D7" w:rsidRPr="00223286">
        <w:rPr>
          <w:lang w:val="sq-AL"/>
        </w:rPr>
        <w:t xml:space="preserve"> nj</w:t>
      </w:r>
      <w:r w:rsidR="003D7AAD" w:rsidRPr="00223286">
        <w:rPr>
          <w:lang w:val="sq-AL"/>
        </w:rPr>
        <w:t>ë</w:t>
      </w:r>
      <w:r w:rsidR="00BD41D7" w:rsidRPr="00223286">
        <w:rPr>
          <w:lang w:val="sq-AL"/>
        </w:rPr>
        <w:t xml:space="preserve"> gjob</w:t>
      </w:r>
      <w:r w:rsidR="003D7AAD" w:rsidRPr="00223286">
        <w:rPr>
          <w:lang w:val="sq-AL"/>
        </w:rPr>
        <w:t>ë</w:t>
      </w:r>
      <w:r w:rsidR="002908B1" w:rsidRPr="00223286">
        <w:rPr>
          <w:lang w:val="sq-AL"/>
        </w:rPr>
        <w:t>, masa e t</w:t>
      </w:r>
      <w:r w:rsidR="005A721F" w:rsidRPr="00223286">
        <w:rPr>
          <w:lang w:val="sq-AL"/>
        </w:rPr>
        <w:t>ë</w:t>
      </w:r>
      <w:r w:rsidR="002908B1" w:rsidRPr="00223286">
        <w:rPr>
          <w:lang w:val="sq-AL"/>
        </w:rPr>
        <w:t xml:space="preserve"> cil</w:t>
      </w:r>
      <w:r w:rsidR="005A721F" w:rsidRPr="00223286">
        <w:rPr>
          <w:lang w:val="sq-AL"/>
        </w:rPr>
        <w:t>ë</w:t>
      </w:r>
      <w:r w:rsidR="002908B1" w:rsidRPr="00223286">
        <w:rPr>
          <w:lang w:val="sq-AL"/>
        </w:rPr>
        <w:t xml:space="preserve">s </w:t>
      </w:r>
      <w:r w:rsidR="00EF03B9" w:rsidRPr="00223286">
        <w:rPr>
          <w:lang w:val="sq-AL"/>
        </w:rPr>
        <w:t>ë</w:t>
      </w:r>
      <w:r w:rsidR="00F5414A" w:rsidRPr="00223286">
        <w:rPr>
          <w:lang w:val="sq-AL"/>
        </w:rPr>
        <w:t>sht</w:t>
      </w:r>
      <w:r w:rsidR="00EF03B9" w:rsidRPr="00223286">
        <w:rPr>
          <w:lang w:val="sq-AL"/>
        </w:rPr>
        <w:t>ë</w:t>
      </w:r>
      <w:r w:rsidR="00F5414A" w:rsidRPr="00223286">
        <w:rPr>
          <w:lang w:val="sq-AL"/>
        </w:rPr>
        <w:t xml:space="preserve"> p</w:t>
      </w:r>
      <w:r w:rsidR="00EF03B9" w:rsidRPr="00223286">
        <w:rPr>
          <w:lang w:val="sq-AL"/>
        </w:rPr>
        <w:t>ë</w:t>
      </w:r>
      <w:r w:rsidR="00F5414A" w:rsidRPr="00223286">
        <w:rPr>
          <w:lang w:val="sq-AL"/>
        </w:rPr>
        <w:t>rcaktuar bazuar n</w:t>
      </w:r>
      <w:r w:rsidR="00EF03B9" w:rsidRPr="00223286">
        <w:rPr>
          <w:lang w:val="sq-AL"/>
        </w:rPr>
        <w:t>ë</w:t>
      </w:r>
      <w:r w:rsidR="00F5414A" w:rsidRPr="00223286">
        <w:rPr>
          <w:lang w:val="sq-AL"/>
        </w:rPr>
        <w:t xml:space="preserve"> nivelin minimal dhe maksimal t</w:t>
      </w:r>
      <w:r w:rsidR="00EF03B9" w:rsidRPr="00223286">
        <w:rPr>
          <w:lang w:val="sq-AL"/>
        </w:rPr>
        <w:t>ë</w:t>
      </w:r>
      <w:r w:rsidR="00F5414A" w:rsidRPr="00223286">
        <w:rPr>
          <w:lang w:val="sq-AL"/>
        </w:rPr>
        <w:t xml:space="preserve"> gjobave t</w:t>
      </w:r>
      <w:r w:rsidR="00EF03B9" w:rsidRPr="00223286">
        <w:rPr>
          <w:lang w:val="sq-AL"/>
        </w:rPr>
        <w:t>ë</w:t>
      </w:r>
      <w:r w:rsidR="00F5414A" w:rsidRPr="00223286">
        <w:rPr>
          <w:lang w:val="sq-AL"/>
        </w:rPr>
        <w:t xml:space="preserve"> </w:t>
      </w:r>
      <w:r w:rsidR="00EF03B9" w:rsidRPr="00223286">
        <w:rPr>
          <w:lang w:val="sq-AL"/>
        </w:rPr>
        <w:t>parashikuara</w:t>
      </w:r>
      <w:r w:rsidR="00F5414A" w:rsidRPr="00223286">
        <w:rPr>
          <w:lang w:val="sq-AL"/>
        </w:rPr>
        <w:t xml:space="preserve"> n</w:t>
      </w:r>
      <w:r w:rsidR="00EF03B9" w:rsidRPr="00223286">
        <w:rPr>
          <w:lang w:val="sq-AL"/>
        </w:rPr>
        <w:t>ë</w:t>
      </w:r>
      <w:r w:rsidR="00F5414A" w:rsidRPr="00223286">
        <w:rPr>
          <w:lang w:val="sq-AL"/>
        </w:rPr>
        <w:t xml:space="preserve"> ligjin “P</w:t>
      </w:r>
      <w:r w:rsidR="00EF03B9" w:rsidRPr="00223286">
        <w:rPr>
          <w:lang w:val="sq-AL"/>
        </w:rPr>
        <w:t>ë</w:t>
      </w:r>
      <w:r w:rsidR="00F5414A" w:rsidRPr="00223286">
        <w:rPr>
          <w:lang w:val="sq-AL"/>
        </w:rPr>
        <w:t>r sh</w:t>
      </w:r>
      <w:r w:rsidR="00EF03B9" w:rsidRPr="00223286">
        <w:rPr>
          <w:lang w:val="sq-AL"/>
        </w:rPr>
        <w:t>ë</w:t>
      </w:r>
      <w:r w:rsidR="00F5414A" w:rsidRPr="00223286">
        <w:rPr>
          <w:lang w:val="sq-AL"/>
        </w:rPr>
        <w:t>rbimet e pagesave” p</w:t>
      </w:r>
      <w:r w:rsidR="00EF03B9" w:rsidRPr="00223286">
        <w:rPr>
          <w:lang w:val="sq-AL"/>
        </w:rPr>
        <w:t>ë</w:t>
      </w:r>
      <w:r w:rsidR="00F5414A" w:rsidRPr="00223286">
        <w:rPr>
          <w:lang w:val="sq-AL"/>
        </w:rPr>
        <w:t>r ofruesit e sh</w:t>
      </w:r>
      <w:r w:rsidR="00EF03B9" w:rsidRPr="00223286">
        <w:rPr>
          <w:lang w:val="sq-AL"/>
        </w:rPr>
        <w:t>ë</w:t>
      </w:r>
      <w:r w:rsidR="00F5414A" w:rsidRPr="00223286">
        <w:rPr>
          <w:lang w:val="sq-AL"/>
        </w:rPr>
        <w:t>rbimit t</w:t>
      </w:r>
      <w:r w:rsidR="00EF03B9" w:rsidRPr="00223286">
        <w:rPr>
          <w:lang w:val="sq-AL"/>
        </w:rPr>
        <w:t>ë</w:t>
      </w:r>
      <w:r w:rsidR="00F5414A" w:rsidRPr="00223286">
        <w:rPr>
          <w:lang w:val="sq-AL"/>
        </w:rPr>
        <w:t xml:space="preserve"> pagesave</w:t>
      </w:r>
      <w:r w:rsidR="0095425D">
        <w:rPr>
          <w:lang w:val="sq-AL"/>
        </w:rPr>
        <w:t>,</w:t>
      </w:r>
      <w:r w:rsidR="00F5414A" w:rsidRPr="00223286">
        <w:rPr>
          <w:lang w:val="sq-AL"/>
        </w:rPr>
        <w:t xml:space="preserve"> ku p</w:t>
      </w:r>
      <w:r w:rsidR="00EF03B9" w:rsidRPr="00223286">
        <w:rPr>
          <w:lang w:val="sq-AL"/>
        </w:rPr>
        <w:t>ë</w:t>
      </w:r>
      <w:r w:rsidR="00F5414A" w:rsidRPr="00223286">
        <w:rPr>
          <w:lang w:val="sq-AL"/>
        </w:rPr>
        <w:t xml:space="preserve">rfshihen edhe bankat. </w:t>
      </w:r>
      <w:r w:rsidR="00BD41D7" w:rsidRPr="00223286">
        <w:rPr>
          <w:lang w:val="sq-AL"/>
        </w:rPr>
        <w:t xml:space="preserve">Gjobat janë tituj ekzekutivë dhe </w:t>
      </w:r>
      <w:r w:rsidR="0095425D">
        <w:rPr>
          <w:lang w:val="sq-AL"/>
        </w:rPr>
        <w:t xml:space="preserve">do të </w:t>
      </w:r>
      <w:r w:rsidR="002908B1" w:rsidRPr="00223286">
        <w:rPr>
          <w:lang w:val="sq-AL"/>
        </w:rPr>
        <w:t>ark</w:t>
      </w:r>
      <w:r w:rsidR="005A721F" w:rsidRPr="00223286">
        <w:rPr>
          <w:lang w:val="sq-AL"/>
        </w:rPr>
        <w:t>ë</w:t>
      </w:r>
      <w:r w:rsidR="002908B1" w:rsidRPr="00223286">
        <w:rPr>
          <w:lang w:val="sq-AL"/>
        </w:rPr>
        <w:t>tohen p</w:t>
      </w:r>
      <w:r w:rsidR="005A721F" w:rsidRPr="00223286">
        <w:rPr>
          <w:lang w:val="sq-AL"/>
        </w:rPr>
        <w:t>ë</w:t>
      </w:r>
      <w:r w:rsidR="002908B1" w:rsidRPr="00223286">
        <w:rPr>
          <w:lang w:val="sq-AL"/>
        </w:rPr>
        <w:t>r llogari t</w:t>
      </w:r>
      <w:r w:rsidR="005A721F" w:rsidRPr="00223286">
        <w:rPr>
          <w:lang w:val="sq-AL"/>
        </w:rPr>
        <w:t>ë</w:t>
      </w:r>
      <w:r w:rsidR="002908B1" w:rsidRPr="00223286">
        <w:rPr>
          <w:lang w:val="sq-AL"/>
        </w:rPr>
        <w:t xml:space="preserve"> Bank</w:t>
      </w:r>
      <w:r w:rsidR="005A721F" w:rsidRPr="00223286">
        <w:rPr>
          <w:lang w:val="sq-AL"/>
        </w:rPr>
        <w:t>ë</w:t>
      </w:r>
      <w:r w:rsidR="002908B1" w:rsidRPr="00223286">
        <w:rPr>
          <w:lang w:val="sq-AL"/>
        </w:rPr>
        <w:t>s s</w:t>
      </w:r>
      <w:r w:rsidR="005A721F" w:rsidRPr="00223286">
        <w:rPr>
          <w:lang w:val="sq-AL"/>
        </w:rPr>
        <w:t>ë</w:t>
      </w:r>
      <w:r w:rsidR="002908B1" w:rsidRPr="00223286">
        <w:rPr>
          <w:lang w:val="sq-AL"/>
        </w:rPr>
        <w:t xml:space="preserve"> Shqip</w:t>
      </w:r>
      <w:r w:rsidR="005A721F" w:rsidRPr="00223286">
        <w:rPr>
          <w:lang w:val="sq-AL"/>
        </w:rPr>
        <w:t>ë</w:t>
      </w:r>
      <w:r w:rsidR="002908B1" w:rsidRPr="00223286">
        <w:rPr>
          <w:lang w:val="sq-AL"/>
        </w:rPr>
        <w:t>ris</w:t>
      </w:r>
      <w:r w:rsidR="005A721F" w:rsidRPr="00223286">
        <w:rPr>
          <w:lang w:val="sq-AL"/>
        </w:rPr>
        <w:t>ë</w:t>
      </w:r>
      <w:r w:rsidR="002908B1" w:rsidRPr="00223286">
        <w:rPr>
          <w:lang w:val="sq-AL"/>
        </w:rPr>
        <w:t>.</w:t>
      </w:r>
      <w:r w:rsidR="00F31B29" w:rsidRPr="00223286">
        <w:rPr>
          <w:lang w:val="sq-AL"/>
        </w:rPr>
        <w:t xml:space="preserve"> Sanksionet </w:t>
      </w:r>
      <w:r w:rsidR="0095425D">
        <w:rPr>
          <w:rFonts w:eastAsia="Arial Unicode MS"/>
          <w:lang w:val="sq-AL"/>
        </w:rPr>
        <w:t>e</w:t>
      </w:r>
      <w:r w:rsidR="00950313" w:rsidRPr="00223286">
        <w:rPr>
          <w:rFonts w:eastAsia="Arial Unicode MS"/>
          <w:lang w:val="sq-AL"/>
        </w:rPr>
        <w:t xml:space="preserve"> vendosura për shkelje të dispozitave të ligjit </w:t>
      </w:r>
      <w:r w:rsidR="00F31B29" w:rsidRPr="00223286">
        <w:rPr>
          <w:rFonts w:eastAsia="Arial Unicode MS"/>
          <w:lang w:val="sq-AL"/>
        </w:rPr>
        <w:t>publiko</w:t>
      </w:r>
      <w:r w:rsidR="00950313" w:rsidRPr="00223286">
        <w:rPr>
          <w:rFonts w:eastAsia="Arial Unicode MS"/>
          <w:lang w:val="sq-AL"/>
        </w:rPr>
        <w:t>he</w:t>
      </w:r>
      <w:r w:rsidR="00F31B29" w:rsidRPr="00223286">
        <w:rPr>
          <w:rFonts w:eastAsia="Arial Unicode MS"/>
          <w:lang w:val="sq-AL"/>
        </w:rPr>
        <w:t xml:space="preserve">n në faqen zyrtare të internetit </w:t>
      </w:r>
      <w:r w:rsidR="00950313" w:rsidRPr="00223286">
        <w:rPr>
          <w:rFonts w:eastAsia="Arial Unicode MS"/>
          <w:lang w:val="sq-AL"/>
        </w:rPr>
        <w:t>t</w:t>
      </w:r>
      <w:r w:rsidR="00E53196">
        <w:rPr>
          <w:rFonts w:eastAsia="Arial Unicode MS"/>
          <w:lang w:val="sq-AL"/>
        </w:rPr>
        <w:t>ë</w:t>
      </w:r>
      <w:r w:rsidR="00950313" w:rsidRPr="00223286">
        <w:rPr>
          <w:rFonts w:eastAsia="Arial Unicode MS"/>
          <w:lang w:val="sq-AL"/>
        </w:rPr>
        <w:t xml:space="preserve"> Bank</w:t>
      </w:r>
      <w:r w:rsidR="00E53196">
        <w:rPr>
          <w:rFonts w:eastAsia="Arial Unicode MS"/>
          <w:lang w:val="sq-AL"/>
        </w:rPr>
        <w:t>ë</w:t>
      </w:r>
      <w:r w:rsidR="00950313" w:rsidRPr="00223286">
        <w:rPr>
          <w:rFonts w:eastAsia="Arial Unicode MS"/>
          <w:lang w:val="sq-AL"/>
        </w:rPr>
        <w:t>s s</w:t>
      </w:r>
      <w:r w:rsidR="00E53196">
        <w:rPr>
          <w:rFonts w:eastAsia="Arial Unicode MS"/>
          <w:lang w:val="sq-AL"/>
        </w:rPr>
        <w:t>ë</w:t>
      </w:r>
      <w:r w:rsidR="00950313" w:rsidRPr="00223286">
        <w:rPr>
          <w:rFonts w:eastAsia="Arial Unicode MS"/>
          <w:lang w:val="sq-AL"/>
        </w:rPr>
        <w:t xml:space="preserve"> Shqipërisë dhe, n</w:t>
      </w:r>
      <w:r w:rsidR="00E53196">
        <w:rPr>
          <w:rFonts w:eastAsia="Arial Unicode MS"/>
          <w:lang w:val="sq-AL"/>
        </w:rPr>
        <w:t>ë</w:t>
      </w:r>
      <w:r w:rsidR="00950313" w:rsidRPr="00223286">
        <w:rPr>
          <w:rFonts w:eastAsia="Arial Unicode MS"/>
          <w:lang w:val="sq-AL"/>
        </w:rPr>
        <w:t xml:space="preserve"> rastet e publikimit të sanksioneve administrative, kundër të cilave është bërë ankesë, Banka e Shqipërisë publikon informacion edhe për statusin e ankesës dhe rezultatin e saj (neni 16).</w:t>
      </w:r>
    </w:p>
    <w:p w14:paraId="54913907" w14:textId="77777777" w:rsidR="003D7AAD" w:rsidRPr="00223286" w:rsidRDefault="003D7AAD" w:rsidP="00161607">
      <w:pPr>
        <w:spacing w:line="276" w:lineRule="auto"/>
        <w:contextualSpacing/>
        <w:jc w:val="both"/>
        <w:rPr>
          <w:lang w:val="sq-AL"/>
        </w:rPr>
      </w:pPr>
    </w:p>
    <w:p w14:paraId="6245AFB0" w14:textId="7D70A7E3" w:rsidR="005A6D7D" w:rsidRPr="00223286" w:rsidRDefault="003D7AAD" w:rsidP="00161607">
      <w:pPr>
        <w:spacing w:line="276" w:lineRule="auto"/>
        <w:jc w:val="both"/>
        <w:rPr>
          <w:lang w:val="sq-AL"/>
        </w:rPr>
      </w:pPr>
      <w:r w:rsidRPr="00223286">
        <w:rPr>
          <w:lang w:val="sq-AL"/>
        </w:rPr>
        <w:t>N</w:t>
      </w:r>
      <w:r w:rsidR="00283EA6" w:rsidRPr="00223286">
        <w:rPr>
          <w:lang w:val="sq-AL"/>
        </w:rPr>
        <w:t>ë</w:t>
      </w:r>
      <w:r w:rsidRPr="00223286">
        <w:rPr>
          <w:lang w:val="sq-AL"/>
        </w:rPr>
        <w:t xml:space="preserve"> nenin </w:t>
      </w:r>
      <w:r w:rsidR="00EF03B9" w:rsidRPr="00223286">
        <w:rPr>
          <w:lang w:val="sq-AL"/>
        </w:rPr>
        <w:t>1</w:t>
      </w:r>
      <w:r w:rsidR="00542753" w:rsidRPr="00223286">
        <w:rPr>
          <w:lang w:val="sq-AL"/>
        </w:rPr>
        <w:t>7</w:t>
      </w:r>
      <w:r w:rsidR="00044453" w:rsidRPr="00223286">
        <w:rPr>
          <w:lang w:val="sq-AL"/>
        </w:rPr>
        <w:t xml:space="preserve"> </w:t>
      </w:r>
      <w:r w:rsidRPr="00223286">
        <w:rPr>
          <w:lang w:val="sq-AL"/>
        </w:rPr>
        <w:t>t</w:t>
      </w:r>
      <w:r w:rsidR="00283EA6" w:rsidRPr="00223286">
        <w:rPr>
          <w:lang w:val="sq-AL"/>
        </w:rPr>
        <w:t>ë</w:t>
      </w:r>
      <w:r w:rsidRPr="00223286">
        <w:rPr>
          <w:lang w:val="sq-AL"/>
        </w:rPr>
        <w:t xml:space="preserve"> projekligjit parashikohet procedura e ankimit administrativ</w:t>
      </w:r>
      <w:r w:rsidR="00F3000E" w:rsidRPr="00223286">
        <w:rPr>
          <w:lang w:val="sq-AL"/>
        </w:rPr>
        <w:t xml:space="preserve"> </w:t>
      </w:r>
      <w:r w:rsidR="001D14B2" w:rsidRPr="00223286">
        <w:rPr>
          <w:lang w:val="sq-AL"/>
        </w:rPr>
        <w:t>p</w:t>
      </w:r>
      <w:r w:rsidR="00283EA6" w:rsidRPr="00223286">
        <w:rPr>
          <w:lang w:val="sq-AL"/>
        </w:rPr>
        <w:t>ë</w:t>
      </w:r>
      <w:r w:rsidR="001D14B2" w:rsidRPr="00223286">
        <w:rPr>
          <w:lang w:val="sq-AL"/>
        </w:rPr>
        <w:t xml:space="preserve">r </w:t>
      </w:r>
      <w:r w:rsidR="00593BB6" w:rsidRPr="00223286">
        <w:rPr>
          <w:lang w:val="sq-AL"/>
        </w:rPr>
        <w:t>bank</w:t>
      </w:r>
      <w:r w:rsidR="00EF03B9" w:rsidRPr="00223286">
        <w:rPr>
          <w:lang w:val="sq-AL"/>
        </w:rPr>
        <w:t>ë</w:t>
      </w:r>
      <w:r w:rsidR="00593BB6" w:rsidRPr="00223286">
        <w:rPr>
          <w:lang w:val="sq-AL"/>
        </w:rPr>
        <w:t>n</w:t>
      </w:r>
      <w:r w:rsidR="00F31B29" w:rsidRPr="00223286">
        <w:rPr>
          <w:lang w:val="sq-AL"/>
        </w:rPr>
        <w:t>,</w:t>
      </w:r>
      <w:r w:rsidR="00593BB6" w:rsidRPr="00223286">
        <w:rPr>
          <w:lang w:val="sq-AL"/>
        </w:rPr>
        <w:t xml:space="preserve"> e cila </w:t>
      </w:r>
      <w:r w:rsidR="001D14B2" w:rsidRPr="00223286">
        <w:rPr>
          <w:lang w:val="sq-AL"/>
        </w:rPr>
        <w:t>pretendon se të drejtat dhe interesat e ligjsh</w:t>
      </w:r>
      <w:r w:rsidR="0046279C" w:rsidRPr="00223286">
        <w:rPr>
          <w:lang w:val="sq-AL"/>
        </w:rPr>
        <w:t>me</w:t>
      </w:r>
      <w:r w:rsidR="00161607" w:rsidRPr="00223286">
        <w:rPr>
          <w:lang w:val="sq-AL"/>
        </w:rPr>
        <w:t xml:space="preserve"> të saj</w:t>
      </w:r>
      <w:r w:rsidR="001D14B2" w:rsidRPr="00223286">
        <w:rPr>
          <w:lang w:val="sq-AL"/>
        </w:rPr>
        <w:t xml:space="preserve"> janë c</w:t>
      </w:r>
      <w:r w:rsidR="0046279C" w:rsidRPr="00223286">
        <w:rPr>
          <w:lang w:val="sq-AL"/>
        </w:rPr>
        <w:t>e</w:t>
      </w:r>
      <w:r w:rsidR="001D14B2" w:rsidRPr="00223286">
        <w:rPr>
          <w:lang w:val="sq-AL"/>
        </w:rPr>
        <w:t xml:space="preserve">nuar nga akte administrative të nxjerra në zbatim të dispozitave të këtij ligji. </w:t>
      </w:r>
      <w:r w:rsidR="00F31B29" w:rsidRPr="00223286">
        <w:rPr>
          <w:lang w:val="sq-AL"/>
        </w:rPr>
        <w:t xml:space="preserve">Banka </w:t>
      </w:r>
      <w:r w:rsidR="001D14B2" w:rsidRPr="00223286">
        <w:rPr>
          <w:lang w:val="sq-AL"/>
        </w:rPr>
        <w:t xml:space="preserve">ka të drejtë të kryejë ankim administrativ tek Guvernatori, brenda </w:t>
      </w:r>
      <w:r w:rsidR="00161607" w:rsidRPr="00223286">
        <w:rPr>
          <w:lang w:val="sq-AL"/>
        </w:rPr>
        <w:t>15</w:t>
      </w:r>
      <w:r w:rsidR="001D14B2" w:rsidRPr="00223286">
        <w:rPr>
          <w:lang w:val="sq-AL"/>
        </w:rPr>
        <w:t xml:space="preserve"> ditëve nga marrja dijeni e aktit. Ankimi administrativ paraqitet </w:t>
      </w:r>
      <w:r w:rsidR="00F31B29" w:rsidRPr="00223286">
        <w:rPr>
          <w:lang w:val="sq-AL"/>
        </w:rPr>
        <w:t xml:space="preserve">sipas </w:t>
      </w:r>
      <w:r w:rsidR="001D14B2" w:rsidRPr="00223286">
        <w:rPr>
          <w:lang w:val="sq-AL"/>
        </w:rPr>
        <w:t>formë</w:t>
      </w:r>
      <w:r w:rsidR="00F31B29" w:rsidRPr="00223286">
        <w:rPr>
          <w:lang w:val="sq-AL"/>
        </w:rPr>
        <w:t>s</w:t>
      </w:r>
      <w:r w:rsidR="001D14B2" w:rsidRPr="00223286">
        <w:rPr>
          <w:lang w:val="sq-AL"/>
        </w:rPr>
        <w:t xml:space="preserve"> dhe shqyrtohet brenda afateve</w:t>
      </w:r>
      <w:r w:rsidR="00F31B29" w:rsidRPr="00223286">
        <w:rPr>
          <w:lang w:val="sq-AL"/>
        </w:rPr>
        <w:t>,</w:t>
      </w:r>
      <w:r w:rsidR="001D14B2" w:rsidRPr="00223286">
        <w:rPr>
          <w:lang w:val="sq-AL"/>
        </w:rPr>
        <w:t xml:space="preserve"> të parashikuara në Kodin e Procedurave Administrative, si dhe </w:t>
      </w:r>
      <w:r w:rsidR="00283EA6" w:rsidRPr="00223286">
        <w:rPr>
          <w:lang w:val="sq-AL"/>
        </w:rPr>
        <w:t>ë</w:t>
      </w:r>
      <w:r w:rsidR="001D14B2" w:rsidRPr="00223286">
        <w:rPr>
          <w:lang w:val="sq-AL"/>
        </w:rPr>
        <w:t>sht</w:t>
      </w:r>
      <w:r w:rsidR="00283EA6" w:rsidRPr="00223286">
        <w:rPr>
          <w:lang w:val="sq-AL"/>
        </w:rPr>
        <w:t>ë</w:t>
      </w:r>
      <w:r w:rsidR="001D14B2" w:rsidRPr="00223286">
        <w:rPr>
          <w:lang w:val="sq-AL"/>
        </w:rPr>
        <w:t xml:space="preserve"> kusht paraprak për kundërshtimin e </w:t>
      </w:r>
      <w:r w:rsidR="00161607" w:rsidRPr="00223286">
        <w:rPr>
          <w:lang w:val="sq-AL"/>
        </w:rPr>
        <w:t>aktit</w:t>
      </w:r>
      <w:r w:rsidR="001D14B2" w:rsidRPr="00223286">
        <w:rPr>
          <w:lang w:val="sq-AL"/>
        </w:rPr>
        <w:t xml:space="preserve"> në gjykatë.</w:t>
      </w:r>
      <w:r w:rsidR="007526E3" w:rsidRPr="00223286">
        <w:rPr>
          <w:lang w:val="sq-AL"/>
        </w:rPr>
        <w:t xml:space="preserve"> </w:t>
      </w:r>
    </w:p>
    <w:p w14:paraId="2671CD3A" w14:textId="77777777" w:rsidR="0046279C" w:rsidRPr="00223286" w:rsidRDefault="0046279C" w:rsidP="00161607">
      <w:pPr>
        <w:spacing w:line="276" w:lineRule="auto"/>
        <w:jc w:val="both"/>
        <w:rPr>
          <w:lang w:val="sq-AL"/>
        </w:rPr>
      </w:pPr>
    </w:p>
    <w:p w14:paraId="76DAFF30" w14:textId="77777777" w:rsidR="005A6D7D" w:rsidRPr="00223286" w:rsidRDefault="005A6D7D" w:rsidP="00161607">
      <w:pPr>
        <w:spacing w:line="276" w:lineRule="auto"/>
        <w:jc w:val="both"/>
        <w:rPr>
          <w:lang w:val="sq-AL"/>
        </w:rPr>
      </w:pPr>
      <w:r w:rsidRPr="00223286">
        <w:rPr>
          <w:lang w:val="sq-AL"/>
        </w:rPr>
        <w:t>Parashikimet e k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>tij neni</w:t>
      </w:r>
      <w:r w:rsidR="007526E3" w:rsidRPr="00223286">
        <w:rPr>
          <w:lang w:val="sq-AL"/>
        </w:rPr>
        <w:t xml:space="preserve"> ka</w:t>
      </w:r>
      <w:r w:rsidRPr="00223286">
        <w:rPr>
          <w:lang w:val="sq-AL"/>
        </w:rPr>
        <w:t>n</w:t>
      </w:r>
      <w:r w:rsidR="005A721F" w:rsidRPr="00223286">
        <w:rPr>
          <w:lang w:val="sq-AL"/>
        </w:rPr>
        <w:t>ë</w:t>
      </w:r>
      <w:r w:rsidR="007526E3" w:rsidRPr="00223286">
        <w:rPr>
          <w:lang w:val="sq-AL"/>
        </w:rPr>
        <w:t xml:space="preserve"> synuar të mbaj</w:t>
      </w:r>
      <w:r w:rsidRPr="00223286">
        <w:rPr>
          <w:lang w:val="sq-AL"/>
        </w:rPr>
        <w:t>n</w:t>
      </w:r>
      <w:r w:rsidR="007526E3" w:rsidRPr="00223286">
        <w:rPr>
          <w:lang w:val="sq-AL"/>
        </w:rPr>
        <w:t xml:space="preserve">ë një qëndrim të unifikuar me </w:t>
      </w:r>
      <w:r w:rsidRPr="00223286">
        <w:rPr>
          <w:lang w:val="sq-AL"/>
        </w:rPr>
        <w:t>dispozita t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 xml:space="preserve"> nj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>jta t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 xml:space="preserve"> Ligjit p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>r Bank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>n e Shqip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>ris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>, t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 xml:space="preserve"> Ligjit p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 xml:space="preserve">r </w:t>
      </w:r>
      <w:r w:rsidR="0046279C" w:rsidRPr="00223286">
        <w:rPr>
          <w:lang w:val="sq-AL"/>
        </w:rPr>
        <w:t>b</w:t>
      </w:r>
      <w:r w:rsidRPr="00223286">
        <w:rPr>
          <w:lang w:val="sq-AL"/>
        </w:rPr>
        <w:t xml:space="preserve">ankat, </w:t>
      </w:r>
      <w:r w:rsidR="00422A1A" w:rsidRPr="00223286">
        <w:rPr>
          <w:lang w:val="sq-AL"/>
        </w:rPr>
        <w:t>t</w:t>
      </w:r>
      <w:r w:rsidR="00EF03B9" w:rsidRPr="00223286">
        <w:rPr>
          <w:lang w:val="sq-AL"/>
        </w:rPr>
        <w:t>ë</w:t>
      </w:r>
      <w:r w:rsidR="00422A1A" w:rsidRPr="00223286">
        <w:rPr>
          <w:lang w:val="sq-AL"/>
        </w:rPr>
        <w:t xml:space="preserve"> Ligjit p</w:t>
      </w:r>
      <w:r w:rsidR="00EF03B9" w:rsidRPr="00223286">
        <w:rPr>
          <w:lang w:val="sq-AL"/>
        </w:rPr>
        <w:t>ë</w:t>
      </w:r>
      <w:r w:rsidR="00422A1A" w:rsidRPr="00223286">
        <w:rPr>
          <w:lang w:val="sq-AL"/>
        </w:rPr>
        <w:t>r sh</w:t>
      </w:r>
      <w:r w:rsidR="00EF03B9" w:rsidRPr="00223286">
        <w:rPr>
          <w:lang w:val="sq-AL"/>
        </w:rPr>
        <w:t>ë</w:t>
      </w:r>
      <w:r w:rsidR="00422A1A" w:rsidRPr="00223286">
        <w:rPr>
          <w:lang w:val="sq-AL"/>
        </w:rPr>
        <w:t xml:space="preserve">rbimet e pagesave, </w:t>
      </w:r>
      <w:r w:rsidRPr="00223286">
        <w:rPr>
          <w:lang w:val="sq-AL"/>
        </w:rPr>
        <w:t>t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 xml:space="preserve"> Ligjit p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>r shoq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>rit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 xml:space="preserve"> e kursim</w:t>
      </w:r>
      <w:r w:rsidR="0046279C" w:rsidRPr="00223286">
        <w:rPr>
          <w:lang w:val="sq-AL"/>
        </w:rPr>
        <w:t>-</w:t>
      </w:r>
      <w:r w:rsidR="00422A1A" w:rsidRPr="00223286">
        <w:rPr>
          <w:lang w:val="sq-AL"/>
        </w:rPr>
        <w:t>kreditit dhe</w:t>
      </w:r>
      <w:r w:rsidRPr="00223286">
        <w:rPr>
          <w:lang w:val="sq-AL"/>
        </w:rPr>
        <w:t xml:space="preserve"> </w:t>
      </w:r>
      <w:r w:rsidR="00422A1A" w:rsidRPr="00223286">
        <w:rPr>
          <w:lang w:val="sq-AL"/>
        </w:rPr>
        <w:t>t</w:t>
      </w:r>
      <w:r w:rsidR="00EF03B9" w:rsidRPr="00223286">
        <w:rPr>
          <w:lang w:val="sq-AL"/>
        </w:rPr>
        <w:t>ë</w:t>
      </w:r>
      <w:r w:rsidRPr="00223286">
        <w:rPr>
          <w:lang w:val="sq-AL"/>
        </w:rPr>
        <w:t xml:space="preserve"> Ligjit </w:t>
      </w:r>
      <w:r w:rsidR="00006EED" w:rsidRPr="00223286">
        <w:rPr>
          <w:lang w:val="sq-AL"/>
        </w:rPr>
        <w:t>për rimëkëmbjen dhe ndërhyrjen e jashtëzakonshme në banka</w:t>
      </w:r>
      <w:r w:rsidR="00422A1A" w:rsidRPr="00223286">
        <w:rPr>
          <w:lang w:val="sq-AL"/>
        </w:rPr>
        <w:t xml:space="preserve"> </w:t>
      </w:r>
      <w:r w:rsidRPr="00223286">
        <w:rPr>
          <w:lang w:val="sq-AL"/>
        </w:rPr>
        <w:t>pasi theksojm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 xml:space="preserve"> se n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 xml:space="preserve"> nenin 72, pika 2 t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 xml:space="preserve"> Ligjit p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>r Bank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>n e Shqip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>ris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 xml:space="preserve"> parashikohet se aktet e Bank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>s s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 xml:space="preserve"> </w:t>
      </w:r>
      <w:r w:rsidR="003F58D8" w:rsidRPr="00223286">
        <w:rPr>
          <w:lang w:val="sq-AL"/>
        </w:rPr>
        <w:t>S</w:t>
      </w:r>
      <w:r w:rsidRPr="00223286">
        <w:rPr>
          <w:lang w:val="sq-AL"/>
        </w:rPr>
        <w:t>hqip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>ris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 xml:space="preserve"> do t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 xml:space="preserve"> zbatohen pa kufizim, deri n</w:t>
      </w:r>
      <w:r w:rsidR="005A721F" w:rsidRPr="00223286">
        <w:rPr>
          <w:lang w:val="sq-AL"/>
        </w:rPr>
        <w:t>ë</w:t>
      </w:r>
      <w:r w:rsidRPr="00223286">
        <w:rPr>
          <w:lang w:val="sq-AL"/>
        </w:rPr>
        <w:t xml:space="preserve"> marrjen e vendimit nga gjykata.</w:t>
      </w:r>
    </w:p>
    <w:p w14:paraId="4A7CBB77" w14:textId="77777777" w:rsidR="002908B1" w:rsidRPr="00223286" w:rsidRDefault="002908B1" w:rsidP="00161607">
      <w:pPr>
        <w:spacing w:line="276" w:lineRule="auto"/>
        <w:jc w:val="both"/>
        <w:rPr>
          <w:lang w:val="sq-AL"/>
        </w:rPr>
      </w:pPr>
    </w:p>
    <w:p w14:paraId="2E3094C8" w14:textId="5D403B05" w:rsidR="001D14B2" w:rsidRPr="00223286" w:rsidRDefault="001D14B2" w:rsidP="00161607">
      <w:pPr>
        <w:spacing w:line="276" w:lineRule="auto"/>
        <w:contextualSpacing/>
        <w:jc w:val="both"/>
        <w:rPr>
          <w:lang w:val="sq-AL"/>
        </w:rPr>
      </w:pPr>
      <w:r w:rsidRPr="00223286">
        <w:rPr>
          <w:lang w:val="sq-AL"/>
        </w:rPr>
        <w:lastRenderedPageBreak/>
        <w:t>N</w:t>
      </w:r>
      <w:r w:rsidR="00283EA6" w:rsidRPr="00223286">
        <w:rPr>
          <w:lang w:val="sq-AL"/>
        </w:rPr>
        <w:t>ë</w:t>
      </w:r>
      <w:r w:rsidRPr="00223286">
        <w:rPr>
          <w:lang w:val="sq-AL"/>
        </w:rPr>
        <w:t xml:space="preserve"> nenin </w:t>
      </w:r>
      <w:r w:rsidR="00415311" w:rsidRPr="00223286">
        <w:rPr>
          <w:lang w:val="sq-AL"/>
        </w:rPr>
        <w:t>1</w:t>
      </w:r>
      <w:r w:rsidR="00542753" w:rsidRPr="00223286">
        <w:rPr>
          <w:lang w:val="sq-AL"/>
        </w:rPr>
        <w:t>8</w:t>
      </w:r>
      <w:r w:rsidR="003F58D8" w:rsidRPr="00223286">
        <w:rPr>
          <w:lang w:val="sq-AL"/>
        </w:rPr>
        <w:t xml:space="preserve"> </w:t>
      </w:r>
      <w:r w:rsidRPr="00223286">
        <w:rPr>
          <w:lang w:val="sq-AL"/>
        </w:rPr>
        <w:t>t</w:t>
      </w:r>
      <w:r w:rsidR="00283EA6" w:rsidRPr="00223286">
        <w:rPr>
          <w:lang w:val="sq-AL"/>
        </w:rPr>
        <w:t>ë</w:t>
      </w:r>
      <w:r w:rsidRPr="00223286">
        <w:rPr>
          <w:lang w:val="sq-AL"/>
        </w:rPr>
        <w:t xml:space="preserve"> projektligjit parashikohet se </w:t>
      </w:r>
      <w:r w:rsidR="00950313" w:rsidRPr="00223286">
        <w:rPr>
          <w:lang w:val="sq-AL"/>
        </w:rPr>
        <w:t>banka</w:t>
      </w:r>
      <w:r w:rsidRPr="00223286">
        <w:rPr>
          <w:lang w:val="sq-AL"/>
        </w:rPr>
        <w:t xml:space="preserve">, pasi ka ezauruar ankimin administrativ mund të </w:t>
      </w:r>
      <w:r w:rsidR="00950313" w:rsidRPr="00223286">
        <w:rPr>
          <w:lang w:val="sq-AL"/>
        </w:rPr>
        <w:t>paraqes</w:t>
      </w:r>
      <w:r w:rsidR="00E53196">
        <w:rPr>
          <w:lang w:val="sq-AL"/>
        </w:rPr>
        <w:t>ë</w:t>
      </w:r>
      <w:r w:rsidR="00950313" w:rsidRPr="00223286">
        <w:rPr>
          <w:lang w:val="sq-AL"/>
        </w:rPr>
        <w:t xml:space="preserve"> </w:t>
      </w:r>
      <w:r w:rsidRPr="00223286">
        <w:rPr>
          <w:lang w:val="sq-AL"/>
        </w:rPr>
        <w:t>ank</w:t>
      </w:r>
      <w:r w:rsidR="00950313" w:rsidRPr="00223286">
        <w:rPr>
          <w:lang w:val="sq-AL"/>
        </w:rPr>
        <w:t>im gjyq</w:t>
      </w:r>
      <w:r w:rsidR="00E53196">
        <w:rPr>
          <w:lang w:val="sq-AL"/>
        </w:rPr>
        <w:t>ë</w:t>
      </w:r>
      <w:r w:rsidR="00950313" w:rsidRPr="00223286">
        <w:rPr>
          <w:lang w:val="sq-AL"/>
        </w:rPr>
        <w:t>sor,</w:t>
      </w:r>
      <w:r w:rsidRPr="00223286">
        <w:rPr>
          <w:lang w:val="sq-AL"/>
        </w:rPr>
        <w:t xml:space="preserve"> në </w:t>
      </w:r>
      <w:r w:rsidR="00950313" w:rsidRPr="00223286">
        <w:rPr>
          <w:lang w:val="sq-AL"/>
        </w:rPr>
        <w:t>p</w:t>
      </w:r>
      <w:r w:rsidR="00E53196">
        <w:rPr>
          <w:lang w:val="sq-AL"/>
        </w:rPr>
        <w:t>ë</w:t>
      </w:r>
      <w:r w:rsidR="00950313" w:rsidRPr="00223286">
        <w:rPr>
          <w:lang w:val="sq-AL"/>
        </w:rPr>
        <w:t xml:space="preserve">rputhje me </w:t>
      </w:r>
      <w:r w:rsidR="00950313" w:rsidRPr="00223286">
        <w:rPr>
          <w:rFonts w:eastAsia="Arial Unicode MS"/>
          <w:lang w:val="sq-AL"/>
        </w:rPr>
        <w:t>legjislacionin që rregullon</w:t>
      </w:r>
      <w:r w:rsidR="00950313" w:rsidRPr="00223286">
        <w:t xml:space="preserve"> gjykimin e mosmarrëveshjeve administrative</w:t>
      </w:r>
      <w:r w:rsidRPr="00223286">
        <w:rPr>
          <w:lang w:val="sq-AL"/>
        </w:rPr>
        <w:t>.</w:t>
      </w:r>
      <w:r w:rsidR="003F58D8" w:rsidRPr="00223286">
        <w:rPr>
          <w:lang w:val="sq-AL"/>
        </w:rPr>
        <w:t xml:space="preserve"> </w:t>
      </w:r>
    </w:p>
    <w:p w14:paraId="18C87A40" w14:textId="77777777" w:rsidR="007C3D30" w:rsidRPr="00223286" w:rsidRDefault="007C3D30" w:rsidP="00161607">
      <w:pPr>
        <w:spacing w:line="276" w:lineRule="auto"/>
        <w:contextualSpacing/>
        <w:jc w:val="both"/>
        <w:rPr>
          <w:lang w:val="sq-AL"/>
        </w:rPr>
      </w:pPr>
    </w:p>
    <w:p w14:paraId="407D88CF" w14:textId="77777777" w:rsidR="00F3000E" w:rsidRPr="00010E6E" w:rsidRDefault="00F3000E" w:rsidP="001D14B2">
      <w:pPr>
        <w:contextualSpacing/>
        <w:jc w:val="both"/>
        <w:rPr>
          <w:color w:val="000000"/>
          <w:lang w:val="sq-AL"/>
        </w:rPr>
      </w:pPr>
    </w:p>
    <w:p w14:paraId="2AF647A4" w14:textId="77777777" w:rsidR="0002198C" w:rsidRPr="00010E6E" w:rsidRDefault="005A54D1" w:rsidP="001D14B2">
      <w:pPr>
        <w:pStyle w:val="ListParagraph"/>
        <w:shd w:val="clear" w:color="auto" w:fill="D9D9D9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Kreu </w:t>
      </w:r>
      <w:r w:rsidR="006C1220" w:rsidRPr="00010E6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896B6D" w:rsidRPr="00010E6E">
        <w:rPr>
          <w:rFonts w:ascii="Times New Roman" w:hAnsi="Times New Roman"/>
          <w:b/>
          <w:sz w:val="24"/>
          <w:szCs w:val="24"/>
          <w:lang w:val="sq-AL"/>
        </w:rPr>
        <w:t xml:space="preserve">V:  </w:t>
      </w:r>
      <w:r w:rsidR="006C1220" w:rsidRPr="00010E6E">
        <w:rPr>
          <w:rFonts w:ascii="Times New Roman" w:hAnsi="Times New Roman"/>
          <w:b/>
          <w:sz w:val="24"/>
          <w:szCs w:val="24"/>
          <w:lang w:val="sq-AL"/>
        </w:rPr>
        <w:t>Dispozita të fundit</w:t>
      </w:r>
      <w:r w:rsidR="00D90B75" w:rsidRPr="00010E6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45271B45" w14:textId="77777777" w:rsidR="00B05A2E" w:rsidRPr="00010E6E" w:rsidRDefault="00B05A2E" w:rsidP="00B05A2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sq-AL"/>
        </w:rPr>
      </w:pPr>
    </w:p>
    <w:p w14:paraId="084E04DB" w14:textId="0B162C2C" w:rsidR="000627FC" w:rsidRPr="00223286" w:rsidRDefault="005A54D1" w:rsidP="00AB4D14">
      <w:pPr>
        <w:spacing w:line="276" w:lineRule="auto"/>
        <w:jc w:val="both"/>
        <w:rPr>
          <w:lang w:val="sq-AL"/>
        </w:rPr>
      </w:pPr>
      <w:r w:rsidRPr="00223286">
        <w:rPr>
          <w:lang w:val="sq-AL"/>
        </w:rPr>
        <w:t xml:space="preserve">Kreu V </w:t>
      </w:r>
      <w:r w:rsidR="006F2B09" w:rsidRPr="00223286">
        <w:rPr>
          <w:lang w:val="sq-AL"/>
        </w:rPr>
        <w:t xml:space="preserve">i projektligjit </w:t>
      </w:r>
      <w:r w:rsidRPr="00223286">
        <w:rPr>
          <w:lang w:val="sq-AL"/>
        </w:rPr>
        <w:t xml:space="preserve">rregullon </w:t>
      </w:r>
      <w:r w:rsidR="006F2B09" w:rsidRPr="00223286">
        <w:rPr>
          <w:lang w:val="sq-AL"/>
        </w:rPr>
        <w:t>hyrjen n</w:t>
      </w:r>
      <w:r w:rsidR="00283EA6" w:rsidRPr="00223286">
        <w:rPr>
          <w:lang w:val="sq-AL"/>
        </w:rPr>
        <w:t>ë</w:t>
      </w:r>
      <w:r w:rsidR="006F2B09" w:rsidRPr="00223286">
        <w:rPr>
          <w:lang w:val="sq-AL"/>
        </w:rPr>
        <w:t xml:space="preserve"> fuqi t</w:t>
      </w:r>
      <w:r w:rsidR="00283EA6" w:rsidRPr="00223286">
        <w:rPr>
          <w:lang w:val="sq-AL"/>
        </w:rPr>
        <w:t>ë</w:t>
      </w:r>
      <w:r w:rsidR="006F2B09" w:rsidRPr="00223286">
        <w:rPr>
          <w:lang w:val="sq-AL"/>
        </w:rPr>
        <w:t xml:space="preserve"> tij</w:t>
      </w:r>
      <w:r w:rsidR="00950313" w:rsidRPr="00223286">
        <w:rPr>
          <w:lang w:val="sq-AL"/>
        </w:rPr>
        <w:t>, 3 muaj pas botimit n</w:t>
      </w:r>
      <w:r w:rsidR="00E53196">
        <w:rPr>
          <w:lang w:val="sq-AL"/>
        </w:rPr>
        <w:t>ë</w:t>
      </w:r>
      <w:r w:rsidR="00950313" w:rsidRPr="00223286">
        <w:rPr>
          <w:lang w:val="sq-AL"/>
        </w:rPr>
        <w:t xml:space="preserve"> </w:t>
      </w:r>
      <w:r w:rsidR="00950313" w:rsidRPr="00223286">
        <w:rPr>
          <w:rFonts w:eastAsiaTheme="minorHAnsi"/>
          <w:lang w:val="sq-AL"/>
        </w:rPr>
        <w:t>Fletoren Zyrtare të Republikës së Shqipërisë</w:t>
      </w:r>
      <w:r w:rsidR="006F2B09" w:rsidRPr="00223286">
        <w:rPr>
          <w:lang w:val="sq-AL"/>
        </w:rPr>
        <w:t>.</w:t>
      </w:r>
    </w:p>
    <w:p w14:paraId="341CF06B" w14:textId="77777777" w:rsidR="006F2B09" w:rsidRPr="00161607" w:rsidRDefault="006F2B09" w:rsidP="00AB4D14">
      <w:pPr>
        <w:spacing w:line="276" w:lineRule="auto"/>
        <w:jc w:val="both"/>
        <w:rPr>
          <w:sz w:val="22"/>
          <w:szCs w:val="22"/>
          <w:lang w:val="sq-AL"/>
        </w:rPr>
      </w:pPr>
    </w:p>
    <w:p w14:paraId="55400ED0" w14:textId="77777777" w:rsidR="00283EA6" w:rsidRPr="00010E6E" w:rsidRDefault="00283EA6" w:rsidP="004E2752">
      <w:pPr>
        <w:pStyle w:val="Heading1"/>
        <w:numPr>
          <w:ilvl w:val="0"/>
          <w:numId w:val="19"/>
        </w:numPr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bookmarkStart w:id="11" w:name="_Toc18481864"/>
      <w:bookmarkStart w:id="12" w:name="_Toc112249470"/>
      <w:r w:rsidRPr="00010E6E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INSTITUCIONET DHE ORGANET QË NGARKOHEN </w:t>
      </w:r>
      <w:r w:rsidR="0046279C">
        <w:rPr>
          <w:rFonts w:ascii="Times New Roman" w:hAnsi="Times New Roman"/>
          <w:b/>
          <w:color w:val="000000"/>
          <w:sz w:val="24"/>
          <w:szCs w:val="24"/>
          <w:lang w:val="sq-AL"/>
        </w:rPr>
        <w:t>ME</w:t>
      </w:r>
      <w:r w:rsidR="0046279C" w:rsidRPr="00010E6E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 w:rsidRPr="00010E6E">
        <w:rPr>
          <w:rFonts w:ascii="Times New Roman" w:hAnsi="Times New Roman"/>
          <w:b/>
          <w:color w:val="000000"/>
          <w:sz w:val="24"/>
          <w:szCs w:val="24"/>
          <w:lang w:val="sq-AL"/>
        </w:rPr>
        <w:t>ZBATIMIN E PROJEKTLIGJIT</w:t>
      </w:r>
      <w:bookmarkEnd w:id="11"/>
      <w:bookmarkEnd w:id="12"/>
      <w:r w:rsidRPr="00010E6E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</w:p>
    <w:p w14:paraId="15852884" w14:textId="77777777" w:rsidR="00283EA6" w:rsidRPr="00010E6E" w:rsidRDefault="00283EA6" w:rsidP="00283EA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lang w:val="sq-AL"/>
        </w:rPr>
      </w:pPr>
    </w:p>
    <w:p w14:paraId="30701976" w14:textId="77777777" w:rsidR="00283EA6" w:rsidRPr="00223286" w:rsidRDefault="00283EA6" w:rsidP="00C177F7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lang w:val="sq-AL"/>
        </w:rPr>
      </w:pPr>
      <w:r w:rsidRPr="00223286">
        <w:rPr>
          <w:rFonts w:ascii="Times New Roman" w:hAnsi="Times New Roman" w:cs="Times New Roman"/>
          <w:lang w:val="sq-AL"/>
        </w:rPr>
        <w:t xml:space="preserve">Institucioni </w:t>
      </w:r>
      <w:r w:rsidR="0046279C" w:rsidRPr="00223286">
        <w:rPr>
          <w:rFonts w:ascii="Times New Roman" w:hAnsi="Times New Roman" w:cs="Times New Roman"/>
          <w:lang w:val="sq-AL"/>
        </w:rPr>
        <w:t>që</w:t>
      </w:r>
      <w:r w:rsidRPr="00223286">
        <w:rPr>
          <w:rFonts w:ascii="Times New Roman" w:hAnsi="Times New Roman" w:cs="Times New Roman"/>
          <w:lang w:val="sq-AL"/>
        </w:rPr>
        <w:t xml:space="preserve"> ngarkohet në mënyrë të drejtpërdrejt</w:t>
      </w:r>
      <w:r w:rsidR="005E498F" w:rsidRPr="00223286">
        <w:rPr>
          <w:rFonts w:ascii="Times New Roman" w:hAnsi="Times New Roman" w:cs="Times New Roman"/>
          <w:lang w:val="sq-AL"/>
        </w:rPr>
        <w:t>ë</w:t>
      </w:r>
      <w:r w:rsidRPr="00223286">
        <w:rPr>
          <w:rFonts w:ascii="Times New Roman" w:hAnsi="Times New Roman" w:cs="Times New Roman"/>
          <w:lang w:val="sq-AL"/>
        </w:rPr>
        <w:t xml:space="preserve"> </w:t>
      </w:r>
      <w:r w:rsidR="0046279C" w:rsidRPr="00223286">
        <w:rPr>
          <w:rFonts w:ascii="Times New Roman" w:hAnsi="Times New Roman" w:cs="Times New Roman"/>
          <w:lang w:val="sq-AL"/>
        </w:rPr>
        <w:t xml:space="preserve">me </w:t>
      </w:r>
      <w:r w:rsidRPr="00223286">
        <w:rPr>
          <w:rFonts w:ascii="Times New Roman" w:hAnsi="Times New Roman" w:cs="Times New Roman"/>
          <w:lang w:val="sq-AL"/>
        </w:rPr>
        <w:t>zbatimin e këtij projektligji është Banka e Shqipërisë</w:t>
      </w:r>
      <w:r w:rsidR="0018540B" w:rsidRPr="00223286">
        <w:rPr>
          <w:rFonts w:ascii="Times New Roman" w:hAnsi="Times New Roman" w:cs="Times New Roman"/>
          <w:lang w:val="sq-AL"/>
        </w:rPr>
        <w:t xml:space="preserve">. </w:t>
      </w:r>
      <w:r w:rsidR="005E498F" w:rsidRPr="00223286">
        <w:rPr>
          <w:rFonts w:ascii="Times New Roman" w:hAnsi="Times New Roman" w:cs="Times New Roman"/>
          <w:lang w:val="sq-AL"/>
        </w:rPr>
        <w:t xml:space="preserve"> </w:t>
      </w:r>
    </w:p>
    <w:p w14:paraId="578D7E9C" w14:textId="77777777" w:rsidR="00283EA6" w:rsidRPr="00161607" w:rsidRDefault="00283EA6" w:rsidP="00283EA6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sq-AL"/>
        </w:rPr>
      </w:pPr>
    </w:p>
    <w:p w14:paraId="6A3F1018" w14:textId="77777777" w:rsidR="00283EA6" w:rsidRPr="00010E6E" w:rsidRDefault="00283EA6" w:rsidP="004E2752">
      <w:pPr>
        <w:pStyle w:val="Default"/>
        <w:numPr>
          <w:ilvl w:val="0"/>
          <w:numId w:val="19"/>
        </w:numPr>
        <w:spacing w:line="276" w:lineRule="auto"/>
        <w:jc w:val="both"/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  <w:bookmarkStart w:id="13" w:name="_Toc18481865"/>
      <w:bookmarkStart w:id="14" w:name="_Toc112249471"/>
      <w:r w:rsidRPr="00010E6E"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  <w:t>PERSONAT DHE INSTITUCIONET QË KANË KONTRIBUAR NË HARTIMIN E PROJEKTLIGJIT</w:t>
      </w:r>
      <w:bookmarkEnd w:id="13"/>
      <w:bookmarkEnd w:id="14"/>
      <w:r w:rsidRPr="00010E6E">
        <w:rPr>
          <w:rStyle w:val="Heading1Char"/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14:paraId="1059585D" w14:textId="77777777" w:rsidR="006F2B09" w:rsidRPr="00010E6E" w:rsidRDefault="006F2B09" w:rsidP="000627FC">
      <w:pPr>
        <w:jc w:val="both"/>
        <w:rPr>
          <w:b/>
          <w:lang w:val="sq-AL"/>
        </w:rPr>
      </w:pPr>
    </w:p>
    <w:p w14:paraId="4E9FB3FD" w14:textId="3D416C9B" w:rsidR="00D715FC" w:rsidRPr="00223286" w:rsidRDefault="00283EA6" w:rsidP="00161607">
      <w:pPr>
        <w:spacing w:line="276" w:lineRule="auto"/>
        <w:jc w:val="both"/>
        <w:rPr>
          <w:lang w:val="sq-AL"/>
        </w:rPr>
      </w:pPr>
      <w:r w:rsidRPr="00223286">
        <w:rPr>
          <w:lang w:val="sq-AL"/>
        </w:rPr>
        <w:t xml:space="preserve">Projektligji është hartuar nga </w:t>
      </w:r>
      <w:r w:rsidR="00EF03B9" w:rsidRPr="00223286">
        <w:rPr>
          <w:lang w:val="sq-AL"/>
        </w:rPr>
        <w:t>stafi i Departamentit të Mbikë</w:t>
      </w:r>
      <w:r w:rsidR="00223286" w:rsidRPr="00223286">
        <w:rPr>
          <w:lang w:val="sq-AL"/>
        </w:rPr>
        <w:t>q</w:t>
      </w:r>
      <w:r w:rsidR="00EF03B9" w:rsidRPr="00223286">
        <w:rPr>
          <w:lang w:val="sq-AL"/>
        </w:rPr>
        <w:t xml:space="preserve">yrjes </w:t>
      </w:r>
      <w:r w:rsidRPr="00223286">
        <w:rPr>
          <w:lang w:val="sq-AL"/>
        </w:rPr>
        <w:t>në Bankën e Shqipërisë</w:t>
      </w:r>
      <w:r w:rsidR="00223286" w:rsidRPr="00223286">
        <w:rPr>
          <w:lang w:val="sq-AL"/>
        </w:rPr>
        <w:t>,</w:t>
      </w:r>
      <w:r w:rsidR="00EF03B9" w:rsidRPr="00223286">
        <w:rPr>
          <w:lang w:val="sq-AL"/>
        </w:rPr>
        <w:t xml:space="preserve"> në konsultim edhe me </w:t>
      </w:r>
      <w:r w:rsidR="00223286" w:rsidRPr="00223286">
        <w:rPr>
          <w:lang w:val="sq-AL"/>
        </w:rPr>
        <w:t>D</w:t>
      </w:r>
      <w:r w:rsidR="00EF03B9" w:rsidRPr="00223286">
        <w:rPr>
          <w:lang w:val="sq-AL"/>
        </w:rPr>
        <w:t>epartament</w:t>
      </w:r>
      <w:r w:rsidR="00223286" w:rsidRPr="00223286">
        <w:rPr>
          <w:lang w:val="sq-AL"/>
        </w:rPr>
        <w:t>in</w:t>
      </w:r>
      <w:r w:rsidR="00EF03B9" w:rsidRPr="00223286">
        <w:rPr>
          <w:lang w:val="sq-AL"/>
        </w:rPr>
        <w:t xml:space="preserve"> e </w:t>
      </w:r>
      <w:r w:rsidR="00223286" w:rsidRPr="00223286">
        <w:rPr>
          <w:lang w:val="sq-AL"/>
        </w:rPr>
        <w:t>Sistemeve të Pagesave, Kontabilitetit dhe Financës dhe Departamenti Juridik. Hartimi i projektligjit është mbështetur me ekspertizë të ofruar nga Banka Botërore.</w:t>
      </w:r>
      <w:r w:rsidRPr="00223286">
        <w:rPr>
          <w:lang w:val="sq-AL"/>
        </w:rPr>
        <w:t xml:space="preserve"> </w:t>
      </w:r>
      <w:r w:rsidR="00EF03B9" w:rsidRPr="00223286">
        <w:rPr>
          <w:lang w:val="sq-AL"/>
        </w:rPr>
        <w:t xml:space="preserve">Gjithashtu </w:t>
      </w:r>
      <w:r w:rsidRPr="00223286">
        <w:rPr>
          <w:lang w:val="sq-AL"/>
        </w:rPr>
        <w:t xml:space="preserve">Projekti është diskutuar </w:t>
      </w:r>
      <w:r w:rsidR="00EF03B9" w:rsidRPr="00223286">
        <w:rPr>
          <w:lang w:val="sq-AL"/>
        </w:rPr>
        <w:t xml:space="preserve">edhe </w:t>
      </w:r>
      <w:r w:rsidRPr="00223286">
        <w:rPr>
          <w:lang w:val="sq-AL"/>
        </w:rPr>
        <w:t>me përfaqësues të bankave</w:t>
      </w:r>
      <w:r w:rsidR="00EF03B9" w:rsidRPr="00223286">
        <w:rPr>
          <w:lang w:val="sq-AL"/>
        </w:rPr>
        <w:t>.</w:t>
      </w:r>
    </w:p>
    <w:p w14:paraId="5FC8C055" w14:textId="77777777" w:rsidR="00EF03B9" w:rsidRPr="00223286" w:rsidRDefault="00EF03B9" w:rsidP="00283EA6">
      <w:pPr>
        <w:spacing w:line="276" w:lineRule="auto"/>
        <w:jc w:val="both"/>
        <w:rPr>
          <w:lang w:val="sq-AL"/>
        </w:rPr>
      </w:pPr>
    </w:p>
    <w:p w14:paraId="33876B66" w14:textId="77777777" w:rsidR="00103EFC" w:rsidRPr="00010E6E" w:rsidRDefault="00103EFC" w:rsidP="00283EA6">
      <w:pPr>
        <w:spacing w:line="276" w:lineRule="auto"/>
        <w:jc w:val="both"/>
        <w:rPr>
          <w:lang w:val="sq-AL"/>
        </w:rPr>
      </w:pPr>
    </w:p>
    <w:p w14:paraId="6D2FFED2" w14:textId="77777777" w:rsidR="00103EFC" w:rsidRPr="00010E6E" w:rsidRDefault="00103EFC" w:rsidP="004E2752">
      <w:pPr>
        <w:numPr>
          <w:ilvl w:val="0"/>
          <w:numId w:val="19"/>
        </w:numPr>
        <w:jc w:val="both"/>
        <w:rPr>
          <w:rFonts w:eastAsia="Times New Roman"/>
          <w:b/>
          <w:lang w:val="sq-AL" w:eastAsia="en-GB"/>
        </w:rPr>
      </w:pPr>
      <w:bookmarkStart w:id="15" w:name="_Toc18481866"/>
      <w:bookmarkStart w:id="16" w:name="_Toc112249472"/>
      <w:r w:rsidRPr="00010E6E">
        <w:rPr>
          <w:rStyle w:val="Heading1Char"/>
          <w:rFonts w:ascii="Times New Roman" w:eastAsia="MS Mincho" w:hAnsi="Times New Roman"/>
          <w:b/>
          <w:color w:val="000000"/>
          <w:sz w:val="24"/>
          <w:szCs w:val="24"/>
          <w:lang w:val="sq-AL"/>
        </w:rPr>
        <w:t>RAPORTI I VLERËSIMIT TË TË ARDHURAVE DHE SHPENZIMEVE BUXHETORE</w:t>
      </w:r>
      <w:bookmarkEnd w:id="15"/>
      <w:bookmarkEnd w:id="16"/>
    </w:p>
    <w:p w14:paraId="654FA52A" w14:textId="77777777" w:rsidR="00103EFC" w:rsidRPr="00010E6E" w:rsidRDefault="00103EFC" w:rsidP="00103EFC">
      <w:pPr>
        <w:spacing w:line="276" w:lineRule="auto"/>
        <w:contextualSpacing/>
        <w:jc w:val="both"/>
        <w:rPr>
          <w:b/>
          <w:bCs/>
          <w:lang w:val="sq-AL"/>
        </w:rPr>
      </w:pPr>
    </w:p>
    <w:p w14:paraId="3B80253C" w14:textId="77777777" w:rsidR="00103EFC" w:rsidRPr="00223286" w:rsidRDefault="00103EFC" w:rsidP="00161607">
      <w:pPr>
        <w:spacing w:line="276" w:lineRule="auto"/>
        <w:jc w:val="both"/>
        <w:rPr>
          <w:rFonts w:eastAsia="Times New Roman"/>
          <w:lang w:val="sq-AL" w:eastAsia="en-GB"/>
        </w:rPr>
      </w:pPr>
      <w:r w:rsidRPr="00223286">
        <w:rPr>
          <w:rFonts w:eastAsia="Times New Roman"/>
          <w:lang w:val="sq-AL" w:eastAsia="en-GB"/>
        </w:rPr>
        <w:t xml:space="preserve">Miratimi i këtij projektligji nuk sjell efekte financiare </w:t>
      </w:r>
      <w:r w:rsidR="007B2372" w:rsidRPr="00223286">
        <w:rPr>
          <w:rFonts w:eastAsia="Times New Roman"/>
          <w:lang w:val="sq-AL" w:eastAsia="en-GB"/>
        </w:rPr>
        <w:t>n</w:t>
      </w:r>
      <w:r w:rsidRPr="00223286">
        <w:rPr>
          <w:rFonts w:eastAsia="Times New Roman"/>
          <w:lang w:val="sq-AL" w:eastAsia="en-GB"/>
        </w:rPr>
        <w:t xml:space="preserve">ë buxhetin e shtetit. </w:t>
      </w:r>
    </w:p>
    <w:p w14:paraId="3E2134A1" w14:textId="77777777" w:rsidR="00103EFC" w:rsidRPr="00010E6E" w:rsidRDefault="00103EFC" w:rsidP="00103EFC">
      <w:pPr>
        <w:spacing w:line="276" w:lineRule="auto"/>
        <w:contextualSpacing/>
        <w:jc w:val="both"/>
        <w:rPr>
          <w:b/>
          <w:bCs/>
          <w:lang w:val="sq-AL"/>
        </w:rPr>
      </w:pPr>
    </w:p>
    <w:p w14:paraId="1AECE96B" w14:textId="77777777" w:rsidR="00103EFC" w:rsidRPr="00010E6E" w:rsidRDefault="00103EFC" w:rsidP="004E2752">
      <w:pPr>
        <w:numPr>
          <w:ilvl w:val="0"/>
          <w:numId w:val="19"/>
        </w:numPr>
        <w:spacing w:line="276" w:lineRule="auto"/>
        <w:contextualSpacing/>
        <w:jc w:val="both"/>
        <w:rPr>
          <w:rStyle w:val="Heading1Char"/>
          <w:rFonts w:ascii="Times New Roman" w:eastAsia="MS Mincho" w:hAnsi="Times New Roman"/>
          <w:b/>
          <w:color w:val="000000"/>
          <w:sz w:val="24"/>
          <w:szCs w:val="24"/>
          <w:lang w:val="sq-AL"/>
        </w:rPr>
      </w:pPr>
      <w:bookmarkStart w:id="17" w:name="_Toc18481867"/>
      <w:bookmarkStart w:id="18" w:name="_Toc112249473"/>
      <w:r w:rsidRPr="00010E6E">
        <w:rPr>
          <w:rStyle w:val="Heading1Char"/>
          <w:rFonts w:ascii="Times New Roman" w:eastAsia="MS Mincho" w:hAnsi="Times New Roman"/>
          <w:b/>
          <w:color w:val="000000"/>
          <w:sz w:val="24"/>
          <w:szCs w:val="24"/>
          <w:lang w:val="sq-AL"/>
        </w:rPr>
        <w:t>KOMENTET E MINISTRIVE, INSTITUCIONEVE DHE SUBJEKTEVE TË TJERA</w:t>
      </w:r>
      <w:bookmarkEnd w:id="17"/>
      <w:bookmarkEnd w:id="18"/>
    </w:p>
    <w:p w14:paraId="0DC37B0D" w14:textId="4157528D" w:rsidR="00784E10" w:rsidRPr="00223286" w:rsidRDefault="0090064C" w:rsidP="00161607">
      <w:pPr>
        <w:spacing w:before="120" w:line="276" w:lineRule="auto"/>
        <w:jc w:val="both"/>
        <w:rPr>
          <w:rFonts w:eastAsia="Times New Roman"/>
          <w:lang w:val="sq-AL" w:eastAsia="en-GB"/>
        </w:rPr>
      </w:pPr>
      <w:r w:rsidRPr="00223286">
        <w:rPr>
          <w:rFonts w:eastAsia="Times New Roman"/>
          <w:lang w:val="sq-AL" w:eastAsia="en-GB"/>
        </w:rPr>
        <w:t>P</w:t>
      </w:r>
      <w:r w:rsidR="00784E10" w:rsidRPr="00223286">
        <w:rPr>
          <w:rFonts w:eastAsia="Times New Roman"/>
          <w:lang w:val="sq-AL" w:eastAsia="en-GB"/>
        </w:rPr>
        <w:t>as finalizimit të projektligjit</w:t>
      </w:r>
      <w:r w:rsidR="00272EC5" w:rsidRPr="00223286">
        <w:rPr>
          <w:rFonts w:eastAsia="Times New Roman"/>
          <w:lang w:val="sq-AL" w:eastAsia="en-GB"/>
        </w:rPr>
        <w:t>,</w:t>
      </w:r>
      <w:r w:rsidR="00784E10" w:rsidRPr="00223286">
        <w:rPr>
          <w:rFonts w:eastAsia="Times New Roman"/>
          <w:lang w:val="sq-AL" w:eastAsia="en-GB"/>
        </w:rPr>
        <w:t xml:space="preserve"> </w:t>
      </w:r>
      <w:r w:rsidR="00272EC5" w:rsidRPr="00223286">
        <w:rPr>
          <w:rFonts w:eastAsia="Times New Roman"/>
          <w:lang w:val="sq-AL" w:eastAsia="en-GB"/>
        </w:rPr>
        <w:t xml:space="preserve">Banka e Shqipërisë ka publikuar në faqen e saj zyrtare për konsultim publik dokumentin. </w:t>
      </w:r>
      <w:r w:rsidR="009773AF" w:rsidRPr="00223286">
        <w:rPr>
          <w:rFonts w:eastAsia="Times New Roman"/>
          <w:lang w:val="sq-AL" w:eastAsia="en-GB"/>
        </w:rPr>
        <w:t>Gjithashtu, projektligji është dërguar për opini</w:t>
      </w:r>
      <w:r w:rsidR="009818B6" w:rsidRPr="00223286">
        <w:rPr>
          <w:rFonts w:eastAsia="Times New Roman"/>
          <w:lang w:val="sq-AL" w:eastAsia="en-GB"/>
        </w:rPr>
        <w:t>o</w:t>
      </w:r>
      <w:r w:rsidR="009773AF" w:rsidRPr="00223286">
        <w:rPr>
          <w:rFonts w:eastAsia="Times New Roman"/>
          <w:lang w:val="sq-AL" w:eastAsia="en-GB"/>
        </w:rPr>
        <w:t>n pranë bankave</w:t>
      </w:r>
      <w:r w:rsidR="00EF03B9" w:rsidRPr="00223286">
        <w:rPr>
          <w:rFonts w:eastAsia="Times New Roman"/>
          <w:lang w:val="sq-AL" w:eastAsia="en-GB"/>
        </w:rPr>
        <w:t xml:space="preserve">. </w:t>
      </w:r>
      <w:r w:rsidR="00421469" w:rsidRPr="00223286">
        <w:rPr>
          <w:rFonts w:eastAsia="Times New Roman"/>
          <w:lang w:val="sq-AL" w:eastAsia="en-GB"/>
        </w:rPr>
        <w:t xml:space="preserve">Komentet janë analizuar nga </w:t>
      </w:r>
      <w:r w:rsidR="00161607" w:rsidRPr="00223286">
        <w:rPr>
          <w:rFonts w:eastAsia="Times New Roman"/>
          <w:lang w:val="sq-AL" w:eastAsia="en-GB"/>
        </w:rPr>
        <w:t>personat përgjegjës</w:t>
      </w:r>
      <w:r w:rsidR="00421469" w:rsidRPr="00223286">
        <w:rPr>
          <w:rFonts w:eastAsia="Times New Roman"/>
          <w:lang w:val="sq-AL" w:eastAsia="en-GB"/>
        </w:rPr>
        <w:t xml:space="preserve"> dhe aty ku është konsideruar e rëndësishme, sugjer</w:t>
      </w:r>
      <w:r w:rsidR="005634E1" w:rsidRPr="00223286">
        <w:rPr>
          <w:rFonts w:eastAsia="Times New Roman"/>
          <w:lang w:val="sq-AL" w:eastAsia="en-GB"/>
        </w:rPr>
        <w:t>i</w:t>
      </w:r>
      <w:r w:rsidR="00421469" w:rsidRPr="00223286">
        <w:rPr>
          <w:rFonts w:eastAsia="Times New Roman"/>
          <w:lang w:val="sq-AL" w:eastAsia="en-GB"/>
        </w:rPr>
        <w:t xml:space="preserve">met janë reflektuar në projektligj. </w:t>
      </w:r>
    </w:p>
    <w:p w14:paraId="1F5458A6" w14:textId="77777777" w:rsidR="00283EA6" w:rsidRPr="00161607" w:rsidRDefault="00283EA6" w:rsidP="00161607">
      <w:pPr>
        <w:spacing w:before="120" w:line="276" w:lineRule="auto"/>
        <w:jc w:val="both"/>
        <w:rPr>
          <w:rFonts w:eastAsia="Times New Roman"/>
          <w:sz w:val="22"/>
          <w:szCs w:val="22"/>
          <w:lang w:val="sq-AL" w:eastAsia="en-GB"/>
        </w:rPr>
      </w:pPr>
    </w:p>
    <w:p w14:paraId="6CFCB9B4" w14:textId="77777777" w:rsidR="002B429F" w:rsidRPr="002B429F" w:rsidRDefault="002B429F" w:rsidP="002B429F">
      <w:pPr>
        <w:spacing w:line="259" w:lineRule="auto"/>
        <w:jc w:val="center"/>
        <w:rPr>
          <w:rFonts w:eastAsiaTheme="minorHAnsi" w:cstheme="minorBidi"/>
        </w:rPr>
      </w:pPr>
      <w:r w:rsidRPr="002B429F">
        <w:rPr>
          <w:rFonts w:asciiTheme="minorHAnsi" w:eastAsiaTheme="minorHAnsi" w:hAnsiTheme="minorHAnsi" w:cstheme="minorBidi"/>
          <w:b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2B429F">
        <w:rPr>
          <w:rFonts w:eastAsiaTheme="minorHAnsi" w:cstheme="minorBidi"/>
          <w:b/>
          <w:lang w:val="it-IT"/>
        </w:rPr>
        <w:t>MINISTËR</w:t>
      </w:r>
    </w:p>
    <w:p w14:paraId="366D1053" w14:textId="77777777" w:rsidR="002B429F" w:rsidRPr="002B429F" w:rsidRDefault="002B429F" w:rsidP="002B429F">
      <w:pPr>
        <w:spacing w:line="259" w:lineRule="auto"/>
        <w:jc w:val="right"/>
        <w:rPr>
          <w:rFonts w:eastAsiaTheme="minorHAnsi" w:cstheme="minorBidi"/>
        </w:rPr>
      </w:pPr>
      <w:r w:rsidRPr="002B429F">
        <w:rPr>
          <w:rFonts w:eastAsiaTheme="minorHAnsi" w:cstheme="minorBidi"/>
        </w:rPr>
        <w:tab/>
      </w:r>
    </w:p>
    <w:p w14:paraId="11180337" w14:textId="704AE502" w:rsidR="002B429F" w:rsidRPr="002B429F" w:rsidRDefault="002B429F" w:rsidP="002B429F">
      <w:pPr>
        <w:spacing w:line="259" w:lineRule="auto"/>
        <w:jc w:val="right"/>
        <w:rPr>
          <w:rFonts w:eastAsiaTheme="minorHAnsi" w:cstheme="minorBidi"/>
          <w:b/>
          <w:lang w:val="sq-AL"/>
        </w:rPr>
      </w:pPr>
      <w:r w:rsidRPr="002B429F">
        <w:rPr>
          <w:rFonts w:eastAsiaTheme="minorHAnsi" w:cstheme="minorBidi"/>
          <w:b/>
          <w:lang w:val="sq-AL"/>
        </w:rPr>
        <w:t xml:space="preserve">                                                                                                     </w:t>
      </w:r>
      <w:r>
        <w:rPr>
          <w:rFonts w:eastAsiaTheme="minorHAnsi" w:cstheme="minorBidi"/>
          <w:b/>
          <w:lang w:val="sq-AL"/>
        </w:rPr>
        <w:t xml:space="preserve">   </w:t>
      </w:r>
      <w:r w:rsidRPr="002B429F">
        <w:rPr>
          <w:rFonts w:eastAsiaTheme="minorHAnsi" w:cstheme="minorBidi"/>
          <w:b/>
          <w:lang w:val="sq-AL"/>
        </w:rPr>
        <w:t>Delina IBRAHIMAJ</w:t>
      </w:r>
    </w:p>
    <w:p w14:paraId="01D99141" w14:textId="77777777" w:rsidR="006F2B09" w:rsidRPr="00010E6E" w:rsidRDefault="006F2B09" w:rsidP="000627FC">
      <w:pPr>
        <w:jc w:val="both"/>
        <w:rPr>
          <w:b/>
          <w:lang w:val="sq-AL"/>
        </w:rPr>
      </w:pPr>
    </w:p>
    <w:p w14:paraId="0A2226EE" w14:textId="77777777" w:rsidR="008E799D" w:rsidRPr="00010E6E" w:rsidRDefault="008E799D" w:rsidP="00D73AF9">
      <w:pPr>
        <w:jc w:val="both"/>
        <w:rPr>
          <w:lang w:val="sq-AL"/>
        </w:rPr>
      </w:pPr>
    </w:p>
    <w:sectPr w:rsidR="008E799D" w:rsidRPr="00010E6E" w:rsidSect="00D73AF9">
      <w:footerReference w:type="default" r:id="rId8"/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65A98" w14:textId="77777777" w:rsidR="001F47AF" w:rsidRDefault="001F47AF" w:rsidP="00575770">
      <w:r>
        <w:separator/>
      </w:r>
    </w:p>
  </w:endnote>
  <w:endnote w:type="continuationSeparator" w:id="0">
    <w:p w14:paraId="44B883D1" w14:textId="77777777" w:rsidR="001F47AF" w:rsidRDefault="001F47AF" w:rsidP="0057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29826"/>
      <w:docPartObj>
        <w:docPartGallery w:val="Page Numbers (Bottom of Page)"/>
        <w:docPartUnique/>
      </w:docPartObj>
    </w:sdtPr>
    <w:sdtEndPr/>
    <w:sdtContent>
      <w:sdt>
        <w:sdtPr>
          <w:id w:val="-1155447872"/>
          <w:docPartObj>
            <w:docPartGallery w:val="Page Numbers (Top of Page)"/>
            <w:docPartUnique/>
          </w:docPartObj>
        </w:sdtPr>
        <w:sdtEndPr/>
        <w:sdtContent>
          <w:p w14:paraId="643123E6" w14:textId="77777777" w:rsidR="00950313" w:rsidRDefault="00950313" w:rsidP="003E744C">
            <w:pPr>
              <w:pStyle w:val="Footer"/>
              <w:jc w:val="center"/>
            </w:pPr>
            <w:r w:rsidRPr="003E744C">
              <w:rPr>
                <w:sz w:val="20"/>
              </w:rPr>
              <w:t xml:space="preserve">Faqe </w:t>
            </w:r>
            <w:r w:rsidRPr="003E744C">
              <w:rPr>
                <w:bCs/>
                <w:sz w:val="20"/>
              </w:rPr>
              <w:fldChar w:fldCharType="begin"/>
            </w:r>
            <w:r w:rsidRPr="003E744C">
              <w:rPr>
                <w:bCs/>
                <w:sz w:val="20"/>
              </w:rPr>
              <w:instrText xml:space="preserve"> PAGE </w:instrText>
            </w:r>
            <w:r w:rsidRPr="003E744C">
              <w:rPr>
                <w:bCs/>
                <w:sz w:val="20"/>
              </w:rPr>
              <w:fldChar w:fldCharType="separate"/>
            </w:r>
            <w:r w:rsidR="004B77ED">
              <w:rPr>
                <w:bCs/>
                <w:noProof/>
                <w:sz w:val="20"/>
              </w:rPr>
              <w:t>2</w:t>
            </w:r>
            <w:r w:rsidRPr="003E744C">
              <w:rPr>
                <w:bCs/>
                <w:sz w:val="20"/>
              </w:rPr>
              <w:fldChar w:fldCharType="end"/>
            </w:r>
            <w:r w:rsidRPr="003E744C">
              <w:rPr>
                <w:sz w:val="20"/>
              </w:rPr>
              <w:t xml:space="preserve"> nga </w:t>
            </w:r>
            <w:r w:rsidRPr="003E744C">
              <w:rPr>
                <w:bCs/>
                <w:sz w:val="20"/>
              </w:rPr>
              <w:fldChar w:fldCharType="begin"/>
            </w:r>
            <w:r w:rsidRPr="003E744C">
              <w:rPr>
                <w:bCs/>
                <w:sz w:val="20"/>
              </w:rPr>
              <w:instrText xml:space="preserve"> NUMPAGES  </w:instrText>
            </w:r>
            <w:r w:rsidRPr="003E744C">
              <w:rPr>
                <w:bCs/>
                <w:sz w:val="20"/>
              </w:rPr>
              <w:fldChar w:fldCharType="separate"/>
            </w:r>
            <w:r w:rsidR="004B77ED">
              <w:rPr>
                <w:bCs/>
                <w:noProof/>
                <w:sz w:val="20"/>
              </w:rPr>
              <w:t>8</w:t>
            </w:r>
            <w:r w:rsidRPr="003E744C">
              <w:rPr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3F310" w14:textId="77777777" w:rsidR="001F47AF" w:rsidRDefault="001F47AF" w:rsidP="00575770">
      <w:r>
        <w:separator/>
      </w:r>
    </w:p>
  </w:footnote>
  <w:footnote w:type="continuationSeparator" w:id="0">
    <w:p w14:paraId="05D44413" w14:textId="77777777" w:rsidR="001F47AF" w:rsidRDefault="001F47AF" w:rsidP="00575770">
      <w:r>
        <w:continuationSeparator/>
      </w:r>
    </w:p>
  </w:footnote>
  <w:footnote w:id="1">
    <w:p w14:paraId="3BE2750E" w14:textId="77777777" w:rsidR="00950313" w:rsidRPr="008D736E" w:rsidRDefault="00950313" w:rsidP="007526E3">
      <w:pPr>
        <w:pStyle w:val="FootnoteText"/>
        <w:jc w:val="both"/>
        <w:rPr>
          <w:lang w:val="it-IT"/>
        </w:rPr>
      </w:pPr>
      <w:r w:rsidRPr="00F7362F">
        <w:rPr>
          <w:rStyle w:val="FootnoteReference"/>
        </w:rPr>
        <w:footnoteRef/>
      </w:r>
      <w:r w:rsidRPr="008D736E">
        <w:rPr>
          <w:lang w:val="it-IT"/>
        </w:rPr>
        <w:t xml:space="preserve"> Neni 10</w:t>
      </w:r>
      <w:r>
        <w:rPr>
          <w:lang w:val="it-IT"/>
        </w:rPr>
        <w:t>,</w:t>
      </w:r>
      <w:r w:rsidRPr="008D736E">
        <w:rPr>
          <w:lang w:val="it-IT"/>
        </w:rPr>
        <w:t xml:space="preserve"> Masa e gjobës: “</w:t>
      </w:r>
      <w:r w:rsidRPr="008D736E">
        <w:rPr>
          <w:i/>
          <w:lang w:val="it-IT"/>
        </w:rPr>
        <w:t>Masa e dënimit me gjobë përcaktohet nga ligji, i cili ka parashikuar kundërvajtjen administrative. Masa e dënimit me gjobë mund të jetë fikse apo e përcaktuar me kufij minimalë dhe maksimalë.</w:t>
      </w:r>
      <w:r w:rsidRPr="008D736E">
        <w:rPr>
          <w:lang w:val="it-IT"/>
        </w:rPr>
        <w:t>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7EF6"/>
    <w:multiLevelType w:val="hybridMultilevel"/>
    <w:tmpl w:val="1F7C5468"/>
    <w:lvl w:ilvl="0" w:tplc="A9B2A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256EF3"/>
    <w:multiLevelType w:val="hybridMultilevel"/>
    <w:tmpl w:val="B0E83720"/>
    <w:lvl w:ilvl="0" w:tplc="E24C0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C20A8"/>
    <w:multiLevelType w:val="hybridMultilevel"/>
    <w:tmpl w:val="6CAC6BDE"/>
    <w:lvl w:ilvl="0" w:tplc="FD8ED36C">
      <w:numFmt w:val="bullet"/>
      <w:lvlText w:val="-"/>
      <w:lvlJc w:val="left"/>
      <w:pPr>
        <w:ind w:left="360" w:hanging="360"/>
      </w:pPr>
      <w:rPr>
        <w:rFonts w:ascii="Cambria" w:eastAsia="MS Mincho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CB532F"/>
    <w:multiLevelType w:val="hybridMultilevel"/>
    <w:tmpl w:val="D73256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B10F8"/>
    <w:multiLevelType w:val="hybridMultilevel"/>
    <w:tmpl w:val="F04C4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D7BFA"/>
    <w:multiLevelType w:val="hybridMultilevel"/>
    <w:tmpl w:val="850CBBD4"/>
    <w:lvl w:ilvl="0" w:tplc="E84E88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942F4"/>
    <w:multiLevelType w:val="hybridMultilevel"/>
    <w:tmpl w:val="CDC80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9189A"/>
    <w:multiLevelType w:val="hybridMultilevel"/>
    <w:tmpl w:val="01603280"/>
    <w:lvl w:ilvl="0" w:tplc="4BCC4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F2ABC"/>
    <w:multiLevelType w:val="hybridMultilevel"/>
    <w:tmpl w:val="5E86C2B0"/>
    <w:lvl w:ilvl="0" w:tplc="1214D4BA">
      <w:start w:val="1"/>
      <w:numFmt w:val="lowerRoman"/>
      <w:lvlText w:val="(%1)"/>
      <w:lvlJc w:val="left"/>
      <w:pPr>
        <w:ind w:left="720" w:hanging="72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E26375"/>
    <w:multiLevelType w:val="hybridMultilevel"/>
    <w:tmpl w:val="AF3C22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F3630D"/>
    <w:multiLevelType w:val="hybridMultilevel"/>
    <w:tmpl w:val="69B82C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FB38C6"/>
    <w:multiLevelType w:val="hybridMultilevel"/>
    <w:tmpl w:val="593253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5C24C8"/>
    <w:multiLevelType w:val="hybridMultilevel"/>
    <w:tmpl w:val="BE507B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E325D7"/>
    <w:multiLevelType w:val="hybridMultilevel"/>
    <w:tmpl w:val="68AC1F20"/>
    <w:lvl w:ilvl="0" w:tplc="0409001B">
      <w:start w:val="1"/>
      <w:numFmt w:val="lowerRoman"/>
      <w:lvlText w:val="%1.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15B51E2"/>
    <w:multiLevelType w:val="hybridMultilevel"/>
    <w:tmpl w:val="514897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D3652"/>
    <w:multiLevelType w:val="hybridMultilevel"/>
    <w:tmpl w:val="5E707022"/>
    <w:lvl w:ilvl="0" w:tplc="511C0F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2097F"/>
    <w:multiLevelType w:val="hybridMultilevel"/>
    <w:tmpl w:val="CC5A0DE0"/>
    <w:lvl w:ilvl="0" w:tplc="AD041FF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4A74736"/>
    <w:multiLevelType w:val="hybridMultilevel"/>
    <w:tmpl w:val="C8E22E22"/>
    <w:lvl w:ilvl="0" w:tplc="426ECCA0">
      <w:start w:val="1"/>
      <w:numFmt w:val="upperRoman"/>
      <w:lvlText w:val="%1."/>
      <w:lvlJc w:val="left"/>
      <w:pPr>
        <w:ind w:left="1080" w:hanging="72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12D35"/>
    <w:multiLevelType w:val="hybridMultilevel"/>
    <w:tmpl w:val="789A10CC"/>
    <w:lvl w:ilvl="0" w:tplc="A644F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16CD9"/>
    <w:multiLevelType w:val="hybridMultilevel"/>
    <w:tmpl w:val="C69AB7E0"/>
    <w:lvl w:ilvl="0" w:tplc="ACF4A1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347A5C"/>
    <w:multiLevelType w:val="hybridMultilevel"/>
    <w:tmpl w:val="11DC98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4A3D54"/>
    <w:multiLevelType w:val="hybridMultilevel"/>
    <w:tmpl w:val="5A60B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6630E6"/>
    <w:multiLevelType w:val="hybridMultilevel"/>
    <w:tmpl w:val="C8E22E22"/>
    <w:lvl w:ilvl="0" w:tplc="426ECCA0">
      <w:start w:val="1"/>
      <w:numFmt w:val="upperRoman"/>
      <w:lvlText w:val="%1."/>
      <w:lvlJc w:val="left"/>
      <w:pPr>
        <w:ind w:left="1080" w:hanging="72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0563C"/>
    <w:multiLevelType w:val="hybridMultilevel"/>
    <w:tmpl w:val="8C6A4414"/>
    <w:lvl w:ilvl="0" w:tplc="5BE4CE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01D7F"/>
    <w:multiLevelType w:val="hybridMultilevel"/>
    <w:tmpl w:val="7EBEE6B0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6A1336BB"/>
    <w:multiLevelType w:val="hybridMultilevel"/>
    <w:tmpl w:val="285A555C"/>
    <w:lvl w:ilvl="0" w:tplc="1BD07EE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753B18"/>
    <w:multiLevelType w:val="hybridMultilevel"/>
    <w:tmpl w:val="8C6E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635AD"/>
    <w:multiLevelType w:val="hybridMultilevel"/>
    <w:tmpl w:val="C78A9D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8"/>
  </w:num>
  <w:num w:numId="5">
    <w:abstractNumId w:val="9"/>
  </w:num>
  <w:num w:numId="6">
    <w:abstractNumId w:val="7"/>
  </w:num>
  <w:num w:numId="7">
    <w:abstractNumId w:val="11"/>
  </w:num>
  <w:num w:numId="8">
    <w:abstractNumId w:val="21"/>
  </w:num>
  <w:num w:numId="9">
    <w:abstractNumId w:val="5"/>
  </w:num>
  <w:num w:numId="10">
    <w:abstractNumId w:val="12"/>
  </w:num>
  <w:num w:numId="11">
    <w:abstractNumId w:val="26"/>
  </w:num>
  <w:num w:numId="12">
    <w:abstractNumId w:val="10"/>
  </w:num>
  <w:num w:numId="13">
    <w:abstractNumId w:val="16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0"/>
  </w:num>
  <w:num w:numId="18">
    <w:abstractNumId w:val="23"/>
  </w:num>
  <w:num w:numId="19">
    <w:abstractNumId w:val="25"/>
  </w:num>
  <w:num w:numId="20">
    <w:abstractNumId w:val="1"/>
  </w:num>
  <w:num w:numId="21">
    <w:abstractNumId w:val="13"/>
  </w:num>
  <w:num w:numId="22">
    <w:abstractNumId w:val="27"/>
  </w:num>
  <w:num w:numId="23">
    <w:abstractNumId w:val="6"/>
  </w:num>
  <w:num w:numId="24">
    <w:abstractNumId w:val="2"/>
  </w:num>
  <w:num w:numId="25">
    <w:abstractNumId w:val="3"/>
  </w:num>
  <w:num w:numId="26">
    <w:abstractNumId w:val="20"/>
  </w:num>
  <w:num w:numId="27">
    <w:abstractNumId w:val="14"/>
  </w:num>
  <w:num w:numId="28">
    <w:abstractNumId w:val="4"/>
  </w:num>
  <w:num w:numId="29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46"/>
    <w:rsid w:val="00001169"/>
    <w:rsid w:val="00002DD8"/>
    <w:rsid w:val="0000473A"/>
    <w:rsid w:val="00006EED"/>
    <w:rsid w:val="0001081D"/>
    <w:rsid w:val="00010E6E"/>
    <w:rsid w:val="000149A4"/>
    <w:rsid w:val="00014DA1"/>
    <w:rsid w:val="00017EB3"/>
    <w:rsid w:val="00020BCF"/>
    <w:rsid w:val="0002198C"/>
    <w:rsid w:val="0002380D"/>
    <w:rsid w:val="00024B4D"/>
    <w:rsid w:val="000325D1"/>
    <w:rsid w:val="000335C9"/>
    <w:rsid w:val="000338C5"/>
    <w:rsid w:val="00036E14"/>
    <w:rsid w:val="00037959"/>
    <w:rsid w:val="00041135"/>
    <w:rsid w:val="000428D5"/>
    <w:rsid w:val="00042AD5"/>
    <w:rsid w:val="00044453"/>
    <w:rsid w:val="0004536C"/>
    <w:rsid w:val="00045669"/>
    <w:rsid w:val="00045830"/>
    <w:rsid w:val="00051273"/>
    <w:rsid w:val="00052844"/>
    <w:rsid w:val="000542D9"/>
    <w:rsid w:val="000556F2"/>
    <w:rsid w:val="00055CEC"/>
    <w:rsid w:val="00055EBE"/>
    <w:rsid w:val="00056491"/>
    <w:rsid w:val="000627FC"/>
    <w:rsid w:val="000628E0"/>
    <w:rsid w:val="000637E8"/>
    <w:rsid w:val="00070134"/>
    <w:rsid w:val="0007051E"/>
    <w:rsid w:val="000723C0"/>
    <w:rsid w:val="00072707"/>
    <w:rsid w:val="000740B9"/>
    <w:rsid w:val="00074FC7"/>
    <w:rsid w:val="00077124"/>
    <w:rsid w:val="000801CC"/>
    <w:rsid w:val="000828EF"/>
    <w:rsid w:val="00084CD0"/>
    <w:rsid w:val="00086AB3"/>
    <w:rsid w:val="00096EC4"/>
    <w:rsid w:val="00097615"/>
    <w:rsid w:val="000979E7"/>
    <w:rsid w:val="000A1381"/>
    <w:rsid w:val="000A45AA"/>
    <w:rsid w:val="000A4C39"/>
    <w:rsid w:val="000A68E4"/>
    <w:rsid w:val="000B0AC4"/>
    <w:rsid w:val="000B37FA"/>
    <w:rsid w:val="000B50EE"/>
    <w:rsid w:val="000C160C"/>
    <w:rsid w:val="000C170E"/>
    <w:rsid w:val="000C2575"/>
    <w:rsid w:val="000C298A"/>
    <w:rsid w:val="000C6230"/>
    <w:rsid w:val="000D15DE"/>
    <w:rsid w:val="000E1663"/>
    <w:rsid w:val="000E58F4"/>
    <w:rsid w:val="000E6D42"/>
    <w:rsid w:val="000F03D0"/>
    <w:rsid w:val="000F1111"/>
    <w:rsid w:val="000F1C6C"/>
    <w:rsid w:val="000F5589"/>
    <w:rsid w:val="000F7C8A"/>
    <w:rsid w:val="001004EC"/>
    <w:rsid w:val="00100938"/>
    <w:rsid w:val="00101CD6"/>
    <w:rsid w:val="00102BB4"/>
    <w:rsid w:val="00102E79"/>
    <w:rsid w:val="00103EFC"/>
    <w:rsid w:val="00106345"/>
    <w:rsid w:val="001068B0"/>
    <w:rsid w:val="00112398"/>
    <w:rsid w:val="00114396"/>
    <w:rsid w:val="00116267"/>
    <w:rsid w:val="00116B55"/>
    <w:rsid w:val="0012028A"/>
    <w:rsid w:val="001231C9"/>
    <w:rsid w:val="0012322A"/>
    <w:rsid w:val="001254E4"/>
    <w:rsid w:val="001258A8"/>
    <w:rsid w:val="001326DC"/>
    <w:rsid w:val="0013421D"/>
    <w:rsid w:val="00135DC2"/>
    <w:rsid w:val="00136AD3"/>
    <w:rsid w:val="0014171D"/>
    <w:rsid w:val="00146706"/>
    <w:rsid w:val="0015589B"/>
    <w:rsid w:val="00155A57"/>
    <w:rsid w:val="00156948"/>
    <w:rsid w:val="00161607"/>
    <w:rsid w:val="00161EA8"/>
    <w:rsid w:val="00163EE7"/>
    <w:rsid w:val="00163FA0"/>
    <w:rsid w:val="00167141"/>
    <w:rsid w:val="00172B91"/>
    <w:rsid w:val="00174460"/>
    <w:rsid w:val="0017447F"/>
    <w:rsid w:val="0017448F"/>
    <w:rsid w:val="00177F2F"/>
    <w:rsid w:val="00180410"/>
    <w:rsid w:val="0018540B"/>
    <w:rsid w:val="001901AC"/>
    <w:rsid w:val="0019156E"/>
    <w:rsid w:val="00197F86"/>
    <w:rsid w:val="001A0B47"/>
    <w:rsid w:val="001A26EF"/>
    <w:rsid w:val="001B1979"/>
    <w:rsid w:val="001B243F"/>
    <w:rsid w:val="001B4304"/>
    <w:rsid w:val="001B61AD"/>
    <w:rsid w:val="001C093E"/>
    <w:rsid w:val="001C32DD"/>
    <w:rsid w:val="001C3512"/>
    <w:rsid w:val="001C4F5C"/>
    <w:rsid w:val="001D0C84"/>
    <w:rsid w:val="001D14B2"/>
    <w:rsid w:val="001D184D"/>
    <w:rsid w:val="001D3077"/>
    <w:rsid w:val="001D3D0D"/>
    <w:rsid w:val="001E1CC6"/>
    <w:rsid w:val="001E43F6"/>
    <w:rsid w:val="001E5479"/>
    <w:rsid w:val="001E5BEE"/>
    <w:rsid w:val="001E77D8"/>
    <w:rsid w:val="001F082F"/>
    <w:rsid w:val="001F1F75"/>
    <w:rsid w:val="001F47AF"/>
    <w:rsid w:val="001F6495"/>
    <w:rsid w:val="001F69BC"/>
    <w:rsid w:val="00200F4D"/>
    <w:rsid w:val="00201C73"/>
    <w:rsid w:val="002057F4"/>
    <w:rsid w:val="00210637"/>
    <w:rsid w:val="0021180C"/>
    <w:rsid w:val="00221D50"/>
    <w:rsid w:val="0022273D"/>
    <w:rsid w:val="00223286"/>
    <w:rsid w:val="00223CDF"/>
    <w:rsid w:val="002241F6"/>
    <w:rsid w:val="00224EB7"/>
    <w:rsid w:val="002275C0"/>
    <w:rsid w:val="00227D22"/>
    <w:rsid w:val="00230D92"/>
    <w:rsid w:val="00231B7A"/>
    <w:rsid w:val="00232B13"/>
    <w:rsid w:val="00234907"/>
    <w:rsid w:val="002373F7"/>
    <w:rsid w:val="00237568"/>
    <w:rsid w:val="00244642"/>
    <w:rsid w:val="00251EE3"/>
    <w:rsid w:val="00252BAB"/>
    <w:rsid w:val="002565C8"/>
    <w:rsid w:val="00260FC2"/>
    <w:rsid w:val="002611DD"/>
    <w:rsid w:val="00261945"/>
    <w:rsid w:val="00262999"/>
    <w:rsid w:val="00264AB5"/>
    <w:rsid w:val="0026645C"/>
    <w:rsid w:val="002664E8"/>
    <w:rsid w:val="0026679A"/>
    <w:rsid w:val="00267446"/>
    <w:rsid w:val="00270763"/>
    <w:rsid w:val="00272EAA"/>
    <w:rsid w:val="00272EC5"/>
    <w:rsid w:val="0028299B"/>
    <w:rsid w:val="00283EA6"/>
    <w:rsid w:val="002908B1"/>
    <w:rsid w:val="00292224"/>
    <w:rsid w:val="002932A2"/>
    <w:rsid w:val="00293880"/>
    <w:rsid w:val="00294787"/>
    <w:rsid w:val="002A0058"/>
    <w:rsid w:val="002A788B"/>
    <w:rsid w:val="002B134D"/>
    <w:rsid w:val="002B35AD"/>
    <w:rsid w:val="002B429F"/>
    <w:rsid w:val="002C0179"/>
    <w:rsid w:val="002C0BFC"/>
    <w:rsid w:val="002C1273"/>
    <w:rsid w:val="002C2A7F"/>
    <w:rsid w:val="002C3F7F"/>
    <w:rsid w:val="002C4680"/>
    <w:rsid w:val="002C5A3C"/>
    <w:rsid w:val="002C6C76"/>
    <w:rsid w:val="002C7F67"/>
    <w:rsid w:val="002D07C3"/>
    <w:rsid w:val="002D40F2"/>
    <w:rsid w:val="002D4EDB"/>
    <w:rsid w:val="002D50B7"/>
    <w:rsid w:val="002D7E62"/>
    <w:rsid w:val="002E16F4"/>
    <w:rsid w:val="002E195D"/>
    <w:rsid w:val="002E5A68"/>
    <w:rsid w:val="002E676B"/>
    <w:rsid w:val="002F40EE"/>
    <w:rsid w:val="002F4942"/>
    <w:rsid w:val="002F6F43"/>
    <w:rsid w:val="00301CFF"/>
    <w:rsid w:val="00302140"/>
    <w:rsid w:val="00305987"/>
    <w:rsid w:val="00307A4C"/>
    <w:rsid w:val="00313310"/>
    <w:rsid w:val="00313822"/>
    <w:rsid w:val="0031470B"/>
    <w:rsid w:val="00325EF7"/>
    <w:rsid w:val="00325FF6"/>
    <w:rsid w:val="00327C43"/>
    <w:rsid w:val="00332386"/>
    <w:rsid w:val="003326C3"/>
    <w:rsid w:val="00332C33"/>
    <w:rsid w:val="003405A9"/>
    <w:rsid w:val="003422BF"/>
    <w:rsid w:val="003440D8"/>
    <w:rsid w:val="00345BBE"/>
    <w:rsid w:val="00345E64"/>
    <w:rsid w:val="00347B95"/>
    <w:rsid w:val="00350811"/>
    <w:rsid w:val="00351433"/>
    <w:rsid w:val="003556E5"/>
    <w:rsid w:val="00356E9C"/>
    <w:rsid w:val="00357DC8"/>
    <w:rsid w:val="0036072F"/>
    <w:rsid w:val="00363C5C"/>
    <w:rsid w:val="0036481B"/>
    <w:rsid w:val="00366791"/>
    <w:rsid w:val="0036776E"/>
    <w:rsid w:val="0037484B"/>
    <w:rsid w:val="00376C66"/>
    <w:rsid w:val="003770B6"/>
    <w:rsid w:val="003844B1"/>
    <w:rsid w:val="00387C7C"/>
    <w:rsid w:val="00390E66"/>
    <w:rsid w:val="00391F4F"/>
    <w:rsid w:val="003949B2"/>
    <w:rsid w:val="003954C0"/>
    <w:rsid w:val="00395889"/>
    <w:rsid w:val="00395E3D"/>
    <w:rsid w:val="00396A5A"/>
    <w:rsid w:val="00397391"/>
    <w:rsid w:val="00397D4F"/>
    <w:rsid w:val="003A149E"/>
    <w:rsid w:val="003A3F0D"/>
    <w:rsid w:val="003A4B22"/>
    <w:rsid w:val="003A4F4E"/>
    <w:rsid w:val="003B0DBB"/>
    <w:rsid w:val="003C06F6"/>
    <w:rsid w:val="003C6223"/>
    <w:rsid w:val="003C74DE"/>
    <w:rsid w:val="003C75BA"/>
    <w:rsid w:val="003C7D7B"/>
    <w:rsid w:val="003D0890"/>
    <w:rsid w:val="003D1002"/>
    <w:rsid w:val="003D50B2"/>
    <w:rsid w:val="003D7AAD"/>
    <w:rsid w:val="003E0D85"/>
    <w:rsid w:val="003E165C"/>
    <w:rsid w:val="003E6EBC"/>
    <w:rsid w:val="003E744C"/>
    <w:rsid w:val="003E7D69"/>
    <w:rsid w:val="003F0F77"/>
    <w:rsid w:val="003F16A2"/>
    <w:rsid w:val="003F2A27"/>
    <w:rsid w:val="003F3609"/>
    <w:rsid w:val="003F3928"/>
    <w:rsid w:val="003F3CBE"/>
    <w:rsid w:val="003F4082"/>
    <w:rsid w:val="003F58D8"/>
    <w:rsid w:val="003F6E5A"/>
    <w:rsid w:val="004012C3"/>
    <w:rsid w:val="004067E8"/>
    <w:rsid w:val="0041047C"/>
    <w:rsid w:val="00410D1E"/>
    <w:rsid w:val="0041304D"/>
    <w:rsid w:val="0041472B"/>
    <w:rsid w:val="00414F1B"/>
    <w:rsid w:val="00415311"/>
    <w:rsid w:val="004174A0"/>
    <w:rsid w:val="00420A69"/>
    <w:rsid w:val="00421469"/>
    <w:rsid w:val="00422A1A"/>
    <w:rsid w:val="00433DCF"/>
    <w:rsid w:val="0043663E"/>
    <w:rsid w:val="00436D89"/>
    <w:rsid w:val="004414A0"/>
    <w:rsid w:val="00451665"/>
    <w:rsid w:val="004567E4"/>
    <w:rsid w:val="004570EE"/>
    <w:rsid w:val="00457CA5"/>
    <w:rsid w:val="004620A7"/>
    <w:rsid w:val="0046214B"/>
    <w:rsid w:val="0046279C"/>
    <w:rsid w:val="004651E2"/>
    <w:rsid w:val="00466DB3"/>
    <w:rsid w:val="004728DF"/>
    <w:rsid w:val="00473BE4"/>
    <w:rsid w:val="00476377"/>
    <w:rsid w:val="00477391"/>
    <w:rsid w:val="00481BEB"/>
    <w:rsid w:val="00481E84"/>
    <w:rsid w:val="0048416F"/>
    <w:rsid w:val="004944B1"/>
    <w:rsid w:val="0049708D"/>
    <w:rsid w:val="00497200"/>
    <w:rsid w:val="004A2498"/>
    <w:rsid w:val="004A24BE"/>
    <w:rsid w:val="004A3140"/>
    <w:rsid w:val="004A3540"/>
    <w:rsid w:val="004A3603"/>
    <w:rsid w:val="004A3F4C"/>
    <w:rsid w:val="004B0C3E"/>
    <w:rsid w:val="004B24F9"/>
    <w:rsid w:val="004B26E7"/>
    <w:rsid w:val="004B3A4E"/>
    <w:rsid w:val="004B591C"/>
    <w:rsid w:val="004B6D0E"/>
    <w:rsid w:val="004B6F48"/>
    <w:rsid w:val="004B77ED"/>
    <w:rsid w:val="004C58B6"/>
    <w:rsid w:val="004C784F"/>
    <w:rsid w:val="004D36D9"/>
    <w:rsid w:val="004D3CAB"/>
    <w:rsid w:val="004D533F"/>
    <w:rsid w:val="004D6421"/>
    <w:rsid w:val="004D6F5B"/>
    <w:rsid w:val="004E0C47"/>
    <w:rsid w:val="004E2752"/>
    <w:rsid w:val="004E2880"/>
    <w:rsid w:val="004E4810"/>
    <w:rsid w:val="004E4B26"/>
    <w:rsid w:val="004E4E27"/>
    <w:rsid w:val="004F141A"/>
    <w:rsid w:val="004F19FA"/>
    <w:rsid w:val="004F20DC"/>
    <w:rsid w:val="004F3BBB"/>
    <w:rsid w:val="004F4EAE"/>
    <w:rsid w:val="004F6C2D"/>
    <w:rsid w:val="004F7B53"/>
    <w:rsid w:val="0051042C"/>
    <w:rsid w:val="00512C63"/>
    <w:rsid w:val="00514D6F"/>
    <w:rsid w:val="005152C4"/>
    <w:rsid w:val="00516591"/>
    <w:rsid w:val="00521829"/>
    <w:rsid w:val="00523453"/>
    <w:rsid w:val="00524146"/>
    <w:rsid w:val="005253D9"/>
    <w:rsid w:val="0053125A"/>
    <w:rsid w:val="00532192"/>
    <w:rsid w:val="00533262"/>
    <w:rsid w:val="00533358"/>
    <w:rsid w:val="00534DE1"/>
    <w:rsid w:val="0054181F"/>
    <w:rsid w:val="0054206D"/>
    <w:rsid w:val="00542753"/>
    <w:rsid w:val="00543464"/>
    <w:rsid w:val="005440C5"/>
    <w:rsid w:val="0054612E"/>
    <w:rsid w:val="00551273"/>
    <w:rsid w:val="005563E4"/>
    <w:rsid w:val="00556731"/>
    <w:rsid w:val="005573B8"/>
    <w:rsid w:val="00557D37"/>
    <w:rsid w:val="0056202A"/>
    <w:rsid w:val="005634E1"/>
    <w:rsid w:val="005635B6"/>
    <w:rsid w:val="00563FC9"/>
    <w:rsid w:val="005647A7"/>
    <w:rsid w:val="005658F7"/>
    <w:rsid w:val="00566851"/>
    <w:rsid w:val="005718CC"/>
    <w:rsid w:val="0057236A"/>
    <w:rsid w:val="00574A0F"/>
    <w:rsid w:val="00575770"/>
    <w:rsid w:val="0058105B"/>
    <w:rsid w:val="00581F31"/>
    <w:rsid w:val="00583945"/>
    <w:rsid w:val="00586521"/>
    <w:rsid w:val="0058670B"/>
    <w:rsid w:val="00586E06"/>
    <w:rsid w:val="00590DEF"/>
    <w:rsid w:val="00591C41"/>
    <w:rsid w:val="00593BB6"/>
    <w:rsid w:val="00594A42"/>
    <w:rsid w:val="00595B69"/>
    <w:rsid w:val="005967A4"/>
    <w:rsid w:val="005968D7"/>
    <w:rsid w:val="00597C30"/>
    <w:rsid w:val="005A1598"/>
    <w:rsid w:val="005A2D01"/>
    <w:rsid w:val="005A338A"/>
    <w:rsid w:val="005A54D1"/>
    <w:rsid w:val="005A63CF"/>
    <w:rsid w:val="005A6D7D"/>
    <w:rsid w:val="005A6F8D"/>
    <w:rsid w:val="005A721F"/>
    <w:rsid w:val="005A79E2"/>
    <w:rsid w:val="005B03EC"/>
    <w:rsid w:val="005B0D8F"/>
    <w:rsid w:val="005B2BA6"/>
    <w:rsid w:val="005B43B3"/>
    <w:rsid w:val="005B7275"/>
    <w:rsid w:val="005C08EE"/>
    <w:rsid w:val="005C116C"/>
    <w:rsid w:val="005C2833"/>
    <w:rsid w:val="005C36AB"/>
    <w:rsid w:val="005C4C40"/>
    <w:rsid w:val="005C4E84"/>
    <w:rsid w:val="005D499E"/>
    <w:rsid w:val="005E2977"/>
    <w:rsid w:val="005E3A85"/>
    <w:rsid w:val="005E498F"/>
    <w:rsid w:val="005E6FE9"/>
    <w:rsid w:val="005E7830"/>
    <w:rsid w:val="005F0299"/>
    <w:rsid w:val="005F1760"/>
    <w:rsid w:val="005F2064"/>
    <w:rsid w:val="005F5EE6"/>
    <w:rsid w:val="005F7081"/>
    <w:rsid w:val="005F7099"/>
    <w:rsid w:val="00601319"/>
    <w:rsid w:val="0060158E"/>
    <w:rsid w:val="0060193B"/>
    <w:rsid w:val="006022F0"/>
    <w:rsid w:val="00602FE7"/>
    <w:rsid w:val="00612659"/>
    <w:rsid w:val="0061508B"/>
    <w:rsid w:val="0061577C"/>
    <w:rsid w:val="006169EC"/>
    <w:rsid w:val="00616C2F"/>
    <w:rsid w:val="00617D66"/>
    <w:rsid w:val="00623C7F"/>
    <w:rsid w:val="0062477D"/>
    <w:rsid w:val="00626CAC"/>
    <w:rsid w:val="006343C1"/>
    <w:rsid w:val="0064065C"/>
    <w:rsid w:val="00641BA8"/>
    <w:rsid w:val="00642293"/>
    <w:rsid w:val="0064449D"/>
    <w:rsid w:val="00647409"/>
    <w:rsid w:val="00650D2D"/>
    <w:rsid w:val="00650D63"/>
    <w:rsid w:val="0065173F"/>
    <w:rsid w:val="00652D67"/>
    <w:rsid w:val="0065373C"/>
    <w:rsid w:val="0065462B"/>
    <w:rsid w:val="00654F47"/>
    <w:rsid w:val="006557BE"/>
    <w:rsid w:val="00655D0F"/>
    <w:rsid w:val="00661F7F"/>
    <w:rsid w:val="00662817"/>
    <w:rsid w:val="00662F32"/>
    <w:rsid w:val="00667248"/>
    <w:rsid w:val="00667A6D"/>
    <w:rsid w:val="00667F61"/>
    <w:rsid w:val="00671621"/>
    <w:rsid w:val="00671907"/>
    <w:rsid w:val="00672E24"/>
    <w:rsid w:val="00672F82"/>
    <w:rsid w:val="006739A5"/>
    <w:rsid w:val="0067444F"/>
    <w:rsid w:val="00674B6E"/>
    <w:rsid w:val="00676961"/>
    <w:rsid w:val="00676D29"/>
    <w:rsid w:val="00684F74"/>
    <w:rsid w:val="0068548B"/>
    <w:rsid w:val="00686471"/>
    <w:rsid w:val="00686C45"/>
    <w:rsid w:val="00687CBC"/>
    <w:rsid w:val="006918E6"/>
    <w:rsid w:val="00691C46"/>
    <w:rsid w:val="00692DE0"/>
    <w:rsid w:val="006948B2"/>
    <w:rsid w:val="006A1BA1"/>
    <w:rsid w:val="006A45CA"/>
    <w:rsid w:val="006A6254"/>
    <w:rsid w:val="006B0F05"/>
    <w:rsid w:val="006B34C0"/>
    <w:rsid w:val="006B59C1"/>
    <w:rsid w:val="006B5A6C"/>
    <w:rsid w:val="006B6BB5"/>
    <w:rsid w:val="006B74CA"/>
    <w:rsid w:val="006C0B13"/>
    <w:rsid w:val="006C1220"/>
    <w:rsid w:val="006C3A5E"/>
    <w:rsid w:val="006C4887"/>
    <w:rsid w:val="006C6B3C"/>
    <w:rsid w:val="006D0B6F"/>
    <w:rsid w:val="006D1A11"/>
    <w:rsid w:val="006D3D0C"/>
    <w:rsid w:val="006D5EEB"/>
    <w:rsid w:val="006D6A8C"/>
    <w:rsid w:val="006D704A"/>
    <w:rsid w:val="006E2B25"/>
    <w:rsid w:val="006E37EB"/>
    <w:rsid w:val="006E3E5D"/>
    <w:rsid w:val="006E7EB9"/>
    <w:rsid w:val="006F2B09"/>
    <w:rsid w:val="0070047A"/>
    <w:rsid w:val="007006BF"/>
    <w:rsid w:val="007007FE"/>
    <w:rsid w:val="007049F0"/>
    <w:rsid w:val="00705730"/>
    <w:rsid w:val="00705C16"/>
    <w:rsid w:val="00711144"/>
    <w:rsid w:val="00712ED4"/>
    <w:rsid w:val="00714540"/>
    <w:rsid w:val="00715609"/>
    <w:rsid w:val="007166A9"/>
    <w:rsid w:val="007171A3"/>
    <w:rsid w:val="007223AA"/>
    <w:rsid w:val="0072315F"/>
    <w:rsid w:val="00723861"/>
    <w:rsid w:val="0072721D"/>
    <w:rsid w:val="00731865"/>
    <w:rsid w:val="00731D14"/>
    <w:rsid w:val="0073436E"/>
    <w:rsid w:val="00744163"/>
    <w:rsid w:val="00745D23"/>
    <w:rsid w:val="0074717D"/>
    <w:rsid w:val="007526E3"/>
    <w:rsid w:val="00755431"/>
    <w:rsid w:val="00755F54"/>
    <w:rsid w:val="00757412"/>
    <w:rsid w:val="00762EC3"/>
    <w:rsid w:val="0076312A"/>
    <w:rsid w:val="00765FF6"/>
    <w:rsid w:val="0076616E"/>
    <w:rsid w:val="00773B8C"/>
    <w:rsid w:val="00774404"/>
    <w:rsid w:val="00775EA4"/>
    <w:rsid w:val="00781968"/>
    <w:rsid w:val="00782A95"/>
    <w:rsid w:val="00784E10"/>
    <w:rsid w:val="00785674"/>
    <w:rsid w:val="00787E0F"/>
    <w:rsid w:val="00790F47"/>
    <w:rsid w:val="00791927"/>
    <w:rsid w:val="007A2CAF"/>
    <w:rsid w:val="007A62DC"/>
    <w:rsid w:val="007A6AD9"/>
    <w:rsid w:val="007A76C5"/>
    <w:rsid w:val="007B0679"/>
    <w:rsid w:val="007B2013"/>
    <w:rsid w:val="007B2372"/>
    <w:rsid w:val="007B415B"/>
    <w:rsid w:val="007B53E3"/>
    <w:rsid w:val="007B6858"/>
    <w:rsid w:val="007C2989"/>
    <w:rsid w:val="007C328E"/>
    <w:rsid w:val="007C390B"/>
    <w:rsid w:val="007C3D30"/>
    <w:rsid w:val="007C6329"/>
    <w:rsid w:val="007C6C8A"/>
    <w:rsid w:val="007C6EB5"/>
    <w:rsid w:val="007C72A9"/>
    <w:rsid w:val="007D1266"/>
    <w:rsid w:val="007D6E66"/>
    <w:rsid w:val="007E177F"/>
    <w:rsid w:val="007E2B52"/>
    <w:rsid w:val="007E44E1"/>
    <w:rsid w:val="007E47EF"/>
    <w:rsid w:val="007F351E"/>
    <w:rsid w:val="007F36C6"/>
    <w:rsid w:val="007F40F2"/>
    <w:rsid w:val="007F709C"/>
    <w:rsid w:val="00801F4B"/>
    <w:rsid w:val="00802717"/>
    <w:rsid w:val="00802FC7"/>
    <w:rsid w:val="00805D35"/>
    <w:rsid w:val="008100FE"/>
    <w:rsid w:val="008113FC"/>
    <w:rsid w:val="00811D68"/>
    <w:rsid w:val="0081215F"/>
    <w:rsid w:val="00812965"/>
    <w:rsid w:val="00813512"/>
    <w:rsid w:val="008172A6"/>
    <w:rsid w:val="0082071E"/>
    <w:rsid w:val="00822676"/>
    <w:rsid w:val="00823EA9"/>
    <w:rsid w:val="00826BBB"/>
    <w:rsid w:val="0082714B"/>
    <w:rsid w:val="008310DD"/>
    <w:rsid w:val="0083325C"/>
    <w:rsid w:val="00833742"/>
    <w:rsid w:val="00835BFD"/>
    <w:rsid w:val="00835D0B"/>
    <w:rsid w:val="008419C5"/>
    <w:rsid w:val="008432B0"/>
    <w:rsid w:val="0084454E"/>
    <w:rsid w:val="00846FE2"/>
    <w:rsid w:val="0085128D"/>
    <w:rsid w:val="00851E4F"/>
    <w:rsid w:val="008563AF"/>
    <w:rsid w:val="00856815"/>
    <w:rsid w:val="0086029F"/>
    <w:rsid w:val="00861CE0"/>
    <w:rsid w:val="00862D11"/>
    <w:rsid w:val="00863F34"/>
    <w:rsid w:val="00864364"/>
    <w:rsid w:val="008644EA"/>
    <w:rsid w:val="00866778"/>
    <w:rsid w:val="00867FD5"/>
    <w:rsid w:val="00870F92"/>
    <w:rsid w:val="00873083"/>
    <w:rsid w:val="00873C4C"/>
    <w:rsid w:val="00884E12"/>
    <w:rsid w:val="00884F53"/>
    <w:rsid w:val="00890E67"/>
    <w:rsid w:val="0089168E"/>
    <w:rsid w:val="00894250"/>
    <w:rsid w:val="00894593"/>
    <w:rsid w:val="00896B6D"/>
    <w:rsid w:val="00896C1B"/>
    <w:rsid w:val="00897895"/>
    <w:rsid w:val="00897AC3"/>
    <w:rsid w:val="008A30AC"/>
    <w:rsid w:val="008A31F1"/>
    <w:rsid w:val="008A3D26"/>
    <w:rsid w:val="008A592D"/>
    <w:rsid w:val="008B2292"/>
    <w:rsid w:val="008B39C4"/>
    <w:rsid w:val="008B57F2"/>
    <w:rsid w:val="008C135C"/>
    <w:rsid w:val="008C2109"/>
    <w:rsid w:val="008C234C"/>
    <w:rsid w:val="008C659C"/>
    <w:rsid w:val="008C6958"/>
    <w:rsid w:val="008C6AA5"/>
    <w:rsid w:val="008C6BBA"/>
    <w:rsid w:val="008D1AB8"/>
    <w:rsid w:val="008D2002"/>
    <w:rsid w:val="008D4F21"/>
    <w:rsid w:val="008D57A3"/>
    <w:rsid w:val="008D736E"/>
    <w:rsid w:val="008E067C"/>
    <w:rsid w:val="008E12B5"/>
    <w:rsid w:val="008E6139"/>
    <w:rsid w:val="008E799D"/>
    <w:rsid w:val="008F1906"/>
    <w:rsid w:val="008F64B4"/>
    <w:rsid w:val="0090064C"/>
    <w:rsid w:val="00906EBD"/>
    <w:rsid w:val="009074EA"/>
    <w:rsid w:val="00910120"/>
    <w:rsid w:val="00911503"/>
    <w:rsid w:val="00913584"/>
    <w:rsid w:val="00913C56"/>
    <w:rsid w:val="00913C87"/>
    <w:rsid w:val="009142F0"/>
    <w:rsid w:val="0091788E"/>
    <w:rsid w:val="00921609"/>
    <w:rsid w:val="009238C8"/>
    <w:rsid w:val="00923DE5"/>
    <w:rsid w:val="009432A6"/>
    <w:rsid w:val="00944424"/>
    <w:rsid w:val="0094460D"/>
    <w:rsid w:val="00945928"/>
    <w:rsid w:val="00945EFB"/>
    <w:rsid w:val="00947C09"/>
    <w:rsid w:val="00950313"/>
    <w:rsid w:val="00950E3D"/>
    <w:rsid w:val="009519FF"/>
    <w:rsid w:val="0095425D"/>
    <w:rsid w:val="00954E96"/>
    <w:rsid w:val="009569F0"/>
    <w:rsid w:val="00963D16"/>
    <w:rsid w:val="0096500B"/>
    <w:rsid w:val="00965F40"/>
    <w:rsid w:val="00966810"/>
    <w:rsid w:val="0097357A"/>
    <w:rsid w:val="00974035"/>
    <w:rsid w:val="009747BF"/>
    <w:rsid w:val="00976066"/>
    <w:rsid w:val="00976F88"/>
    <w:rsid w:val="009770C6"/>
    <w:rsid w:val="009773AF"/>
    <w:rsid w:val="0098026E"/>
    <w:rsid w:val="009818B6"/>
    <w:rsid w:val="00984B80"/>
    <w:rsid w:val="00990094"/>
    <w:rsid w:val="00991466"/>
    <w:rsid w:val="0099282A"/>
    <w:rsid w:val="00992E3D"/>
    <w:rsid w:val="00993664"/>
    <w:rsid w:val="00993B1D"/>
    <w:rsid w:val="00995745"/>
    <w:rsid w:val="0099692F"/>
    <w:rsid w:val="00996AD5"/>
    <w:rsid w:val="009A2B46"/>
    <w:rsid w:val="009A64AA"/>
    <w:rsid w:val="009A7989"/>
    <w:rsid w:val="009B016E"/>
    <w:rsid w:val="009B01CA"/>
    <w:rsid w:val="009B07DC"/>
    <w:rsid w:val="009B1174"/>
    <w:rsid w:val="009B32D4"/>
    <w:rsid w:val="009B4B64"/>
    <w:rsid w:val="009B57CF"/>
    <w:rsid w:val="009B73F1"/>
    <w:rsid w:val="009C0602"/>
    <w:rsid w:val="009C176E"/>
    <w:rsid w:val="009C4C4C"/>
    <w:rsid w:val="009C5B1F"/>
    <w:rsid w:val="009C61BC"/>
    <w:rsid w:val="009C626D"/>
    <w:rsid w:val="009D046A"/>
    <w:rsid w:val="009D169C"/>
    <w:rsid w:val="009D53B6"/>
    <w:rsid w:val="009D743D"/>
    <w:rsid w:val="009D7DC4"/>
    <w:rsid w:val="009E2350"/>
    <w:rsid w:val="009E35B4"/>
    <w:rsid w:val="009E5729"/>
    <w:rsid w:val="009E6CEB"/>
    <w:rsid w:val="009E70D0"/>
    <w:rsid w:val="009F0DDF"/>
    <w:rsid w:val="009F2385"/>
    <w:rsid w:val="009F3AC9"/>
    <w:rsid w:val="009F4E85"/>
    <w:rsid w:val="00A028A0"/>
    <w:rsid w:val="00A02B4C"/>
    <w:rsid w:val="00A0486D"/>
    <w:rsid w:val="00A10CFE"/>
    <w:rsid w:val="00A110B6"/>
    <w:rsid w:val="00A11DF3"/>
    <w:rsid w:val="00A13737"/>
    <w:rsid w:val="00A13A89"/>
    <w:rsid w:val="00A164B0"/>
    <w:rsid w:val="00A24923"/>
    <w:rsid w:val="00A24A69"/>
    <w:rsid w:val="00A25A27"/>
    <w:rsid w:val="00A2687B"/>
    <w:rsid w:val="00A269C8"/>
    <w:rsid w:val="00A31EDE"/>
    <w:rsid w:val="00A32DF4"/>
    <w:rsid w:val="00A32EED"/>
    <w:rsid w:val="00A33AB7"/>
    <w:rsid w:val="00A36D7E"/>
    <w:rsid w:val="00A37DEA"/>
    <w:rsid w:val="00A40823"/>
    <w:rsid w:val="00A419BB"/>
    <w:rsid w:val="00A452BE"/>
    <w:rsid w:val="00A47880"/>
    <w:rsid w:val="00A50E78"/>
    <w:rsid w:val="00A51EFF"/>
    <w:rsid w:val="00A52172"/>
    <w:rsid w:val="00A5764C"/>
    <w:rsid w:val="00A61847"/>
    <w:rsid w:val="00A63130"/>
    <w:rsid w:val="00A644C8"/>
    <w:rsid w:val="00A64927"/>
    <w:rsid w:val="00A67068"/>
    <w:rsid w:val="00A720A4"/>
    <w:rsid w:val="00A73195"/>
    <w:rsid w:val="00A73C3C"/>
    <w:rsid w:val="00A73D84"/>
    <w:rsid w:val="00A7611C"/>
    <w:rsid w:val="00A773DE"/>
    <w:rsid w:val="00A77CCC"/>
    <w:rsid w:val="00A80530"/>
    <w:rsid w:val="00A8087E"/>
    <w:rsid w:val="00A8219A"/>
    <w:rsid w:val="00A82A20"/>
    <w:rsid w:val="00A83147"/>
    <w:rsid w:val="00A83AC5"/>
    <w:rsid w:val="00A83C47"/>
    <w:rsid w:val="00A8689A"/>
    <w:rsid w:val="00A8731D"/>
    <w:rsid w:val="00A87CC7"/>
    <w:rsid w:val="00A93A31"/>
    <w:rsid w:val="00A94656"/>
    <w:rsid w:val="00A947D8"/>
    <w:rsid w:val="00AA29EC"/>
    <w:rsid w:val="00AA3580"/>
    <w:rsid w:val="00AA479A"/>
    <w:rsid w:val="00AA4DD2"/>
    <w:rsid w:val="00AA6B22"/>
    <w:rsid w:val="00AA7538"/>
    <w:rsid w:val="00AB0057"/>
    <w:rsid w:val="00AB4D14"/>
    <w:rsid w:val="00AB5E9E"/>
    <w:rsid w:val="00AB7CD0"/>
    <w:rsid w:val="00AC4F74"/>
    <w:rsid w:val="00AC6377"/>
    <w:rsid w:val="00AD009B"/>
    <w:rsid w:val="00AD0985"/>
    <w:rsid w:val="00AD194D"/>
    <w:rsid w:val="00AD3202"/>
    <w:rsid w:val="00AD45DD"/>
    <w:rsid w:val="00AD55E5"/>
    <w:rsid w:val="00AD78DE"/>
    <w:rsid w:val="00AE0CDC"/>
    <w:rsid w:val="00AE227F"/>
    <w:rsid w:val="00AE2964"/>
    <w:rsid w:val="00AE505E"/>
    <w:rsid w:val="00AE567A"/>
    <w:rsid w:val="00AE6DAF"/>
    <w:rsid w:val="00AF0255"/>
    <w:rsid w:val="00AF18F8"/>
    <w:rsid w:val="00AF2745"/>
    <w:rsid w:val="00AF483F"/>
    <w:rsid w:val="00AF6F26"/>
    <w:rsid w:val="00B00514"/>
    <w:rsid w:val="00B03CB2"/>
    <w:rsid w:val="00B05A2E"/>
    <w:rsid w:val="00B10482"/>
    <w:rsid w:val="00B107A4"/>
    <w:rsid w:val="00B1366D"/>
    <w:rsid w:val="00B1442E"/>
    <w:rsid w:val="00B147D7"/>
    <w:rsid w:val="00B1664F"/>
    <w:rsid w:val="00B17348"/>
    <w:rsid w:val="00B2002E"/>
    <w:rsid w:val="00B20875"/>
    <w:rsid w:val="00B212FA"/>
    <w:rsid w:val="00B247B7"/>
    <w:rsid w:val="00B2642E"/>
    <w:rsid w:val="00B343F6"/>
    <w:rsid w:val="00B4159A"/>
    <w:rsid w:val="00B41743"/>
    <w:rsid w:val="00B45837"/>
    <w:rsid w:val="00B4687F"/>
    <w:rsid w:val="00B46E69"/>
    <w:rsid w:val="00B470A2"/>
    <w:rsid w:val="00B47104"/>
    <w:rsid w:val="00B50A1B"/>
    <w:rsid w:val="00B53002"/>
    <w:rsid w:val="00B53776"/>
    <w:rsid w:val="00B54C65"/>
    <w:rsid w:val="00B56DB4"/>
    <w:rsid w:val="00B652E5"/>
    <w:rsid w:val="00B656C2"/>
    <w:rsid w:val="00B670D8"/>
    <w:rsid w:val="00B70634"/>
    <w:rsid w:val="00B72453"/>
    <w:rsid w:val="00B73CD4"/>
    <w:rsid w:val="00B750EB"/>
    <w:rsid w:val="00B75EA6"/>
    <w:rsid w:val="00B75F84"/>
    <w:rsid w:val="00B765F8"/>
    <w:rsid w:val="00B77E09"/>
    <w:rsid w:val="00B81089"/>
    <w:rsid w:val="00B81094"/>
    <w:rsid w:val="00B86E8C"/>
    <w:rsid w:val="00B87BC4"/>
    <w:rsid w:val="00B91F58"/>
    <w:rsid w:val="00B940A8"/>
    <w:rsid w:val="00B94808"/>
    <w:rsid w:val="00BA08D4"/>
    <w:rsid w:val="00BA0BD0"/>
    <w:rsid w:val="00BA1603"/>
    <w:rsid w:val="00BA540F"/>
    <w:rsid w:val="00BA56BD"/>
    <w:rsid w:val="00BA59CF"/>
    <w:rsid w:val="00BA62E9"/>
    <w:rsid w:val="00BA7BF4"/>
    <w:rsid w:val="00BB0555"/>
    <w:rsid w:val="00BB069D"/>
    <w:rsid w:val="00BB0B23"/>
    <w:rsid w:val="00BB1DF0"/>
    <w:rsid w:val="00BB2DA3"/>
    <w:rsid w:val="00BB44BC"/>
    <w:rsid w:val="00BB527C"/>
    <w:rsid w:val="00BC3E8A"/>
    <w:rsid w:val="00BC43B0"/>
    <w:rsid w:val="00BC53A8"/>
    <w:rsid w:val="00BC5E47"/>
    <w:rsid w:val="00BC7649"/>
    <w:rsid w:val="00BC77AC"/>
    <w:rsid w:val="00BD11FE"/>
    <w:rsid w:val="00BD296A"/>
    <w:rsid w:val="00BD3095"/>
    <w:rsid w:val="00BD41D7"/>
    <w:rsid w:val="00BD559E"/>
    <w:rsid w:val="00BD76A0"/>
    <w:rsid w:val="00BD7E08"/>
    <w:rsid w:val="00BE06F8"/>
    <w:rsid w:val="00BE1226"/>
    <w:rsid w:val="00BE1769"/>
    <w:rsid w:val="00BE19F0"/>
    <w:rsid w:val="00BE646C"/>
    <w:rsid w:val="00BF016E"/>
    <w:rsid w:val="00BF0D9E"/>
    <w:rsid w:val="00BF197F"/>
    <w:rsid w:val="00BF5ADD"/>
    <w:rsid w:val="00C029A8"/>
    <w:rsid w:val="00C04F6B"/>
    <w:rsid w:val="00C05FA0"/>
    <w:rsid w:val="00C06CFA"/>
    <w:rsid w:val="00C10F0D"/>
    <w:rsid w:val="00C1125C"/>
    <w:rsid w:val="00C177F7"/>
    <w:rsid w:val="00C22074"/>
    <w:rsid w:val="00C23F86"/>
    <w:rsid w:val="00C2536F"/>
    <w:rsid w:val="00C26DF9"/>
    <w:rsid w:val="00C30699"/>
    <w:rsid w:val="00C371F7"/>
    <w:rsid w:val="00C43133"/>
    <w:rsid w:val="00C45964"/>
    <w:rsid w:val="00C4728A"/>
    <w:rsid w:val="00C479D8"/>
    <w:rsid w:val="00C47F79"/>
    <w:rsid w:val="00C5044C"/>
    <w:rsid w:val="00C50804"/>
    <w:rsid w:val="00C50876"/>
    <w:rsid w:val="00C520A0"/>
    <w:rsid w:val="00C52D19"/>
    <w:rsid w:val="00C5508E"/>
    <w:rsid w:val="00C57F37"/>
    <w:rsid w:val="00C6342C"/>
    <w:rsid w:val="00C64B67"/>
    <w:rsid w:val="00C67BBB"/>
    <w:rsid w:val="00C7092D"/>
    <w:rsid w:val="00C71A2B"/>
    <w:rsid w:val="00C730CC"/>
    <w:rsid w:val="00C7371A"/>
    <w:rsid w:val="00C75F5A"/>
    <w:rsid w:val="00C760FA"/>
    <w:rsid w:val="00C77C03"/>
    <w:rsid w:val="00C8340F"/>
    <w:rsid w:val="00C86492"/>
    <w:rsid w:val="00C9066A"/>
    <w:rsid w:val="00C9111A"/>
    <w:rsid w:val="00C944ED"/>
    <w:rsid w:val="00CA24DE"/>
    <w:rsid w:val="00CA3953"/>
    <w:rsid w:val="00CA65FB"/>
    <w:rsid w:val="00CB0E49"/>
    <w:rsid w:val="00CB4321"/>
    <w:rsid w:val="00CB60AF"/>
    <w:rsid w:val="00CC0758"/>
    <w:rsid w:val="00CC1B7B"/>
    <w:rsid w:val="00CC66D6"/>
    <w:rsid w:val="00CD2ED9"/>
    <w:rsid w:val="00CD5C58"/>
    <w:rsid w:val="00CD5F15"/>
    <w:rsid w:val="00CD62FB"/>
    <w:rsid w:val="00CD6A57"/>
    <w:rsid w:val="00CE0DDC"/>
    <w:rsid w:val="00CE4968"/>
    <w:rsid w:val="00CE5411"/>
    <w:rsid w:val="00CE6BDD"/>
    <w:rsid w:val="00CF1405"/>
    <w:rsid w:val="00CF260B"/>
    <w:rsid w:val="00CF275C"/>
    <w:rsid w:val="00CF3F22"/>
    <w:rsid w:val="00CF4097"/>
    <w:rsid w:val="00CF72F3"/>
    <w:rsid w:val="00CF76B1"/>
    <w:rsid w:val="00D100C8"/>
    <w:rsid w:val="00D16A65"/>
    <w:rsid w:val="00D16D7E"/>
    <w:rsid w:val="00D202C8"/>
    <w:rsid w:val="00D20D47"/>
    <w:rsid w:val="00D20F83"/>
    <w:rsid w:val="00D229DC"/>
    <w:rsid w:val="00D27408"/>
    <w:rsid w:val="00D27E9B"/>
    <w:rsid w:val="00D32712"/>
    <w:rsid w:val="00D3327A"/>
    <w:rsid w:val="00D336FB"/>
    <w:rsid w:val="00D339CD"/>
    <w:rsid w:val="00D44F26"/>
    <w:rsid w:val="00D47200"/>
    <w:rsid w:val="00D50AA8"/>
    <w:rsid w:val="00D53DC9"/>
    <w:rsid w:val="00D54D38"/>
    <w:rsid w:val="00D554BE"/>
    <w:rsid w:val="00D572AD"/>
    <w:rsid w:val="00D578A7"/>
    <w:rsid w:val="00D625C0"/>
    <w:rsid w:val="00D715FC"/>
    <w:rsid w:val="00D7226A"/>
    <w:rsid w:val="00D72544"/>
    <w:rsid w:val="00D73AF9"/>
    <w:rsid w:val="00D748B6"/>
    <w:rsid w:val="00D76918"/>
    <w:rsid w:val="00D77C76"/>
    <w:rsid w:val="00D82420"/>
    <w:rsid w:val="00D83B50"/>
    <w:rsid w:val="00D86348"/>
    <w:rsid w:val="00D90B75"/>
    <w:rsid w:val="00D93887"/>
    <w:rsid w:val="00DA28A7"/>
    <w:rsid w:val="00DA34A1"/>
    <w:rsid w:val="00DA3EA0"/>
    <w:rsid w:val="00DA4588"/>
    <w:rsid w:val="00DA70F1"/>
    <w:rsid w:val="00DA77F2"/>
    <w:rsid w:val="00DB165E"/>
    <w:rsid w:val="00DB23FB"/>
    <w:rsid w:val="00DB32CC"/>
    <w:rsid w:val="00DB4086"/>
    <w:rsid w:val="00DB4B26"/>
    <w:rsid w:val="00DB7E48"/>
    <w:rsid w:val="00DC204A"/>
    <w:rsid w:val="00DC4F46"/>
    <w:rsid w:val="00DD45FC"/>
    <w:rsid w:val="00DD658D"/>
    <w:rsid w:val="00DD6C3C"/>
    <w:rsid w:val="00DD7568"/>
    <w:rsid w:val="00DE187D"/>
    <w:rsid w:val="00DE1FD9"/>
    <w:rsid w:val="00DE241C"/>
    <w:rsid w:val="00DE32E5"/>
    <w:rsid w:val="00DE3B64"/>
    <w:rsid w:val="00DE4B31"/>
    <w:rsid w:val="00DE5BF7"/>
    <w:rsid w:val="00DE7548"/>
    <w:rsid w:val="00DE7D3A"/>
    <w:rsid w:val="00DF1059"/>
    <w:rsid w:val="00DF26E5"/>
    <w:rsid w:val="00DF4603"/>
    <w:rsid w:val="00DF5376"/>
    <w:rsid w:val="00DF5A2C"/>
    <w:rsid w:val="00DF5F62"/>
    <w:rsid w:val="00E009D5"/>
    <w:rsid w:val="00E00BAB"/>
    <w:rsid w:val="00E0167D"/>
    <w:rsid w:val="00E10D71"/>
    <w:rsid w:val="00E11630"/>
    <w:rsid w:val="00E1181C"/>
    <w:rsid w:val="00E13D3F"/>
    <w:rsid w:val="00E15E72"/>
    <w:rsid w:val="00E16353"/>
    <w:rsid w:val="00E16E1B"/>
    <w:rsid w:val="00E212A9"/>
    <w:rsid w:val="00E24282"/>
    <w:rsid w:val="00E25786"/>
    <w:rsid w:val="00E27E7A"/>
    <w:rsid w:val="00E30F64"/>
    <w:rsid w:val="00E332AF"/>
    <w:rsid w:val="00E43020"/>
    <w:rsid w:val="00E43331"/>
    <w:rsid w:val="00E43525"/>
    <w:rsid w:val="00E442A7"/>
    <w:rsid w:val="00E445CC"/>
    <w:rsid w:val="00E44BBE"/>
    <w:rsid w:val="00E44DF9"/>
    <w:rsid w:val="00E46E7D"/>
    <w:rsid w:val="00E53196"/>
    <w:rsid w:val="00E55326"/>
    <w:rsid w:val="00E57E0E"/>
    <w:rsid w:val="00E60B06"/>
    <w:rsid w:val="00E634E7"/>
    <w:rsid w:val="00E63CFD"/>
    <w:rsid w:val="00E6649B"/>
    <w:rsid w:val="00E71F51"/>
    <w:rsid w:val="00E73235"/>
    <w:rsid w:val="00E75C1B"/>
    <w:rsid w:val="00E76B56"/>
    <w:rsid w:val="00E7746A"/>
    <w:rsid w:val="00E775A9"/>
    <w:rsid w:val="00E8234C"/>
    <w:rsid w:val="00E83012"/>
    <w:rsid w:val="00E83992"/>
    <w:rsid w:val="00E8615D"/>
    <w:rsid w:val="00E8653B"/>
    <w:rsid w:val="00E9210A"/>
    <w:rsid w:val="00E925E1"/>
    <w:rsid w:val="00E92CE5"/>
    <w:rsid w:val="00E95BD5"/>
    <w:rsid w:val="00EA012C"/>
    <w:rsid w:val="00EA01A4"/>
    <w:rsid w:val="00EA1EE1"/>
    <w:rsid w:val="00EA34DC"/>
    <w:rsid w:val="00EA3B99"/>
    <w:rsid w:val="00EA46D8"/>
    <w:rsid w:val="00EA6156"/>
    <w:rsid w:val="00EB03BD"/>
    <w:rsid w:val="00EC091E"/>
    <w:rsid w:val="00EC0ED3"/>
    <w:rsid w:val="00EC14B0"/>
    <w:rsid w:val="00EC17BC"/>
    <w:rsid w:val="00EC424E"/>
    <w:rsid w:val="00EC72D4"/>
    <w:rsid w:val="00ED0F7B"/>
    <w:rsid w:val="00ED2074"/>
    <w:rsid w:val="00ED3D49"/>
    <w:rsid w:val="00ED6C4F"/>
    <w:rsid w:val="00EE116A"/>
    <w:rsid w:val="00EE61C9"/>
    <w:rsid w:val="00EE6BF5"/>
    <w:rsid w:val="00EE6DC6"/>
    <w:rsid w:val="00EF03B9"/>
    <w:rsid w:val="00EF1808"/>
    <w:rsid w:val="00EF55D1"/>
    <w:rsid w:val="00EF695C"/>
    <w:rsid w:val="00EF6FB0"/>
    <w:rsid w:val="00EF729D"/>
    <w:rsid w:val="00EF7D7C"/>
    <w:rsid w:val="00F00F60"/>
    <w:rsid w:val="00F07182"/>
    <w:rsid w:val="00F113DA"/>
    <w:rsid w:val="00F11A94"/>
    <w:rsid w:val="00F122C4"/>
    <w:rsid w:val="00F131A1"/>
    <w:rsid w:val="00F158DA"/>
    <w:rsid w:val="00F20E19"/>
    <w:rsid w:val="00F212EC"/>
    <w:rsid w:val="00F226A7"/>
    <w:rsid w:val="00F243CD"/>
    <w:rsid w:val="00F25E5B"/>
    <w:rsid w:val="00F273ED"/>
    <w:rsid w:val="00F277CE"/>
    <w:rsid w:val="00F3000E"/>
    <w:rsid w:val="00F31B29"/>
    <w:rsid w:val="00F333FC"/>
    <w:rsid w:val="00F37D09"/>
    <w:rsid w:val="00F45E22"/>
    <w:rsid w:val="00F476DE"/>
    <w:rsid w:val="00F52276"/>
    <w:rsid w:val="00F52F6A"/>
    <w:rsid w:val="00F53457"/>
    <w:rsid w:val="00F5356A"/>
    <w:rsid w:val="00F5414A"/>
    <w:rsid w:val="00F54BA4"/>
    <w:rsid w:val="00F54D3F"/>
    <w:rsid w:val="00F55D1E"/>
    <w:rsid w:val="00F570F4"/>
    <w:rsid w:val="00F62CDD"/>
    <w:rsid w:val="00F637DD"/>
    <w:rsid w:val="00F655C8"/>
    <w:rsid w:val="00F66048"/>
    <w:rsid w:val="00F662B7"/>
    <w:rsid w:val="00F66BD9"/>
    <w:rsid w:val="00F6748E"/>
    <w:rsid w:val="00F72362"/>
    <w:rsid w:val="00F7401A"/>
    <w:rsid w:val="00F7542C"/>
    <w:rsid w:val="00F802A6"/>
    <w:rsid w:val="00F81CCA"/>
    <w:rsid w:val="00F86628"/>
    <w:rsid w:val="00F94DF2"/>
    <w:rsid w:val="00F94E00"/>
    <w:rsid w:val="00F95A6F"/>
    <w:rsid w:val="00FA0602"/>
    <w:rsid w:val="00FA1823"/>
    <w:rsid w:val="00FA37FB"/>
    <w:rsid w:val="00FA65AB"/>
    <w:rsid w:val="00FA6718"/>
    <w:rsid w:val="00FB0EF4"/>
    <w:rsid w:val="00FB2A64"/>
    <w:rsid w:val="00FB3C7B"/>
    <w:rsid w:val="00FB474D"/>
    <w:rsid w:val="00FB68A4"/>
    <w:rsid w:val="00FB6FE9"/>
    <w:rsid w:val="00FC02F8"/>
    <w:rsid w:val="00FC252C"/>
    <w:rsid w:val="00FC7B1A"/>
    <w:rsid w:val="00FD107D"/>
    <w:rsid w:val="00FD3042"/>
    <w:rsid w:val="00FD394B"/>
    <w:rsid w:val="00FD4A13"/>
    <w:rsid w:val="00FD7B9C"/>
    <w:rsid w:val="00FE284C"/>
    <w:rsid w:val="00FE28B7"/>
    <w:rsid w:val="00FE29C3"/>
    <w:rsid w:val="00FE52D9"/>
    <w:rsid w:val="00FE5514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8E4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6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98C"/>
    <w:pPr>
      <w:keepNext/>
      <w:keepLines/>
      <w:spacing w:before="24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6B3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B34C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B34C0"/>
    <w:rPr>
      <w:b/>
      <w:bCs/>
    </w:rPr>
  </w:style>
  <w:style w:type="paragraph" w:styleId="BalloonText">
    <w:name w:val="Balloon Text"/>
    <w:basedOn w:val="Normal"/>
    <w:semiHidden/>
    <w:rsid w:val="006B34C0"/>
    <w:rPr>
      <w:rFonts w:ascii="Tahoma" w:hAnsi="Tahoma" w:cs="Tahoma"/>
      <w:sz w:val="16"/>
      <w:szCs w:val="16"/>
    </w:rPr>
  </w:style>
  <w:style w:type="paragraph" w:customStyle="1" w:styleId="CharCharChar1CharCharCharCharCharChar">
    <w:name w:val="Char Char Char1 Char Char Char Char Char Char"/>
    <w:basedOn w:val="Normal"/>
    <w:rsid w:val="00686471"/>
    <w:pPr>
      <w:spacing w:after="160" w:line="240" w:lineRule="exact"/>
    </w:pPr>
    <w:rPr>
      <w:rFonts w:ascii="Tahoma" w:hAnsi="Tahom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5757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575770"/>
    <w:rPr>
      <w:lang w:val="en-US" w:eastAsia="en-US"/>
    </w:rPr>
  </w:style>
  <w:style w:type="character" w:styleId="FootnoteReference">
    <w:name w:val="footnote reference"/>
    <w:aliases w:val="BVI fnr,16 Point,Superscript 6 Point"/>
    <w:uiPriority w:val="26"/>
    <w:rsid w:val="00575770"/>
    <w:rPr>
      <w:vertAlign w:val="superscript"/>
    </w:rPr>
  </w:style>
  <w:style w:type="paragraph" w:customStyle="1" w:styleId="CharCharCharChar">
    <w:name w:val="Char Char Char Char"/>
    <w:basedOn w:val="Normal"/>
    <w:rsid w:val="00A644C8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styleId="Header">
    <w:name w:val="header"/>
    <w:basedOn w:val="Normal"/>
    <w:link w:val="HeaderChar"/>
    <w:rsid w:val="00A452B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452B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452B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52BE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FA37FB"/>
    <w:rPr>
      <w:color w:val="0000FF"/>
      <w:u w:val="single"/>
    </w:rPr>
  </w:style>
  <w:style w:type="paragraph" w:styleId="Revision">
    <w:name w:val="Revision"/>
    <w:hidden/>
    <w:uiPriority w:val="99"/>
    <w:semiHidden/>
    <w:rsid w:val="009E35B4"/>
    <w:rPr>
      <w:sz w:val="24"/>
      <w:szCs w:val="24"/>
    </w:rPr>
  </w:style>
  <w:style w:type="character" w:customStyle="1" w:styleId="longtext">
    <w:name w:val="long_text"/>
    <w:basedOn w:val="DefaultParagraphFont"/>
    <w:rsid w:val="00264AB5"/>
  </w:style>
  <w:style w:type="character" w:styleId="FollowedHyperlink">
    <w:name w:val="FollowedHyperlink"/>
    <w:rsid w:val="00EF1808"/>
    <w:rPr>
      <w:color w:val="800080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,3"/>
    <w:basedOn w:val="Normal"/>
    <w:link w:val="ListParagraphChar"/>
    <w:qFormat/>
    <w:rsid w:val="00C508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M4">
    <w:name w:val="CM4"/>
    <w:basedOn w:val="Normal"/>
    <w:next w:val="Normal"/>
    <w:uiPriority w:val="99"/>
    <w:rsid w:val="00873083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paragraph" w:customStyle="1" w:styleId="Default">
    <w:name w:val="Default"/>
    <w:rsid w:val="00E163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3677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Default"/>
    <w:next w:val="Default"/>
    <w:uiPriority w:val="99"/>
    <w:rsid w:val="009D169C"/>
    <w:rPr>
      <w:rFonts w:ascii="EUAlbertina" w:hAnsi="EUAlbertina" w:cs="Times New Roman"/>
      <w:color w:val="auto"/>
      <w:lang w:val="sq-AL" w:eastAsia="sq-AL"/>
    </w:rPr>
  </w:style>
  <w:style w:type="paragraph" w:customStyle="1" w:styleId="CM3">
    <w:name w:val="CM3"/>
    <w:basedOn w:val="Default"/>
    <w:next w:val="Default"/>
    <w:uiPriority w:val="99"/>
    <w:rsid w:val="009D169C"/>
    <w:rPr>
      <w:rFonts w:ascii="EUAlbertina" w:hAnsi="EUAlbertina" w:cs="Times New Roman"/>
      <w:color w:val="auto"/>
      <w:lang w:val="sq-AL" w:eastAsia="sq-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2198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02198C"/>
    <w:rPr>
      <w:rFonts w:ascii="Consolas" w:hAnsi="Consolas" w:cs="Consolas"/>
      <w:lang w:val="en-US" w:eastAsia="en-US"/>
    </w:rPr>
  </w:style>
  <w:style w:type="character" w:customStyle="1" w:styleId="Heading1Char">
    <w:name w:val="Heading 1 Char"/>
    <w:link w:val="Heading1"/>
    <w:uiPriority w:val="9"/>
    <w:rsid w:val="0002198C"/>
    <w:rPr>
      <w:rFonts w:ascii="Calibri Light" w:eastAsia="Times New Roman" w:hAnsi="Calibri Light"/>
      <w:color w:val="2E74B5"/>
      <w:sz w:val="32"/>
      <w:szCs w:val="32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02198C"/>
    <w:rPr>
      <w:lang w:val="en-US" w:eastAsia="en-US"/>
    </w:rPr>
  </w:style>
  <w:style w:type="paragraph" w:customStyle="1" w:styleId="paragrafi">
    <w:name w:val="paragrafi"/>
    <w:basedOn w:val="Normal"/>
    <w:rsid w:val="00283EA6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D6F5B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5E2977"/>
    <w:pPr>
      <w:tabs>
        <w:tab w:val="left" w:pos="440"/>
        <w:tab w:val="right" w:leader="dot" w:pos="8828"/>
      </w:tabs>
      <w:jc w:val="both"/>
    </w:pPr>
  </w:style>
  <w:style w:type="character" w:customStyle="1" w:styleId="CommentTextChar1">
    <w:name w:val="Comment Text Char1"/>
    <w:basedOn w:val="DefaultParagraphFont"/>
    <w:uiPriority w:val="99"/>
    <w:semiHidden/>
    <w:locked/>
    <w:rsid w:val="005A6D7D"/>
    <w:rPr>
      <w:rFonts w:asciiTheme="minorHAnsi" w:eastAsiaTheme="minorHAnsi" w:hAnsiTheme="minorHAnsi" w:cstheme="minorBidi"/>
    </w:rPr>
  </w:style>
  <w:style w:type="paragraph" w:customStyle="1" w:styleId="doc-ti">
    <w:name w:val="doc-ti"/>
    <w:basedOn w:val="Normal"/>
    <w:rsid w:val="003A4B22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FE551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67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41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73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2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72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20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48EEF-7159-4BC0-B61F-D5BBA7E4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3014</Words>
  <Characters>17184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20158</CharactersWithSpaces>
  <SharedDoc>false</SharedDoc>
  <HLinks>
    <vt:vector size="72" baseType="variant"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_Toc511995014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_Toc511995013</vt:lpwstr>
      </vt:variant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_Toc511995012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_Toc511995011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_Toc511995010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_Toc511995009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_Toc511995008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_Toc511995007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_Toc511995006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_Toc511995005</vt:lpwstr>
      </vt:variant>
      <vt:variant>
        <vt:i4>655419</vt:i4>
      </vt:variant>
      <vt:variant>
        <vt:i4>3</vt:i4>
      </vt:variant>
      <vt:variant>
        <vt:i4>0</vt:i4>
      </vt:variant>
      <vt:variant>
        <vt:i4>5</vt:i4>
      </vt:variant>
      <vt:variant>
        <vt:lpwstr>http://www.bankofalbania.org/web/Rregulle_Nr_55_Per_funksionimin_e_sistemit_te_klerimit_te_pagesave_me_1795_1.php?kc=0,9,1,0,0</vt:lpwstr>
      </vt:variant>
      <vt:variant>
        <vt:lpwstr/>
      </vt:variant>
      <vt:variant>
        <vt:i4>327783</vt:i4>
      </vt:variant>
      <vt:variant>
        <vt:i4>0</vt:i4>
      </vt:variant>
      <vt:variant>
        <vt:i4>0</vt:i4>
      </vt:variant>
      <vt:variant>
        <vt:i4>5</vt:i4>
      </vt:variant>
      <vt:variant>
        <vt:lpwstr>http://www.bankofalbania.org/web/Rregullore_Nr_53_Per_funksionimin_e_sistemit_te_pagesave_nderbankare_2827_1.php?kc=0,9,1,0,0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2023-02-01T07:56:00Z</dcterms:created>
  <dcterms:modified xsi:type="dcterms:W3CDTF">2023-02-01T07:56:00Z</dcterms:modified>
</cp:coreProperties>
</file>