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4F45C" w14:textId="77777777" w:rsidR="007B5F46" w:rsidRDefault="00F811E2" w:rsidP="00C24AE5">
      <w:pPr>
        <w:ind w:left="-1134"/>
        <w:rPr>
          <w:rFonts w:eastAsia="Calibri"/>
          <w:noProof/>
        </w:rPr>
      </w:pPr>
      <w:r w:rsidRPr="004D49F3">
        <w:rPr>
          <w:rFonts w:ascii="Times New Roman" w:hAnsi="Times New Roman"/>
          <w:noProof/>
        </w:rPr>
        <w:drawing>
          <wp:anchor distT="0" distB="0" distL="114300" distR="114300" simplePos="0" relativeHeight="251659264" behindDoc="0" locked="0" layoutInCell="1" allowOverlap="1" wp14:anchorId="226EFF2B" wp14:editId="173FE16D">
            <wp:simplePos x="0" y="0"/>
            <wp:positionH relativeFrom="margin">
              <wp:align>left</wp:align>
            </wp:positionH>
            <wp:positionV relativeFrom="margin">
              <wp:posOffset>310515</wp:posOffset>
            </wp:positionV>
            <wp:extent cx="6229350" cy="533400"/>
            <wp:effectExtent l="0" t="0" r="0" b="0"/>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REPUBLIKES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F7531" w14:textId="77777777" w:rsidR="007B5F46" w:rsidRDefault="007B5F46" w:rsidP="007B5F46">
      <w:pPr>
        <w:pStyle w:val="NoSpacing"/>
        <w:rPr>
          <w:noProof/>
        </w:rPr>
      </w:pPr>
    </w:p>
    <w:p w14:paraId="3E1FB7BC" w14:textId="77777777" w:rsidR="00F811E2" w:rsidRPr="00A22F40" w:rsidRDefault="00F811E2" w:rsidP="00F811E2">
      <w:pPr>
        <w:tabs>
          <w:tab w:val="left" w:pos="2880"/>
        </w:tabs>
        <w:spacing w:line="276" w:lineRule="auto"/>
        <w:jc w:val="center"/>
        <w:rPr>
          <w:rFonts w:ascii="Times New Roman" w:hAnsi="Times New Roman"/>
          <w:b/>
          <w:lang w:val="it-IT"/>
        </w:rPr>
      </w:pPr>
      <w:r w:rsidRPr="00A22F40">
        <w:rPr>
          <w:rFonts w:ascii="Times New Roman" w:hAnsi="Times New Roman"/>
          <w:b/>
          <w:lang w:val="it-IT"/>
        </w:rPr>
        <w:t>MINISTRIA E FINANCAVE DHE EKONOMIS</w:t>
      </w:r>
      <w:r w:rsidRPr="00A22F40">
        <w:rPr>
          <w:rFonts w:ascii="Times New Roman" w:hAnsi="Times New Roman"/>
          <w:b/>
          <w:caps/>
          <w:lang w:val="it-IT"/>
        </w:rPr>
        <w:t>Ë</w:t>
      </w:r>
    </w:p>
    <w:p w14:paraId="61D88674" w14:textId="77777777" w:rsidR="005A62FD" w:rsidRPr="00A22F40" w:rsidRDefault="00123925" w:rsidP="00CE5F28">
      <w:pPr>
        <w:pStyle w:val="NoSpacing"/>
        <w:rPr>
          <w:lang w:val="it-IT"/>
        </w:rPr>
      </w:pPr>
      <w:r w:rsidRPr="00A22F40">
        <w:rPr>
          <w:lang w:val="it-IT"/>
        </w:rPr>
        <w:t xml:space="preserve">    </w:t>
      </w:r>
    </w:p>
    <w:p w14:paraId="4AAB0434" w14:textId="77777777" w:rsidR="00B7712D" w:rsidRPr="00E60E4A" w:rsidRDefault="00B7712D" w:rsidP="00B7712D">
      <w:pPr>
        <w:jc w:val="center"/>
        <w:rPr>
          <w:rFonts w:ascii="Times New Roman" w:hAnsi="Times New Roman" w:cs="Times New Roman"/>
          <w:b/>
          <w:bCs/>
          <w:iCs/>
          <w:sz w:val="24"/>
          <w:szCs w:val="24"/>
          <w:lang w:val="sq-AL" w:bidi="en-GB"/>
        </w:rPr>
      </w:pPr>
      <w:r w:rsidRPr="00E60E4A">
        <w:rPr>
          <w:rFonts w:ascii="Times New Roman" w:hAnsi="Times New Roman" w:cs="Times New Roman"/>
          <w:b/>
          <w:bCs/>
          <w:iCs/>
          <w:sz w:val="24"/>
          <w:szCs w:val="24"/>
          <w:lang w:val="sq-AL" w:bidi="en-GB"/>
        </w:rPr>
        <w:t>Raport për rezultatet e konsultimeve publike</w:t>
      </w:r>
    </w:p>
    <w:p w14:paraId="1DCD2698" w14:textId="77777777" w:rsidR="00A12DD6" w:rsidRPr="00A22F40" w:rsidRDefault="00A12DD6" w:rsidP="00254FC5">
      <w:pPr>
        <w:pStyle w:val="NoSpacing"/>
        <w:rPr>
          <w:rFonts w:ascii="Times New Roman" w:hAnsi="Times New Roman"/>
          <w:b/>
          <w:sz w:val="24"/>
          <w:szCs w:val="24"/>
          <w:lang w:val="it-IT"/>
        </w:rPr>
      </w:pPr>
    </w:p>
    <w:p w14:paraId="624E57AE" w14:textId="77777777" w:rsidR="001B07E4" w:rsidRPr="00E60E4A" w:rsidRDefault="00B7712D" w:rsidP="00C67487">
      <w:pPr>
        <w:pStyle w:val="ListParagraph"/>
        <w:numPr>
          <w:ilvl w:val="0"/>
          <w:numId w:val="8"/>
        </w:numPr>
        <w:tabs>
          <w:tab w:val="left" w:pos="567"/>
        </w:tabs>
        <w:spacing w:after="120" w:line="240" w:lineRule="auto"/>
        <w:contextualSpacing w:val="0"/>
        <w:jc w:val="both"/>
        <w:rPr>
          <w:rFonts w:ascii="Times New Roman" w:hAnsi="Times New Roman"/>
          <w:b/>
          <w:bCs/>
          <w:sz w:val="24"/>
          <w:szCs w:val="24"/>
        </w:rPr>
      </w:pPr>
      <w:r w:rsidRPr="00E60E4A">
        <w:rPr>
          <w:rFonts w:ascii="Times New Roman" w:hAnsi="Times New Roman"/>
          <w:b/>
          <w:bCs/>
          <w:sz w:val="24"/>
          <w:szCs w:val="24"/>
        </w:rPr>
        <w:t>Titulli i draft aktit</w:t>
      </w:r>
    </w:p>
    <w:p w14:paraId="72868C78" w14:textId="7312108B" w:rsidR="00C322BC" w:rsidRPr="00A22F40" w:rsidRDefault="00D67B9E" w:rsidP="00E83409">
      <w:pPr>
        <w:pStyle w:val="NoSpacing"/>
        <w:jc w:val="both"/>
        <w:rPr>
          <w:rFonts w:ascii="Times New Roman" w:hAnsi="Times New Roman"/>
          <w:color w:val="000000"/>
          <w:sz w:val="24"/>
          <w:szCs w:val="24"/>
          <w:lang w:val="sq-AL"/>
        </w:rPr>
      </w:pPr>
      <w:r w:rsidRPr="00E60E4A">
        <w:rPr>
          <w:rFonts w:ascii="Times New Roman" w:hAnsi="Times New Roman"/>
          <w:sz w:val="24"/>
          <w:szCs w:val="24"/>
          <w:lang w:val="sq-AL"/>
        </w:rPr>
        <w:t xml:space="preserve">      </w:t>
      </w:r>
      <w:r w:rsidR="001B07E4" w:rsidRPr="00E60E4A">
        <w:rPr>
          <w:rFonts w:ascii="Times New Roman" w:hAnsi="Times New Roman"/>
          <w:sz w:val="24"/>
          <w:szCs w:val="24"/>
          <w:lang w:val="sq-AL"/>
        </w:rPr>
        <w:t>Projekligji</w:t>
      </w:r>
      <w:r w:rsidR="00050584" w:rsidRPr="00E60E4A">
        <w:rPr>
          <w:rFonts w:ascii="Times New Roman" w:hAnsi="Times New Roman"/>
          <w:sz w:val="24"/>
          <w:szCs w:val="24"/>
          <w:lang w:val="sq-AL"/>
        </w:rPr>
        <w:t xml:space="preserve"> </w:t>
      </w:r>
      <w:r w:rsidR="00EC2889" w:rsidRPr="00A22F40">
        <w:rPr>
          <w:rFonts w:ascii="Times New Roman" w:hAnsi="Times New Roman"/>
          <w:color w:val="000000"/>
          <w:sz w:val="24"/>
          <w:szCs w:val="24"/>
          <w:lang w:val="sq-AL"/>
        </w:rPr>
        <w:t>"</w:t>
      </w:r>
      <w:r w:rsidR="001B07E4" w:rsidRPr="00A22F40">
        <w:rPr>
          <w:rFonts w:ascii="Times New Roman" w:hAnsi="Times New Roman"/>
          <w:color w:val="000000"/>
          <w:sz w:val="24"/>
          <w:szCs w:val="24"/>
          <w:lang w:val="sq-AL"/>
        </w:rPr>
        <w:t>Për llogarinë e pagesave me shërbime bazike".</w:t>
      </w:r>
    </w:p>
    <w:p w14:paraId="2EC7C4C4" w14:textId="77777777" w:rsidR="00C67487" w:rsidRPr="00A22F40" w:rsidRDefault="00C67487" w:rsidP="00E83409">
      <w:pPr>
        <w:pStyle w:val="NoSpacing"/>
        <w:jc w:val="both"/>
        <w:rPr>
          <w:rFonts w:ascii="Times New Roman" w:hAnsi="Times New Roman"/>
          <w:color w:val="000000"/>
          <w:sz w:val="24"/>
          <w:szCs w:val="24"/>
          <w:lang w:val="sq-AL"/>
        </w:rPr>
      </w:pPr>
    </w:p>
    <w:p w14:paraId="40D45FB5" w14:textId="77777777" w:rsidR="00C67487" w:rsidRPr="00E60E4A" w:rsidRDefault="00C67487" w:rsidP="00E83409">
      <w:pPr>
        <w:pStyle w:val="NoSpacing"/>
        <w:jc w:val="both"/>
        <w:rPr>
          <w:rFonts w:ascii="Times New Roman" w:hAnsi="Times New Roman"/>
          <w:sz w:val="24"/>
          <w:szCs w:val="24"/>
          <w:lang w:val="sq-AL"/>
        </w:rPr>
      </w:pPr>
    </w:p>
    <w:p w14:paraId="2E6867B0" w14:textId="77777777" w:rsidR="00E83409" w:rsidRDefault="00B7712D" w:rsidP="00E95E61">
      <w:pPr>
        <w:pStyle w:val="ListParagraph"/>
        <w:numPr>
          <w:ilvl w:val="0"/>
          <w:numId w:val="8"/>
        </w:numPr>
        <w:tabs>
          <w:tab w:val="left" w:pos="567"/>
        </w:tabs>
        <w:spacing w:after="120" w:line="240" w:lineRule="auto"/>
        <w:jc w:val="both"/>
        <w:rPr>
          <w:rFonts w:ascii="Times New Roman" w:hAnsi="Times New Roman"/>
          <w:b/>
          <w:bCs/>
          <w:sz w:val="24"/>
          <w:szCs w:val="24"/>
        </w:rPr>
      </w:pPr>
      <w:r w:rsidRPr="00E95E61">
        <w:rPr>
          <w:rFonts w:ascii="Times New Roman" w:hAnsi="Times New Roman"/>
          <w:b/>
          <w:bCs/>
          <w:sz w:val="24"/>
          <w:szCs w:val="24"/>
        </w:rPr>
        <w:t>Kohëzgjatja e konsultimeve</w:t>
      </w:r>
    </w:p>
    <w:p w14:paraId="1D168D72" w14:textId="77777777" w:rsidR="00964F8F" w:rsidRPr="00E95E61" w:rsidRDefault="00964F8F" w:rsidP="00964F8F">
      <w:pPr>
        <w:pStyle w:val="ListParagraph"/>
        <w:tabs>
          <w:tab w:val="left" w:pos="567"/>
        </w:tabs>
        <w:spacing w:after="120" w:line="240" w:lineRule="auto"/>
        <w:jc w:val="both"/>
        <w:rPr>
          <w:rFonts w:ascii="Times New Roman" w:hAnsi="Times New Roman"/>
          <w:b/>
          <w:bCs/>
          <w:sz w:val="24"/>
          <w:szCs w:val="24"/>
        </w:rPr>
      </w:pPr>
    </w:p>
    <w:p w14:paraId="7724CC94" w14:textId="053D1B25" w:rsidR="00964F8F" w:rsidRPr="00964F8F" w:rsidRDefault="00964F8F" w:rsidP="00964F8F">
      <w:pPr>
        <w:pStyle w:val="ListParagraph"/>
        <w:numPr>
          <w:ilvl w:val="0"/>
          <w:numId w:val="22"/>
        </w:numPr>
        <w:spacing w:after="0" w:line="240" w:lineRule="auto"/>
        <w:jc w:val="both"/>
        <w:rPr>
          <w:rFonts w:ascii="Times New Roman" w:hAnsi="Times New Roman"/>
          <w:sz w:val="24"/>
          <w:szCs w:val="24"/>
        </w:rPr>
      </w:pPr>
      <w:r w:rsidRPr="00964F8F">
        <w:rPr>
          <w:rFonts w:ascii="Times New Roman" w:hAnsi="Times New Roman"/>
          <w:sz w:val="24"/>
          <w:szCs w:val="24"/>
        </w:rPr>
        <w:t>Projektligji është konsultuar përgjatë periudhës Nëntor-Dhjetor 2021</w:t>
      </w:r>
      <w:r w:rsidRPr="00964F8F">
        <w:rPr>
          <w:rFonts w:ascii="Times New Roman" w:hAnsi="Times New Roman"/>
          <w:sz w:val="24"/>
          <w:szCs w:val="24"/>
        </w:rPr>
        <w:t xml:space="preserve">, </w:t>
      </w:r>
      <w:r w:rsidRPr="00964F8F">
        <w:rPr>
          <w:rFonts w:ascii="Times New Roman" w:hAnsi="Times New Roman"/>
          <w:sz w:val="24"/>
          <w:szCs w:val="24"/>
        </w:rPr>
        <w:t xml:space="preserve"> me bankat dhe Shoqatën Shqiptare të Bankave</w:t>
      </w:r>
      <w:r w:rsidRPr="00964F8F">
        <w:rPr>
          <w:rFonts w:ascii="Times New Roman" w:hAnsi="Times New Roman"/>
          <w:sz w:val="24"/>
          <w:szCs w:val="24"/>
        </w:rPr>
        <w:t xml:space="preserve">, </w:t>
      </w:r>
      <w:r w:rsidRPr="00964F8F">
        <w:rPr>
          <w:rFonts w:ascii="Times New Roman" w:hAnsi="Times New Roman"/>
          <w:sz w:val="24"/>
          <w:szCs w:val="24"/>
        </w:rPr>
        <w:t>nëpërmjet publikimit në faqen e internetit të BSH dhe dërgimit shkresor i publikimit për konsultim të projekt-ligjit te subjektet</w:t>
      </w:r>
      <w:r>
        <w:rPr>
          <w:rFonts w:ascii="Times New Roman" w:hAnsi="Times New Roman"/>
          <w:sz w:val="24"/>
          <w:szCs w:val="24"/>
        </w:rPr>
        <w:t>.</w:t>
      </w:r>
      <w:r w:rsidRPr="00964F8F">
        <w:rPr>
          <w:rFonts w:ascii="Times New Roman" w:hAnsi="Times New Roman"/>
          <w:sz w:val="24"/>
          <w:szCs w:val="24"/>
        </w:rPr>
        <w:t xml:space="preserve"> </w:t>
      </w:r>
    </w:p>
    <w:p w14:paraId="765EA8F8" w14:textId="13C4D8BA" w:rsidR="00E83409" w:rsidRPr="00964F8F" w:rsidRDefault="00964F8F" w:rsidP="00964F8F">
      <w:pPr>
        <w:pStyle w:val="ListParagraph"/>
        <w:numPr>
          <w:ilvl w:val="0"/>
          <w:numId w:val="22"/>
        </w:numPr>
        <w:jc w:val="both"/>
        <w:rPr>
          <w:rFonts w:ascii="Times New Roman" w:hAnsi="Times New Roman"/>
          <w:iCs/>
          <w:sz w:val="24"/>
          <w:szCs w:val="24"/>
        </w:rPr>
      </w:pPr>
      <w:r>
        <w:rPr>
          <w:rFonts w:ascii="Times New Roman" w:hAnsi="Times New Roman"/>
          <w:iCs/>
          <w:sz w:val="24"/>
          <w:szCs w:val="24"/>
        </w:rPr>
        <w:t>P</w:t>
      </w:r>
      <w:r>
        <w:rPr>
          <w:rFonts w:ascii="Times New Roman" w:hAnsi="Times New Roman"/>
          <w:iCs/>
          <w:sz w:val="24"/>
          <w:szCs w:val="24"/>
        </w:rPr>
        <w:t xml:space="preserve">rojektligji </w:t>
      </w:r>
      <w:r>
        <w:rPr>
          <w:rFonts w:ascii="Times New Roman" w:hAnsi="Times New Roman"/>
          <w:sz w:val="24"/>
          <w:szCs w:val="24"/>
        </w:rPr>
        <w:t xml:space="preserve">është hedhur </w:t>
      </w:r>
      <w:r>
        <w:rPr>
          <w:rFonts w:ascii="Times New Roman" w:hAnsi="Times New Roman"/>
          <w:iCs/>
          <w:sz w:val="24"/>
          <w:szCs w:val="24"/>
        </w:rPr>
        <w:t>në RENJK, në datën</w:t>
      </w:r>
      <w:r w:rsidR="00B7712D" w:rsidRPr="00964F8F">
        <w:rPr>
          <w:rFonts w:ascii="Times New Roman" w:hAnsi="Times New Roman"/>
          <w:iCs/>
          <w:sz w:val="24"/>
          <w:szCs w:val="24"/>
        </w:rPr>
        <w:t xml:space="preserve"> 01 Shkurt 2023 – 01 Mars 2023</w:t>
      </w:r>
      <w:r>
        <w:rPr>
          <w:rFonts w:ascii="Times New Roman" w:hAnsi="Times New Roman"/>
          <w:iCs/>
          <w:sz w:val="24"/>
          <w:szCs w:val="24"/>
        </w:rPr>
        <w:t xml:space="preserve">, pra periudha </w:t>
      </w:r>
      <w:bookmarkStart w:id="0" w:name="_GoBack"/>
      <w:bookmarkEnd w:id="0"/>
      <w:r>
        <w:rPr>
          <w:rFonts w:ascii="Times New Roman" w:hAnsi="Times New Roman"/>
          <w:iCs/>
          <w:sz w:val="24"/>
          <w:szCs w:val="24"/>
        </w:rPr>
        <w:t>ku është publikuar</w:t>
      </w:r>
      <w:r w:rsidR="000162F1" w:rsidRPr="00964F8F">
        <w:rPr>
          <w:rFonts w:ascii="Times New Roman" w:hAnsi="Times New Roman"/>
          <w:iCs/>
          <w:sz w:val="24"/>
          <w:szCs w:val="24"/>
        </w:rPr>
        <w:t xml:space="preserve"> në</w:t>
      </w:r>
      <w:r w:rsidR="003B7434" w:rsidRPr="00964F8F">
        <w:rPr>
          <w:rFonts w:ascii="Times New Roman" w:hAnsi="Times New Roman"/>
          <w:iCs/>
          <w:sz w:val="24"/>
          <w:szCs w:val="24"/>
        </w:rPr>
        <w:t xml:space="preserve"> regjistrin elektronik.</w:t>
      </w:r>
    </w:p>
    <w:p w14:paraId="288530B9" w14:textId="77777777" w:rsidR="00C67487" w:rsidRPr="00A22F40" w:rsidRDefault="00C67487" w:rsidP="00E83409">
      <w:pPr>
        <w:ind w:left="360"/>
        <w:jc w:val="both"/>
        <w:rPr>
          <w:rFonts w:ascii="Times New Roman" w:hAnsi="Times New Roman" w:cs="Times New Roman"/>
          <w:i/>
          <w:iCs/>
          <w:sz w:val="24"/>
          <w:szCs w:val="24"/>
          <w:lang w:val="sq-AL"/>
        </w:rPr>
      </w:pPr>
    </w:p>
    <w:p w14:paraId="18AB0226" w14:textId="77777777" w:rsidR="00076F19" w:rsidRPr="00E95E61" w:rsidRDefault="00076F19" w:rsidP="00E95E61">
      <w:pPr>
        <w:pStyle w:val="ListParagraph"/>
        <w:numPr>
          <w:ilvl w:val="0"/>
          <w:numId w:val="8"/>
        </w:numPr>
        <w:tabs>
          <w:tab w:val="left" w:pos="567"/>
        </w:tabs>
        <w:spacing w:after="120" w:line="240" w:lineRule="auto"/>
        <w:jc w:val="both"/>
        <w:rPr>
          <w:rFonts w:ascii="Times New Roman" w:hAnsi="Times New Roman"/>
          <w:sz w:val="24"/>
          <w:szCs w:val="24"/>
        </w:rPr>
      </w:pPr>
      <w:r w:rsidRPr="00E95E61">
        <w:rPr>
          <w:rFonts w:ascii="Times New Roman" w:hAnsi="Times New Roman"/>
          <w:b/>
          <w:bCs/>
          <w:sz w:val="24"/>
          <w:szCs w:val="24"/>
        </w:rPr>
        <w:t>Metoda e konsultimit</w:t>
      </w:r>
    </w:p>
    <w:p w14:paraId="737E3695" w14:textId="77777777" w:rsidR="00335800" w:rsidRPr="00C37C0A" w:rsidRDefault="00335800" w:rsidP="00335800">
      <w:pPr>
        <w:numPr>
          <w:ilvl w:val="0"/>
          <w:numId w:val="14"/>
        </w:num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Projektligji është konsultuar së pari me bankat dhe Shoqatën Shqiptare të Bankave, si subjekte të këtij ligji, </w:t>
      </w:r>
      <w:r w:rsidRPr="00C37C0A">
        <w:rPr>
          <w:rFonts w:ascii="Times New Roman" w:hAnsi="Times New Roman"/>
          <w:sz w:val="24"/>
          <w:szCs w:val="24"/>
          <w:lang w:val="sq-AL"/>
        </w:rPr>
        <w:t>p</w:t>
      </w:r>
      <w:r>
        <w:rPr>
          <w:rFonts w:ascii="Times New Roman" w:hAnsi="Times New Roman"/>
          <w:sz w:val="24"/>
          <w:szCs w:val="24"/>
          <w:lang w:val="sq-AL"/>
        </w:rPr>
        <w:t>ë</w:t>
      </w:r>
      <w:r w:rsidRPr="00C37C0A">
        <w:rPr>
          <w:rFonts w:ascii="Times New Roman" w:hAnsi="Times New Roman"/>
          <w:sz w:val="24"/>
          <w:szCs w:val="24"/>
          <w:lang w:val="sq-AL"/>
        </w:rPr>
        <w:t>rgjat</w:t>
      </w:r>
      <w:r>
        <w:rPr>
          <w:rFonts w:ascii="Times New Roman" w:hAnsi="Times New Roman"/>
          <w:sz w:val="24"/>
          <w:szCs w:val="24"/>
          <w:lang w:val="sq-AL"/>
        </w:rPr>
        <w:t>ë</w:t>
      </w:r>
      <w:r w:rsidRPr="00C37C0A">
        <w:rPr>
          <w:rFonts w:ascii="Times New Roman" w:hAnsi="Times New Roman"/>
          <w:sz w:val="24"/>
          <w:szCs w:val="24"/>
          <w:lang w:val="sq-AL"/>
        </w:rPr>
        <w:t xml:space="preserve"> periudh</w:t>
      </w:r>
      <w:r>
        <w:rPr>
          <w:rFonts w:ascii="Times New Roman" w:hAnsi="Times New Roman"/>
          <w:sz w:val="24"/>
          <w:szCs w:val="24"/>
          <w:lang w:val="sq-AL"/>
        </w:rPr>
        <w:t>ë</w:t>
      </w:r>
      <w:r w:rsidRPr="00C37C0A">
        <w:rPr>
          <w:rFonts w:ascii="Times New Roman" w:hAnsi="Times New Roman"/>
          <w:sz w:val="24"/>
          <w:szCs w:val="24"/>
          <w:lang w:val="sq-AL"/>
        </w:rPr>
        <w:t>s Nëntor-Dhjetor 2021</w:t>
      </w:r>
      <w:r>
        <w:rPr>
          <w:rFonts w:ascii="Times New Roman" w:hAnsi="Times New Roman"/>
          <w:sz w:val="24"/>
          <w:szCs w:val="24"/>
          <w:lang w:val="sq-AL"/>
        </w:rPr>
        <w:t>. Komunikimi është kryer nëpërmjet p</w:t>
      </w:r>
      <w:r w:rsidRPr="00C7330C">
        <w:rPr>
          <w:rFonts w:ascii="Times New Roman" w:hAnsi="Times New Roman"/>
          <w:sz w:val="24"/>
          <w:szCs w:val="24"/>
          <w:lang w:val="sq-AL"/>
        </w:rPr>
        <w:t>ublikimi</w:t>
      </w:r>
      <w:r>
        <w:rPr>
          <w:rFonts w:ascii="Times New Roman" w:hAnsi="Times New Roman"/>
          <w:sz w:val="24"/>
          <w:szCs w:val="24"/>
          <w:lang w:val="sq-AL"/>
        </w:rPr>
        <w:t>t</w:t>
      </w:r>
      <w:r w:rsidRPr="00C7330C">
        <w:rPr>
          <w:rFonts w:ascii="Times New Roman" w:hAnsi="Times New Roman"/>
          <w:sz w:val="24"/>
          <w:szCs w:val="24"/>
          <w:lang w:val="sq-AL"/>
        </w:rPr>
        <w:t xml:space="preserve"> në faqen e internetit të BSH dhe dërgimi</w:t>
      </w:r>
      <w:r>
        <w:rPr>
          <w:rFonts w:ascii="Times New Roman" w:hAnsi="Times New Roman"/>
          <w:sz w:val="24"/>
          <w:szCs w:val="24"/>
          <w:lang w:val="sq-AL"/>
        </w:rPr>
        <w:t>t</w:t>
      </w:r>
      <w:r w:rsidRPr="00C7330C">
        <w:rPr>
          <w:rFonts w:ascii="Times New Roman" w:hAnsi="Times New Roman"/>
          <w:sz w:val="24"/>
          <w:szCs w:val="24"/>
          <w:lang w:val="sq-AL"/>
        </w:rPr>
        <w:t xml:space="preserve"> shkresor i publikimit për konsultim të</w:t>
      </w:r>
      <w:r w:rsidRPr="00C37C0A">
        <w:rPr>
          <w:rFonts w:ascii="Times New Roman" w:hAnsi="Times New Roman"/>
          <w:sz w:val="24"/>
          <w:szCs w:val="24"/>
          <w:lang w:val="sq-AL"/>
        </w:rPr>
        <w:t xml:space="preserve"> projekt-ligjit te subjektet </w:t>
      </w:r>
    </w:p>
    <w:p w14:paraId="4C00D69B" w14:textId="2E3D906F" w:rsidR="00335800" w:rsidRDefault="00335800" w:rsidP="00335800">
      <w:pPr>
        <w:numPr>
          <w:ilvl w:val="0"/>
          <w:numId w:val="14"/>
        </w:numPr>
        <w:spacing w:after="0" w:line="240" w:lineRule="auto"/>
        <w:jc w:val="both"/>
        <w:rPr>
          <w:rFonts w:ascii="Times New Roman" w:hAnsi="Times New Roman"/>
          <w:sz w:val="24"/>
          <w:szCs w:val="24"/>
          <w:lang w:val="sq-AL"/>
        </w:rPr>
      </w:pPr>
      <w:r>
        <w:rPr>
          <w:rFonts w:ascii="Times New Roman" w:hAnsi="Times New Roman"/>
          <w:sz w:val="24"/>
          <w:szCs w:val="24"/>
          <w:lang w:val="sq-AL"/>
        </w:rPr>
        <w:t>Kryerja e procesit të konsultimit publik nëpërmjet publikimit në RENJK gjatë periudhës 1 shkurt – 1 mars 2023. Gjatë këtij procesi ligji i rishikuar është d</w:t>
      </w:r>
      <w:r w:rsidR="00C816CF">
        <w:rPr>
          <w:rFonts w:ascii="Times New Roman" w:hAnsi="Times New Roman"/>
          <w:sz w:val="24"/>
          <w:szCs w:val="24"/>
          <w:lang w:val="sq-AL"/>
        </w:rPr>
        <w:t xml:space="preserve">ërguar te ministritë e linjës, </w:t>
      </w:r>
      <w:r w:rsidR="00C816CF" w:rsidRPr="00A22F40">
        <w:rPr>
          <w:rFonts w:ascii="Times New Roman" w:hAnsi="Times New Roman" w:cs="Times New Roman"/>
          <w:sz w:val="24"/>
          <w:szCs w:val="24"/>
          <w:lang w:val="sq-AL"/>
        </w:rPr>
        <w:t>komisioneri për mbrojtjen e të dhënave personale, Zyra Kryenegociatorit</w:t>
      </w:r>
      <w:r w:rsidR="00C816CF">
        <w:rPr>
          <w:rFonts w:ascii="Times New Roman" w:hAnsi="Times New Roman"/>
          <w:sz w:val="24"/>
          <w:szCs w:val="24"/>
          <w:lang w:val="sq-AL"/>
        </w:rPr>
        <w:t xml:space="preserve"> </w:t>
      </w:r>
      <w:r>
        <w:rPr>
          <w:rFonts w:ascii="Times New Roman" w:hAnsi="Times New Roman"/>
          <w:sz w:val="24"/>
          <w:szCs w:val="24"/>
          <w:lang w:val="sq-AL"/>
        </w:rPr>
        <w:t xml:space="preserve">dhe te Shoqata e Bankave. </w:t>
      </w:r>
    </w:p>
    <w:p w14:paraId="5735E87A" w14:textId="77777777" w:rsidR="00335800" w:rsidRDefault="00335800" w:rsidP="00335800">
      <w:pPr>
        <w:numPr>
          <w:ilvl w:val="0"/>
          <w:numId w:val="14"/>
        </w:numPr>
        <w:spacing w:after="0" w:line="240" w:lineRule="auto"/>
        <w:jc w:val="both"/>
        <w:rPr>
          <w:rFonts w:ascii="Times New Roman" w:hAnsi="Times New Roman"/>
          <w:sz w:val="24"/>
          <w:szCs w:val="24"/>
          <w:lang w:val="sq-AL"/>
        </w:rPr>
      </w:pPr>
      <w:r>
        <w:rPr>
          <w:rFonts w:ascii="Times New Roman" w:hAnsi="Times New Roman"/>
          <w:sz w:val="24"/>
          <w:szCs w:val="24"/>
          <w:lang w:val="sq-AL"/>
        </w:rPr>
        <w:t xml:space="preserve">Referuar përcaktimit të kategorive sociale në ligj është komunikuar në rrugë shkresore me Ministrinë e Shëndetësisë dhe Mbrojtjes Sociale si dhe komunikuar me </w:t>
      </w:r>
      <w:r w:rsidRPr="00C12D2D">
        <w:rPr>
          <w:rFonts w:ascii="Times New Roman" w:hAnsi="Times New Roman"/>
          <w:i/>
          <w:sz w:val="24"/>
          <w:szCs w:val="24"/>
          <w:lang w:val="sq-AL"/>
        </w:rPr>
        <w:t>e-mail</w:t>
      </w:r>
      <w:r>
        <w:rPr>
          <w:rFonts w:ascii="Times New Roman" w:hAnsi="Times New Roman"/>
          <w:sz w:val="24"/>
          <w:szCs w:val="24"/>
          <w:lang w:val="sq-AL"/>
        </w:rPr>
        <w:t xml:space="preserve"> me ISSH nëpërmjet Ministrisë së Ekonomisë dhe Financave, të cilët kanë përcjellë sugjerimet e tyre mbi përcaktimin e këtyre kategorive së bashku me legjislacionin përkatës. </w:t>
      </w:r>
    </w:p>
    <w:p w14:paraId="1F157114" w14:textId="6A6A1734" w:rsidR="00D81D0A" w:rsidRPr="00D803B1" w:rsidRDefault="00D81D0A" w:rsidP="00D81D0A">
      <w:pPr>
        <w:pStyle w:val="BodyText"/>
        <w:numPr>
          <w:ilvl w:val="0"/>
          <w:numId w:val="14"/>
        </w:numPr>
        <w:jc w:val="both"/>
        <w:rPr>
          <w:rFonts w:ascii="Times New Roman" w:hAnsi="Times New Roman"/>
          <w:sz w:val="24"/>
          <w:szCs w:val="24"/>
          <w:lang w:val="sq-AL"/>
        </w:rPr>
      </w:pPr>
      <w:r w:rsidRPr="00D803B1">
        <w:rPr>
          <w:rFonts w:ascii="Times New Roman" w:hAnsi="Times New Roman"/>
          <w:sz w:val="24"/>
          <w:szCs w:val="24"/>
          <w:lang w:val="sq-AL"/>
        </w:rPr>
        <w:t xml:space="preserve">Takim konsultativ me prezencë me  një prej bankave më të mëdha në sistem. </w:t>
      </w:r>
    </w:p>
    <w:p w14:paraId="449392F6" w14:textId="41AB8E72" w:rsidR="00D81D0A" w:rsidRPr="00D81D0A" w:rsidRDefault="00D81D0A" w:rsidP="00D81D0A">
      <w:pPr>
        <w:spacing w:after="0" w:line="240" w:lineRule="auto"/>
        <w:ind w:left="360"/>
        <w:jc w:val="both"/>
        <w:rPr>
          <w:rFonts w:ascii="Times New Roman" w:hAnsi="Times New Roman"/>
          <w:color w:val="FF0000"/>
          <w:sz w:val="24"/>
          <w:szCs w:val="24"/>
          <w:lang w:val="sq-AL"/>
        </w:rPr>
      </w:pPr>
    </w:p>
    <w:p w14:paraId="6A8F62C4" w14:textId="2C76509E" w:rsidR="00C729D5" w:rsidRPr="00E95E61" w:rsidRDefault="00C729D5" w:rsidP="00A927DE">
      <w:pPr>
        <w:pStyle w:val="ListParagraph"/>
        <w:numPr>
          <w:ilvl w:val="0"/>
          <w:numId w:val="8"/>
        </w:numPr>
        <w:tabs>
          <w:tab w:val="left" w:pos="567"/>
        </w:tabs>
        <w:spacing w:after="120" w:line="240" w:lineRule="auto"/>
        <w:jc w:val="both"/>
        <w:rPr>
          <w:rFonts w:ascii="Times New Roman" w:hAnsi="Times New Roman"/>
          <w:b/>
          <w:bCs/>
          <w:sz w:val="24"/>
          <w:szCs w:val="24"/>
        </w:rPr>
      </w:pPr>
      <w:r w:rsidRPr="00E95E61">
        <w:rPr>
          <w:rFonts w:ascii="Times New Roman" w:hAnsi="Times New Roman"/>
          <w:b/>
          <w:bCs/>
          <w:sz w:val="24"/>
          <w:szCs w:val="24"/>
        </w:rPr>
        <w:t>Palët e interesit të përfshira</w:t>
      </w:r>
    </w:p>
    <w:p w14:paraId="19CCDDD6" w14:textId="26DEC1AA" w:rsidR="00E60E4A" w:rsidRPr="00564202" w:rsidRDefault="00E60E4A" w:rsidP="00E60E4A">
      <w:pPr>
        <w:pStyle w:val="ListParagraph"/>
        <w:numPr>
          <w:ilvl w:val="0"/>
          <w:numId w:val="13"/>
        </w:numPr>
        <w:jc w:val="both"/>
        <w:rPr>
          <w:rFonts w:ascii="Times New Roman" w:hAnsi="Times New Roman"/>
          <w:sz w:val="24"/>
          <w:szCs w:val="24"/>
        </w:rPr>
      </w:pPr>
      <w:r w:rsidRPr="00564202">
        <w:rPr>
          <w:rFonts w:ascii="Times New Roman" w:hAnsi="Times New Roman"/>
          <w:sz w:val="24"/>
          <w:szCs w:val="24"/>
        </w:rPr>
        <w:t>Qytetarët dhe publiku nëpërmjet platformës RENJKP</w:t>
      </w:r>
      <w:r w:rsidR="00D803B1">
        <w:rPr>
          <w:rFonts w:ascii="Times New Roman" w:hAnsi="Times New Roman"/>
          <w:sz w:val="24"/>
          <w:szCs w:val="24"/>
        </w:rPr>
        <w:t>, duke patur 515 shikime</w:t>
      </w:r>
      <w:r w:rsidRPr="00564202">
        <w:rPr>
          <w:rFonts w:ascii="Times New Roman" w:hAnsi="Times New Roman"/>
          <w:sz w:val="24"/>
          <w:szCs w:val="24"/>
        </w:rPr>
        <w:t>;</w:t>
      </w:r>
    </w:p>
    <w:p w14:paraId="63670C0B" w14:textId="7594B328" w:rsidR="00E60E4A" w:rsidRPr="00564202" w:rsidRDefault="00E60E4A" w:rsidP="00E60E4A">
      <w:pPr>
        <w:pStyle w:val="ListParagraph"/>
        <w:numPr>
          <w:ilvl w:val="0"/>
          <w:numId w:val="13"/>
        </w:numPr>
        <w:jc w:val="both"/>
        <w:rPr>
          <w:rFonts w:ascii="Times New Roman" w:hAnsi="Times New Roman"/>
          <w:sz w:val="24"/>
          <w:szCs w:val="24"/>
        </w:rPr>
      </w:pPr>
      <w:r w:rsidRPr="00564202">
        <w:rPr>
          <w:rFonts w:ascii="Times New Roman" w:hAnsi="Times New Roman"/>
          <w:sz w:val="24"/>
          <w:szCs w:val="24"/>
        </w:rPr>
        <w:t>Institucionet shtetërore  në kuadër të procesit të bashkërendimit</w:t>
      </w:r>
      <w:r w:rsidR="00D803B1">
        <w:rPr>
          <w:rFonts w:ascii="Times New Roman" w:hAnsi="Times New Roman"/>
          <w:sz w:val="24"/>
          <w:szCs w:val="24"/>
        </w:rPr>
        <w:t xml:space="preserve"> ishin tre</w:t>
      </w:r>
      <w:r w:rsidRPr="00564202">
        <w:rPr>
          <w:rFonts w:ascii="Times New Roman" w:hAnsi="Times New Roman"/>
          <w:sz w:val="24"/>
          <w:szCs w:val="24"/>
        </w:rPr>
        <w:t>, pë</w:t>
      </w:r>
      <w:r>
        <w:rPr>
          <w:rFonts w:ascii="Times New Roman" w:hAnsi="Times New Roman"/>
          <w:sz w:val="24"/>
          <w:szCs w:val="24"/>
        </w:rPr>
        <w:t>rfshirë Ministrinë e Drejtësisë</w:t>
      </w:r>
      <w:r w:rsidR="00C816CF">
        <w:rPr>
          <w:rFonts w:ascii="Times New Roman" w:hAnsi="Times New Roman"/>
          <w:sz w:val="24"/>
          <w:szCs w:val="24"/>
        </w:rPr>
        <w:t>,</w:t>
      </w:r>
      <w:r>
        <w:rPr>
          <w:rFonts w:ascii="Times New Roman" w:hAnsi="Times New Roman"/>
          <w:sz w:val="24"/>
          <w:szCs w:val="24"/>
        </w:rPr>
        <w:t xml:space="preserve"> </w:t>
      </w:r>
      <w:r w:rsidR="00FB42F0">
        <w:rPr>
          <w:rFonts w:ascii="Times New Roman" w:hAnsi="Times New Roman"/>
          <w:sz w:val="24"/>
          <w:szCs w:val="24"/>
        </w:rPr>
        <w:t>K</w:t>
      </w:r>
      <w:r w:rsidR="00C816CF" w:rsidRPr="00C816CF">
        <w:rPr>
          <w:rFonts w:ascii="Times New Roman" w:hAnsi="Times New Roman"/>
          <w:sz w:val="24"/>
          <w:szCs w:val="24"/>
        </w:rPr>
        <w:t>omisioneri p</w:t>
      </w:r>
      <w:r w:rsidR="00C816CF">
        <w:rPr>
          <w:rFonts w:ascii="Times New Roman" w:hAnsi="Times New Roman"/>
          <w:sz w:val="24"/>
          <w:szCs w:val="24"/>
        </w:rPr>
        <w:t>ë</w:t>
      </w:r>
      <w:r w:rsidR="00C816CF" w:rsidRPr="00C816CF">
        <w:rPr>
          <w:rFonts w:ascii="Times New Roman" w:hAnsi="Times New Roman"/>
          <w:sz w:val="24"/>
          <w:szCs w:val="24"/>
        </w:rPr>
        <w:t>r mbro</w:t>
      </w:r>
      <w:r w:rsidR="00C816CF">
        <w:rPr>
          <w:rFonts w:ascii="Times New Roman" w:hAnsi="Times New Roman"/>
          <w:sz w:val="24"/>
          <w:szCs w:val="24"/>
        </w:rPr>
        <w:t xml:space="preserve">jtjen e të dhënave personale </w:t>
      </w:r>
      <w:r>
        <w:rPr>
          <w:rFonts w:ascii="Times New Roman" w:hAnsi="Times New Roman"/>
          <w:sz w:val="24"/>
          <w:szCs w:val="24"/>
        </w:rPr>
        <w:t>dhe Kryenegociatori</w:t>
      </w:r>
      <w:r w:rsidRPr="00564202">
        <w:rPr>
          <w:rFonts w:ascii="Times New Roman" w:hAnsi="Times New Roman"/>
          <w:sz w:val="24"/>
          <w:szCs w:val="24"/>
        </w:rPr>
        <w:t>;</w:t>
      </w:r>
    </w:p>
    <w:p w14:paraId="0345EFC5" w14:textId="1F01C020" w:rsidR="00E60E4A" w:rsidRPr="00034E38" w:rsidRDefault="00572594" w:rsidP="00E60E4A">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Dymbëdhjetë </w:t>
      </w:r>
      <w:r w:rsidR="00034E38" w:rsidRPr="00034E38">
        <w:rPr>
          <w:rFonts w:ascii="Times New Roman" w:hAnsi="Times New Roman"/>
          <w:sz w:val="24"/>
          <w:szCs w:val="24"/>
        </w:rPr>
        <w:t>B</w:t>
      </w:r>
      <w:r>
        <w:rPr>
          <w:rFonts w:ascii="Times New Roman" w:hAnsi="Times New Roman"/>
          <w:sz w:val="24"/>
          <w:szCs w:val="24"/>
        </w:rPr>
        <w:t>anka</w:t>
      </w:r>
      <w:r w:rsidR="00034E38" w:rsidRPr="00034E38">
        <w:rPr>
          <w:rFonts w:ascii="Times New Roman" w:hAnsi="Times New Roman"/>
          <w:sz w:val="24"/>
          <w:szCs w:val="24"/>
        </w:rPr>
        <w:t xml:space="preserve"> </w:t>
      </w:r>
      <w:r>
        <w:rPr>
          <w:rFonts w:ascii="Times New Roman" w:hAnsi="Times New Roman"/>
          <w:sz w:val="24"/>
          <w:szCs w:val="24"/>
        </w:rPr>
        <w:t>të</w:t>
      </w:r>
      <w:r w:rsidR="00034E38" w:rsidRPr="00034E38">
        <w:rPr>
          <w:rFonts w:ascii="Times New Roman" w:hAnsi="Times New Roman"/>
          <w:sz w:val="24"/>
          <w:szCs w:val="24"/>
        </w:rPr>
        <w:t xml:space="preserve"> nivelit të dytë dhe </w:t>
      </w:r>
      <w:r w:rsidR="00E60E4A" w:rsidRPr="00034E38">
        <w:rPr>
          <w:rFonts w:ascii="Times New Roman" w:hAnsi="Times New Roman"/>
          <w:sz w:val="24"/>
          <w:szCs w:val="24"/>
        </w:rPr>
        <w:t xml:space="preserve">Shoqata </w:t>
      </w:r>
      <w:r w:rsidR="00034E38" w:rsidRPr="00034E38">
        <w:rPr>
          <w:rFonts w:ascii="Times New Roman" w:hAnsi="Times New Roman"/>
          <w:sz w:val="24"/>
          <w:szCs w:val="24"/>
        </w:rPr>
        <w:t xml:space="preserve">Shqiptare </w:t>
      </w:r>
      <w:r w:rsidR="00335800">
        <w:rPr>
          <w:rFonts w:ascii="Times New Roman" w:hAnsi="Times New Roman"/>
          <w:sz w:val="24"/>
          <w:szCs w:val="24"/>
        </w:rPr>
        <w:t>e Bankave.</w:t>
      </w:r>
    </w:p>
    <w:p w14:paraId="2D0C1004" w14:textId="77777777" w:rsidR="004327DF" w:rsidRPr="00A22F40" w:rsidRDefault="00E95E61" w:rsidP="00E95E61">
      <w:pPr>
        <w:ind w:left="360"/>
        <w:jc w:val="both"/>
        <w:rPr>
          <w:rFonts w:ascii="Times New Roman" w:hAnsi="Times New Roman"/>
          <w:b/>
          <w:sz w:val="24"/>
          <w:szCs w:val="24"/>
          <w:lang w:val="it-IT"/>
        </w:rPr>
      </w:pPr>
      <w:r w:rsidRPr="00A22F40">
        <w:rPr>
          <w:rFonts w:ascii="Times New Roman" w:hAnsi="Times New Roman"/>
          <w:b/>
          <w:bCs/>
          <w:sz w:val="24"/>
          <w:szCs w:val="24"/>
          <w:lang w:val="it-IT"/>
        </w:rPr>
        <w:t>5.</w:t>
      </w:r>
      <w:r w:rsidR="00E83409" w:rsidRPr="00A22F40">
        <w:rPr>
          <w:rFonts w:ascii="Times New Roman" w:hAnsi="Times New Roman"/>
          <w:b/>
          <w:bCs/>
          <w:sz w:val="24"/>
          <w:szCs w:val="24"/>
          <w:lang w:val="it-IT"/>
        </w:rPr>
        <w:t xml:space="preserve">  </w:t>
      </w:r>
      <w:r w:rsidR="004327DF" w:rsidRPr="00A22F40">
        <w:rPr>
          <w:rFonts w:ascii="Times New Roman" w:hAnsi="Times New Roman"/>
          <w:b/>
          <w:sz w:val="24"/>
          <w:szCs w:val="24"/>
          <w:lang w:val="it-IT"/>
        </w:rPr>
        <w:t>Paqyra e komenteve të pranuara me arsyetimin e komenteve të pranuara/realizuara.</w:t>
      </w:r>
    </w:p>
    <w:p w14:paraId="42CF2CD1" w14:textId="77777777" w:rsidR="004327DF" w:rsidRPr="00A22F40" w:rsidRDefault="004327DF" w:rsidP="00E95E61">
      <w:pPr>
        <w:spacing w:after="0" w:line="240" w:lineRule="auto"/>
        <w:ind w:firstLine="360"/>
        <w:jc w:val="both"/>
        <w:rPr>
          <w:rFonts w:ascii="Times New Roman" w:eastAsia="Arial Unicode MS" w:hAnsi="Times New Roman" w:cs="Times New Roman"/>
          <w:sz w:val="24"/>
          <w:szCs w:val="24"/>
          <w:u w:color="000000"/>
          <w:lang w:val="it-IT"/>
        </w:rPr>
      </w:pPr>
      <w:r w:rsidRPr="00A22F40">
        <w:rPr>
          <w:rFonts w:ascii="Times New Roman" w:eastAsia="Arial Unicode MS" w:hAnsi="Times New Roman" w:cs="Times New Roman"/>
          <w:sz w:val="24"/>
          <w:szCs w:val="24"/>
          <w:u w:color="000000"/>
          <w:lang w:val="it-IT"/>
        </w:rPr>
        <w:lastRenderedPageBreak/>
        <w:t>Gruponi komentet/propozimet e pranuara sipas çështjes që ato ngritën:</w:t>
      </w:r>
    </w:p>
    <w:p w14:paraId="20F723B9" w14:textId="77777777" w:rsidR="004327DF" w:rsidRPr="00A22F40" w:rsidRDefault="004327DF" w:rsidP="00E95E61">
      <w:pPr>
        <w:spacing w:after="0" w:line="240" w:lineRule="auto"/>
        <w:ind w:firstLine="360"/>
        <w:jc w:val="both"/>
        <w:rPr>
          <w:rFonts w:ascii="Times New Roman" w:eastAsia="Arial Unicode MS" w:hAnsi="Times New Roman" w:cs="Times New Roman"/>
          <w:sz w:val="24"/>
          <w:szCs w:val="24"/>
          <w:u w:color="000000"/>
          <w:lang w:val="it-IT"/>
        </w:rPr>
      </w:pPr>
      <w:r w:rsidRPr="00A22F40">
        <w:rPr>
          <w:rFonts w:ascii="Times New Roman" w:eastAsia="Arial Unicode MS" w:hAnsi="Times New Roman" w:cs="Times New Roman"/>
          <w:sz w:val="24"/>
          <w:szCs w:val="24"/>
          <w:u w:color="000000"/>
          <w:lang w:val="it-IT"/>
        </w:rPr>
        <w:t>Gruponi komente të ngjashme së bashku dhe renditni palët e interesuara që i ngritën ato:</w:t>
      </w:r>
    </w:p>
    <w:p w14:paraId="442222DC" w14:textId="77777777" w:rsidR="004327DF" w:rsidRPr="00A22F40" w:rsidRDefault="004327DF" w:rsidP="004327DF">
      <w:pPr>
        <w:spacing w:after="0" w:line="240" w:lineRule="auto"/>
        <w:jc w:val="both"/>
        <w:rPr>
          <w:rFonts w:ascii="Times New Roman" w:eastAsia="Arial Unicode MS" w:hAnsi="Times New Roman" w:cs="Times New Roman"/>
          <w:sz w:val="24"/>
          <w:szCs w:val="24"/>
          <w:u w:color="000000"/>
          <w:lang w:val="it-IT"/>
        </w:rPr>
      </w:pPr>
      <w:r w:rsidRPr="00A22F40">
        <w:rPr>
          <w:rFonts w:ascii="Times New Roman" w:eastAsia="Arial Unicode MS" w:hAnsi="Times New Roman" w:cs="Times New Roman"/>
          <w:sz w:val="24"/>
          <w:szCs w:val="24"/>
          <w:u w:color="000000"/>
          <w:lang w:val="it-IT"/>
        </w:rPr>
        <w:t>Shpjegoni cili ishte vendimi i marrë dhe sqaroni shkurtimisht arsyet për të.</w:t>
      </w:r>
    </w:p>
    <w:p w14:paraId="6CA023AB" w14:textId="77777777" w:rsidR="004327DF" w:rsidRPr="00A22F40" w:rsidRDefault="004327DF" w:rsidP="004327DF">
      <w:pPr>
        <w:spacing w:after="0" w:line="240" w:lineRule="auto"/>
        <w:jc w:val="both"/>
        <w:rPr>
          <w:rFonts w:ascii="Times New Roman" w:eastAsia="MS Mincho" w:hAnsi="Times New Roman" w:cs="Times New Roman"/>
          <w:sz w:val="24"/>
          <w:szCs w:val="24"/>
          <w:u w:color="000000"/>
          <w:lang w:val="it-IT"/>
        </w:rPr>
      </w:pPr>
    </w:p>
    <w:tbl>
      <w:tblPr>
        <w:tblStyle w:val="TableGrid1"/>
        <w:tblW w:w="0" w:type="auto"/>
        <w:tblLayout w:type="fixed"/>
        <w:tblLook w:val="04A0" w:firstRow="1" w:lastRow="0" w:firstColumn="1" w:lastColumn="0" w:noHBand="0" w:noVBand="1"/>
      </w:tblPr>
      <w:tblGrid>
        <w:gridCol w:w="2243"/>
        <w:gridCol w:w="2072"/>
        <w:gridCol w:w="1269"/>
        <w:gridCol w:w="1341"/>
        <w:gridCol w:w="2425"/>
      </w:tblGrid>
      <w:tr w:rsidR="004327DF" w:rsidRPr="00E60E4A" w14:paraId="7D0CDDAB" w14:textId="77777777" w:rsidTr="00E95E61">
        <w:tc>
          <w:tcPr>
            <w:tcW w:w="2243" w:type="dxa"/>
          </w:tcPr>
          <w:p w14:paraId="5685377A"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Çështja e adresuar</w:t>
            </w:r>
          </w:p>
          <w:p w14:paraId="4FAE33F0" w14:textId="77777777" w:rsidR="004327DF" w:rsidRPr="00A22F40" w:rsidRDefault="004327DF" w:rsidP="004327DF">
            <w:pPr>
              <w:jc w:val="both"/>
              <w:rPr>
                <w:rFonts w:ascii="Times New Roman" w:hAnsi="Times New Roman" w:cs="Times New Roman"/>
                <w:b/>
                <w:sz w:val="24"/>
                <w:szCs w:val="24"/>
                <w:lang w:val="it-IT"/>
              </w:rPr>
            </w:pPr>
            <w:r w:rsidRPr="00A22F40">
              <w:rPr>
                <w:rFonts w:ascii="Times New Roman" w:hAnsi="Times New Roman" w:cs="Times New Roman"/>
                <w:sz w:val="24"/>
                <w:szCs w:val="24"/>
                <w:lang w:val="it-IT"/>
              </w:rPr>
              <w:t>(psh. Përkufizimi i ri i .... kushtet për regjistrimin e...., regulimi i...., etj)</w:t>
            </w:r>
          </w:p>
        </w:tc>
        <w:tc>
          <w:tcPr>
            <w:tcW w:w="2072" w:type="dxa"/>
          </w:tcPr>
          <w:p w14:paraId="690B5840"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Komenti</w:t>
            </w:r>
          </w:p>
          <w:p w14:paraId="734575D3" w14:textId="77777777" w:rsidR="004327DF" w:rsidRPr="00A22F40" w:rsidRDefault="004327DF" w:rsidP="004327DF">
            <w:pPr>
              <w:jc w:val="both"/>
              <w:rPr>
                <w:rFonts w:ascii="Times New Roman" w:hAnsi="Times New Roman" w:cs="Times New Roman"/>
                <w:sz w:val="24"/>
                <w:szCs w:val="24"/>
                <w:lang w:val="it-IT"/>
              </w:rPr>
            </w:pPr>
          </w:p>
          <w:p w14:paraId="4AC6130B"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 xml:space="preserve">(grumbulloni dhe përmblidhni komente identike/ të ngjashme nga palët e ndryshme të interesuara së bashku) </w:t>
            </w:r>
          </w:p>
        </w:tc>
        <w:tc>
          <w:tcPr>
            <w:tcW w:w="1269" w:type="dxa"/>
          </w:tcPr>
          <w:p w14:paraId="2BD55C59"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 xml:space="preserve">Palët e interesuara </w:t>
            </w:r>
          </w:p>
          <w:p w14:paraId="33448385"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(renditni të gjitha ata që adresuan çështje në mënyrë të ngjashme)</w:t>
            </w:r>
          </w:p>
        </w:tc>
        <w:tc>
          <w:tcPr>
            <w:tcW w:w="1341" w:type="dxa"/>
          </w:tcPr>
          <w:p w14:paraId="66766034"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Vendimi</w:t>
            </w:r>
          </w:p>
          <w:p w14:paraId="66559164" w14:textId="77777777" w:rsidR="004327DF" w:rsidRPr="00A22F40" w:rsidRDefault="004327DF" w:rsidP="004327DF">
            <w:pPr>
              <w:jc w:val="both"/>
              <w:rPr>
                <w:rFonts w:ascii="Times New Roman" w:hAnsi="Times New Roman" w:cs="Times New Roman"/>
                <w:sz w:val="24"/>
                <w:szCs w:val="24"/>
                <w:lang w:val="it-IT"/>
              </w:rPr>
            </w:pPr>
          </w:p>
          <w:p w14:paraId="7BB795BF" w14:textId="77777777" w:rsidR="004327DF" w:rsidRPr="00A22F40" w:rsidRDefault="004327DF" w:rsidP="004327DF">
            <w:pPr>
              <w:jc w:val="both"/>
              <w:rPr>
                <w:rFonts w:ascii="Times New Roman" w:hAnsi="Times New Roman" w:cs="Times New Roman"/>
                <w:sz w:val="24"/>
                <w:szCs w:val="24"/>
                <w:lang w:val="it-IT"/>
              </w:rPr>
            </w:pPr>
            <w:r w:rsidRPr="00A22F40">
              <w:rPr>
                <w:rFonts w:ascii="Times New Roman" w:hAnsi="Times New Roman" w:cs="Times New Roman"/>
                <w:sz w:val="24"/>
                <w:szCs w:val="24"/>
                <w:lang w:val="it-IT"/>
              </w:rPr>
              <w:t>(I pranuar/ I pranuar pjesërisht/ I refuzuar)</w:t>
            </w:r>
          </w:p>
        </w:tc>
        <w:tc>
          <w:tcPr>
            <w:tcW w:w="2425" w:type="dxa"/>
          </w:tcPr>
          <w:p w14:paraId="4CF8BA38" w14:textId="77777777" w:rsidR="004327DF" w:rsidRPr="00E60E4A" w:rsidRDefault="004327DF" w:rsidP="004327DF">
            <w:pPr>
              <w:jc w:val="both"/>
              <w:rPr>
                <w:rFonts w:ascii="Times New Roman" w:hAnsi="Times New Roman" w:cs="Times New Roman"/>
                <w:sz w:val="24"/>
                <w:szCs w:val="24"/>
                <w:lang w:val="sv-SE"/>
              </w:rPr>
            </w:pPr>
            <w:r w:rsidRPr="00E60E4A">
              <w:rPr>
                <w:rFonts w:ascii="Times New Roman" w:hAnsi="Times New Roman" w:cs="Times New Roman"/>
                <w:sz w:val="24"/>
                <w:szCs w:val="24"/>
                <w:lang w:val="sv-SE"/>
              </w:rPr>
              <w:t xml:space="preserve">Justifikimi </w:t>
            </w:r>
          </w:p>
        </w:tc>
      </w:tr>
      <w:tr w:rsidR="004327DF" w:rsidRPr="00A22F40" w14:paraId="0FF93E40" w14:textId="77777777" w:rsidTr="00E95E61">
        <w:tc>
          <w:tcPr>
            <w:tcW w:w="2243" w:type="dxa"/>
          </w:tcPr>
          <w:p w14:paraId="71A0D577" w14:textId="77777777" w:rsidR="00335800" w:rsidRPr="00C26DA3" w:rsidRDefault="006369FF" w:rsidP="00A97E73">
            <w:pPr>
              <w:pStyle w:val="ListParagraph"/>
              <w:numPr>
                <w:ilvl w:val="0"/>
                <w:numId w:val="15"/>
              </w:numPr>
              <w:tabs>
                <w:tab w:val="left" w:pos="567"/>
              </w:tabs>
              <w:spacing w:after="120" w:line="240" w:lineRule="auto"/>
              <w:contextualSpacing w:val="0"/>
              <w:rPr>
                <w:rFonts w:ascii="Times New Roman" w:hAnsi="Times New Roman"/>
                <w:sz w:val="24"/>
                <w:szCs w:val="24"/>
              </w:rPr>
            </w:pPr>
            <w:r w:rsidRPr="00C26DA3">
              <w:rPr>
                <w:rFonts w:ascii="Times New Roman" w:hAnsi="Times New Roman"/>
                <w:sz w:val="24"/>
                <w:szCs w:val="24"/>
              </w:rPr>
              <w:t>Trajtimi i k</w:t>
            </w:r>
            <w:r w:rsidR="000E0C7F" w:rsidRPr="00C26DA3">
              <w:rPr>
                <w:rFonts w:ascii="Times New Roman" w:hAnsi="Times New Roman"/>
                <w:sz w:val="24"/>
                <w:szCs w:val="24"/>
              </w:rPr>
              <w:t>ër</w:t>
            </w:r>
            <w:r w:rsidRPr="00C26DA3">
              <w:rPr>
                <w:rFonts w:ascii="Times New Roman" w:hAnsi="Times New Roman"/>
                <w:sz w:val="24"/>
                <w:szCs w:val="24"/>
              </w:rPr>
              <w:t>kesave t</w:t>
            </w:r>
            <w:r w:rsidR="000E0C7F" w:rsidRPr="00C26DA3">
              <w:rPr>
                <w:rFonts w:ascii="Times New Roman" w:hAnsi="Times New Roman"/>
                <w:sz w:val="24"/>
                <w:szCs w:val="24"/>
              </w:rPr>
              <w:t>ë</w:t>
            </w:r>
            <w:r w:rsidRPr="00C26DA3">
              <w:rPr>
                <w:rFonts w:ascii="Times New Roman" w:hAnsi="Times New Roman"/>
                <w:sz w:val="24"/>
                <w:szCs w:val="24"/>
              </w:rPr>
              <w:t xml:space="preserve"> kuadrit rregullativ p</w:t>
            </w:r>
            <w:r w:rsidR="000E0C7F" w:rsidRPr="00C26DA3">
              <w:rPr>
                <w:rFonts w:ascii="Times New Roman" w:hAnsi="Times New Roman"/>
                <w:sz w:val="24"/>
                <w:szCs w:val="24"/>
              </w:rPr>
              <w:t>ë</w:t>
            </w:r>
            <w:r w:rsidRPr="00C26DA3">
              <w:rPr>
                <w:rFonts w:ascii="Times New Roman" w:hAnsi="Times New Roman"/>
                <w:sz w:val="24"/>
                <w:szCs w:val="24"/>
              </w:rPr>
              <w:t>r parandalimin e pastrimit t</w:t>
            </w:r>
            <w:r w:rsidR="000E0C7F" w:rsidRPr="00C26DA3">
              <w:rPr>
                <w:rFonts w:ascii="Times New Roman" w:hAnsi="Times New Roman"/>
                <w:sz w:val="24"/>
                <w:szCs w:val="24"/>
              </w:rPr>
              <w:t>ë</w:t>
            </w:r>
            <w:r w:rsidRPr="00C26DA3">
              <w:rPr>
                <w:rFonts w:ascii="Times New Roman" w:hAnsi="Times New Roman"/>
                <w:sz w:val="24"/>
                <w:szCs w:val="24"/>
              </w:rPr>
              <w:t xml:space="preserve"> parave n</w:t>
            </w:r>
            <w:r w:rsidR="000E0C7F" w:rsidRPr="00C26DA3">
              <w:rPr>
                <w:rFonts w:ascii="Times New Roman" w:hAnsi="Times New Roman"/>
                <w:sz w:val="24"/>
                <w:szCs w:val="24"/>
              </w:rPr>
              <w:t>ë</w:t>
            </w:r>
            <w:r w:rsidRPr="00C26DA3">
              <w:rPr>
                <w:rFonts w:ascii="Times New Roman" w:hAnsi="Times New Roman"/>
                <w:sz w:val="24"/>
                <w:szCs w:val="24"/>
              </w:rPr>
              <w:t xml:space="preserve"> procesin e hapjes s</w:t>
            </w:r>
            <w:r w:rsidR="000E0C7F" w:rsidRPr="00C26DA3">
              <w:rPr>
                <w:rFonts w:ascii="Times New Roman" w:hAnsi="Times New Roman"/>
                <w:sz w:val="24"/>
                <w:szCs w:val="24"/>
              </w:rPr>
              <w:t>ë</w:t>
            </w:r>
            <w:r w:rsidRPr="00C26DA3">
              <w:rPr>
                <w:rFonts w:ascii="Times New Roman" w:hAnsi="Times New Roman"/>
                <w:sz w:val="24"/>
                <w:szCs w:val="24"/>
              </w:rPr>
              <w:t xml:space="preserve"> llogaris</w:t>
            </w:r>
            <w:r w:rsidR="000E0C7F" w:rsidRPr="00C26DA3">
              <w:rPr>
                <w:rFonts w:ascii="Times New Roman" w:hAnsi="Times New Roman"/>
                <w:sz w:val="24"/>
                <w:szCs w:val="24"/>
              </w:rPr>
              <w:t>ë</w:t>
            </w:r>
            <w:r w:rsidRPr="00C26DA3">
              <w:rPr>
                <w:rFonts w:ascii="Times New Roman" w:hAnsi="Times New Roman"/>
                <w:sz w:val="24"/>
                <w:szCs w:val="24"/>
              </w:rPr>
              <w:t xml:space="preserve"> s</w:t>
            </w:r>
            <w:r w:rsidR="000E0C7F" w:rsidRPr="00C26DA3">
              <w:rPr>
                <w:rFonts w:ascii="Times New Roman" w:hAnsi="Times New Roman"/>
                <w:sz w:val="24"/>
                <w:szCs w:val="24"/>
              </w:rPr>
              <w:t>ë</w:t>
            </w:r>
            <w:r w:rsidRPr="00C26DA3">
              <w:rPr>
                <w:rFonts w:ascii="Times New Roman" w:hAnsi="Times New Roman"/>
                <w:sz w:val="24"/>
                <w:szCs w:val="24"/>
              </w:rPr>
              <w:t xml:space="preserve"> pages</w:t>
            </w:r>
            <w:r w:rsidR="000E0C7F" w:rsidRPr="00C26DA3">
              <w:rPr>
                <w:rFonts w:ascii="Times New Roman" w:hAnsi="Times New Roman"/>
                <w:sz w:val="24"/>
                <w:szCs w:val="24"/>
              </w:rPr>
              <w:t>ë</w:t>
            </w:r>
            <w:r w:rsidRPr="00C26DA3">
              <w:rPr>
                <w:rFonts w:ascii="Times New Roman" w:hAnsi="Times New Roman"/>
                <w:sz w:val="24"/>
                <w:szCs w:val="24"/>
              </w:rPr>
              <w:t>s me sh</w:t>
            </w:r>
            <w:r w:rsidR="000E0C7F" w:rsidRPr="00C26DA3">
              <w:rPr>
                <w:rFonts w:ascii="Times New Roman" w:hAnsi="Times New Roman"/>
                <w:sz w:val="24"/>
                <w:szCs w:val="24"/>
              </w:rPr>
              <w:t>ë</w:t>
            </w:r>
            <w:r w:rsidRPr="00C26DA3">
              <w:rPr>
                <w:rFonts w:ascii="Times New Roman" w:hAnsi="Times New Roman"/>
                <w:sz w:val="24"/>
                <w:szCs w:val="24"/>
              </w:rPr>
              <w:t>rbime bazike.</w:t>
            </w:r>
            <w:r w:rsidR="00335800" w:rsidRPr="00C26DA3">
              <w:rPr>
                <w:rFonts w:ascii="Times New Roman" w:hAnsi="Times New Roman"/>
                <w:sz w:val="24"/>
                <w:szCs w:val="24"/>
              </w:rPr>
              <w:t xml:space="preserve">  </w:t>
            </w:r>
          </w:p>
          <w:p w14:paraId="422A293F" w14:textId="77777777" w:rsidR="004327DF" w:rsidRPr="00A22F40" w:rsidRDefault="004327DF" w:rsidP="004327DF">
            <w:pPr>
              <w:jc w:val="both"/>
              <w:rPr>
                <w:rFonts w:ascii="Times New Roman" w:hAnsi="Times New Roman" w:cs="Times New Roman"/>
                <w:sz w:val="24"/>
                <w:szCs w:val="24"/>
              </w:rPr>
            </w:pPr>
          </w:p>
        </w:tc>
        <w:tc>
          <w:tcPr>
            <w:tcW w:w="2072" w:type="dxa"/>
          </w:tcPr>
          <w:p w14:paraId="667D28D5" w14:textId="77777777" w:rsidR="00335800" w:rsidRPr="00324E70" w:rsidRDefault="00335800" w:rsidP="00A97E73">
            <w:pPr>
              <w:tabs>
                <w:tab w:val="left" w:pos="567"/>
              </w:tabs>
              <w:spacing w:after="120"/>
              <w:rPr>
                <w:rFonts w:ascii="Times New Roman" w:hAnsi="Times New Roman"/>
                <w:sz w:val="24"/>
                <w:szCs w:val="24"/>
              </w:rPr>
            </w:pPr>
            <w:proofErr w:type="spellStart"/>
            <w:r w:rsidRPr="00324E70">
              <w:rPr>
                <w:rFonts w:ascii="Times New Roman" w:hAnsi="Times New Roman"/>
                <w:sz w:val="24"/>
                <w:szCs w:val="24"/>
              </w:rPr>
              <w:t>Ka</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patur</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paqartësi</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lidhur</w:t>
            </w:r>
            <w:proofErr w:type="spellEnd"/>
            <w:r w:rsidRPr="00324E70">
              <w:rPr>
                <w:rFonts w:ascii="Times New Roman" w:hAnsi="Times New Roman"/>
                <w:sz w:val="24"/>
                <w:szCs w:val="24"/>
              </w:rPr>
              <w:t xml:space="preserve"> me </w:t>
            </w:r>
            <w:proofErr w:type="spellStart"/>
            <w:r w:rsidRPr="00324E70">
              <w:rPr>
                <w:rFonts w:ascii="Times New Roman" w:hAnsi="Times New Roman"/>
                <w:sz w:val="24"/>
                <w:szCs w:val="24"/>
              </w:rPr>
              <w:t>zbatueshmërinë</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kërkesave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ligjit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parandalimin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pastrimit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parave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lidhur</w:t>
            </w:r>
            <w:proofErr w:type="spellEnd"/>
            <w:r w:rsidRPr="00324E70">
              <w:rPr>
                <w:rFonts w:ascii="Times New Roman" w:hAnsi="Times New Roman"/>
                <w:sz w:val="24"/>
                <w:szCs w:val="24"/>
              </w:rPr>
              <w:t xml:space="preserve"> me </w:t>
            </w:r>
            <w:proofErr w:type="spellStart"/>
            <w:r w:rsidRPr="00324E70">
              <w:rPr>
                <w:rFonts w:ascii="Times New Roman" w:hAnsi="Times New Roman"/>
                <w:sz w:val="24"/>
                <w:szCs w:val="24"/>
              </w:rPr>
              <w:t>dokumentacionin</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justifikues</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burimin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ardhurave</w:t>
            </w:r>
            <w:proofErr w:type="spellEnd"/>
            <w:r w:rsidRPr="00324E70">
              <w:rPr>
                <w:rFonts w:ascii="Times New Roman" w:hAnsi="Times New Roman"/>
                <w:sz w:val="24"/>
                <w:szCs w:val="24"/>
              </w:rPr>
              <w:t xml:space="preserve"> duke </w:t>
            </w:r>
            <w:proofErr w:type="spellStart"/>
            <w:r w:rsidRPr="00324E70">
              <w:rPr>
                <w:rFonts w:ascii="Times New Roman" w:hAnsi="Times New Roman"/>
                <w:sz w:val="24"/>
                <w:szCs w:val="24"/>
              </w:rPr>
              <w:t>qenë</w:t>
            </w:r>
            <w:proofErr w:type="spellEnd"/>
            <w:r w:rsidRPr="00324E70">
              <w:rPr>
                <w:rFonts w:ascii="Times New Roman" w:hAnsi="Times New Roman"/>
                <w:sz w:val="24"/>
                <w:szCs w:val="24"/>
              </w:rPr>
              <w:t xml:space="preserve"> se </w:t>
            </w:r>
            <w:proofErr w:type="spellStart"/>
            <w:r w:rsidRPr="00324E70">
              <w:rPr>
                <w:rFonts w:ascii="Times New Roman" w:hAnsi="Times New Roman"/>
                <w:sz w:val="24"/>
                <w:szCs w:val="24"/>
              </w:rPr>
              <w:t>ligji</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nuk</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ka</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dallime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tek</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konsumatorët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në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lidhje</w:t>
            </w:r>
            <w:proofErr w:type="spellEnd"/>
            <w:r w:rsidRPr="00324E70">
              <w:rPr>
                <w:rFonts w:ascii="Times New Roman" w:hAnsi="Times New Roman"/>
                <w:sz w:val="24"/>
                <w:szCs w:val="24"/>
              </w:rPr>
              <w:t xml:space="preserve"> me </w:t>
            </w:r>
            <w:proofErr w:type="spellStart"/>
            <w:r w:rsidRPr="00324E70">
              <w:rPr>
                <w:rFonts w:ascii="Times New Roman" w:hAnsi="Times New Roman"/>
                <w:sz w:val="24"/>
                <w:szCs w:val="24"/>
              </w:rPr>
              <w:t>nivelin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ardhurave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apo</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statusin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punësimit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apo</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trajtimin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shtetasve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huaj</w:t>
            </w:r>
            <w:proofErr w:type="spellEnd"/>
            <w:r w:rsidRPr="00324E70">
              <w:rPr>
                <w:rFonts w:ascii="Times New Roman" w:hAnsi="Times New Roman"/>
                <w:sz w:val="24"/>
                <w:szCs w:val="24"/>
              </w:rPr>
              <w:t xml:space="preserve"> me </w:t>
            </w:r>
            <w:proofErr w:type="spellStart"/>
            <w:r w:rsidRPr="00324E70">
              <w:rPr>
                <w:rFonts w:ascii="Times New Roman" w:hAnsi="Times New Roman"/>
                <w:sz w:val="24"/>
                <w:szCs w:val="24"/>
              </w:rPr>
              <w:t>leje</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qëndrimi</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përkohshëm</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të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cilët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përfshihen</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në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përkufizimin</w:t>
            </w:r>
            <w:proofErr w:type="spellEnd"/>
            <w:r w:rsidRPr="00324E70">
              <w:rPr>
                <w:rFonts w:ascii="Times New Roman" w:hAnsi="Times New Roman"/>
                <w:sz w:val="24"/>
                <w:szCs w:val="24"/>
              </w:rPr>
              <w:t xml:space="preserve"> e </w:t>
            </w:r>
            <w:proofErr w:type="spellStart"/>
            <w:r w:rsidRPr="00324E70">
              <w:rPr>
                <w:rFonts w:ascii="Times New Roman" w:hAnsi="Times New Roman"/>
                <w:sz w:val="24"/>
                <w:szCs w:val="24"/>
              </w:rPr>
              <w:t>rezidentit</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në</w:t>
            </w:r>
            <w:proofErr w:type="spellEnd"/>
            <w:r w:rsidRPr="00324E70">
              <w:rPr>
                <w:rFonts w:ascii="Times New Roman" w:hAnsi="Times New Roman"/>
                <w:sz w:val="24"/>
                <w:szCs w:val="24"/>
              </w:rPr>
              <w:t xml:space="preserve"> </w:t>
            </w:r>
            <w:proofErr w:type="spellStart"/>
            <w:r w:rsidRPr="00324E70">
              <w:rPr>
                <w:rFonts w:ascii="Times New Roman" w:hAnsi="Times New Roman"/>
                <w:sz w:val="24"/>
                <w:szCs w:val="24"/>
              </w:rPr>
              <w:t>ligj</w:t>
            </w:r>
            <w:proofErr w:type="spellEnd"/>
            <w:r w:rsidRPr="00324E70">
              <w:rPr>
                <w:rFonts w:ascii="Times New Roman" w:hAnsi="Times New Roman"/>
                <w:sz w:val="24"/>
                <w:szCs w:val="24"/>
              </w:rPr>
              <w:t xml:space="preserve">.  </w:t>
            </w:r>
          </w:p>
          <w:p w14:paraId="6A945023" w14:textId="77777777" w:rsidR="004327DF" w:rsidRPr="00A22F40" w:rsidRDefault="004327DF" w:rsidP="004327DF">
            <w:pPr>
              <w:jc w:val="both"/>
              <w:rPr>
                <w:rFonts w:ascii="Times New Roman" w:eastAsia="Arial Unicode MS" w:hAnsi="Times New Roman" w:cs="Times New Roman"/>
                <w:sz w:val="24"/>
                <w:szCs w:val="24"/>
              </w:rPr>
            </w:pPr>
          </w:p>
        </w:tc>
        <w:tc>
          <w:tcPr>
            <w:tcW w:w="1269" w:type="dxa"/>
          </w:tcPr>
          <w:p w14:paraId="56D349F9" w14:textId="77777777" w:rsidR="004327DF" w:rsidRPr="00E60E4A" w:rsidRDefault="00335800" w:rsidP="004327DF">
            <w:pPr>
              <w:jc w:val="both"/>
              <w:rPr>
                <w:rFonts w:ascii="Times New Roman" w:hAnsi="Times New Roman" w:cs="Times New Roman"/>
                <w:sz w:val="24"/>
                <w:szCs w:val="24"/>
                <w:lang w:val="sv-SE"/>
              </w:rPr>
            </w:pPr>
            <w:r>
              <w:rPr>
                <w:rFonts w:ascii="Times New Roman" w:hAnsi="Times New Roman" w:cs="Times New Roman"/>
                <w:sz w:val="24"/>
                <w:szCs w:val="24"/>
                <w:lang w:val="sv-SE"/>
              </w:rPr>
              <w:t>Bankat e nivelit të dytë</w:t>
            </w:r>
          </w:p>
        </w:tc>
        <w:tc>
          <w:tcPr>
            <w:tcW w:w="1341" w:type="dxa"/>
          </w:tcPr>
          <w:p w14:paraId="02823FB2" w14:textId="77777777" w:rsidR="00A97E73" w:rsidRDefault="00A97E73" w:rsidP="00E95E61">
            <w:pPr>
              <w:jc w:val="both"/>
              <w:rPr>
                <w:rFonts w:ascii="Times New Roman" w:hAnsi="Times New Roman" w:cs="Times New Roman"/>
                <w:sz w:val="24"/>
                <w:szCs w:val="24"/>
                <w:lang w:val="sv-SE"/>
              </w:rPr>
            </w:pPr>
          </w:p>
          <w:p w14:paraId="02C9A795" w14:textId="6FCE8BA0" w:rsidR="00A97E73" w:rsidRPr="00E60E4A" w:rsidRDefault="00A97E73" w:rsidP="00E95E61">
            <w:pPr>
              <w:jc w:val="both"/>
              <w:rPr>
                <w:rFonts w:ascii="Times New Roman" w:hAnsi="Times New Roman" w:cs="Times New Roman"/>
                <w:sz w:val="24"/>
                <w:szCs w:val="24"/>
                <w:lang w:val="sv-SE"/>
              </w:rPr>
            </w:pPr>
            <w:r w:rsidRPr="00D803B1">
              <w:rPr>
                <w:rFonts w:ascii="Times New Roman" w:hAnsi="Times New Roman" w:cs="Times New Roman"/>
                <w:sz w:val="24"/>
                <w:szCs w:val="24"/>
                <w:lang w:val="sv-SE"/>
              </w:rPr>
              <w:t>Refuzuar</w:t>
            </w:r>
          </w:p>
        </w:tc>
        <w:tc>
          <w:tcPr>
            <w:tcW w:w="2425" w:type="dxa"/>
          </w:tcPr>
          <w:p w14:paraId="0D2EB59B" w14:textId="77777777" w:rsidR="00324E70" w:rsidRPr="00C12D2D" w:rsidRDefault="00324E70" w:rsidP="00A97E73">
            <w:pPr>
              <w:rPr>
                <w:rFonts w:ascii="Times New Roman" w:hAnsi="Times New Roman"/>
                <w:sz w:val="24"/>
                <w:szCs w:val="24"/>
                <w:lang w:val="sq-AL"/>
              </w:rPr>
            </w:pPr>
            <w:r>
              <w:rPr>
                <w:rFonts w:ascii="Times New Roman" w:hAnsi="Times New Roman"/>
                <w:sz w:val="24"/>
                <w:szCs w:val="24"/>
                <w:lang w:val="sq-AL"/>
              </w:rPr>
              <w:t>Ë</w:t>
            </w:r>
            <w:r w:rsidRPr="00DB0ED6">
              <w:rPr>
                <w:rFonts w:ascii="Times New Roman" w:hAnsi="Times New Roman"/>
                <w:sz w:val="24"/>
                <w:szCs w:val="24"/>
                <w:lang w:val="sq-AL"/>
              </w:rPr>
              <w:t>sht</w:t>
            </w:r>
            <w:r>
              <w:rPr>
                <w:rFonts w:ascii="Times New Roman" w:hAnsi="Times New Roman"/>
                <w:sz w:val="24"/>
                <w:szCs w:val="24"/>
                <w:lang w:val="sq-AL"/>
              </w:rPr>
              <w:t>ë</w:t>
            </w:r>
            <w:r w:rsidRPr="00DB0ED6">
              <w:rPr>
                <w:rFonts w:ascii="Times New Roman" w:hAnsi="Times New Roman"/>
                <w:sz w:val="24"/>
                <w:szCs w:val="24"/>
                <w:lang w:val="sq-AL"/>
              </w:rPr>
              <w:t xml:space="preserve"> sqaruar se</w:t>
            </w:r>
            <w:r>
              <w:rPr>
                <w:rFonts w:ascii="Times New Roman" w:hAnsi="Times New Roman"/>
                <w:b/>
                <w:sz w:val="24"/>
                <w:szCs w:val="24"/>
                <w:lang w:val="sq-AL"/>
              </w:rPr>
              <w:t xml:space="preserve"> s</w:t>
            </w:r>
            <w:r w:rsidRPr="00C12D2D">
              <w:rPr>
                <w:rFonts w:ascii="Times New Roman" w:hAnsi="Times New Roman"/>
                <w:sz w:val="24"/>
                <w:szCs w:val="24"/>
                <w:lang w:val="sq-AL"/>
              </w:rPr>
              <w:t>ikurse për çdo llogari tjetër, edhe për këtë llogari, banka duhet të zbatojë kërkesat ligjore për PPP/FT dhe për çdo rast do kryej</w:t>
            </w:r>
            <w:r>
              <w:rPr>
                <w:rFonts w:ascii="Times New Roman" w:hAnsi="Times New Roman"/>
                <w:sz w:val="24"/>
                <w:szCs w:val="24"/>
                <w:lang w:val="sq-AL"/>
              </w:rPr>
              <w:t>ë</w:t>
            </w:r>
            <w:r w:rsidRPr="00C12D2D">
              <w:rPr>
                <w:rFonts w:ascii="Times New Roman" w:hAnsi="Times New Roman"/>
                <w:sz w:val="24"/>
                <w:szCs w:val="24"/>
                <w:lang w:val="sq-AL"/>
              </w:rPr>
              <w:t xml:space="preserve"> vigjilencën e duhur apo vigjilencën e zgjeruar, sipas rastit. N</w:t>
            </w:r>
            <w:r>
              <w:rPr>
                <w:rFonts w:ascii="Times New Roman" w:hAnsi="Times New Roman"/>
                <w:sz w:val="24"/>
                <w:szCs w:val="24"/>
                <w:lang w:val="sq-AL"/>
              </w:rPr>
              <w:t>ë</w:t>
            </w:r>
            <w:r w:rsidRPr="00C12D2D">
              <w:rPr>
                <w:rFonts w:ascii="Times New Roman" w:hAnsi="Times New Roman"/>
                <w:sz w:val="24"/>
                <w:szCs w:val="24"/>
                <w:lang w:val="sq-AL"/>
              </w:rPr>
              <w:t xml:space="preserve"> rastin e nj</w:t>
            </w:r>
            <w:r>
              <w:rPr>
                <w:rFonts w:ascii="Times New Roman" w:hAnsi="Times New Roman"/>
                <w:sz w:val="24"/>
                <w:szCs w:val="24"/>
                <w:lang w:val="sq-AL"/>
              </w:rPr>
              <w:t>ë</w:t>
            </w:r>
            <w:r w:rsidRPr="00C12D2D">
              <w:rPr>
                <w:rFonts w:ascii="Times New Roman" w:hAnsi="Times New Roman"/>
                <w:sz w:val="24"/>
                <w:szCs w:val="24"/>
                <w:lang w:val="sq-AL"/>
              </w:rPr>
              <w:t xml:space="preserve"> llogarie pagesash </w:t>
            </w:r>
            <w:r>
              <w:rPr>
                <w:rFonts w:ascii="Times New Roman" w:hAnsi="Times New Roman"/>
                <w:sz w:val="24"/>
                <w:szCs w:val="24"/>
                <w:lang w:val="sq-AL"/>
              </w:rPr>
              <w:t xml:space="preserve">me shërbime </w:t>
            </w:r>
            <w:r w:rsidRPr="00C12D2D">
              <w:rPr>
                <w:rFonts w:ascii="Times New Roman" w:hAnsi="Times New Roman"/>
                <w:sz w:val="24"/>
                <w:szCs w:val="24"/>
                <w:lang w:val="sq-AL"/>
              </w:rPr>
              <w:t>bazike, klienti duhet t</w:t>
            </w:r>
            <w:r>
              <w:rPr>
                <w:rFonts w:ascii="Times New Roman" w:hAnsi="Times New Roman"/>
                <w:sz w:val="24"/>
                <w:szCs w:val="24"/>
                <w:lang w:val="sq-AL"/>
              </w:rPr>
              <w:t>ë</w:t>
            </w:r>
            <w:r w:rsidRPr="00C12D2D">
              <w:rPr>
                <w:rFonts w:ascii="Times New Roman" w:hAnsi="Times New Roman"/>
                <w:sz w:val="24"/>
                <w:szCs w:val="24"/>
                <w:lang w:val="sq-AL"/>
              </w:rPr>
              <w:t xml:space="preserve"> paraqes</w:t>
            </w:r>
            <w:r>
              <w:rPr>
                <w:rFonts w:ascii="Times New Roman" w:hAnsi="Times New Roman"/>
                <w:sz w:val="24"/>
                <w:szCs w:val="24"/>
                <w:lang w:val="sq-AL"/>
              </w:rPr>
              <w:t>ë</w:t>
            </w:r>
            <w:r w:rsidRPr="00C12D2D">
              <w:rPr>
                <w:rFonts w:ascii="Times New Roman" w:hAnsi="Times New Roman"/>
                <w:sz w:val="24"/>
                <w:szCs w:val="24"/>
                <w:lang w:val="sq-AL"/>
              </w:rPr>
              <w:t xml:space="preserve"> nj</w:t>
            </w:r>
            <w:r>
              <w:rPr>
                <w:rFonts w:ascii="Times New Roman" w:hAnsi="Times New Roman"/>
                <w:sz w:val="24"/>
                <w:szCs w:val="24"/>
                <w:lang w:val="sq-AL"/>
              </w:rPr>
              <w:t>ë</w:t>
            </w:r>
            <w:r w:rsidRPr="00C12D2D">
              <w:rPr>
                <w:rFonts w:ascii="Times New Roman" w:hAnsi="Times New Roman"/>
                <w:sz w:val="24"/>
                <w:szCs w:val="24"/>
                <w:lang w:val="sq-AL"/>
              </w:rPr>
              <w:t xml:space="preserve"> interes t</w:t>
            </w:r>
            <w:r>
              <w:rPr>
                <w:rFonts w:ascii="Times New Roman" w:hAnsi="Times New Roman"/>
                <w:sz w:val="24"/>
                <w:szCs w:val="24"/>
                <w:lang w:val="sq-AL"/>
              </w:rPr>
              <w:t>ë vë</w:t>
            </w:r>
            <w:r w:rsidRPr="00C12D2D">
              <w:rPr>
                <w:rFonts w:ascii="Times New Roman" w:hAnsi="Times New Roman"/>
                <w:sz w:val="24"/>
                <w:szCs w:val="24"/>
                <w:lang w:val="sq-AL"/>
              </w:rPr>
              <w:t>rt</w:t>
            </w:r>
            <w:r>
              <w:rPr>
                <w:rFonts w:ascii="Times New Roman" w:hAnsi="Times New Roman"/>
                <w:sz w:val="24"/>
                <w:szCs w:val="24"/>
                <w:lang w:val="sq-AL"/>
              </w:rPr>
              <w:t>e</w:t>
            </w:r>
            <w:r w:rsidRPr="00C12D2D">
              <w:rPr>
                <w:rFonts w:ascii="Times New Roman" w:hAnsi="Times New Roman"/>
                <w:sz w:val="24"/>
                <w:szCs w:val="24"/>
                <w:lang w:val="sq-AL"/>
              </w:rPr>
              <w:t>t</w:t>
            </w:r>
            <w:r>
              <w:rPr>
                <w:rFonts w:ascii="Times New Roman" w:hAnsi="Times New Roman"/>
                <w:sz w:val="24"/>
                <w:szCs w:val="24"/>
                <w:lang w:val="sq-AL"/>
              </w:rPr>
              <w:t>ë</w:t>
            </w:r>
            <w:r w:rsidRPr="00C12D2D">
              <w:rPr>
                <w:rFonts w:ascii="Times New Roman" w:hAnsi="Times New Roman"/>
                <w:sz w:val="24"/>
                <w:szCs w:val="24"/>
                <w:lang w:val="sq-AL"/>
              </w:rPr>
              <w:t xml:space="preserve"> (</w:t>
            </w:r>
            <w:r w:rsidRPr="00DB0ED6">
              <w:rPr>
                <w:rFonts w:ascii="Times New Roman" w:hAnsi="Times New Roman"/>
                <w:i/>
                <w:sz w:val="24"/>
                <w:szCs w:val="24"/>
                <w:lang w:val="sq-AL"/>
              </w:rPr>
              <w:t>genuine interest</w:t>
            </w:r>
            <w:r w:rsidRPr="00C12D2D">
              <w:rPr>
                <w:rFonts w:ascii="Times New Roman" w:hAnsi="Times New Roman"/>
                <w:sz w:val="24"/>
                <w:szCs w:val="24"/>
                <w:lang w:val="sq-AL"/>
              </w:rPr>
              <w:t>) për të patur një llogari të tillë. Kjo nënkupton që klientit i duhet kjo llogari për të përfituar një të ardhur e cila mund të jetë një pagesë asistence, një pagë ose një formë tjetër e ardhur dhe nuk ka llogari për ta përfituar. Në këtë kuptim dokumenti përkatës që do të vërtetojë këtë të ardhur do shërbejë edhe si dokumentacion justifikues për burimin e të ardhurave.</w:t>
            </w:r>
          </w:p>
          <w:p w14:paraId="53F9B0CF" w14:textId="77777777" w:rsidR="00324E70" w:rsidRPr="00C12D2D" w:rsidRDefault="00324E70" w:rsidP="00A97E73">
            <w:pPr>
              <w:rPr>
                <w:rFonts w:ascii="Times New Roman" w:hAnsi="Times New Roman"/>
                <w:sz w:val="24"/>
                <w:szCs w:val="24"/>
                <w:lang w:val="sq-AL"/>
              </w:rPr>
            </w:pPr>
          </w:p>
          <w:p w14:paraId="2D00DA32" w14:textId="77777777" w:rsidR="00324E70" w:rsidRPr="00C12D2D" w:rsidRDefault="00324E70" w:rsidP="00A97E73">
            <w:pPr>
              <w:ind w:left="-67"/>
              <w:rPr>
                <w:rFonts w:ascii="Times New Roman" w:hAnsi="Times New Roman"/>
                <w:sz w:val="24"/>
                <w:szCs w:val="24"/>
                <w:lang w:val="sq-AL"/>
              </w:rPr>
            </w:pPr>
            <w:r w:rsidRPr="00C12D2D">
              <w:rPr>
                <w:rFonts w:ascii="Times New Roman" w:hAnsi="Times New Roman"/>
                <w:sz w:val="24"/>
                <w:szCs w:val="24"/>
                <w:lang w:val="sq-AL"/>
              </w:rPr>
              <w:t>Referuar p</w:t>
            </w:r>
            <w:r>
              <w:rPr>
                <w:rFonts w:ascii="Times New Roman" w:hAnsi="Times New Roman"/>
                <w:sz w:val="24"/>
                <w:szCs w:val="24"/>
                <w:lang w:val="sq-AL"/>
              </w:rPr>
              <w:t>ë</w:t>
            </w:r>
            <w:r w:rsidRPr="00C12D2D">
              <w:rPr>
                <w:rFonts w:ascii="Times New Roman" w:hAnsi="Times New Roman"/>
                <w:sz w:val="24"/>
                <w:szCs w:val="24"/>
                <w:lang w:val="sq-AL"/>
              </w:rPr>
              <w:t>rkufizimit t</w:t>
            </w:r>
            <w:r>
              <w:rPr>
                <w:rFonts w:ascii="Times New Roman" w:hAnsi="Times New Roman"/>
                <w:sz w:val="24"/>
                <w:szCs w:val="24"/>
                <w:lang w:val="sq-AL"/>
              </w:rPr>
              <w:t>ë</w:t>
            </w:r>
            <w:r w:rsidRPr="00C12D2D">
              <w:rPr>
                <w:rFonts w:ascii="Times New Roman" w:hAnsi="Times New Roman"/>
                <w:sz w:val="24"/>
                <w:szCs w:val="24"/>
                <w:lang w:val="sq-AL"/>
              </w:rPr>
              <w:t xml:space="preserve"> rezidentit n</w:t>
            </w:r>
            <w:r>
              <w:rPr>
                <w:rFonts w:ascii="Times New Roman" w:hAnsi="Times New Roman"/>
                <w:sz w:val="24"/>
                <w:szCs w:val="24"/>
                <w:lang w:val="sq-AL"/>
              </w:rPr>
              <w:t>ë</w:t>
            </w:r>
            <w:r w:rsidRPr="00C12D2D">
              <w:rPr>
                <w:rFonts w:ascii="Times New Roman" w:hAnsi="Times New Roman"/>
                <w:sz w:val="24"/>
                <w:szCs w:val="24"/>
                <w:lang w:val="sq-AL"/>
              </w:rPr>
              <w:t xml:space="preserve"> ligj, </w:t>
            </w:r>
            <w:r>
              <w:rPr>
                <w:rFonts w:ascii="Times New Roman" w:hAnsi="Times New Roman"/>
                <w:sz w:val="24"/>
                <w:szCs w:val="24"/>
                <w:lang w:val="sq-AL"/>
              </w:rPr>
              <w:t xml:space="preserve">është sqaruar se </w:t>
            </w:r>
            <w:r w:rsidRPr="00C12D2D">
              <w:rPr>
                <w:rFonts w:ascii="Times New Roman" w:hAnsi="Times New Roman"/>
                <w:sz w:val="24"/>
                <w:szCs w:val="24"/>
                <w:lang w:val="sq-AL"/>
              </w:rPr>
              <w:lastRenderedPageBreak/>
              <w:t>kuptimi i k</w:t>
            </w:r>
            <w:r>
              <w:rPr>
                <w:rFonts w:ascii="Times New Roman" w:hAnsi="Times New Roman"/>
                <w:sz w:val="24"/>
                <w:szCs w:val="24"/>
                <w:lang w:val="sq-AL"/>
              </w:rPr>
              <w:t>ë</w:t>
            </w:r>
            <w:r w:rsidRPr="00C12D2D">
              <w:rPr>
                <w:rFonts w:ascii="Times New Roman" w:hAnsi="Times New Roman"/>
                <w:sz w:val="24"/>
                <w:szCs w:val="24"/>
                <w:lang w:val="sq-AL"/>
              </w:rPr>
              <w:t>tij përkufizimi është i aplikueshëm vetëm për qëllime të zbatimit të dispozitave të këtij ligji</w:t>
            </w:r>
            <w:r>
              <w:rPr>
                <w:rFonts w:ascii="Times New Roman" w:hAnsi="Times New Roman"/>
                <w:sz w:val="24"/>
                <w:szCs w:val="24"/>
                <w:lang w:val="sq-AL"/>
              </w:rPr>
              <w:t xml:space="preserve"> dhe nuk pengon </w:t>
            </w:r>
            <w:r w:rsidRPr="00C12D2D">
              <w:rPr>
                <w:rFonts w:ascii="Times New Roman" w:hAnsi="Times New Roman"/>
                <w:sz w:val="24"/>
                <w:szCs w:val="24"/>
                <w:lang w:val="sq-AL"/>
              </w:rPr>
              <w:t xml:space="preserve">bankat në zbatimin e vigjilencës së zgjeruar apo mohon të drejtën e bankës, që në rastet kur kjo kategori klientësh, pavarësisht se  bie, për qëllime te këtij ligji në kategorinë “rezident””, të zbatojë kërkesat e ligjit nr. 9917/2008, i ndryshuar, për vigjilencën e zgjeruar.  </w:t>
            </w:r>
          </w:p>
          <w:p w14:paraId="14BF7507" w14:textId="77777777" w:rsidR="004327DF" w:rsidRPr="00A22F40" w:rsidRDefault="004327DF" w:rsidP="004327DF">
            <w:pPr>
              <w:jc w:val="both"/>
              <w:rPr>
                <w:rFonts w:ascii="Times New Roman" w:hAnsi="Times New Roman" w:cs="Times New Roman"/>
                <w:sz w:val="24"/>
                <w:szCs w:val="24"/>
                <w:lang w:val="sq-AL"/>
              </w:rPr>
            </w:pPr>
          </w:p>
        </w:tc>
      </w:tr>
      <w:tr w:rsidR="00335800" w:rsidRPr="00A22F40" w14:paraId="76A07E86" w14:textId="77777777" w:rsidTr="00E95E61">
        <w:tc>
          <w:tcPr>
            <w:tcW w:w="2243" w:type="dxa"/>
          </w:tcPr>
          <w:p w14:paraId="67D5D345" w14:textId="77777777" w:rsidR="00335800" w:rsidRPr="00A22F40" w:rsidRDefault="006369FF" w:rsidP="00BF45D0">
            <w:pPr>
              <w:pStyle w:val="ListParagraph"/>
              <w:numPr>
                <w:ilvl w:val="0"/>
                <w:numId w:val="15"/>
              </w:numPr>
              <w:tabs>
                <w:tab w:val="left" w:pos="567"/>
              </w:tabs>
              <w:spacing w:after="120" w:line="240" w:lineRule="auto"/>
              <w:contextualSpacing w:val="0"/>
              <w:jc w:val="both"/>
              <w:rPr>
                <w:rFonts w:ascii="Times New Roman" w:hAnsi="Times New Roman"/>
                <w:sz w:val="24"/>
                <w:szCs w:val="24"/>
              </w:rPr>
            </w:pPr>
            <w:r w:rsidRPr="00A22F40">
              <w:rPr>
                <w:rFonts w:ascii="Times New Roman" w:hAnsi="Times New Roman"/>
                <w:sz w:val="24"/>
                <w:szCs w:val="24"/>
              </w:rPr>
              <w:lastRenderedPageBreak/>
              <w:t>Kushtet p</w:t>
            </w:r>
            <w:r w:rsidR="000E0C7F" w:rsidRPr="00A22F40">
              <w:rPr>
                <w:rFonts w:ascii="Times New Roman" w:hAnsi="Times New Roman"/>
                <w:sz w:val="24"/>
                <w:szCs w:val="24"/>
              </w:rPr>
              <w:t>ë</w:t>
            </w:r>
            <w:r w:rsidRPr="00A22F40">
              <w:rPr>
                <w:rFonts w:ascii="Times New Roman" w:hAnsi="Times New Roman"/>
                <w:sz w:val="24"/>
                <w:szCs w:val="24"/>
              </w:rPr>
              <w:t>r hapjen e llogaris</w:t>
            </w:r>
            <w:r w:rsidR="000E0C7F" w:rsidRPr="00A22F40">
              <w:rPr>
                <w:rFonts w:ascii="Times New Roman" w:hAnsi="Times New Roman"/>
                <w:sz w:val="24"/>
                <w:szCs w:val="24"/>
              </w:rPr>
              <w:t>ë</w:t>
            </w:r>
            <w:r w:rsidRPr="00A22F40">
              <w:rPr>
                <w:rFonts w:ascii="Times New Roman" w:hAnsi="Times New Roman"/>
                <w:sz w:val="24"/>
                <w:szCs w:val="24"/>
              </w:rPr>
              <w:t xml:space="preserve"> s</w:t>
            </w:r>
            <w:r w:rsidR="000E0C7F" w:rsidRPr="00A22F40">
              <w:rPr>
                <w:rFonts w:ascii="Times New Roman" w:hAnsi="Times New Roman"/>
                <w:sz w:val="24"/>
                <w:szCs w:val="24"/>
              </w:rPr>
              <w:t>ë</w:t>
            </w:r>
            <w:r w:rsidRPr="00A22F40">
              <w:rPr>
                <w:rFonts w:ascii="Times New Roman" w:hAnsi="Times New Roman"/>
                <w:sz w:val="24"/>
                <w:szCs w:val="24"/>
              </w:rPr>
              <w:t xml:space="preserve"> pagesave me sh</w:t>
            </w:r>
            <w:r w:rsidR="000E0C7F" w:rsidRPr="00A22F40">
              <w:rPr>
                <w:rFonts w:ascii="Times New Roman" w:hAnsi="Times New Roman"/>
                <w:sz w:val="24"/>
                <w:szCs w:val="24"/>
              </w:rPr>
              <w:t>ë</w:t>
            </w:r>
            <w:r w:rsidRPr="00A22F40">
              <w:rPr>
                <w:rFonts w:ascii="Times New Roman" w:hAnsi="Times New Roman"/>
                <w:sz w:val="24"/>
                <w:szCs w:val="24"/>
              </w:rPr>
              <w:t>rbime bazike</w:t>
            </w:r>
          </w:p>
        </w:tc>
        <w:tc>
          <w:tcPr>
            <w:tcW w:w="2072" w:type="dxa"/>
          </w:tcPr>
          <w:p w14:paraId="1116FCD9" w14:textId="77777777" w:rsidR="00324E70" w:rsidRPr="00A22F40" w:rsidRDefault="00324E70" w:rsidP="006456F2">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Është ngritur problemi i mënyrës së verifikimit dhe respektimit të afatit kohor të parashikuar në ligj lidhur me pasjen ose jo nga ana e klientit të një llogarie pagesash ekzistuese në një bankë tjetër si pjesë e procedurave të hapjes së llogarisë bazike.</w:t>
            </w:r>
          </w:p>
          <w:p w14:paraId="39EED132" w14:textId="77777777" w:rsidR="00335800" w:rsidRPr="00A22F40" w:rsidRDefault="00335800" w:rsidP="004327DF">
            <w:pPr>
              <w:jc w:val="both"/>
              <w:rPr>
                <w:rFonts w:ascii="Times New Roman" w:eastAsia="Arial Unicode MS" w:hAnsi="Times New Roman" w:cs="Times New Roman"/>
                <w:sz w:val="24"/>
                <w:szCs w:val="24"/>
                <w:lang w:val="sq-AL"/>
              </w:rPr>
            </w:pPr>
          </w:p>
        </w:tc>
        <w:tc>
          <w:tcPr>
            <w:tcW w:w="1269" w:type="dxa"/>
          </w:tcPr>
          <w:p w14:paraId="19DC4621" w14:textId="77777777" w:rsidR="00335800" w:rsidRDefault="009B3930" w:rsidP="004327DF">
            <w:pPr>
              <w:jc w:val="both"/>
              <w:rPr>
                <w:rFonts w:ascii="Times New Roman" w:hAnsi="Times New Roman" w:cs="Times New Roman"/>
                <w:sz w:val="24"/>
                <w:szCs w:val="24"/>
                <w:lang w:val="sv-SE"/>
              </w:rPr>
            </w:pPr>
            <w:r>
              <w:rPr>
                <w:rFonts w:ascii="Times New Roman" w:hAnsi="Times New Roman" w:cs="Times New Roman"/>
                <w:sz w:val="24"/>
                <w:szCs w:val="24"/>
                <w:lang w:val="sv-SE"/>
              </w:rPr>
              <w:t>Bankat e nivelit të dytë</w:t>
            </w:r>
          </w:p>
        </w:tc>
        <w:tc>
          <w:tcPr>
            <w:tcW w:w="1341" w:type="dxa"/>
          </w:tcPr>
          <w:p w14:paraId="327B2719" w14:textId="46D84071" w:rsidR="00335800" w:rsidRPr="00E60E4A" w:rsidRDefault="00E95E61" w:rsidP="00E95E61">
            <w:pPr>
              <w:jc w:val="both"/>
              <w:rPr>
                <w:rFonts w:ascii="Times New Roman" w:hAnsi="Times New Roman" w:cs="Times New Roman"/>
                <w:sz w:val="24"/>
                <w:szCs w:val="24"/>
                <w:lang w:val="sv-SE"/>
              </w:rPr>
            </w:pPr>
            <w:r w:rsidRPr="00C26DA3">
              <w:rPr>
                <w:rFonts w:ascii="Times New Roman" w:hAnsi="Times New Roman" w:cs="Times New Roman"/>
                <w:sz w:val="24"/>
                <w:szCs w:val="24"/>
                <w:lang w:val="sv-SE"/>
              </w:rPr>
              <w:t>Pjes</w:t>
            </w:r>
            <w:r w:rsidR="00FB20DA" w:rsidRPr="00C26DA3">
              <w:rPr>
                <w:rFonts w:ascii="Times New Roman" w:hAnsi="Times New Roman" w:cs="Times New Roman"/>
                <w:sz w:val="24"/>
                <w:szCs w:val="24"/>
                <w:lang w:val="sv-SE"/>
              </w:rPr>
              <w:t>ë</w:t>
            </w:r>
            <w:r w:rsidRPr="00C26DA3">
              <w:rPr>
                <w:rFonts w:ascii="Times New Roman" w:hAnsi="Times New Roman" w:cs="Times New Roman"/>
                <w:sz w:val="24"/>
                <w:szCs w:val="24"/>
                <w:lang w:val="sv-SE"/>
              </w:rPr>
              <w:t>risht i pranuar</w:t>
            </w:r>
          </w:p>
        </w:tc>
        <w:tc>
          <w:tcPr>
            <w:tcW w:w="2425" w:type="dxa"/>
          </w:tcPr>
          <w:p w14:paraId="3997AC05" w14:textId="77777777" w:rsidR="00324E70" w:rsidRPr="00C12D2D" w:rsidRDefault="002D6AE4" w:rsidP="006456F2">
            <w:pPr>
              <w:rPr>
                <w:rFonts w:ascii="Times New Roman" w:hAnsi="Times New Roman"/>
                <w:sz w:val="24"/>
                <w:szCs w:val="24"/>
                <w:lang w:val="sq-AL"/>
              </w:rPr>
            </w:pPr>
            <w:r>
              <w:rPr>
                <w:rFonts w:ascii="Times New Roman" w:hAnsi="Times New Roman"/>
                <w:sz w:val="24"/>
                <w:szCs w:val="24"/>
                <w:lang w:val="sq-AL"/>
              </w:rPr>
              <w:t>P</w:t>
            </w:r>
            <w:r w:rsidR="00324E70" w:rsidRPr="00C12D2D">
              <w:rPr>
                <w:rFonts w:ascii="Times New Roman" w:hAnsi="Times New Roman"/>
                <w:sz w:val="24"/>
                <w:szCs w:val="24"/>
                <w:lang w:val="sq-AL"/>
              </w:rPr>
              <w:t>ë</w:t>
            </w:r>
            <w:r>
              <w:rPr>
                <w:rFonts w:ascii="Times New Roman" w:hAnsi="Times New Roman"/>
                <w:sz w:val="24"/>
                <w:szCs w:val="24"/>
                <w:lang w:val="sq-AL"/>
              </w:rPr>
              <w:t>r të</w:t>
            </w:r>
            <w:r w:rsidR="00324E70" w:rsidRPr="00C12D2D">
              <w:rPr>
                <w:rFonts w:ascii="Times New Roman" w:hAnsi="Times New Roman"/>
                <w:sz w:val="24"/>
                <w:szCs w:val="24"/>
                <w:lang w:val="sq-AL"/>
              </w:rPr>
              <w:t xml:space="preserve"> realizuar kontrollin që konsumatori nuk ka llogari pagesash (duke përfshirë edhe llogarinë bazike) në një Bankë tjetër</w:t>
            </w:r>
            <w:r w:rsidR="00324E70">
              <w:rPr>
                <w:rFonts w:ascii="Times New Roman" w:hAnsi="Times New Roman"/>
                <w:sz w:val="24"/>
                <w:szCs w:val="24"/>
                <w:lang w:val="sq-AL"/>
              </w:rPr>
              <w:t xml:space="preserve">, ligji parashikon formën </w:t>
            </w:r>
            <w:r w:rsidR="00324E70" w:rsidRPr="00C12D2D">
              <w:rPr>
                <w:rFonts w:ascii="Times New Roman" w:hAnsi="Times New Roman"/>
                <w:sz w:val="24"/>
                <w:szCs w:val="24"/>
                <w:lang w:val="sq-AL"/>
              </w:rPr>
              <w:t>e vetëdeklarimit nga ana e klientit dhe ligji i lë hapësirë Bankës për të verifikuar më pas vetë këtë deklarim. Verifikimi i vetëdeklarimit të klientit mbetet në vendim</w:t>
            </w:r>
            <w:r w:rsidR="00324E70">
              <w:rPr>
                <w:rFonts w:ascii="Times New Roman" w:hAnsi="Times New Roman"/>
                <w:sz w:val="24"/>
                <w:szCs w:val="24"/>
                <w:lang w:val="sq-AL"/>
              </w:rPr>
              <w:t>m</w:t>
            </w:r>
            <w:r w:rsidR="00324E70" w:rsidRPr="00C12D2D">
              <w:rPr>
                <w:rFonts w:ascii="Times New Roman" w:hAnsi="Times New Roman"/>
                <w:sz w:val="24"/>
                <w:szCs w:val="24"/>
                <w:lang w:val="sq-AL"/>
              </w:rPr>
              <w:t>arrjen e Bankës. Ky proces është parashikuar për t</w:t>
            </w:r>
            <w:r w:rsidR="00324E70">
              <w:rPr>
                <w:rFonts w:ascii="Times New Roman" w:hAnsi="Times New Roman"/>
                <w:sz w:val="24"/>
                <w:szCs w:val="24"/>
                <w:lang w:val="sq-AL"/>
              </w:rPr>
              <w:t>’</w:t>
            </w:r>
            <w:r w:rsidR="00324E70" w:rsidRPr="00C12D2D">
              <w:rPr>
                <w:rFonts w:ascii="Times New Roman" w:hAnsi="Times New Roman"/>
                <w:sz w:val="24"/>
                <w:szCs w:val="24"/>
                <w:lang w:val="sq-AL"/>
              </w:rPr>
              <w:t>u kryer nga banka duke qenë se hapja e llogarisë bazike mbart kosto për bankën</w:t>
            </w:r>
            <w:r w:rsidR="00324E70">
              <w:rPr>
                <w:rFonts w:ascii="Times New Roman" w:hAnsi="Times New Roman"/>
                <w:sz w:val="24"/>
                <w:szCs w:val="24"/>
                <w:lang w:val="sq-AL"/>
              </w:rPr>
              <w:t xml:space="preserve">. Verifikimi </w:t>
            </w:r>
            <w:r w:rsidR="00324E70" w:rsidRPr="00C12D2D">
              <w:rPr>
                <w:rFonts w:ascii="Times New Roman" w:hAnsi="Times New Roman"/>
                <w:sz w:val="24"/>
                <w:szCs w:val="24"/>
                <w:lang w:val="sq-AL"/>
              </w:rPr>
              <w:t>mund të realizohet nëpërmjet komunikimeve zyrtare me bankat e tjera, apo duke nënshkruar marrëveshje midis bankave për këtë qëllim.  Një alternativë tjetër do të</w:t>
            </w:r>
            <w:r w:rsidR="00324E70">
              <w:rPr>
                <w:rFonts w:ascii="Times New Roman" w:hAnsi="Times New Roman"/>
                <w:sz w:val="24"/>
                <w:szCs w:val="24"/>
                <w:lang w:val="sq-AL"/>
              </w:rPr>
              <w:t xml:space="preserve"> </w:t>
            </w:r>
            <w:r w:rsidR="00324E70">
              <w:rPr>
                <w:rFonts w:ascii="Times New Roman" w:hAnsi="Times New Roman"/>
                <w:sz w:val="24"/>
                <w:szCs w:val="24"/>
                <w:lang w:val="sq-AL"/>
              </w:rPr>
              <w:lastRenderedPageBreak/>
              <w:t>ishte aksesi në Regjistrin e L</w:t>
            </w:r>
            <w:r w:rsidR="00324E70" w:rsidRPr="00C12D2D">
              <w:rPr>
                <w:rFonts w:ascii="Times New Roman" w:hAnsi="Times New Roman"/>
                <w:sz w:val="24"/>
                <w:szCs w:val="24"/>
                <w:lang w:val="sq-AL"/>
              </w:rPr>
              <w:t>logarive. Në mungesë të një aksesi të drejtpërdrejtë mund të bëhet komunikim zyrtar me D</w:t>
            </w:r>
            <w:r w:rsidR="00324E70">
              <w:rPr>
                <w:rFonts w:ascii="Times New Roman" w:hAnsi="Times New Roman"/>
                <w:sz w:val="24"/>
                <w:szCs w:val="24"/>
                <w:lang w:val="sq-AL"/>
              </w:rPr>
              <w:t>rejtorinë e Përgjithshme të Tatimeve (D</w:t>
            </w:r>
            <w:r w:rsidR="00324E70" w:rsidRPr="00C12D2D">
              <w:rPr>
                <w:rFonts w:ascii="Times New Roman" w:hAnsi="Times New Roman"/>
                <w:sz w:val="24"/>
                <w:szCs w:val="24"/>
                <w:lang w:val="sq-AL"/>
              </w:rPr>
              <w:t>PT</w:t>
            </w:r>
            <w:r w:rsidR="00324E70">
              <w:rPr>
                <w:rFonts w:ascii="Times New Roman" w:hAnsi="Times New Roman"/>
                <w:sz w:val="24"/>
                <w:szCs w:val="24"/>
                <w:lang w:val="sq-AL"/>
              </w:rPr>
              <w:t>)</w:t>
            </w:r>
            <w:r w:rsidR="00324E70" w:rsidRPr="00C12D2D">
              <w:rPr>
                <w:rFonts w:ascii="Times New Roman" w:hAnsi="Times New Roman"/>
                <w:sz w:val="24"/>
                <w:szCs w:val="24"/>
                <w:lang w:val="sq-AL"/>
              </w:rPr>
              <w:t xml:space="preserve">.   </w:t>
            </w:r>
          </w:p>
          <w:p w14:paraId="0AAF0FAA" w14:textId="77777777" w:rsidR="00324E70" w:rsidRPr="00C12D2D" w:rsidRDefault="00324E70" w:rsidP="006456F2">
            <w:pPr>
              <w:rPr>
                <w:rFonts w:ascii="Times New Roman" w:hAnsi="Times New Roman"/>
                <w:sz w:val="24"/>
                <w:szCs w:val="24"/>
                <w:lang w:val="sq-AL"/>
              </w:rPr>
            </w:pPr>
            <w:r>
              <w:rPr>
                <w:rFonts w:ascii="Times New Roman" w:hAnsi="Times New Roman"/>
                <w:sz w:val="24"/>
                <w:szCs w:val="24"/>
                <w:lang w:val="sq-AL"/>
              </w:rPr>
              <w:t>Ndërkohë, në</w:t>
            </w:r>
            <w:r w:rsidRPr="00C12D2D">
              <w:rPr>
                <w:rFonts w:ascii="Times New Roman" w:hAnsi="Times New Roman"/>
                <w:sz w:val="24"/>
                <w:szCs w:val="24"/>
                <w:lang w:val="sq-AL"/>
              </w:rPr>
              <w:t xml:space="preserve"> kushtet e problematik</w:t>
            </w:r>
            <w:r>
              <w:rPr>
                <w:rFonts w:ascii="Times New Roman" w:hAnsi="Times New Roman"/>
                <w:sz w:val="24"/>
                <w:szCs w:val="24"/>
                <w:lang w:val="sq-AL"/>
              </w:rPr>
              <w:t>ë</w:t>
            </w:r>
            <w:r w:rsidRPr="00C12D2D">
              <w:rPr>
                <w:rFonts w:ascii="Times New Roman" w:hAnsi="Times New Roman"/>
                <w:sz w:val="24"/>
                <w:szCs w:val="24"/>
                <w:lang w:val="sq-AL"/>
              </w:rPr>
              <w:t>s s</w:t>
            </w:r>
            <w:r>
              <w:rPr>
                <w:rFonts w:ascii="Times New Roman" w:hAnsi="Times New Roman"/>
                <w:sz w:val="24"/>
                <w:szCs w:val="24"/>
                <w:lang w:val="sq-AL"/>
              </w:rPr>
              <w:t>ë</w:t>
            </w:r>
            <w:r w:rsidRPr="00C12D2D">
              <w:rPr>
                <w:rFonts w:ascii="Times New Roman" w:hAnsi="Times New Roman"/>
                <w:sz w:val="24"/>
                <w:szCs w:val="24"/>
                <w:lang w:val="sq-AL"/>
              </w:rPr>
              <w:t xml:space="preserve"> shfaqur p</w:t>
            </w:r>
            <w:r>
              <w:rPr>
                <w:rFonts w:ascii="Times New Roman" w:hAnsi="Times New Roman"/>
                <w:sz w:val="24"/>
                <w:szCs w:val="24"/>
                <w:lang w:val="sq-AL"/>
              </w:rPr>
              <w:t>ë</w:t>
            </w:r>
            <w:r w:rsidRPr="00C12D2D">
              <w:rPr>
                <w:rFonts w:ascii="Times New Roman" w:hAnsi="Times New Roman"/>
                <w:sz w:val="24"/>
                <w:szCs w:val="24"/>
                <w:lang w:val="sq-AL"/>
              </w:rPr>
              <w:t>r respektimin e afatit kohor p</w:t>
            </w:r>
            <w:r>
              <w:rPr>
                <w:rFonts w:ascii="Times New Roman" w:hAnsi="Times New Roman"/>
                <w:sz w:val="24"/>
                <w:szCs w:val="24"/>
                <w:lang w:val="sq-AL"/>
              </w:rPr>
              <w:t>ë</w:t>
            </w:r>
            <w:r w:rsidRPr="00C12D2D">
              <w:rPr>
                <w:rFonts w:ascii="Times New Roman" w:hAnsi="Times New Roman"/>
                <w:sz w:val="24"/>
                <w:szCs w:val="24"/>
                <w:lang w:val="sq-AL"/>
              </w:rPr>
              <w:t>r k</w:t>
            </w:r>
            <w:r>
              <w:rPr>
                <w:rFonts w:ascii="Times New Roman" w:hAnsi="Times New Roman"/>
                <w:sz w:val="24"/>
                <w:szCs w:val="24"/>
                <w:lang w:val="sq-AL"/>
              </w:rPr>
              <w:t>ë</w:t>
            </w:r>
            <w:r w:rsidRPr="00C12D2D">
              <w:rPr>
                <w:rFonts w:ascii="Times New Roman" w:hAnsi="Times New Roman"/>
                <w:sz w:val="24"/>
                <w:szCs w:val="24"/>
                <w:lang w:val="sq-AL"/>
              </w:rPr>
              <w:t>t</w:t>
            </w:r>
            <w:r>
              <w:rPr>
                <w:rFonts w:ascii="Times New Roman" w:hAnsi="Times New Roman"/>
                <w:sz w:val="24"/>
                <w:szCs w:val="24"/>
                <w:lang w:val="sq-AL"/>
              </w:rPr>
              <w:t>ë</w:t>
            </w:r>
            <w:r w:rsidRPr="00C12D2D">
              <w:rPr>
                <w:rFonts w:ascii="Times New Roman" w:hAnsi="Times New Roman"/>
                <w:sz w:val="24"/>
                <w:szCs w:val="24"/>
                <w:lang w:val="sq-AL"/>
              </w:rPr>
              <w:t xml:space="preserve"> verifikim </w:t>
            </w:r>
            <w:r w:rsidRPr="00E95E61">
              <w:rPr>
                <w:rFonts w:ascii="Times New Roman" w:hAnsi="Times New Roman"/>
                <w:sz w:val="24"/>
                <w:szCs w:val="24"/>
                <w:lang w:val="sq-AL"/>
              </w:rPr>
              <w:t>është konsideruar zgjatja e afatit</w:t>
            </w:r>
            <w:r w:rsidRPr="00C12D2D">
              <w:rPr>
                <w:rFonts w:ascii="Times New Roman" w:hAnsi="Times New Roman"/>
                <w:sz w:val="24"/>
                <w:szCs w:val="24"/>
                <w:lang w:val="sq-AL"/>
              </w:rPr>
              <w:t xml:space="preserve"> nga 10 n</w:t>
            </w:r>
            <w:r>
              <w:rPr>
                <w:rFonts w:ascii="Times New Roman" w:hAnsi="Times New Roman"/>
                <w:sz w:val="24"/>
                <w:szCs w:val="24"/>
                <w:lang w:val="sq-AL"/>
              </w:rPr>
              <w:t>ë</w:t>
            </w:r>
            <w:r w:rsidRPr="00C12D2D">
              <w:rPr>
                <w:rFonts w:ascii="Times New Roman" w:hAnsi="Times New Roman"/>
                <w:sz w:val="24"/>
                <w:szCs w:val="24"/>
                <w:lang w:val="sq-AL"/>
              </w:rPr>
              <w:t xml:space="preserve"> 15 dit</w:t>
            </w:r>
            <w:r>
              <w:rPr>
                <w:rFonts w:ascii="Times New Roman" w:hAnsi="Times New Roman"/>
                <w:sz w:val="24"/>
                <w:szCs w:val="24"/>
                <w:lang w:val="sq-AL"/>
              </w:rPr>
              <w:t>ë</w:t>
            </w:r>
            <w:r w:rsidRPr="00C12D2D">
              <w:rPr>
                <w:rFonts w:ascii="Times New Roman" w:hAnsi="Times New Roman"/>
                <w:sz w:val="24"/>
                <w:szCs w:val="24"/>
                <w:lang w:val="sq-AL"/>
              </w:rPr>
              <w:t xml:space="preserve"> pune. </w:t>
            </w:r>
          </w:p>
          <w:p w14:paraId="78F8AA0C" w14:textId="77777777" w:rsidR="00335800" w:rsidRPr="00A22F40" w:rsidRDefault="00335800" w:rsidP="004327DF">
            <w:pPr>
              <w:jc w:val="both"/>
              <w:rPr>
                <w:rFonts w:ascii="Times New Roman" w:hAnsi="Times New Roman" w:cs="Times New Roman"/>
                <w:sz w:val="24"/>
                <w:szCs w:val="24"/>
                <w:lang w:val="sq-AL"/>
              </w:rPr>
            </w:pPr>
          </w:p>
        </w:tc>
      </w:tr>
      <w:tr w:rsidR="00335800" w:rsidRPr="00A22F40" w14:paraId="3A2982A4" w14:textId="77777777" w:rsidTr="00E95E61">
        <w:tc>
          <w:tcPr>
            <w:tcW w:w="2243" w:type="dxa"/>
          </w:tcPr>
          <w:p w14:paraId="0622D7BD" w14:textId="77777777" w:rsidR="00335800" w:rsidRPr="00A22F40" w:rsidRDefault="006369FF" w:rsidP="009331F7">
            <w:pPr>
              <w:pStyle w:val="ListParagraph"/>
              <w:numPr>
                <w:ilvl w:val="0"/>
                <w:numId w:val="15"/>
              </w:numPr>
              <w:tabs>
                <w:tab w:val="left" w:pos="567"/>
              </w:tabs>
              <w:spacing w:after="120" w:line="240" w:lineRule="auto"/>
              <w:contextualSpacing w:val="0"/>
              <w:rPr>
                <w:rFonts w:ascii="Times New Roman" w:hAnsi="Times New Roman"/>
                <w:sz w:val="24"/>
                <w:szCs w:val="24"/>
              </w:rPr>
            </w:pPr>
            <w:r w:rsidRPr="00A22F40">
              <w:rPr>
                <w:rFonts w:ascii="Times New Roman" w:hAnsi="Times New Roman"/>
                <w:sz w:val="24"/>
                <w:szCs w:val="24"/>
              </w:rPr>
              <w:lastRenderedPageBreak/>
              <w:t>P</w:t>
            </w:r>
            <w:r w:rsidR="000E0C7F" w:rsidRPr="00A22F40">
              <w:rPr>
                <w:rFonts w:ascii="Times New Roman" w:hAnsi="Times New Roman"/>
                <w:sz w:val="24"/>
                <w:szCs w:val="24"/>
              </w:rPr>
              <w:t>ë</w:t>
            </w:r>
            <w:r w:rsidRPr="00A22F40">
              <w:rPr>
                <w:rFonts w:ascii="Times New Roman" w:hAnsi="Times New Roman"/>
                <w:sz w:val="24"/>
                <w:szCs w:val="24"/>
              </w:rPr>
              <w:t>rcaktimi i kategorive t</w:t>
            </w:r>
            <w:r w:rsidR="000E0C7F" w:rsidRPr="00A22F40">
              <w:rPr>
                <w:rFonts w:ascii="Times New Roman" w:hAnsi="Times New Roman"/>
                <w:sz w:val="24"/>
                <w:szCs w:val="24"/>
              </w:rPr>
              <w:t>ë</w:t>
            </w:r>
            <w:r w:rsidRPr="00A22F40">
              <w:rPr>
                <w:rFonts w:ascii="Times New Roman" w:hAnsi="Times New Roman"/>
                <w:sz w:val="24"/>
                <w:szCs w:val="24"/>
              </w:rPr>
              <w:t xml:space="preserve"> konsumator</w:t>
            </w:r>
            <w:r w:rsidR="000E0C7F" w:rsidRPr="00A22F40">
              <w:rPr>
                <w:rFonts w:ascii="Times New Roman" w:hAnsi="Times New Roman"/>
                <w:sz w:val="24"/>
                <w:szCs w:val="24"/>
              </w:rPr>
              <w:t>ë</w:t>
            </w:r>
            <w:r w:rsidRPr="00A22F40">
              <w:rPr>
                <w:rFonts w:ascii="Times New Roman" w:hAnsi="Times New Roman"/>
                <w:sz w:val="24"/>
                <w:szCs w:val="24"/>
              </w:rPr>
              <w:t>ve q</w:t>
            </w:r>
            <w:r w:rsidR="000E0C7F" w:rsidRPr="00A22F40">
              <w:rPr>
                <w:rFonts w:ascii="Times New Roman" w:hAnsi="Times New Roman"/>
                <w:sz w:val="24"/>
                <w:szCs w:val="24"/>
              </w:rPr>
              <w:t>ë</w:t>
            </w:r>
            <w:r w:rsidRPr="00A22F40">
              <w:rPr>
                <w:rFonts w:ascii="Times New Roman" w:hAnsi="Times New Roman"/>
                <w:sz w:val="24"/>
                <w:szCs w:val="24"/>
              </w:rPr>
              <w:t xml:space="preserve"> do t</w:t>
            </w:r>
            <w:r w:rsidR="000E0C7F" w:rsidRPr="00A22F40">
              <w:rPr>
                <w:rFonts w:ascii="Times New Roman" w:hAnsi="Times New Roman"/>
                <w:sz w:val="24"/>
                <w:szCs w:val="24"/>
              </w:rPr>
              <w:t>ë</w:t>
            </w:r>
            <w:r w:rsidRPr="00A22F40">
              <w:rPr>
                <w:rFonts w:ascii="Times New Roman" w:hAnsi="Times New Roman"/>
                <w:sz w:val="24"/>
                <w:szCs w:val="24"/>
              </w:rPr>
              <w:t xml:space="preserve"> p</w:t>
            </w:r>
            <w:r w:rsidR="000E0C7F" w:rsidRPr="00A22F40">
              <w:rPr>
                <w:rFonts w:ascii="Times New Roman" w:hAnsi="Times New Roman"/>
                <w:sz w:val="24"/>
                <w:szCs w:val="24"/>
              </w:rPr>
              <w:t>ë</w:t>
            </w:r>
            <w:r w:rsidRPr="00A22F40">
              <w:rPr>
                <w:rFonts w:ascii="Times New Roman" w:hAnsi="Times New Roman"/>
                <w:sz w:val="24"/>
                <w:szCs w:val="24"/>
              </w:rPr>
              <w:t>rfitojn</w:t>
            </w:r>
            <w:r w:rsidR="000E0C7F" w:rsidRPr="00A22F40">
              <w:rPr>
                <w:rFonts w:ascii="Times New Roman" w:hAnsi="Times New Roman"/>
                <w:sz w:val="24"/>
                <w:szCs w:val="24"/>
              </w:rPr>
              <w:t>ë</w:t>
            </w:r>
            <w:r w:rsidRPr="00A22F40">
              <w:rPr>
                <w:rFonts w:ascii="Times New Roman" w:hAnsi="Times New Roman"/>
                <w:sz w:val="24"/>
                <w:szCs w:val="24"/>
              </w:rPr>
              <w:t xml:space="preserve"> nga mund</w:t>
            </w:r>
            <w:r w:rsidR="000E0C7F" w:rsidRPr="00A22F40">
              <w:rPr>
                <w:rFonts w:ascii="Times New Roman" w:hAnsi="Times New Roman"/>
                <w:sz w:val="24"/>
                <w:szCs w:val="24"/>
              </w:rPr>
              <w:t>ë</w:t>
            </w:r>
            <w:r w:rsidRPr="00A22F40">
              <w:rPr>
                <w:rFonts w:ascii="Times New Roman" w:hAnsi="Times New Roman"/>
                <w:sz w:val="24"/>
                <w:szCs w:val="24"/>
              </w:rPr>
              <w:t>sia p</w:t>
            </w:r>
            <w:r w:rsidR="000E0C7F" w:rsidRPr="00A22F40">
              <w:rPr>
                <w:rFonts w:ascii="Times New Roman" w:hAnsi="Times New Roman"/>
                <w:sz w:val="24"/>
                <w:szCs w:val="24"/>
              </w:rPr>
              <w:t>ë</w:t>
            </w:r>
            <w:r w:rsidRPr="00A22F40">
              <w:rPr>
                <w:rFonts w:ascii="Times New Roman" w:hAnsi="Times New Roman"/>
                <w:sz w:val="24"/>
                <w:szCs w:val="24"/>
              </w:rPr>
              <w:t>r t</w:t>
            </w:r>
            <w:r w:rsidR="000E0C7F" w:rsidRPr="00A22F40">
              <w:rPr>
                <w:rFonts w:ascii="Times New Roman" w:hAnsi="Times New Roman"/>
                <w:sz w:val="24"/>
                <w:szCs w:val="24"/>
              </w:rPr>
              <w:t>ë</w:t>
            </w:r>
            <w:r w:rsidRPr="00A22F40">
              <w:rPr>
                <w:rFonts w:ascii="Times New Roman" w:hAnsi="Times New Roman"/>
                <w:sz w:val="24"/>
                <w:szCs w:val="24"/>
              </w:rPr>
              <w:t xml:space="preserve"> hapur llogari pagesash me sh</w:t>
            </w:r>
            <w:r w:rsidR="000E0C7F" w:rsidRPr="00A22F40">
              <w:rPr>
                <w:rFonts w:ascii="Times New Roman" w:hAnsi="Times New Roman"/>
                <w:sz w:val="24"/>
                <w:szCs w:val="24"/>
              </w:rPr>
              <w:t>ë</w:t>
            </w:r>
            <w:r w:rsidRPr="00A22F40">
              <w:rPr>
                <w:rFonts w:ascii="Times New Roman" w:hAnsi="Times New Roman"/>
                <w:sz w:val="24"/>
                <w:szCs w:val="24"/>
              </w:rPr>
              <w:t>rbime bazike dhe tarifat e arsyeshme q</w:t>
            </w:r>
            <w:r w:rsidR="000E0C7F" w:rsidRPr="00A22F40">
              <w:rPr>
                <w:rFonts w:ascii="Times New Roman" w:hAnsi="Times New Roman"/>
                <w:sz w:val="24"/>
                <w:szCs w:val="24"/>
              </w:rPr>
              <w:t>ë</w:t>
            </w:r>
            <w:r w:rsidRPr="00A22F40">
              <w:rPr>
                <w:rFonts w:ascii="Times New Roman" w:hAnsi="Times New Roman"/>
                <w:sz w:val="24"/>
                <w:szCs w:val="24"/>
              </w:rPr>
              <w:t xml:space="preserve"> ajo ofron. </w:t>
            </w:r>
          </w:p>
        </w:tc>
        <w:tc>
          <w:tcPr>
            <w:tcW w:w="2072" w:type="dxa"/>
          </w:tcPr>
          <w:p w14:paraId="01BB2749" w14:textId="77777777" w:rsidR="00324E70" w:rsidRPr="00A22F40" w:rsidRDefault="00324E70" w:rsidP="009331F7">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 xml:space="preserve">Është kërkuar që llogaria e pagesave me shërbime bazike të ofrohet vetëm për kategorinë e konsumatorëve vulnerabël. Është ngritur problematika sesi do të veprohet me klientët ekzistues të cilët përfshihen në kategorinë e konsumatorëve vulnerabël por kanë edhe produkte të tjera në bankë. </w:t>
            </w:r>
          </w:p>
          <w:p w14:paraId="03DEC2C9" w14:textId="77777777" w:rsidR="00335800" w:rsidRPr="00A22F40" w:rsidRDefault="00335800" w:rsidP="009331F7">
            <w:pPr>
              <w:rPr>
                <w:rFonts w:ascii="Times New Roman" w:eastAsia="Arial Unicode MS" w:hAnsi="Times New Roman" w:cs="Times New Roman"/>
                <w:sz w:val="24"/>
                <w:szCs w:val="24"/>
                <w:lang w:val="sq-AL"/>
              </w:rPr>
            </w:pPr>
          </w:p>
        </w:tc>
        <w:tc>
          <w:tcPr>
            <w:tcW w:w="1269" w:type="dxa"/>
          </w:tcPr>
          <w:p w14:paraId="13E35365" w14:textId="77777777" w:rsidR="00335800" w:rsidRDefault="009B3930" w:rsidP="009331F7">
            <w:pPr>
              <w:rPr>
                <w:rFonts w:ascii="Times New Roman" w:hAnsi="Times New Roman" w:cs="Times New Roman"/>
                <w:sz w:val="24"/>
                <w:szCs w:val="24"/>
                <w:lang w:val="sv-SE"/>
              </w:rPr>
            </w:pPr>
            <w:r>
              <w:rPr>
                <w:rFonts w:ascii="Times New Roman" w:hAnsi="Times New Roman" w:cs="Times New Roman"/>
                <w:sz w:val="24"/>
                <w:szCs w:val="24"/>
                <w:lang w:val="sv-SE"/>
              </w:rPr>
              <w:t>Bankat e nivelit të dytë</w:t>
            </w:r>
          </w:p>
        </w:tc>
        <w:tc>
          <w:tcPr>
            <w:tcW w:w="1341" w:type="dxa"/>
          </w:tcPr>
          <w:p w14:paraId="130300E8" w14:textId="54A6A5DD" w:rsidR="00335800" w:rsidRPr="00E95E61" w:rsidRDefault="00D803B1" w:rsidP="009331F7">
            <w:pPr>
              <w:rPr>
                <w:rFonts w:ascii="Times New Roman" w:hAnsi="Times New Roman" w:cs="Times New Roman"/>
                <w:color w:val="00B0F0"/>
                <w:sz w:val="24"/>
                <w:szCs w:val="24"/>
                <w:lang w:val="sv-SE"/>
              </w:rPr>
            </w:pPr>
            <w:r w:rsidRPr="00D803B1">
              <w:rPr>
                <w:rFonts w:ascii="Times New Roman" w:hAnsi="Times New Roman" w:cs="Times New Roman"/>
                <w:sz w:val="24"/>
                <w:szCs w:val="24"/>
                <w:lang w:val="sv-SE"/>
              </w:rPr>
              <w:t xml:space="preserve">Refuzuar </w:t>
            </w:r>
          </w:p>
        </w:tc>
        <w:tc>
          <w:tcPr>
            <w:tcW w:w="2425" w:type="dxa"/>
          </w:tcPr>
          <w:p w14:paraId="754689D9" w14:textId="17F72A6D" w:rsidR="00324E70" w:rsidRPr="00C12D2D" w:rsidRDefault="00324E70" w:rsidP="009331F7">
            <w:pPr>
              <w:ind w:left="-67"/>
              <w:rPr>
                <w:rFonts w:ascii="Times New Roman" w:hAnsi="Times New Roman"/>
                <w:sz w:val="24"/>
                <w:szCs w:val="24"/>
                <w:lang w:val="sq-AL"/>
              </w:rPr>
            </w:pPr>
            <w:r w:rsidRPr="00C12D2D">
              <w:rPr>
                <w:rFonts w:ascii="Times New Roman" w:hAnsi="Times New Roman"/>
                <w:sz w:val="24"/>
                <w:szCs w:val="24"/>
                <w:lang w:val="sq-AL"/>
              </w:rPr>
              <w:t>Produkti i llogarisë bazike, bazuar edhe në standar</w:t>
            </w:r>
            <w:r>
              <w:rPr>
                <w:rFonts w:ascii="Times New Roman" w:hAnsi="Times New Roman"/>
                <w:sz w:val="24"/>
                <w:szCs w:val="24"/>
                <w:lang w:val="sq-AL"/>
              </w:rPr>
              <w:t>d</w:t>
            </w:r>
            <w:r w:rsidRPr="00C12D2D">
              <w:rPr>
                <w:rFonts w:ascii="Times New Roman" w:hAnsi="Times New Roman"/>
                <w:sz w:val="24"/>
                <w:szCs w:val="24"/>
                <w:lang w:val="sq-AL"/>
              </w:rPr>
              <w:t xml:space="preserve">et </w:t>
            </w:r>
            <w:r w:rsidR="00E95E61" w:rsidRPr="00C12D2D">
              <w:rPr>
                <w:rFonts w:ascii="Times New Roman" w:hAnsi="Times New Roman"/>
                <w:sz w:val="24"/>
                <w:szCs w:val="24"/>
                <w:lang w:val="sq-AL"/>
              </w:rPr>
              <w:t>Evropiane</w:t>
            </w:r>
            <w:r w:rsidRPr="00C12D2D">
              <w:rPr>
                <w:rFonts w:ascii="Times New Roman" w:hAnsi="Times New Roman"/>
                <w:sz w:val="24"/>
                <w:szCs w:val="24"/>
                <w:lang w:val="sq-AL"/>
              </w:rPr>
              <w:t>, ofrohet për të gjithë konsumatorët. Por, funksionaliteti i kufizuar i llogarisë bazike dhe atraktiviteti i ulët i saj nisur nga numri i kufizuar i sh</w:t>
            </w:r>
            <w:r>
              <w:rPr>
                <w:rFonts w:ascii="Times New Roman" w:hAnsi="Times New Roman"/>
                <w:sz w:val="24"/>
                <w:szCs w:val="24"/>
                <w:lang w:val="sq-AL"/>
              </w:rPr>
              <w:t>ë</w:t>
            </w:r>
            <w:r w:rsidRPr="00C12D2D">
              <w:rPr>
                <w:rFonts w:ascii="Times New Roman" w:hAnsi="Times New Roman"/>
                <w:sz w:val="24"/>
                <w:szCs w:val="24"/>
                <w:lang w:val="sq-AL"/>
              </w:rPr>
              <w:t>rbimeve q</w:t>
            </w:r>
            <w:r>
              <w:rPr>
                <w:rFonts w:ascii="Times New Roman" w:hAnsi="Times New Roman"/>
                <w:sz w:val="24"/>
                <w:szCs w:val="24"/>
                <w:lang w:val="sq-AL"/>
              </w:rPr>
              <w:t>ë</w:t>
            </w:r>
            <w:r w:rsidRPr="00C12D2D">
              <w:rPr>
                <w:rFonts w:ascii="Times New Roman" w:hAnsi="Times New Roman"/>
                <w:sz w:val="24"/>
                <w:szCs w:val="24"/>
                <w:lang w:val="sq-AL"/>
              </w:rPr>
              <w:t xml:space="preserve"> ajo ofron, e orienton atë drejt një grupi të kufizuar konsumatorësh me të ardhura të ul</w:t>
            </w:r>
            <w:r>
              <w:rPr>
                <w:rFonts w:ascii="Times New Roman" w:hAnsi="Times New Roman"/>
                <w:sz w:val="24"/>
                <w:szCs w:val="24"/>
                <w:lang w:val="sq-AL"/>
              </w:rPr>
              <w:t>ë</w:t>
            </w:r>
            <w:r w:rsidRPr="00C12D2D">
              <w:rPr>
                <w:rFonts w:ascii="Times New Roman" w:hAnsi="Times New Roman"/>
                <w:sz w:val="24"/>
                <w:szCs w:val="24"/>
                <w:lang w:val="sq-AL"/>
              </w:rPr>
              <w:t xml:space="preserve">ta dhe nevoja të </w:t>
            </w:r>
            <w:r>
              <w:rPr>
                <w:rFonts w:ascii="Times New Roman" w:hAnsi="Times New Roman"/>
                <w:sz w:val="24"/>
                <w:szCs w:val="24"/>
                <w:lang w:val="sq-AL"/>
              </w:rPr>
              <w:t>pakta</w:t>
            </w:r>
            <w:r w:rsidRPr="00C12D2D">
              <w:rPr>
                <w:rFonts w:ascii="Times New Roman" w:hAnsi="Times New Roman"/>
                <w:sz w:val="24"/>
                <w:szCs w:val="24"/>
                <w:lang w:val="sq-AL"/>
              </w:rPr>
              <w:t xml:space="preserve"> për transaksione pagesash. </w:t>
            </w:r>
          </w:p>
          <w:p w14:paraId="2E234FEB" w14:textId="77777777" w:rsidR="00324E70" w:rsidRPr="00C12D2D" w:rsidRDefault="00324E70" w:rsidP="009331F7">
            <w:pPr>
              <w:rPr>
                <w:rFonts w:ascii="Times New Roman" w:hAnsi="Times New Roman"/>
                <w:sz w:val="24"/>
                <w:szCs w:val="24"/>
                <w:lang w:val="sq-AL"/>
              </w:rPr>
            </w:pPr>
            <w:r w:rsidRPr="00C12D2D">
              <w:rPr>
                <w:rFonts w:ascii="Times New Roman" w:hAnsi="Times New Roman"/>
                <w:sz w:val="24"/>
                <w:szCs w:val="24"/>
                <w:lang w:val="sq-AL"/>
              </w:rPr>
              <w:t>Në rastet kur klientët kanë edhe produkte të tjera në bankë të tilla si depozita apo investime, atëherë nevoja reale (</w:t>
            </w:r>
            <w:r w:rsidRPr="00DB0ED6">
              <w:rPr>
                <w:rFonts w:ascii="Times New Roman" w:hAnsi="Times New Roman"/>
                <w:i/>
                <w:sz w:val="24"/>
                <w:szCs w:val="24"/>
                <w:lang w:val="sq-AL"/>
              </w:rPr>
              <w:t>geniune interest)</w:t>
            </w:r>
            <w:r w:rsidRPr="00C12D2D">
              <w:rPr>
                <w:rFonts w:ascii="Times New Roman" w:hAnsi="Times New Roman"/>
                <w:sz w:val="24"/>
                <w:szCs w:val="24"/>
                <w:lang w:val="sq-AL"/>
              </w:rPr>
              <w:t xml:space="preserve"> për të patur një llogari bazike nuk përmbushet.</w:t>
            </w:r>
          </w:p>
          <w:p w14:paraId="1BBDB2D4" w14:textId="77777777" w:rsidR="00324E70" w:rsidRPr="00C12D2D" w:rsidRDefault="00324E70" w:rsidP="009331F7">
            <w:pPr>
              <w:rPr>
                <w:rFonts w:ascii="Times New Roman" w:hAnsi="Times New Roman"/>
                <w:sz w:val="24"/>
                <w:szCs w:val="24"/>
                <w:lang w:val="sq-AL"/>
              </w:rPr>
            </w:pPr>
            <w:r w:rsidRPr="00C12D2D">
              <w:rPr>
                <w:rFonts w:ascii="Times New Roman" w:hAnsi="Times New Roman"/>
                <w:sz w:val="24"/>
                <w:szCs w:val="24"/>
                <w:lang w:val="sq-AL"/>
              </w:rPr>
              <w:t xml:space="preserve">Mbetet në vlerësimin e bankës mbi rastet dhe trajtimin e tyre bazuar në historikun që ajo ka me klientin dhe </w:t>
            </w:r>
            <w:r w:rsidRPr="00C12D2D">
              <w:rPr>
                <w:rFonts w:ascii="Times New Roman" w:hAnsi="Times New Roman"/>
                <w:sz w:val="24"/>
                <w:szCs w:val="24"/>
                <w:lang w:val="sq-AL"/>
              </w:rPr>
              <w:lastRenderedPageBreak/>
              <w:t xml:space="preserve">marrëdhëniet e ndërtuara me të.  </w:t>
            </w:r>
          </w:p>
          <w:p w14:paraId="57823B4B" w14:textId="77777777" w:rsidR="00335800" w:rsidRPr="00A22F40" w:rsidRDefault="00335800" w:rsidP="009331F7">
            <w:pPr>
              <w:rPr>
                <w:rFonts w:ascii="Times New Roman" w:hAnsi="Times New Roman" w:cs="Times New Roman"/>
                <w:sz w:val="24"/>
                <w:szCs w:val="24"/>
                <w:lang w:val="sq-AL"/>
              </w:rPr>
            </w:pPr>
          </w:p>
        </w:tc>
      </w:tr>
      <w:tr w:rsidR="00335800" w:rsidRPr="00A22F40" w14:paraId="723B8970" w14:textId="77777777" w:rsidTr="00E95E61">
        <w:tc>
          <w:tcPr>
            <w:tcW w:w="2243" w:type="dxa"/>
          </w:tcPr>
          <w:p w14:paraId="6585919C" w14:textId="77777777" w:rsidR="00335800" w:rsidRPr="00A22F40" w:rsidRDefault="006369FF" w:rsidP="009331F7">
            <w:pPr>
              <w:pStyle w:val="ListParagraph"/>
              <w:numPr>
                <w:ilvl w:val="0"/>
                <w:numId w:val="15"/>
              </w:numPr>
              <w:tabs>
                <w:tab w:val="left" w:pos="567"/>
              </w:tabs>
              <w:spacing w:after="120" w:line="240" w:lineRule="auto"/>
              <w:contextualSpacing w:val="0"/>
              <w:rPr>
                <w:rFonts w:ascii="Times New Roman" w:hAnsi="Times New Roman"/>
                <w:sz w:val="24"/>
                <w:szCs w:val="24"/>
              </w:rPr>
            </w:pPr>
            <w:r w:rsidRPr="00A22F40">
              <w:rPr>
                <w:rFonts w:ascii="Times New Roman" w:hAnsi="Times New Roman"/>
                <w:sz w:val="24"/>
                <w:szCs w:val="24"/>
              </w:rPr>
              <w:lastRenderedPageBreak/>
              <w:t>P</w:t>
            </w:r>
            <w:r w:rsidR="000E0C7F" w:rsidRPr="00A22F40">
              <w:rPr>
                <w:rFonts w:ascii="Times New Roman" w:hAnsi="Times New Roman"/>
                <w:sz w:val="24"/>
                <w:szCs w:val="24"/>
              </w:rPr>
              <w:t>ë</w:t>
            </w:r>
            <w:r w:rsidRPr="00A22F40">
              <w:rPr>
                <w:rFonts w:ascii="Times New Roman" w:hAnsi="Times New Roman"/>
                <w:sz w:val="24"/>
                <w:szCs w:val="24"/>
              </w:rPr>
              <w:t>rcaktimi i tarif</w:t>
            </w:r>
            <w:r w:rsidR="000E0C7F" w:rsidRPr="00A22F40">
              <w:rPr>
                <w:rFonts w:ascii="Times New Roman" w:hAnsi="Times New Roman"/>
                <w:sz w:val="24"/>
                <w:szCs w:val="24"/>
              </w:rPr>
              <w:t>ë</w:t>
            </w:r>
            <w:r w:rsidRPr="00A22F40">
              <w:rPr>
                <w:rFonts w:ascii="Times New Roman" w:hAnsi="Times New Roman"/>
                <w:sz w:val="24"/>
                <w:szCs w:val="24"/>
              </w:rPr>
              <w:t>s s</w:t>
            </w:r>
            <w:r w:rsidR="000E0C7F" w:rsidRPr="00A22F40">
              <w:rPr>
                <w:rFonts w:ascii="Times New Roman" w:hAnsi="Times New Roman"/>
                <w:sz w:val="24"/>
                <w:szCs w:val="24"/>
              </w:rPr>
              <w:t>ë</w:t>
            </w:r>
            <w:r w:rsidRPr="00A22F40">
              <w:rPr>
                <w:rFonts w:ascii="Times New Roman" w:hAnsi="Times New Roman"/>
                <w:sz w:val="24"/>
                <w:szCs w:val="24"/>
              </w:rPr>
              <w:t xml:space="preserve"> arsyeshme p</w:t>
            </w:r>
            <w:r w:rsidR="000E0C7F" w:rsidRPr="00A22F40">
              <w:rPr>
                <w:rFonts w:ascii="Times New Roman" w:hAnsi="Times New Roman"/>
                <w:sz w:val="24"/>
                <w:szCs w:val="24"/>
              </w:rPr>
              <w:t>ë</w:t>
            </w:r>
            <w:r w:rsidRPr="00A22F40">
              <w:rPr>
                <w:rFonts w:ascii="Times New Roman" w:hAnsi="Times New Roman"/>
                <w:sz w:val="24"/>
                <w:szCs w:val="24"/>
              </w:rPr>
              <w:t>r sh</w:t>
            </w:r>
            <w:r w:rsidR="000E0C7F" w:rsidRPr="00A22F40">
              <w:rPr>
                <w:rFonts w:ascii="Times New Roman" w:hAnsi="Times New Roman"/>
                <w:sz w:val="24"/>
                <w:szCs w:val="24"/>
              </w:rPr>
              <w:t>ë</w:t>
            </w:r>
            <w:r w:rsidRPr="00A22F40">
              <w:rPr>
                <w:rFonts w:ascii="Times New Roman" w:hAnsi="Times New Roman"/>
                <w:sz w:val="24"/>
                <w:szCs w:val="24"/>
              </w:rPr>
              <w:t>rbimet e pagesave q</w:t>
            </w:r>
            <w:r w:rsidR="000E0C7F" w:rsidRPr="00A22F40">
              <w:rPr>
                <w:rFonts w:ascii="Times New Roman" w:hAnsi="Times New Roman"/>
                <w:sz w:val="24"/>
                <w:szCs w:val="24"/>
              </w:rPr>
              <w:t>ë</w:t>
            </w:r>
            <w:r w:rsidRPr="00A22F40">
              <w:rPr>
                <w:rFonts w:ascii="Times New Roman" w:hAnsi="Times New Roman"/>
                <w:sz w:val="24"/>
                <w:szCs w:val="24"/>
              </w:rPr>
              <w:t xml:space="preserve"> kryhen n</w:t>
            </w:r>
            <w:r w:rsidR="000E0C7F" w:rsidRPr="00A22F40">
              <w:rPr>
                <w:rFonts w:ascii="Times New Roman" w:hAnsi="Times New Roman"/>
                <w:sz w:val="24"/>
                <w:szCs w:val="24"/>
              </w:rPr>
              <w:t>ë</w:t>
            </w:r>
            <w:r w:rsidRPr="00A22F40">
              <w:rPr>
                <w:rFonts w:ascii="Times New Roman" w:hAnsi="Times New Roman"/>
                <w:sz w:val="24"/>
                <w:szCs w:val="24"/>
              </w:rPr>
              <w:t>p</w:t>
            </w:r>
            <w:r w:rsidR="000E0C7F" w:rsidRPr="00A22F40">
              <w:rPr>
                <w:rFonts w:ascii="Times New Roman" w:hAnsi="Times New Roman"/>
                <w:sz w:val="24"/>
                <w:szCs w:val="24"/>
              </w:rPr>
              <w:t>ë</w:t>
            </w:r>
            <w:r w:rsidRPr="00A22F40">
              <w:rPr>
                <w:rFonts w:ascii="Times New Roman" w:hAnsi="Times New Roman"/>
                <w:sz w:val="24"/>
                <w:szCs w:val="24"/>
              </w:rPr>
              <w:t>rmjet kartave t</w:t>
            </w:r>
            <w:r w:rsidR="000E0C7F" w:rsidRPr="00A22F40">
              <w:rPr>
                <w:rFonts w:ascii="Times New Roman" w:hAnsi="Times New Roman"/>
                <w:sz w:val="24"/>
                <w:szCs w:val="24"/>
              </w:rPr>
              <w:t>ë</w:t>
            </w:r>
            <w:r w:rsidRPr="00A22F40">
              <w:rPr>
                <w:rFonts w:ascii="Times New Roman" w:hAnsi="Times New Roman"/>
                <w:sz w:val="24"/>
                <w:szCs w:val="24"/>
              </w:rPr>
              <w:t xml:space="preserve"> krediti dhe/ose debitit. </w:t>
            </w:r>
          </w:p>
        </w:tc>
        <w:tc>
          <w:tcPr>
            <w:tcW w:w="2072" w:type="dxa"/>
          </w:tcPr>
          <w:p w14:paraId="50300B2D" w14:textId="02FD6411" w:rsidR="00324E70" w:rsidRPr="00A22F40" w:rsidRDefault="00324E70" w:rsidP="009331F7">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Është ngritur problemi i përcaktimit të tarifave të arsyeshme në rastin e pagesave me kartë debiti (karta e kreditit nuk është pjesë e shërbimeve në llogarinë bazike) kur karta përdoret në ATM e një banke tjetër. Apo në rastin e pagesave me kartë kur karta përdoret jashtë territorit të RSH (Visa apo MasterC</w:t>
            </w:r>
            <w:r w:rsidR="008106D8" w:rsidRPr="00A22F40">
              <w:rPr>
                <w:rFonts w:ascii="Times New Roman" w:hAnsi="Times New Roman"/>
                <w:sz w:val="24"/>
                <w:szCs w:val="24"/>
                <w:lang w:val="sq-AL"/>
              </w:rPr>
              <w:t>ard</w:t>
            </w:r>
            <w:r w:rsidRPr="00A22F40">
              <w:rPr>
                <w:rFonts w:ascii="Times New Roman" w:hAnsi="Times New Roman"/>
                <w:sz w:val="24"/>
                <w:szCs w:val="24"/>
                <w:lang w:val="sq-AL"/>
              </w:rPr>
              <w:t xml:space="preserve">), se si do respektohet kushti i tarifës së arsyeshme dhe kufizimi i veprimeve vetëm brenda RSH.  </w:t>
            </w:r>
          </w:p>
          <w:p w14:paraId="5E29A0B3" w14:textId="77777777" w:rsidR="00335800" w:rsidRPr="00A22F40" w:rsidRDefault="00335800" w:rsidP="009331F7">
            <w:pPr>
              <w:rPr>
                <w:rFonts w:ascii="Times New Roman" w:eastAsia="Arial Unicode MS" w:hAnsi="Times New Roman" w:cs="Times New Roman"/>
                <w:sz w:val="24"/>
                <w:szCs w:val="24"/>
                <w:lang w:val="sq-AL"/>
              </w:rPr>
            </w:pPr>
          </w:p>
        </w:tc>
        <w:tc>
          <w:tcPr>
            <w:tcW w:w="1269" w:type="dxa"/>
          </w:tcPr>
          <w:p w14:paraId="7E06EDAE" w14:textId="48060817" w:rsidR="00335800" w:rsidRDefault="00E95E61" w:rsidP="009331F7">
            <w:pPr>
              <w:rPr>
                <w:rFonts w:ascii="Times New Roman" w:hAnsi="Times New Roman" w:cs="Times New Roman"/>
                <w:sz w:val="24"/>
                <w:szCs w:val="24"/>
                <w:lang w:val="sv-SE"/>
              </w:rPr>
            </w:pPr>
            <w:r w:rsidRPr="00C26DA3">
              <w:rPr>
                <w:rFonts w:ascii="Times New Roman" w:hAnsi="Times New Roman" w:cs="Times New Roman"/>
                <w:sz w:val="24"/>
                <w:szCs w:val="24"/>
                <w:lang w:val="sv-SE"/>
              </w:rPr>
              <w:t>Bankat  e nivelit t</w:t>
            </w:r>
            <w:r w:rsidR="00FB20DA" w:rsidRPr="00C26DA3">
              <w:rPr>
                <w:rFonts w:ascii="Times New Roman" w:hAnsi="Times New Roman" w:cs="Times New Roman"/>
                <w:sz w:val="24"/>
                <w:szCs w:val="24"/>
                <w:lang w:val="sv-SE"/>
              </w:rPr>
              <w:t>ë</w:t>
            </w:r>
            <w:r w:rsidRPr="00C26DA3">
              <w:rPr>
                <w:rFonts w:ascii="Times New Roman" w:hAnsi="Times New Roman" w:cs="Times New Roman"/>
                <w:sz w:val="24"/>
                <w:szCs w:val="24"/>
                <w:lang w:val="sv-SE"/>
              </w:rPr>
              <w:t xml:space="preserve"> dyt</w:t>
            </w:r>
            <w:r w:rsidR="00FB20DA" w:rsidRPr="00C26DA3">
              <w:rPr>
                <w:rFonts w:ascii="Times New Roman" w:hAnsi="Times New Roman" w:cs="Times New Roman"/>
                <w:sz w:val="24"/>
                <w:szCs w:val="24"/>
                <w:lang w:val="sv-SE"/>
              </w:rPr>
              <w:t>ë</w:t>
            </w:r>
          </w:p>
        </w:tc>
        <w:tc>
          <w:tcPr>
            <w:tcW w:w="1341" w:type="dxa"/>
          </w:tcPr>
          <w:p w14:paraId="6AD939AC" w14:textId="77777777" w:rsidR="00335800" w:rsidRPr="00E60E4A" w:rsidRDefault="00324E70" w:rsidP="009331F7">
            <w:pPr>
              <w:rPr>
                <w:rFonts w:ascii="Times New Roman" w:hAnsi="Times New Roman" w:cs="Times New Roman"/>
                <w:sz w:val="24"/>
                <w:szCs w:val="24"/>
                <w:lang w:val="sv-SE"/>
              </w:rPr>
            </w:pPr>
            <w:r w:rsidRPr="00C26DA3">
              <w:rPr>
                <w:rFonts w:ascii="Times New Roman" w:hAnsi="Times New Roman" w:cs="Times New Roman"/>
                <w:sz w:val="24"/>
                <w:szCs w:val="24"/>
                <w:lang w:val="sv-SE"/>
              </w:rPr>
              <w:t>I pranuar</w:t>
            </w:r>
          </w:p>
        </w:tc>
        <w:tc>
          <w:tcPr>
            <w:tcW w:w="2425" w:type="dxa"/>
          </w:tcPr>
          <w:p w14:paraId="2A86794A" w14:textId="77777777" w:rsidR="00324E70" w:rsidRPr="00C12D2D" w:rsidRDefault="00324E70" w:rsidP="009331F7">
            <w:pPr>
              <w:ind w:left="-67"/>
              <w:rPr>
                <w:rFonts w:ascii="Times New Roman" w:hAnsi="Times New Roman"/>
                <w:sz w:val="24"/>
                <w:szCs w:val="24"/>
                <w:lang w:val="sq-AL"/>
              </w:rPr>
            </w:pPr>
            <w:r w:rsidRPr="00C12D2D">
              <w:rPr>
                <w:rFonts w:ascii="Times New Roman" w:hAnsi="Times New Roman"/>
                <w:sz w:val="24"/>
                <w:szCs w:val="24"/>
                <w:lang w:val="sq-AL"/>
              </w:rPr>
              <w:t xml:space="preserve">Në lidhje me transaksionet e pagesave përmes një karte, në projekt ligj është shtuar parashikimi ku sqarohet aplikimi i tarifave për transaksionet jashtë territorit të Republikës së Shqipërisë sipas politikës së brendshme </w:t>
            </w:r>
            <w:r>
              <w:rPr>
                <w:rFonts w:ascii="Times New Roman" w:hAnsi="Times New Roman"/>
                <w:sz w:val="24"/>
                <w:szCs w:val="24"/>
                <w:lang w:val="sq-AL"/>
              </w:rPr>
              <w:t xml:space="preserve">të bankës </w:t>
            </w:r>
            <w:r w:rsidRPr="00C12D2D">
              <w:rPr>
                <w:rFonts w:ascii="Times New Roman" w:hAnsi="Times New Roman"/>
                <w:sz w:val="24"/>
                <w:szCs w:val="24"/>
                <w:lang w:val="sq-AL"/>
              </w:rPr>
              <w:t>për përcaktimin e tarifave.</w:t>
            </w:r>
          </w:p>
          <w:p w14:paraId="03E7E4D4" w14:textId="77777777" w:rsidR="00324E70" w:rsidRPr="00C12D2D" w:rsidRDefault="00324E70" w:rsidP="009331F7">
            <w:pPr>
              <w:ind w:left="-67"/>
              <w:rPr>
                <w:rFonts w:ascii="Times New Roman" w:hAnsi="Times New Roman"/>
                <w:sz w:val="24"/>
                <w:szCs w:val="24"/>
                <w:lang w:val="sq-AL"/>
              </w:rPr>
            </w:pPr>
            <w:r w:rsidRPr="00C12D2D">
              <w:rPr>
                <w:rFonts w:ascii="Times New Roman" w:hAnsi="Times New Roman"/>
                <w:sz w:val="24"/>
                <w:szCs w:val="24"/>
                <w:lang w:val="sq-AL"/>
              </w:rPr>
              <w:t xml:space="preserve">Gjithashtu </w:t>
            </w:r>
            <w:r>
              <w:rPr>
                <w:rFonts w:ascii="Times New Roman" w:hAnsi="Times New Roman"/>
                <w:sz w:val="24"/>
                <w:szCs w:val="24"/>
                <w:lang w:val="sq-AL"/>
              </w:rPr>
              <w:t>ë</w:t>
            </w:r>
            <w:r w:rsidRPr="00C12D2D">
              <w:rPr>
                <w:rFonts w:ascii="Times New Roman" w:hAnsi="Times New Roman"/>
                <w:sz w:val="24"/>
                <w:szCs w:val="24"/>
                <w:lang w:val="sq-AL"/>
              </w:rPr>
              <w:t>sht</w:t>
            </w:r>
            <w:r>
              <w:rPr>
                <w:rFonts w:ascii="Times New Roman" w:hAnsi="Times New Roman"/>
                <w:sz w:val="24"/>
                <w:szCs w:val="24"/>
                <w:lang w:val="sq-AL"/>
              </w:rPr>
              <w:t>ë</w:t>
            </w:r>
            <w:r w:rsidRPr="00C12D2D">
              <w:rPr>
                <w:rFonts w:ascii="Times New Roman" w:hAnsi="Times New Roman"/>
                <w:sz w:val="24"/>
                <w:szCs w:val="24"/>
                <w:lang w:val="sq-AL"/>
              </w:rPr>
              <w:t xml:space="preserve"> shtuar edhe parashikimi mbi vendosjen e tarifave për transaksionet që nuk kryhen në bankomatet (ATM) e vetë bankës, ku edhe n</w:t>
            </w:r>
            <w:r>
              <w:rPr>
                <w:rFonts w:ascii="Times New Roman" w:hAnsi="Times New Roman"/>
                <w:sz w:val="24"/>
                <w:szCs w:val="24"/>
                <w:lang w:val="sq-AL"/>
              </w:rPr>
              <w:t>ë</w:t>
            </w:r>
            <w:r w:rsidRPr="00C12D2D">
              <w:rPr>
                <w:rFonts w:ascii="Times New Roman" w:hAnsi="Times New Roman"/>
                <w:sz w:val="24"/>
                <w:szCs w:val="24"/>
                <w:lang w:val="sq-AL"/>
              </w:rPr>
              <w:t xml:space="preserve"> k</w:t>
            </w:r>
            <w:r>
              <w:rPr>
                <w:rFonts w:ascii="Times New Roman" w:hAnsi="Times New Roman"/>
                <w:sz w:val="24"/>
                <w:szCs w:val="24"/>
                <w:lang w:val="sq-AL"/>
              </w:rPr>
              <w:t>ë</w:t>
            </w:r>
            <w:r w:rsidRPr="00C12D2D">
              <w:rPr>
                <w:rFonts w:ascii="Times New Roman" w:hAnsi="Times New Roman"/>
                <w:sz w:val="24"/>
                <w:szCs w:val="24"/>
                <w:lang w:val="sq-AL"/>
              </w:rPr>
              <w:t>t</w:t>
            </w:r>
            <w:r>
              <w:rPr>
                <w:rFonts w:ascii="Times New Roman" w:hAnsi="Times New Roman"/>
                <w:sz w:val="24"/>
                <w:szCs w:val="24"/>
                <w:lang w:val="sq-AL"/>
              </w:rPr>
              <w:t>ë</w:t>
            </w:r>
            <w:r w:rsidRPr="00C12D2D">
              <w:rPr>
                <w:rFonts w:ascii="Times New Roman" w:hAnsi="Times New Roman"/>
                <w:sz w:val="24"/>
                <w:szCs w:val="24"/>
                <w:lang w:val="sq-AL"/>
              </w:rPr>
              <w:t xml:space="preserve"> rast tarifat q</w:t>
            </w:r>
            <w:r>
              <w:rPr>
                <w:rFonts w:ascii="Times New Roman" w:hAnsi="Times New Roman"/>
                <w:sz w:val="24"/>
                <w:szCs w:val="24"/>
                <w:lang w:val="sq-AL"/>
              </w:rPr>
              <w:t>ë</w:t>
            </w:r>
            <w:r w:rsidRPr="00C12D2D">
              <w:rPr>
                <w:rFonts w:ascii="Times New Roman" w:hAnsi="Times New Roman"/>
                <w:sz w:val="24"/>
                <w:szCs w:val="24"/>
                <w:lang w:val="sq-AL"/>
              </w:rPr>
              <w:t xml:space="preserve"> do t</w:t>
            </w:r>
            <w:r>
              <w:rPr>
                <w:rFonts w:ascii="Times New Roman" w:hAnsi="Times New Roman"/>
                <w:sz w:val="24"/>
                <w:szCs w:val="24"/>
                <w:lang w:val="sq-AL"/>
              </w:rPr>
              <w:t>ë</w:t>
            </w:r>
            <w:r w:rsidRPr="00C12D2D">
              <w:rPr>
                <w:rFonts w:ascii="Times New Roman" w:hAnsi="Times New Roman"/>
                <w:sz w:val="24"/>
                <w:szCs w:val="24"/>
                <w:lang w:val="sq-AL"/>
              </w:rPr>
              <w:t xml:space="preserve"> aplikohen do t</w:t>
            </w:r>
            <w:r>
              <w:rPr>
                <w:rFonts w:ascii="Times New Roman" w:hAnsi="Times New Roman"/>
                <w:sz w:val="24"/>
                <w:szCs w:val="24"/>
                <w:lang w:val="sq-AL"/>
              </w:rPr>
              <w:t>ë</w:t>
            </w:r>
            <w:r w:rsidRPr="00C12D2D">
              <w:rPr>
                <w:rFonts w:ascii="Times New Roman" w:hAnsi="Times New Roman"/>
                <w:sz w:val="24"/>
                <w:szCs w:val="24"/>
                <w:lang w:val="sq-AL"/>
              </w:rPr>
              <w:t xml:space="preserve"> jen</w:t>
            </w:r>
            <w:r>
              <w:rPr>
                <w:rFonts w:ascii="Times New Roman" w:hAnsi="Times New Roman"/>
                <w:sz w:val="24"/>
                <w:szCs w:val="24"/>
                <w:lang w:val="sq-AL"/>
              </w:rPr>
              <w:t>ë</w:t>
            </w:r>
            <w:r w:rsidRPr="00C12D2D">
              <w:rPr>
                <w:rFonts w:ascii="Times New Roman" w:hAnsi="Times New Roman"/>
                <w:sz w:val="24"/>
                <w:szCs w:val="24"/>
                <w:lang w:val="sq-AL"/>
              </w:rPr>
              <w:t xml:space="preserve"> sipas politikës s</w:t>
            </w:r>
            <w:r>
              <w:rPr>
                <w:rFonts w:ascii="Times New Roman" w:hAnsi="Times New Roman"/>
                <w:sz w:val="24"/>
                <w:szCs w:val="24"/>
                <w:lang w:val="sq-AL"/>
              </w:rPr>
              <w:t>ë</w:t>
            </w:r>
            <w:r w:rsidRPr="00C12D2D">
              <w:rPr>
                <w:rFonts w:ascii="Times New Roman" w:hAnsi="Times New Roman"/>
                <w:sz w:val="24"/>
                <w:szCs w:val="24"/>
                <w:lang w:val="sq-AL"/>
              </w:rPr>
              <w:t xml:space="preserve"> brendshme t</w:t>
            </w:r>
            <w:r>
              <w:rPr>
                <w:rFonts w:ascii="Times New Roman" w:hAnsi="Times New Roman"/>
                <w:sz w:val="24"/>
                <w:szCs w:val="24"/>
                <w:lang w:val="sq-AL"/>
              </w:rPr>
              <w:t>ë</w:t>
            </w:r>
            <w:r w:rsidRPr="00C12D2D">
              <w:rPr>
                <w:rFonts w:ascii="Times New Roman" w:hAnsi="Times New Roman"/>
                <w:sz w:val="24"/>
                <w:szCs w:val="24"/>
                <w:lang w:val="sq-AL"/>
              </w:rPr>
              <w:t xml:space="preserve"> bank</w:t>
            </w:r>
            <w:r>
              <w:rPr>
                <w:rFonts w:ascii="Times New Roman" w:hAnsi="Times New Roman"/>
                <w:sz w:val="24"/>
                <w:szCs w:val="24"/>
                <w:lang w:val="sq-AL"/>
              </w:rPr>
              <w:t>ë</w:t>
            </w:r>
            <w:r w:rsidRPr="00C12D2D">
              <w:rPr>
                <w:rFonts w:ascii="Times New Roman" w:hAnsi="Times New Roman"/>
                <w:sz w:val="24"/>
                <w:szCs w:val="24"/>
                <w:lang w:val="sq-AL"/>
              </w:rPr>
              <w:t xml:space="preserve">s për përcaktimin e tarifave. </w:t>
            </w:r>
          </w:p>
          <w:p w14:paraId="72423D6E" w14:textId="77777777" w:rsidR="00335800" w:rsidRPr="00A22F40" w:rsidRDefault="00335800" w:rsidP="009331F7">
            <w:pPr>
              <w:rPr>
                <w:rFonts w:ascii="Times New Roman" w:hAnsi="Times New Roman" w:cs="Times New Roman"/>
                <w:sz w:val="24"/>
                <w:szCs w:val="24"/>
                <w:lang w:val="sq-AL"/>
              </w:rPr>
            </w:pPr>
          </w:p>
        </w:tc>
      </w:tr>
      <w:tr w:rsidR="00335800" w:rsidRPr="00A22F40" w14:paraId="72C9A2B3" w14:textId="77777777" w:rsidTr="00E95E61">
        <w:tc>
          <w:tcPr>
            <w:tcW w:w="2243" w:type="dxa"/>
          </w:tcPr>
          <w:p w14:paraId="71147DDA" w14:textId="77777777" w:rsidR="00335800" w:rsidRPr="00A22F40" w:rsidRDefault="000E0C7F" w:rsidP="00DB2113">
            <w:pPr>
              <w:pStyle w:val="ListParagraph"/>
              <w:numPr>
                <w:ilvl w:val="0"/>
                <w:numId w:val="15"/>
              </w:numPr>
              <w:tabs>
                <w:tab w:val="left" w:pos="567"/>
              </w:tabs>
              <w:spacing w:after="120" w:line="240" w:lineRule="auto"/>
              <w:rPr>
                <w:rFonts w:ascii="Times New Roman" w:hAnsi="Times New Roman"/>
                <w:sz w:val="24"/>
                <w:szCs w:val="24"/>
              </w:rPr>
            </w:pPr>
            <w:r w:rsidRPr="00A22F40">
              <w:rPr>
                <w:rFonts w:ascii="Times New Roman" w:hAnsi="Times New Roman"/>
                <w:sz w:val="24"/>
                <w:szCs w:val="24"/>
              </w:rPr>
              <w:t>Përcaktimi i kategorisë së konsumatorëve</w:t>
            </w:r>
            <w:r w:rsidR="006369FF" w:rsidRPr="00A22F40">
              <w:rPr>
                <w:rFonts w:ascii="Times New Roman" w:hAnsi="Times New Roman"/>
                <w:sz w:val="24"/>
                <w:szCs w:val="24"/>
              </w:rPr>
              <w:t xml:space="preserve"> </w:t>
            </w:r>
            <w:r w:rsidRPr="00A22F40">
              <w:rPr>
                <w:rFonts w:ascii="Times New Roman" w:hAnsi="Times New Roman"/>
                <w:sz w:val="24"/>
                <w:szCs w:val="24"/>
              </w:rPr>
              <w:t xml:space="preserve">që i përkasin </w:t>
            </w:r>
            <w:r w:rsidR="006369FF" w:rsidRPr="00A22F40">
              <w:rPr>
                <w:rFonts w:ascii="Times New Roman" w:hAnsi="Times New Roman"/>
                <w:sz w:val="24"/>
                <w:szCs w:val="24"/>
              </w:rPr>
              <w:t>shtres</w:t>
            </w:r>
            <w:r w:rsidRPr="00A22F40">
              <w:rPr>
                <w:rFonts w:ascii="Times New Roman" w:hAnsi="Times New Roman"/>
                <w:sz w:val="24"/>
                <w:szCs w:val="24"/>
              </w:rPr>
              <w:t>ë</w:t>
            </w:r>
            <w:r w:rsidR="006369FF" w:rsidRPr="00A22F40">
              <w:rPr>
                <w:rFonts w:ascii="Times New Roman" w:hAnsi="Times New Roman"/>
                <w:sz w:val="24"/>
                <w:szCs w:val="24"/>
              </w:rPr>
              <w:t>s vulnerab</w:t>
            </w:r>
            <w:r w:rsidRPr="00A22F40">
              <w:rPr>
                <w:rFonts w:ascii="Times New Roman" w:hAnsi="Times New Roman"/>
                <w:sz w:val="24"/>
                <w:szCs w:val="24"/>
              </w:rPr>
              <w:t>ë</w:t>
            </w:r>
            <w:r w:rsidR="006369FF" w:rsidRPr="00A22F40">
              <w:rPr>
                <w:rFonts w:ascii="Times New Roman" w:hAnsi="Times New Roman"/>
                <w:sz w:val="24"/>
                <w:szCs w:val="24"/>
              </w:rPr>
              <w:t>l dhe do t</w:t>
            </w:r>
            <w:r w:rsidRPr="00A22F40">
              <w:rPr>
                <w:rFonts w:ascii="Times New Roman" w:hAnsi="Times New Roman"/>
                <w:sz w:val="24"/>
                <w:szCs w:val="24"/>
              </w:rPr>
              <w:t>ë</w:t>
            </w:r>
            <w:r w:rsidR="006369FF" w:rsidRPr="00A22F40">
              <w:rPr>
                <w:rFonts w:ascii="Times New Roman" w:hAnsi="Times New Roman"/>
                <w:sz w:val="24"/>
                <w:szCs w:val="24"/>
              </w:rPr>
              <w:t xml:space="preserve"> p</w:t>
            </w:r>
            <w:r w:rsidRPr="00A22F40">
              <w:rPr>
                <w:rFonts w:ascii="Times New Roman" w:hAnsi="Times New Roman"/>
                <w:sz w:val="24"/>
                <w:szCs w:val="24"/>
              </w:rPr>
              <w:t>ë</w:t>
            </w:r>
            <w:r w:rsidR="006369FF" w:rsidRPr="00A22F40">
              <w:rPr>
                <w:rFonts w:ascii="Times New Roman" w:hAnsi="Times New Roman"/>
                <w:sz w:val="24"/>
                <w:szCs w:val="24"/>
              </w:rPr>
              <w:t>rfitoj</w:t>
            </w:r>
            <w:r w:rsidRPr="00A22F40">
              <w:rPr>
                <w:rFonts w:ascii="Times New Roman" w:hAnsi="Times New Roman"/>
                <w:sz w:val="24"/>
                <w:szCs w:val="24"/>
              </w:rPr>
              <w:t>ë</w:t>
            </w:r>
            <w:r w:rsidR="006369FF" w:rsidRPr="00A22F40">
              <w:rPr>
                <w:rFonts w:ascii="Times New Roman" w:hAnsi="Times New Roman"/>
                <w:sz w:val="24"/>
                <w:szCs w:val="24"/>
              </w:rPr>
              <w:t xml:space="preserve"> nga ofrimi i sh</w:t>
            </w:r>
            <w:r w:rsidRPr="00A22F40">
              <w:rPr>
                <w:rFonts w:ascii="Times New Roman" w:hAnsi="Times New Roman"/>
                <w:sz w:val="24"/>
                <w:szCs w:val="24"/>
              </w:rPr>
              <w:t>ë</w:t>
            </w:r>
            <w:r w:rsidR="006369FF" w:rsidRPr="00A22F40">
              <w:rPr>
                <w:rFonts w:ascii="Times New Roman" w:hAnsi="Times New Roman"/>
                <w:sz w:val="24"/>
                <w:szCs w:val="24"/>
              </w:rPr>
              <w:t>rbimeve bazike t</w:t>
            </w:r>
            <w:r w:rsidRPr="00A22F40">
              <w:rPr>
                <w:rFonts w:ascii="Times New Roman" w:hAnsi="Times New Roman"/>
                <w:sz w:val="24"/>
                <w:szCs w:val="24"/>
              </w:rPr>
              <w:t>ë</w:t>
            </w:r>
            <w:r w:rsidR="006369FF" w:rsidRPr="00A22F40">
              <w:rPr>
                <w:rFonts w:ascii="Times New Roman" w:hAnsi="Times New Roman"/>
                <w:sz w:val="24"/>
                <w:szCs w:val="24"/>
              </w:rPr>
              <w:t xml:space="preserve"> pagesave  pa kosto/ me tarif</w:t>
            </w:r>
            <w:r w:rsidRPr="00A22F40">
              <w:rPr>
                <w:rFonts w:ascii="Times New Roman" w:hAnsi="Times New Roman"/>
                <w:sz w:val="24"/>
                <w:szCs w:val="24"/>
              </w:rPr>
              <w:t>ë</w:t>
            </w:r>
            <w:r w:rsidR="006369FF" w:rsidRPr="00A22F40">
              <w:rPr>
                <w:rFonts w:ascii="Times New Roman" w:hAnsi="Times New Roman"/>
                <w:sz w:val="24"/>
                <w:szCs w:val="24"/>
              </w:rPr>
              <w:t xml:space="preserve"> zero.</w:t>
            </w:r>
          </w:p>
        </w:tc>
        <w:tc>
          <w:tcPr>
            <w:tcW w:w="2072" w:type="dxa"/>
          </w:tcPr>
          <w:p w14:paraId="3A2D1140" w14:textId="77777777" w:rsidR="00324E70" w:rsidRPr="00A22F40" w:rsidRDefault="00324E70" w:rsidP="00DB2113">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 xml:space="preserve">Është kërkuar që në projektligj të përcaktohet në mënyrë të qartë se cilët janë autoritetet shtetërore që duhet të konfirmojnë se konsumatori është përfitues nga asistenca sociale, apo dokumentin që konsumatorët duhet të paraqesin pranë bankës, mbi bazën e të cilës banka duhet të bëjë klasifikimin e tyre në kategorinë e klientëve që </w:t>
            </w:r>
            <w:r w:rsidRPr="00A22F40">
              <w:rPr>
                <w:rFonts w:ascii="Times New Roman" w:hAnsi="Times New Roman"/>
                <w:sz w:val="24"/>
                <w:szCs w:val="24"/>
                <w:lang w:val="sq-AL"/>
              </w:rPr>
              <w:lastRenderedPageBreak/>
              <w:t xml:space="preserve">përfitojnë shërbime në llogarinë bazike me tarifë zero. </w:t>
            </w:r>
          </w:p>
          <w:p w14:paraId="6DFBA43B" w14:textId="77777777" w:rsidR="00335800" w:rsidRPr="00A22F40" w:rsidRDefault="00335800" w:rsidP="00DB2113">
            <w:pPr>
              <w:rPr>
                <w:rFonts w:ascii="Times New Roman" w:eastAsia="Arial Unicode MS" w:hAnsi="Times New Roman" w:cs="Times New Roman"/>
                <w:sz w:val="24"/>
                <w:szCs w:val="24"/>
                <w:lang w:val="sq-AL"/>
              </w:rPr>
            </w:pPr>
          </w:p>
        </w:tc>
        <w:tc>
          <w:tcPr>
            <w:tcW w:w="1269" w:type="dxa"/>
          </w:tcPr>
          <w:p w14:paraId="69D85F6C" w14:textId="520CFDF5" w:rsidR="00335800" w:rsidRDefault="00E95E61"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lastRenderedPageBreak/>
              <w:t>Bankat  e nivelit t</w:t>
            </w:r>
            <w:r w:rsidR="00FB20DA" w:rsidRPr="00C26DA3">
              <w:rPr>
                <w:rFonts w:ascii="Times New Roman" w:hAnsi="Times New Roman" w:cs="Times New Roman"/>
                <w:sz w:val="24"/>
                <w:szCs w:val="24"/>
                <w:lang w:val="sv-SE"/>
              </w:rPr>
              <w:t>ë</w:t>
            </w:r>
            <w:r w:rsidRPr="00C26DA3">
              <w:rPr>
                <w:rFonts w:ascii="Times New Roman" w:hAnsi="Times New Roman" w:cs="Times New Roman"/>
                <w:sz w:val="24"/>
                <w:szCs w:val="24"/>
                <w:lang w:val="sv-SE"/>
              </w:rPr>
              <w:t xml:space="preserve"> dyt</w:t>
            </w:r>
            <w:r w:rsidR="00FB20DA" w:rsidRPr="00C26DA3">
              <w:rPr>
                <w:rFonts w:ascii="Times New Roman" w:hAnsi="Times New Roman" w:cs="Times New Roman"/>
                <w:sz w:val="24"/>
                <w:szCs w:val="24"/>
                <w:lang w:val="sv-SE"/>
              </w:rPr>
              <w:t>ë</w:t>
            </w:r>
          </w:p>
        </w:tc>
        <w:tc>
          <w:tcPr>
            <w:tcW w:w="1341" w:type="dxa"/>
          </w:tcPr>
          <w:p w14:paraId="2CD192F8" w14:textId="77777777" w:rsidR="00335800" w:rsidRPr="00E60E4A" w:rsidRDefault="00324E70"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t>I pranuar</w:t>
            </w:r>
          </w:p>
        </w:tc>
        <w:tc>
          <w:tcPr>
            <w:tcW w:w="2425" w:type="dxa"/>
          </w:tcPr>
          <w:p w14:paraId="7EFFFAAC" w14:textId="77777777" w:rsidR="00324E70" w:rsidRPr="00C12D2D" w:rsidRDefault="00324E70" w:rsidP="00DB2113">
            <w:pPr>
              <w:ind w:left="-67"/>
              <w:rPr>
                <w:rFonts w:ascii="Times New Roman" w:hAnsi="Times New Roman"/>
                <w:sz w:val="24"/>
                <w:szCs w:val="24"/>
                <w:lang w:val="sq-AL"/>
              </w:rPr>
            </w:pPr>
            <w:r w:rsidRPr="00C12D2D">
              <w:rPr>
                <w:rFonts w:ascii="Times New Roman" w:hAnsi="Times New Roman"/>
                <w:sz w:val="24"/>
                <w:szCs w:val="24"/>
                <w:lang w:val="sq-AL"/>
              </w:rPr>
              <w:t>Projektligji referon legjislacionin p</w:t>
            </w:r>
            <w:r>
              <w:rPr>
                <w:rFonts w:ascii="Times New Roman" w:hAnsi="Times New Roman"/>
                <w:sz w:val="24"/>
                <w:szCs w:val="24"/>
                <w:lang w:val="sq-AL"/>
              </w:rPr>
              <w:t>ë</w:t>
            </w:r>
            <w:r w:rsidRPr="00C12D2D">
              <w:rPr>
                <w:rFonts w:ascii="Times New Roman" w:hAnsi="Times New Roman"/>
                <w:sz w:val="24"/>
                <w:szCs w:val="24"/>
                <w:lang w:val="sq-AL"/>
              </w:rPr>
              <w:t>rkat</w:t>
            </w:r>
            <w:r>
              <w:rPr>
                <w:rFonts w:ascii="Times New Roman" w:hAnsi="Times New Roman"/>
                <w:sz w:val="24"/>
                <w:szCs w:val="24"/>
                <w:lang w:val="sq-AL"/>
              </w:rPr>
              <w:t>ë</w:t>
            </w:r>
            <w:r w:rsidRPr="00C12D2D">
              <w:rPr>
                <w:rFonts w:ascii="Times New Roman" w:hAnsi="Times New Roman"/>
                <w:sz w:val="24"/>
                <w:szCs w:val="24"/>
                <w:lang w:val="sq-AL"/>
              </w:rPr>
              <w:t>s në fuqi p</w:t>
            </w:r>
            <w:r>
              <w:rPr>
                <w:rFonts w:ascii="Times New Roman" w:hAnsi="Times New Roman"/>
                <w:sz w:val="24"/>
                <w:szCs w:val="24"/>
                <w:lang w:val="sq-AL"/>
              </w:rPr>
              <w:t>ë</w:t>
            </w:r>
            <w:r w:rsidRPr="00C12D2D">
              <w:rPr>
                <w:rFonts w:ascii="Times New Roman" w:hAnsi="Times New Roman"/>
                <w:sz w:val="24"/>
                <w:szCs w:val="24"/>
                <w:lang w:val="sq-AL"/>
              </w:rPr>
              <w:t>r çdo kategori vulnerab</w:t>
            </w:r>
            <w:r>
              <w:rPr>
                <w:rFonts w:ascii="Times New Roman" w:hAnsi="Times New Roman"/>
                <w:sz w:val="24"/>
                <w:szCs w:val="24"/>
                <w:lang w:val="sq-AL"/>
              </w:rPr>
              <w:t>ë</w:t>
            </w:r>
            <w:r w:rsidRPr="00C12D2D">
              <w:rPr>
                <w:rFonts w:ascii="Times New Roman" w:hAnsi="Times New Roman"/>
                <w:sz w:val="24"/>
                <w:szCs w:val="24"/>
                <w:lang w:val="sq-AL"/>
              </w:rPr>
              <w:t>l t</w:t>
            </w:r>
            <w:r>
              <w:rPr>
                <w:rFonts w:ascii="Times New Roman" w:hAnsi="Times New Roman"/>
                <w:sz w:val="24"/>
                <w:szCs w:val="24"/>
                <w:lang w:val="sq-AL"/>
              </w:rPr>
              <w:t>ë</w:t>
            </w:r>
            <w:r w:rsidRPr="00C12D2D">
              <w:rPr>
                <w:rFonts w:ascii="Times New Roman" w:hAnsi="Times New Roman"/>
                <w:sz w:val="24"/>
                <w:szCs w:val="24"/>
                <w:lang w:val="sq-AL"/>
              </w:rPr>
              <w:t xml:space="preserve"> parashikuar p</w:t>
            </w:r>
            <w:r>
              <w:rPr>
                <w:rFonts w:ascii="Times New Roman" w:hAnsi="Times New Roman"/>
                <w:sz w:val="24"/>
                <w:szCs w:val="24"/>
                <w:lang w:val="sq-AL"/>
              </w:rPr>
              <w:t>ë</w:t>
            </w:r>
            <w:r w:rsidRPr="00C12D2D">
              <w:rPr>
                <w:rFonts w:ascii="Times New Roman" w:hAnsi="Times New Roman"/>
                <w:sz w:val="24"/>
                <w:szCs w:val="24"/>
                <w:lang w:val="sq-AL"/>
              </w:rPr>
              <w:t>r p</w:t>
            </w:r>
            <w:r>
              <w:rPr>
                <w:rFonts w:ascii="Times New Roman" w:hAnsi="Times New Roman"/>
                <w:sz w:val="24"/>
                <w:szCs w:val="24"/>
                <w:lang w:val="sq-AL"/>
              </w:rPr>
              <w:t>ë</w:t>
            </w:r>
            <w:r w:rsidRPr="00C12D2D">
              <w:rPr>
                <w:rFonts w:ascii="Times New Roman" w:hAnsi="Times New Roman"/>
                <w:sz w:val="24"/>
                <w:szCs w:val="24"/>
                <w:lang w:val="sq-AL"/>
              </w:rPr>
              <w:t>rfitimin e tarif</w:t>
            </w:r>
            <w:r>
              <w:rPr>
                <w:rFonts w:ascii="Times New Roman" w:hAnsi="Times New Roman"/>
                <w:sz w:val="24"/>
                <w:szCs w:val="24"/>
                <w:lang w:val="sq-AL"/>
              </w:rPr>
              <w:t>ë</w:t>
            </w:r>
            <w:r w:rsidRPr="00C12D2D">
              <w:rPr>
                <w:rFonts w:ascii="Times New Roman" w:hAnsi="Times New Roman"/>
                <w:sz w:val="24"/>
                <w:szCs w:val="24"/>
                <w:lang w:val="sq-AL"/>
              </w:rPr>
              <w:t>s zero. Banka duhet t</w:t>
            </w:r>
            <w:r>
              <w:rPr>
                <w:rFonts w:ascii="Times New Roman" w:hAnsi="Times New Roman"/>
                <w:sz w:val="24"/>
                <w:szCs w:val="24"/>
                <w:lang w:val="sq-AL"/>
              </w:rPr>
              <w:t>’</w:t>
            </w:r>
            <w:r w:rsidRPr="00C12D2D">
              <w:rPr>
                <w:rFonts w:ascii="Times New Roman" w:hAnsi="Times New Roman"/>
                <w:sz w:val="24"/>
                <w:szCs w:val="24"/>
                <w:lang w:val="sq-AL"/>
              </w:rPr>
              <w:t>i referohet zbatimit t</w:t>
            </w:r>
            <w:r>
              <w:rPr>
                <w:rFonts w:ascii="Times New Roman" w:hAnsi="Times New Roman"/>
                <w:sz w:val="24"/>
                <w:szCs w:val="24"/>
                <w:lang w:val="sq-AL"/>
              </w:rPr>
              <w:t>ë</w:t>
            </w:r>
            <w:r w:rsidRPr="00C12D2D">
              <w:rPr>
                <w:rFonts w:ascii="Times New Roman" w:hAnsi="Times New Roman"/>
                <w:sz w:val="24"/>
                <w:szCs w:val="24"/>
                <w:lang w:val="sq-AL"/>
              </w:rPr>
              <w:t xml:space="preserve"> këtij legjislacioni dhe akteve respektive në zbatim që përcaktojnë dokumentin/vërtetimin q</w:t>
            </w:r>
            <w:r>
              <w:rPr>
                <w:rFonts w:ascii="Times New Roman" w:hAnsi="Times New Roman"/>
                <w:sz w:val="24"/>
                <w:szCs w:val="24"/>
                <w:lang w:val="sq-AL"/>
              </w:rPr>
              <w:t>ë</w:t>
            </w:r>
            <w:r w:rsidRPr="00C12D2D">
              <w:rPr>
                <w:rFonts w:ascii="Times New Roman" w:hAnsi="Times New Roman"/>
                <w:sz w:val="24"/>
                <w:szCs w:val="24"/>
                <w:lang w:val="sq-AL"/>
              </w:rPr>
              <w:t xml:space="preserve"> i jep t</w:t>
            </w:r>
            <w:r>
              <w:rPr>
                <w:rFonts w:ascii="Times New Roman" w:hAnsi="Times New Roman"/>
                <w:sz w:val="24"/>
                <w:szCs w:val="24"/>
                <w:lang w:val="sq-AL"/>
              </w:rPr>
              <w:t>ë</w:t>
            </w:r>
            <w:r w:rsidRPr="00C12D2D">
              <w:rPr>
                <w:rFonts w:ascii="Times New Roman" w:hAnsi="Times New Roman"/>
                <w:sz w:val="24"/>
                <w:szCs w:val="24"/>
                <w:lang w:val="sq-AL"/>
              </w:rPr>
              <w:t xml:space="preserve"> drejtën konsumatorit/individit për të përfituar asistencën/ndihmën sociale. </w:t>
            </w:r>
          </w:p>
          <w:p w14:paraId="3D409CBC" w14:textId="77777777" w:rsidR="00335800" w:rsidRPr="00A22F40" w:rsidRDefault="00335800" w:rsidP="00DB2113">
            <w:pPr>
              <w:rPr>
                <w:rFonts w:ascii="Times New Roman" w:hAnsi="Times New Roman" w:cs="Times New Roman"/>
                <w:sz w:val="24"/>
                <w:szCs w:val="24"/>
                <w:lang w:val="sq-AL"/>
              </w:rPr>
            </w:pPr>
          </w:p>
        </w:tc>
      </w:tr>
      <w:tr w:rsidR="00335800" w:rsidRPr="00A22F40" w14:paraId="60E7BA49" w14:textId="77777777" w:rsidTr="00E95E61">
        <w:tc>
          <w:tcPr>
            <w:tcW w:w="2243" w:type="dxa"/>
          </w:tcPr>
          <w:p w14:paraId="3C739507" w14:textId="77777777" w:rsidR="00335800" w:rsidRPr="00A22F40" w:rsidRDefault="00324E70" w:rsidP="00DB2113">
            <w:pPr>
              <w:tabs>
                <w:tab w:val="left" w:pos="567"/>
              </w:tabs>
              <w:spacing w:after="120"/>
              <w:rPr>
                <w:rFonts w:ascii="Times New Roman" w:hAnsi="Times New Roman" w:cs="Times New Roman"/>
                <w:color w:val="00B0F0"/>
                <w:sz w:val="24"/>
                <w:szCs w:val="24"/>
                <w:lang w:val="sq-AL"/>
              </w:rPr>
            </w:pPr>
            <w:r w:rsidRPr="00A22F40">
              <w:rPr>
                <w:rFonts w:ascii="Times New Roman" w:hAnsi="Times New Roman"/>
                <w:sz w:val="24"/>
                <w:szCs w:val="24"/>
                <w:lang w:val="sq-AL"/>
              </w:rPr>
              <w:lastRenderedPageBreak/>
              <w:t>6-</w:t>
            </w:r>
            <w:r w:rsidR="00BF45D0" w:rsidRPr="00A22F40">
              <w:rPr>
                <w:rFonts w:ascii="Times New Roman" w:hAnsi="Times New Roman" w:cs="Times New Roman"/>
                <w:sz w:val="24"/>
                <w:szCs w:val="24"/>
                <w:lang w:val="sq-AL"/>
              </w:rPr>
              <w:t xml:space="preserve"> </w:t>
            </w:r>
            <w:r w:rsidR="000E0C7F" w:rsidRPr="00A22F40">
              <w:rPr>
                <w:rFonts w:ascii="Times New Roman" w:hAnsi="Times New Roman" w:cs="Times New Roman"/>
                <w:sz w:val="24"/>
                <w:szCs w:val="24"/>
                <w:lang w:val="sq-AL"/>
              </w:rPr>
              <w:t xml:space="preserve">Kërkesat për kontratën e llogarisë së pagesave me shërbime bazike </w:t>
            </w:r>
          </w:p>
        </w:tc>
        <w:tc>
          <w:tcPr>
            <w:tcW w:w="2072" w:type="dxa"/>
          </w:tcPr>
          <w:p w14:paraId="39290BE1" w14:textId="73769476" w:rsidR="00324E70" w:rsidRPr="00A22F40" w:rsidRDefault="00324E70" w:rsidP="00DB2113">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 xml:space="preserve">Është sugjeruar që kërkesat për kontratën </w:t>
            </w:r>
            <w:r w:rsidR="00E95E61" w:rsidRPr="00A22F40">
              <w:rPr>
                <w:rFonts w:ascii="Times New Roman" w:hAnsi="Times New Roman"/>
                <w:i/>
                <w:sz w:val="24"/>
                <w:szCs w:val="24"/>
                <w:lang w:val="sq-AL"/>
              </w:rPr>
              <w:t>“tip”</w:t>
            </w:r>
            <w:r w:rsidRPr="00A22F40">
              <w:rPr>
                <w:rFonts w:ascii="Times New Roman" w:hAnsi="Times New Roman"/>
                <w:sz w:val="24"/>
                <w:szCs w:val="24"/>
                <w:lang w:val="sq-AL"/>
              </w:rPr>
              <w:t xml:space="preserve"> të mos jenë të përgjithshme duke i bërë referencë vetëm legjislacionit për shërbimet e pagesave, por sugjerojmë që të përmenden kërkesat kryesore që duhet të përmbushi një kontratë </w:t>
            </w:r>
            <w:r w:rsidR="008106D8" w:rsidRPr="00A22F40">
              <w:rPr>
                <w:rFonts w:ascii="Times New Roman" w:hAnsi="Times New Roman"/>
                <w:i/>
                <w:sz w:val="24"/>
                <w:szCs w:val="24"/>
                <w:lang w:val="sq-AL"/>
              </w:rPr>
              <w:t>“tip”</w:t>
            </w:r>
            <w:r w:rsidRPr="00A22F40">
              <w:rPr>
                <w:rFonts w:ascii="Times New Roman" w:hAnsi="Times New Roman"/>
                <w:sz w:val="24"/>
                <w:szCs w:val="24"/>
                <w:lang w:val="sq-AL"/>
              </w:rPr>
              <w:t>.</w:t>
            </w:r>
          </w:p>
          <w:p w14:paraId="76B98483" w14:textId="77777777" w:rsidR="00335800" w:rsidRPr="00A22F40" w:rsidRDefault="00335800" w:rsidP="00DB2113">
            <w:pPr>
              <w:rPr>
                <w:rFonts w:ascii="Times New Roman" w:eastAsia="Arial Unicode MS" w:hAnsi="Times New Roman" w:cs="Times New Roman"/>
                <w:sz w:val="24"/>
                <w:szCs w:val="24"/>
                <w:lang w:val="sq-AL"/>
              </w:rPr>
            </w:pPr>
          </w:p>
        </w:tc>
        <w:tc>
          <w:tcPr>
            <w:tcW w:w="1269" w:type="dxa"/>
          </w:tcPr>
          <w:p w14:paraId="461D8442" w14:textId="395F786F" w:rsidR="00335800" w:rsidRDefault="00E95E61"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t>Bankat  e nivelit t</w:t>
            </w:r>
            <w:r w:rsidR="00FB20DA" w:rsidRPr="00C26DA3">
              <w:rPr>
                <w:rFonts w:ascii="Times New Roman" w:hAnsi="Times New Roman" w:cs="Times New Roman"/>
                <w:sz w:val="24"/>
                <w:szCs w:val="24"/>
                <w:lang w:val="sv-SE"/>
              </w:rPr>
              <w:t>ë</w:t>
            </w:r>
            <w:r w:rsidRPr="00C26DA3">
              <w:rPr>
                <w:rFonts w:ascii="Times New Roman" w:hAnsi="Times New Roman" w:cs="Times New Roman"/>
                <w:sz w:val="24"/>
                <w:szCs w:val="24"/>
                <w:lang w:val="sv-SE"/>
              </w:rPr>
              <w:t xml:space="preserve"> dyt</w:t>
            </w:r>
            <w:r w:rsidR="00FB20DA" w:rsidRPr="00C26DA3">
              <w:rPr>
                <w:rFonts w:ascii="Times New Roman" w:hAnsi="Times New Roman" w:cs="Times New Roman"/>
                <w:sz w:val="24"/>
                <w:szCs w:val="24"/>
                <w:lang w:val="sv-SE"/>
              </w:rPr>
              <w:t>ë</w:t>
            </w:r>
          </w:p>
        </w:tc>
        <w:tc>
          <w:tcPr>
            <w:tcW w:w="1341" w:type="dxa"/>
          </w:tcPr>
          <w:p w14:paraId="5EC9A628" w14:textId="77777777" w:rsidR="00DB2113" w:rsidRDefault="00DB2113" w:rsidP="00DB2113">
            <w:pPr>
              <w:rPr>
                <w:rFonts w:ascii="Times New Roman" w:hAnsi="Times New Roman" w:cs="Times New Roman"/>
                <w:sz w:val="24"/>
                <w:szCs w:val="24"/>
                <w:lang w:val="sv-SE"/>
              </w:rPr>
            </w:pPr>
          </w:p>
          <w:p w14:paraId="7567BCC1" w14:textId="772B3860" w:rsidR="00DB2113" w:rsidRPr="00E60E4A" w:rsidRDefault="00DB2113" w:rsidP="00DB2113">
            <w:pPr>
              <w:rPr>
                <w:rFonts w:ascii="Times New Roman" w:hAnsi="Times New Roman" w:cs="Times New Roman"/>
                <w:sz w:val="24"/>
                <w:szCs w:val="24"/>
                <w:lang w:val="sv-SE"/>
              </w:rPr>
            </w:pPr>
            <w:r w:rsidRPr="00D803B1">
              <w:rPr>
                <w:rFonts w:ascii="Times New Roman" w:hAnsi="Times New Roman" w:cs="Times New Roman"/>
                <w:sz w:val="24"/>
                <w:szCs w:val="24"/>
                <w:lang w:val="sv-SE"/>
              </w:rPr>
              <w:t xml:space="preserve">Refuzuar </w:t>
            </w:r>
          </w:p>
        </w:tc>
        <w:tc>
          <w:tcPr>
            <w:tcW w:w="2425" w:type="dxa"/>
          </w:tcPr>
          <w:p w14:paraId="27C11DB8" w14:textId="5ADCA631" w:rsidR="00324E70" w:rsidRPr="00C12D2D" w:rsidRDefault="00324E70" w:rsidP="00DB2113">
            <w:pPr>
              <w:ind w:left="-67"/>
              <w:rPr>
                <w:rFonts w:ascii="Times New Roman" w:hAnsi="Times New Roman"/>
                <w:sz w:val="24"/>
                <w:szCs w:val="24"/>
                <w:lang w:val="sq-AL"/>
              </w:rPr>
            </w:pPr>
            <w:r>
              <w:rPr>
                <w:rFonts w:ascii="Times New Roman" w:hAnsi="Times New Roman"/>
                <w:sz w:val="24"/>
                <w:szCs w:val="24"/>
                <w:lang w:val="sq-AL"/>
              </w:rPr>
              <w:t xml:space="preserve">Është sqaruar se </w:t>
            </w:r>
            <w:r w:rsidRPr="00C12D2D">
              <w:rPr>
                <w:rFonts w:ascii="Times New Roman" w:hAnsi="Times New Roman"/>
                <w:sz w:val="24"/>
                <w:szCs w:val="24"/>
                <w:lang w:val="sq-AL"/>
              </w:rPr>
              <w:t>Banka, në zbatim të dispozitave të këtij ligji, harton rregullore dhe procedura të brendshme që rregullojnë hapjen e llogarisë si edhe dokumentacionin përkatës q</w:t>
            </w:r>
            <w:r>
              <w:rPr>
                <w:rFonts w:ascii="Times New Roman" w:hAnsi="Times New Roman"/>
                <w:sz w:val="24"/>
                <w:szCs w:val="24"/>
                <w:lang w:val="sq-AL"/>
              </w:rPr>
              <w:t>ë</w:t>
            </w:r>
            <w:r w:rsidRPr="00C12D2D">
              <w:rPr>
                <w:rFonts w:ascii="Times New Roman" w:hAnsi="Times New Roman"/>
                <w:sz w:val="24"/>
                <w:szCs w:val="24"/>
                <w:lang w:val="sq-AL"/>
              </w:rPr>
              <w:t xml:space="preserve"> vlerësohet i nevojshëm për hapjen e llogarisë. Kontrata edhe për këtë lloj marrëdhënie (kontratat e llogarisë se pagesave me shërbime bazike) rregullohet nga Kodi Civil dhe nuk mund të parashikohet në këtë ligj një tip i saj pasi prevalon rregullimi që bëhet nga Kodi, ndërsa, a</w:t>
            </w:r>
            <w:r w:rsidR="008106D8">
              <w:rPr>
                <w:rFonts w:ascii="Times New Roman" w:hAnsi="Times New Roman"/>
                <w:sz w:val="24"/>
                <w:szCs w:val="24"/>
                <w:lang w:val="sq-AL"/>
              </w:rPr>
              <w:t>jo është subjekt i plotësimit t</w:t>
            </w:r>
            <w:r w:rsidR="00901EC0">
              <w:rPr>
                <w:rFonts w:ascii="Times New Roman" w:hAnsi="Times New Roman"/>
                <w:sz w:val="24"/>
                <w:szCs w:val="24"/>
                <w:lang w:val="sq-AL"/>
              </w:rPr>
              <w:t>ë</w:t>
            </w:r>
            <w:r w:rsidR="008106D8">
              <w:rPr>
                <w:rFonts w:ascii="Times New Roman" w:hAnsi="Times New Roman"/>
                <w:sz w:val="24"/>
                <w:szCs w:val="24"/>
                <w:lang w:val="sq-AL"/>
              </w:rPr>
              <w:t xml:space="preserve"> kërkesave t</w:t>
            </w:r>
            <w:r w:rsidR="00901EC0">
              <w:rPr>
                <w:rFonts w:ascii="Times New Roman" w:hAnsi="Times New Roman"/>
                <w:sz w:val="24"/>
                <w:szCs w:val="24"/>
                <w:lang w:val="sq-AL"/>
              </w:rPr>
              <w:t>ë</w:t>
            </w:r>
            <w:r w:rsidRPr="00C12D2D">
              <w:rPr>
                <w:rFonts w:ascii="Times New Roman" w:hAnsi="Times New Roman"/>
                <w:sz w:val="24"/>
                <w:szCs w:val="24"/>
                <w:lang w:val="sq-AL"/>
              </w:rPr>
              <w:t xml:space="preserve"> ligjit nr.55/2020. </w:t>
            </w:r>
          </w:p>
          <w:p w14:paraId="369DDB02" w14:textId="77777777" w:rsidR="00335800" w:rsidRPr="00A22F40" w:rsidRDefault="00335800" w:rsidP="00DB2113">
            <w:pPr>
              <w:rPr>
                <w:rFonts w:ascii="Times New Roman" w:hAnsi="Times New Roman" w:cs="Times New Roman"/>
                <w:sz w:val="24"/>
                <w:szCs w:val="24"/>
                <w:lang w:val="sq-AL"/>
              </w:rPr>
            </w:pPr>
          </w:p>
        </w:tc>
      </w:tr>
      <w:tr w:rsidR="00335800" w:rsidRPr="00A22F40" w14:paraId="534DADC1" w14:textId="77777777" w:rsidTr="00E95E61">
        <w:tc>
          <w:tcPr>
            <w:tcW w:w="2243" w:type="dxa"/>
          </w:tcPr>
          <w:p w14:paraId="34E26533" w14:textId="0AC3CEC7" w:rsidR="00335800" w:rsidRPr="00A22F40" w:rsidRDefault="00324E70" w:rsidP="00DB2113">
            <w:pPr>
              <w:tabs>
                <w:tab w:val="left" w:pos="567"/>
              </w:tabs>
              <w:spacing w:after="120"/>
              <w:rPr>
                <w:rFonts w:ascii="Times New Roman" w:hAnsi="Times New Roman" w:cs="Times New Roman"/>
                <w:sz w:val="24"/>
                <w:szCs w:val="24"/>
                <w:lang w:val="sq-AL"/>
              </w:rPr>
            </w:pPr>
            <w:r w:rsidRPr="00A22F40">
              <w:rPr>
                <w:rFonts w:ascii="Times New Roman" w:hAnsi="Times New Roman"/>
                <w:sz w:val="24"/>
                <w:szCs w:val="24"/>
                <w:lang w:val="sq-AL"/>
              </w:rPr>
              <w:t>7-</w:t>
            </w:r>
            <w:r w:rsidR="00BF45D0" w:rsidRPr="00A22F40">
              <w:rPr>
                <w:rFonts w:ascii="Times New Roman" w:hAnsi="Times New Roman" w:cs="Times New Roman"/>
                <w:sz w:val="24"/>
                <w:szCs w:val="24"/>
                <w:lang w:val="sq-AL"/>
              </w:rPr>
              <w:t xml:space="preserve"> </w:t>
            </w:r>
            <w:r w:rsidR="006369FF" w:rsidRPr="00A22F40">
              <w:rPr>
                <w:rFonts w:ascii="Times New Roman" w:hAnsi="Times New Roman" w:cs="Times New Roman"/>
                <w:sz w:val="24"/>
                <w:szCs w:val="24"/>
                <w:lang w:val="sq-AL"/>
              </w:rPr>
              <w:t>P</w:t>
            </w:r>
            <w:r w:rsidR="000E0C7F" w:rsidRPr="00A22F40">
              <w:rPr>
                <w:rFonts w:ascii="Times New Roman" w:hAnsi="Times New Roman" w:cs="Times New Roman"/>
                <w:sz w:val="24"/>
                <w:szCs w:val="24"/>
                <w:lang w:val="sq-AL"/>
              </w:rPr>
              <w:t>ë</w:t>
            </w:r>
            <w:r w:rsidR="006369FF" w:rsidRPr="00A22F40">
              <w:rPr>
                <w:rFonts w:ascii="Times New Roman" w:hAnsi="Times New Roman" w:cs="Times New Roman"/>
                <w:sz w:val="24"/>
                <w:szCs w:val="24"/>
                <w:lang w:val="sq-AL"/>
              </w:rPr>
              <w:t>rcaktimi i form</w:t>
            </w:r>
            <w:r w:rsidR="000E0C7F" w:rsidRPr="00A22F40">
              <w:rPr>
                <w:rFonts w:ascii="Times New Roman" w:hAnsi="Times New Roman" w:cs="Times New Roman"/>
                <w:sz w:val="24"/>
                <w:szCs w:val="24"/>
                <w:lang w:val="sq-AL"/>
              </w:rPr>
              <w:t>ë</w:t>
            </w:r>
            <w:r w:rsidR="006369FF" w:rsidRPr="00A22F40">
              <w:rPr>
                <w:rFonts w:ascii="Times New Roman" w:hAnsi="Times New Roman" w:cs="Times New Roman"/>
                <w:sz w:val="24"/>
                <w:szCs w:val="24"/>
                <w:lang w:val="sq-AL"/>
              </w:rPr>
              <w:t>s</w:t>
            </w:r>
            <w:r w:rsidR="008106D8" w:rsidRPr="00A22F40">
              <w:rPr>
                <w:rFonts w:ascii="Times New Roman" w:hAnsi="Times New Roman" w:cs="Times New Roman"/>
                <w:sz w:val="24"/>
                <w:szCs w:val="24"/>
                <w:lang w:val="sq-AL"/>
              </w:rPr>
              <w:t xml:space="preserve"> s</w:t>
            </w:r>
            <w:r w:rsidR="00901EC0" w:rsidRPr="00A22F40">
              <w:rPr>
                <w:rFonts w:ascii="Times New Roman" w:hAnsi="Times New Roman" w:cs="Times New Roman"/>
                <w:sz w:val="24"/>
                <w:szCs w:val="24"/>
                <w:lang w:val="sq-AL"/>
              </w:rPr>
              <w:t>ë</w:t>
            </w:r>
            <w:r w:rsidR="008106D8" w:rsidRPr="00A22F40">
              <w:rPr>
                <w:rFonts w:ascii="Times New Roman" w:hAnsi="Times New Roman" w:cs="Times New Roman"/>
                <w:sz w:val="24"/>
                <w:szCs w:val="24"/>
                <w:lang w:val="sq-AL"/>
              </w:rPr>
              <w:t xml:space="preserve"> komunikimit me klientin</w:t>
            </w:r>
            <w:r w:rsidR="006369FF" w:rsidRPr="00A22F40">
              <w:rPr>
                <w:rFonts w:ascii="Times New Roman" w:hAnsi="Times New Roman" w:cs="Times New Roman"/>
                <w:sz w:val="24"/>
                <w:szCs w:val="24"/>
                <w:lang w:val="sq-AL"/>
              </w:rPr>
              <w:t xml:space="preserve"> referuar </w:t>
            </w:r>
            <w:r w:rsidR="00AC128A" w:rsidRPr="00A22F40">
              <w:rPr>
                <w:rFonts w:ascii="Times New Roman" w:hAnsi="Times New Roman" w:cs="Times New Roman"/>
                <w:sz w:val="24"/>
                <w:szCs w:val="24"/>
                <w:lang w:val="sq-AL"/>
              </w:rPr>
              <w:t>m</w:t>
            </w:r>
            <w:r w:rsidR="000E0C7F" w:rsidRPr="00A22F40">
              <w:rPr>
                <w:rFonts w:ascii="Times New Roman" w:hAnsi="Times New Roman" w:cs="Times New Roman"/>
                <w:sz w:val="24"/>
                <w:szCs w:val="24"/>
                <w:lang w:val="sq-AL"/>
              </w:rPr>
              <w:t>ë</w:t>
            </w:r>
            <w:r w:rsidR="006369FF" w:rsidRPr="00A22F40">
              <w:rPr>
                <w:rFonts w:ascii="Times New Roman" w:hAnsi="Times New Roman" w:cs="Times New Roman"/>
                <w:sz w:val="24"/>
                <w:szCs w:val="24"/>
                <w:lang w:val="sq-AL"/>
              </w:rPr>
              <w:t>nyrave t</w:t>
            </w:r>
            <w:r w:rsidR="000E0C7F" w:rsidRPr="00A22F40">
              <w:rPr>
                <w:rFonts w:ascii="Times New Roman" w:hAnsi="Times New Roman" w:cs="Times New Roman"/>
                <w:sz w:val="24"/>
                <w:szCs w:val="24"/>
                <w:lang w:val="sq-AL"/>
              </w:rPr>
              <w:t>ë</w:t>
            </w:r>
            <w:r w:rsidR="006369FF" w:rsidRPr="00A22F40">
              <w:rPr>
                <w:rFonts w:ascii="Times New Roman" w:hAnsi="Times New Roman" w:cs="Times New Roman"/>
                <w:sz w:val="24"/>
                <w:szCs w:val="24"/>
                <w:lang w:val="sq-AL"/>
              </w:rPr>
              <w:t xml:space="preserve"> </w:t>
            </w:r>
            <w:r w:rsidR="00AC128A" w:rsidRPr="00A22F40">
              <w:rPr>
                <w:rFonts w:ascii="Times New Roman" w:hAnsi="Times New Roman" w:cs="Times New Roman"/>
                <w:sz w:val="24"/>
                <w:szCs w:val="24"/>
                <w:lang w:val="sq-AL"/>
              </w:rPr>
              <w:t>ndryshme t</w:t>
            </w:r>
            <w:r w:rsidR="000E0C7F" w:rsidRPr="00A22F40">
              <w:rPr>
                <w:rFonts w:ascii="Times New Roman" w:hAnsi="Times New Roman" w:cs="Times New Roman"/>
                <w:sz w:val="24"/>
                <w:szCs w:val="24"/>
                <w:lang w:val="sq-AL"/>
              </w:rPr>
              <w:t>ë</w:t>
            </w:r>
            <w:r w:rsidR="00AC128A" w:rsidRPr="00A22F40">
              <w:rPr>
                <w:rFonts w:ascii="Times New Roman" w:hAnsi="Times New Roman" w:cs="Times New Roman"/>
                <w:sz w:val="24"/>
                <w:szCs w:val="24"/>
                <w:lang w:val="sq-AL"/>
              </w:rPr>
              <w:t xml:space="preserve"> </w:t>
            </w:r>
            <w:r w:rsidR="006369FF" w:rsidRPr="00A22F40">
              <w:rPr>
                <w:rFonts w:ascii="Times New Roman" w:hAnsi="Times New Roman" w:cs="Times New Roman"/>
                <w:sz w:val="24"/>
                <w:szCs w:val="24"/>
                <w:lang w:val="sq-AL"/>
              </w:rPr>
              <w:t>komunikimit</w:t>
            </w:r>
            <w:r w:rsidR="00AC128A" w:rsidRPr="00A22F40">
              <w:rPr>
                <w:rFonts w:ascii="Times New Roman" w:hAnsi="Times New Roman" w:cs="Times New Roman"/>
                <w:sz w:val="24"/>
                <w:szCs w:val="24"/>
                <w:lang w:val="sq-AL"/>
              </w:rPr>
              <w:t xml:space="preserve">. </w:t>
            </w:r>
          </w:p>
        </w:tc>
        <w:tc>
          <w:tcPr>
            <w:tcW w:w="2072" w:type="dxa"/>
          </w:tcPr>
          <w:p w14:paraId="6C5137D5" w14:textId="77777777" w:rsidR="00324E70" w:rsidRPr="00A22F40" w:rsidRDefault="00324E70" w:rsidP="00DB2113">
            <w:pPr>
              <w:tabs>
                <w:tab w:val="left" w:pos="567"/>
              </w:tabs>
              <w:spacing w:after="120"/>
              <w:rPr>
                <w:rFonts w:ascii="Times New Roman" w:hAnsi="Times New Roman"/>
                <w:sz w:val="24"/>
                <w:szCs w:val="24"/>
                <w:lang w:val="sq-AL"/>
              </w:rPr>
            </w:pPr>
            <w:r w:rsidRPr="00A22F40">
              <w:rPr>
                <w:rFonts w:ascii="Times New Roman" w:hAnsi="Times New Roman"/>
                <w:sz w:val="24"/>
                <w:szCs w:val="24"/>
                <w:lang w:val="sq-AL"/>
              </w:rPr>
              <w:t>Është kërkuar qartësimi që komunikimi me klientin (mënyra e njoftimit me shkrim) të jetë në përputhje edhe me rregulloret e tjera ku konsiderohet njoftimi me mjete të qëndrueshme komunikimi.</w:t>
            </w:r>
          </w:p>
          <w:p w14:paraId="02D7CC36" w14:textId="77777777" w:rsidR="00335800" w:rsidRPr="00A22F40" w:rsidRDefault="00335800" w:rsidP="00DB2113">
            <w:pPr>
              <w:rPr>
                <w:rFonts w:ascii="Times New Roman" w:eastAsia="Arial Unicode MS" w:hAnsi="Times New Roman" w:cs="Times New Roman"/>
                <w:sz w:val="24"/>
                <w:szCs w:val="24"/>
                <w:lang w:val="sq-AL"/>
              </w:rPr>
            </w:pPr>
          </w:p>
        </w:tc>
        <w:tc>
          <w:tcPr>
            <w:tcW w:w="1269" w:type="dxa"/>
          </w:tcPr>
          <w:p w14:paraId="2BC1E166" w14:textId="5E7B8B61" w:rsidR="00335800" w:rsidRDefault="008106D8"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t>Bankat  e nivelit të dytë</w:t>
            </w:r>
          </w:p>
        </w:tc>
        <w:tc>
          <w:tcPr>
            <w:tcW w:w="1341" w:type="dxa"/>
          </w:tcPr>
          <w:p w14:paraId="47F0DF39" w14:textId="77777777" w:rsidR="00335800" w:rsidRPr="00E60E4A" w:rsidRDefault="00324E70"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t>I pranuar</w:t>
            </w:r>
          </w:p>
        </w:tc>
        <w:tc>
          <w:tcPr>
            <w:tcW w:w="2425" w:type="dxa"/>
          </w:tcPr>
          <w:p w14:paraId="7EB05E07" w14:textId="77777777" w:rsidR="00324E70" w:rsidRPr="00C12D2D" w:rsidRDefault="00324E70" w:rsidP="00DB2113">
            <w:pPr>
              <w:rPr>
                <w:rFonts w:ascii="Times New Roman" w:hAnsi="Times New Roman"/>
                <w:sz w:val="24"/>
                <w:szCs w:val="24"/>
                <w:lang w:val="sq-AL"/>
              </w:rPr>
            </w:pPr>
            <w:r w:rsidRPr="008106D8">
              <w:rPr>
                <w:rFonts w:ascii="Times New Roman" w:hAnsi="Times New Roman"/>
                <w:sz w:val="24"/>
                <w:szCs w:val="24"/>
                <w:lang w:val="sq-AL"/>
              </w:rPr>
              <w:t xml:space="preserve">Komenti është konsideruar </w:t>
            </w:r>
            <w:r>
              <w:rPr>
                <w:rFonts w:ascii="Times New Roman" w:hAnsi="Times New Roman"/>
                <w:sz w:val="24"/>
                <w:szCs w:val="24"/>
                <w:lang w:val="sq-AL"/>
              </w:rPr>
              <w:t>dhe aty ku ka qenë  “</w:t>
            </w:r>
            <w:r w:rsidRPr="00994981">
              <w:rPr>
                <w:rFonts w:ascii="Times New Roman" w:hAnsi="Times New Roman"/>
                <w:sz w:val="24"/>
                <w:szCs w:val="24"/>
                <w:lang w:val="sq-AL"/>
              </w:rPr>
              <w:t>njoftimi me shkrim</w:t>
            </w:r>
            <w:r>
              <w:rPr>
                <w:rFonts w:ascii="Times New Roman" w:hAnsi="Times New Roman"/>
                <w:sz w:val="24"/>
                <w:szCs w:val="24"/>
                <w:lang w:val="sq-AL"/>
              </w:rPr>
              <w:t xml:space="preserve">”  është rishikuar në “ njoftimi </w:t>
            </w:r>
            <w:r w:rsidRPr="00C12D2D">
              <w:rPr>
                <w:rFonts w:ascii="Times New Roman" w:hAnsi="Times New Roman"/>
                <w:sz w:val="24"/>
                <w:szCs w:val="24"/>
                <w:lang w:val="sq-AL"/>
              </w:rPr>
              <w:t>me shkrim</w:t>
            </w:r>
            <w:r>
              <w:rPr>
                <w:rFonts w:ascii="Times New Roman" w:hAnsi="Times New Roman"/>
                <w:sz w:val="24"/>
                <w:szCs w:val="24"/>
                <w:lang w:val="sq-AL"/>
              </w:rPr>
              <w:t xml:space="preserve">, </w:t>
            </w:r>
            <w:r w:rsidRPr="00AD55C7">
              <w:rPr>
                <w:rFonts w:ascii="Times New Roman" w:hAnsi="Times New Roman"/>
                <w:sz w:val="24"/>
                <w:szCs w:val="24"/>
                <w:lang w:val="sq-AL"/>
              </w:rPr>
              <w:t>në letër ose nëpërmjet mjeteve të qëndrueshme të komunikimit</w:t>
            </w:r>
            <w:r w:rsidRPr="00C12D2D">
              <w:rPr>
                <w:rFonts w:ascii="Times New Roman" w:hAnsi="Times New Roman"/>
                <w:sz w:val="24"/>
                <w:szCs w:val="24"/>
                <w:lang w:val="sq-AL"/>
              </w:rPr>
              <w:t>” .</w:t>
            </w:r>
          </w:p>
          <w:p w14:paraId="4F1427F4" w14:textId="77777777" w:rsidR="00335800" w:rsidRPr="00E60E4A" w:rsidRDefault="00335800" w:rsidP="00DB2113">
            <w:pPr>
              <w:rPr>
                <w:rFonts w:ascii="Times New Roman" w:hAnsi="Times New Roman" w:cs="Times New Roman"/>
                <w:sz w:val="24"/>
                <w:szCs w:val="24"/>
                <w:lang w:val="sv-SE"/>
              </w:rPr>
            </w:pPr>
          </w:p>
        </w:tc>
      </w:tr>
      <w:tr w:rsidR="00335800" w:rsidRPr="00A22F40" w14:paraId="7A4E4525" w14:textId="77777777" w:rsidTr="00E95E61">
        <w:tc>
          <w:tcPr>
            <w:tcW w:w="2243" w:type="dxa"/>
          </w:tcPr>
          <w:p w14:paraId="660FB774" w14:textId="77777777" w:rsidR="00335800" w:rsidRPr="00E60E4A" w:rsidRDefault="000D38FD" w:rsidP="00DB2113">
            <w:pPr>
              <w:tabs>
                <w:tab w:val="left" w:pos="567"/>
              </w:tabs>
              <w:spacing w:after="120"/>
              <w:rPr>
                <w:rFonts w:ascii="Times New Roman" w:hAnsi="Times New Roman" w:cs="Times New Roman"/>
                <w:sz w:val="24"/>
                <w:szCs w:val="24"/>
                <w:lang w:val="sv-SE"/>
              </w:rPr>
            </w:pPr>
            <w:r w:rsidRPr="00A22F40">
              <w:rPr>
                <w:rFonts w:ascii="Times New Roman" w:hAnsi="Times New Roman"/>
                <w:sz w:val="24"/>
                <w:szCs w:val="24"/>
                <w:lang w:val="sv-SE"/>
              </w:rPr>
              <w:t>8-</w:t>
            </w:r>
            <w:r w:rsidR="00BF45D0" w:rsidRPr="00C26DA3">
              <w:rPr>
                <w:rFonts w:ascii="Times New Roman" w:hAnsi="Times New Roman" w:cs="Times New Roman"/>
                <w:sz w:val="24"/>
                <w:szCs w:val="24"/>
                <w:lang w:val="sv-SE"/>
              </w:rPr>
              <w:t xml:space="preserve"> </w:t>
            </w:r>
            <w:r w:rsidR="00AC128A" w:rsidRPr="00C26DA3">
              <w:rPr>
                <w:rFonts w:ascii="Times New Roman" w:hAnsi="Times New Roman" w:cs="Times New Roman"/>
                <w:sz w:val="24"/>
                <w:szCs w:val="24"/>
                <w:lang w:val="sv-SE"/>
              </w:rPr>
              <w:t>Konvertimi i llogaris</w:t>
            </w:r>
            <w:r w:rsidR="000E0C7F" w:rsidRPr="00C26DA3">
              <w:rPr>
                <w:rFonts w:ascii="Times New Roman" w:hAnsi="Times New Roman" w:cs="Times New Roman"/>
                <w:sz w:val="24"/>
                <w:szCs w:val="24"/>
                <w:lang w:val="sv-SE"/>
              </w:rPr>
              <w:t>ë</w:t>
            </w:r>
            <w:r w:rsidR="00AC128A" w:rsidRPr="00C26DA3">
              <w:rPr>
                <w:rFonts w:ascii="Times New Roman" w:hAnsi="Times New Roman" w:cs="Times New Roman"/>
                <w:sz w:val="24"/>
                <w:szCs w:val="24"/>
                <w:lang w:val="sv-SE"/>
              </w:rPr>
              <w:t xml:space="preserve"> aktuale</w:t>
            </w:r>
            <w:r w:rsidR="000E0C7F" w:rsidRPr="00C26DA3">
              <w:rPr>
                <w:rFonts w:ascii="Times New Roman" w:hAnsi="Times New Roman" w:cs="Times New Roman"/>
                <w:sz w:val="24"/>
                <w:szCs w:val="24"/>
                <w:lang w:val="sv-SE"/>
              </w:rPr>
              <w:t xml:space="preserve"> të pagesave në llogari pagesash me shërbime bazike</w:t>
            </w:r>
            <w:r w:rsidR="00AC128A" w:rsidRPr="00C26DA3">
              <w:rPr>
                <w:rFonts w:ascii="Times New Roman" w:hAnsi="Times New Roman" w:cs="Times New Roman"/>
                <w:sz w:val="24"/>
                <w:szCs w:val="24"/>
                <w:lang w:val="sv-SE"/>
              </w:rPr>
              <w:t xml:space="preserve"> </w:t>
            </w:r>
          </w:p>
        </w:tc>
        <w:tc>
          <w:tcPr>
            <w:tcW w:w="2072" w:type="dxa"/>
          </w:tcPr>
          <w:p w14:paraId="03FDBE07" w14:textId="7D2D91BF" w:rsidR="00335800" w:rsidRPr="00A22F40" w:rsidRDefault="000D38FD" w:rsidP="00DB2113">
            <w:pPr>
              <w:tabs>
                <w:tab w:val="left" w:pos="567"/>
              </w:tabs>
              <w:spacing w:after="120"/>
              <w:rPr>
                <w:rFonts w:ascii="Times New Roman" w:eastAsia="Times New Roman" w:hAnsi="Times New Roman" w:cs="Times New Roman"/>
                <w:sz w:val="24"/>
                <w:szCs w:val="24"/>
                <w:lang w:val="sv-SE"/>
              </w:rPr>
            </w:pPr>
            <w:r w:rsidRPr="00A22F40">
              <w:rPr>
                <w:rFonts w:ascii="Times New Roman" w:hAnsi="Times New Roman"/>
                <w:sz w:val="24"/>
                <w:szCs w:val="24"/>
                <w:lang w:val="sv-SE"/>
              </w:rPr>
              <w:t>Është sugjeruar të mos lejohet konvertimi i llogarive ekzistu</w:t>
            </w:r>
            <w:r w:rsidR="004E5DB6" w:rsidRPr="00A22F40">
              <w:rPr>
                <w:rFonts w:ascii="Times New Roman" w:hAnsi="Times New Roman"/>
                <w:sz w:val="24"/>
                <w:szCs w:val="24"/>
                <w:lang w:val="sv-SE"/>
              </w:rPr>
              <w:t xml:space="preserve">ese në llogari bazike. Kjo </w:t>
            </w:r>
            <w:r w:rsidR="004E5DB6" w:rsidRPr="00A22F40">
              <w:rPr>
                <w:rFonts w:ascii="Times New Roman" w:hAnsi="Times New Roman"/>
                <w:sz w:val="24"/>
                <w:szCs w:val="24"/>
                <w:lang w:val="sv-SE"/>
              </w:rPr>
              <w:lastRenderedPageBreak/>
              <w:t>do t</w:t>
            </w:r>
            <w:r w:rsidR="00901EC0" w:rsidRPr="00A22F40">
              <w:rPr>
                <w:rFonts w:ascii="Times New Roman" w:hAnsi="Times New Roman"/>
                <w:sz w:val="24"/>
                <w:szCs w:val="24"/>
                <w:lang w:val="sv-SE"/>
              </w:rPr>
              <w:t>ë</w:t>
            </w:r>
            <w:r w:rsidRPr="00A22F40">
              <w:rPr>
                <w:rFonts w:ascii="Times New Roman" w:hAnsi="Times New Roman"/>
                <w:sz w:val="24"/>
                <w:szCs w:val="24"/>
                <w:lang w:val="sv-SE"/>
              </w:rPr>
              <w:t xml:space="preserve"> shkaktojë një humbje shumë të madhe në profitabilitetin e bankës.</w:t>
            </w:r>
          </w:p>
        </w:tc>
        <w:tc>
          <w:tcPr>
            <w:tcW w:w="1269" w:type="dxa"/>
          </w:tcPr>
          <w:p w14:paraId="386FC0B3" w14:textId="2A5661C3" w:rsidR="00335800" w:rsidRDefault="008106D8"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lastRenderedPageBreak/>
              <w:t>Bankat  e nivelit të dytë</w:t>
            </w:r>
          </w:p>
        </w:tc>
        <w:tc>
          <w:tcPr>
            <w:tcW w:w="1341" w:type="dxa"/>
          </w:tcPr>
          <w:p w14:paraId="324068AC" w14:textId="65DAD84E" w:rsidR="00335800" w:rsidRPr="00E60E4A" w:rsidRDefault="00D803B1" w:rsidP="00DB2113">
            <w:pPr>
              <w:rPr>
                <w:rFonts w:ascii="Times New Roman" w:hAnsi="Times New Roman" w:cs="Times New Roman"/>
                <w:sz w:val="24"/>
                <w:szCs w:val="24"/>
                <w:lang w:val="sv-SE"/>
              </w:rPr>
            </w:pPr>
            <w:r>
              <w:rPr>
                <w:rFonts w:ascii="Times New Roman" w:hAnsi="Times New Roman" w:cs="Times New Roman"/>
                <w:sz w:val="24"/>
                <w:szCs w:val="24"/>
                <w:lang w:val="sv-SE"/>
              </w:rPr>
              <w:t xml:space="preserve"> Re</w:t>
            </w:r>
            <w:r w:rsidR="008106D8" w:rsidRPr="00C26DA3">
              <w:rPr>
                <w:rFonts w:ascii="Times New Roman" w:hAnsi="Times New Roman" w:cs="Times New Roman"/>
                <w:sz w:val="24"/>
                <w:szCs w:val="24"/>
                <w:lang w:val="sv-SE"/>
              </w:rPr>
              <w:t>fuzuar</w:t>
            </w:r>
          </w:p>
        </w:tc>
        <w:tc>
          <w:tcPr>
            <w:tcW w:w="2425" w:type="dxa"/>
          </w:tcPr>
          <w:p w14:paraId="6BFC598F" w14:textId="77777777" w:rsidR="000D38FD" w:rsidRPr="00C12D2D" w:rsidRDefault="000D38FD" w:rsidP="00DB2113">
            <w:pPr>
              <w:ind w:left="-67"/>
              <w:rPr>
                <w:rFonts w:ascii="Times New Roman" w:hAnsi="Times New Roman"/>
                <w:sz w:val="24"/>
                <w:szCs w:val="24"/>
                <w:lang w:val="sq-AL"/>
              </w:rPr>
            </w:pPr>
            <w:r>
              <w:rPr>
                <w:rFonts w:ascii="Times New Roman" w:hAnsi="Times New Roman"/>
                <w:sz w:val="24"/>
                <w:szCs w:val="24"/>
                <w:lang w:val="sq-AL"/>
              </w:rPr>
              <w:t>Është sqaruar se q</w:t>
            </w:r>
            <w:r w:rsidRPr="00C12D2D">
              <w:rPr>
                <w:rFonts w:ascii="Times New Roman" w:hAnsi="Times New Roman"/>
                <w:sz w:val="24"/>
                <w:szCs w:val="24"/>
                <w:lang w:val="sq-AL"/>
              </w:rPr>
              <w:t xml:space="preserve">ëllimi kryesor i këtij projektligji është nxitja e përfshirjes financiare të konsumatorëve. Në këtë kuptim, ligji </w:t>
            </w:r>
            <w:r w:rsidRPr="00C12D2D">
              <w:rPr>
                <w:rFonts w:ascii="Times New Roman" w:hAnsi="Times New Roman"/>
                <w:sz w:val="24"/>
                <w:szCs w:val="24"/>
                <w:lang w:val="sq-AL"/>
              </w:rPr>
              <w:lastRenderedPageBreak/>
              <w:t>synon rritje</w:t>
            </w:r>
            <w:r>
              <w:rPr>
                <w:rFonts w:ascii="Times New Roman" w:hAnsi="Times New Roman"/>
                <w:sz w:val="24"/>
                <w:szCs w:val="24"/>
                <w:lang w:val="sq-AL"/>
              </w:rPr>
              <w:t>n</w:t>
            </w:r>
            <w:r w:rsidRPr="00C12D2D">
              <w:rPr>
                <w:rFonts w:ascii="Times New Roman" w:hAnsi="Times New Roman"/>
                <w:sz w:val="24"/>
                <w:szCs w:val="24"/>
                <w:lang w:val="sq-AL"/>
              </w:rPr>
              <w:t xml:space="preserve"> e numrit te llogarive për konsumatorët të cilët nuk kanë aktualisht llogari bankare, duke synuar </w:t>
            </w:r>
            <w:r>
              <w:rPr>
                <w:rFonts w:ascii="Times New Roman" w:hAnsi="Times New Roman"/>
                <w:sz w:val="24"/>
                <w:szCs w:val="24"/>
                <w:lang w:val="sq-AL"/>
              </w:rPr>
              <w:t xml:space="preserve">afrimin e </w:t>
            </w:r>
            <w:r w:rsidRPr="00C12D2D">
              <w:rPr>
                <w:rFonts w:ascii="Times New Roman" w:hAnsi="Times New Roman"/>
                <w:sz w:val="24"/>
                <w:szCs w:val="24"/>
                <w:lang w:val="sq-AL"/>
              </w:rPr>
              <w:t>shtresa</w:t>
            </w:r>
            <w:r>
              <w:rPr>
                <w:rFonts w:ascii="Times New Roman" w:hAnsi="Times New Roman"/>
                <w:sz w:val="24"/>
                <w:szCs w:val="24"/>
                <w:lang w:val="sq-AL"/>
              </w:rPr>
              <w:t>ve</w:t>
            </w:r>
            <w:r w:rsidRPr="00C12D2D">
              <w:rPr>
                <w:rFonts w:ascii="Times New Roman" w:hAnsi="Times New Roman"/>
                <w:sz w:val="24"/>
                <w:szCs w:val="24"/>
                <w:lang w:val="sq-AL"/>
              </w:rPr>
              <w:t xml:space="preserve"> vulnerab</w:t>
            </w:r>
            <w:r>
              <w:rPr>
                <w:rFonts w:ascii="Times New Roman" w:hAnsi="Times New Roman"/>
                <w:sz w:val="24"/>
                <w:szCs w:val="24"/>
                <w:lang w:val="sq-AL"/>
              </w:rPr>
              <w:t>ë</w:t>
            </w:r>
            <w:r w:rsidRPr="00C12D2D">
              <w:rPr>
                <w:rFonts w:ascii="Times New Roman" w:hAnsi="Times New Roman"/>
                <w:sz w:val="24"/>
                <w:szCs w:val="24"/>
                <w:lang w:val="sq-AL"/>
              </w:rPr>
              <w:t>l</w:t>
            </w:r>
            <w:r>
              <w:rPr>
                <w:rFonts w:ascii="Times New Roman" w:hAnsi="Times New Roman"/>
                <w:sz w:val="24"/>
                <w:szCs w:val="24"/>
                <w:lang w:val="sq-AL"/>
              </w:rPr>
              <w:t xml:space="preserve"> drejt sistemit bankar,</w:t>
            </w:r>
            <w:r w:rsidRPr="00C12D2D">
              <w:rPr>
                <w:rFonts w:ascii="Times New Roman" w:hAnsi="Times New Roman"/>
                <w:sz w:val="24"/>
                <w:szCs w:val="24"/>
                <w:lang w:val="sq-AL"/>
              </w:rPr>
              <w:t xml:space="preserve"> por pa cënuar të drejtën e çdo konsumatori për pasjen e një llogarie bazike. </w:t>
            </w:r>
          </w:p>
          <w:p w14:paraId="4B04C34D" w14:textId="77777777" w:rsidR="000D38FD" w:rsidRPr="00C12D2D" w:rsidRDefault="000D38FD" w:rsidP="00DB2113">
            <w:pPr>
              <w:ind w:left="-67"/>
              <w:rPr>
                <w:rFonts w:ascii="Times New Roman" w:hAnsi="Times New Roman"/>
                <w:sz w:val="24"/>
                <w:szCs w:val="24"/>
                <w:lang w:val="sq-AL"/>
              </w:rPr>
            </w:pPr>
            <w:r w:rsidRPr="00C12D2D">
              <w:rPr>
                <w:rFonts w:ascii="Times New Roman" w:hAnsi="Times New Roman"/>
                <w:sz w:val="24"/>
                <w:szCs w:val="24"/>
                <w:lang w:val="sq-AL"/>
              </w:rPr>
              <w:t>Llogaritë ekzistuese që do të përmbushin kushtet për t</w:t>
            </w:r>
            <w:r>
              <w:rPr>
                <w:rFonts w:ascii="Times New Roman" w:hAnsi="Times New Roman"/>
                <w:sz w:val="24"/>
                <w:szCs w:val="24"/>
                <w:lang w:val="sq-AL"/>
              </w:rPr>
              <w:t>’</w:t>
            </w:r>
            <w:r w:rsidRPr="00C12D2D">
              <w:rPr>
                <w:rFonts w:ascii="Times New Roman" w:hAnsi="Times New Roman"/>
                <w:sz w:val="24"/>
                <w:szCs w:val="24"/>
                <w:lang w:val="sq-AL"/>
              </w:rPr>
              <w:t>u konvertuar në llogari bazike, gjithmonë nëse klienti e kërkon këtë mundësi, do të jenë ato llogari që ofrojnë shërbime të kufizuara si dhe  zotërohen nga klientë të cilët nuk kanë llogari apo shërbime të tjera në bankë apo n</w:t>
            </w:r>
            <w:r>
              <w:rPr>
                <w:rFonts w:ascii="Times New Roman" w:hAnsi="Times New Roman"/>
                <w:sz w:val="24"/>
                <w:szCs w:val="24"/>
                <w:lang w:val="sq-AL"/>
              </w:rPr>
              <w:t>ë</w:t>
            </w:r>
            <w:r w:rsidRPr="00C12D2D">
              <w:rPr>
                <w:rFonts w:ascii="Times New Roman" w:hAnsi="Times New Roman"/>
                <w:sz w:val="24"/>
                <w:szCs w:val="24"/>
                <w:lang w:val="sq-AL"/>
              </w:rPr>
              <w:t xml:space="preserve"> banka të tjera, ose zotërohen nga klientë të cilët i përkasin grupit të konsumatorëve vulnerabel.</w:t>
            </w:r>
            <w:r>
              <w:rPr>
                <w:rFonts w:ascii="Times New Roman" w:hAnsi="Times New Roman"/>
                <w:sz w:val="24"/>
                <w:szCs w:val="24"/>
                <w:lang w:val="sq-AL"/>
              </w:rPr>
              <w:t xml:space="preserve"> </w:t>
            </w:r>
            <w:r w:rsidRPr="00C12D2D">
              <w:rPr>
                <w:rFonts w:ascii="Times New Roman" w:hAnsi="Times New Roman"/>
                <w:sz w:val="24"/>
                <w:szCs w:val="24"/>
                <w:lang w:val="sq-AL"/>
              </w:rPr>
              <w:t xml:space="preserve">Në këtë kuptim, pritshmëria </w:t>
            </w:r>
            <w:r>
              <w:rPr>
                <w:rFonts w:ascii="Times New Roman" w:hAnsi="Times New Roman"/>
                <w:sz w:val="24"/>
                <w:szCs w:val="24"/>
                <w:lang w:val="sq-AL"/>
              </w:rPr>
              <w:t xml:space="preserve">e efekteve të projektligjit, </w:t>
            </w:r>
            <w:r w:rsidRPr="00C12D2D">
              <w:rPr>
                <w:rFonts w:ascii="Times New Roman" w:hAnsi="Times New Roman"/>
                <w:sz w:val="24"/>
                <w:szCs w:val="24"/>
                <w:lang w:val="sq-AL"/>
              </w:rPr>
              <w:t xml:space="preserve">është rritja e numrit të llogarive të reja </w:t>
            </w:r>
            <w:r>
              <w:rPr>
                <w:rFonts w:ascii="Times New Roman" w:hAnsi="Times New Roman"/>
                <w:sz w:val="24"/>
                <w:szCs w:val="24"/>
                <w:lang w:val="sq-AL"/>
              </w:rPr>
              <w:t xml:space="preserve">më tepër </w:t>
            </w:r>
            <w:r w:rsidRPr="00C12D2D">
              <w:rPr>
                <w:rFonts w:ascii="Times New Roman" w:hAnsi="Times New Roman"/>
                <w:sz w:val="24"/>
                <w:szCs w:val="24"/>
                <w:lang w:val="sq-AL"/>
              </w:rPr>
              <w:t>sesa konvertimi i llogarive ekzistuese</w:t>
            </w:r>
            <w:r>
              <w:rPr>
                <w:rFonts w:ascii="Times New Roman" w:hAnsi="Times New Roman"/>
                <w:sz w:val="24"/>
                <w:szCs w:val="24"/>
                <w:lang w:val="sq-AL"/>
              </w:rPr>
              <w:t>. Për këtë arsye,</w:t>
            </w:r>
            <w:r w:rsidRPr="00C12D2D">
              <w:rPr>
                <w:rFonts w:ascii="Times New Roman" w:hAnsi="Times New Roman"/>
                <w:sz w:val="24"/>
                <w:szCs w:val="24"/>
                <w:lang w:val="sq-AL"/>
              </w:rPr>
              <w:t xml:space="preserve"> </w:t>
            </w:r>
            <w:r>
              <w:rPr>
                <w:rFonts w:ascii="Times New Roman" w:hAnsi="Times New Roman"/>
                <w:sz w:val="24"/>
                <w:szCs w:val="24"/>
                <w:lang w:val="sq-AL"/>
              </w:rPr>
              <w:t>e</w:t>
            </w:r>
            <w:r w:rsidRPr="00C12D2D">
              <w:rPr>
                <w:rFonts w:ascii="Times New Roman" w:hAnsi="Times New Roman"/>
                <w:sz w:val="24"/>
                <w:szCs w:val="24"/>
                <w:lang w:val="sq-AL"/>
              </w:rPr>
              <w:t xml:space="preserve">dhe efekti nuk pritet të jetë i lartë në </w:t>
            </w:r>
            <w:r>
              <w:rPr>
                <w:rFonts w:ascii="Times New Roman" w:hAnsi="Times New Roman"/>
                <w:sz w:val="24"/>
                <w:szCs w:val="24"/>
                <w:lang w:val="sq-AL"/>
              </w:rPr>
              <w:t>përfitueshmërinë</w:t>
            </w:r>
            <w:r w:rsidRPr="00C12D2D">
              <w:rPr>
                <w:rFonts w:ascii="Times New Roman" w:hAnsi="Times New Roman"/>
                <w:sz w:val="24"/>
                <w:szCs w:val="24"/>
                <w:lang w:val="sq-AL"/>
              </w:rPr>
              <w:t xml:space="preserve"> e bankës.</w:t>
            </w:r>
          </w:p>
          <w:p w14:paraId="10C540A9" w14:textId="77777777" w:rsidR="00335800" w:rsidRPr="00A22F40" w:rsidRDefault="00335800" w:rsidP="00DB2113">
            <w:pPr>
              <w:rPr>
                <w:rFonts w:ascii="Times New Roman" w:hAnsi="Times New Roman" w:cs="Times New Roman"/>
                <w:sz w:val="24"/>
                <w:szCs w:val="24"/>
                <w:lang w:val="sq-AL"/>
              </w:rPr>
            </w:pPr>
          </w:p>
        </w:tc>
      </w:tr>
      <w:tr w:rsidR="00335800" w:rsidRPr="00A22F40" w14:paraId="2F97A9AD" w14:textId="77777777" w:rsidTr="00E95E61">
        <w:tc>
          <w:tcPr>
            <w:tcW w:w="2243" w:type="dxa"/>
          </w:tcPr>
          <w:p w14:paraId="27BF8DA9" w14:textId="77777777" w:rsidR="00335800" w:rsidRPr="00E60E4A" w:rsidRDefault="000D38FD" w:rsidP="00DB2113">
            <w:pPr>
              <w:tabs>
                <w:tab w:val="left" w:pos="567"/>
              </w:tabs>
              <w:spacing w:after="120"/>
              <w:rPr>
                <w:rFonts w:ascii="Times New Roman" w:hAnsi="Times New Roman" w:cs="Times New Roman"/>
                <w:sz w:val="24"/>
                <w:szCs w:val="24"/>
                <w:lang w:val="sv-SE"/>
              </w:rPr>
            </w:pPr>
            <w:r>
              <w:rPr>
                <w:rFonts w:ascii="Times New Roman" w:hAnsi="Times New Roman"/>
                <w:sz w:val="24"/>
                <w:szCs w:val="24"/>
              </w:rPr>
              <w:lastRenderedPageBreak/>
              <w:t>9-</w:t>
            </w:r>
            <w:r w:rsidR="00BF45D0" w:rsidRPr="00E60E4A">
              <w:rPr>
                <w:rFonts w:ascii="Times New Roman" w:hAnsi="Times New Roman" w:cs="Times New Roman"/>
                <w:sz w:val="24"/>
                <w:szCs w:val="24"/>
                <w:lang w:val="sv-SE"/>
              </w:rPr>
              <w:t xml:space="preserve"> </w:t>
            </w:r>
            <w:r w:rsidR="000E0C7F" w:rsidRPr="00C26DA3">
              <w:rPr>
                <w:rFonts w:ascii="Times New Roman" w:hAnsi="Times New Roman" w:cs="Times New Roman"/>
                <w:sz w:val="24"/>
                <w:szCs w:val="24"/>
                <w:lang w:val="sv-SE"/>
              </w:rPr>
              <w:t>Kundravajtjet administrative dhe sanksionet</w:t>
            </w:r>
          </w:p>
        </w:tc>
        <w:tc>
          <w:tcPr>
            <w:tcW w:w="2072" w:type="dxa"/>
          </w:tcPr>
          <w:p w14:paraId="7AAA518D" w14:textId="77777777" w:rsidR="000D38FD" w:rsidRPr="00A22F40" w:rsidRDefault="000D38FD" w:rsidP="00DB2113">
            <w:pPr>
              <w:tabs>
                <w:tab w:val="left" w:pos="567"/>
              </w:tabs>
              <w:spacing w:after="120"/>
              <w:rPr>
                <w:rFonts w:ascii="Times New Roman" w:hAnsi="Times New Roman"/>
                <w:sz w:val="24"/>
                <w:szCs w:val="24"/>
                <w:lang w:val="sv-SE"/>
              </w:rPr>
            </w:pPr>
            <w:r w:rsidRPr="00A22F40">
              <w:rPr>
                <w:rFonts w:ascii="Times New Roman" w:hAnsi="Times New Roman"/>
                <w:sz w:val="24"/>
                <w:szCs w:val="24"/>
                <w:lang w:val="sv-SE"/>
              </w:rPr>
              <w:t xml:space="preserve">Lista e kundravajtjeve është komentuar se është e gjerë dhe se duhet të ketë një kategorizim të shkeljeve të cilat posaçërisht </w:t>
            </w:r>
            <w:r w:rsidRPr="00A22F40">
              <w:rPr>
                <w:rFonts w:ascii="Times New Roman" w:hAnsi="Times New Roman"/>
                <w:sz w:val="24"/>
                <w:szCs w:val="24"/>
                <w:lang w:val="sv-SE"/>
              </w:rPr>
              <w:lastRenderedPageBreak/>
              <w:t>përbëjnë një shkelje themelore të zbatimit të ligjit,</w:t>
            </w:r>
          </w:p>
          <w:p w14:paraId="73078129" w14:textId="77777777" w:rsidR="00335800" w:rsidRPr="00E60E4A" w:rsidRDefault="00335800" w:rsidP="00DB2113">
            <w:pPr>
              <w:rPr>
                <w:rFonts w:ascii="Times New Roman" w:eastAsia="Arial Unicode MS" w:hAnsi="Times New Roman" w:cs="Times New Roman"/>
                <w:sz w:val="24"/>
                <w:szCs w:val="24"/>
                <w:lang w:val="sv-SE"/>
              </w:rPr>
            </w:pPr>
          </w:p>
        </w:tc>
        <w:tc>
          <w:tcPr>
            <w:tcW w:w="1269" w:type="dxa"/>
          </w:tcPr>
          <w:p w14:paraId="01F2F450" w14:textId="7EEE37BF" w:rsidR="00335800" w:rsidRDefault="00901EC0"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lastRenderedPageBreak/>
              <w:t>Bankat  e nivelit të dytë</w:t>
            </w:r>
          </w:p>
        </w:tc>
        <w:tc>
          <w:tcPr>
            <w:tcW w:w="1341" w:type="dxa"/>
          </w:tcPr>
          <w:p w14:paraId="609362A0" w14:textId="395782B9" w:rsidR="00335800" w:rsidRPr="00E60E4A" w:rsidRDefault="00901EC0" w:rsidP="00DB2113">
            <w:pPr>
              <w:rPr>
                <w:rFonts w:ascii="Times New Roman" w:hAnsi="Times New Roman" w:cs="Times New Roman"/>
                <w:sz w:val="24"/>
                <w:szCs w:val="24"/>
                <w:lang w:val="sv-SE"/>
              </w:rPr>
            </w:pPr>
            <w:r w:rsidRPr="00C26DA3">
              <w:rPr>
                <w:rFonts w:ascii="Times New Roman" w:hAnsi="Times New Roman" w:cs="Times New Roman"/>
                <w:sz w:val="24"/>
                <w:szCs w:val="24"/>
                <w:lang w:val="sv-SE"/>
              </w:rPr>
              <w:t xml:space="preserve">I </w:t>
            </w:r>
            <w:r w:rsidR="000D38FD" w:rsidRPr="00C26DA3">
              <w:rPr>
                <w:rFonts w:ascii="Times New Roman" w:hAnsi="Times New Roman" w:cs="Times New Roman"/>
                <w:sz w:val="24"/>
                <w:szCs w:val="24"/>
                <w:lang w:val="sv-SE"/>
              </w:rPr>
              <w:t>refuzuar</w:t>
            </w:r>
          </w:p>
        </w:tc>
        <w:tc>
          <w:tcPr>
            <w:tcW w:w="2425" w:type="dxa"/>
          </w:tcPr>
          <w:p w14:paraId="1BD0326B" w14:textId="77777777" w:rsidR="00D803B1" w:rsidRPr="00FB42F0" w:rsidRDefault="000D38FD" w:rsidP="00FB42F0">
            <w:pPr>
              <w:pStyle w:val="CommentText"/>
              <w:rPr>
                <w:rFonts w:ascii="Times New Roman" w:hAnsi="Times New Roman"/>
                <w:sz w:val="24"/>
                <w:szCs w:val="24"/>
                <w:lang w:val="fr-FR"/>
              </w:rPr>
            </w:pPr>
            <w:r w:rsidRPr="00FB42F0">
              <w:rPr>
                <w:rFonts w:ascii="Times New Roman" w:hAnsi="Times New Roman"/>
                <w:sz w:val="24"/>
                <w:szCs w:val="24"/>
                <w:lang w:val="sq-AL"/>
              </w:rPr>
              <w:t>Kategorizimi i shkeljeve dhe masave nuk mund të parashikohet dhe të jetë shterues.</w:t>
            </w:r>
            <w:r w:rsidR="00D803B1" w:rsidRPr="00FB42F0">
              <w:rPr>
                <w:rFonts w:ascii="Times New Roman" w:hAnsi="Times New Roman"/>
                <w:sz w:val="24"/>
                <w:szCs w:val="24"/>
                <w:lang w:val="fr-FR"/>
              </w:rPr>
              <w:t xml:space="preserve"> </w:t>
            </w:r>
          </w:p>
          <w:p w14:paraId="470180C4" w14:textId="35C7608B" w:rsidR="00D803B1" w:rsidRPr="00FB42F0" w:rsidRDefault="00D803B1" w:rsidP="00FB42F0">
            <w:pPr>
              <w:pStyle w:val="CommentText"/>
              <w:rPr>
                <w:rFonts w:ascii="Times New Roman" w:hAnsi="Times New Roman"/>
                <w:sz w:val="24"/>
                <w:szCs w:val="24"/>
                <w:lang w:val="fr-FR"/>
              </w:rPr>
            </w:pPr>
            <w:proofErr w:type="spellStart"/>
            <w:r w:rsidRPr="00FB42F0">
              <w:rPr>
                <w:rFonts w:ascii="Times New Roman" w:hAnsi="Times New Roman"/>
                <w:sz w:val="24"/>
                <w:szCs w:val="24"/>
                <w:lang w:val="fr-FR"/>
              </w:rPr>
              <w:t>N</w:t>
            </w:r>
            <w:r w:rsidR="00FB42F0">
              <w:rPr>
                <w:rFonts w:ascii="Times New Roman" w:hAnsi="Times New Roman"/>
                <w:sz w:val="24"/>
                <w:szCs w:val="24"/>
                <w:lang w:val="fr-FR"/>
              </w:rPr>
              <w: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piken</w:t>
            </w:r>
            <w:proofErr w:type="spellEnd"/>
            <w:r w:rsidRPr="00FB42F0">
              <w:rPr>
                <w:rFonts w:ascii="Times New Roman" w:hAnsi="Times New Roman"/>
                <w:sz w:val="24"/>
                <w:szCs w:val="24"/>
                <w:lang w:val="fr-FR"/>
              </w:rPr>
              <w:t xml:space="preserve"> 2 </w:t>
            </w:r>
            <w:proofErr w:type="spellStart"/>
            <w:r w:rsidRPr="00FB42F0">
              <w:rPr>
                <w:rFonts w:ascii="Times New Roman" w:hAnsi="Times New Roman"/>
                <w:sz w:val="24"/>
                <w:szCs w:val="24"/>
                <w:lang w:val="fr-FR"/>
              </w:rPr>
              <w:t>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nenit</w:t>
            </w:r>
            <w:proofErr w:type="spellEnd"/>
            <w:r w:rsidRPr="00FB42F0">
              <w:rPr>
                <w:rFonts w:ascii="Times New Roman" w:hAnsi="Times New Roman"/>
                <w:sz w:val="24"/>
                <w:szCs w:val="24"/>
                <w:lang w:val="fr-FR"/>
              </w:rPr>
              <w:t xml:space="preserve"> 15 </w:t>
            </w:r>
            <w:proofErr w:type="spellStart"/>
            <w:r w:rsidRPr="00FB42F0">
              <w:rPr>
                <w:rFonts w:ascii="Times New Roman" w:hAnsi="Times New Roman"/>
                <w:sz w:val="24"/>
                <w:szCs w:val="24"/>
                <w:lang w:val="fr-FR"/>
              </w:rPr>
              <w:t>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projektligjit</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jan</w:t>
            </w:r>
            <w:r w:rsidR="00FB42F0">
              <w:rPr>
                <w:rFonts w:ascii="Times New Roman" w:hAnsi="Times New Roman"/>
                <w:sz w:val="24"/>
                <w:szCs w:val="24"/>
                <w:lang w:val="fr-FR"/>
              </w:rPr>
              <w: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listuar</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menyrë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lastRenderedPageBreak/>
              <w:t>shteruese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shkeljet</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Ndërsa</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masat</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ndëshkuese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nuk</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janë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listuar</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menyrë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shteruese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por</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janë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përcaktuar</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brenda</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nj</w:t>
            </w:r>
            <w:r w:rsidR="00FB42F0" w:rsidRPr="00FB42F0">
              <w:rPr>
                <w:rFonts w:ascii="Times New Roman" w:hAnsi="Times New Roman"/>
                <w:sz w:val="24"/>
                <w:szCs w:val="24"/>
                <w:lang w:val="fr-FR"/>
              </w:rPr>
              <w: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shume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t</w:t>
            </w:r>
            <w:r w:rsidR="00FB42F0" w:rsidRPr="00FB42F0">
              <w:rPr>
                <w:rFonts w:ascii="Times New Roman" w:hAnsi="Times New Roman"/>
                <w:sz w:val="24"/>
                <w:szCs w:val="24"/>
                <w:lang w:val="fr-FR"/>
              </w:rPr>
              <w: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caktuar</w:t>
            </w:r>
            <w:proofErr w:type="spellEnd"/>
            <w:r w:rsidRPr="00FB42F0">
              <w:rPr>
                <w:rFonts w:ascii="Times New Roman" w:hAnsi="Times New Roman"/>
                <w:sz w:val="24"/>
                <w:szCs w:val="24"/>
                <w:lang w:val="fr-FR"/>
              </w:rPr>
              <w:t xml:space="preserve"> minimale </w:t>
            </w:r>
            <w:proofErr w:type="spellStart"/>
            <w:r w:rsidRPr="00FB42F0">
              <w:rPr>
                <w:rFonts w:ascii="Times New Roman" w:hAnsi="Times New Roman"/>
                <w:sz w:val="24"/>
                <w:szCs w:val="24"/>
                <w:lang w:val="fr-FR"/>
              </w:rPr>
              <w:t>dhe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maksimale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n</w:t>
            </w:r>
            <w:r w:rsidR="00FB42F0" w:rsidRPr="00FB42F0">
              <w:rPr>
                <w:rFonts w:ascii="Times New Roman" w:hAnsi="Times New Roman"/>
                <w:sz w:val="24"/>
                <w:szCs w:val="24"/>
                <w:lang w:val="fr-FR"/>
              </w:rPr>
              <w:t>ë</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w:t>
            </w:r>
            <w:r w:rsidR="00FB42F0" w:rsidRPr="00FB42F0">
              <w:rPr>
                <w:rFonts w:ascii="Times New Roman" w:hAnsi="Times New Roman"/>
                <w:sz w:val="24"/>
                <w:szCs w:val="24"/>
                <w:lang w:val="fr-FR"/>
              </w:rPr>
              <w:t>ë</w:t>
            </w:r>
            <w:r w:rsidRPr="00FB42F0">
              <w:rPr>
                <w:rFonts w:ascii="Times New Roman" w:hAnsi="Times New Roman"/>
                <w:sz w:val="24"/>
                <w:szCs w:val="24"/>
                <w:lang w:val="fr-FR"/>
              </w:rPr>
              <w:t>rputhje</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dhe</w:t>
            </w:r>
            <w:proofErr w:type="spellEnd"/>
            <w:r w:rsidRPr="00FB42F0">
              <w:rPr>
                <w:rFonts w:ascii="Times New Roman" w:hAnsi="Times New Roman"/>
                <w:sz w:val="24"/>
                <w:szCs w:val="24"/>
                <w:lang w:val="fr-FR"/>
              </w:rPr>
              <w:t xml:space="preserve"> me </w:t>
            </w:r>
            <w:proofErr w:type="spellStart"/>
            <w:r w:rsidRPr="00FB42F0">
              <w:rPr>
                <w:rFonts w:ascii="Times New Roman" w:hAnsi="Times New Roman"/>
                <w:sz w:val="24"/>
                <w:szCs w:val="24"/>
                <w:lang w:val="fr-FR"/>
              </w:rPr>
              <w:t>ligjin</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p</w:t>
            </w:r>
            <w:r w:rsidR="00FB42F0" w:rsidRPr="00FB42F0">
              <w:rPr>
                <w:rFonts w:ascii="Times New Roman" w:hAnsi="Times New Roman"/>
                <w:sz w:val="24"/>
                <w:szCs w:val="24"/>
                <w:lang w:val="fr-FR"/>
              </w:rPr>
              <w:t>ë</w:t>
            </w:r>
            <w:r w:rsidRPr="00FB42F0">
              <w:rPr>
                <w:rFonts w:ascii="Times New Roman" w:hAnsi="Times New Roman"/>
                <w:sz w:val="24"/>
                <w:szCs w:val="24"/>
                <w:lang w:val="fr-FR"/>
              </w:rPr>
              <w:t>r</w:t>
            </w:r>
            <w:proofErr w:type="spellEnd"/>
            <w:r w:rsidRPr="00FB42F0">
              <w:rPr>
                <w:rFonts w:ascii="Times New Roman" w:hAnsi="Times New Roman"/>
                <w:sz w:val="24"/>
                <w:szCs w:val="24"/>
                <w:lang w:val="fr-FR"/>
              </w:rPr>
              <w:t xml:space="preserve"> </w:t>
            </w:r>
            <w:proofErr w:type="spellStart"/>
            <w:r w:rsidRPr="00FB42F0">
              <w:rPr>
                <w:rFonts w:ascii="Times New Roman" w:hAnsi="Times New Roman"/>
                <w:sz w:val="24"/>
                <w:szCs w:val="24"/>
                <w:lang w:val="fr-FR"/>
              </w:rPr>
              <w:t>kundravajtjet</w:t>
            </w:r>
            <w:proofErr w:type="spellEnd"/>
            <w:r w:rsidRPr="00FB42F0">
              <w:rPr>
                <w:rFonts w:ascii="Times New Roman" w:hAnsi="Times New Roman"/>
                <w:sz w:val="24"/>
                <w:szCs w:val="24"/>
                <w:lang w:val="fr-FR"/>
              </w:rPr>
              <w:t xml:space="preserve"> administrative. </w:t>
            </w:r>
          </w:p>
          <w:p w14:paraId="113B6B7F" w14:textId="4E954163" w:rsidR="00335800" w:rsidRPr="00A22F40" w:rsidRDefault="000D38FD" w:rsidP="00FB42F0">
            <w:pPr>
              <w:rPr>
                <w:rFonts w:ascii="Times New Roman" w:hAnsi="Times New Roman" w:cs="Times New Roman"/>
                <w:sz w:val="24"/>
                <w:szCs w:val="24"/>
                <w:lang w:val="sq-AL"/>
              </w:rPr>
            </w:pPr>
            <w:r w:rsidRPr="00FB42F0">
              <w:rPr>
                <w:rFonts w:ascii="Times New Roman" w:hAnsi="Times New Roman" w:cs="Times New Roman"/>
                <w:sz w:val="24"/>
                <w:szCs w:val="24"/>
                <w:lang w:val="sq-AL"/>
              </w:rPr>
              <w:t xml:space="preserve"> </w:t>
            </w:r>
            <w:r w:rsidR="00FB42F0">
              <w:rPr>
                <w:rFonts w:ascii="Times New Roman" w:hAnsi="Times New Roman" w:cs="Times New Roman"/>
                <w:sz w:val="24"/>
                <w:szCs w:val="24"/>
                <w:lang w:val="sq-AL"/>
              </w:rPr>
              <w:t xml:space="preserve">Pra, </w:t>
            </w:r>
            <w:r w:rsidRPr="00FB42F0">
              <w:rPr>
                <w:rFonts w:ascii="Times New Roman" w:hAnsi="Times New Roman" w:cs="Times New Roman"/>
                <w:sz w:val="24"/>
                <w:szCs w:val="24"/>
                <w:lang w:val="sq-AL"/>
              </w:rPr>
              <w:t>do të j</w:t>
            </w:r>
            <w:r w:rsidR="00FB42F0">
              <w:rPr>
                <w:rFonts w:ascii="Times New Roman" w:hAnsi="Times New Roman" w:cs="Times New Roman"/>
                <w:sz w:val="24"/>
                <w:szCs w:val="24"/>
                <w:lang w:val="sq-AL"/>
              </w:rPr>
              <w:t xml:space="preserve">etë një proces i gjykueshëm nga </w:t>
            </w:r>
            <w:r w:rsidRPr="00FB42F0">
              <w:rPr>
                <w:rFonts w:ascii="Times New Roman" w:hAnsi="Times New Roman" w:cs="Times New Roman"/>
                <w:sz w:val="24"/>
                <w:szCs w:val="24"/>
                <w:lang w:val="sq-AL"/>
              </w:rPr>
              <w:t>autoriteti mbikëqyrës bazuar në parashikimet ligjit për kundravajtje</w:t>
            </w:r>
            <w:r w:rsidR="00FB42F0">
              <w:rPr>
                <w:rFonts w:ascii="Times New Roman" w:hAnsi="Times New Roman" w:cs="Times New Roman"/>
                <w:sz w:val="24"/>
                <w:szCs w:val="24"/>
                <w:lang w:val="sq-AL"/>
              </w:rPr>
              <w:t>t administrative.</w:t>
            </w:r>
          </w:p>
        </w:tc>
      </w:tr>
    </w:tbl>
    <w:p w14:paraId="685510B6" w14:textId="77777777" w:rsidR="00C67487" w:rsidRPr="00A22F40" w:rsidRDefault="00C67487" w:rsidP="00DB2113">
      <w:pPr>
        <w:tabs>
          <w:tab w:val="left" w:pos="567"/>
        </w:tabs>
        <w:spacing w:after="120" w:line="240" w:lineRule="auto"/>
        <w:rPr>
          <w:rFonts w:ascii="Times New Roman" w:hAnsi="Times New Roman"/>
          <w:b/>
          <w:sz w:val="24"/>
          <w:szCs w:val="24"/>
          <w:lang w:val="sq-AL"/>
        </w:rPr>
      </w:pPr>
    </w:p>
    <w:sectPr w:rsidR="00C67487" w:rsidRPr="00A22F40" w:rsidSect="00FC792A">
      <w:footerReference w:type="default" r:id="rId9"/>
      <w:pgSz w:w="12240" w:h="15840"/>
      <w:pgMar w:top="284" w:right="1440" w:bottom="1440" w:left="1440" w:header="720" w:footer="26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552C" w16cex:dateUtc="2023-07-03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03796" w16cid:durableId="284D3FB6"/>
  <w16cid:commentId w16cid:paraId="111FE9DA" w16cid:durableId="284D3FB7"/>
  <w16cid:commentId w16cid:paraId="1A3D019E" w16cid:durableId="284D3FB8"/>
  <w16cid:commentId w16cid:paraId="4AA9EC94" w16cid:durableId="284D3FB9"/>
  <w16cid:commentId w16cid:paraId="30B961FA" w16cid:durableId="284D55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11C03" w14:textId="77777777" w:rsidR="00D5094D" w:rsidRDefault="00D5094D" w:rsidP="00FC792A">
      <w:pPr>
        <w:spacing w:after="0" w:line="240" w:lineRule="auto"/>
      </w:pPr>
      <w:r>
        <w:separator/>
      </w:r>
    </w:p>
  </w:endnote>
  <w:endnote w:type="continuationSeparator" w:id="0">
    <w:p w14:paraId="0DB23530" w14:textId="77777777" w:rsidR="00D5094D" w:rsidRDefault="00D5094D" w:rsidP="00FC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03D8F" w14:textId="77777777" w:rsidR="00FC792A" w:rsidRPr="00A22F40" w:rsidRDefault="00FC792A" w:rsidP="00FC792A">
    <w:pPr>
      <w:pStyle w:val="Footer"/>
      <w:jc w:val="center"/>
      <w:rPr>
        <w:b/>
        <w:u w:val="single"/>
        <w:lang w:val="it-IT"/>
      </w:rPr>
    </w:pPr>
    <w:r w:rsidRPr="00A22F40">
      <w:rPr>
        <w:b/>
        <w:u w:val="single"/>
        <w:lang w:val="it-IT"/>
      </w:rPr>
      <w:t>_____________________________________________________________________________</w:t>
    </w:r>
  </w:p>
  <w:p w14:paraId="58C65CDB" w14:textId="376B6E18" w:rsidR="00FC792A" w:rsidRPr="00A22F40" w:rsidRDefault="00FC792A" w:rsidP="00FC792A">
    <w:pPr>
      <w:pStyle w:val="Footer"/>
      <w:jc w:val="center"/>
      <w:rPr>
        <w:lang w:val="it-IT"/>
      </w:rPr>
    </w:pPr>
    <w:r w:rsidRPr="00A22F40">
      <w:rPr>
        <w:lang w:val="it-IT"/>
      </w:rPr>
      <w:t xml:space="preserve">Bulevardi “Dëshmorët e Kombit”, Nr 3; Tiranë, Albania; </w:t>
    </w:r>
    <w:hyperlink r:id="rId1" w:history="1">
      <w:r w:rsidR="00901EC0" w:rsidRPr="00A22F40">
        <w:rPr>
          <w:rStyle w:val="Hyperlink"/>
          <w:lang w:val="it-IT"/>
        </w:rPr>
        <w:t>www.financa.gov.al</w:t>
      </w:r>
    </w:hyperlink>
    <w:r w:rsidRPr="00A22F40">
      <w:rPr>
        <w:lang w:val="it-IT"/>
      </w:rPr>
      <w:t xml:space="preserve">; info@financa.gov.al </w:t>
    </w:r>
  </w:p>
  <w:p w14:paraId="4CE52974" w14:textId="77777777" w:rsidR="00FC792A" w:rsidRPr="00A22F40" w:rsidRDefault="00FC792A" w:rsidP="00FC792A">
    <w:pPr>
      <w:pStyle w:val="Footer"/>
      <w:rPr>
        <w:lang w:val="it-IT"/>
      </w:rPr>
    </w:pPr>
  </w:p>
  <w:p w14:paraId="0E743690" w14:textId="77777777" w:rsidR="00FC792A" w:rsidRPr="00A22F40" w:rsidRDefault="00FC792A">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9BF3" w14:textId="77777777" w:rsidR="00D5094D" w:rsidRDefault="00D5094D" w:rsidP="00FC792A">
      <w:pPr>
        <w:spacing w:after="0" w:line="240" w:lineRule="auto"/>
      </w:pPr>
      <w:r>
        <w:separator/>
      </w:r>
    </w:p>
  </w:footnote>
  <w:footnote w:type="continuationSeparator" w:id="0">
    <w:p w14:paraId="66BD9ED0" w14:textId="77777777" w:rsidR="00D5094D" w:rsidRDefault="00D5094D" w:rsidP="00FC7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E0C"/>
    <w:multiLevelType w:val="hybridMultilevel"/>
    <w:tmpl w:val="B324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C0502"/>
    <w:multiLevelType w:val="hybridMultilevel"/>
    <w:tmpl w:val="A60C8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811BF"/>
    <w:multiLevelType w:val="hybridMultilevel"/>
    <w:tmpl w:val="1C9AB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B1358"/>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761E7"/>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82ED1"/>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D05D3"/>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932AC3"/>
    <w:multiLevelType w:val="hybridMultilevel"/>
    <w:tmpl w:val="515A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0344C"/>
    <w:multiLevelType w:val="hybridMultilevel"/>
    <w:tmpl w:val="6EEA8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94255"/>
    <w:multiLevelType w:val="hybridMultilevel"/>
    <w:tmpl w:val="8EBE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5E703A"/>
    <w:multiLevelType w:val="hybridMultilevel"/>
    <w:tmpl w:val="9D86A4C0"/>
    <w:lvl w:ilvl="0" w:tplc="AB6A6DA4">
      <w:start w:val="1"/>
      <w:numFmt w:val="decimal"/>
      <w:lvlText w:val="%1."/>
      <w:lvlJc w:val="left"/>
      <w:pPr>
        <w:ind w:left="420" w:hanging="36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76C3499"/>
    <w:multiLevelType w:val="hybridMultilevel"/>
    <w:tmpl w:val="D1FE93F4"/>
    <w:lvl w:ilvl="0" w:tplc="8F1A6698">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9AC11D9"/>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117834"/>
    <w:multiLevelType w:val="hybridMultilevel"/>
    <w:tmpl w:val="7B68A504"/>
    <w:lvl w:ilvl="0" w:tplc="30DCB48E">
      <w:start w:val="1"/>
      <w:numFmt w:val="decimal"/>
      <w:lvlText w:val="%1-"/>
      <w:lvlJc w:val="left"/>
      <w:pPr>
        <w:ind w:left="36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544574"/>
    <w:multiLevelType w:val="hybridMultilevel"/>
    <w:tmpl w:val="ACBE699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C6B11"/>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ED54F1"/>
    <w:multiLevelType w:val="hybridMultilevel"/>
    <w:tmpl w:val="CC58DB2E"/>
    <w:lvl w:ilvl="0" w:tplc="3BBCE514">
      <w:start w:val="1"/>
      <w:numFmt w:val="decimal"/>
      <w:lvlText w:val="%1."/>
      <w:lvlJc w:val="left"/>
      <w:pPr>
        <w:ind w:left="749" w:hanging="360"/>
      </w:pPr>
      <w:rPr>
        <w:rFonts w:hint="default"/>
      </w:rPr>
    </w:lvl>
    <w:lvl w:ilvl="1" w:tplc="041C0019" w:tentative="1">
      <w:start w:val="1"/>
      <w:numFmt w:val="lowerLetter"/>
      <w:lvlText w:val="%2."/>
      <w:lvlJc w:val="left"/>
      <w:pPr>
        <w:ind w:left="1469" w:hanging="360"/>
      </w:pPr>
    </w:lvl>
    <w:lvl w:ilvl="2" w:tplc="041C001B" w:tentative="1">
      <w:start w:val="1"/>
      <w:numFmt w:val="lowerRoman"/>
      <w:lvlText w:val="%3."/>
      <w:lvlJc w:val="right"/>
      <w:pPr>
        <w:ind w:left="2189" w:hanging="180"/>
      </w:pPr>
    </w:lvl>
    <w:lvl w:ilvl="3" w:tplc="041C000F" w:tentative="1">
      <w:start w:val="1"/>
      <w:numFmt w:val="decimal"/>
      <w:lvlText w:val="%4."/>
      <w:lvlJc w:val="left"/>
      <w:pPr>
        <w:ind w:left="2909" w:hanging="360"/>
      </w:pPr>
    </w:lvl>
    <w:lvl w:ilvl="4" w:tplc="041C0019" w:tentative="1">
      <w:start w:val="1"/>
      <w:numFmt w:val="lowerLetter"/>
      <w:lvlText w:val="%5."/>
      <w:lvlJc w:val="left"/>
      <w:pPr>
        <w:ind w:left="3629" w:hanging="360"/>
      </w:pPr>
    </w:lvl>
    <w:lvl w:ilvl="5" w:tplc="041C001B" w:tentative="1">
      <w:start w:val="1"/>
      <w:numFmt w:val="lowerRoman"/>
      <w:lvlText w:val="%6."/>
      <w:lvlJc w:val="right"/>
      <w:pPr>
        <w:ind w:left="4349" w:hanging="180"/>
      </w:pPr>
    </w:lvl>
    <w:lvl w:ilvl="6" w:tplc="041C000F" w:tentative="1">
      <w:start w:val="1"/>
      <w:numFmt w:val="decimal"/>
      <w:lvlText w:val="%7."/>
      <w:lvlJc w:val="left"/>
      <w:pPr>
        <w:ind w:left="5069" w:hanging="360"/>
      </w:pPr>
    </w:lvl>
    <w:lvl w:ilvl="7" w:tplc="041C0019" w:tentative="1">
      <w:start w:val="1"/>
      <w:numFmt w:val="lowerLetter"/>
      <w:lvlText w:val="%8."/>
      <w:lvlJc w:val="left"/>
      <w:pPr>
        <w:ind w:left="5789" w:hanging="360"/>
      </w:pPr>
    </w:lvl>
    <w:lvl w:ilvl="8" w:tplc="041C001B" w:tentative="1">
      <w:start w:val="1"/>
      <w:numFmt w:val="lowerRoman"/>
      <w:lvlText w:val="%9."/>
      <w:lvlJc w:val="right"/>
      <w:pPr>
        <w:ind w:left="6509" w:hanging="180"/>
      </w:pPr>
    </w:lvl>
  </w:abstractNum>
  <w:abstractNum w:abstractNumId="18">
    <w:nsid w:val="5F8653ED"/>
    <w:multiLevelType w:val="hybridMultilevel"/>
    <w:tmpl w:val="FE08F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11996"/>
    <w:multiLevelType w:val="hybridMultilevel"/>
    <w:tmpl w:val="68AC2084"/>
    <w:lvl w:ilvl="0" w:tplc="DBD883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909F5"/>
    <w:multiLevelType w:val="hybridMultilevel"/>
    <w:tmpl w:val="E19E2F16"/>
    <w:lvl w:ilvl="0" w:tplc="4DAAEBB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3B6"/>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7"/>
  </w:num>
  <w:num w:numId="4">
    <w:abstractNumId w:val="18"/>
  </w:num>
  <w:num w:numId="5">
    <w:abstractNumId w:val="20"/>
  </w:num>
  <w:num w:numId="6">
    <w:abstractNumId w:val="0"/>
  </w:num>
  <w:num w:numId="7">
    <w:abstractNumId w:val="9"/>
  </w:num>
  <w:num w:numId="8">
    <w:abstractNumId w:val="1"/>
  </w:num>
  <w:num w:numId="9">
    <w:abstractNumId w:val="4"/>
  </w:num>
  <w:num w:numId="10">
    <w:abstractNumId w:val="5"/>
  </w:num>
  <w:num w:numId="11">
    <w:abstractNumId w:val="10"/>
  </w:num>
  <w:num w:numId="12">
    <w:abstractNumId w:val="11"/>
  </w:num>
  <w:num w:numId="13">
    <w:abstractNumId w:val="7"/>
  </w:num>
  <w:num w:numId="14">
    <w:abstractNumId w:val="12"/>
  </w:num>
  <w:num w:numId="15">
    <w:abstractNumId w:val="14"/>
  </w:num>
  <w:num w:numId="16">
    <w:abstractNumId w:val="6"/>
  </w:num>
  <w:num w:numId="17">
    <w:abstractNumId w:val="13"/>
  </w:num>
  <w:num w:numId="18">
    <w:abstractNumId w:val="21"/>
  </w:num>
  <w:num w:numId="19">
    <w:abstractNumId w:val="15"/>
  </w:num>
  <w:num w:numId="20">
    <w:abstractNumId w:val="1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6E"/>
    <w:rsid w:val="000162F1"/>
    <w:rsid w:val="00025370"/>
    <w:rsid w:val="00032E48"/>
    <w:rsid w:val="00034E38"/>
    <w:rsid w:val="00036850"/>
    <w:rsid w:val="00036E4C"/>
    <w:rsid w:val="00043930"/>
    <w:rsid w:val="00050584"/>
    <w:rsid w:val="00052E27"/>
    <w:rsid w:val="00055ED8"/>
    <w:rsid w:val="00063236"/>
    <w:rsid w:val="00065DF5"/>
    <w:rsid w:val="00067171"/>
    <w:rsid w:val="000711B9"/>
    <w:rsid w:val="0007244B"/>
    <w:rsid w:val="00076F19"/>
    <w:rsid w:val="00081035"/>
    <w:rsid w:val="00084CBA"/>
    <w:rsid w:val="00094E86"/>
    <w:rsid w:val="000A00AC"/>
    <w:rsid w:val="000A4588"/>
    <w:rsid w:val="000A70D2"/>
    <w:rsid w:val="000A727D"/>
    <w:rsid w:val="000B0D3A"/>
    <w:rsid w:val="000B6704"/>
    <w:rsid w:val="000D348F"/>
    <w:rsid w:val="000D38FD"/>
    <w:rsid w:val="000E0C7F"/>
    <w:rsid w:val="000E4FE1"/>
    <w:rsid w:val="000E6D50"/>
    <w:rsid w:val="000E768E"/>
    <w:rsid w:val="00123925"/>
    <w:rsid w:val="00137128"/>
    <w:rsid w:val="00141411"/>
    <w:rsid w:val="00147CAB"/>
    <w:rsid w:val="00154141"/>
    <w:rsid w:val="001541BC"/>
    <w:rsid w:val="001561C8"/>
    <w:rsid w:val="00156724"/>
    <w:rsid w:val="0016276E"/>
    <w:rsid w:val="001648CB"/>
    <w:rsid w:val="0016567C"/>
    <w:rsid w:val="001716D2"/>
    <w:rsid w:val="00172EBA"/>
    <w:rsid w:val="00180372"/>
    <w:rsid w:val="00181E1A"/>
    <w:rsid w:val="0019034E"/>
    <w:rsid w:val="001A1DDB"/>
    <w:rsid w:val="001A5CBB"/>
    <w:rsid w:val="001B07E4"/>
    <w:rsid w:val="001B58AE"/>
    <w:rsid w:val="001B5C91"/>
    <w:rsid w:val="001D58F9"/>
    <w:rsid w:val="001E2613"/>
    <w:rsid w:val="001E51CB"/>
    <w:rsid w:val="00200782"/>
    <w:rsid w:val="00213980"/>
    <w:rsid w:val="002161BA"/>
    <w:rsid w:val="002506C7"/>
    <w:rsid w:val="0025296C"/>
    <w:rsid w:val="00254FC5"/>
    <w:rsid w:val="00263173"/>
    <w:rsid w:val="00266EBB"/>
    <w:rsid w:val="00267475"/>
    <w:rsid w:val="00276F91"/>
    <w:rsid w:val="00280906"/>
    <w:rsid w:val="00280D78"/>
    <w:rsid w:val="00285C85"/>
    <w:rsid w:val="002931E6"/>
    <w:rsid w:val="00297B71"/>
    <w:rsid w:val="002A7308"/>
    <w:rsid w:val="002B0E88"/>
    <w:rsid w:val="002B6E02"/>
    <w:rsid w:val="002C08E6"/>
    <w:rsid w:val="002C1190"/>
    <w:rsid w:val="002C47B3"/>
    <w:rsid w:val="002D5983"/>
    <w:rsid w:val="002D691C"/>
    <w:rsid w:val="002D6AE4"/>
    <w:rsid w:val="002E03AD"/>
    <w:rsid w:val="002E1D9F"/>
    <w:rsid w:val="002E7F16"/>
    <w:rsid w:val="002F1F0F"/>
    <w:rsid w:val="002F242A"/>
    <w:rsid w:val="0030162A"/>
    <w:rsid w:val="00317D82"/>
    <w:rsid w:val="00324E70"/>
    <w:rsid w:val="00335800"/>
    <w:rsid w:val="00340CF3"/>
    <w:rsid w:val="003419A9"/>
    <w:rsid w:val="00344281"/>
    <w:rsid w:val="003443DA"/>
    <w:rsid w:val="003455B7"/>
    <w:rsid w:val="00355FAD"/>
    <w:rsid w:val="003663CC"/>
    <w:rsid w:val="003745F1"/>
    <w:rsid w:val="00374967"/>
    <w:rsid w:val="003749B6"/>
    <w:rsid w:val="00375F61"/>
    <w:rsid w:val="00382232"/>
    <w:rsid w:val="003B7434"/>
    <w:rsid w:val="003B773E"/>
    <w:rsid w:val="003D3676"/>
    <w:rsid w:val="003E2999"/>
    <w:rsid w:val="003F1319"/>
    <w:rsid w:val="003F6285"/>
    <w:rsid w:val="00406CC2"/>
    <w:rsid w:val="004104C3"/>
    <w:rsid w:val="00415505"/>
    <w:rsid w:val="004175F2"/>
    <w:rsid w:val="0042377B"/>
    <w:rsid w:val="00424DCA"/>
    <w:rsid w:val="004327DF"/>
    <w:rsid w:val="00432C61"/>
    <w:rsid w:val="00433B53"/>
    <w:rsid w:val="00436D18"/>
    <w:rsid w:val="00442B69"/>
    <w:rsid w:val="0045306A"/>
    <w:rsid w:val="00455640"/>
    <w:rsid w:val="00460A90"/>
    <w:rsid w:val="00463019"/>
    <w:rsid w:val="00470656"/>
    <w:rsid w:val="004770C2"/>
    <w:rsid w:val="004839D1"/>
    <w:rsid w:val="004917F0"/>
    <w:rsid w:val="0049466E"/>
    <w:rsid w:val="004A2AB8"/>
    <w:rsid w:val="004B26E9"/>
    <w:rsid w:val="004B5F9E"/>
    <w:rsid w:val="004C6516"/>
    <w:rsid w:val="004D5CB4"/>
    <w:rsid w:val="004D7296"/>
    <w:rsid w:val="004E5DB6"/>
    <w:rsid w:val="004E6615"/>
    <w:rsid w:val="004F05E4"/>
    <w:rsid w:val="004F6E69"/>
    <w:rsid w:val="00501540"/>
    <w:rsid w:val="00514F07"/>
    <w:rsid w:val="00522548"/>
    <w:rsid w:val="00541EE0"/>
    <w:rsid w:val="0054561A"/>
    <w:rsid w:val="0055062F"/>
    <w:rsid w:val="00566B42"/>
    <w:rsid w:val="00570F26"/>
    <w:rsid w:val="00572594"/>
    <w:rsid w:val="00574B74"/>
    <w:rsid w:val="00583FDE"/>
    <w:rsid w:val="00592F46"/>
    <w:rsid w:val="005A62FD"/>
    <w:rsid w:val="005B069F"/>
    <w:rsid w:val="005B49C1"/>
    <w:rsid w:val="005B6FA2"/>
    <w:rsid w:val="005C1A4A"/>
    <w:rsid w:val="005C423C"/>
    <w:rsid w:val="005C7B6B"/>
    <w:rsid w:val="005E6B1C"/>
    <w:rsid w:val="005F0DC7"/>
    <w:rsid w:val="005F28DA"/>
    <w:rsid w:val="00606E3D"/>
    <w:rsid w:val="00611200"/>
    <w:rsid w:val="006143D5"/>
    <w:rsid w:val="006161EF"/>
    <w:rsid w:val="00621A3C"/>
    <w:rsid w:val="0062365A"/>
    <w:rsid w:val="00631E1D"/>
    <w:rsid w:val="006369FF"/>
    <w:rsid w:val="006456F2"/>
    <w:rsid w:val="00645CDA"/>
    <w:rsid w:val="00653D9C"/>
    <w:rsid w:val="006667D0"/>
    <w:rsid w:val="006745F6"/>
    <w:rsid w:val="00676CF2"/>
    <w:rsid w:val="006776A4"/>
    <w:rsid w:val="0068004B"/>
    <w:rsid w:val="00681BA7"/>
    <w:rsid w:val="006A3641"/>
    <w:rsid w:val="006B0F5A"/>
    <w:rsid w:val="006B1956"/>
    <w:rsid w:val="006B5EE6"/>
    <w:rsid w:val="006D1F21"/>
    <w:rsid w:val="006E7B3C"/>
    <w:rsid w:val="006F3854"/>
    <w:rsid w:val="006F5DB4"/>
    <w:rsid w:val="006F6D25"/>
    <w:rsid w:val="00706836"/>
    <w:rsid w:val="00713EEE"/>
    <w:rsid w:val="0072567C"/>
    <w:rsid w:val="007413E7"/>
    <w:rsid w:val="00742CB1"/>
    <w:rsid w:val="0075453F"/>
    <w:rsid w:val="007601F4"/>
    <w:rsid w:val="007711D0"/>
    <w:rsid w:val="00771F04"/>
    <w:rsid w:val="00772D0F"/>
    <w:rsid w:val="007A332B"/>
    <w:rsid w:val="007B5F46"/>
    <w:rsid w:val="007D34AC"/>
    <w:rsid w:val="007E55D4"/>
    <w:rsid w:val="007F2AA9"/>
    <w:rsid w:val="008004AD"/>
    <w:rsid w:val="00802FD6"/>
    <w:rsid w:val="0080424A"/>
    <w:rsid w:val="008106D8"/>
    <w:rsid w:val="00815220"/>
    <w:rsid w:val="00825C59"/>
    <w:rsid w:val="00843D00"/>
    <w:rsid w:val="00863B0A"/>
    <w:rsid w:val="00864879"/>
    <w:rsid w:val="008864C1"/>
    <w:rsid w:val="00892018"/>
    <w:rsid w:val="008922E9"/>
    <w:rsid w:val="008A62F2"/>
    <w:rsid w:val="008A6D0A"/>
    <w:rsid w:val="008D4FDB"/>
    <w:rsid w:val="008D74F8"/>
    <w:rsid w:val="008E0F4C"/>
    <w:rsid w:val="008E393F"/>
    <w:rsid w:val="008F61E2"/>
    <w:rsid w:val="00901EC0"/>
    <w:rsid w:val="009026AC"/>
    <w:rsid w:val="009031AA"/>
    <w:rsid w:val="00906133"/>
    <w:rsid w:val="009077F4"/>
    <w:rsid w:val="00907DB9"/>
    <w:rsid w:val="009256BE"/>
    <w:rsid w:val="009331F7"/>
    <w:rsid w:val="0094337D"/>
    <w:rsid w:val="00943493"/>
    <w:rsid w:val="009473F8"/>
    <w:rsid w:val="00964F8F"/>
    <w:rsid w:val="00965BFB"/>
    <w:rsid w:val="0097096A"/>
    <w:rsid w:val="009747FB"/>
    <w:rsid w:val="00980B50"/>
    <w:rsid w:val="00985145"/>
    <w:rsid w:val="00992FFE"/>
    <w:rsid w:val="00996FAD"/>
    <w:rsid w:val="0099747D"/>
    <w:rsid w:val="009B3930"/>
    <w:rsid w:val="009B4591"/>
    <w:rsid w:val="009C5A6C"/>
    <w:rsid w:val="009C5CA9"/>
    <w:rsid w:val="009D76E2"/>
    <w:rsid w:val="009E46CD"/>
    <w:rsid w:val="00A0087F"/>
    <w:rsid w:val="00A034D4"/>
    <w:rsid w:val="00A12DD6"/>
    <w:rsid w:val="00A13E4C"/>
    <w:rsid w:val="00A1548E"/>
    <w:rsid w:val="00A163F9"/>
    <w:rsid w:val="00A20A07"/>
    <w:rsid w:val="00A2193A"/>
    <w:rsid w:val="00A22F40"/>
    <w:rsid w:val="00A302A7"/>
    <w:rsid w:val="00A32804"/>
    <w:rsid w:val="00A34C71"/>
    <w:rsid w:val="00A40FB9"/>
    <w:rsid w:val="00A5450B"/>
    <w:rsid w:val="00A8085F"/>
    <w:rsid w:val="00A8212C"/>
    <w:rsid w:val="00A8527A"/>
    <w:rsid w:val="00A927DE"/>
    <w:rsid w:val="00A967D2"/>
    <w:rsid w:val="00A97E73"/>
    <w:rsid w:val="00AB3498"/>
    <w:rsid w:val="00AC128A"/>
    <w:rsid w:val="00AC6C64"/>
    <w:rsid w:val="00AD022F"/>
    <w:rsid w:val="00AD2149"/>
    <w:rsid w:val="00AD578D"/>
    <w:rsid w:val="00AE0311"/>
    <w:rsid w:val="00AE26D3"/>
    <w:rsid w:val="00AE3FDA"/>
    <w:rsid w:val="00AF14E5"/>
    <w:rsid w:val="00AF6426"/>
    <w:rsid w:val="00AF6C85"/>
    <w:rsid w:val="00AF7681"/>
    <w:rsid w:val="00B023AE"/>
    <w:rsid w:val="00B06FD9"/>
    <w:rsid w:val="00B07362"/>
    <w:rsid w:val="00B10ED4"/>
    <w:rsid w:val="00B11CCE"/>
    <w:rsid w:val="00B127C2"/>
    <w:rsid w:val="00B12A61"/>
    <w:rsid w:val="00B20C9D"/>
    <w:rsid w:val="00B24294"/>
    <w:rsid w:val="00B25589"/>
    <w:rsid w:val="00B30D1F"/>
    <w:rsid w:val="00B35B65"/>
    <w:rsid w:val="00B40871"/>
    <w:rsid w:val="00B45DF9"/>
    <w:rsid w:val="00B50EEF"/>
    <w:rsid w:val="00B60471"/>
    <w:rsid w:val="00B7712D"/>
    <w:rsid w:val="00B85EE4"/>
    <w:rsid w:val="00B92974"/>
    <w:rsid w:val="00BB039E"/>
    <w:rsid w:val="00BB3A74"/>
    <w:rsid w:val="00BC13BF"/>
    <w:rsid w:val="00BC69BF"/>
    <w:rsid w:val="00BD200F"/>
    <w:rsid w:val="00BE76E0"/>
    <w:rsid w:val="00BF02CB"/>
    <w:rsid w:val="00BF1C59"/>
    <w:rsid w:val="00BF45D0"/>
    <w:rsid w:val="00BF4EA9"/>
    <w:rsid w:val="00C00702"/>
    <w:rsid w:val="00C039A5"/>
    <w:rsid w:val="00C10BEB"/>
    <w:rsid w:val="00C114B4"/>
    <w:rsid w:val="00C13391"/>
    <w:rsid w:val="00C24AE5"/>
    <w:rsid w:val="00C26DA3"/>
    <w:rsid w:val="00C322BC"/>
    <w:rsid w:val="00C35948"/>
    <w:rsid w:val="00C5219B"/>
    <w:rsid w:val="00C67487"/>
    <w:rsid w:val="00C7197E"/>
    <w:rsid w:val="00C729D5"/>
    <w:rsid w:val="00C72B20"/>
    <w:rsid w:val="00C814C5"/>
    <w:rsid w:val="00C816CF"/>
    <w:rsid w:val="00C85B21"/>
    <w:rsid w:val="00C92B0F"/>
    <w:rsid w:val="00CA24A2"/>
    <w:rsid w:val="00CA3178"/>
    <w:rsid w:val="00CA5253"/>
    <w:rsid w:val="00CB34D5"/>
    <w:rsid w:val="00CB4AD5"/>
    <w:rsid w:val="00CC09A4"/>
    <w:rsid w:val="00CC4440"/>
    <w:rsid w:val="00CC472C"/>
    <w:rsid w:val="00CC58C1"/>
    <w:rsid w:val="00CD05DA"/>
    <w:rsid w:val="00CD09A3"/>
    <w:rsid w:val="00CE191A"/>
    <w:rsid w:val="00CE5F28"/>
    <w:rsid w:val="00CE70AC"/>
    <w:rsid w:val="00D032AC"/>
    <w:rsid w:val="00D1004E"/>
    <w:rsid w:val="00D16599"/>
    <w:rsid w:val="00D166C7"/>
    <w:rsid w:val="00D16840"/>
    <w:rsid w:val="00D223B8"/>
    <w:rsid w:val="00D27E4A"/>
    <w:rsid w:val="00D32503"/>
    <w:rsid w:val="00D32B12"/>
    <w:rsid w:val="00D34F48"/>
    <w:rsid w:val="00D356C0"/>
    <w:rsid w:val="00D408E7"/>
    <w:rsid w:val="00D44380"/>
    <w:rsid w:val="00D5094D"/>
    <w:rsid w:val="00D5655D"/>
    <w:rsid w:val="00D62025"/>
    <w:rsid w:val="00D67B9E"/>
    <w:rsid w:val="00D803B1"/>
    <w:rsid w:val="00D81D0A"/>
    <w:rsid w:val="00D835D8"/>
    <w:rsid w:val="00D866DA"/>
    <w:rsid w:val="00D9619C"/>
    <w:rsid w:val="00DA4F40"/>
    <w:rsid w:val="00DB2113"/>
    <w:rsid w:val="00DB2E06"/>
    <w:rsid w:val="00DB4D34"/>
    <w:rsid w:val="00DC5E56"/>
    <w:rsid w:val="00DC684D"/>
    <w:rsid w:val="00DD3198"/>
    <w:rsid w:val="00DD4134"/>
    <w:rsid w:val="00DD592E"/>
    <w:rsid w:val="00DD7756"/>
    <w:rsid w:val="00DE1D5C"/>
    <w:rsid w:val="00DF039D"/>
    <w:rsid w:val="00E0210E"/>
    <w:rsid w:val="00E041BF"/>
    <w:rsid w:val="00E21F51"/>
    <w:rsid w:val="00E43F7C"/>
    <w:rsid w:val="00E5665D"/>
    <w:rsid w:val="00E60E4A"/>
    <w:rsid w:val="00E629E2"/>
    <w:rsid w:val="00E71092"/>
    <w:rsid w:val="00E737D9"/>
    <w:rsid w:val="00E80245"/>
    <w:rsid w:val="00E83409"/>
    <w:rsid w:val="00E920B2"/>
    <w:rsid w:val="00E95E61"/>
    <w:rsid w:val="00E96FFB"/>
    <w:rsid w:val="00E978A3"/>
    <w:rsid w:val="00EA1BB4"/>
    <w:rsid w:val="00EC145B"/>
    <w:rsid w:val="00EC2889"/>
    <w:rsid w:val="00EC3CDE"/>
    <w:rsid w:val="00ED3B50"/>
    <w:rsid w:val="00EF2B4B"/>
    <w:rsid w:val="00F02DAB"/>
    <w:rsid w:val="00F21E94"/>
    <w:rsid w:val="00F31C81"/>
    <w:rsid w:val="00F31F0A"/>
    <w:rsid w:val="00F347A1"/>
    <w:rsid w:val="00F35DFB"/>
    <w:rsid w:val="00F43B59"/>
    <w:rsid w:val="00F529D9"/>
    <w:rsid w:val="00F60790"/>
    <w:rsid w:val="00F61ED0"/>
    <w:rsid w:val="00F65940"/>
    <w:rsid w:val="00F669A9"/>
    <w:rsid w:val="00F703E7"/>
    <w:rsid w:val="00F811E2"/>
    <w:rsid w:val="00F96C82"/>
    <w:rsid w:val="00F97269"/>
    <w:rsid w:val="00FA486C"/>
    <w:rsid w:val="00FA65A2"/>
    <w:rsid w:val="00FB20DA"/>
    <w:rsid w:val="00FB42F0"/>
    <w:rsid w:val="00FB482F"/>
    <w:rsid w:val="00FB7088"/>
    <w:rsid w:val="00FC2290"/>
    <w:rsid w:val="00FC4926"/>
    <w:rsid w:val="00FC6990"/>
    <w:rsid w:val="00FC792A"/>
    <w:rsid w:val="00FD02FE"/>
    <w:rsid w:val="00FD2D0E"/>
    <w:rsid w:val="00FD36C9"/>
    <w:rsid w:val="00FE255B"/>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A82E3"/>
  <w15:docId w15:val="{6609DEF9-8E0A-4982-BE4D-7D5DD247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2A"/>
  </w:style>
  <w:style w:type="paragraph" w:styleId="Footer">
    <w:name w:val="footer"/>
    <w:basedOn w:val="Normal"/>
    <w:link w:val="FooterChar"/>
    <w:uiPriority w:val="99"/>
    <w:unhideWhenUsed/>
    <w:rsid w:val="00FC7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2A"/>
  </w:style>
  <w:style w:type="character" w:styleId="Hyperlink">
    <w:name w:val="Hyperlink"/>
    <w:uiPriority w:val="99"/>
    <w:unhideWhenUsed/>
    <w:rsid w:val="00FC792A"/>
    <w:rPr>
      <w:color w:val="0563C1"/>
      <w:u w:val="single"/>
    </w:rPr>
  </w:style>
  <w:style w:type="paragraph" w:styleId="BalloonText">
    <w:name w:val="Balloon Text"/>
    <w:basedOn w:val="Normal"/>
    <w:link w:val="BalloonTextChar"/>
    <w:uiPriority w:val="99"/>
    <w:semiHidden/>
    <w:unhideWhenUsed/>
    <w:rsid w:val="00680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4B"/>
    <w:rPr>
      <w:rFonts w:ascii="Tahoma" w:hAnsi="Tahoma" w:cs="Tahoma"/>
      <w:sz w:val="16"/>
      <w:szCs w:val="16"/>
    </w:rPr>
  </w:style>
  <w:style w:type="paragraph" w:styleId="NoSpacing">
    <w:name w:val="No Spacing"/>
    <w:uiPriority w:val="1"/>
    <w:qFormat/>
    <w:rsid w:val="00C814C5"/>
    <w:pPr>
      <w:spacing w:after="0" w:line="240" w:lineRule="auto"/>
    </w:pPr>
    <w:rPr>
      <w:rFonts w:ascii="Calibri" w:eastAsia="MS Mincho" w:hAnsi="Calibri" w:cs="Times New Roman"/>
      <w:u w:color="000000"/>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3F1319"/>
    <w:pPr>
      <w:spacing w:after="200" w:line="276" w:lineRule="auto"/>
      <w:ind w:left="720"/>
      <w:contextualSpacing/>
    </w:pPr>
    <w:rPr>
      <w:rFonts w:ascii="Calibri" w:eastAsia="Times New Roman" w:hAnsi="Calibri" w:cs="Times New Roman"/>
      <w:lang w:val="sq-AL" w:eastAsia="sq-AL"/>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7D34AC"/>
    <w:rPr>
      <w:rFonts w:ascii="Calibri" w:eastAsia="Times New Roman" w:hAnsi="Calibri" w:cs="Times New Roman"/>
      <w:lang w:val="sq-AL" w:eastAsia="sq-AL"/>
    </w:rPr>
  </w:style>
  <w:style w:type="character" w:styleId="Strong">
    <w:name w:val="Strong"/>
    <w:basedOn w:val="DefaultParagraphFont"/>
    <w:uiPriority w:val="22"/>
    <w:qFormat/>
    <w:rsid w:val="00522548"/>
    <w:rPr>
      <w:b/>
      <w:bCs/>
    </w:rPr>
  </w:style>
  <w:style w:type="character" w:customStyle="1" w:styleId="lrzxr">
    <w:name w:val="lrzxr"/>
    <w:basedOn w:val="DefaultParagraphFont"/>
    <w:rsid w:val="00C92B0F"/>
  </w:style>
  <w:style w:type="character" w:customStyle="1" w:styleId="bneawe">
    <w:name w:val="bneawe"/>
    <w:basedOn w:val="DefaultParagraphFont"/>
    <w:rsid w:val="00DF039D"/>
  </w:style>
  <w:style w:type="table" w:styleId="TableGrid">
    <w:name w:val="Table Grid"/>
    <w:basedOn w:val="TableNormal"/>
    <w:uiPriority w:val="39"/>
    <w:rsid w:val="00864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9473F8"/>
    <w:pPr>
      <w:tabs>
        <w:tab w:val="left" w:pos="567"/>
      </w:tabs>
      <w:spacing w:after="120" w:line="240" w:lineRule="auto"/>
    </w:pPr>
    <w:rPr>
      <w:rFonts w:ascii="Calibri" w:eastAsia="Times New Roman" w:hAnsi="Calibri" w:cs="Times New Roman"/>
      <w:szCs w:val="20"/>
      <w:lang w:val="en-GB"/>
    </w:rPr>
  </w:style>
  <w:style w:type="character" w:customStyle="1" w:styleId="BodyTextChar">
    <w:name w:val="Body Text Char"/>
    <w:basedOn w:val="DefaultParagraphFont"/>
    <w:link w:val="BodyText"/>
    <w:uiPriority w:val="99"/>
    <w:rsid w:val="009473F8"/>
    <w:rPr>
      <w:rFonts w:ascii="Calibri" w:eastAsia="Times New Roman" w:hAnsi="Calibri" w:cs="Times New Roman"/>
      <w:szCs w:val="20"/>
      <w:lang w:val="en-GB"/>
    </w:rPr>
  </w:style>
  <w:style w:type="table" w:customStyle="1" w:styleId="TableGrid1">
    <w:name w:val="Table Grid1"/>
    <w:basedOn w:val="TableNormal"/>
    <w:next w:val="TableGrid"/>
    <w:uiPriority w:val="39"/>
    <w:rsid w:val="00432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5800"/>
    <w:rPr>
      <w:sz w:val="16"/>
      <w:szCs w:val="16"/>
    </w:rPr>
  </w:style>
  <w:style w:type="paragraph" w:styleId="CommentText">
    <w:name w:val="annotation text"/>
    <w:basedOn w:val="Normal"/>
    <w:link w:val="CommentTextChar"/>
    <w:uiPriority w:val="99"/>
    <w:unhideWhenUsed/>
    <w:rsid w:val="00335800"/>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33580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95E61"/>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E95E61"/>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79756">
      <w:bodyDiv w:val="1"/>
      <w:marLeft w:val="0"/>
      <w:marRight w:val="0"/>
      <w:marTop w:val="0"/>
      <w:marBottom w:val="0"/>
      <w:divBdr>
        <w:top w:val="none" w:sz="0" w:space="0" w:color="auto"/>
        <w:left w:val="none" w:sz="0" w:space="0" w:color="auto"/>
        <w:bottom w:val="none" w:sz="0" w:space="0" w:color="auto"/>
        <w:right w:val="none" w:sz="0" w:space="0" w:color="auto"/>
      </w:divBdr>
      <w:divsChild>
        <w:div w:id="400719437">
          <w:marLeft w:val="0"/>
          <w:marRight w:val="0"/>
          <w:marTop w:val="0"/>
          <w:marBottom w:val="0"/>
          <w:divBdr>
            <w:top w:val="none" w:sz="0" w:space="0" w:color="auto"/>
            <w:left w:val="none" w:sz="0" w:space="0" w:color="auto"/>
            <w:bottom w:val="none" w:sz="0" w:space="0" w:color="auto"/>
            <w:right w:val="none" w:sz="0" w:space="0" w:color="auto"/>
          </w:divBdr>
          <w:divsChild>
            <w:div w:id="1222133258">
              <w:marLeft w:val="0"/>
              <w:marRight w:val="0"/>
              <w:marTop w:val="0"/>
              <w:marBottom w:val="0"/>
              <w:divBdr>
                <w:top w:val="none" w:sz="0" w:space="0" w:color="auto"/>
                <w:left w:val="none" w:sz="0" w:space="0" w:color="auto"/>
                <w:bottom w:val="none" w:sz="0" w:space="0" w:color="auto"/>
                <w:right w:val="none" w:sz="0" w:space="0" w:color="auto"/>
              </w:divBdr>
            </w:div>
          </w:divsChild>
        </w:div>
        <w:div w:id="1612780075">
          <w:marLeft w:val="0"/>
          <w:marRight w:val="0"/>
          <w:marTop w:val="0"/>
          <w:marBottom w:val="0"/>
          <w:divBdr>
            <w:top w:val="none" w:sz="0" w:space="0" w:color="auto"/>
            <w:left w:val="none" w:sz="0" w:space="0" w:color="auto"/>
            <w:bottom w:val="none" w:sz="0" w:space="0" w:color="auto"/>
            <w:right w:val="none" w:sz="0" w:space="0" w:color="auto"/>
          </w:divBdr>
          <w:divsChild>
            <w:div w:id="1791511246">
              <w:marLeft w:val="0"/>
              <w:marRight w:val="0"/>
              <w:marTop w:val="0"/>
              <w:marBottom w:val="0"/>
              <w:divBdr>
                <w:top w:val="none" w:sz="0" w:space="0" w:color="auto"/>
                <w:left w:val="none" w:sz="0" w:space="0" w:color="auto"/>
                <w:bottom w:val="none" w:sz="0" w:space="0" w:color="auto"/>
                <w:right w:val="none" w:sz="0" w:space="0" w:color="auto"/>
              </w:divBdr>
            </w:div>
          </w:divsChild>
        </w:div>
        <w:div w:id="2030990205">
          <w:marLeft w:val="0"/>
          <w:marRight w:val="0"/>
          <w:marTop w:val="0"/>
          <w:marBottom w:val="0"/>
          <w:divBdr>
            <w:top w:val="none" w:sz="0" w:space="0" w:color="auto"/>
            <w:left w:val="none" w:sz="0" w:space="0" w:color="auto"/>
            <w:bottom w:val="none" w:sz="0" w:space="0" w:color="auto"/>
            <w:right w:val="none" w:sz="0" w:space="0" w:color="auto"/>
          </w:divBdr>
          <w:divsChild>
            <w:div w:id="3877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B6EE-FF40-4A1C-B18A-74FD2904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Anila Panajoti</cp:lastModifiedBy>
  <cp:revision>2</cp:revision>
  <cp:lastPrinted>2023-04-04T06:52:00Z</cp:lastPrinted>
  <dcterms:created xsi:type="dcterms:W3CDTF">2023-07-04T13:18:00Z</dcterms:created>
  <dcterms:modified xsi:type="dcterms:W3CDTF">2023-07-04T13:18:00Z</dcterms:modified>
</cp:coreProperties>
</file>