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7A" w:rsidRPr="003574E9" w:rsidRDefault="0088087A" w:rsidP="00F36768">
      <w:pPr>
        <w:spacing w:beforeLines="20" w:before="48" w:afterLines="20" w:after="48" w:line="276" w:lineRule="auto"/>
        <w:jc w:val="center"/>
        <w:rPr>
          <w:rFonts w:ascii="Times New Roman" w:eastAsia="Calibri" w:hAnsi="Times New Roman"/>
          <w:b/>
          <w:sz w:val="24"/>
          <w:szCs w:val="24"/>
          <w:u w:val="single"/>
          <w:lang w:val="sq-AL" w:bidi="ar-SA"/>
        </w:rPr>
      </w:pPr>
      <w:r w:rsidRPr="003574E9">
        <w:rPr>
          <w:rFonts w:ascii="Times New Roman" w:eastAsia="Calibri" w:hAnsi="Times New Roman"/>
          <w:b/>
          <w:sz w:val="24"/>
          <w:szCs w:val="24"/>
          <w:u w:val="single"/>
          <w:lang w:val="sq-AL" w:bidi="ar-SA"/>
        </w:rPr>
        <w:t>NJOFTIM</w:t>
      </w:r>
    </w:p>
    <w:p w:rsidR="0088087A" w:rsidRPr="003574E9" w:rsidRDefault="0088087A" w:rsidP="00F36768">
      <w:pPr>
        <w:spacing w:beforeLines="20" w:before="48" w:afterLines="20" w:after="48" w:line="276" w:lineRule="auto"/>
        <w:jc w:val="center"/>
        <w:rPr>
          <w:rFonts w:ascii="Times New Roman" w:eastAsia="Calibri" w:hAnsi="Times New Roman"/>
          <w:b/>
          <w:sz w:val="24"/>
          <w:szCs w:val="24"/>
          <w:u w:val="single"/>
          <w:lang w:val="sq-AL" w:bidi="ar-SA"/>
        </w:rPr>
      </w:pPr>
    </w:p>
    <w:p w:rsidR="0088087A" w:rsidRPr="003574E9" w:rsidRDefault="0088087A" w:rsidP="00F36768">
      <w:pPr>
        <w:spacing w:beforeLines="20" w:before="48" w:afterLines="20" w:after="48" w:line="276" w:lineRule="auto"/>
        <w:jc w:val="center"/>
        <w:rPr>
          <w:rFonts w:ascii="Times New Roman" w:eastAsia="Calibri" w:hAnsi="Times New Roman"/>
          <w:b/>
          <w:sz w:val="24"/>
          <w:szCs w:val="24"/>
          <w:lang w:val="sq-AL" w:bidi="ar-SA"/>
        </w:rPr>
      </w:pPr>
      <w:r w:rsidRPr="003574E9">
        <w:rPr>
          <w:rFonts w:ascii="Times New Roman" w:eastAsia="Calibri" w:hAnsi="Times New Roman"/>
          <w:b/>
          <w:sz w:val="24"/>
          <w:szCs w:val="24"/>
          <w:lang w:val="sq-AL" w:bidi="ar-SA"/>
        </w:rPr>
        <w:t>Organizimi i d</w:t>
      </w:r>
      <w:r w:rsidR="0020293C" w:rsidRPr="003574E9">
        <w:rPr>
          <w:rFonts w:ascii="Times New Roman" w:eastAsia="Calibri" w:hAnsi="Times New Roman"/>
          <w:b/>
          <w:sz w:val="24"/>
          <w:szCs w:val="24"/>
          <w:lang w:val="sq-AL" w:bidi="ar-SA"/>
        </w:rPr>
        <w:t>ë</w:t>
      </w:r>
      <w:r w:rsidRPr="003574E9">
        <w:rPr>
          <w:rFonts w:ascii="Times New Roman" w:eastAsia="Calibri" w:hAnsi="Times New Roman"/>
          <w:b/>
          <w:sz w:val="24"/>
          <w:szCs w:val="24"/>
          <w:lang w:val="sq-AL" w:bidi="ar-SA"/>
        </w:rPr>
        <w:t>gjes</w:t>
      </w:r>
      <w:r w:rsidR="0020293C" w:rsidRPr="003574E9">
        <w:rPr>
          <w:rFonts w:ascii="Times New Roman" w:eastAsia="Calibri" w:hAnsi="Times New Roman"/>
          <w:b/>
          <w:sz w:val="24"/>
          <w:szCs w:val="24"/>
          <w:lang w:val="sq-AL" w:bidi="ar-SA"/>
        </w:rPr>
        <w:t>ë</w:t>
      </w:r>
      <w:r w:rsidRPr="003574E9">
        <w:rPr>
          <w:rFonts w:ascii="Times New Roman" w:eastAsia="Calibri" w:hAnsi="Times New Roman"/>
          <w:b/>
          <w:sz w:val="24"/>
          <w:szCs w:val="24"/>
          <w:lang w:val="sq-AL" w:bidi="ar-SA"/>
        </w:rPr>
        <w:t xml:space="preserve">s me grupet e intersit </w:t>
      </w:r>
      <w:r w:rsidRPr="003574E9">
        <w:rPr>
          <w:rFonts w:ascii="Times New Roman" w:hAnsi="Times New Roman"/>
          <w:b/>
          <w:sz w:val="24"/>
          <w:szCs w:val="24"/>
          <w:lang w:val="sq-AL"/>
        </w:rPr>
        <w:t xml:space="preserve">dhe publikun </w:t>
      </w:r>
      <w:r w:rsidR="009569D3">
        <w:rPr>
          <w:rFonts w:ascii="Times New Roman" w:hAnsi="Times New Roman"/>
          <w:b/>
          <w:sz w:val="24"/>
          <w:szCs w:val="24"/>
          <w:lang w:val="sq-AL"/>
        </w:rPr>
        <w:t xml:space="preserve">për konsultimin e </w:t>
      </w:r>
    </w:p>
    <w:p w:rsidR="0088087A" w:rsidRPr="003574E9" w:rsidRDefault="009569D3" w:rsidP="00F36768">
      <w:pPr>
        <w:spacing w:beforeLines="20" w:before="48" w:afterLines="20" w:after="48" w:line="276" w:lineRule="auto"/>
        <w:jc w:val="center"/>
        <w:rPr>
          <w:rFonts w:ascii="Times New Roman" w:eastAsia="Calibri" w:hAnsi="Times New Roman"/>
          <w:b/>
          <w:sz w:val="24"/>
          <w:szCs w:val="24"/>
          <w:lang w:val="sq-AL" w:bidi="ar-SA"/>
        </w:rPr>
      </w:pPr>
      <w:r>
        <w:rPr>
          <w:rFonts w:ascii="Times New Roman" w:eastAsia="Calibri" w:hAnsi="Times New Roman"/>
          <w:b/>
          <w:sz w:val="24"/>
          <w:szCs w:val="24"/>
          <w:lang w:val="sq-AL" w:bidi="ar-SA"/>
        </w:rPr>
        <w:t>RAPORTI</w:t>
      </w:r>
      <w:r w:rsidR="00127824">
        <w:rPr>
          <w:rFonts w:ascii="Times New Roman" w:eastAsia="Calibri" w:hAnsi="Times New Roman"/>
          <w:b/>
          <w:sz w:val="24"/>
          <w:szCs w:val="24"/>
          <w:lang w:val="sq-AL" w:bidi="ar-SA"/>
        </w:rPr>
        <w:t>T TË</w:t>
      </w:r>
      <w:r>
        <w:rPr>
          <w:rFonts w:ascii="Times New Roman" w:eastAsia="Calibri" w:hAnsi="Times New Roman"/>
          <w:b/>
          <w:sz w:val="24"/>
          <w:szCs w:val="24"/>
          <w:lang w:val="sq-AL" w:bidi="ar-SA"/>
        </w:rPr>
        <w:t xml:space="preserve"> </w:t>
      </w:r>
      <w:r w:rsidR="0088087A" w:rsidRPr="003574E9">
        <w:rPr>
          <w:rFonts w:ascii="Times New Roman" w:eastAsia="Calibri" w:hAnsi="Times New Roman"/>
          <w:b/>
          <w:sz w:val="24"/>
          <w:szCs w:val="24"/>
          <w:lang w:val="sq-AL" w:bidi="ar-SA"/>
        </w:rPr>
        <w:t>VLER</w:t>
      </w:r>
      <w:r w:rsidR="0020293C" w:rsidRPr="003574E9">
        <w:rPr>
          <w:rFonts w:ascii="Times New Roman" w:hAnsi="Times New Roman"/>
          <w:b/>
          <w:sz w:val="24"/>
          <w:szCs w:val="24"/>
          <w:lang w:val="sq-AL"/>
        </w:rPr>
        <w:t>Ë</w:t>
      </w:r>
      <w:r w:rsidR="0088087A" w:rsidRPr="003574E9">
        <w:rPr>
          <w:rFonts w:ascii="Times New Roman" w:eastAsia="Calibri" w:hAnsi="Times New Roman"/>
          <w:b/>
          <w:sz w:val="24"/>
          <w:szCs w:val="24"/>
          <w:lang w:val="sq-AL" w:bidi="ar-SA"/>
        </w:rPr>
        <w:t>SIMIT STRATEGJIK MJEDISOR</w:t>
      </w:r>
    </w:p>
    <w:p w:rsidR="0088087A" w:rsidRPr="003574E9" w:rsidRDefault="0088087A" w:rsidP="00F36768">
      <w:pPr>
        <w:spacing w:beforeLines="20" w:before="48" w:afterLines="20" w:after="48" w:line="276" w:lineRule="auto"/>
        <w:jc w:val="center"/>
        <w:rPr>
          <w:rFonts w:ascii="Times New Roman" w:eastAsia="Calibri" w:hAnsi="Times New Roman"/>
          <w:b/>
          <w:sz w:val="24"/>
          <w:szCs w:val="24"/>
          <w:lang w:val="sq-AL" w:bidi="ar-SA"/>
        </w:rPr>
      </w:pPr>
    </w:p>
    <w:p w:rsidR="0088087A" w:rsidRPr="003574E9" w:rsidRDefault="0088087A" w:rsidP="00F36768">
      <w:pPr>
        <w:spacing w:beforeLines="20" w:before="48" w:afterLines="20" w:after="48" w:line="276" w:lineRule="auto"/>
        <w:jc w:val="center"/>
        <w:rPr>
          <w:rFonts w:ascii="Times New Roman" w:eastAsia="Calibri" w:hAnsi="Times New Roman"/>
          <w:b/>
          <w:sz w:val="24"/>
          <w:szCs w:val="24"/>
          <w:lang w:val="sq-AL" w:bidi="ar-SA"/>
        </w:rPr>
      </w:pPr>
      <w:r w:rsidRPr="003574E9">
        <w:rPr>
          <w:rFonts w:ascii="Times New Roman" w:eastAsia="Calibri" w:hAnsi="Times New Roman"/>
          <w:b/>
          <w:sz w:val="24"/>
          <w:szCs w:val="24"/>
          <w:lang w:val="sq-AL" w:bidi="ar-SA"/>
        </w:rPr>
        <w:t>P</w:t>
      </w:r>
      <w:r w:rsidR="0020293C" w:rsidRPr="003574E9">
        <w:rPr>
          <w:rFonts w:ascii="Times New Roman" w:eastAsia="Calibri" w:hAnsi="Times New Roman"/>
          <w:b/>
          <w:sz w:val="24"/>
          <w:szCs w:val="24"/>
          <w:lang w:val="sq-AL" w:bidi="ar-SA"/>
        </w:rPr>
        <w:t>ë</w:t>
      </w:r>
      <w:r w:rsidRPr="003574E9">
        <w:rPr>
          <w:rFonts w:ascii="Times New Roman" w:eastAsia="Calibri" w:hAnsi="Times New Roman"/>
          <w:b/>
          <w:sz w:val="24"/>
          <w:szCs w:val="24"/>
          <w:lang w:val="sq-AL" w:bidi="ar-SA"/>
        </w:rPr>
        <w:t>r</w:t>
      </w:r>
    </w:p>
    <w:p w:rsidR="0088087A" w:rsidRPr="003574E9" w:rsidRDefault="0088087A" w:rsidP="00F36768">
      <w:pPr>
        <w:spacing w:beforeLines="20" w:before="48" w:afterLines="20" w:after="48" w:line="276" w:lineRule="auto"/>
        <w:jc w:val="center"/>
        <w:rPr>
          <w:rFonts w:ascii="Times New Roman" w:eastAsia="Calibri" w:hAnsi="Times New Roman"/>
          <w:b/>
          <w:sz w:val="24"/>
          <w:szCs w:val="24"/>
          <w:u w:val="single"/>
          <w:lang w:val="sq-AL" w:bidi="ar-SA"/>
        </w:rPr>
      </w:pPr>
    </w:p>
    <w:p w:rsidR="0088087A" w:rsidRPr="003574E9" w:rsidRDefault="0020293C" w:rsidP="00F36768">
      <w:pPr>
        <w:spacing w:after="0" w:line="276" w:lineRule="auto"/>
        <w:jc w:val="center"/>
        <w:rPr>
          <w:rFonts w:ascii="Times New Roman" w:hAnsi="Times New Roman"/>
          <w:b/>
          <w:sz w:val="24"/>
          <w:szCs w:val="24"/>
          <w:lang w:val="sq-AL"/>
        </w:rPr>
      </w:pPr>
      <w:r w:rsidRPr="003574E9">
        <w:rPr>
          <w:rFonts w:ascii="Times New Roman" w:eastAsia="Calibri" w:hAnsi="Times New Roman"/>
          <w:b/>
          <w:sz w:val="24"/>
          <w:szCs w:val="24"/>
          <w:lang w:val="sq-AL" w:bidi="ar-SA"/>
        </w:rPr>
        <w:t>STRATEGJIN</w:t>
      </w:r>
      <w:r w:rsidRPr="003574E9">
        <w:rPr>
          <w:rFonts w:ascii="Times New Roman" w:hAnsi="Times New Roman"/>
          <w:b/>
          <w:sz w:val="24"/>
          <w:szCs w:val="24"/>
          <w:lang w:val="sq-AL"/>
        </w:rPr>
        <w:t>Ë</w:t>
      </w:r>
      <w:r w:rsidR="0088087A" w:rsidRPr="003574E9">
        <w:rPr>
          <w:rFonts w:ascii="Times New Roman" w:eastAsia="Calibri" w:hAnsi="Times New Roman"/>
          <w:b/>
          <w:sz w:val="24"/>
          <w:szCs w:val="24"/>
          <w:lang w:val="sq-AL" w:bidi="ar-SA"/>
        </w:rPr>
        <w:t xml:space="preserve"> </w:t>
      </w:r>
      <w:r w:rsidR="0088087A" w:rsidRPr="003574E9">
        <w:rPr>
          <w:rFonts w:ascii="Times New Roman" w:hAnsi="Times New Roman"/>
          <w:b/>
          <w:sz w:val="24"/>
          <w:szCs w:val="24"/>
          <w:lang w:val="sq-AL"/>
        </w:rPr>
        <w:t xml:space="preserve">KOMBËTARE </w:t>
      </w:r>
      <w:r w:rsidRPr="003574E9">
        <w:rPr>
          <w:rFonts w:ascii="Times New Roman" w:hAnsi="Times New Roman"/>
          <w:b/>
          <w:sz w:val="24"/>
          <w:szCs w:val="24"/>
          <w:lang w:val="sq-AL"/>
        </w:rPr>
        <w:t>TË</w:t>
      </w:r>
      <w:r w:rsidR="0088087A" w:rsidRPr="003574E9">
        <w:rPr>
          <w:rFonts w:ascii="Times New Roman" w:hAnsi="Times New Roman"/>
          <w:b/>
          <w:sz w:val="24"/>
          <w:szCs w:val="24"/>
          <w:lang w:val="sq-AL"/>
        </w:rPr>
        <w:t xml:space="preserve"> SEKTORIT TË FURNIZIMIT ME UJË DHE KANALIZIMEVE, 20</w:t>
      </w:r>
      <w:r w:rsidR="00096949" w:rsidRPr="003574E9">
        <w:rPr>
          <w:rFonts w:ascii="Times New Roman" w:hAnsi="Times New Roman"/>
          <w:b/>
          <w:sz w:val="24"/>
          <w:szCs w:val="24"/>
          <w:lang w:val="sq-AL"/>
        </w:rPr>
        <w:t>2</w:t>
      </w:r>
      <w:r w:rsidR="00E7151E" w:rsidRPr="003574E9">
        <w:rPr>
          <w:rFonts w:ascii="Times New Roman" w:hAnsi="Times New Roman"/>
          <w:b/>
          <w:sz w:val="24"/>
          <w:szCs w:val="24"/>
          <w:lang w:val="sq-AL"/>
        </w:rPr>
        <w:t>3</w:t>
      </w:r>
      <w:r w:rsidR="0088087A" w:rsidRPr="003574E9">
        <w:rPr>
          <w:rFonts w:ascii="Times New Roman" w:hAnsi="Times New Roman"/>
          <w:b/>
          <w:sz w:val="24"/>
          <w:szCs w:val="24"/>
          <w:lang w:val="sq-AL"/>
        </w:rPr>
        <w:t>-2030</w:t>
      </w:r>
    </w:p>
    <w:p w:rsidR="0088087A" w:rsidRPr="003574E9" w:rsidRDefault="0088087A" w:rsidP="003574E9">
      <w:pPr>
        <w:suppressAutoHyphens w:val="0"/>
        <w:autoSpaceDE w:val="0"/>
        <w:adjustRightInd w:val="0"/>
        <w:spacing w:beforeLines="20" w:before="48" w:afterLines="20" w:after="48" w:line="276" w:lineRule="auto"/>
        <w:jc w:val="both"/>
        <w:textAlignment w:val="auto"/>
        <w:rPr>
          <w:rFonts w:ascii="Times New Roman" w:eastAsia="Calibri" w:hAnsi="Times New Roman"/>
          <w:b/>
          <w:sz w:val="24"/>
          <w:szCs w:val="24"/>
          <w:lang w:val="sq-AL" w:bidi="ar-SA"/>
        </w:rPr>
      </w:pPr>
    </w:p>
    <w:p w:rsidR="0088087A" w:rsidRPr="003574E9" w:rsidRDefault="0088087A" w:rsidP="003574E9">
      <w:pPr>
        <w:suppressAutoHyphens w:val="0"/>
        <w:autoSpaceDE w:val="0"/>
        <w:adjustRightInd w:val="0"/>
        <w:spacing w:beforeLines="20" w:before="48" w:afterLines="20" w:after="48" w:line="276" w:lineRule="auto"/>
        <w:jc w:val="both"/>
        <w:textAlignment w:val="auto"/>
        <w:rPr>
          <w:rFonts w:ascii="Times New Roman" w:eastAsia="Calibri" w:hAnsi="Times New Roman"/>
          <w:b/>
          <w:sz w:val="24"/>
          <w:szCs w:val="24"/>
          <w:lang w:val="sq-AL" w:bidi="ar-SA"/>
        </w:rPr>
      </w:pPr>
    </w:p>
    <w:p w:rsidR="0088087A" w:rsidRPr="003574E9" w:rsidRDefault="0088087A" w:rsidP="003574E9">
      <w:pPr>
        <w:suppressAutoHyphens w:val="0"/>
        <w:autoSpaceDE w:val="0"/>
        <w:adjustRightInd w:val="0"/>
        <w:spacing w:beforeLines="20" w:before="48" w:afterLines="20" w:after="48" w:line="276" w:lineRule="auto"/>
        <w:jc w:val="both"/>
        <w:textAlignment w:val="auto"/>
        <w:rPr>
          <w:rFonts w:ascii="Times New Roman" w:eastAsia="Calibri" w:hAnsi="Times New Roman"/>
          <w:b/>
          <w:sz w:val="24"/>
          <w:szCs w:val="24"/>
          <w:lang w:val="sq-AL" w:bidi="ar-SA"/>
        </w:rPr>
      </w:pPr>
      <w:r w:rsidRPr="003574E9">
        <w:rPr>
          <w:rFonts w:ascii="Times New Roman" w:eastAsia="Calibri" w:hAnsi="Times New Roman"/>
          <w:b/>
          <w:sz w:val="24"/>
          <w:szCs w:val="24"/>
          <w:lang w:val="sq-AL" w:bidi="ar-SA"/>
        </w:rPr>
        <w:t>Dat</w:t>
      </w:r>
      <w:r w:rsidR="0020293C" w:rsidRPr="003574E9">
        <w:rPr>
          <w:rFonts w:ascii="Times New Roman" w:eastAsia="Calibri" w:hAnsi="Times New Roman"/>
          <w:b/>
          <w:sz w:val="24"/>
          <w:szCs w:val="24"/>
          <w:lang w:val="sq-AL" w:bidi="ar-SA"/>
        </w:rPr>
        <w:t>ë</w:t>
      </w:r>
      <w:r w:rsidRPr="003574E9">
        <w:rPr>
          <w:rFonts w:ascii="Times New Roman" w:eastAsia="Calibri" w:hAnsi="Times New Roman"/>
          <w:b/>
          <w:sz w:val="24"/>
          <w:szCs w:val="24"/>
          <w:lang w:val="sq-AL" w:bidi="ar-SA"/>
        </w:rPr>
        <w:t xml:space="preserve">: </w:t>
      </w:r>
      <w:r w:rsidRPr="003574E9">
        <w:rPr>
          <w:rFonts w:ascii="Times New Roman" w:eastAsia="Calibri" w:hAnsi="Times New Roman"/>
          <w:b/>
          <w:sz w:val="24"/>
          <w:szCs w:val="24"/>
          <w:lang w:val="sq-AL" w:bidi="ar-SA"/>
        </w:rPr>
        <w:tab/>
      </w:r>
      <w:r w:rsidR="00127824">
        <w:rPr>
          <w:rFonts w:ascii="Times New Roman" w:eastAsia="Calibri" w:hAnsi="Times New Roman"/>
          <w:b/>
          <w:sz w:val="24"/>
          <w:szCs w:val="24"/>
          <w:lang w:val="sq-AL" w:bidi="ar-SA"/>
        </w:rPr>
        <w:t>11.04</w:t>
      </w:r>
      <w:r w:rsidR="00E7151E" w:rsidRPr="003574E9">
        <w:rPr>
          <w:rFonts w:ascii="Times New Roman" w:eastAsia="Calibri" w:hAnsi="Times New Roman"/>
          <w:b/>
          <w:sz w:val="24"/>
          <w:szCs w:val="24"/>
          <w:lang w:val="sq-AL" w:bidi="ar-SA"/>
        </w:rPr>
        <w:t>.2023</w:t>
      </w:r>
    </w:p>
    <w:p w:rsidR="0088087A" w:rsidRPr="003574E9" w:rsidRDefault="003160CF" w:rsidP="003574E9">
      <w:pPr>
        <w:suppressAutoHyphens w:val="0"/>
        <w:autoSpaceDE w:val="0"/>
        <w:adjustRightInd w:val="0"/>
        <w:spacing w:beforeLines="20" w:before="48" w:afterLines="20" w:after="48" w:line="276" w:lineRule="auto"/>
        <w:jc w:val="both"/>
        <w:textAlignment w:val="auto"/>
        <w:rPr>
          <w:rFonts w:ascii="Times New Roman" w:eastAsia="Calibri" w:hAnsi="Times New Roman"/>
          <w:b/>
          <w:sz w:val="24"/>
          <w:szCs w:val="24"/>
          <w:lang w:val="sq-AL" w:bidi="ar-SA"/>
        </w:rPr>
      </w:pPr>
      <w:r w:rsidRPr="003574E9">
        <w:rPr>
          <w:rFonts w:ascii="Times New Roman" w:eastAsia="Calibri" w:hAnsi="Times New Roman"/>
          <w:b/>
          <w:sz w:val="24"/>
          <w:szCs w:val="24"/>
          <w:lang w:val="sq-AL" w:bidi="ar-SA"/>
        </w:rPr>
        <w:t xml:space="preserve">Ora: </w:t>
      </w:r>
      <w:r w:rsidRPr="003574E9">
        <w:rPr>
          <w:rFonts w:ascii="Times New Roman" w:eastAsia="Calibri" w:hAnsi="Times New Roman"/>
          <w:b/>
          <w:sz w:val="24"/>
          <w:szCs w:val="24"/>
          <w:lang w:val="sq-AL" w:bidi="ar-SA"/>
        </w:rPr>
        <w:tab/>
        <w:t>1</w:t>
      </w:r>
      <w:r w:rsidR="00E7151E" w:rsidRPr="003574E9">
        <w:rPr>
          <w:rFonts w:ascii="Times New Roman" w:eastAsia="Calibri" w:hAnsi="Times New Roman"/>
          <w:b/>
          <w:sz w:val="24"/>
          <w:szCs w:val="24"/>
          <w:lang w:val="sq-AL" w:bidi="ar-SA"/>
        </w:rPr>
        <w:t>0</w:t>
      </w:r>
      <w:r w:rsidR="0088087A" w:rsidRPr="003574E9">
        <w:rPr>
          <w:rFonts w:ascii="Times New Roman" w:eastAsia="Calibri" w:hAnsi="Times New Roman"/>
          <w:b/>
          <w:sz w:val="24"/>
          <w:szCs w:val="24"/>
          <w:lang w:val="sq-AL" w:bidi="ar-SA"/>
        </w:rPr>
        <w:t>:</w:t>
      </w:r>
      <w:r w:rsidR="00127824">
        <w:rPr>
          <w:rFonts w:ascii="Times New Roman" w:eastAsia="Calibri" w:hAnsi="Times New Roman"/>
          <w:b/>
          <w:sz w:val="24"/>
          <w:szCs w:val="24"/>
          <w:lang w:val="sq-AL" w:bidi="ar-SA"/>
        </w:rPr>
        <w:t>30</w:t>
      </w:r>
      <w:bookmarkStart w:id="0" w:name="_GoBack"/>
      <w:bookmarkEnd w:id="0"/>
    </w:p>
    <w:p w:rsidR="0088087A" w:rsidRPr="003574E9" w:rsidRDefault="0088087A" w:rsidP="003574E9">
      <w:pPr>
        <w:suppressAutoHyphens w:val="0"/>
        <w:autoSpaceDE w:val="0"/>
        <w:adjustRightInd w:val="0"/>
        <w:spacing w:beforeLines="20" w:before="48" w:afterLines="20" w:after="48" w:line="276" w:lineRule="auto"/>
        <w:jc w:val="both"/>
        <w:textAlignment w:val="auto"/>
        <w:rPr>
          <w:rFonts w:ascii="Times New Roman" w:eastAsia="Calibri" w:hAnsi="Times New Roman"/>
          <w:b/>
          <w:sz w:val="24"/>
          <w:szCs w:val="24"/>
          <w:lang w:val="sq-AL" w:bidi="ar-SA"/>
        </w:rPr>
      </w:pPr>
      <w:r w:rsidRPr="003574E9">
        <w:rPr>
          <w:rFonts w:ascii="Times New Roman" w:eastAsia="Calibri" w:hAnsi="Times New Roman"/>
          <w:b/>
          <w:sz w:val="24"/>
          <w:szCs w:val="24"/>
          <w:lang w:val="sq-AL" w:bidi="ar-SA"/>
        </w:rPr>
        <w:t>Vendi:</w:t>
      </w:r>
      <w:r w:rsidRPr="003574E9">
        <w:rPr>
          <w:rFonts w:ascii="Times New Roman" w:eastAsia="Calibri" w:hAnsi="Times New Roman"/>
          <w:b/>
          <w:sz w:val="24"/>
          <w:szCs w:val="24"/>
          <w:lang w:val="sq-AL" w:bidi="ar-SA"/>
        </w:rPr>
        <w:tab/>
      </w:r>
      <w:r w:rsidR="0020293C" w:rsidRPr="003574E9">
        <w:rPr>
          <w:rFonts w:ascii="Times New Roman" w:eastAsia="Calibri" w:hAnsi="Times New Roman"/>
          <w:b/>
          <w:sz w:val="24"/>
          <w:szCs w:val="24"/>
          <w:lang w:val="sq-AL" w:bidi="ar-SA"/>
        </w:rPr>
        <w:t xml:space="preserve"> Ministria e Infrastrukturës dhe Energjisë</w:t>
      </w:r>
    </w:p>
    <w:p w:rsidR="00BA67A7" w:rsidRPr="003574E9" w:rsidRDefault="00BA67A7" w:rsidP="003574E9">
      <w:pPr>
        <w:suppressAutoHyphens w:val="0"/>
        <w:autoSpaceDE w:val="0"/>
        <w:adjustRightInd w:val="0"/>
        <w:spacing w:after="0" w:line="276" w:lineRule="auto"/>
        <w:jc w:val="both"/>
        <w:textAlignment w:val="auto"/>
        <w:rPr>
          <w:rFonts w:ascii="Times New Roman" w:eastAsia="Calibri" w:hAnsi="Times New Roman"/>
          <w:b/>
          <w:sz w:val="24"/>
          <w:szCs w:val="24"/>
          <w:u w:val="single"/>
          <w:lang w:val="sq-AL" w:bidi="ar-SA"/>
        </w:rPr>
      </w:pPr>
    </w:p>
    <w:p w:rsidR="0020293C" w:rsidRPr="003574E9" w:rsidRDefault="0020293C" w:rsidP="00F36768">
      <w:pPr>
        <w:suppressAutoHyphens w:val="0"/>
        <w:autoSpaceDE w:val="0"/>
        <w:adjustRightInd w:val="0"/>
        <w:spacing w:after="0" w:line="276" w:lineRule="auto"/>
        <w:jc w:val="center"/>
        <w:textAlignment w:val="auto"/>
        <w:rPr>
          <w:rFonts w:ascii="Times New Roman" w:eastAsia="Calibri" w:hAnsi="Times New Roman"/>
          <w:b/>
          <w:sz w:val="24"/>
          <w:szCs w:val="24"/>
          <w:u w:val="single"/>
          <w:lang w:val="sq-AL" w:bidi="ar-SA"/>
        </w:rPr>
      </w:pPr>
    </w:p>
    <w:p w:rsidR="00BA67A7" w:rsidRPr="003574E9" w:rsidRDefault="0020293C" w:rsidP="00F36768">
      <w:pPr>
        <w:suppressAutoHyphens w:val="0"/>
        <w:autoSpaceDE w:val="0"/>
        <w:adjustRightInd w:val="0"/>
        <w:spacing w:after="0" w:line="276" w:lineRule="auto"/>
        <w:jc w:val="center"/>
        <w:textAlignment w:val="auto"/>
        <w:rPr>
          <w:rFonts w:ascii="Times New Roman" w:eastAsia="Calibri" w:hAnsi="Times New Roman"/>
          <w:b/>
          <w:sz w:val="24"/>
          <w:szCs w:val="24"/>
          <w:lang w:val="sq-AL" w:bidi="ar-SA"/>
        </w:rPr>
      </w:pPr>
      <w:r w:rsidRPr="003574E9">
        <w:rPr>
          <w:rFonts w:ascii="Times New Roman" w:eastAsia="Calibri" w:hAnsi="Times New Roman"/>
          <w:b/>
          <w:sz w:val="24"/>
          <w:szCs w:val="24"/>
          <w:lang w:val="sq-AL" w:bidi="ar-SA"/>
        </w:rPr>
        <w:t>RELACION</w:t>
      </w:r>
    </w:p>
    <w:p w:rsidR="00BA67A7" w:rsidRPr="003574E9" w:rsidRDefault="00BA67A7" w:rsidP="003574E9">
      <w:pPr>
        <w:tabs>
          <w:tab w:val="left" w:pos="2835"/>
        </w:tabs>
        <w:spacing w:after="0" w:line="276" w:lineRule="auto"/>
        <w:jc w:val="both"/>
        <w:rPr>
          <w:rFonts w:ascii="Times New Roman" w:hAnsi="Times New Roman"/>
          <w:sz w:val="24"/>
          <w:szCs w:val="24"/>
          <w:lang w:val="sq-AL"/>
        </w:rPr>
      </w:pPr>
    </w:p>
    <w:p w:rsidR="0020293C" w:rsidRPr="003574E9" w:rsidRDefault="0020293C" w:rsidP="003574E9">
      <w:pPr>
        <w:tabs>
          <w:tab w:val="left" w:pos="2835"/>
        </w:tabs>
        <w:spacing w:after="0" w:line="276" w:lineRule="auto"/>
        <w:jc w:val="both"/>
        <w:rPr>
          <w:rFonts w:ascii="Times New Roman" w:hAnsi="Times New Roman"/>
          <w:sz w:val="24"/>
          <w:szCs w:val="24"/>
          <w:lang w:val="sq-AL"/>
        </w:rPr>
      </w:pPr>
    </w:p>
    <w:p w:rsidR="00654AA2" w:rsidRPr="003574E9" w:rsidRDefault="00654AA2" w:rsidP="003574E9">
      <w:pPr>
        <w:tabs>
          <w:tab w:val="left" w:pos="720"/>
        </w:tabs>
        <w:suppressAutoHyphens w:val="0"/>
        <w:autoSpaceDN/>
        <w:spacing w:after="0" w:line="276" w:lineRule="auto"/>
        <w:jc w:val="both"/>
        <w:textAlignment w:val="auto"/>
        <w:rPr>
          <w:rFonts w:ascii="Times New Roman" w:hAnsi="Times New Roman"/>
          <w:noProof/>
          <w:sz w:val="24"/>
          <w:szCs w:val="24"/>
          <w:lang w:val="sq-AL"/>
        </w:rPr>
      </w:pPr>
      <w:r w:rsidRPr="003574E9">
        <w:rPr>
          <w:rFonts w:ascii="Times New Roman" w:hAnsi="Times New Roman"/>
          <w:noProof/>
          <w:sz w:val="24"/>
          <w:szCs w:val="24"/>
          <w:lang w:val="sq-AL"/>
        </w:rPr>
        <w:t xml:space="preserve">QËLLIMI I HARTIMIT TË STRATEGJISË: </w:t>
      </w: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bookmarkStart w:id="1" w:name="_Toc398037068"/>
      <w:bookmarkStart w:id="2" w:name="_Toc425933626"/>
      <w:bookmarkStart w:id="3" w:name="_Toc431645065"/>
    </w:p>
    <w:p w:rsidR="00654AA2" w:rsidRPr="003574E9" w:rsidRDefault="00654AA2" w:rsidP="003574E9">
      <w:pPr>
        <w:spacing w:after="0" w:line="276" w:lineRule="auto"/>
        <w:jc w:val="both"/>
        <w:rPr>
          <w:rFonts w:ascii="Times New Roman" w:hAnsi="Times New Roman"/>
          <w:b/>
          <w:noProof/>
          <w:sz w:val="24"/>
          <w:szCs w:val="24"/>
          <w:lang w:val="sq-AL"/>
        </w:rPr>
      </w:pPr>
      <w:r w:rsidRPr="003574E9">
        <w:rPr>
          <w:rFonts w:ascii="Times New Roman" w:hAnsi="Times New Roman"/>
          <w:noProof/>
          <w:sz w:val="24"/>
          <w:szCs w:val="24"/>
          <w:lang w:val="sq-AL"/>
        </w:rPr>
        <w:t xml:space="preserve">Qëllimi i Strategjisë së Sektorit të Furnizimit me Ujë dhe Kanalizime është të përmirësojë ofrimin e shërbimeve të furnizimit me ujë dhe kanalizimeve për qytetarët e Shqipërisë dhe të mbështesë zhvillimin ekonomik të vendit, bazuar në kryerjen e një shërbimi kryesor të infrastrukturës. Për të realizuar përmbushjen e këtij qëllimi, është thelbësore që Strategjia të përcaktojë disa të dhëna bazë dhe informacion që kanë të bëjnë me popullsinë, modelet e saj të ndryshimit dhe gjendjen ekonomike të popullsisë. </w:t>
      </w: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r w:rsidRPr="003574E9">
        <w:rPr>
          <w:rFonts w:ascii="Times New Roman" w:hAnsi="Times New Roman" w:cs="Times New Roman"/>
          <w:b w:val="0"/>
          <w:noProof/>
          <w:lang w:val="sq-AL"/>
        </w:rPr>
        <w:t>Qeveria e Shqipërisë ka prioritet parësor sigurimin e shërbimeve të furnizimit me ujë dhe kanalizime të besueshme të menaxhuara në mënyrë eficiente dhe të sigurt dhe planifikon mbështetjen e nevojshme për zhvillimin e qëndrueshëm kombëtar; rritjen e standardeve të jetesës dhe mirëqenien e popullsisë dhe përmirësimin e konsiderueshëm të shëndetit. Reformat e qeverisë janë hartuar për të sjellë përmirësimin e ofrimit të shërbimeve të fu</w:t>
      </w:r>
      <w:r w:rsidR="00752952" w:rsidRPr="003574E9">
        <w:rPr>
          <w:rFonts w:ascii="Times New Roman" w:hAnsi="Times New Roman" w:cs="Times New Roman"/>
          <w:b w:val="0"/>
          <w:noProof/>
          <w:lang w:val="sq-AL"/>
        </w:rPr>
        <w:t>rnizimit me ujë dhe kanalizime.</w:t>
      </w: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r w:rsidRPr="003574E9">
        <w:rPr>
          <w:rFonts w:ascii="Times New Roman" w:hAnsi="Times New Roman" w:cs="Times New Roman"/>
          <w:b w:val="0"/>
          <w:noProof/>
          <w:lang w:val="sq-AL"/>
        </w:rPr>
        <w:t xml:space="preserve">Kjo Strategji Sektoriale për Shërbimet Ujësjellës Kanalizime për periudhën 2023-2030 është përgatitur me qëllim për të paraqitur Vizionin, Misionin, Objektivat Strategjikë dhe Planet e Veprimit në Shqipëri në mënyrë të qartë, specifike, sasiore dhe kohore, në përputhje me Angazhimet e Vendit tonë drejt arritjes së Objektivave për Zhvillimin e Qëndrueshëm të Kombeve të Bashkuara. Kjo Strategji e Sektorit të Furnizimit me Ujë dhe Kanalizime do të shqyrtohet nga </w:t>
      </w:r>
      <w:r w:rsidRPr="003574E9">
        <w:rPr>
          <w:rFonts w:ascii="Times New Roman" w:hAnsi="Times New Roman" w:cs="Times New Roman"/>
          <w:b w:val="0"/>
          <w:noProof/>
          <w:lang w:val="sq-AL"/>
        </w:rPr>
        <w:lastRenderedPageBreak/>
        <w:t>Këshilli i Ministrave për të bashkërenduar objektivat dhe prioritetet kryesore të sektorit UK në Republikën e Shqipërisë, si dhe hartimin e propozimeve për zbatimin dhe financimin e politikave me qëllim arritjen e këtyre objektivave brenda periudhes 7 vjeçare të Strategjisë. Strategjia ndërthur gjetjet nga Konsultimet e Grupit Ndër</w:t>
      </w:r>
      <w:r w:rsidR="007D002D" w:rsidRPr="003574E9">
        <w:rPr>
          <w:rFonts w:ascii="Times New Roman" w:hAnsi="Times New Roman" w:cs="Times New Roman"/>
          <w:b w:val="0"/>
          <w:noProof/>
          <w:lang w:val="sq-AL"/>
        </w:rPr>
        <w:t>institucional</w:t>
      </w:r>
      <w:r w:rsidRPr="003574E9">
        <w:rPr>
          <w:rFonts w:ascii="Times New Roman" w:hAnsi="Times New Roman" w:cs="Times New Roman"/>
          <w:b w:val="0"/>
          <w:noProof/>
          <w:lang w:val="sq-AL"/>
        </w:rPr>
        <w:t xml:space="preserve"> të Punës dhe analizat përkatëse, duke përfshirë një vlerësim të detajuar të situatës aktuale, kuadrin ligjor dhe rregullator, shpenzimet publike të planifikuara dhe burimet e financimit për sektorin e ujit.</w:t>
      </w: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r w:rsidRPr="003574E9">
        <w:rPr>
          <w:rFonts w:ascii="Times New Roman" w:hAnsi="Times New Roman" w:cs="Times New Roman"/>
          <w:b w:val="0"/>
          <w:noProof/>
          <w:lang w:val="sq-AL"/>
        </w:rPr>
        <w:t>Si një vend bashkë</w:t>
      </w:r>
      <w:r w:rsidR="008F5707" w:rsidRPr="003574E9">
        <w:rPr>
          <w:rFonts w:ascii="Times New Roman" w:hAnsi="Times New Roman" w:cs="Times New Roman"/>
          <w:b w:val="0"/>
          <w:noProof/>
          <w:lang w:val="sq-AL"/>
        </w:rPr>
        <w:t>-</w:t>
      </w:r>
      <w:r w:rsidRPr="003574E9">
        <w:rPr>
          <w:rFonts w:ascii="Times New Roman" w:hAnsi="Times New Roman" w:cs="Times New Roman"/>
          <w:b w:val="0"/>
          <w:noProof/>
          <w:lang w:val="sq-AL"/>
        </w:rPr>
        <w:t>sponsorizuese e Rezolutës së Kombeve të Bashkuara për “Aksesin me Ujë të Pijshëm të sigurtë dhe Kanalizime si e drejtë e njeriut” është e angazhuar të bëjë atë cka i takon për të garantuar barazi për të gjithë qytetarët përsa i përket të drejtave të njeriut në lidhje me ujin e pijshëm dhe kanalizimet. Ekziston një objektiv specifik për ujin dhe kanalizimet, i cili shkon përtej ofrimit të shërbimeve të furnizimit me ujë dhe kanalizime drejt menaxhimit të ujërave të ndotura, cilësisë së ujit në mjedis, efikasitetit të ujit, menaxhimit të integruar të burimeve ujore dhe mbrojtjes së ekosistemeve ujore si tregues të rëndësishëm.</w:t>
      </w:r>
    </w:p>
    <w:p w:rsidR="00654AA2" w:rsidRPr="003574E9" w:rsidRDefault="00654AA2" w:rsidP="003574E9">
      <w:pPr>
        <w:pStyle w:val="NormalWeb"/>
        <w:spacing w:before="0" w:beforeAutospacing="0" w:after="0" w:afterAutospacing="0" w:line="276" w:lineRule="auto"/>
        <w:jc w:val="both"/>
        <w:rPr>
          <w:bCs/>
          <w:noProof/>
          <w:lang w:val="sq-AL"/>
        </w:rPr>
      </w:pP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r w:rsidRPr="003574E9">
        <w:rPr>
          <w:rFonts w:ascii="Times New Roman" w:hAnsi="Times New Roman" w:cs="Times New Roman"/>
          <w:b w:val="0"/>
          <w:noProof/>
          <w:lang w:val="sq-AL"/>
        </w:rPr>
        <w:t>Qeveria e Shqipërisë është e vetëdijshme që është përgjegjëse për mbrojtjen e burimeve natyrore të vendit si një pasuri e madhe kombëtare. Duke patur parasysh këtë fakt, kjo Strategji synon të japë kontributin e saj në mbrojten dhe administrimin e këtyre burime natyrore jo vetëm sot, por për të gjithë brezat që vijnë. Për këtë arsye, kjo strategji është një hap i madh dhe realizimi i saj do të përmbushë premtimin për të ofruar ujë të pijshëm të sigurt dhe kanalizime për të gjithë në të ardhmen.</w:t>
      </w:r>
    </w:p>
    <w:p w:rsidR="00654AA2" w:rsidRPr="003574E9" w:rsidRDefault="00654AA2" w:rsidP="003574E9">
      <w:pPr>
        <w:pStyle w:val="Head1"/>
        <w:spacing w:after="0" w:line="276" w:lineRule="auto"/>
        <w:ind w:left="0" w:firstLine="0"/>
        <w:jc w:val="both"/>
        <w:outlineLvl w:val="0"/>
        <w:rPr>
          <w:rFonts w:ascii="Times New Roman" w:hAnsi="Times New Roman" w:cs="Times New Roman"/>
          <w:b w:val="0"/>
          <w:noProof/>
          <w:lang w:val="sq-AL"/>
        </w:rPr>
      </w:pPr>
    </w:p>
    <w:p w:rsidR="00654AA2" w:rsidRPr="003574E9" w:rsidRDefault="00654AA2" w:rsidP="003574E9">
      <w:pPr>
        <w:keepNext/>
        <w:spacing w:after="0" w:line="276" w:lineRule="auto"/>
        <w:jc w:val="both"/>
        <w:outlineLvl w:val="1"/>
        <w:rPr>
          <w:rFonts w:ascii="Times New Roman" w:hAnsi="Times New Roman"/>
          <w:b/>
          <w:bCs/>
          <w:iCs/>
          <w:noProof/>
          <w:sz w:val="24"/>
          <w:szCs w:val="24"/>
          <w:lang w:val="sq-AL" w:eastAsia="x-none"/>
        </w:rPr>
      </w:pPr>
      <w:r w:rsidRPr="003574E9">
        <w:rPr>
          <w:rFonts w:ascii="Times New Roman" w:hAnsi="Times New Roman"/>
          <w:b/>
          <w:bCs/>
          <w:iCs/>
          <w:noProof/>
          <w:sz w:val="24"/>
          <w:szCs w:val="24"/>
          <w:lang w:val="sq-AL" w:eastAsia="x-none"/>
        </w:rPr>
        <w:t xml:space="preserve">Vizioni </w:t>
      </w:r>
    </w:p>
    <w:p w:rsidR="00654AA2" w:rsidRPr="003574E9" w:rsidRDefault="00654AA2" w:rsidP="003574E9">
      <w:pPr>
        <w:spacing w:after="0" w:line="276" w:lineRule="auto"/>
        <w:jc w:val="both"/>
        <w:rPr>
          <w:rFonts w:ascii="Times New Roman" w:hAnsi="Times New Roman"/>
          <w:noProof/>
          <w:sz w:val="24"/>
          <w:szCs w:val="24"/>
          <w:lang w:val="sq-AL" w:eastAsia="x-none"/>
        </w:rPr>
      </w:pPr>
      <w:r w:rsidRPr="003574E9">
        <w:rPr>
          <w:rFonts w:ascii="Times New Roman" w:hAnsi="Times New Roman"/>
          <w:noProof/>
          <w:sz w:val="24"/>
          <w:szCs w:val="24"/>
          <w:lang w:val="sq-AL" w:eastAsia="x-none"/>
        </w:rPr>
        <w:t>Deklarata e Vizionit është një mesazh i thjeshtë por i fuqishëm që përshkruan punën e madhe për ofrimin e shërbimeve të furnizimit me ujë dhe kanalizime si shërbime thelbësore dhe kritike për jetën e njeriut. Deklarata e kësaj Strategjie Sektoriale përcakton drejtimin ku do të fokusohen investimet duke synuar cilësinë më të lartë të shërbimeve për periudhën 2023-2030.</w:t>
      </w:r>
    </w:p>
    <w:tbl>
      <w:tblPr>
        <w:tblW w:w="9450" w:type="dxa"/>
        <w:tblInd w:w="108" w:type="dxa"/>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9450"/>
      </w:tblGrid>
      <w:tr w:rsidR="00654AA2" w:rsidRPr="003574E9" w:rsidTr="00FF0524">
        <w:trPr>
          <w:trHeight w:val="762"/>
        </w:trPr>
        <w:tc>
          <w:tcPr>
            <w:tcW w:w="9450" w:type="dxa"/>
            <w:shd w:val="clear" w:color="auto" w:fill="C0504D"/>
            <w:vAlign w:val="center"/>
          </w:tcPr>
          <w:p w:rsidR="00654AA2" w:rsidRPr="003574E9" w:rsidRDefault="00654AA2" w:rsidP="003574E9">
            <w:pPr>
              <w:spacing w:after="0" w:line="276" w:lineRule="auto"/>
              <w:jc w:val="both"/>
              <w:rPr>
                <w:rFonts w:ascii="Times New Roman" w:hAnsi="Times New Roman"/>
                <w:b/>
                <w:bCs/>
                <w:noProof/>
                <w:color w:val="FFFFFF"/>
                <w:sz w:val="24"/>
                <w:szCs w:val="24"/>
                <w:lang w:val="sq-AL"/>
              </w:rPr>
            </w:pPr>
            <w:r w:rsidRPr="003574E9">
              <w:rPr>
                <w:rFonts w:ascii="Times New Roman" w:hAnsi="Times New Roman"/>
                <w:b/>
                <w:bCs/>
                <w:noProof/>
                <w:color w:val="FFFFFF"/>
                <w:sz w:val="24"/>
                <w:szCs w:val="24"/>
                <w:lang w:val="sq-AL"/>
              </w:rPr>
              <w:t>VIZIONI</w:t>
            </w:r>
          </w:p>
        </w:tc>
      </w:tr>
      <w:tr w:rsidR="00654AA2" w:rsidRPr="003574E9" w:rsidTr="00FF0524">
        <w:trPr>
          <w:trHeight w:val="1114"/>
        </w:trPr>
        <w:tc>
          <w:tcPr>
            <w:tcW w:w="9450" w:type="dxa"/>
            <w:tcBorders>
              <w:top w:val="single" w:sz="8" w:space="0" w:color="C0504D"/>
              <w:left w:val="single" w:sz="8" w:space="0" w:color="C0504D"/>
              <w:bottom w:val="single" w:sz="8" w:space="0" w:color="C0504D"/>
              <w:right w:val="single" w:sz="8" w:space="0" w:color="C0504D"/>
            </w:tcBorders>
          </w:tcPr>
          <w:p w:rsidR="00654AA2" w:rsidRPr="003574E9" w:rsidRDefault="00654AA2" w:rsidP="003574E9">
            <w:pPr>
              <w:spacing w:after="0" w:line="276" w:lineRule="auto"/>
              <w:jc w:val="both"/>
              <w:rPr>
                <w:rFonts w:ascii="Times New Roman" w:hAnsi="Times New Roman"/>
                <w:b/>
                <w:bCs/>
                <w:noProof/>
                <w:sz w:val="24"/>
                <w:szCs w:val="24"/>
                <w:lang w:val="sq-AL"/>
              </w:rPr>
            </w:pPr>
            <w:r w:rsidRPr="003574E9">
              <w:rPr>
                <w:rFonts w:ascii="Times New Roman" w:hAnsi="Times New Roman"/>
                <w:b/>
                <w:bCs/>
                <w:noProof/>
                <w:sz w:val="24"/>
                <w:szCs w:val="24"/>
                <w:lang w:val="sq-AL"/>
              </w:rPr>
              <w:t>UJË PËR NJERËZIT, NJERËZIT PËR UJIN</w:t>
            </w:r>
          </w:p>
          <w:p w:rsidR="00654AA2" w:rsidRPr="003574E9" w:rsidRDefault="00654AA2" w:rsidP="003574E9">
            <w:pPr>
              <w:spacing w:after="0" w:line="276" w:lineRule="auto"/>
              <w:jc w:val="both"/>
              <w:rPr>
                <w:rFonts w:ascii="Times New Roman" w:hAnsi="Times New Roman"/>
                <w:bCs/>
                <w:noProof/>
                <w:color w:val="FFFFFF"/>
                <w:sz w:val="24"/>
                <w:szCs w:val="24"/>
                <w:lang w:val="sq-AL"/>
              </w:rPr>
            </w:pPr>
            <w:r w:rsidRPr="003574E9">
              <w:rPr>
                <w:rFonts w:ascii="Times New Roman" w:hAnsi="Times New Roman"/>
                <w:bCs/>
                <w:noProof/>
                <w:sz w:val="24"/>
                <w:szCs w:val="24"/>
                <w:lang w:val="sq-AL"/>
              </w:rPr>
              <w:t>Drejt një sektori të mirë organizuar të furnizimit me ujë dhe kanalizime që siguron shërbime cilësore në mbrojtje të shëndetit publik dhe kontribon në zhvillimin e qëndrueshëm ekonomik.</w:t>
            </w:r>
          </w:p>
        </w:tc>
      </w:tr>
    </w:tbl>
    <w:p w:rsidR="00654AA2" w:rsidRPr="003574E9" w:rsidRDefault="00654AA2" w:rsidP="003574E9">
      <w:pPr>
        <w:keepNext/>
        <w:spacing w:after="0" w:line="276" w:lineRule="auto"/>
        <w:jc w:val="both"/>
        <w:outlineLvl w:val="1"/>
        <w:rPr>
          <w:rFonts w:ascii="Times New Roman" w:hAnsi="Times New Roman"/>
          <w:b/>
          <w:bCs/>
          <w:iCs/>
          <w:noProof/>
          <w:sz w:val="24"/>
          <w:szCs w:val="24"/>
          <w:lang w:val="sq-AL" w:eastAsia="x-none"/>
        </w:rPr>
      </w:pPr>
    </w:p>
    <w:p w:rsidR="00654AA2" w:rsidRPr="003574E9" w:rsidRDefault="00654AA2" w:rsidP="003574E9">
      <w:pPr>
        <w:keepNext/>
        <w:spacing w:after="0" w:line="276" w:lineRule="auto"/>
        <w:jc w:val="both"/>
        <w:outlineLvl w:val="1"/>
        <w:rPr>
          <w:rFonts w:ascii="Times New Roman" w:hAnsi="Times New Roman"/>
          <w:b/>
          <w:bCs/>
          <w:iCs/>
          <w:noProof/>
          <w:sz w:val="24"/>
          <w:szCs w:val="24"/>
          <w:lang w:val="sq-AL" w:eastAsia="x-none"/>
        </w:rPr>
      </w:pPr>
      <w:r w:rsidRPr="003574E9">
        <w:rPr>
          <w:rFonts w:ascii="Times New Roman" w:hAnsi="Times New Roman"/>
          <w:b/>
          <w:bCs/>
          <w:iCs/>
          <w:noProof/>
          <w:sz w:val="24"/>
          <w:szCs w:val="24"/>
          <w:lang w:val="sq-AL" w:eastAsia="x-none"/>
        </w:rPr>
        <w:t>Misioni i Sektorit të Furnizimit me Ujë dhe Kanalizime</w:t>
      </w:r>
    </w:p>
    <w:p w:rsidR="00654AA2" w:rsidRPr="003574E9" w:rsidRDefault="00654AA2" w:rsidP="003574E9">
      <w:pPr>
        <w:spacing w:after="0" w:line="276" w:lineRule="auto"/>
        <w:jc w:val="both"/>
        <w:rPr>
          <w:rFonts w:ascii="Times New Roman" w:hAnsi="Times New Roman"/>
          <w:noProof/>
          <w:sz w:val="24"/>
          <w:szCs w:val="24"/>
          <w:lang w:val="sq-AL" w:eastAsia="x-none"/>
        </w:rPr>
      </w:pPr>
      <w:r w:rsidRPr="003574E9">
        <w:rPr>
          <w:rFonts w:ascii="Times New Roman" w:hAnsi="Times New Roman"/>
          <w:noProof/>
          <w:sz w:val="24"/>
          <w:szCs w:val="24"/>
          <w:lang w:val="sq-AL" w:eastAsia="x-none"/>
        </w:rPr>
        <w:t>Bazuar në aspiratat e qeverisë shqiptare për zbatimin e direktivave të BE-së, Deklarata e Misionit pasqyron qëllimin themelor të kësaj Strategjie.</w:t>
      </w:r>
    </w:p>
    <w:p w:rsidR="00654AA2" w:rsidRPr="003574E9" w:rsidRDefault="00654AA2" w:rsidP="003574E9">
      <w:pPr>
        <w:spacing w:after="0" w:line="276" w:lineRule="auto"/>
        <w:jc w:val="both"/>
        <w:rPr>
          <w:rFonts w:ascii="Times New Roman" w:hAnsi="Times New Roman"/>
          <w:noProof/>
          <w:sz w:val="24"/>
          <w:szCs w:val="24"/>
          <w:lang w:val="sq-AL" w:eastAsia="x-none"/>
        </w:rPr>
      </w:pPr>
      <w:r w:rsidRPr="003574E9">
        <w:rPr>
          <w:rFonts w:ascii="Times New Roman" w:hAnsi="Times New Roman"/>
          <w:noProof/>
          <w:sz w:val="24"/>
          <w:szCs w:val="24"/>
          <w:lang w:val="sq-AL" w:eastAsia="x-none"/>
        </w:rPr>
        <w:t>Deklarata e Misionit për këtë Strategji Sektoriale shërben për të përqendruar nismat e Qeverisë në gjashtë objektivat strategjike kyçe që duhet të adresohen, si në politika ashtu edhe në veprime, për të arritur përmirësimin e dëshiruar në shërbimet e furnizimit me ujë dhe kanalizime.</w:t>
      </w:r>
    </w:p>
    <w:tbl>
      <w:tblPr>
        <w:tblpPr w:leftFromText="180" w:rightFromText="180" w:vertAnchor="text" w:horzAnchor="margin" w:tblpY="246"/>
        <w:tblW w:w="9648" w:type="dxa"/>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9648"/>
      </w:tblGrid>
      <w:tr w:rsidR="00654AA2" w:rsidRPr="003574E9" w:rsidTr="00FF0524">
        <w:trPr>
          <w:trHeight w:val="610"/>
        </w:trPr>
        <w:tc>
          <w:tcPr>
            <w:tcW w:w="9648" w:type="dxa"/>
            <w:shd w:val="clear" w:color="auto" w:fill="C0504D"/>
            <w:vAlign w:val="center"/>
          </w:tcPr>
          <w:p w:rsidR="00654AA2" w:rsidRPr="003574E9" w:rsidRDefault="00654AA2" w:rsidP="003574E9">
            <w:pPr>
              <w:spacing w:after="0" w:line="276" w:lineRule="auto"/>
              <w:jc w:val="both"/>
              <w:rPr>
                <w:rFonts w:ascii="Times New Roman" w:hAnsi="Times New Roman"/>
                <w:b/>
                <w:bCs/>
                <w:noProof/>
                <w:color w:val="FFFFFF"/>
                <w:sz w:val="24"/>
                <w:szCs w:val="24"/>
                <w:lang w:val="sq-AL"/>
              </w:rPr>
            </w:pPr>
            <w:r w:rsidRPr="003574E9">
              <w:rPr>
                <w:rFonts w:ascii="Times New Roman" w:hAnsi="Times New Roman"/>
                <w:b/>
                <w:bCs/>
                <w:noProof/>
                <w:color w:val="FFFFFF"/>
                <w:sz w:val="24"/>
                <w:szCs w:val="24"/>
                <w:lang w:val="sq-AL"/>
              </w:rPr>
              <w:lastRenderedPageBreak/>
              <w:t>DEKLARATA E MISIONIT</w:t>
            </w:r>
          </w:p>
        </w:tc>
      </w:tr>
      <w:tr w:rsidR="00654AA2" w:rsidRPr="003574E9" w:rsidTr="00FF0524">
        <w:trPr>
          <w:trHeight w:val="1405"/>
        </w:trPr>
        <w:tc>
          <w:tcPr>
            <w:tcW w:w="9648" w:type="dxa"/>
            <w:tcBorders>
              <w:top w:val="single" w:sz="8" w:space="0" w:color="C0504D"/>
              <w:left w:val="single" w:sz="8" w:space="0" w:color="C0504D"/>
              <w:bottom w:val="single" w:sz="8" w:space="0" w:color="C0504D"/>
              <w:right w:val="single" w:sz="8" w:space="0" w:color="C0504D"/>
            </w:tcBorders>
          </w:tcPr>
          <w:p w:rsidR="00654AA2" w:rsidRPr="003574E9" w:rsidRDefault="00654AA2" w:rsidP="003574E9">
            <w:pPr>
              <w:spacing w:after="0" w:line="276" w:lineRule="auto"/>
              <w:jc w:val="both"/>
              <w:rPr>
                <w:rFonts w:ascii="Times New Roman" w:hAnsi="Times New Roman"/>
                <w:b/>
                <w:bCs/>
                <w:noProof/>
                <w:sz w:val="24"/>
                <w:szCs w:val="24"/>
                <w:lang w:val="sq-AL"/>
              </w:rPr>
            </w:pPr>
            <w:r w:rsidRPr="003574E9">
              <w:rPr>
                <w:rFonts w:ascii="Times New Roman" w:hAnsi="Times New Roman"/>
                <w:bCs/>
                <w:noProof/>
                <w:sz w:val="24"/>
                <w:szCs w:val="24"/>
                <w:lang w:val="sq-AL"/>
              </w:rPr>
              <w:t>Hartimi i politikave të përshtatshme dhe angazhimi i fondeve të mjaftueshme për të përmirësuar cilësinë e shërbimeve të furnizimit me ujë, largimin dhe trajtimin e ujrave të ndotura, dhe për të ecur në mënyrë të qëndrueshme drejt përputhjes me standardet e Bashkimit Europian dhe me objektivat e zhvillimit të qëndrueshëm.</w:t>
            </w:r>
          </w:p>
        </w:tc>
      </w:tr>
    </w:tbl>
    <w:p w:rsidR="00654AA2" w:rsidRPr="003574E9" w:rsidRDefault="00654AA2" w:rsidP="003574E9">
      <w:pPr>
        <w:spacing w:after="0" w:line="276" w:lineRule="auto"/>
        <w:jc w:val="both"/>
        <w:rPr>
          <w:rFonts w:ascii="Times New Roman" w:eastAsia="Calibri" w:hAnsi="Times New Roman"/>
          <w:noProof/>
          <w:sz w:val="24"/>
          <w:szCs w:val="24"/>
          <w:lang w:val="sq-AL" w:bidi="ar-SA"/>
        </w:rPr>
      </w:pPr>
    </w:p>
    <w:bookmarkEnd w:id="1"/>
    <w:bookmarkEnd w:id="2"/>
    <w:bookmarkEnd w:id="3"/>
    <w:p w:rsidR="00654AA2" w:rsidRPr="003574E9" w:rsidRDefault="00654AA2" w:rsidP="003574E9">
      <w:pPr>
        <w:keepNext/>
        <w:spacing w:after="0" w:line="276" w:lineRule="auto"/>
        <w:ind w:left="720" w:hanging="720"/>
        <w:jc w:val="both"/>
        <w:outlineLvl w:val="1"/>
        <w:rPr>
          <w:rFonts w:ascii="Times New Roman" w:hAnsi="Times New Roman"/>
          <w:b/>
          <w:bCs/>
          <w:iCs/>
          <w:noProof/>
          <w:sz w:val="24"/>
          <w:szCs w:val="24"/>
          <w:lang w:val="sq-AL" w:eastAsia="x-none"/>
        </w:rPr>
      </w:pPr>
      <w:r w:rsidRPr="003574E9">
        <w:rPr>
          <w:rFonts w:ascii="Times New Roman" w:hAnsi="Times New Roman"/>
          <w:b/>
          <w:bCs/>
          <w:iCs/>
          <w:noProof/>
          <w:sz w:val="24"/>
          <w:szCs w:val="24"/>
          <w:lang w:val="sq-AL" w:eastAsia="x-none"/>
        </w:rPr>
        <w:t xml:space="preserve">Parimet Kryesore të Strategjisë së Sektorit të Furnizimit me Ujë dhe Kanalizime </w:t>
      </w:r>
    </w:p>
    <w:p w:rsidR="00654AA2" w:rsidRPr="003574E9" w:rsidRDefault="00654AA2" w:rsidP="003574E9">
      <w:pPr>
        <w:tabs>
          <w:tab w:val="right" w:pos="-2970"/>
        </w:tabs>
        <w:spacing w:after="0" w:line="276" w:lineRule="auto"/>
        <w:jc w:val="both"/>
        <w:outlineLvl w:val="1"/>
        <w:rPr>
          <w:rFonts w:ascii="Times New Roman" w:hAnsi="Times New Roman"/>
          <w:noProof/>
          <w:sz w:val="24"/>
          <w:szCs w:val="24"/>
          <w:lang w:val="sq-AL" w:eastAsia="x-none"/>
        </w:rPr>
      </w:pPr>
      <w:bookmarkStart w:id="4" w:name="_Toc11835524"/>
      <w:r w:rsidRPr="003574E9">
        <w:rPr>
          <w:rFonts w:ascii="Times New Roman" w:hAnsi="Times New Roman"/>
          <w:noProof/>
          <w:sz w:val="24"/>
          <w:szCs w:val="24"/>
          <w:lang w:val="sq-AL" w:eastAsia="x-none"/>
        </w:rPr>
        <w:t>Strategjia e Sektorit të furnizimit me ujë dhe kanalizime mund të përcaktojë kushtet që duhen plotësuar si dhe mund të shërbejë si bazë për arritjen e Parimeve Kryesore të sektorit.</w:t>
      </w:r>
      <w:bookmarkEnd w:id="4"/>
    </w:p>
    <w:p w:rsidR="00654AA2" w:rsidRPr="003574E9" w:rsidRDefault="00654AA2" w:rsidP="003574E9">
      <w:pPr>
        <w:tabs>
          <w:tab w:val="right" w:pos="-2970"/>
        </w:tabs>
        <w:spacing w:after="0" w:line="276" w:lineRule="auto"/>
        <w:jc w:val="both"/>
        <w:outlineLvl w:val="1"/>
        <w:rPr>
          <w:rFonts w:ascii="Times New Roman" w:hAnsi="Times New Roman"/>
          <w:noProof/>
          <w:sz w:val="24"/>
          <w:szCs w:val="24"/>
          <w:lang w:val="sq-AL" w:eastAsia="x-none"/>
        </w:rPr>
      </w:pPr>
    </w:p>
    <w:tbl>
      <w:tblPr>
        <w:tblpPr w:leftFromText="180" w:rightFromText="180" w:vertAnchor="text" w:horzAnchor="margin" w:tblpXSpec="center" w:tblpY="34"/>
        <w:tblW w:w="10224"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57"/>
        <w:gridCol w:w="7567"/>
      </w:tblGrid>
      <w:tr w:rsidR="00654AA2" w:rsidRPr="003574E9" w:rsidTr="00FF0524">
        <w:trPr>
          <w:trHeight w:val="790"/>
        </w:trPr>
        <w:tc>
          <w:tcPr>
            <w:tcW w:w="10224" w:type="dxa"/>
            <w:gridSpan w:val="2"/>
            <w:shd w:val="clear" w:color="auto" w:fill="C0504D"/>
            <w:vAlign w:val="center"/>
            <w:hideMark/>
          </w:tcPr>
          <w:p w:rsidR="00654AA2" w:rsidRPr="003574E9" w:rsidRDefault="00654AA2" w:rsidP="003574E9">
            <w:pPr>
              <w:spacing w:after="0" w:line="276" w:lineRule="auto"/>
              <w:jc w:val="both"/>
              <w:rPr>
                <w:rFonts w:ascii="Times New Roman" w:hAnsi="Times New Roman"/>
                <w:b/>
                <w:bCs/>
                <w:noProof/>
                <w:color w:val="FFFFFF"/>
                <w:sz w:val="24"/>
                <w:szCs w:val="24"/>
                <w:lang w:val="sq-AL"/>
              </w:rPr>
            </w:pPr>
            <w:r w:rsidRPr="003574E9">
              <w:rPr>
                <w:rFonts w:ascii="Times New Roman" w:hAnsi="Times New Roman"/>
                <w:b/>
                <w:bCs/>
                <w:noProof/>
                <w:color w:val="FFFFFF"/>
                <w:kern w:val="24"/>
                <w:sz w:val="24"/>
                <w:szCs w:val="24"/>
                <w:lang w:val="sq-AL"/>
              </w:rPr>
              <w:t>PARIMET KRYESORE TË STRATEGJISË SË SEKTORIT</w:t>
            </w:r>
          </w:p>
        </w:tc>
      </w:tr>
      <w:tr w:rsidR="00654AA2" w:rsidRPr="003574E9" w:rsidTr="00FF0524">
        <w:trPr>
          <w:trHeight w:val="538"/>
        </w:trPr>
        <w:tc>
          <w:tcPr>
            <w:tcW w:w="2284" w:type="dxa"/>
            <w:tcBorders>
              <w:top w:val="single" w:sz="8" w:space="0" w:color="C0504D"/>
              <w:left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b/>
                <w:bCs/>
                <w:noProof/>
                <w:sz w:val="24"/>
                <w:szCs w:val="24"/>
                <w:lang w:val="sq-AL"/>
              </w:rPr>
            </w:pPr>
            <w:r w:rsidRPr="003574E9">
              <w:rPr>
                <w:rFonts w:ascii="Times New Roman" w:hAnsi="Times New Roman"/>
                <w:b/>
                <w:bCs/>
                <w:noProof/>
                <w:color w:val="000000"/>
                <w:kern w:val="24"/>
                <w:sz w:val="24"/>
                <w:szCs w:val="24"/>
                <w:lang w:val="sq-AL"/>
              </w:rPr>
              <w:t>QËNDRUESHMËRI</w:t>
            </w:r>
          </w:p>
        </w:tc>
        <w:tc>
          <w:tcPr>
            <w:tcW w:w="7940" w:type="dxa"/>
            <w:tcBorders>
              <w:top w:val="single" w:sz="8" w:space="0" w:color="C0504D"/>
              <w:left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noProof/>
                <w:color w:val="000000"/>
                <w:kern w:val="24"/>
                <w:sz w:val="24"/>
                <w:szCs w:val="24"/>
                <w:lang w:val="sq-AL"/>
              </w:rPr>
            </w:pPr>
            <w:r w:rsidRPr="003574E9">
              <w:rPr>
                <w:rFonts w:ascii="Times New Roman" w:hAnsi="Times New Roman"/>
                <w:noProof/>
                <w:color w:val="000000"/>
                <w:kern w:val="24"/>
                <w:sz w:val="24"/>
                <w:szCs w:val="24"/>
                <w:lang w:val="sq-AL"/>
              </w:rPr>
              <w:t>Shërbimet e furnizimit me ujë dhe kanalizime duhet të jenë ekologjikisht, teknikisht dhe financiarisht të qëndrueshëm përmes mbulimit të plotë të kostos.</w:t>
            </w:r>
          </w:p>
        </w:tc>
      </w:tr>
      <w:tr w:rsidR="00654AA2" w:rsidRPr="003574E9" w:rsidTr="00FF0524">
        <w:trPr>
          <w:trHeight w:val="538"/>
        </w:trPr>
        <w:tc>
          <w:tcPr>
            <w:tcW w:w="2284" w:type="dxa"/>
            <w:tcBorders>
              <w:top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b/>
                <w:bCs/>
                <w:noProof/>
                <w:sz w:val="24"/>
                <w:szCs w:val="24"/>
                <w:lang w:val="sq-AL"/>
              </w:rPr>
            </w:pPr>
            <w:r w:rsidRPr="003574E9">
              <w:rPr>
                <w:rFonts w:ascii="Times New Roman" w:hAnsi="Times New Roman"/>
                <w:b/>
                <w:bCs/>
                <w:noProof/>
                <w:color w:val="000000"/>
                <w:kern w:val="24"/>
                <w:sz w:val="24"/>
                <w:szCs w:val="24"/>
                <w:lang w:val="sq-AL"/>
              </w:rPr>
              <w:t>PËRPUTHSHMËRI</w:t>
            </w:r>
          </w:p>
        </w:tc>
        <w:tc>
          <w:tcPr>
            <w:tcW w:w="7940" w:type="dxa"/>
            <w:tcBorders>
              <w:left w:val="single" w:sz="8" w:space="0" w:color="C0504D"/>
            </w:tcBorders>
            <w:vAlign w:val="center"/>
            <w:hideMark/>
          </w:tcPr>
          <w:p w:rsidR="00654AA2" w:rsidRPr="003574E9" w:rsidRDefault="00654AA2" w:rsidP="003574E9">
            <w:pPr>
              <w:spacing w:after="0" w:line="276" w:lineRule="auto"/>
              <w:jc w:val="both"/>
              <w:rPr>
                <w:rFonts w:ascii="Times New Roman" w:hAnsi="Times New Roman"/>
                <w:noProof/>
                <w:color w:val="000000"/>
                <w:kern w:val="24"/>
                <w:sz w:val="24"/>
                <w:szCs w:val="24"/>
                <w:lang w:val="sq-AL"/>
              </w:rPr>
            </w:pPr>
            <w:r w:rsidRPr="003574E9">
              <w:rPr>
                <w:rFonts w:ascii="Times New Roman" w:hAnsi="Times New Roman"/>
                <w:noProof/>
                <w:color w:val="000000"/>
                <w:kern w:val="24"/>
                <w:sz w:val="24"/>
                <w:szCs w:val="24"/>
                <w:lang w:val="sq-AL"/>
              </w:rPr>
              <w:t>Sektori i furnizimit me ujë dhe kanalizime ofron qasje universale që i plotëson të gjitha kërkesat rregullatore / europiane sipas parimit ndotësi paguan.</w:t>
            </w:r>
          </w:p>
        </w:tc>
      </w:tr>
      <w:tr w:rsidR="00654AA2" w:rsidRPr="003574E9" w:rsidTr="00FF0524">
        <w:trPr>
          <w:trHeight w:val="538"/>
        </w:trPr>
        <w:tc>
          <w:tcPr>
            <w:tcW w:w="2284" w:type="dxa"/>
            <w:tcBorders>
              <w:top w:val="single" w:sz="8" w:space="0" w:color="C0504D"/>
              <w:left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b/>
                <w:bCs/>
                <w:noProof/>
                <w:sz w:val="24"/>
                <w:szCs w:val="24"/>
                <w:lang w:val="sq-AL"/>
              </w:rPr>
            </w:pPr>
            <w:r w:rsidRPr="003574E9">
              <w:rPr>
                <w:rFonts w:ascii="Times New Roman" w:hAnsi="Times New Roman"/>
                <w:b/>
                <w:bCs/>
                <w:noProof/>
                <w:color w:val="000000"/>
                <w:kern w:val="24"/>
                <w:sz w:val="24"/>
                <w:szCs w:val="24"/>
                <w:lang w:val="sq-AL"/>
              </w:rPr>
              <w:t>EFIÇIENCË</w:t>
            </w:r>
          </w:p>
        </w:tc>
        <w:tc>
          <w:tcPr>
            <w:tcW w:w="7940" w:type="dxa"/>
            <w:tcBorders>
              <w:top w:val="single" w:sz="8" w:space="0" w:color="C0504D"/>
              <w:left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noProof/>
                <w:color w:val="000000"/>
                <w:kern w:val="24"/>
                <w:sz w:val="24"/>
                <w:szCs w:val="24"/>
                <w:lang w:val="sq-AL"/>
              </w:rPr>
            </w:pPr>
            <w:r w:rsidRPr="003574E9">
              <w:rPr>
                <w:rFonts w:ascii="Times New Roman" w:hAnsi="Times New Roman"/>
                <w:noProof/>
                <w:color w:val="000000"/>
                <w:kern w:val="24"/>
                <w:sz w:val="24"/>
                <w:szCs w:val="24"/>
                <w:lang w:val="sq-AL"/>
              </w:rPr>
              <w:t xml:space="preserve">Shoqëritë e furnizimit me ujë dhe kanalizime të kenë efikasitet dhe performancë të cilësisë së shërbimit të barabartë me praktikën e mirë </w:t>
            </w:r>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evropiane</w:t>
            </w:r>
            <w:proofErr w:type="spellEnd"/>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dhe</w:t>
            </w:r>
            <w:proofErr w:type="spellEnd"/>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sipas</w:t>
            </w:r>
            <w:proofErr w:type="spellEnd"/>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parimeve</w:t>
            </w:r>
            <w:proofErr w:type="spellEnd"/>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të</w:t>
            </w:r>
            <w:proofErr w:type="spellEnd"/>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ekonomisë</w:t>
            </w:r>
            <w:proofErr w:type="spellEnd"/>
            <w:r w:rsidRPr="003574E9">
              <w:rPr>
                <w:rFonts w:ascii="Times New Roman" w:hAnsi="Times New Roman"/>
                <w:color w:val="000000"/>
                <w:kern w:val="24"/>
                <w:sz w:val="24"/>
                <w:szCs w:val="24"/>
              </w:rPr>
              <w:t xml:space="preserve"> </w:t>
            </w:r>
            <w:proofErr w:type="spellStart"/>
            <w:r w:rsidRPr="003574E9">
              <w:rPr>
                <w:rFonts w:ascii="Times New Roman" w:hAnsi="Times New Roman"/>
                <w:color w:val="000000"/>
                <w:kern w:val="24"/>
                <w:sz w:val="24"/>
                <w:szCs w:val="24"/>
              </w:rPr>
              <w:t>qarkulluese</w:t>
            </w:r>
            <w:proofErr w:type="spellEnd"/>
          </w:p>
        </w:tc>
      </w:tr>
      <w:tr w:rsidR="00654AA2" w:rsidRPr="003574E9" w:rsidTr="00FF0524">
        <w:trPr>
          <w:trHeight w:val="538"/>
        </w:trPr>
        <w:tc>
          <w:tcPr>
            <w:tcW w:w="2284" w:type="dxa"/>
            <w:tcBorders>
              <w:top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b/>
                <w:bCs/>
                <w:noProof/>
                <w:color w:val="000000"/>
                <w:kern w:val="24"/>
                <w:sz w:val="24"/>
                <w:szCs w:val="24"/>
                <w:lang w:val="sq-AL"/>
              </w:rPr>
            </w:pPr>
            <w:r w:rsidRPr="003574E9">
              <w:rPr>
                <w:rFonts w:ascii="Times New Roman" w:hAnsi="Times New Roman"/>
                <w:b/>
                <w:bCs/>
                <w:noProof/>
                <w:color w:val="000000"/>
                <w:kern w:val="24"/>
                <w:sz w:val="24"/>
                <w:szCs w:val="24"/>
                <w:lang w:val="sq-AL"/>
              </w:rPr>
              <w:t>PËRBALLUESHMËRI</w:t>
            </w:r>
          </w:p>
        </w:tc>
        <w:tc>
          <w:tcPr>
            <w:tcW w:w="7940" w:type="dxa"/>
            <w:tcBorders>
              <w:left w:val="single" w:sz="8" w:space="0" w:color="C0504D"/>
            </w:tcBorders>
            <w:vAlign w:val="center"/>
            <w:hideMark/>
          </w:tcPr>
          <w:p w:rsidR="00654AA2" w:rsidRPr="003574E9" w:rsidRDefault="00654AA2" w:rsidP="003574E9">
            <w:pPr>
              <w:tabs>
                <w:tab w:val="right" w:pos="-2970"/>
              </w:tabs>
              <w:spacing w:after="0" w:line="276" w:lineRule="auto"/>
              <w:jc w:val="both"/>
              <w:outlineLvl w:val="1"/>
              <w:rPr>
                <w:rFonts w:ascii="Times New Roman" w:hAnsi="Times New Roman"/>
                <w:bCs/>
                <w:noProof/>
                <w:color w:val="000000"/>
                <w:kern w:val="24"/>
                <w:sz w:val="24"/>
                <w:szCs w:val="24"/>
                <w:lang w:val="sq-AL"/>
              </w:rPr>
            </w:pPr>
            <w:bookmarkStart w:id="5" w:name="_Toc11835525"/>
            <w:r w:rsidRPr="003574E9">
              <w:rPr>
                <w:rFonts w:ascii="Times New Roman" w:hAnsi="Times New Roman"/>
                <w:bCs/>
                <w:noProof/>
                <w:color w:val="000000"/>
                <w:kern w:val="24"/>
                <w:sz w:val="24"/>
                <w:szCs w:val="24"/>
                <w:lang w:val="sq-AL"/>
              </w:rPr>
              <w:t>Të sigurohet ofrimi i shërbimeve të furnizimit me ujë dhe kanalizimeve për konsumatorët me një çmim të përballueshëm.</w:t>
            </w:r>
            <w:bookmarkEnd w:id="5"/>
          </w:p>
        </w:tc>
      </w:tr>
      <w:tr w:rsidR="00654AA2" w:rsidRPr="003574E9" w:rsidTr="00FF0524">
        <w:trPr>
          <w:trHeight w:val="538"/>
        </w:trPr>
        <w:tc>
          <w:tcPr>
            <w:tcW w:w="2284" w:type="dxa"/>
            <w:tcBorders>
              <w:top w:val="single" w:sz="8" w:space="0" w:color="C0504D"/>
              <w:left w:val="single" w:sz="8" w:space="0" w:color="C0504D"/>
              <w:bottom w:val="single" w:sz="8" w:space="0" w:color="C0504D"/>
              <w:right w:val="single" w:sz="8" w:space="0" w:color="C0504D"/>
            </w:tcBorders>
            <w:vAlign w:val="center"/>
            <w:hideMark/>
          </w:tcPr>
          <w:p w:rsidR="00654AA2" w:rsidRPr="003574E9" w:rsidRDefault="00654AA2" w:rsidP="003574E9">
            <w:pPr>
              <w:spacing w:after="0" w:line="276" w:lineRule="auto"/>
              <w:jc w:val="both"/>
              <w:rPr>
                <w:rFonts w:ascii="Times New Roman" w:hAnsi="Times New Roman"/>
                <w:b/>
                <w:bCs/>
                <w:noProof/>
                <w:color w:val="000000"/>
                <w:kern w:val="24"/>
                <w:sz w:val="24"/>
                <w:szCs w:val="24"/>
                <w:lang w:val="sq-AL"/>
              </w:rPr>
            </w:pPr>
            <w:r w:rsidRPr="003574E9">
              <w:rPr>
                <w:rFonts w:ascii="Times New Roman" w:hAnsi="Times New Roman"/>
                <w:b/>
                <w:bCs/>
                <w:noProof/>
                <w:color w:val="000000"/>
                <w:kern w:val="24"/>
                <w:sz w:val="24"/>
                <w:szCs w:val="24"/>
                <w:lang w:val="sq-AL"/>
              </w:rPr>
              <w:t>TRANSPARENCË</w:t>
            </w:r>
          </w:p>
        </w:tc>
        <w:tc>
          <w:tcPr>
            <w:tcW w:w="7940" w:type="dxa"/>
            <w:tcBorders>
              <w:top w:val="single" w:sz="8" w:space="0" w:color="C0504D"/>
              <w:left w:val="single" w:sz="8" w:space="0" w:color="C0504D"/>
              <w:bottom w:val="single" w:sz="8" w:space="0" w:color="C0504D"/>
              <w:right w:val="single" w:sz="8" w:space="0" w:color="C0504D"/>
            </w:tcBorders>
            <w:vAlign w:val="center"/>
            <w:hideMark/>
          </w:tcPr>
          <w:p w:rsidR="00654AA2" w:rsidRPr="003574E9" w:rsidRDefault="00654AA2" w:rsidP="003574E9">
            <w:pPr>
              <w:tabs>
                <w:tab w:val="right" w:pos="-2970"/>
              </w:tabs>
              <w:spacing w:after="0" w:line="276" w:lineRule="auto"/>
              <w:jc w:val="both"/>
              <w:outlineLvl w:val="1"/>
              <w:rPr>
                <w:rFonts w:ascii="Times New Roman" w:hAnsi="Times New Roman"/>
                <w:noProof/>
                <w:color w:val="000000"/>
                <w:kern w:val="24"/>
                <w:sz w:val="24"/>
                <w:szCs w:val="24"/>
                <w:lang w:val="sq-AL"/>
              </w:rPr>
            </w:pPr>
            <w:bookmarkStart w:id="6" w:name="_Toc11835526"/>
            <w:r w:rsidRPr="003574E9">
              <w:rPr>
                <w:rFonts w:ascii="Times New Roman" w:hAnsi="Times New Roman"/>
                <w:noProof/>
                <w:color w:val="000000"/>
                <w:kern w:val="24"/>
                <w:sz w:val="24"/>
                <w:szCs w:val="24"/>
                <w:lang w:val="sq-AL"/>
              </w:rPr>
              <w:t>Të sigurohet pjesëmarrja e publikut dhe transparenca në politikat e ujit.</w:t>
            </w:r>
            <w:bookmarkEnd w:id="6"/>
            <w:r w:rsidRPr="003574E9">
              <w:rPr>
                <w:rFonts w:ascii="Times New Roman" w:hAnsi="Times New Roman"/>
                <w:noProof/>
                <w:color w:val="000000"/>
                <w:kern w:val="24"/>
                <w:sz w:val="24"/>
                <w:szCs w:val="24"/>
                <w:lang w:val="sq-AL"/>
              </w:rPr>
              <w:t xml:space="preserve"> </w:t>
            </w:r>
          </w:p>
        </w:tc>
      </w:tr>
    </w:tbl>
    <w:p w:rsidR="00654AA2" w:rsidRPr="003574E9" w:rsidRDefault="00654AA2" w:rsidP="003574E9">
      <w:pPr>
        <w:spacing w:after="0" w:line="276" w:lineRule="auto"/>
        <w:ind w:firstLine="360"/>
        <w:jc w:val="both"/>
        <w:rPr>
          <w:rFonts w:ascii="Times New Roman" w:eastAsia="Calibri" w:hAnsi="Times New Roman"/>
          <w:noProof/>
          <w:spacing w:val="-4"/>
          <w:sz w:val="24"/>
          <w:szCs w:val="24"/>
          <w:lang w:val="sq-AL"/>
        </w:rPr>
      </w:pPr>
    </w:p>
    <w:p w:rsidR="00654AA2" w:rsidRPr="003574E9" w:rsidRDefault="00654AA2" w:rsidP="003574E9">
      <w:pPr>
        <w:spacing w:after="0" w:line="276" w:lineRule="auto"/>
        <w:ind w:firstLine="360"/>
        <w:jc w:val="both"/>
        <w:rPr>
          <w:rFonts w:ascii="Times New Roman" w:eastAsia="Calibri" w:hAnsi="Times New Roman"/>
          <w:noProof/>
          <w:spacing w:val="-4"/>
          <w:sz w:val="24"/>
          <w:szCs w:val="24"/>
          <w:lang w:val="sq-AL"/>
        </w:rPr>
      </w:pPr>
    </w:p>
    <w:p w:rsidR="00654AA2" w:rsidRPr="003574E9" w:rsidRDefault="00654AA2" w:rsidP="003574E9">
      <w:pPr>
        <w:pStyle w:val="Heading2"/>
        <w:spacing w:before="0" w:line="276" w:lineRule="auto"/>
        <w:ind w:left="720" w:hanging="720"/>
        <w:jc w:val="both"/>
        <w:rPr>
          <w:rFonts w:ascii="Times New Roman" w:hAnsi="Times New Roman" w:cs="Times New Roman"/>
          <w:noProof/>
          <w:color w:val="auto"/>
          <w:sz w:val="24"/>
          <w:szCs w:val="24"/>
          <w:lang w:val="sq-AL"/>
        </w:rPr>
      </w:pPr>
      <w:r w:rsidRPr="003574E9">
        <w:rPr>
          <w:rFonts w:ascii="Times New Roman" w:hAnsi="Times New Roman" w:cs="Times New Roman"/>
          <w:noProof/>
          <w:color w:val="auto"/>
          <w:sz w:val="24"/>
          <w:szCs w:val="24"/>
          <w:lang w:val="sq-AL"/>
        </w:rPr>
        <w:t xml:space="preserve">Politikat dhe Objektivat Strategjik në Mbështetje të Masave Prioritare për Sektorin </w:t>
      </w:r>
    </w:p>
    <w:p w:rsidR="00654AA2" w:rsidRPr="003574E9" w:rsidRDefault="00654AA2" w:rsidP="003574E9">
      <w:pPr>
        <w:pStyle w:val="Norm1"/>
        <w:spacing w:before="0" w:after="0"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Strategjia Kombëtare e Sektorit të Furnizimit me Ujë dhe Kanalizime është një dokument i rëndësishëm që do të orientojë Qeverinë në përpjekjet e saj në përmirësimin e sektorit UK. Strategjia parashikon (6) gjashtë objektiva strategjike të cilat janë specifike, të matshme dhe me afate kohore.</w:t>
      </w:r>
    </w:p>
    <w:p w:rsidR="00654AA2" w:rsidRPr="003574E9" w:rsidRDefault="00654AA2" w:rsidP="003574E9">
      <w:pPr>
        <w:pStyle w:val="Norm1"/>
        <w:spacing w:before="0" w:after="0"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 xml:space="preserve">Më tej, këto gjashtë  Objektiva Strategjikë janë përkthyer në </w:t>
      </w:r>
      <w:proofErr w:type="spellStart"/>
      <w:r w:rsidRPr="003574E9">
        <w:rPr>
          <w:rFonts w:ascii="Times New Roman" w:hAnsi="Times New Roman"/>
          <w:sz w:val="24"/>
          <w:szCs w:val="24"/>
        </w:rPr>
        <w:t>Rezultate</w:t>
      </w:r>
      <w:proofErr w:type="spellEnd"/>
      <w:r w:rsidRPr="003574E9">
        <w:rPr>
          <w:rFonts w:ascii="Times New Roman" w:hAnsi="Times New Roman"/>
          <w:noProof/>
          <w:sz w:val="24"/>
          <w:szCs w:val="24"/>
          <w:lang w:val="sq-AL"/>
        </w:rPr>
        <w:t>/Masa Prioritare të cilat do të detajohen nëpërmjet Planeve të Veprimit. Secila Masë Prioritare është shoqëruar me një objektiv të caktuar të performances, që do të monitorohet gjatë gjithë periudhës së zbatimit të kësaj Strategjie.</w:t>
      </w:r>
    </w:p>
    <w:p w:rsidR="00654AA2" w:rsidRPr="003574E9" w:rsidRDefault="00654AA2" w:rsidP="003574E9">
      <w:pPr>
        <w:pStyle w:val="Norm1"/>
        <w:spacing w:before="0" w:after="0"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lastRenderedPageBreak/>
        <w:t>Për të vendosur një referencë, si vit bazë është marrë 2021. Duke përdorur vlerat vjetore të vitit bazë për Treguesit e Performancës, Grupi i Punës Ndër</w:t>
      </w:r>
      <w:r w:rsidR="003574E9">
        <w:rPr>
          <w:rFonts w:ascii="Times New Roman" w:hAnsi="Times New Roman"/>
          <w:noProof/>
          <w:sz w:val="24"/>
          <w:szCs w:val="24"/>
          <w:lang w:val="sq-AL"/>
        </w:rPr>
        <w:t>institucional</w:t>
      </w:r>
      <w:r w:rsidRPr="003574E9">
        <w:rPr>
          <w:rFonts w:ascii="Times New Roman" w:hAnsi="Times New Roman"/>
          <w:noProof/>
          <w:sz w:val="24"/>
          <w:szCs w:val="24"/>
          <w:lang w:val="sq-AL"/>
        </w:rPr>
        <w:t xml:space="preserve">, i cili ishte përgjegjës për zhvillimin e Strategjisë Sektoriale, përcaktoi një vlerë të arritshme për Treguesin e Performancës për vitin e fundit të periudhës së planifikimit, 2023-2030, si dhe vlerat e ndëmjetme për secilin nga </w:t>
      </w:r>
      <w:r w:rsidR="003574E9">
        <w:rPr>
          <w:rFonts w:ascii="Times New Roman" w:hAnsi="Times New Roman"/>
          <w:noProof/>
          <w:sz w:val="24"/>
          <w:szCs w:val="24"/>
          <w:lang w:val="sq-AL"/>
        </w:rPr>
        <w:t>7</w:t>
      </w:r>
      <w:r w:rsidRPr="003574E9">
        <w:rPr>
          <w:rFonts w:ascii="Times New Roman" w:hAnsi="Times New Roman"/>
          <w:noProof/>
          <w:sz w:val="24"/>
          <w:szCs w:val="24"/>
          <w:lang w:val="sq-AL"/>
        </w:rPr>
        <w:t xml:space="preserve"> vitet e periudhës së planifikimit.</w:t>
      </w:r>
    </w:p>
    <w:p w:rsidR="00654AA2" w:rsidRPr="003574E9" w:rsidRDefault="00654AA2" w:rsidP="003574E9">
      <w:pPr>
        <w:spacing w:after="0"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Këto tregues të parashikuara për secilën masë prioritare janë elementë kryesorë për të monitoruar, vlerësuar dhe raportuar progresin në zbatimin Strategjisë</w:t>
      </w:r>
      <w:r w:rsidRPr="003574E9">
        <w:rPr>
          <w:rFonts w:ascii="Times New Roman" w:hAnsi="Times New Roman"/>
          <w:sz w:val="24"/>
          <w:szCs w:val="24"/>
        </w:rPr>
        <w:t xml:space="preserve"> </w:t>
      </w:r>
      <w:proofErr w:type="spellStart"/>
      <w:r w:rsidRPr="003574E9">
        <w:rPr>
          <w:rFonts w:ascii="Times New Roman" w:hAnsi="Times New Roman"/>
          <w:sz w:val="24"/>
          <w:szCs w:val="24"/>
        </w:rPr>
        <w:t>në</w:t>
      </w:r>
      <w:proofErr w:type="spellEnd"/>
      <w:r w:rsidRPr="003574E9">
        <w:rPr>
          <w:rFonts w:ascii="Times New Roman" w:hAnsi="Times New Roman"/>
          <w:sz w:val="24"/>
          <w:szCs w:val="24"/>
        </w:rPr>
        <w:t xml:space="preserve"> </w:t>
      </w:r>
      <w:proofErr w:type="spellStart"/>
      <w:r w:rsidRPr="003574E9">
        <w:rPr>
          <w:rFonts w:ascii="Times New Roman" w:hAnsi="Times New Roman"/>
          <w:sz w:val="24"/>
          <w:szCs w:val="24"/>
        </w:rPr>
        <w:t>termat</w:t>
      </w:r>
      <w:proofErr w:type="spellEnd"/>
      <w:r w:rsidRPr="003574E9">
        <w:rPr>
          <w:rFonts w:ascii="Times New Roman" w:hAnsi="Times New Roman"/>
          <w:sz w:val="24"/>
          <w:szCs w:val="24"/>
        </w:rPr>
        <w:t xml:space="preserve"> </w:t>
      </w:r>
      <w:proofErr w:type="spellStart"/>
      <w:r w:rsidRPr="003574E9">
        <w:rPr>
          <w:rFonts w:ascii="Times New Roman" w:hAnsi="Times New Roman"/>
          <w:sz w:val="24"/>
          <w:szCs w:val="24"/>
        </w:rPr>
        <w:t>kohore</w:t>
      </w:r>
      <w:proofErr w:type="spellEnd"/>
      <w:r w:rsidRPr="003574E9">
        <w:rPr>
          <w:rFonts w:ascii="Times New Roman" w:hAnsi="Times New Roman"/>
          <w:sz w:val="24"/>
          <w:szCs w:val="24"/>
        </w:rPr>
        <w:t xml:space="preserve"> (2023-2025), </w:t>
      </w:r>
      <w:proofErr w:type="spellStart"/>
      <w:r w:rsidRPr="003574E9">
        <w:rPr>
          <w:rFonts w:ascii="Times New Roman" w:hAnsi="Times New Roman"/>
          <w:sz w:val="24"/>
          <w:szCs w:val="24"/>
        </w:rPr>
        <w:t>dhe</w:t>
      </w:r>
      <w:proofErr w:type="spellEnd"/>
      <w:r w:rsidRPr="003574E9">
        <w:rPr>
          <w:rFonts w:ascii="Times New Roman" w:hAnsi="Times New Roman"/>
          <w:sz w:val="24"/>
          <w:szCs w:val="24"/>
        </w:rPr>
        <w:t xml:space="preserve"> (2026-2030). </w:t>
      </w:r>
      <w:r w:rsidRPr="003574E9">
        <w:rPr>
          <w:rFonts w:ascii="Times New Roman" w:hAnsi="Times New Roman"/>
          <w:noProof/>
          <w:sz w:val="24"/>
          <w:szCs w:val="24"/>
          <w:lang w:val="sq-AL"/>
        </w:rPr>
        <w:t>Ato gjithashtu do të përdoren për të identifikuar çdo devijim në mes të performancës së parashikuar dhe arritjeve aktuale vjetore në terren dhe si rrjedhim të përcaktojnë veprimet korrigjuese dhe të përditësojnë Strategjinë kur është e nevojshme.</w:t>
      </w:r>
    </w:p>
    <w:p w:rsidR="00654AA2" w:rsidRPr="003574E9" w:rsidRDefault="00654AA2" w:rsidP="003574E9">
      <w:pPr>
        <w:spacing w:after="0" w:line="276" w:lineRule="auto"/>
        <w:jc w:val="both"/>
        <w:rPr>
          <w:rFonts w:ascii="Times New Roman" w:hAnsi="Times New Roman"/>
          <w:noProof/>
          <w:sz w:val="24"/>
          <w:szCs w:val="24"/>
          <w:lang w:val="sq-AL"/>
        </w:rPr>
      </w:pPr>
    </w:p>
    <w:p w:rsidR="00654AA2" w:rsidRPr="003574E9" w:rsidRDefault="00654AA2" w:rsidP="003574E9">
      <w:pPr>
        <w:spacing w:after="0" w:line="276" w:lineRule="auto"/>
        <w:jc w:val="both"/>
        <w:rPr>
          <w:rFonts w:ascii="Times New Roman" w:hAnsi="Times New Roman"/>
          <w:b/>
          <w:noProof/>
          <w:sz w:val="24"/>
          <w:szCs w:val="24"/>
          <w:lang w:val="sq-AL"/>
        </w:rPr>
      </w:pPr>
      <w:r w:rsidRPr="003574E9">
        <w:rPr>
          <w:rFonts w:ascii="Times New Roman" w:hAnsi="Times New Roman"/>
          <w:b/>
          <w:noProof/>
          <w:sz w:val="24"/>
          <w:szCs w:val="24"/>
          <w:lang w:val="sq-AL"/>
        </w:rPr>
        <w:t>Planet e Veprimit në mbështetje të Masave Prioritare</w:t>
      </w:r>
    </w:p>
    <w:p w:rsidR="00654AA2" w:rsidRPr="003574E9" w:rsidRDefault="00654AA2" w:rsidP="003574E9">
      <w:pPr>
        <w:pStyle w:val="Default"/>
        <w:spacing w:line="276" w:lineRule="auto"/>
        <w:jc w:val="both"/>
        <w:rPr>
          <w:rFonts w:ascii="Times New Roman" w:hAnsi="Times New Roman" w:cs="Times New Roman"/>
          <w:noProof/>
          <w:color w:val="auto"/>
          <w:lang w:val="sq-AL" w:eastAsia="x-none"/>
        </w:rPr>
      </w:pPr>
      <w:r w:rsidRPr="003574E9">
        <w:rPr>
          <w:rFonts w:ascii="Times New Roman" w:hAnsi="Times New Roman" w:cs="Times New Roman"/>
          <w:noProof/>
          <w:color w:val="auto"/>
          <w:lang w:val="sq-AL" w:eastAsia="x-none"/>
        </w:rPr>
        <w:t>Ky kapitull i Strategjisë Sektoriale paraqet Planet e Veprimit për zbatimin e Masave Prioritare të identifikuara si kusht për arritjen e Objektivave Strategjike. Çështjet e mëposhtme adresohen si mëposhtë:</w:t>
      </w:r>
    </w:p>
    <w:p w:rsidR="00654AA2" w:rsidRPr="003574E9" w:rsidRDefault="00654AA2" w:rsidP="003574E9">
      <w:pPr>
        <w:pStyle w:val="Default"/>
        <w:spacing w:line="276" w:lineRule="auto"/>
        <w:jc w:val="both"/>
        <w:rPr>
          <w:rFonts w:ascii="Times New Roman" w:hAnsi="Times New Roman" w:cs="Times New Roman"/>
          <w:noProof/>
          <w:color w:val="auto"/>
          <w:lang w:val="sq-AL" w:eastAsia="x-none"/>
        </w:rPr>
      </w:pPr>
    </w:p>
    <w:p w:rsidR="00654AA2" w:rsidRPr="003574E9" w:rsidRDefault="00654AA2" w:rsidP="003574E9">
      <w:pPr>
        <w:pStyle w:val="Default"/>
        <w:numPr>
          <w:ilvl w:val="0"/>
          <w:numId w:val="10"/>
        </w:numPr>
        <w:spacing w:line="276" w:lineRule="auto"/>
        <w:jc w:val="both"/>
        <w:rPr>
          <w:rFonts w:ascii="Times New Roman" w:hAnsi="Times New Roman" w:cs="Times New Roman"/>
          <w:noProof/>
          <w:lang w:val="sq-AL"/>
        </w:rPr>
      </w:pPr>
      <w:r w:rsidRPr="003574E9">
        <w:rPr>
          <w:rFonts w:ascii="Times New Roman" w:hAnsi="Times New Roman" w:cs="Times New Roman"/>
          <w:noProof/>
          <w:lang w:val="sq-AL"/>
        </w:rPr>
        <w:t>Çfarë kërkohet për zbatimin e masës priotitare?</w:t>
      </w:r>
    </w:p>
    <w:p w:rsidR="00654AA2" w:rsidRPr="003574E9" w:rsidRDefault="00654AA2" w:rsidP="003574E9">
      <w:pPr>
        <w:pStyle w:val="Default"/>
        <w:numPr>
          <w:ilvl w:val="0"/>
          <w:numId w:val="10"/>
        </w:numPr>
        <w:spacing w:line="276" w:lineRule="auto"/>
        <w:jc w:val="both"/>
        <w:rPr>
          <w:rFonts w:ascii="Times New Roman" w:hAnsi="Times New Roman" w:cs="Times New Roman"/>
          <w:noProof/>
          <w:lang w:val="sq-AL"/>
        </w:rPr>
      </w:pPr>
      <w:r w:rsidRPr="003574E9">
        <w:rPr>
          <w:rFonts w:ascii="Times New Roman" w:hAnsi="Times New Roman" w:cs="Times New Roman"/>
          <w:noProof/>
          <w:lang w:val="sq-AL"/>
        </w:rPr>
        <w:t>Kush është përgjegjës për zbatimin e masës prioritare?</w:t>
      </w:r>
    </w:p>
    <w:p w:rsidR="00654AA2" w:rsidRPr="003574E9" w:rsidRDefault="00654AA2" w:rsidP="003574E9">
      <w:pPr>
        <w:pStyle w:val="Default"/>
        <w:numPr>
          <w:ilvl w:val="0"/>
          <w:numId w:val="10"/>
        </w:numPr>
        <w:spacing w:line="276" w:lineRule="auto"/>
        <w:jc w:val="both"/>
        <w:rPr>
          <w:rFonts w:ascii="Times New Roman" w:hAnsi="Times New Roman" w:cs="Times New Roman"/>
          <w:noProof/>
          <w:lang w:val="sq-AL"/>
        </w:rPr>
      </w:pPr>
      <w:r w:rsidRPr="003574E9">
        <w:rPr>
          <w:rFonts w:ascii="Times New Roman" w:hAnsi="Times New Roman" w:cs="Times New Roman"/>
          <w:noProof/>
          <w:lang w:val="sq-AL"/>
        </w:rPr>
        <w:t>Kur duhet (dhe mund) të zbatohet masa prioritare?</w:t>
      </w:r>
    </w:p>
    <w:p w:rsidR="00654AA2" w:rsidRPr="003574E9" w:rsidRDefault="00654AA2" w:rsidP="003574E9">
      <w:pPr>
        <w:pStyle w:val="Default"/>
        <w:numPr>
          <w:ilvl w:val="0"/>
          <w:numId w:val="10"/>
        </w:numPr>
        <w:spacing w:line="276" w:lineRule="auto"/>
        <w:jc w:val="both"/>
        <w:rPr>
          <w:rFonts w:ascii="Times New Roman" w:hAnsi="Times New Roman" w:cs="Times New Roman"/>
          <w:noProof/>
          <w:lang w:val="sq-AL"/>
        </w:rPr>
      </w:pPr>
      <w:r w:rsidRPr="003574E9">
        <w:rPr>
          <w:rFonts w:ascii="Times New Roman" w:hAnsi="Times New Roman" w:cs="Times New Roman"/>
          <w:noProof/>
          <w:lang w:val="sq-AL"/>
        </w:rPr>
        <w:t>Sa do të kushtojë zbatimi i masës prioritare?</w:t>
      </w:r>
    </w:p>
    <w:p w:rsidR="00654AA2" w:rsidRPr="003574E9" w:rsidRDefault="00654AA2" w:rsidP="003574E9">
      <w:pPr>
        <w:pStyle w:val="Default"/>
        <w:numPr>
          <w:ilvl w:val="0"/>
          <w:numId w:val="10"/>
        </w:numPr>
        <w:spacing w:line="276" w:lineRule="auto"/>
        <w:jc w:val="both"/>
        <w:rPr>
          <w:rFonts w:ascii="Times New Roman" w:hAnsi="Times New Roman" w:cs="Times New Roman"/>
          <w:noProof/>
          <w:lang w:val="sq-AL"/>
        </w:rPr>
      </w:pPr>
      <w:r w:rsidRPr="003574E9">
        <w:rPr>
          <w:rFonts w:ascii="Times New Roman" w:hAnsi="Times New Roman" w:cs="Times New Roman"/>
          <w:noProof/>
          <w:lang w:val="sq-AL"/>
        </w:rPr>
        <w:t>Sa do mbulohen nga PBA e rradhës?</w:t>
      </w:r>
    </w:p>
    <w:p w:rsidR="00654AA2" w:rsidRPr="003574E9" w:rsidRDefault="00654AA2" w:rsidP="003574E9">
      <w:pPr>
        <w:pStyle w:val="Default"/>
        <w:numPr>
          <w:ilvl w:val="0"/>
          <w:numId w:val="10"/>
        </w:numPr>
        <w:spacing w:line="276" w:lineRule="auto"/>
        <w:jc w:val="both"/>
        <w:rPr>
          <w:rFonts w:ascii="Times New Roman" w:hAnsi="Times New Roman" w:cs="Times New Roman"/>
          <w:noProof/>
          <w:lang w:val="sq-AL"/>
        </w:rPr>
      </w:pPr>
      <w:r w:rsidRPr="003574E9">
        <w:rPr>
          <w:rFonts w:ascii="Times New Roman" w:hAnsi="Times New Roman" w:cs="Times New Roman"/>
          <w:noProof/>
          <w:lang w:val="sq-AL"/>
        </w:rPr>
        <w:t>Sa eshte hendeku fiianciar?</w:t>
      </w:r>
    </w:p>
    <w:p w:rsidR="00654AA2" w:rsidRPr="003574E9" w:rsidRDefault="00654AA2" w:rsidP="003574E9">
      <w:pPr>
        <w:pStyle w:val="Default"/>
        <w:spacing w:line="276" w:lineRule="auto"/>
        <w:ind w:left="720"/>
        <w:jc w:val="both"/>
        <w:rPr>
          <w:rFonts w:ascii="Times New Roman" w:hAnsi="Times New Roman" w:cs="Times New Roman"/>
          <w:noProof/>
          <w:lang w:val="sq-AL"/>
        </w:rPr>
      </w:pPr>
    </w:p>
    <w:p w:rsidR="00654AA2" w:rsidRPr="003574E9" w:rsidRDefault="00654AA2" w:rsidP="003574E9">
      <w:pPr>
        <w:spacing w:after="0" w:line="276" w:lineRule="auto"/>
        <w:jc w:val="both"/>
        <w:rPr>
          <w:rFonts w:ascii="Times New Roman" w:hAnsi="Times New Roman"/>
          <w:noProof/>
          <w:sz w:val="24"/>
          <w:szCs w:val="24"/>
          <w:lang w:val="sq-AL"/>
        </w:rPr>
      </w:pPr>
    </w:p>
    <w:p w:rsidR="00654AA2" w:rsidRPr="003574E9" w:rsidRDefault="00654AA2" w:rsidP="003574E9">
      <w:pPr>
        <w:spacing w:after="0" w:line="276" w:lineRule="auto"/>
        <w:jc w:val="both"/>
        <w:rPr>
          <w:rFonts w:ascii="Times New Roman" w:hAnsi="Times New Roman"/>
          <w:b/>
          <w:noProof/>
          <w:sz w:val="24"/>
          <w:szCs w:val="24"/>
          <w:lang w:val="sq-AL"/>
        </w:rPr>
      </w:pPr>
      <w:r w:rsidRPr="003574E9">
        <w:rPr>
          <w:rFonts w:ascii="Times New Roman" w:hAnsi="Times New Roman"/>
          <w:b/>
          <w:noProof/>
          <w:sz w:val="24"/>
          <w:szCs w:val="24"/>
          <w:lang w:val="sq-AL"/>
        </w:rPr>
        <w:t>Monitorimi dhe Përditësimi i Strategjisë</w:t>
      </w:r>
    </w:p>
    <w:p w:rsidR="00654AA2" w:rsidRPr="003574E9" w:rsidRDefault="00654AA2" w:rsidP="003574E9">
      <w:pPr>
        <w:spacing w:after="0"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Ky kapitull i staregjise paraqet disa udhëzime për mënyrën se si do të zbatohet, monitorohet dhe përditësohet Strategjia aktuale gjatë zbatimit të saj.</w:t>
      </w:r>
    </w:p>
    <w:p w:rsidR="00654AA2" w:rsidRPr="003574E9" w:rsidRDefault="00654AA2" w:rsidP="003574E9">
      <w:pPr>
        <w:spacing w:after="0" w:line="276" w:lineRule="auto"/>
        <w:jc w:val="both"/>
        <w:rPr>
          <w:rFonts w:ascii="Times New Roman" w:hAnsi="Times New Roman"/>
          <w:noProof/>
          <w:sz w:val="24"/>
          <w:szCs w:val="24"/>
          <w:lang w:val="sq-AL"/>
        </w:rPr>
      </w:pPr>
    </w:p>
    <w:p w:rsidR="00654AA2" w:rsidRPr="003574E9" w:rsidRDefault="00654AA2" w:rsidP="003574E9">
      <w:pPr>
        <w:spacing w:after="0" w:line="276" w:lineRule="auto"/>
        <w:jc w:val="both"/>
        <w:rPr>
          <w:rFonts w:ascii="Times New Roman" w:hAnsi="Times New Roman"/>
          <w:noProof/>
          <w:sz w:val="24"/>
          <w:szCs w:val="24"/>
          <w:lang w:val="sq-AL"/>
        </w:rPr>
      </w:pPr>
    </w:p>
    <w:p w:rsidR="00654AA2" w:rsidRPr="003574E9" w:rsidRDefault="00654AA2" w:rsidP="003574E9">
      <w:pPr>
        <w:spacing w:after="0" w:line="276" w:lineRule="auto"/>
        <w:jc w:val="both"/>
        <w:rPr>
          <w:rFonts w:ascii="Times New Roman" w:hAnsi="Times New Roman"/>
          <w:noProof/>
          <w:sz w:val="24"/>
          <w:szCs w:val="24"/>
          <w:lang w:val="sq-AL"/>
        </w:rPr>
      </w:pPr>
      <w:r w:rsidRPr="003574E9">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5773A57B" wp14:editId="0AA055ED">
                <wp:simplePos x="0" y="0"/>
                <wp:positionH relativeFrom="column">
                  <wp:posOffset>0</wp:posOffset>
                </wp:positionH>
                <wp:positionV relativeFrom="paragraph">
                  <wp:posOffset>99695</wp:posOffset>
                </wp:positionV>
                <wp:extent cx="5867400" cy="30480"/>
                <wp:effectExtent l="57150" t="38100" r="57150" b="83820"/>
                <wp:wrapNone/>
                <wp:docPr id="1" name="Straight Connector 1"/>
                <wp:cNvGraphicFramePr/>
                <a:graphic xmlns:a="http://schemas.openxmlformats.org/drawingml/2006/main">
                  <a:graphicData uri="http://schemas.microsoft.com/office/word/2010/wordprocessingShape">
                    <wps:wsp>
                      <wps:cNvCnPr/>
                      <wps:spPr>
                        <a:xfrm>
                          <a:off x="0" y="0"/>
                          <a:ext cx="5867400" cy="3048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01140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85pt" to="4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" strokecolor="#c0504d [3205]" strokeweight="3pt">
                <v:shadow on="t" color="black" opacity="22937f" origin=",.5" offset="0,.63889mm"/>
              </v:line>
            </w:pict>
          </mc:Fallback>
        </mc:AlternateContent>
      </w:r>
    </w:p>
    <w:p w:rsidR="00654AA2" w:rsidRPr="003574E9" w:rsidRDefault="00654AA2" w:rsidP="003574E9">
      <w:pPr>
        <w:spacing w:after="0" w:line="276" w:lineRule="auto"/>
        <w:jc w:val="both"/>
        <w:rPr>
          <w:rFonts w:ascii="Times New Roman" w:hAnsi="Times New Roman"/>
          <w:noProof/>
          <w:sz w:val="24"/>
          <w:szCs w:val="24"/>
          <w:lang w:val="sq-AL"/>
        </w:rPr>
      </w:pPr>
    </w:p>
    <w:p w:rsidR="00654AA2" w:rsidRPr="003574E9" w:rsidRDefault="00654AA2" w:rsidP="003574E9">
      <w:pPr>
        <w:spacing w:after="0" w:line="276" w:lineRule="auto"/>
        <w:jc w:val="both"/>
        <w:rPr>
          <w:rFonts w:ascii="Times New Roman" w:hAnsi="Times New Roman"/>
          <w:b/>
          <w:noProof/>
          <w:sz w:val="24"/>
          <w:szCs w:val="24"/>
          <w:lang w:val="sq-AL"/>
        </w:rPr>
      </w:pPr>
      <w:r w:rsidRPr="003574E9">
        <w:rPr>
          <w:rFonts w:ascii="Times New Roman" w:hAnsi="Times New Roman"/>
          <w:b/>
          <w:noProof/>
          <w:sz w:val="24"/>
          <w:szCs w:val="24"/>
          <w:lang w:val="sq-AL"/>
        </w:rPr>
        <w:t>VLERESIMI STRATEGJIK MJEDISOR</w:t>
      </w:r>
    </w:p>
    <w:p w:rsidR="00654AA2" w:rsidRPr="003574E9" w:rsidRDefault="00654AA2" w:rsidP="003574E9">
      <w:pPr>
        <w:spacing w:after="0" w:line="276" w:lineRule="auto"/>
        <w:jc w:val="both"/>
        <w:rPr>
          <w:rFonts w:ascii="Times New Roman" w:hAnsi="Times New Roman"/>
          <w:noProof/>
          <w:sz w:val="24"/>
          <w:szCs w:val="24"/>
          <w:lang w:val="sq-AL"/>
        </w:rPr>
      </w:pPr>
    </w:p>
    <w:p w:rsidR="00654AA2" w:rsidRPr="003574E9" w:rsidRDefault="00654AA2" w:rsidP="00F36768">
      <w:pPr>
        <w:spacing w:after="0" w:line="276" w:lineRule="auto"/>
        <w:jc w:val="both"/>
        <w:rPr>
          <w:rFonts w:ascii="Times New Roman" w:eastAsia="Calibri" w:hAnsi="Times New Roman"/>
          <w:noProof/>
          <w:sz w:val="24"/>
          <w:szCs w:val="24"/>
          <w:lang w:val="sq-AL"/>
        </w:rPr>
      </w:pPr>
      <w:r w:rsidRPr="003574E9">
        <w:rPr>
          <w:rFonts w:ascii="Times New Roman" w:eastAsia="Calibri" w:hAnsi="Times New Roman"/>
          <w:iCs/>
          <w:noProof/>
          <w:sz w:val="24"/>
          <w:szCs w:val="24"/>
          <w:lang w:val="sq-AL"/>
        </w:rPr>
        <w:t>Qëllimi i punës është zbatimi i kërkesave që rrjedhin nga ligji nr. 91/2013 “Për vlerësimin strategjik mjedisor” dhe të gjitha akteve nënligjore që rrjedhin prej tij dhe ndjekja e procedurave të VSM-së.</w:t>
      </w:r>
    </w:p>
    <w:p w:rsidR="00654AA2" w:rsidRPr="003574E9" w:rsidRDefault="00654AA2" w:rsidP="00F36768">
      <w:pPr>
        <w:spacing w:after="0" w:line="276" w:lineRule="auto"/>
        <w:jc w:val="both"/>
        <w:rPr>
          <w:rFonts w:ascii="Times New Roman" w:eastAsia="Calibri" w:hAnsi="Times New Roman"/>
          <w:noProof/>
          <w:sz w:val="24"/>
          <w:szCs w:val="24"/>
          <w:lang w:val="sq-AL"/>
        </w:rPr>
      </w:pPr>
      <w:r w:rsidRPr="003574E9">
        <w:rPr>
          <w:rFonts w:ascii="Times New Roman" w:eastAsia="Calibri" w:hAnsi="Times New Roman"/>
          <w:noProof/>
          <w:sz w:val="24"/>
          <w:szCs w:val="24"/>
          <w:lang w:val="sq-AL"/>
        </w:rPr>
        <w:t xml:space="preserve">Vlerësimi Strategjik Mjedisor është një proces sistematik që vlerëson pasojat në mjedis të një dokumenti strategjik planifikues të propozuar për zbatim me qëllim që të sigurojë që këto pasoja mjedisore të adresohen plotësisht që në fazat e hershme të vendimmarrjes përkrah konsideratave ekonomike dhe sociale. </w:t>
      </w:r>
    </w:p>
    <w:p w:rsidR="00654AA2" w:rsidRPr="003574E9" w:rsidRDefault="00654AA2" w:rsidP="003574E9">
      <w:pPr>
        <w:spacing w:after="0" w:line="276" w:lineRule="auto"/>
        <w:jc w:val="both"/>
        <w:rPr>
          <w:rFonts w:ascii="Times New Roman" w:eastAsia="Calibri" w:hAnsi="Times New Roman"/>
          <w:noProof/>
          <w:sz w:val="24"/>
          <w:szCs w:val="24"/>
          <w:lang w:val="sq-AL"/>
        </w:rPr>
      </w:pPr>
    </w:p>
    <w:p w:rsidR="00654AA2" w:rsidRPr="003574E9" w:rsidRDefault="00654AA2" w:rsidP="00F36768">
      <w:pPr>
        <w:pStyle w:val="ListParagraph"/>
        <w:shd w:val="clear" w:color="auto" w:fill="FFFFFF"/>
        <w:spacing w:after="0" w:line="276" w:lineRule="auto"/>
        <w:ind w:left="0" w:right="4"/>
        <w:jc w:val="both"/>
        <w:rPr>
          <w:rFonts w:ascii="Times New Roman" w:hAnsi="Times New Roman"/>
          <w:noProof/>
          <w:sz w:val="24"/>
          <w:szCs w:val="24"/>
          <w:lang w:val="sq-AL"/>
        </w:rPr>
      </w:pPr>
      <w:r w:rsidRPr="003574E9">
        <w:rPr>
          <w:rFonts w:ascii="Times New Roman" w:hAnsi="Times New Roman"/>
          <w:noProof/>
          <w:sz w:val="24"/>
          <w:szCs w:val="24"/>
          <w:lang w:val="sq-AL"/>
        </w:rPr>
        <w:t xml:space="preserve">VSM-ja duhet të paraqesë informacione mbi ato ndikime mjedisore, ekzistenca dhe pasoja e të cilave nuk janë të përcaktuara me saktësi. Në këtë mënyrë VSM-ja në gjate hartimit te </w:t>
      </w:r>
      <w:r w:rsidRPr="003574E9">
        <w:rPr>
          <w:rFonts w:ascii="Times New Roman" w:eastAsia="Calibri" w:hAnsi="Times New Roman"/>
          <w:noProof/>
          <w:sz w:val="24"/>
          <w:szCs w:val="24"/>
          <w:lang w:val="sq-AL"/>
        </w:rPr>
        <w:t xml:space="preserve">dokumentave strategjik planifikues </w:t>
      </w:r>
      <w:r w:rsidRPr="003574E9">
        <w:rPr>
          <w:rFonts w:ascii="Times New Roman" w:hAnsi="Times New Roman"/>
          <w:noProof/>
          <w:sz w:val="24"/>
          <w:szCs w:val="24"/>
          <w:lang w:val="sq-AL"/>
        </w:rPr>
        <w:t xml:space="preserve">mund të kontribuojë për një përmirësim të proçesit të planifikimit dhe vendimmarrjes, meqë është një vlerësim gjithëpërfshirës, sistematik dhe transparent i aspekteve mjedisore, sociale dhe ekonomike si dhe i implikimeve problematike të planifikimit. Konfliktet e ardhshme midis mbrojtjes së mjedisit dhe kërkesave të interesave sektorialë në planifikim (kryesisht në planifikimin e përdorimit të tokës) nuk mund të zgjidhen gjatë procesit të VSM-së. Këto kërkojnë zgjidhje politike, të bazuara në informacion dhe vlerësime të besueshme, që mund të transformohen në vendime për një alternativë të caktuar planifikimi. </w:t>
      </w:r>
    </w:p>
    <w:p w:rsidR="00654AA2" w:rsidRPr="003574E9" w:rsidRDefault="00654AA2" w:rsidP="003574E9">
      <w:pPr>
        <w:pStyle w:val="ListParagraph"/>
        <w:shd w:val="clear" w:color="auto" w:fill="FFFFFF"/>
        <w:spacing w:after="0" w:line="276" w:lineRule="auto"/>
        <w:ind w:left="0" w:right="4"/>
        <w:jc w:val="both"/>
        <w:rPr>
          <w:rFonts w:ascii="Times New Roman" w:hAnsi="Times New Roman"/>
          <w:noProof/>
          <w:sz w:val="24"/>
          <w:szCs w:val="24"/>
          <w:lang w:val="sq-AL"/>
        </w:rPr>
      </w:pPr>
    </w:p>
    <w:p w:rsidR="00654AA2" w:rsidRPr="003574E9" w:rsidRDefault="00654AA2" w:rsidP="00F36768">
      <w:pPr>
        <w:pStyle w:val="ListParagraph"/>
        <w:shd w:val="clear" w:color="auto" w:fill="FFFFFF"/>
        <w:spacing w:after="0" w:line="276" w:lineRule="auto"/>
        <w:ind w:left="0" w:right="4"/>
        <w:jc w:val="both"/>
        <w:rPr>
          <w:rFonts w:ascii="Times New Roman" w:hAnsi="Times New Roman"/>
          <w:noProof/>
          <w:sz w:val="24"/>
          <w:szCs w:val="24"/>
          <w:lang w:val="sq-AL"/>
        </w:rPr>
      </w:pPr>
      <w:r w:rsidRPr="003574E9">
        <w:rPr>
          <w:rFonts w:ascii="Times New Roman" w:hAnsi="Times New Roman"/>
          <w:noProof/>
          <w:sz w:val="24"/>
          <w:szCs w:val="24"/>
          <w:lang w:val="sq-AL"/>
        </w:rPr>
        <w:t>Detyra e VSM-së është kontributi në një vendim të tillë me transparencën dhe detajet e tij te hollësishme. Në një shoqëri demokratike është tepër e vështirë të neglizhosh apo të mos pranosh informacione mbi ndikime të parashikuara në mjedis dhe në shëndet, të zhvillimeve që mblidhen dhe dokumentohen në mënyrë sistematike, si dhe vlerësohen në mënyrë objektive.</w:t>
      </w:r>
    </w:p>
    <w:p w:rsidR="00654AA2" w:rsidRPr="003574E9" w:rsidRDefault="00654AA2" w:rsidP="00F36768">
      <w:pPr>
        <w:spacing w:after="0" w:line="276" w:lineRule="auto"/>
        <w:jc w:val="both"/>
        <w:rPr>
          <w:rFonts w:ascii="Times New Roman" w:hAnsi="Times New Roman"/>
          <w:noProof/>
          <w:sz w:val="24"/>
          <w:szCs w:val="24"/>
          <w:lang w:val="sq-AL" w:eastAsia="it-IT"/>
        </w:rPr>
      </w:pPr>
      <w:r w:rsidRPr="003574E9">
        <w:rPr>
          <w:rFonts w:ascii="Times New Roman" w:hAnsi="Times New Roman"/>
          <w:noProof/>
          <w:sz w:val="24"/>
          <w:szCs w:val="24"/>
          <w:lang w:val="sq-AL" w:eastAsia="it-IT"/>
        </w:rPr>
        <w:t xml:space="preserve">Detyra e VSM është të kontribuojë për një planifikim strategjik të tillë që nga pikëpamja e mjedisit dhe e shëndetit publik është jo vetëm i tolerueshëm por edhe optimal, ndërkohë që edhe kërkon për alternativa të ndryshme duke marrë në konsideratë efektet mjedisore, sociale dhe ekonomike. </w:t>
      </w:r>
    </w:p>
    <w:p w:rsidR="00654AA2" w:rsidRPr="003574E9" w:rsidRDefault="00654AA2" w:rsidP="003574E9">
      <w:pPr>
        <w:spacing w:after="0" w:line="276" w:lineRule="auto"/>
        <w:ind w:firstLine="720"/>
        <w:jc w:val="both"/>
        <w:rPr>
          <w:rFonts w:ascii="Times New Roman" w:hAnsi="Times New Roman"/>
          <w:noProof/>
          <w:sz w:val="24"/>
          <w:szCs w:val="24"/>
          <w:lang w:val="sq-AL" w:eastAsia="it-IT"/>
        </w:rPr>
      </w:pPr>
    </w:p>
    <w:p w:rsidR="00654AA2" w:rsidRPr="003574E9" w:rsidRDefault="00654AA2" w:rsidP="00F36768">
      <w:pPr>
        <w:spacing w:after="0" w:line="276" w:lineRule="auto"/>
        <w:jc w:val="both"/>
        <w:rPr>
          <w:rFonts w:ascii="Times New Roman" w:hAnsi="Times New Roman"/>
          <w:noProof/>
          <w:sz w:val="24"/>
          <w:szCs w:val="24"/>
          <w:lang w:val="sq-AL" w:eastAsia="it-IT"/>
        </w:rPr>
      </w:pPr>
      <w:r w:rsidRPr="003574E9">
        <w:rPr>
          <w:rFonts w:ascii="Times New Roman" w:hAnsi="Times New Roman"/>
          <w:noProof/>
          <w:sz w:val="24"/>
          <w:szCs w:val="24"/>
          <w:lang w:val="sq-AL" w:eastAsia="it-IT"/>
        </w:rPr>
        <w:t>Është e nevojshme të theksohet vlera e shtuar e VSM-së në planifikim si një lehtësues për vendimmarrje të qëndrueshme.  Është më se i njohur fakti se planifikimi hapësinor dhe Vlerësimi Strategjik Mjedisor janë kushte paraprake për të arritur forma të pranueshme zhvillimi.</w:t>
      </w:r>
    </w:p>
    <w:p w:rsidR="00654AA2" w:rsidRPr="003574E9" w:rsidRDefault="00654AA2" w:rsidP="003574E9">
      <w:pPr>
        <w:spacing w:after="0" w:line="276" w:lineRule="auto"/>
        <w:ind w:firstLine="720"/>
        <w:jc w:val="both"/>
        <w:rPr>
          <w:rFonts w:ascii="Times New Roman" w:eastAsia="Calibri" w:hAnsi="Times New Roman"/>
          <w:noProof/>
          <w:sz w:val="24"/>
          <w:szCs w:val="24"/>
          <w:lang w:val="sq-AL"/>
        </w:rPr>
      </w:pPr>
    </w:p>
    <w:p w:rsidR="00654AA2" w:rsidRPr="003574E9" w:rsidRDefault="00654AA2" w:rsidP="00F36768">
      <w:p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Sipas ligjit 91/2013 mbi VSM, procesi i vlerësimit strategjik mjedisor kalon detyrimisht në këto faza të njëpasnjëshme:</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Njoftimi i Ministrisë nga autoriteti propozues;</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Konsultimi me grupet e interesit për çështjet që do të trajtohen në raportin e VSM-së;</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Hartimi i raportit paraprak dhe konsultimi me grupet e interesit dhe publikun ne lidhje metë;</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Hartimi i raportit përfundimtar të Vlerësimit Strategjik Mjedisor;</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Shqyrtimi i propozimit dhe deklarata e ministrit;</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Vendimi i autoritetit miratues;</w:t>
      </w:r>
    </w:p>
    <w:p w:rsidR="00654AA2" w:rsidRPr="003574E9" w:rsidRDefault="00654AA2" w:rsidP="003574E9">
      <w:pPr>
        <w:numPr>
          <w:ilvl w:val="0"/>
          <w:numId w:val="3"/>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Monitorimi dhe raportimi i pasojave në mjedis të planit apo programit.</w:t>
      </w:r>
    </w:p>
    <w:p w:rsidR="00654AA2" w:rsidRPr="003574E9" w:rsidRDefault="00654AA2" w:rsidP="003574E9">
      <w:pPr>
        <w:spacing w:after="0" w:line="276" w:lineRule="auto"/>
        <w:jc w:val="both"/>
        <w:rPr>
          <w:rFonts w:ascii="Times New Roman" w:eastAsia="Calibri" w:hAnsi="Times New Roman"/>
          <w:noProof/>
          <w:spacing w:val="-4"/>
          <w:sz w:val="24"/>
          <w:szCs w:val="24"/>
          <w:lang w:val="sq-AL"/>
        </w:rPr>
      </w:pPr>
    </w:p>
    <w:p w:rsidR="00654AA2" w:rsidRPr="003574E9" w:rsidRDefault="00654AA2" w:rsidP="00F36768">
      <w:p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Ecuria e hartimit te VSM-se perkatese do te realizohet permes disa hapave dhe analizave. Keta hapa dhe analiza do te detajojne permbajtjen e fazave te VSM-se, te permendura me siper, dhe do te perbejne dokumentacionin perkates qe pergatitet dhe dorezohet per cdo faze. Hapat/analizat jane:</w:t>
      </w:r>
    </w:p>
    <w:p w:rsidR="00654AA2" w:rsidRPr="003574E9" w:rsidRDefault="00654AA2" w:rsidP="003574E9">
      <w:pPr>
        <w:numPr>
          <w:ilvl w:val="0"/>
          <w:numId w:val="4"/>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Shqyrtimi </w:t>
      </w:r>
    </w:p>
    <w:p w:rsidR="00654AA2" w:rsidRPr="003574E9" w:rsidRDefault="00654AA2" w:rsidP="003574E9">
      <w:pPr>
        <w:numPr>
          <w:ilvl w:val="0"/>
          <w:numId w:val="4"/>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Studimi i shtrirjes/qellimit te VSM</w:t>
      </w:r>
    </w:p>
    <w:p w:rsidR="00654AA2" w:rsidRPr="003574E9" w:rsidRDefault="00654AA2" w:rsidP="003574E9">
      <w:pPr>
        <w:numPr>
          <w:ilvl w:val="0"/>
          <w:numId w:val="4"/>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Analiza e gjendjes ekzistuese</w:t>
      </w:r>
    </w:p>
    <w:p w:rsidR="00654AA2" w:rsidRPr="003574E9" w:rsidRDefault="00654AA2" w:rsidP="003574E9">
      <w:pPr>
        <w:numPr>
          <w:ilvl w:val="0"/>
          <w:numId w:val="4"/>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Analiza e ndikimeve dhe formulimi i masave zbutese (perfshire monitorimin)</w:t>
      </w:r>
    </w:p>
    <w:p w:rsidR="00654AA2" w:rsidRPr="003574E9" w:rsidRDefault="00654AA2" w:rsidP="003574E9">
      <w:pPr>
        <w:numPr>
          <w:ilvl w:val="0"/>
          <w:numId w:val="1"/>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lastRenderedPageBreak/>
        <w:t>Hartimi i raportit te VSM-se</w:t>
      </w:r>
    </w:p>
    <w:p w:rsidR="00654AA2" w:rsidRPr="003574E9" w:rsidRDefault="00654AA2" w:rsidP="003574E9">
      <w:pPr>
        <w:spacing w:after="0" w:line="276" w:lineRule="auto"/>
        <w:ind w:firstLine="720"/>
        <w:jc w:val="both"/>
        <w:rPr>
          <w:rFonts w:ascii="Times New Roman" w:eastAsia="Calibri" w:hAnsi="Times New Roman"/>
          <w:noProof/>
          <w:spacing w:val="-4"/>
          <w:sz w:val="24"/>
          <w:szCs w:val="24"/>
          <w:lang w:val="sq-AL"/>
        </w:rPr>
      </w:pPr>
    </w:p>
    <w:p w:rsidR="00654AA2" w:rsidRPr="003574E9" w:rsidRDefault="00654AA2" w:rsidP="00F36768">
      <w:p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Aktivitetet qe lidhen me konsultimin me grupet e interesit do te realizohen ne disa faza pergjate ketyre hapave analitike, (sic parashikohet ne ligj). Konkretisht, perpara hartimit te raportit shqyrtues eshte kryer takimi konsultativ me grupet e interesit mbi prezantimin e Planit. </w:t>
      </w:r>
    </w:p>
    <w:p w:rsidR="00654AA2" w:rsidRPr="003574E9" w:rsidRDefault="00654AA2" w:rsidP="003574E9">
      <w:pPr>
        <w:spacing w:after="0" w:line="276" w:lineRule="auto"/>
        <w:jc w:val="both"/>
        <w:rPr>
          <w:rFonts w:ascii="Times New Roman" w:eastAsia="Calibri" w:hAnsi="Times New Roman"/>
          <w:noProof/>
          <w:spacing w:val="-4"/>
          <w:sz w:val="24"/>
          <w:szCs w:val="24"/>
          <w:lang w:val="sq-AL"/>
        </w:rPr>
      </w:pPr>
    </w:p>
    <w:p w:rsidR="00654AA2" w:rsidRPr="003574E9" w:rsidRDefault="00654AA2" w:rsidP="00F36768">
      <w:p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Ne metodologjine e propozuar eshte dhene perafrimi ndaj VSM-se dhe jane mbajtur parasysh te gjithë hapat dhe aktivitetet e parashikuara. Per me teper, ne ndjekjen e hapave dhe realizimin e aktiviteteve (nisur qe prej hapit te pare „Shqyrtimi“) jane specifikuar ceshtje te ndryshme qe lidhen me ndikimin e planit perkates ne sektoret dhe elementet e ndryshem te mjedisit, sic jane: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ne zonat e mbrojtura,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ne brezin e bregdetit,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ne cilesine e ujit dhe ekosistemet detare dhe tokesore,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ne zonat e gjelbra dhe hapesirat publike ne zonat e banuara,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ne administrimin e mbetjeve,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tek peisazhi,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ne zhvillimin e qendrueshem te turizmit, </w:t>
      </w:r>
    </w:p>
    <w:p w:rsidR="00654AA2" w:rsidRPr="003574E9" w:rsidRDefault="00654AA2" w:rsidP="003574E9">
      <w:pPr>
        <w:numPr>
          <w:ilvl w:val="0"/>
          <w:numId w:val="2"/>
        </w:numPr>
        <w:spacing w:after="0" w:line="276" w:lineRule="auto"/>
        <w:jc w:val="both"/>
        <w:rPr>
          <w:rFonts w:ascii="Times New Roman" w:eastAsia="Calibri" w:hAnsi="Times New Roman"/>
          <w:noProof/>
          <w:spacing w:val="-4"/>
          <w:sz w:val="24"/>
          <w:szCs w:val="24"/>
          <w:lang w:val="sq-AL"/>
        </w:rPr>
      </w:pPr>
      <w:r w:rsidRPr="003574E9">
        <w:rPr>
          <w:rFonts w:ascii="Times New Roman" w:eastAsia="Calibri" w:hAnsi="Times New Roman"/>
          <w:noProof/>
          <w:spacing w:val="-4"/>
          <w:sz w:val="24"/>
          <w:szCs w:val="24"/>
          <w:lang w:val="sq-AL"/>
        </w:rPr>
        <w:t xml:space="preserve">ndikimet sociale mbi komunitetin(etet) respektive etj. </w:t>
      </w:r>
    </w:p>
    <w:p w:rsidR="00654AA2" w:rsidRPr="003574E9" w:rsidRDefault="00654AA2" w:rsidP="003574E9">
      <w:pPr>
        <w:spacing w:after="0" w:line="276" w:lineRule="auto"/>
        <w:jc w:val="both"/>
        <w:rPr>
          <w:rFonts w:ascii="Times New Roman" w:eastAsia="Calibri" w:hAnsi="Times New Roman"/>
          <w:noProof/>
          <w:sz w:val="24"/>
          <w:szCs w:val="24"/>
          <w:lang w:val="sq-AL"/>
        </w:rPr>
      </w:pPr>
    </w:p>
    <w:p w:rsidR="00654AA2" w:rsidRPr="003574E9" w:rsidRDefault="00654AA2" w:rsidP="003574E9">
      <w:pPr>
        <w:spacing w:after="0" w:line="276" w:lineRule="auto"/>
        <w:jc w:val="both"/>
        <w:rPr>
          <w:rFonts w:ascii="Times New Roman" w:eastAsia="Calibri" w:hAnsi="Times New Roman"/>
          <w:noProof/>
          <w:sz w:val="24"/>
          <w:szCs w:val="24"/>
          <w:lang w:val="sq-AL"/>
        </w:rPr>
      </w:pPr>
      <w:r w:rsidRPr="003574E9">
        <w:rPr>
          <w:rFonts w:ascii="Times New Roman" w:eastAsia="Calibri" w:hAnsi="Times New Roman"/>
          <w:noProof/>
          <w:sz w:val="24"/>
          <w:szCs w:val="24"/>
          <w:lang w:val="sq-AL"/>
        </w:rPr>
        <w:t>Me poshte jepet ne menyre te permbledhur Plani i Punes per realizimin e Raportit të VSM-së për Strategjinë për Sektorin e Ujësjellës Kanalizimeve.</w:t>
      </w:r>
    </w:p>
    <w:p w:rsidR="00654AA2" w:rsidRPr="003574E9" w:rsidRDefault="00654AA2" w:rsidP="003574E9">
      <w:pPr>
        <w:spacing w:after="0" w:line="276" w:lineRule="auto"/>
        <w:jc w:val="both"/>
        <w:rPr>
          <w:rFonts w:ascii="Times New Roman" w:eastAsia="Calibri" w:hAnsi="Times New Roman"/>
          <w:noProof/>
          <w:sz w:val="24"/>
          <w:szCs w:val="24"/>
          <w:lang w:val="sq-AL"/>
        </w:rPr>
      </w:pPr>
    </w:p>
    <w:tbl>
      <w:tblPr>
        <w:tblStyle w:val="TableGrid"/>
        <w:tblW w:w="8430" w:type="dxa"/>
        <w:jc w:val="center"/>
        <w:tblLook w:val="04A0" w:firstRow="1" w:lastRow="0" w:firstColumn="1" w:lastColumn="0" w:noHBand="0" w:noVBand="1"/>
      </w:tblPr>
      <w:tblGrid>
        <w:gridCol w:w="593"/>
        <w:gridCol w:w="4760"/>
        <w:gridCol w:w="3077"/>
      </w:tblGrid>
      <w:tr w:rsidR="00654AA2" w:rsidRPr="003574E9" w:rsidTr="00FF0524">
        <w:trPr>
          <w:trHeight w:val="569"/>
          <w:jc w:val="center"/>
        </w:trPr>
        <w:tc>
          <w:tcPr>
            <w:tcW w:w="593" w:type="dxa"/>
          </w:tcPr>
          <w:p w:rsidR="00654AA2" w:rsidRPr="003574E9" w:rsidRDefault="00654AA2" w:rsidP="003574E9">
            <w:pPr>
              <w:spacing w:line="276" w:lineRule="auto"/>
              <w:jc w:val="both"/>
              <w:rPr>
                <w:rFonts w:ascii="Times New Roman" w:hAnsi="Times New Roman"/>
                <w:b/>
                <w:noProof/>
                <w:sz w:val="24"/>
                <w:szCs w:val="24"/>
                <w:lang w:val="sq-AL"/>
              </w:rPr>
            </w:pPr>
            <w:r w:rsidRPr="003574E9">
              <w:rPr>
                <w:rFonts w:ascii="Times New Roman" w:hAnsi="Times New Roman"/>
                <w:b/>
                <w:noProof/>
                <w:sz w:val="24"/>
                <w:szCs w:val="24"/>
                <w:lang w:val="sq-AL"/>
              </w:rPr>
              <w:t>Nr</w:t>
            </w:r>
          </w:p>
        </w:tc>
        <w:tc>
          <w:tcPr>
            <w:tcW w:w="4760" w:type="dxa"/>
          </w:tcPr>
          <w:p w:rsidR="00654AA2" w:rsidRPr="00F36768" w:rsidRDefault="00654AA2" w:rsidP="003574E9">
            <w:pPr>
              <w:spacing w:line="276" w:lineRule="auto"/>
              <w:jc w:val="both"/>
              <w:rPr>
                <w:rFonts w:ascii="Times New Roman" w:hAnsi="Times New Roman"/>
                <w:b/>
                <w:noProof/>
                <w:sz w:val="24"/>
                <w:szCs w:val="24"/>
                <w:lang w:val="sq-AL"/>
              </w:rPr>
            </w:pPr>
            <w:r w:rsidRPr="00F36768">
              <w:rPr>
                <w:rFonts w:ascii="Times New Roman" w:hAnsi="Times New Roman"/>
                <w:b/>
                <w:noProof/>
                <w:sz w:val="24"/>
                <w:szCs w:val="24"/>
                <w:lang w:val="sq-AL"/>
              </w:rPr>
              <w:t>Hapi/Procesi i punës</w:t>
            </w:r>
          </w:p>
        </w:tc>
        <w:tc>
          <w:tcPr>
            <w:tcW w:w="3077" w:type="dxa"/>
          </w:tcPr>
          <w:p w:rsidR="00654AA2" w:rsidRPr="00F36768" w:rsidRDefault="00654AA2" w:rsidP="003574E9">
            <w:pPr>
              <w:spacing w:line="276" w:lineRule="auto"/>
              <w:jc w:val="both"/>
              <w:rPr>
                <w:rFonts w:ascii="Times New Roman" w:hAnsi="Times New Roman"/>
                <w:b/>
                <w:noProof/>
                <w:sz w:val="24"/>
                <w:szCs w:val="24"/>
                <w:lang w:val="sq-AL"/>
              </w:rPr>
            </w:pPr>
            <w:r w:rsidRPr="00F36768">
              <w:rPr>
                <w:rFonts w:ascii="Times New Roman" w:hAnsi="Times New Roman"/>
                <w:b/>
                <w:noProof/>
                <w:sz w:val="24"/>
                <w:szCs w:val="24"/>
                <w:lang w:val="sq-AL"/>
              </w:rPr>
              <w:t xml:space="preserve">Pergjegjesi  </w:t>
            </w:r>
          </w:p>
        </w:tc>
      </w:tr>
      <w:tr w:rsidR="00654AA2" w:rsidRPr="003574E9" w:rsidTr="00F36768">
        <w:trPr>
          <w:trHeight w:val="1055"/>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1</w:t>
            </w:r>
          </w:p>
        </w:tc>
        <w:tc>
          <w:tcPr>
            <w:tcW w:w="4760"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Konsultime me palët e interesuara për çështje që duhet të adresohen në raportin e VSM-së (organizimi i dëgjimit publik)</w:t>
            </w:r>
          </w:p>
        </w:tc>
        <w:tc>
          <w:tcPr>
            <w:tcW w:w="3077"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Konsulenti mjedisor</w:t>
            </w:r>
          </w:p>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MIE/AKUM</w:t>
            </w:r>
          </w:p>
          <w:p w:rsidR="00654AA2" w:rsidRPr="00F36768" w:rsidRDefault="00654AA2" w:rsidP="003574E9">
            <w:pPr>
              <w:spacing w:line="276" w:lineRule="auto"/>
              <w:jc w:val="both"/>
              <w:rPr>
                <w:rFonts w:ascii="Times New Roman" w:hAnsi="Times New Roman"/>
                <w:noProof/>
                <w:sz w:val="24"/>
                <w:szCs w:val="24"/>
                <w:lang w:val="sq-AL"/>
              </w:rPr>
            </w:pPr>
          </w:p>
        </w:tc>
      </w:tr>
      <w:tr w:rsidR="00654AA2" w:rsidRPr="003574E9" w:rsidTr="00F36768">
        <w:trPr>
          <w:trHeight w:val="1055"/>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2</w:t>
            </w:r>
          </w:p>
        </w:tc>
        <w:tc>
          <w:tcPr>
            <w:tcW w:w="4760"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Hartimi i një raporti paraprak të VSM-së dhe konsultimi me palët e interesuara dhe publikun për këtë raport;</w:t>
            </w:r>
          </w:p>
        </w:tc>
        <w:tc>
          <w:tcPr>
            <w:tcW w:w="3077"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Konsulenti mjedisor</w:t>
            </w:r>
          </w:p>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në bashkëpunim me MIE/AKUM</w:t>
            </w:r>
          </w:p>
          <w:p w:rsidR="00654AA2" w:rsidRPr="00F36768" w:rsidRDefault="00654AA2" w:rsidP="003574E9">
            <w:pPr>
              <w:spacing w:line="276" w:lineRule="auto"/>
              <w:jc w:val="both"/>
              <w:rPr>
                <w:rFonts w:ascii="Times New Roman" w:hAnsi="Times New Roman"/>
                <w:noProof/>
                <w:sz w:val="24"/>
                <w:szCs w:val="24"/>
                <w:lang w:val="sq-AL"/>
              </w:rPr>
            </w:pPr>
          </w:p>
        </w:tc>
      </w:tr>
      <w:tr w:rsidR="00654AA2" w:rsidRPr="003574E9" w:rsidTr="00F36768">
        <w:trPr>
          <w:trHeight w:val="1072"/>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3</w:t>
            </w:r>
          </w:p>
        </w:tc>
        <w:tc>
          <w:tcPr>
            <w:tcW w:w="4760"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Konsultime me palët e interesuara dhe publikun për raportin paraprak të VSM-së (organizimi i dëgjimit publik);</w:t>
            </w:r>
          </w:p>
        </w:tc>
        <w:tc>
          <w:tcPr>
            <w:tcW w:w="3077"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Konsulenti mjedisor</w:t>
            </w:r>
          </w:p>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MIE/AKUM</w:t>
            </w:r>
          </w:p>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MTM</w:t>
            </w:r>
          </w:p>
        </w:tc>
      </w:tr>
      <w:tr w:rsidR="00654AA2" w:rsidRPr="003574E9" w:rsidTr="00F36768">
        <w:trPr>
          <w:trHeight w:val="335"/>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4</w:t>
            </w:r>
          </w:p>
        </w:tc>
        <w:tc>
          <w:tcPr>
            <w:tcW w:w="4760"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Hartimi i draft raportit të VSM</w:t>
            </w:r>
          </w:p>
        </w:tc>
        <w:tc>
          <w:tcPr>
            <w:tcW w:w="3077"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Konsulenti</w:t>
            </w:r>
          </w:p>
        </w:tc>
      </w:tr>
      <w:tr w:rsidR="00654AA2" w:rsidRPr="00F36768" w:rsidTr="00F36768">
        <w:trPr>
          <w:trHeight w:val="762"/>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5</w:t>
            </w:r>
          </w:p>
        </w:tc>
        <w:tc>
          <w:tcPr>
            <w:tcW w:w="4760"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Hartimi i draftit final të raportit për konsultime me aktorët/grupet e interesit</w:t>
            </w:r>
          </w:p>
        </w:tc>
        <w:tc>
          <w:tcPr>
            <w:tcW w:w="3077" w:type="dxa"/>
            <w:shd w:val="clear" w:color="auto" w:fill="auto"/>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MIE/AKUM</w:t>
            </w:r>
          </w:p>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Konsulenti</w:t>
            </w:r>
          </w:p>
        </w:tc>
      </w:tr>
      <w:tr w:rsidR="00654AA2" w:rsidRPr="00F36768" w:rsidTr="00FF0524">
        <w:trPr>
          <w:trHeight w:val="1070"/>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lastRenderedPageBreak/>
              <w:t>6</w:t>
            </w:r>
          </w:p>
        </w:tc>
        <w:tc>
          <w:tcPr>
            <w:tcW w:w="4760" w:type="dxa"/>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Aplikimi për Deklaratën e Mjedisit. MIE i dërgon MTE kërkesën së bashku me raportin e VSM-së dhe Strategjinë përfundimtare</w:t>
            </w:r>
          </w:p>
        </w:tc>
        <w:tc>
          <w:tcPr>
            <w:tcW w:w="3077" w:type="dxa"/>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MIE/AKUM</w:t>
            </w:r>
          </w:p>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në bashkëpunim me Konsulentin mjedisor</w:t>
            </w:r>
          </w:p>
        </w:tc>
      </w:tr>
      <w:tr w:rsidR="00654AA2" w:rsidRPr="00F36768" w:rsidTr="00FF0524">
        <w:trPr>
          <w:trHeight w:val="335"/>
          <w:jc w:val="center"/>
        </w:trPr>
        <w:tc>
          <w:tcPr>
            <w:tcW w:w="593" w:type="dxa"/>
          </w:tcPr>
          <w:p w:rsidR="00654AA2" w:rsidRPr="003574E9" w:rsidRDefault="00654AA2" w:rsidP="003574E9">
            <w:pPr>
              <w:spacing w:line="276" w:lineRule="auto"/>
              <w:jc w:val="both"/>
              <w:rPr>
                <w:rFonts w:ascii="Times New Roman" w:hAnsi="Times New Roman"/>
                <w:noProof/>
                <w:sz w:val="24"/>
                <w:szCs w:val="24"/>
                <w:lang w:val="sq-AL"/>
              </w:rPr>
            </w:pPr>
            <w:r w:rsidRPr="003574E9">
              <w:rPr>
                <w:rFonts w:ascii="Times New Roman" w:hAnsi="Times New Roman"/>
                <w:noProof/>
                <w:sz w:val="24"/>
                <w:szCs w:val="24"/>
                <w:lang w:val="sq-AL"/>
              </w:rPr>
              <w:t>7</w:t>
            </w:r>
          </w:p>
        </w:tc>
        <w:tc>
          <w:tcPr>
            <w:tcW w:w="4760" w:type="dxa"/>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MTM lëshon  deklaraten mjedisore</w:t>
            </w:r>
          </w:p>
        </w:tc>
        <w:tc>
          <w:tcPr>
            <w:tcW w:w="3077" w:type="dxa"/>
          </w:tcPr>
          <w:p w:rsidR="00654AA2" w:rsidRPr="00F36768" w:rsidRDefault="00654AA2" w:rsidP="003574E9">
            <w:pPr>
              <w:spacing w:line="276" w:lineRule="auto"/>
              <w:jc w:val="both"/>
              <w:rPr>
                <w:rFonts w:ascii="Times New Roman" w:hAnsi="Times New Roman"/>
                <w:noProof/>
                <w:sz w:val="24"/>
                <w:szCs w:val="24"/>
                <w:lang w:val="sq-AL"/>
              </w:rPr>
            </w:pPr>
            <w:r w:rsidRPr="00F36768">
              <w:rPr>
                <w:rFonts w:ascii="Times New Roman" w:hAnsi="Times New Roman"/>
                <w:noProof/>
                <w:sz w:val="24"/>
                <w:szCs w:val="24"/>
                <w:lang w:val="sq-AL"/>
              </w:rPr>
              <w:t>MTM</w:t>
            </w:r>
          </w:p>
        </w:tc>
      </w:tr>
    </w:tbl>
    <w:p w:rsidR="00654AA2" w:rsidRPr="003574E9" w:rsidRDefault="00654AA2" w:rsidP="003574E9">
      <w:pPr>
        <w:spacing w:after="0" w:line="276" w:lineRule="auto"/>
        <w:jc w:val="both"/>
        <w:rPr>
          <w:rFonts w:ascii="Times New Roman" w:hAnsi="Times New Roman"/>
          <w:i/>
          <w:noProof/>
          <w:sz w:val="24"/>
          <w:szCs w:val="24"/>
          <w:lang w:val="sq-AL"/>
        </w:rPr>
      </w:pPr>
    </w:p>
    <w:p w:rsidR="00BA67A7" w:rsidRPr="003574E9" w:rsidRDefault="00BA67A7" w:rsidP="003574E9">
      <w:pPr>
        <w:tabs>
          <w:tab w:val="left" w:pos="720"/>
        </w:tabs>
        <w:suppressAutoHyphens w:val="0"/>
        <w:autoSpaceDN/>
        <w:spacing w:after="0" w:line="276" w:lineRule="auto"/>
        <w:jc w:val="both"/>
        <w:textAlignment w:val="auto"/>
        <w:rPr>
          <w:rFonts w:ascii="Times New Roman" w:eastAsia="Calibri" w:hAnsi="Times New Roman"/>
          <w:sz w:val="24"/>
          <w:szCs w:val="24"/>
          <w:lang w:val="sq-AL"/>
        </w:rPr>
      </w:pPr>
    </w:p>
    <w:sectPr w:rsidR="00BA67A7" w:rsidRPr="003574E9" w:rsidSect="00B41E16">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DB4" w:rsidRDefault="00FF7DB4" w:rsidP="00BA67A7">
      <w:pPr>
        <w:spacing w:after="0" w:line="240" w:lineRule="auto"/>
      </w:pPr>
      <w:r>
        <w:separator/>
      </w:r>
    </w:p>
  </w:endnote>
  <w:endnote w:type="continuationSeparator" w:id="0">
    <w:p w:rsidR="00FF7DB4" w:rsidRDefault="00FF7DB4" w:rsidP="00BA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FPCK+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841788"/>
      <w:docPartObj>
        <w:docPartGallery w:val="Page Numbers (Bottom of Page)"/>
        <w:docPartUnique/>
      </w:docPartObj>
    </w:sdtPr>
    <w:sdtEndPr>
      <w:rPr>
        <w:noProof/>
      </w:rPr>
    </w:sdtEndPr>
    <w:sdtContent>
      <w:p w:rsidR="002330D3" w:rsidRDefault="002330D3">
        <w:pPr>
          <w:pStyle w:val="Footer"/>
          <w:jc w:val="right"/>
        </w:pPr>
        <w:r>
          <w:fldChar w:fldCharType="begin"/>
        </w:r>
        <w:r>
          <w:instrText xml:space="preserve"> PAGE   \* MERGEFORMAT </w:instrText>
        </w:r>
        <w:r>
          <w:fldChar w:fldCharType="separate"/>
        </w:r>
        <w:r w:rsidR="00127824">
          <w:rPr>
            <w:noProof/>
          </w:rPr>
          <w:t>3</w:t>
        </w:r>
        <w:r>
          <w:rPr>
            <w:noProof/>
          </w:rPr>
          <w:fldChar w:fldCharType="end"/>
        </w:r>
      </w:p>
    </w:sdtContent>
  </w:sdt>
  <w:p w:rsidR="002330D3" w:rsidRDefault="00233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DB4" w:rsidRDefault="00FF7DB4" w:rsidP="00BA67A7">
      <w:pPr>
        <w:spacing w:after="0" w:line="240" w:lineRule="auto"/>
      </w:pPr>
      <w:r>
        <w:separator/>
      </w:r>
    </w:p>
  </w:footnote>
  <w:footnote w:type="continuationSeparator" w:id="0">
    <w:p w:rsidR="00FF7DB4" w:rsidRDefault="00FF7DB4" w:rsidP="00BA6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8F4"/>
    <w:multiLevelType w:val="hybridMultilevel"/>
    <w:tmpl w:val="B3CC43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1852"/>
    <w:multiLevelType w:val="hybridMultilevel"/>
    <w:tmpl w:val="5D14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34DC4"/>
    <w:multiLevelType w:val="hybridMultilevel"/>
    <w:tmpl w:val="3728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B6C33"/>
    <w:multiLevelType w:val="hybridMultilevel"/>
    <w:tmpl w:val="5E8A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73E"/>
    <w:multiLevelType w:val="hybridMultilevel"/>
    <w:tmpl w:val="B8A64010"/>
    <w:lvl w:ilvl="0" w:tplc="A61CFDD4">
      <w:start w:val="1"/>
      <w:numFmt w:val="bullet"/>
      <w:lvlText w:val=""/>
      <w:lvlJc w:val="left"/>
      <w:pPr>
        <w:ind w:left="720" w:hanging="360"/>
      </w:pPr>
      <w:rPr>
        <w:rFonts w:ascii="Wingdings" w:hAnsi="Wingdings" w:hint="default"/>
        <w:b w:val="0"/>
        <w:i w:val="0"/>
        <w:sz w:val="22"/>
      </w:rPr>
    </w:lvl>
    <w:lvl w:ilvl="1" w:tplc="095C69E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1306B"/>
    <w:multiLevelType w:val="hybridMultilevel"/>
    <w:tmpl w:val="84A8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823A6"/>
    <w:multiLevelType w:val="hybridMultilevel"/>
    <w:tmpl w:val="7E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A2E92"/>
    <w:multiLevelType w:val="hybridMultilevel"/>
    <w:tmpl w:val="822A2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B0059"/>
    <w:multiLevelType w:val="hybridMultilevel"/>
    <w:tmpl w:val="FF88A60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604D4036"/>
    <w:multiLevelType w:val="hybridMultilevel"/>
    <w:tmpl w:val="56B26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9"/>
  </w:num>
  <w:num w:numId="5">
    <w:abstractNumId w:val="1"/>
  </w:num>
  <w:num w:numId="6">
    <w:abstractNumId w:val="3"/>
  </w:num>
  <w:num w:numId="7">
    <w:abstractNumId w:val="6"/>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BD"/>
    <w:rsid w:val="000503D2"/>
    <w:rsid w:val="00096949"/>
    <w:rsid w:val="000E099C"/>
    <w:rsid w:val="0012527E"/>
    <w:rsid w:val="00127824"/>
    <w:rsid w:val="0020293C"/>
    <w:rsid w:val="0020436C"/>
    <w:rsid w:val="00222268"/>
    <w:rsid w:val="002330D3"/>
    <w:rsid w:val="002600EA"/>
    <w:rsid w:val="003160CF"/>
    <w:rsid w:val="003574E9"/>
    <w:rsid w:val="004B1133"/>
    <w:rsid w:val="0053189E"/>
    <w:rsid w:val="00557405"/>
    <w:rsid w:val="005C44B1"/>
    <w:rsid w:val="00654AA2"/>
    <w:rsid w:val="00661783"/>
    <w:rsid w:val="006855B8"/>
    <w:rsid w:val="007139BD"/>
    <w:rsid w:val="00752952"/>
    <w:rsid w:val="007D002D"/>
    <w:rsid w:val="00815E07"/>
    <w:rsid w:val="008365CE"/>
    <w:rsid w:val="0088087A"/>
    <w:rsid w:val="008C0E24"/>
    <w:rsid w:val="008F5707"/>
    <w:rsid w:val="009569D3"/>
    <w:rsid w:val="009C3460"/>
    <w:rsid w:val="00A0399C"/>
    <w:rsid w:val="00A12E9B"/>
    <w:rsid w:val="00AE7206"/>
    <w:rsid w:val="00B768D0"/>
    <w:rsid w:val="00B90FF2"/>
    <w:rsid w:val="00BA67A7"/>
    <w:rsid w:val="00C151FB"/>
    <w:rsid w:val="00E367FE"/>
    <w:rsid w:val="00E7151E"/>
    <w:rsid w:val="00E72AAE"/>
    <w:rsid w:val="00F00BB1"/>
    <w:rsid w:val="00F36768"/>
    <w:rsid w:val="00FD2824"/>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E625D"/>
  <w15:docId w15:val="{7E767636-5307-41F1-B8E0-C98D6A30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67A7"/>
    <w:pPr>
      <w:suppressAutoHyphens/>
      <w:autoSpaceDN w:val="0"/>
      <w:spacing w:line="251" w:lineRule="auto"/>
      <w:textAlignment w:val="baseline"/>
    </w:pPr>
    <w:rPr>
      <w:rFonts w:ascii="Cambria" w:eastAsia="Times New Roman" w:hAnsi="Cambria" w:cs="Times New Roman"/>
      <w:lang w:bidi="en-US"/>
    </w:rPr>
  </w:style>
  <w:style w:type="paragraph" w:styleId="Heading1">
    <w:name w:val="heading 1"/>
    <w:basedOn w:val="Normal"/>
    <w:next w:val="Normal"/>
    <w:link w:val="Heading1Char"/>
    <w:uiPriority w:val="9"/>
    <w:rsid w:val="00BA67A7"/>
    <w:pPr>
      <w:pBdr>
        <w:bottom w:val="double" w:sz="6" w:space="0"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BA67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67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A7"/>
    <w:rPr>
      <w:rFonts w:ascii="Cambria" w:eastAsia="Times New Roman" w:hAnsi="Cambria" w:cs="Times New Roman"/>
      <w:caps/>
      <w:color w:val="632423"/>
      <w:spacing w:val="20"/>
      <w:sz w:val="28"/>
      <w:szCs w:val="28"/>
      <w:lang w:bidi="en-US"/>
    </w:rPr>
  </w:style>
  <w:style w:type="character" w:customStyle="1" w:styleId="Heading2Char">
    <w:name w:val="Heading 2 Char"/>
    <w:basedOn w:val="DefaultParagraphFont"/>
    <w:link w:val="Heading2"/>
    <w:uiPriority w:val="9"/>
    <w:semiHidden/>
    <w:rsid w:val="00BA67A7"/>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semiHidden/>
    <w:rsid w:val="00BA67A7"/>
    <w:rPr>
      <w:rFonts w:asciiTheme="majorHAnsi" w:eastAsiaTheme="majorEastAsia" w:hAnsiTheme="majorHAnsi" w:cstheme="majorBidi"/>
      <w:b/>
      <w:bCs/>
      <w:color w:val="4F81BD" w:themeColor="accent1"/>
      <w:lang w:bidi="en-US"/>
    </w:rPr>
  </w:style>
  <w:style w:type="paragraph" w:styleId="ListParagraph">
    <w:name w:val="List Paragraph"/>
    <w:aliases w:val="Annex,List Paragraph1"/>
    <w:basedOn w:val="Normal"/>
    <w:link w:val="ListParagraphChar"/>
    <w:uiPriority w:val="1"/>
    <w:qFormat/>
    <w:rsid w:val="00BA67A7"/>
    <w:pPr>
      <w:ind w:left="720"/>
    </w:pPr>
    <w:rPr>
      <w:lang w:val="x-none" w:eastAsia="x-none"/>
    </w:rPr>
  </w:style>
  <w:style w:type="character" w:customStyle="1" w:styleId="ListParagraphChar">
    <w:name w:val="List Paragraph Char"/>
    <w:aliases w:val="Annex Char,List Paragraph1 Char"/>
    <w:link w:val="ListParagraph"/>
    <w:uiPriority w:val="1"/>
    <w:rsid w:val="00BA67A7"/>
    <w:rPr>
      <w:rFonts w:ascii="Cambria" w:eastAsia="Times New Roman" w:hAnsi="Cambria" w:cs="Times New Roman"/>
      <w:lang w:val="x-none" w:eastAsia="x-none" w:bidi="en-US"/>
    </w:rPr>
  </w:style>
  <w:style w:type="table" w:styleId="TableGrid">
    <w:name w:val="Table Grid"/>
    <w:aliases w:val="Strategjia"/>
    <w:basedOn w:val="TableNormal"/>
    <w:rsid w:val="00BA67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A67A7"/>
    <w:pPr>
      <w:spacing w:after="0" w:line="240" w:lineRule="auto"/>
    </w:pPr>
    <w:rPr>
      <w:rFonts w:eastAsia="Times New Roman" w:cs="Times New Roman"/>
      <w:lang w:val="sq-AL"/>
    </w:rPr>
  </w:style>
  <w:style w:type="character" w:customStyle="1" w:styleId="NoSpacingChar">
    <w:name w:val="No Spacing Char"/>
    <w:link w:val="NoSpacing"/>
    <w:uiPriority w:val="1"/>
    <w:locked/>
    <w:rsid w:val="00BA67A7"/>
    <w:rPr>
      <w:rFonts w:eastAsia="Times New Roman" w:cs="Times New Roman"/>
      <w:lang w:val="sq-AL"/>
    </w:rPr>
  </w:style>
  <w:style w:type="character" w:styleId="Hyperlink">
    <w:name w:val="Hyperlink"/>
    <w:basedOn w:val="DefaultParagraphFont"/>
    <w:uiPriority w:val="99"/>
    <w:rsid w:val="00BA67A7"/>
    <w:rPr>
      <w:rFonts w:cs="Times New Roman"/>
      <w:color w:val="0000FF"/>
      <w:u w:val="single"/>
    </w:rPr>
  </w:style>
  <w:style w:type="paragraph" w:styleId="FootnoteText">
    <w:name w:val="footnote text"/>
    <w:aliases w:val="Fußnotentextf,Footnote,Text,single space,ft,footnote text,Footnote Text Blue,Footnote Text Char Char Char,Footnote Text Char Char,Fußnote,FOOTNOTES,fn,Geneva 9,Font: Geneva 9,Boston 10,f,Fußnotentextr,Fuﬂnotentextf,Char,Footnote Text Char1"/>
    <w:basedOn w:val="Normal"/>
    <w:link w:val="FootnoteTextChar"/>
    <w:uiPriority w:val="99"/>
    <w:qFormat/>
    <w:rsid w:val="00BA67A7"/>
    <w:pPr>
      <w:suppressAutoHyphens w:val="0"/>
      <w:autoSpaceDN/>
      <w:spacing w:before="120" w:after="120" w:line="240" w:lineRule="auto"/>
      <w:jc w:val="both"/>
      <w:textAlignment w:val="auto"/>
    </w:pPr>
    <w:rPr>
      <w:rFonts w:ascii="Arial" w:hAnsi="Arial"/>
      <w:sz w:val="16"/>
      <w:szCs w:val="20"/>
      <w:lang w:val="en-GB" w:eastAsia="de-DE" w:bidi="ar-SA"/>
    </w:rPr>
  </w:style>
  <w:style w:type="character" w:customStyle="1" w:styleId="FootnoteTextChar">
    <w:name w:val="Footnote Text Char"/>
    <w:aliases w:val="Fußnotentextf Char,Footnote Char,Text Char,single space Char,ft Char,footnote text Char,Footnote Text Blue Char,Footnote Text Char Char Char Char,Footnote Text Char Char Char1,Fußnote Char,FOOTNOTES Char,fn Char,Geneva 9 Char,f Char"/>
    <w:basedOn w:val="DefaultParagraphFont"/>
    <w:link w:val="FootnoteText"/>
    <w:uiPriority w:val="99"/>
    <w:rsid w:val="00BA67A7"/>
    <w:rPr>
      <w:rFonts w:ascii="Arial" w:eastAsia="Times New Roman" w:hAnsi="Arial" w:cs="Times New Roman"/>
      <w:sz w:val="16"/>
      <w:szCs w:val="20"/>
      <w:lang w:val="en-GB" w:eastAsia="de-DE"/>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nota pié di pagina,Re"/>
    <w:uiPriority w:val="99"/>
    <w:rsid w:val="00BA67A7"/>
    <w:rPr>
      <w:rFonts w:ascii="Arial" w:hAnsi="Arial"/>
      <w:sz w:val="16"/>
      <w:vertAlign w:val="superscript"/>
    </w:rPr>
  </w:style>
  <w:style w:type="paragraph" w:styleId="Header">
    <w:name w:val="header"/>
    <w:basedOn w:val="Normal"/>
    <w:link w:val="HeaderChar"/>
    <w:uiPriority w:val="99"/>
    <w:unhideWhenUsed/>
    <w:rsid w:val="00BA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A7"/>
    <w:rPr>
      <w:rFonts w:ascii="Cambria" w:eastAsia="Times New Roman" w:hAnsi="Cambria" w:cs="Times New Roman"/>
      <w:lang w:bidi="en-US"/>
    </w:rPr>
  </w:style>
  <w:style w:type="paragraph" w:styleId="Footer">
    <w:name w:val="footer"/>
    <w:basedOn w:val="Normal"/>
    <w:link w:val="FooterChar"/>
    <w:uiPriority w:val="99"/>
    <w:unhideWhenUsed/>
    <w:rsid w:val="00BA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A7"/>
    <w:rPr>
      <w:rFonts w:ascii="Cambria" w:eastAsia="Times New Roman" w:hAnsi="Cambria" w:cs="Times New Roman"/>
      <w:lang w:bidi="en-US"/>
    </w:rPr>
  </w:style>
  <w:style w:type="paragraph" w:styleId="BalloonText">
    <w:name w:val="Balloon Text"/>
    <w:basedOn w:val="Normal"/>
    <w:link w:val="BalloonTextChar"/>
    <w:uiPriority w:val="99"/>
    <w:semiHidden/>
    <w:unhideWhenUsed/>
    <w:rsid w:val="00BA6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A7"/>
    <w:rPr>
      <w:rFonts w:ascii="Tahoma" w:eastAsia="Times New Roman" w:hAnsi="Tahoma" w:cs="Tahoma"/>
      <w:sz w:val="16"/>
      <w:szCs w:val="16"/>
      <w:lang w:bidi="en-US"/>
    </w:rPr>
  </w:style>
  <w:style w:type="paragraph" w:customStyle="1" w:styleId="Head1">
    <w:name w:val="Head 1"/>
    <w:basedOn w:val="Normal"/>
    <w:uiPriority w:val="99"/>
    <w:rsid w:val="00BA67A7"/>
    <w:pPr>
      <w:tabs>
        <w:tab w:val="right" w:pos="-2970"/>
      </w:tabs>
      <w:suppressAutoHyphens w:val="0"/>
      <w:autoSpaceDN/>
      <w:spacing w:after="120" w:line="240" w:lineRule="auto"/>
      <w:ind w:left="720" w:hanging="720"/>
      <w:textAlignment w:val="auto"/>
    </w:pPr>
    <w:rPr>
      <w:rFonts w:ascii="Arial" w:hAnsi="Arial" w:cs="Arial"/>
      <w:b/>
      <w:bCs/>
      <w:sz w:val="24"/>
      <w:szCs w:val="24"/>
      <w:lang w:bidi="ar-SA"/>
    </w:rPr>
  </w:style>
  <w:style w:type="paragraph" w:styleId="NormalWeb">
    <w:name w:val="Normal (Web)"/>
    <w:basedOn w:val="Normal"/>
    <w:uiPriority w:val="99"/>
    <w:unhideWhenUsed/>
    <w:rsid w:val="00BA67A7"/>
    <w:pPr>
      <w:suppressAutoHyphens w:val="0"/>
      <w:autoSpaceDN/>
      <w:spacing w:before="100" w:beforeAutospacing="1" w:after="100" w:afterAutospacing="1" w:line="240" w:lineRule="auto"/>
      <w:textAlignment w:val="auto"/>
    </w:pPr>
    <w:rPr>
      <w:rFonts w:ascii="Times New Roman" w:hAnsi="Times New Roman"/>
      <w:sz w:val="24"/>
      <w:szCs w:val="24"/>
      <w:lang w:bidi="ar-SA"/>
    </w:rPr>
  </w:style>
  <w:style w:type="paragraph" w:customStyle="1" w:styleId="Norm1">
    <w:name w:val="Norm 1"/>
    <w:basedOn w:val="Normal"/>
    <w:link w:val="Norm1Char"/>
    <w:autoRedefine/>
    <w:uiPriority w:val="99"/>
    <w:rsid w:val="005C44B1"/>
    <w:pPr>
      <w:suppressAutoHyphens w:val="0"/>
      <w:autoSpaceDN/>
      <w:spacing w:before="240" w:after="120" w:line="240" w:lineRule="auto"/>
      <w:textAlignment w:val="auto"/>
    </w:pPr>
    <w:rPr>
      <w:rFonts w:ascii="Arial" w:hAnsi="Arial"/>
      <w:lang w:val="x-none" w:eastAsia="x-none" w:bidi="ar-SA"/>
    </w:rPr>
  </w:style>
  <w:style w:type="character" w:customStyle="1" w:styleId="Norm1Char">
    <w:name w:val="Norm 1 Char"/>
    <w:link w:val="Norm1"/>
    <w:uiPriority w:val="99"/>
    <w:locked/>
    <w:rsid w:val="005C44B1"/>
    <w:rPr>
      <w:rFonts w:ascii="Arial" w:eastAsia="Times New Roman" w:hAnsi="Arial" w:cs="Times New Roman"/>
      <w:lang w:val="x-none" w:eastAsia="x-none"/>
    </w:rPr>
  </w:style>
  <w:style w:type="paragraph" w:customStyle="1" w:styleId="Default">
    <w:name w:val="Default"/>
    <w:rsid w:val="00557405"/>
    <w:pPr>
      <w:autoSpaceDE w:val="0"/>
      <w:autoSpaceDN w:val="0"/>
      <w:adjustRightInd w:val="0"/>
      <w:spacing w:after="0" w:line="240" w:lineRule="auto"/>
    </w:pPr>
    <w:rPr>
      <w:rFonts w:ascii="COFPCK+TimesNewRoman" w:eastAsia="Times New Roman" w:hAnsi="COFPCK+TimesNewRoman" w:cs="COFPCK+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B0A1-A0A8-4D48-ADD2-1935A8F9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Ljutvilda Gugushka</dc:creator>
  <cp:lastModifiedBy>Gerta Ismailaja</cp:lastModifiedBy>
  <cp:revision>4</cp:revision>
  <cp:lastPrinted>2019-10-14T11:01:00Z</cp:lastPrinted>
  <dcterms:created xsi:type="dcterms:W3CDTF">2023-03-27T09:44:00Z</dcterms:created>
  <dcterms:modified xsi:type="dcterms:W3CDTF">2023-03-27T09:45:00Z</dcterms:modified>
</cp:coreProperties>
</file>