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06DB" w14:textId="7B49E1DC" w:rsidR="00C8499E" w:rsidRPr="00A60305" w:rsidRDefault="00C8499E" w:rsidP="00A60305">
      <w:pPr>
        <w:pStyle w:val="Heading2"/>
        <w:spacing w:before="0" w:after="0"/>
        <w:jc w:val="both"/>
        <w:rPr>
          <w:rFonts w:ascii="Times New Roman" w:hAnsi="Times New Roman"/>
          <w:i w:val="0"/>
          <w:szCs w:val="24"/>
          <w:lang w:val="sq-AL"/>
        </w:rPr>
      </w:pPr>
      <w:bookmarkStart w:id="0" w:name="_Toc535407777"/>
      <w:r w:rsidRPr="00A60305">
        <w:rPr>
          <w:rFonts w:ascii="Times New Roman" w:hAnsi="Times New Roman"/>
          <w:b w:val="0"/>
          <w:noProof/>
          <w:color w:val="000000"/>
          <w:szCs w:val="24"/>
          <w:lang w:val="en-US"/>
        </w:rPr>
        <w:drawing>
          <wp:inline distT="0" distB="0" distL="0" distR="0" wp14:anchorId="0008AC7B" wp14:editId="0E53D2E4">
            <wp:extent cx="5857875" cy="1486535"/>
            <wp:effectExtent l="0" t="0" r="9525" b="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48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0423C" w14:textId="77777777" w:rsidR="00A60305" w:rsidRPr="00A60305" w:rsidRDefault="00A60305" w:rsidP="00A60305">
      <w:pPr>
        <w:pStyle w:val="Heading2"/>
        <w:spacing w:before="0" w:after="0"/>
        <w:jc w:val="both"/>
        <w:rPr>
          <w:rFonts w:ascii="Times New Roman" w:hAnsi="Times New Roman"/>
          <w:i w:val="0"/>
          <w:szCs w:val="24"/>
          <w:lang w:val="sq-AL"/>
        </w:rPr>
      </w:pPr>
    </w:p>
    <w:p w14:paraId="1E129DEC" w14:textId="77777777" w:rsidR="00A60305" w:rsidRPr="00A60305" w:rsidRDefault="00A60305" w:rsidP="00A60305">
      <w:pPr>
        <w:pStyle w:val="Heading2"/>
        <w:spacing w:before="0" w:after="0"/>
        <w:jc w:val="both"/>
        <w:rPr>
          <w:rFonts w:ascii="Times New Roman" w:hAnsi="Times New Roman"/>
          <w:i w:val="0"/>
          <w:szCs w:val="24"/>
          <w:lang w:val="sq-AL"/>
        </w:rPr>
      </w:pPr>
    </w:p>
    <w:p w14:paraId="48E93476" w14:textId="5BA9D9BA" w:rsidR="00B52A2E" w:rsidRPr="00A60305" w:rsidRDefault="00B52A2E" w:rsidP="00A60305">
      <w:pPr>
        <w:pStyle w:val="Heading2"/>
        <w:spacing w:before="0" w:after="0"/>
        <w:jc w:val="both"/>
        <w:rPr>
          <w:rFonts w:ascii="Times New Roman" w:hAnsi="Times New Roman"/>
          <w:i w:val="0"/>
          <w:szCs w:val="24"/>
          <w:lang w:val="sq-AL"/>
        </w:rPr>
      </w:pPr>
      <w:r w:rsidRPr="00A60305">
        <w:rPr>
          <w:rFonts w:ascii="Times New Roman" w:hAnsi="Times New Roman"/>
          <w:i w:val="0"/>
          <w:szCs w:val="24"/>
          <w:lang w:val="sq-AL"/>
        </w:rPr>
        <w:t>RAPORT INDIVIDUAL I KONSULTIMIT PUBLIK</w:t>
      </w:r>
      <w:bookmarkEnd w:id="0"/>
    </w:p>
    <w:p w14:paraId="358E7985" w14:textId="24E44573" w:rsidR="005B6D2B" w:rsidRPr="00A60305" w:rsidRDefault="005B6D2B" w:rsidP="00A6030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D8B750" w14:textId="77777777" w:rsidR="005B6D2B" w:rsidRPr="00A60305" w:rsidRDefault="005B6D2B" w:rsidP="00A603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A60305">
        <w:rPr>
          <w:rFonts w:ascii="Times New Roman" w:hAnsi="Times New Roman"/>
          <w:b/>
          <w:bCs/>
          <w:sz w:val="24"/>
          <w:szCs w:val="24"/>
          <w:lang w:val="sq-AL"/>
        </w:rPr>
        <w:t>Titulli i aktit</w:t>
      </w:r>
      <w:r w:rsidR="00910D3D" w:rsidRPr="00A60305">
        <w:rPr>
          <w:rFonts w:ascii="Times New Roman" w:hAnsi="Times New Roman"/>
          <w:b/>
          <w:bCs/>
          <w:sz w:val="24"/>
          <w:szCs w:val="24"/>
          <w:lang w:val="sq-AL"/>
        </w:rPr>
        <w:t>/dokumentit</w:t>
      </w:r>
    </w:p>
    <w:p w14:paraId="71A28509" w14:textId="77777777" w:rsidR="0029444A" w:rsidRPr="00A60305" w:rsidRDefault="0029444A" w:rsidP="00A60305">
      <w:pPr>
        <w:pStyle w:val="Default"/>
        <w:jc w:val="both"/>
        <w:rPr>
          <w:lang w:val="sq-AL"/>
        </w:rPr>
      </w:pPr>
    </w:p>
    <w:p w14:paraId="55FD434A" w14:textId="606A85F9" w:rsidR="00A121AB" w:rsidRPr="00A60305" w:rsidRDefault="0074484D" w:rsidP="00A60305">
      <w:pPr>
        <w:pStyle w:val="Default"/>
        <w:jc w:val="both"/>
        <w:rPr>
          <w:lang w:val="sq-AL"/>
        </w:rPr>
      </w:pPr>
      <w:r w:rsidRPr="00A60305">
        <w:rPr>
          <w:lang w:val="sq-AL"/>
        </w:rPr>
        <w:t xml:space="preserve">      Projektligji “</w:t>
      </w:r>
      <w:r w:rsidRPr="00A60305">
        <w:rPr>
          <w:i/>
          <w:iCs/>
          <w:lang w:val="sq-AL"/>
        </w:rPr>
        <w:t>Për komunikimet elektronike në Republikën e Shqipërisë</w:t>
      </w:r>
      <w:r w:rsidRPr="00A60305">
        <w:rPr>
          <w:lang w:val="sq-AL"/>
        </w:rPr>
        <w:t>”</w:t>
      </w:r>
      <w:r w:rsidR="00D82946" w:rsidRPr="00A60305">
        <w:rPr>
          <w:lang w:val="sq-AL"/>
        </w:rPr>
        <w:t>.</w:t>
      </w:r>
    </w:p>
    <w:p w14:paraId="700B55CE" w14:textId="02D69379" w:rsidR="007E1E19" w:rsidRPr="00A60305" w:rsidRDefault="007E1E19" w:rsidP="00A60305">
      <w:pPr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CE43D54" w14:textId="77777777" w:rsidR="0029444A" w:rsidRPr="00A60305" w:rsidRDefault="0029444A" w:rsidP="00A60305">
      <w:pPr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DE7BD90" w14:textId="77777777" w:rsidR="00A23F2A" w:rsidRPr="00A60305" w:rsidRDefault="005B6D2B" w:rsidP="00A603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Cs/>
          <w:sz w:val="24"/>
          <w:szCs w:val="24"/>
          <w:lang w:val="sq-AL"/>
        </w:rPr>
      </w:pPr>
      <w:r w:rsidRPr="00A60305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52C400CB" w14:textId="77777777" w:rsidR="0029444A" w:rsidRPr="00A60305" w:rsidRDefault="0029444A" w:rsidP="00A60305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E6035B9" w14:textId="5B11BE72" w:rsidR="00CC3801" w:rsidRPr="00A60305" w:rsidRDefault="00D3732A" w:rsidP="00A60305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 xml:space="preserve">Projektakti është publikuar në datë 31 Tetor 2022 regjistrin elektronik të njoftimeve dhe konsultimeve publike (në nivel eksperti dhe qytetari) dhe ka zgjatur </w:t>
      </w:r>
      <w:r w:rsidR="00091A0B" w:rsidRPr="00A60305">
        <w:rPr>
          <w:rFonts w:ascii="Times New Roman" w:hAnsi="Times New Roman"/>
          <w:sz w:val="24"/>
          <w:szCs w:val="24"/>
          <w:lang w:val="sq-AL"/>
        </w:rPr>
        <w:t>3</w:t>
      </w:r>
      <w:r w:rsidR="00A23F2A" w:rsidRPr="00A60305">
        <w:rPr>
          <w:rFonts w:ascii="Times New Roman" w:hAnsi="Times New Roman"/>
          <w:sz w:val="24"/>
          <w:szCs w:val="24"/>
          <w:lang w:val="sq-AL"/>
        </w:rPr>
        <w:t>0</w:t>
      </w:r>
      <w:r w:rsidR="00910D3D" w:rsidRPr="00A60305">
        <w:rPr>
          <w:rFonts w:ascii="Times New Roman" w:hAnsi="Times New Roman"/>
          <w:sz w:val="24"/>
          <w:szCs w:val="24"/>
          <w:lang w:val="sq-AL"/>
        </w:rPr>
        <w:t xml:space="preserve"> ditë</w:t>
      </w:r>
      <w:r w:rsidR="00E84858" w:rsidRPr="00A60305">
        <w:rPr>
          <w:rFonts w:ascii="Times New Roman" w:hAnsi="Times New Roman"/>
          <w:sz w:val="24"/>
          <w:szCs w:val="24"/>
          <w:lang w:val="sq-AL"/>
        </w:rPr>
        <w:t>, deri në datë 30 Nëntor 2022</w:t>
      </w:r>
      <w:r w:rsidR="00910D3D" w:rsidRPr="00A60305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0BF9D027" w14:textId="77777777" w:rsidR="00CC3801" w:rsidRPr="00A60305" w:rsidRDefault="00CC3801" w:rsidP="00A60305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9B328C3" w14:textId="77777777" w:rsidR="00447CCB" w:rsidRPr="00A60305" w:rsidRDefault="00000000" w:rsidP="00A60305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hyperlink r:id="rId9" w:tgtFrame="_blank" w:history="1">
        <w:r w:rsidR="00447CCB" w:rsidRPr="00A60305">
          <w:rPr>
            <w:rStyle w:val="Hyperlink"/>
            <w:rFonts w:ascii="Times New Roman" w:hAnsi="Times New Roman"/>
            <w:sz w:val="24"/>
            <w:szCs w:val="24"/>
            <w:bdr w:val="none" w:sz="0" w:space="0" w:color="auto" w:frame="1"/>
            <w:lang w:val="sq-AL"/>
          </w:rPr>
          <w:t>https://konsultimipublik.gov.al/Konsultime/Detaje/539</w:t>
        </w:r>
      </w:hyperlink>
      <w:r w:rsidR="00DB0F2F" w:rsidRPr="00A60305">
        <w:rPr>
          <w:rFonts w:ascii="Times New Roman" w:hAnsi="Times New Roman"/>
          <w:sz w:val="24"/>
          <w:szCs w:val="24"/>
          <w:lang w:val="sq-AL"/>
        </w:rPr>
        <w:t xml:space="preserve">; </w:t>
      </w:r>
      <w:hyperlink r:id="rId10" w:tgtFrame="_blank" w:history="1">
        <w:r w:rsidR="00447CCB" w:rsidRPr="00A60305">
          <w:rPr>
            <w:rStyle w:val="Hyperlink"/>
            <w:rFonts w:ascii="Times New Roman" w:hAnsi="Times New Roman"/>
            <w:sz w:val="24"/>
            <w:szCs w:val="24"/>
            <w:bdr w:val="none" w:sz="0" w:space="0" w:color="auto" w:frame="1"/>
            <w:lang w:val="sq-AL"/>
          </w:rPr>
          <w:t>https://konsultimipublik.gov.al/Konsultime/Detaje/540</w:t>
        </w:r>
      </w:hyperlink>
    </w:p>
    <w:p w14:paraId="392F63FB" w14:textId="77777777" w:rsidR="0042167B" w:rsidRPr="00A60305" w:rsidRDefault="0042167B" w:rsidP="00A6030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593FDC6" w14:textId="77777777" w:rsidR="0029444A" w:rsidRPr="00A60305" w:rsidRDefault="00795FC7" w:rsidP="00A60305">
      <w:pPr>
        <w:shd w:val="clear" w:color="auto" w:fill="FFFFFF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</w:pPr>
      <w:r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Në regjistrin e konsultimeve publike ka pasur 623 lexime nga qytetarët dhe 366 lexime nga ekspertët, por nuk ka patur </w:t>
      </w:r>
      <w:r w:rsidR="00967FD2"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asnjë koment</w:t>
      </w:r>
      <w:r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apo s</w:t>
      </w:r>
      <w:r w:rsidR="00967FD2"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ugjerim lidhur me projektaktin në këtë platformë.</w:t>
      </w:r>
      <w:r w:rsidR="00091A0B"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</w:t>
      </w:r>
    </w:p>
    <w:p w14:paraId="4DA060E5" w14:textId="77777777" w:rsidR="0029444A" w:rsidRPr="00A60305" w:rsidRDefault="0029444A" w:rsidP="00A60305">
      <w:pPr>
        <w:shd w:val="clear" w:color="auto" w:fill="FFFFFF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</w:pPr>
    </w:p>
    <w:p w14:paraId="1FCF9CB3" w14:textId="397B6361" w:rsidR="003252FA" w:rsidRPr="00A60305" w:rsidRDefault="00A23F2A" w:rsidP="00A60305">
      <w:pPr>
        <w:shd w:val="clear" w:color="auto" w:fill="FFFFFF"/>
        <w:ind w:left="360"/>
        <w:jc w:val="both"/>
        <w:rPr>
          <w:rStyle w:val="Hyperlink"/>
          <w:rFonts w:ascii="Times New Roman" w:hAnsi="Times New Roman"/>
          <w:bCs/>
          <w:color w:val="000000"/>
          <w:sz w:val="24"/>
          <w:szCs w:val="24"/>
          <w:u w:val="none"/>
          <w:lang w:val="sq-AL" w:eastAsia="sl-SI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Gjithashtu</w:t>
      </w:r>
      <w:r w:rsidR="00910D3D" w:rsidRPr="00A6030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34845" w:rsidRPr="00A60305">
        <w:rPr>
          <w:rFonts w:ascii="Times New Roman" w:hAnsi="Times New Roman"/>
          <w:sz w:val="24"/>
          <w:szCs w:val="24"/>
          <w:lang w:val="sq-AL"/>
        </w:rPr>
        <w:t xml:space="preserve">draftligji është publikuar </w:t>
      </w:r>
      <w:r w:rsidR="00910D3D" w:rsidRPr="00A60305">
        <w:rPr>
          <w:rFonts w:ascii="Times New Roman" w:hAnsi="Times New Roman"/>
          <w:sz w:val="24"/>
          <w:szCs w:val="24"/>
          <w:lang w:val="sq-AL"/>
        </w:rPr>
        <w:t xml:space="preserve">dhe në </w:t>
      </w:r>
      <w:r w:rsidR="00447CCB" w:rsidRPr="00A60305">
        <w:rPr>
          <w:rFonts w:ascii="Times New Roman" w:hAnsi="Times New Roman"/>
          <w:sz w:val="24"/>
          <w:szCs w:val="24"/>
          <w:lang w:val="sq-AL"/>
        </w:rPr>
        <w:t>w</w:t>
      </w:r>
      <w:r w:rsidR="00910D3D" w:rsidRPr="00A60305">
        <w:rPr>
          <w:rFonts w:ascii="Times New Roman" w:hAnsi="Times New Roman"/>
          <w:sz w:val="24"/>
          <w:szCs w:val="24"/>
          <w:lang w:val="sq-AL"/>
        </w:rPr>
        <w:t>ebsite zyrtar të Ministrisë s</w:t>
      </w:r>
      <w:r w:rsidRPr="00A60305">
        <w:rPr>
          <w:rFonts w:ascii="Times New Roman" w:hAnsi="Times New Roman"/>
          <w:sz w:val="24"/>
          <w:szCs w:val="24"/>
          <w:lang w:val="sq-AL"/>
        </w:rPr>
        <w:t>ë Infrastrukturës dhe Energjisë</w:t>
      </w:r>
      <w:r w:rsidR="00AC5360" w:rsidRPr="00A6030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34845" w:rsidRPr="00A6030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 xml:space="preserve">nga data </w:t>
      </w:r>
      <w:r w:rsidR="00091A0B" w:rsidRPr="00A6030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>31</w:t>
      </w:r>
      <w:r w:rsidR="00034845" w:rsidRPr="00A6030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 xml:space="preserve"> </w:t>
      </w:r>
      <w:r w:rsidR="00091A0B" w:rsidRPr="00A6030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>Te</w:t>
      </w:r>
      <w:r w:rsidR="00034845" w:rsidRPr="00A6030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>tor deri në datën</w:t>
      </w:r>
      <w:r w:rsidR="00D3732A" w:rsidRPr="00A6030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 xml:space="preserve"> </w:t>
      </w:r>
      <w:r w:rsidR="00091A0B" w:rsidRPr="00A6030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 xml:space="preserve">30 Nentor 2022 </w:t>
      </w:r>
      <w:r w:rsidR="00034845" w:rsidRPr="00A6030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 xml:space="preserve">në linkun  </w:t>
      </w:r>
      <w:hyperlink r:id="rId11" w:history="1">
        <w:r w:rsidR="00034845" w:rsidRPr="00A60305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https://www.infrastruktura.gov.al/konsultime-publike/</w:t>
        </w:r>
      </w:hyperlink>
      <w:r w:rsidR="00034DDD" w:rsidRPr="00A6030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>.</w:t>
      </w:r>
      <w:r w:rsidR="003252FA" w:rsidRPr="00A6030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 xml:space="preserve"> Nuk ka pasur komente.</w:t>
      </w:r>
    </w:p>
    <w:p w14:paraId="7ABB4FDF" w14:textId="77777777" w:rsidR="003252FA" w:rsidRPr="00A60305" w:rsidRDefault="003252FA" w:rsidP="00A60305">
      <w:pPr>
        <w:ind w:left="30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</w:pPr>
    </w:p>
    <w:p w14:paraId="7EF41DD6" w14:textId="77777777" w:rsidR="003252FA" w:rsidRPr="00A60305" w:rsidRDefault="003252FA" w:rsidP="00A60305">
      <w:pPr>
        <w:ind w:left="300"/>
        <w:jc w:val="both"/>
        <w:rPr>
          <w:rFonts w:ascii="Times New Roman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Në përfundim te procesit te konsultimit publik, me institucionet si dhe me sherbimet e Komisionit Evropian, projektakti i rishikuar u pubika në website zyrtare të MIE, datë 12.9.2023;</w:t>
      </w:r>
    </w:p>
    <w:p w14:paraId="76299672" w14:textId="77777777" w:rsidR="003252FA" w:rsidRPr="00A60305" w:rsidRDefault="003252FA" w:rsidP="00A60305">
      <w:pPr>
        <w:ind w:left="30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A60927B" w14:textId="77777777" w:rsidR="00D67B83" w:rsidRPr="00A60305" w:rsidRDefault="005B6D2B" w:rsidP="00A603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A60305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772FAEA0" w14:textId="77777777" w:rsidR="0029444A" w:rsidRPr="00A60305" w:rsidRDefault="0029444A" w:rsidP="00A60305">
      <w:pPr>
        <w:pStyle w:val="BodyText"/>
        <w:tabs>
          <w:tab w:val="clear" w:pos="567"/>
          <w:tab w:val="left" w:pos="270"/>
        </w:tabs>
        <w:spacing w:after="0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5E075D0" w14:textId="1CB2172C" w:rsidR="00091664" w:rsidRPr="00A60305" w:rsidRDefault="00D67B83" w:rsidP="00A60305">
      <w:pPr>
        <w:pStyle w:val="BodyText"/>
        <w:tabs>
          <w:tab w:val="clear" w:pos="567"/>
          <w:tab w:val="left" w:pos="270"/>
        </w:tabs>
        <w:spacing w:after="0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Nga ana e Ministrisë së Infrastrukturës dhe Energjisë është zhvilluar procesi i konsultimit publik nëpërmjet</w:t>
      </w:r>
      <w:r w:rsidR="00091664" w:rsidRPr="00A60305">
        <w:rPr>
          <w:rFonts w:ascii="Times New Roman" w:hAnsi="Times New Roman"/>
          <w:sz w:val="24"/>
          <w:szCs w:val="24"/>
          <w:lang w:val="sq-AL"/>
        </w:rPr>
        <w:t>:</w:t>
      </w:r>
    </w:p>
    <w:p w14:paraId="6F149396" w14:textId="77777777" w:rsidR="00AF7BA7" w:rsidRPr="00A60305" w:rsidRDefault="00AF7BA7" w:rsidP="00A60305">
      <w:pPr>
        <w:pStyle w:val="BodyText"/>
        <w:tabs>
          <w:tab w:val="clear" w:pos="567"/>
          <w:tab w:val="left" w:pos="270"/>
        </w:tabs>
        <w:spacing w:after="0"/>
        <w:ind w:left="360" w:hanging="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0E4B04E" w14:textId="53115166" w:rsidR="00820FB3" w:rsidRPr="00A60305" w:rsidRDefault="00820FB3" w:rsidP="00A60305">
      <w:pPr>
        <w:pStyle w:val="BodyText"/>
        <w:numPr>
          <w:ilvl w:val="0"/>
          <w:numId w:val="6"/>
        </w:numPr>
        <w:tabs>
          <w:tab w:val="clear" w:pos="567"/>
          <w:tab w:val="left" w:pos="18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Publikimi i projektaktit dhe paketës shoqëruese, 31 Tetor 2022, në regjistrin elektronik për njoftimet dhe konsultimet publike (RENJKP);</w:t>
      </w:r>
    </w:p>
    <w:p w14:paraId="037A3EF5" w14:textId="03CDEAA4" w:rsidR="00704F20" w:rsidRPr="00A60305" w:rsidRDefault="00704F20" w:rsidP="00A60305">
      <w:pPr>
        <w:pStyle w:val="BodyText"/>
        <w:numPr>
          <w:ilvl w:val="0"/>
          <w:numId w:val="6"/>
        </w:numPr>
        <w:tabs>
          <w:tab w:val="clear" w:pos="567"/>
          <w:tab w:val="left" w:pos="18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Publikimit të projektaktit dhe paketës shoqëruese në website zyrtare të MIE, 31 Tetor 2022;</w:t>
      </w:r>
    </w:p>
    <w:p w14:paraId="036ED855" w14:textId="67AA3DAF" w:rsidR="00AF7BA7" w:rsidRPr="00A60305" w:rsidRDefault="00DD17EC" w:rsidP="00A60305">
      <w:pPr>
        <w:pStyle w:val="BodyText"/>
        <w:numPr>
          <w:ilvl w:val="0"/>
          <w:numId w:val="6"/>
        </w:numPr>
        <w:tabs>
          <w:tab w:val="clear" w:pos="567"/>
          <w:tab w:val="left" w:pos="180"/>
        </w:tabs>
        <w:spacing w:after="0"/>
        <w:ind w:left="720"/>
        <w:jc w:val="both"/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Tryez</w:t>
      </w:r>
      <w:r w:rsidR="00385956" w:rsidRPr="00A60305">
        <w:rPr>
          <w:rFonts w:ascii="Times New Roman" w:hAnsi="Times New Roman"/>
          <w:sz w:val="24"/>
          <w:szCs w:val="24"/>
          <w:lang w:val="sq-AL"/>
        </w:rPr>
        <w:t>ë</w:t>
      </w:r>
      <w:r w:rsidRPr="00A60305">
        <w:rPr>
          <w:rFonts w:ascii="Times New Roman" w:hAnsi="Times New Roman"/>
          <w:sz w:val="24"/>
          <w:szCs w:val="24"/>
          <w:lang w:val="sq-AL"/>
        </w:rPr>
        <w:t xml:space="preserve"> takimi konsultimi me ekspertë </w:t>
      </w:r>
      <w:r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me përfaqësues të AKEP</w:t>
      </w:r>
      <w:r w:rsidR="00622185"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, </w:t>
      </w:r>
      <w:r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Korrik 2022;</w:t>
      </w:r>
    </w:p>
    <w:p w14:paraId="4E6DEBA7" w14:textId="4C4F601E" w:rsidR="00AF7BA7" w:rsidRPr="00A60305" w:rsidRDefault="008F7283" w:rsidP="00A60305">
      <w:pPr>
        <w:pStyle w:val="BodyText"/>
        <w:numPr>
          <w:ilvl w:val="0"/>
          <w:numId w:val="6"/>
        </w:numPr>
        <w:tabs>
          <w:tab w:val="clear" w:pos="567"/>
          <w:tab w:val="left" w:pos="180"/>
        </w:tabs>
        <w:spacing w:after="0"/>
        <w:ind w:left="720"/>
        <w:jc w:val="both"/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</w:pPr>
      <w:r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W</w:t>
      </w:r>
      <w:r w:rsidR="00AF7BA7"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orkshop me </w:t>
      </w:r>
      <w:r w:rsidR="00AF7BA7" w:rsidRPr="00A60305">
        <w:rPr>
          <w:rFonts w:ascii="Times New Roman" w:hAnsi="Times New Roman"/>
          <w:sz w:val="24"/>
          <w:szCs w:val="24"/>
          <w:lang w:val="sq-AL"/>
        </w:rPr>
        <w:t>ekspertë</w:t>
      </w:r>
      <w:r w:rsidR="00356B8C" w:rsidRPr="00A6030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F7BA7"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përfaqësues t</w:t>
      </w:r>
      <w:r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ë</w:t>
      </w:r>
      <w:r w:rsidR="00AF7BA7"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institucioneve publike dhe private, </w:t>
      </w:r>
      <w:r w:rsidR="00091A0B"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7 </w:t>
      </w:r>
      <w:r w:rsidR="00AF7BA7"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Korrik 2022;</w:t>
      </w:r>
    </w:p>
    <w:p w14:paraId="5E35B68D" w14:textId="12A25905" w:rsidR="00091A0B" w:rsidRPr="00A60305" w:rsidRDefault="00091A0B" w:rsidP="00A60305">
      <w:pPr>
        <w:pStyle w:val="BodyText"/>
        <w:numPr>
          <w:ilvl w:val="0"/>
          <w:numId w:val="6"/>
        </w:numPr>
        <w:tabs>
          <w:tab w:val="clear" w:pos="567"/>
          <w:tab w:val="left" w:pos="18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Takimi konsultativ me operator</w:t>
      </w:r>
      <w:r w:rsidR="006138DB" w:rsidRPr="00A60305">
        <w:rPr>
          <w:rFonts w:ascii="Times New Roman" w:hAnsi="Times New Roman"/>
          <w:sz w:val="24"/>
          <w:szCs w:val="24"/>
          <w:lang w:val="sq-AL"/>
        </w:rPr>
        <w:t>ë</w:t>
      </w:r>
      <w:r w:rsidRPr="00A60305">
        <w:rPr>
          <w:rFonts w:ascii="Times New Roman" w:hAnsi="Times New Roman"/>
          <w:sz w:val="24"/>
          <w:szCs w:val="24"/>
          <w:lang w:val="sq-AL"/>
        </w:rPr>
        <w:t>t e telekomunikacioneve</w:t>
      </w:r>
      <w:r w:rsidR="006138DB" w:rsidRPr="00A60305">
        <w:rPr>
          <w:rFonts w:ascii="Times New Roman" w:hAnsi="Times New Roman"/>
          <w:sz w:val="24"/>
          <w:szCs w:val="24"/>
          <w:lang w:val="sq-AL"/>
        </w:rPr>
        <w:t>,</w:t>
      </w:r>
      <w:r w:rsidRPr="00A60305">
        <w:rPr>
          <w:rFonts w:ascii="Times New Roman" w:hAnsi="Times New Roman"/>
          <w:sz w:val="24"/>
          <w:szCs w:val="24"/>
          <w:lang w:val="sq-AL"/>
        </w:rPr>
        <w:t xml:space="preserve"> 19</w:t>
      </w:r>
      <w:r w:rsidR="006138DB" w:rsidRPr="00A60305">
        <w:rPr>
          <w:rFonts w:ascii="Times New Roman" w:hAnsi="Times New Roman"/>
          <w:sz w:val="24"/>
          <w:szCs w:val="24"/>
          <w:lang w:val="sq-AL"/>
        </w:rPr>
        <w:t xml:space="preserve"> shtator </w:t>
      </w:r>
      <w:r w:rsidRPr="00A60305">
        <w:rPr>
          <w:rFonts w:ascii="Times New Roman" w:hAnsi="Times New Roman"/>
          <w:sz w:val="24"/>
          <w:szCs w:val="24"/>
          <w:lang w:val="sq-AL"/>
        </w:rPr>
        <w:t>2022;</w:t>
      </w:r>
    </w:p>
    <w:p w14:paraId="6C7DBC9C" w14:textId="77777777" w:rsidR="00A60305" w:rsidRDefault="00C00C8F" w:rsidP="00A60305">
      <w:pPr>
        <w:pStyle w:val="BodyText"/>
        <w:numPr>
          <w:ilvl w:val="0"/>
          <w:numId w:val="6"/>
        </w:numPr>
        <w:tabs>
          <w:tab w:val="clear" w:pos="567"/>
          <w:tab w:val="left" w:pos="18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N</w:t>
      </w:r>
      <w:r w:rsidR="008930F2" w:rsidRPr="00A60305">
        <w:rPr>
          <w:rFonts w:ascii="Times New Roman" w:hAnsi="Times New Roman"/>
          <w:sz w:val="24"/>
          <w:szCs w:val="24"/>
          <w:lang w:val="sq-AL"/>
        </w:rPr>
        <w:t>d</w:t>
      </w:r>
      <w:r w:rsidR="007C630B" w:rsidRPr="00A60305">
        <w:rPr>
          <w:rFonts w:ascii="Times New Roman" w:hAnsi="Times New Roman"/>
          <w:sz w:val="24"/>
          <w:szCs w:val="24"/>
          <w:lang w:val="sq-AL"/>
        </w:rPr>
        <w:t>ë</w:t>
      </w:r>
      <w:r w:rsidR="008930F2" w:rsidRPr="00A60305">
        <w:rPr>
          <w:rFonts w:ascii="Times New Roman" w:hAnsi="Times New Roman"/>
          <w:sz w:val="24"/>
          <w:szCs w:val="24"/>
          <w:lang w:val="sq-AL"/>
        </w:rPr>
        <w:t>rmjet post</w:t>
      </w:r>
      <w:r w:rsidR="007C630B" w:rsidRPr="00A60305">
        <w:rPr>
          <w:rFonts w:ascii="Times New Roman" w:hAnsi="Times New Roman"/>
          <w:sz w:val="24"/>
          <w:szCs w:val="24"/>
          <w:lang w:val="sq-AL"/>
        </w:rPr>
        <w:t>ë</w:t>
      </w:r>
      <w:r w:rsidR="008930F2" w:rsidRPr="00A60305">
        <w:rPr>
          <w:rFonts w:ascii="Times New Roman" w:hAnsi="Times New Roman"/>
          <w:sz w:val="24"/>
          <w:szCs w:val="24"/>
          <w:lang w:val="sq-AL"/>
        </w:rPr>
        <w:t>s elektronike:</w:t>
      </w:r>
      <w:r w:rsidR="00765E1E" w:rsidRPr="00A60305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4B0F936E" w14:textId="4295161A" w:rsidR="0029444A" w:rsidRPr="00A60305" w:rsidRDefault="00000000" w:rsidP="00A60305">
      <w:pPr>
        <w:pStyle w:val="BodyText"/>
        <w:tabs>
          <w:tab w:val="clear" w:pos="567"/>
          <w:tab w:val="left" w:pos="18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hyperlink r:id="rId12" w:history="1">
        <w:r w:rsidR="003653C1" w:rsidRPr="00A60305">
          <w:rPr>
            <w:rStyle w:val="Hyperlink"/>
            <w:rFonts w:ascii="Times New Roman" w:hAnsi="Times New Roman"/>
            <w:sz w:val="24"/>
            <w:szCs w:val="24"/>
            <w:lang w:val="sq-AL"/>
          </w:rPr>
          <w:t>vilma.davidhi@infrastruktura.gov.al</w:t>
        </w:r>
      </w:hyperlink>
      <w:r w:rsidR="00497261" w:rsidRPr="00A60305">
        <w:rPr>
          <w:rFonts w:ascii="Times New Roman" w:hAnsi="Times New Roman"/>
          <w:sz w:val="24"/>
          <w:szCs w:val="24"/>
          <w:lang w:val="sq-AL"/>
        </w:rPr>
        <w:t>;</w:t>
      </w:r>
      <w:r w:rsidR="00765E1E" w:rsidRPr="00A60305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13" w:history="1">
        <w:r w:rsidR="00765E1E" w:rsidRPr="00A60305">
          <w:rPr>
            <w:rStyle w:val="Hyperlink"/>
            <w:rFonts w:ascii="Times New Roman" w:hAnsi="Times New Roman"/>
            <w:sz w:val="24"/>
            <w:szCs w:val="24"/>
            <w:lang w:val="sq-AL"/>
          </w:rPr>
          <w:t>fotjon.kosta@infrastruktura.gov.al</w:t>
        </w:r>
      </w:hyperlink>
      <w:r w:rsidR="004A5BE3" w:rsidRPr="00A60305">
        <w:rPr>
          <w:rFonts w:ascii="Times New Roman" w:hAnsi="Times New Roman"/>
          <w:sz w:val="24"/>
          <w:szCs w:val="24"/>
          <w:lang w:val="sq-AL"/>
        </w:rPr>
        <w:t>;</w:t>
      </w:r>
    </w:p>
    <w:p w14:paraId="69C3BA89" w14:textId="77777777" w:rsidR="0029444A" w:rsidRPr="00A60305" w:rsidRDefault="005375A1" w:rsidP="00A60305">
      <w:pPr>
        <w:pStyle w:val="BodyText"/>
        <w:numPr>
          <w:ilvl w:val="0"/>
          <w:numId w:val="6"/>
        </w:numPr>
        <w:tabs>
          <w:tab w:val="clear" w:pos="567"/>
          <w:tab w:val="left" w:pos="18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T</w:t>
      </w:r>
      <w:r w:rsidR="004544DE" w:rsidRPr="00A60305">
        <w:rPr>
          <w:rFonts w:ascii="Times New Roman" w:hAnsi="Times New Roman"/>
          <w:sz w:val="24"/>
          <w:szCs w:val="24"/>
          <w:lang w:val="sq-AL"/>
        </w:rPr>
        <w:t xml:space="preserve">ryezë </w:t>
      </w:r>
      <w:r w:rsidRPr="00A60305">
        <w:rPr>
          <w:rFonts w:ascii="Times New Roman" w:hAnsi="Times New Roman"/>
          <w:sz w:val="24"/>
          <w:szCs w:val="24"/>
          <w:lang w:val="sq-AL"/>
        </w:rPr>
        <w:t>e</w:t>
      </w:r>
      <w:r w:rsidR="004544DE" w:rsidRPr="00A60305">
        <w:rPr>
          <w:rFonts w:ascii="Times New Roman" w:hAnsi="Times New Roman"/>
          <w:sz w:val="24"/>
          <w:szCs w:val="24"/>
          <w:lang w:val="sq-AL"/>
        </w:rPr>
        <w:t xml:space="preserve"> rrumbullakët, me pjesëmarrjen e aktorë</w:t>
      </w:r>
      <w:r w:rsidR="001B7968" w:rsidRPr="00A60305">
        <w:rPr>
          <w:rFonts w:ascii="Times New Roman" w:hAnsi="Times New Roman"/>
          <w:sz w:val="24"/>
          <w:szCs w:val="24"/>
          <w:lang w:val="sq-AL"/>
        </w:rPr>
        <w:t xml:space="preserve">ve të interesuar, si operatorët </w:t>
      </w:r>
      <w:r w:rsidR="00B33ADE" w:rsidRPr="00A60305">
        <w:rPr>
          <w:rFonts w:ascii="Times New Roman" w:hAnsi="Times New Roman"/>
          <w:sz w:val="24"/>
          <w:szCs w:val="24"/>
          <w:lang w:val="sq-AL"/>
        </w:rPr>
        <w:t xml:space="preserve">Albtelecom, </w:t>
      </w:r>
      <w:r w:rsidR="001B7968" w:rsidRPr="00A60305">
        <w:rPr>
          <w:rFonts w:ascii="Times New Roman" w:hAnsi="Times New Roman"/>
          <w:sz w:val="24"/>
          <w:szCs w:val="24"/>
          <w:lang w:val="sq-AL"/>
        </w:rPr>
        <w:t>Vodafone</w:t>
      </w:r>
      <w:r w:rsidR="00B33ADE" w:rsidRPr="00A60305">
        <w:rPr>
          <w:rFonts w:ascii="Times New Roman" w:hAnsi="Times New Roman"/>
          <w:sz w:val="24"/>
          <w:szCs w:val="24"/>
          <w:lang w:val="sq-AL"/>
        </w:rPr>
        <w:t xml:space="preserve"> Albania</w:t>
      </w:r>
      <w:r w:rsidR="001B7968" w:rsidRPr="00A60305">
        <w:rPr>
          <w:rFonts w:ascii="Times New Roman" w:hAnsi="Times New Roman"/>
          <w:sz w:val="24"/>
          <w:szCs w:val="24"/>
          <w:lang w:val="sq-AL"/>
        </w:rPr>
        <w:t xml:space="preserve">, One </w:t>
      </w:r>
      <w:r w:rsidR="00B33ADE" w:rsidRPr="00A60305">
        <w:rPr>
          <w:rFonts w:ascii="Times New Roman" w:hAnsi="Times New Roman"/>
          <w:sz w:val="24"/>
          <w:szCs w:val="24"/>
          <w:lang w:val="sq-AL"/>
        </w:rPr>
        <w:t>Albania</w:t>
      </w:r>
      <w:r w:rsidR="001B7968" w:rsidRPr="00A60305">
        <w:rPr>
          <w:rFonts w:ascii="Times New Roman" w:hAnsi="Times New Roman"/>
          <w:sz w:val="24"/>
          <w:szCs w:val="24"/>
          <w:lang w:val="sq-AL"/>
        </w:rPr>
        <w:t>, D</w:t>
      </w:r>
      <w:r w:rsidR="004C2432" w:rsidRPr="00A60305">
        <w:rPr>
          <w:rFonts w:ascii="Times New Roman" w:hAnsi="Times New Roman"/>
          <w:sz w:val="24"/>
          <w:szCs w:val="24"/>
          <w:lang w:val="sq-AL"/>
        </w:rPr>
        <w:t>igicom,</w:t>
      </w:r>
      <w:r w:rsidR="0029764E" w:rsidRPr="00A6030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C2432" w:rsidRPr="00A60305">
        <w:rPr>
          <w:rFonts w:ascii="Times New Roman" w:hAnsi="Times New Roman"/>
          <w:sz w:val="24"/>
          <w:szCs w:val="24"/>
          <w:lang w:val="sq-AL"/>
        </w:rPr>
        <w:t>Digitalb</w:t>
      </w:r>
      <w:r w:rsidR="001B7968" w:rsidRPr="00A60305">
        <w:rPr>
          <w:rFonts w:ascii="Times New Roman" w:hAnsi="Times New Roman"/>
          <w:sz w:val="24"/>
          <w:szCs w:val="24"/>
          <w:lang w:val="sq-AL"/>
        </w:rPr>
        <w:t xml:space="preserve">, Tring, </w:t>
      </w:r>
      <w:r w:rsidR="00E11F48" w:rsidRPr="00A60305">
        <w:rPr>
          <w:rFonts w:ascii="Times New Roman" w:hAnsi="Times New Roman"/>
          <w:sz w:val="24"/>
          <w:szCs w:val="24"/>
          <w:lang w:val="sq-AL"/>
        </w:rPr>
        <w:t>Albania F</w:t>
      </w:r>
      <w:r w:rsidR="001B7968" w:rsidRPr="00A60305">
        <w:rPr>
          <w:rFonts w:ascii="Times New Roman" w:hAnsi="Times New Roman"/>
          <w:sz w:val="24"/>
          <w:szCs w:val="24"/>
          <w:lang w:val="sq-AL"/>
        </w:rPr>
        <w:t xml:space="preserve">iber Telecomunications, Abissnet sh.a, </w:t>
      </w:r>
      <w:r w:rsidR="004C2432" w:rsidRPr="00A6030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544DE" w:rsidRPr="00A60305">
        <w:rPr>
          <w:rFonts w:ascii="Times New Roman" w:hAnsi="Times New Roman"/>
          <w:sz w:val="24"/>
          <w:szCs w:val="24"/>
          <w:lang w:val="sq-AL"/>
        </w:rPr>
        <w:t xml:space="preserve">etj, </w:t>
      </w:r>
      <w:r w:rsidR="005D6D89" w:rsidRPr="00A60305">
        <w:rPr>
          <w:rFonts w:ascii="Times New Roman" w:hAnsi="Times New Roman"/>
          <w:sz w:val="24"/>
          <w:szCs w:val="24"/>
          <w:lang w:val="sq-AL"/>
        </w:rPr>
        <w:t xml:space="preserve">pranë ambjenteve të MIE, </w:t>
      </w:r>
      <w:r w:rsidR="004544DE" w:rsidRPr="00A60305">
        <w:rPr>
          <w:rFonts w:ascii="Times New Roman" w:hAnsi="Times New Roman"/>
          <w:sz w:val="24"/>
          <w:szCs w:val="24"/>
          <w:lang w:val="sq-AL"/>
        </w:rPr>
        <w:t>22 Nënto</w:t>
      </w:r>
      <w:r w:rsidR="002033DF" w:rsidRPr="00A60305">
        <w:rPr>
          <w:rFonts w:ascii="Times New Roman" w:hAnsi="Times New Roman"/>
          <w:sz w:val="24"/>
          <w:szCs w:val="24"/>
          <w:lang w:val="sq-AL"/>
        </w:rPr>
        <w:t>r 2022;</w:t>
      </w:r>
    </w:p>
    <w:p w14:paraId="598FEF82" w14:textId="77777777" w:rsidR="0029444A" w:rsidRPr="00A60305" w:rsidRDefault="005375A1" w:rsidP="00A60305">
      <w:pPr>
        <w:pStyle w:val="BodyText"/>
        <w:numPr>
          <w:ilvl w:val="0"/>
          <w:numId w:val="6"/>
        </w:numPr>
        <w:tabs>
          <w:tab w:val="clear" w:pos="567"/>
          <w:tab w:val="left" w:pos="18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T</w:t>
      </w:r>
      <w:r w:rsidR="004544DE" w:rsidRPr="00A60305">
        <w:rPr>
          <w:rFonts w:ascii="Times New Roman" w:hAnsi="Times New Roman"/>
          <w:sz w:val="24"/>
          <w:szCs w:val="24"/>
          <w:lang w:val="sq-AL"/>
        </w:rPr>
        <w:t xml:space="preserve">ryezë </w:t>
      </w:r>
      <w:r w:rsidRPr="00A60305">
        <w:rPr>
          <w:rFonts w:ascii="Times New Roman" w:hAnsi="Times New Roman"/>
          <w:sz w:val="24"/>
          <w:szCs w:val="24"/>
          <w:lang w:val="sq-AL"/>
        </w:rPr>
        <w:t>e</w:t>
      </w:r>
      <w:r w:rsidR="004544DE" w:rsidRPr="00A60305">
        <w:rPr>
          <w:rFonts w:ascii="Times New Roman" w:hAnsi="Times New Roman"/>
          <w:sz w:val="24"/>
          <w:szCs w:val="24"/>
          <w:lang w:val="sq-AL"/>
        </w:rPr>
        <w:t xml:space="preserve"> rrumbullakët, me pjesëmarrjen e </w:t>
      </w:r>
      <w:r w:rsidR="004F171A" w:rsidRPr="00A60305">
        <w:rPr>
          <w:rFonts w:ascii="Times New Roman" w:hAnsi="Times New Roman"/>
          <w:sz w:val="24"/>
          <w:szCs w:val="24"/>
          <w:lang w:val="sq-AL"/>
        </w:rPr>
        <w:t>instit</w:t>
      </w:r>
      <w:r w:rsidR="004544DE" w:rsidRPr="00A60305">
        <w:rPr>
          <w:rFonts w:ascii="Times New Roman" w:hAnsi="Times New Roman"/>
          <w:sz w:val="24"/>
          <w:szCs w:val="24"/>
          <w:lang w:val="sq-AL"/>
        </w:rPr>
        <w:t xml:space="preserve">ucioneve publike, si AMA, AKEP, ACESK, </w:t>
      </w:r>
      <w:r w:rsidR="00091A0B" w:rsidRPr="00A60305">
        <w:rPr>
          <w:rFonts w:ascii="Times New Roman" w:hAnsi="Times New Roman"/>
          <w:sz w:val="24"/>
          <w:szCs w:val="24"/>
          <w:lang w:val="sq-AL"/>
        </w:rPr>
        <w:t xml:space="preserve">KDIMP, AK, </w:t>
      </w:r>
      <w:r w:rsidR="004544DE" w:rsidRPr="00A60305">
        <w:rPr>
          <w:rFonts w:ascii="Times New Roman" w:hAnsi="Times New Roman"/>
          <w:sz w:val="24"/>
          <w:szCs w:val="24"/>
          <w:lang w:val="sq-AL"/>
        </w:rPr>
        <w:t>Ministritë</w:t>
      </w:r>
      <w:r w:rsidR="004C2432" w:rsidRPr="00A6030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544DE" w:rsidRPr="00A60305">
        <w:rPr>
          <w:rFonts w:ascii="Times New Roman" w:hAnsi="Times New Roman"/>
          <w:sz w:val="24"/>
          <w:szCs w:val="24"/>
          <w:lang w:val="sq-AL"/>
        </w:rPr>
        <w:t>etj,</w:t>
      </w:r>
      <w:r w:rsidR="00C242C9" w:rsidRPr="00A6030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544DE" w:rsidRPr="00A60305">
        <w:rPr>
          <w:rFonts w:ascii="Times New Roman" w:hAnsi="Times New Roman"/>
          <w:sz w:val="24"/>
          <w:szCs w:val="24"/>
          <w:lang w:val="sq-AL"/>
        </w:rPr>
        <w:t xml:space="preserve">datë 22 Nëntor 2022, </w:t>
      </w:r>
      <w:r w:rsidR="00091A0B" w:rsidRPr="00A6030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544DE" w:rsidRPr="00A60305">
        <w:rPr>
          <w:rFonts w:ascii="Times New Roman" w:hAnsi="Times New Roman"/>
          <w:sz w:val="24"/>
          <w:szCs w:val="24"/>
          <w:lang w:val="sq-AL"/>
        </w:rPr>
        <w:t>pranë ambjenteve të MIE.</w:t>
      </w:r>
    </w:p>
    <w:p w14:paraId="1F4A5740" w14:textId="77777777" w:rsidR="00A60305" w:rsidRDefault="00A60305" w:rsidP="00A60305">
      <w:pPr>
        <w:pStyle w:val="BodyText"/>
        <w:tabs>
          <w:tab w:val="clear" w:pos="567"/>
          <w:tab w:val="left" w:pos="18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2630DDE" w14:textId="77777777" w:rsidR="00A60305" w:rsidRDefault="00A60305" w:rsidP="00A60305">
      <w:pPr>
        <w:pStyle w:val="BodyText"/>
        <w:tabs>
          <w:tab w:val="clear" w:pos="567"/>
          <w:tab w:val="left" w:pos="18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FEBE4C" w14:textId="02020413" w:rsidR="0029444A" w:rsidRPr="00A60305" w:rsidRDefault="00410E4D" w:rsidP="00A60305">
      <w:pPr>
        <w:pStyle w:val="BodyText"/>
        <w:numPr>
          <w:ilvl w:val="0"/>
          <w:numId w:val="6"/>
        </w:numPr>
        <w:tabs>
          <w:tab w:val="clear" w:pos="567"/>
          <w:tab w:val="left" w:pos="18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Projektligji i rishikuar pas konsultimeve i publikuar në faqen e Ministrisë së Infrastrukturës dhe Energjisë me datë 12.9.2023;</w:t>
      </w:r>
    </w:p>
    <w:p w14:paraId="52F16198" w14:textId="77777777" w:rsidR="0029444A" w:rsidRPr="00A60305" w:rsidRDefault="00410E4D" w:rsidP="00A60305">
      <w:pPr>
        <w:pStyle w:val="BodyText"/>
        <w:numPr>
          <w:ilvl w:val="0"/>
          <w:numId w:val="6"/>
        </w:numPr>
        <w:tabs>
          <w:tab w:val="clear" w:pos="567"/>
          <w:tab w:val="left" w:pos="18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Takime sqaruese me operatorët e telekomuniacioneve në nëntor 2023;</w:t>
      </w:r>
    </w:p>
    <w:p w14:paraId="5E51663F" w14:textId="40DBFFCE" w:rsidR="00410E4D" w:rsidRPr="00A60305" w:rsidRDefault="00410E4D" w:rsidP="00A60305">
      <w:pPr>
        <w:pStyle w:val="BodyText"/>
        <w:numPr>
          <w:ilvl w:val="0"/>
          <w:numId w:val="6"/>
        </w:numPr>
        <w:tabs>
          <w:tab w:val="clear" w:pos="567"/>
          <w:tab w:val="left" w:pos="18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Konsultim me Shërbimet e Komisionit Evropian gjatë vitit 2023.</w:t>
      </w:r>
    </w:p>
    <w:p w14:paraId="07727E72" w14:textId="77777777" w:rsidR="00410E4D" w:rsidRPr="00A60305" w:rsidRDefault="00410E4D" w:rsidP="00A60305">
      <w:pPr>
        <w:pStyle w:val="BodyText"/>
        <w:tabs>
          <w:tab w:val="clear" w:pos="567"/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B214595" w14:textId="0D084296" w:rsidR="007C630B" w:rsidRPr="00A60305" w:rsidRDefault="005B6D2B" w:rsidP="00A603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A60305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2E53FB9A" w14:textId="77777777" w:rsidR="006E5F38" w:rsidRPr="00A60305" w:rsidRDefault="006E5F38" w:rsidP="00A6030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DB216C6" w14:textId="79DF6319" w:rsidR="0060313C" w:rsidRPr="00A60305" w:rsidRDefault="0060313C" w:rsidP="00A6030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Për hartimin e projektaktit është bashkë</w:t>
      </w:r>
      <w:r w:rsidR="003C5BA6" w:rsidRPr="00A60305">
        <w:rPr>
          <w:rFonts w:ascii="Times New Roman" w:hAnsi="Times New Roman"/>
          <w:sz w:val="24"/>
          <w:szCs w:val="24"/>
          <w:lang w:val="sq-AL"/>
        </w:rPr>
        <w:t>punuar me AKEP. Palë</w:t>
      </w:r>
      <w:r w:rsidRPr="00A60305">
        <w:rPr>
          <w:rFonts w:ascii="Times New Roman" w:hAnsi="Times New Roman"/>
          <w:sz w:val="24"/>
          <w:szCs w:val="24"/>
          <w:lang w:val="sq-AL"/>
        </w:rPr>
        <w:t xml:space="preserve">t e interesit të përfshira në konsultimet e projektaktit janë institucionet publike të lidhura si Autoriteti i Medias Audiovizive, Autoriteti i Konkurencës, AKCESK, Komisioneri për të Drejtën e Informimit dhe Mbrojtjen e të Dhënave, Agjencia Kombëtare e Emergjencave Civile, AKSHI etj. </w:t>
      </w:r>
      <w:r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Komentet e paraqitura prej tyre janë shqyrtuar në bashkëpunim me AKEP dhe Konsulentin. </w:t>
      </w:r>
    </w:p>
    <w:p w14:paraId="442077DB" w14:textId="77777777" w:rsidR="0060313C" w:rsidRPr="00A60305" w:rsidRDefault="0060313C" w:rsidP="00A60305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CA2E2CD" w14:textId="33EC249F" w:rsidR="0060313C" w:rsidRPr="00A60305" w:rsidRDefault="003C5BA6" w:rsidP="00A60305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Nuk ka pasur komente në</w:t>
      </w:r>
      <w:r w:rsidR="0060313C" w:rsidRPr="00A60305">
        <w:rPr>
          <w:rFonts w:ascii="Times New Roman" w:hAnsi="Times New Roman"/>
          <w:sz w:val="24"/>
          <w:szCs w:val="24"/>
          <w:lang w:val="sq-AL"/>
        </w:rPr>
        <w:t xml:space="preserve">përmjet RENJK por gjatë tryezave dhe me shkrim. </w:t>
      </w:r>
      <w:r w:rsidR="0060313C" w:rsidRPr="00A60305">
        <w:rPr>
          <w:rFonts w:ascii="Times New Roman" w:hAnsi="Times New Roman"/>
          <w:iCs/>
          <w:sz w:val="24"/>
          <w:szCs w:val="24"/>
          <w:lang w:val="sq-AL"/>
        </w:rPr>
        <w:t>Nga aktorët e interesuar, kryesisht operatorët e telekomunikacioneve, ka patur disa komente dhe propozime për draftligjin, të paraqitura me shkresë pranë Ministrisë së Infrastrukturës dhe Energjisë si nga “</w:t>
      </w:r>
      <w:r w:rsidR="0060313C" w:rsidRPr="00A60305">
        <w:rPr>
          <w:rFonts w:ascii="Times New Roman" w:hAnsi="Times New Roman"/>
          <w:sz w:val="24"/>
          <w:szCs w:val="24"/>
          <w:lang w:val="sq-AL"/>
        </w:rPr>
        <w:t xml:space="preserve">Albtelecom”, “One Albania”, “Vodafone Albania”, </w:t>
      </w:r>
      <w:bookmarkStart w:id="1" w:name="_Hlk124935866"/>
      <w:r w:rsidR="0060313C" w:rsidRPr="00A60305">
        <w:rPr>
          <w:rFonts w:ascii="Times New Roman" w:hAnsi="Times New Roman"/>
          <w:sz w:val="24"/>
          <w:szCs w:val="24"/>
          <w:lang w:val="sq-AL"/>
        </w:rPr>
        <w:t>“Abissnet”, “Tring”, “Digicom”.</w:t>
      </w:r>
    </w:p>
    <w:p w14:paraId="7FE3AEEE" w14:textId="77777777" w:rsidR="0060313C" w:rsidRPr="00A60305" w:rsidRDefault="0060313C" w:rsidP="00A60305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BAE635" w14:textId="77777777" w:rsidR="0060313C" w:rsidRPr="00A60305" w:rsidRDefault="0060313C" w:rsidP="00A60305">
      <w:pPr>
        <w:tabs>
          <w:tab w:val="left" w:pos="7552"/>
        </w:tabs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 xml:space="preserve">Komente me shkrim kanë ardhur dhe nga “AKCESK”, </w:t>
      </w:r>
      <w:bookmarkEnd w:id="1"/>
      <w:r w:rsidRPr="00A60305">
        <w:rPr>
          <w:rFonts w:ascii="Times New Roman" w:hAnsi="Times New Roman"/>
          <w:sz w:val="24"/>
          <w:szCs w:val="24"/>
          <w:lang w:val="sq-AL"/>
        </w:rPr>
        <w:t>KDIMP, AK, dhe AKSHI</w:t>
      </w:r>
      <w:r w:rsidRPr="00A60305">
        <w:rPr>
          <w:rFonts w:ascii="Times New Roman" w:eastAsia="Calibri" w:hAnsi="Times New Roman"/>
          <w:sz w:val="24"/>
          <w:szCs w:val="24"/>
          <w:lang w:val="sq-AL"/>
        </w:rPr>
        <w:t>.</w:t>
      </w:r>
    </w:p>
    <w:p w14:paraId="091E61F0" w14:textId="77777777" w:rsidR="0060313C" w:rsidRPr="00A60305" w:rsidRDefault="0060313C" w:rsidP="00A60305">
      <w:pPr>
        <w:tabs>
          <w:tab w:val="left" w:pos="7552"/>
        </w:tabs>
        <w:jc w:val="both"/>
        <w:rPr>
          <w:rFonts w:ascii="Times New Roman" w:eastAsia="Calibri" w:hAnsi="Times New Roman"/>
          <w:sz w:val="24"/>
          <w:szCs w:val="24"/>
          <w:lang w:val="sq-AL"/>
        </w:rPr>
      </w:pPr>
    </w:p>
    <w:p w14:paraId="6D9FF021" w14:textId="61265A42" w:rsidR="0060313C" w:rsidRPr="00A60305" w:rsidRDefault="0060313C" w:rsidP="00A6030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A60305">
        <w:rPr>
          <w:rFonts w:ascii="Times New Roman" w:hAnsi="Times New Roman"/>
          <w:sz w:val="24"/>
          <w:szCs w:val="24"/>
          <w:lang w:val="sq-AL"/>
        </w:rPr>
        <w:t>Projektligji është u dërguar për mendim në Ministrinë e Drejtësisë, Ministrinë për Evropën dhe Punët e Jashtme, Ministrinë e Financave dhe Ekonomisë</w:t>
      </w:r>
      <w:r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. Pas reflektimit të sugjerimeve dhe bashkërendimit, projektigji </w:t>
      </w:r>
      <w:r w:rsidR="003C5BA6"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u dërgua</w:t>
      </w:r>
      <w:r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për mendim pranë Këshillit të Ministrave</w:t>
      </w:r>
      <w:r w:rsidR="003C5BA6"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n</w:t>
      </w:r>
      <w:r w:rsidR="003C5BA6" w:rsidRPr="00A60305">
        <w:rPr>
          <w:rFonts w:ascii="Times New Roman" w:hAnsi="Times New Roman"/>
          <w:sz w:val="24"/>
          <w:szCs w:val="24"/>
          <w:lang w:val="sq-AL"/>
        </w:rPr>
        <w:t>ë Dhjetor 2023</w:t>
      </w:r>
      <w:r w:rsidRPr="00A6030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.</w:t>
      </w:r>
    </w:p>
    <w:p w14:paraId="47975387" w14:textId="77777777" w:rsidR="005C020C" w:rsidRPr="00A60305" w:rsidRDefault="005C020C" w:rsidP="00A6030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FA42BDE" w14:textId="53CD42A6" w:rsidR="00995ECF" w:rsidRPr="00A60305" w:rsidRDefault="00995ECF" w:rsidP="00A60305">
      <w:pPr>
        <w:pStyle w:val="ListParagraph"/>
        <w:numPr>
          <w:ilvl w:val="0"/>
          <w:numId w:val="1"/>
        </w:numPr>
        <w:spacing w:after="0"/>
        <w:ind w:left="540" w:hanging="18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A60305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7833B3AB" w14:textId="77777777" w:rsidR="00995ECF" w:rsidRPr="00A60305" w:rsidRDefault="00995ECF" w:rsidP="00A60305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A60305">
        <w:rPr>
          <w:rFonts w:ascii="Times New Roman" w:hAnsi="Times New Roman"/>
          <w:iCs/>
          <w:sz w:val="24"/>
          <w:szCs w:val="24"/>
          <w:lang w:val="sq-AL"/>
        </w:rPr>
        <w:t>Komentet dhe Propozimet e marra:</w:t>
      </w:r>
    </w:p>
    <w:p w14:paraId="7280A705" w14:textId="77777777" w:rsidR="00995ECF" w:rsidRPr="00A60305" w:rsidRDefault="00995ECF" w:rsidP="00A60305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4C946D6A" w14:textId="169A4C9A" w:rsidR="00995ECF" w:rsidRPr="00A60305" w:rsidRDefault="00995ECF" w:rsidP="00A60305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A60305">
        <w:rPr>
          <w:rFonts w:ascii="Times New Roman" w:hAnsi="Times New Roman"/>
          <w:iCs/>
          <w:sz w:val="24"/>
          <w:szCs w:val="24"/>
          <w:lang w:val="sq-AL"/>
        </w:rPr>
        <w:t>Nga aktorët e interesuar, operator</w:t>
      </w:r>
      <w:r w:rsidRPr="00A60305">
        <w:rPr>
          <w:rFonts w:ascii="Times New Roman" w:hAnsi="Times New Roman"/>
          <w:sz w:val="24"/>
          <w:szCs w:val="24"/>
          <w:lang w:val="sq-AL"/>
        </w:rPr>
        <w:t>ë</w:t>
      </w:r>
      <w:r w:rsidRPr="00A60305">
        <w:rPr>
          <w:rFonts w:ascii="Times New Roman" w:hAnsi="Times New Roman"/>
          <w:iCs/>
          <w:sz w:val="24"/>
          <w:szCs w:val="24"/>
          <w:lang w:val="sq-AL"/>
        </w:rPr>
        <w:t>t e telekomunikacioneve ka patur disa propozime/komente për draftin, specifike dhe të përgjithshme sic jepen t</w:t>
      </w:r>
      <w:r w:rsidRPr="00A60305">
        <w:rPr>
          <w:rFonts w:ascii="Times New Roman" w:hAnsi="Times New Roman"/>
          <w:sz w:val="24"/>
          <w:szCs w:val="24"/>
          <w:lang w:val="sq-AL"/>
        </w:rPr>
        <w:t>ë</w:t>
      </w:r>
      <w:r w:rsidRPr="00A60305">
        <w:rPr>
          <w:rFonts w:ascii="Times New Roman" w:hAnsi="Times New Roman"/>
          <w:iCs/>
          <w:sz w:val="24"/>
          <w:szCs w:val="24"/>
          <w:lang w:val="sq-AL"/>
        </w:rPr>
        <w:t xml:space="preserve"> përmbledhura m</w:t>
      </w:r>
      <w:r w:rsidRPr="00A60305">
        <w:rPr>
          <w:rFonts w:ascii="Times New Roman" w:hAnsi="Times New Roman"/>
          <w:sz w:val="24"/>
          <w:szCs w:val="24"/>
          <w:lang w:val="sq-AL"/>
        </w:rPr>
        <w:t>ë</w:t>
      </w:r>
      <w:r w:rsidRPr="00A60305">
        <w:rPr>
          <w:rFonts w:ascii="Times New Roman" w:hAnsi="Times New Roman"/>
          <w:iCs/>
          <w:sz w:val="24"/>
          <w:szCs w:val="24"/>
          <w:lang w:val="sq-AL"/>
        </w:rPr>
        <w:t xml:space="preserve"> posht</w:t>
      </w:r>
      <w:r w:rsidRPr="00A60305">
        <w:rPr>
          <w:rFonts w:ascii="Times New Roman" w:hAnsi="Times New Roman"/>
          <w:sz w:val="24"/>
          <w:szCs w:val="24"/>
          <w:lang w:val="sq-AL"/>
        </w:rPr>
        <w:t>ë</w:t>
      </w:r>
      <w:r w:rsidRPr="00A60305">
        <w:rPr>
          <w:rFonts w:ascii="Times New Roman" w:hAnsi="Times New Roman"/>
          <w:iCs/>
          <w:sz w:val="24"/>
          <w:szCs w:val="24"/>
          <w:lang w:val="sq-AL"/>
        </w:rPr>
        <w:t>.</w:t>
      </w:r>
    </w:p>
    <w:p w14:paraId="75366C6C" w14:textId="77777777" w:rsidR="00995ECF" w:rsidRPr="00A60305" w:rsidRDefault="00995ECF" w:rsidP="00A60305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2159"/>
        <w:gridCol w:w="1620"/>
        <w:gridCol w:w="1620"/>
        <w:gridCol w:w="2160"/>
      </w:tblGrid>
      <w:tr w:rsidR="00995ECF" w:rsidRPr="00A60305" w14:paraId="28EF8C40" w14:textId="77777777" w:rsidTr="008F728C">
        <w:trPr>
          <w:trHeight w:val="114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612C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Çështjet e adresuara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AB3B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AC89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2430" w14:textId="77777777" w:rsidR="008F728C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</w:t>
            </w:r>
          </w:p>
          <w:p w14:paraId="08BE37D7" w14:textId="77777777" w:rsidR="008F728C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(I pranuar/</w:t>
            </w:r>
          </w:p>
          <w:p w14:paraId="33B6BCCB" w14:textId="7C69FA8F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pranuar pjesërisht/I refuzuar)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73FE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995ECF" w:rsidRPr="00A60305" w14:paraId="2DC4FB22" w14:textId="77777777" w:rsidTr="008F728C">
        <w:trPr>
          <w:trHeight w:val="4310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436D7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Komentet e marra nga palët e interesit: operatorët e telekomunikacioneve: Albtelecom”, One Albania, “Vodafone Albania”, “Abissnet”, “Tring”, “Digicom”.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8370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Qartësimi i parashikimeve në nenin që lidhet me vrojtimin gjeografik të rrjeteve me kapacitete të larta dhe përcaktimin e bandwidthit për rrjetet me kapaciete të larta 100 Mbps;</w:t>
            </w:r>
          </w:p>
          <w:p w14:paraId="65773567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948A8D4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A2E2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Operatorët e telekomunikacioneve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9815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pranuar pjesërisht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19F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Neni për vrojtimin gjeografik per rrjetet e kapaciteteve te larta eshte rishikuar me qellim qartesimi të formulimeve dhe parashikimeve për procesin e vrojtimit gjeografik; Ndërsa kërkesa për të kufizuar bandwidthin nuk është reflektuar pasi nuk është në perputhje me direktivën si dhe </w:t>
            </w: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zhvillimet në të ardhmen për rrjetet VHCN;</w:t>
            </w:r>
          </w:p>
        </w:tc>
      </w:tr>
      <w:tr w:rsidR="00995ECF" w:rsidRPr="00A60305" w14:paraId="294018FD" w14:textId="77777777" w:rsidTr="008F728C">
        <w:trPr>
          <w:trHeight w:val="1140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30DEE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67B6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Rishikim i nenit që lidhet me parimet për pagesat administrative dhe kerkuar heqja e nenit për pagesat e instalimit të rrjetit;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7B85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Operatorët e telekomunikacioneve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550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pranuar pjesërisht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52C2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Rishikuar formulimi i nenit me qëllim qartësimi të parimeve për mbulimin e kostove administrative të rregullatorit;</w:t>
            </w:r>
          </w:p>
          <w:p w14:paraId="68F2D0B0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është hequr neni për pagesat e mundshme për instalimet e rrjetit; dhënë shpjegime gjate takimeve konsultative; </w:t>
            </w:r>
          </w:p>
          <w:p w14:paraId="463CE593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95ECF" w:rsidRPr="00A60305" w14:paraId="58F15738" w14:textId="77777777" w:rsidTr="008F728C">
        <w:trPr>
          <w:trHeight w:val="1140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B5A8F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FB7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Forcim i kërkesave të autorizimit të përgjithshëm për hyrësit e rinj në treg;</w:t>
            </w:r>
          </w:p>
          <w:p w14:paraId="4C9C390F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DC87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Operatorët e telekomunikacioneve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E5FC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refuzuar </w:t>
            </w:r>
          </w:p>
          <w:p w14:paraId="6968BE33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9991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Neni është në përputhje të plotë me parashikimet e direktivës dhe me regjimin autorizimit të përgjithshëm të prezantuar nga viti 2008 për hyrjen në treg; Ligji ka instrumenta të mjaftueshëm për mbikqyrjen dhe monitorimin e tregut dhe veprimtarisë së sipermarrësve si dhe per marrjen e masave rregullatore/administrative në zbatim të tij deri në heqje të autorizimit nga AKEP;</w:t>
            </w:r>
          </w:p>
        </w:tc>
      </w:tr>
      <w:tr w:rsidR="00995ECF" w:rsidRPr="00A60305" w14:paraId="4DF71C7B" w14:textId="77777777" w:rsidTr="008F728C">
        <w:trPr>
          <w:trHeight w:val="1140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BEFD0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CAB2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Qartësim i kushteve të autorizimit të përgjithshëm dhe autorizimeve individuale;</w:t>
            </w:r>
          </w:p>
          <w:p w14:paraId="2D3BB0C2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CEC0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Operatorët e telekomunikacioneve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882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I pranuar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744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Rishikuar neni për kushtet e autorizimit të përgjithshem si dhe ristrukturuar nenet duke i ndarë në disa nene për kushtet e vecanta sipas shërbimeve apo rrjeteve në përputhje të plotë me Direktivën EECC;</w:t>
            </w:r>
          </w:p>
        </w:tc>
      </w:tr>
      <w:tr w:rsidR="00995ECF" w:rsidRPr="00A60305" w14:paraId="74B1DFA1" w14:textId="77777777" w:rsidTr="008F728C">
        <w:trPr>
          <w:trHeight w:val="1140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C7E0B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19EE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Komente për nenin për zgjidhjen e mosmarreveshjeve;</w:t>
            </w:r>
          </w:p>
          <w:p w14:paraId="508B8033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FBF9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Operatorët e telekomunikacioneve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31F6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I pranuar pjeserisht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6E2E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Neni është riformuluar duke pasur parasysh dhe kuadrin ligjor në fuqi për procedurat administrative;</w:t>
            </w:r>
          </w:p>
          <w:p w14:paraId="68A09CF2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95ECF" w:rsidRPr="00A60305" w14:paraId="134E67F0" w14:textId="77777777" w:rsidTr="008F728C">
        <w:trPr>
          <w:trHeight w:val="1140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1D05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3AA2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Kërkuar rishikim i nenit për kohëzgjatjen e te drejtave/autorizimeve;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2F52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Operatorët e telekomunikacioneve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27CC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I pranuar pjeserisht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69C5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Neni për kohëzgjatjen e të drejtave rishikuar me qëllim qartësimi të formulimeve në përputhje të plotë me direktivë EECC dhe duke parashikuar kohëzgjatjen e autorizimeve 15 vjet sic është aktualisht ne ligjin në fuqi dhe shtuar parashikimin e zgjatjes me 5 vjet frekuencat e  harmonizuara sipas direktivës EECC;</w:t>
            </w:r>
          </w:p>
        </w:tc>
      </w:tr>
      <w:tr w:rsidR="00995ECF" w:rsidRPr="00A60305" w14:paraId="4866AEA8" w14:textId="77777777" w:rsidTr="008F728C">
        <w:trPr>
          <w:trHeight w:val="114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0C99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1C15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Komente për nenin për sigurinë e furnitorëve të rrjeteve;</w:t>
            </w:r>
          </w:p>
          <w:p w14:paraId="2A980495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8F63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Operatorët e telekomunikacioneve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98D6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E pranuar pjeserisht</w:t>
            </w:r>
          </w:p>
          <w:p w14:paraId="514D3BB5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329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Neni për sigurinë e furnitorëve për rrjetet 5G është një nen i rëndësishëm për garantuar sigurinë  e rrjeteve;  Për reflektimin e komenteve neni është plotësuar me parashikimin e aktit nënligjor për miratimin e metodologjisë si dhe listën e elementëve kritike të rrjetit me VKM; </w:t>
            </w:r>
          </w:p>
        </w:tc>
      </w:tr>
      <w:tr w:rsidR="00995ECF" w:rsidRPr="00A60305" w14:paraId="601B45ED" w14:textId="77777777" w:rsidTr="008F728C">
        <w:trPr>
          <w:trHeight w:val="114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6CE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3329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Komente në pjesën e analizave të tregut, saktësime, qartvsime në formulime;</w:t>
            </w:r>
          </w:p>
          <w:p w14:paraId="5CCD79D2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388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Operatorët e telekomunikacioneve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4DE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E pranuar pjesërisht;</w:t>
            </w:r>
          </w:p>
          <w:p w14:paraId="3439E808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5D83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Rishikuar formulimet e neneve me qëllim qartësimi te formulimeve; rregullimet e parashikuara janë në harmoni të plotë me direktivën EECC;</w:t>
            </w:r>
          </w:p>
        </w:tc>
      </w:tr>
      <w:tr w:rsidR="00995ECF" w:rsidRPr="00A60305" w14:paraId="58843EF7" w14:textId="77777777" w:rsidTr="008F728C">
        <w:trPr>
          <w:trHeight w:val="114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F0D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C30E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Komente për nenin dhe nivelin e gjobave;</w:t>
            </w:r>
          </w:p>
          <w:p w14:paraId="54CBC5CE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1E2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Operatorët e telekomunikacioneve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0F7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E pranuar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1A15" w14:textId="77777777" w:rsidR="00995ECF" w:rsidRPr="00A60305" w:rsidRDefault="00995ECF" w:rsidP="00A6030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60305">
              <w:rPr>
                <w:rFonts w:ascii="Times New Roman" w:hAnsi="Times New Roman"/>
                <w:sz w:val="24"/>
                <w:szCs w:val="24"/>
                <w:lang w:val="sq-AL"/>
              </w:rPr>
              <w:t>Neni për gjobat ofron zbatimin e parimit të proporcionalitetit dhe njëkohësisht me plotësimin e bërë në riformulim nuk e tejkalon nivelin maksimal të gjobave që ekziston në ligjin në fuqi.</w:t>
            </w:r>
          </w:p>
        </w:tc>
      </w:tr>
    </w:tbl>
    <w:p w14:paraId="1C4C96CE" w14:textId="168D63A4" w:rsidR="00386C87" w:rsidRPr="00A60305" w:rsidRDefault="00386C87" w:rsidP="00A6030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386C87" w:rsidRPr="00A60305" w:rsidSect="0029444A">
      <w:pgSz w:w="11900" w:h="16840"/>
      <w:pgMar w:top="270" w:right="1417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2553B"/>
    <w:multiLevelType w:val="hybridMultilevel"/>
    <w:tmpl w:val="E3D6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72608"/>
    <w:multiLevelType w:val="hybridMultilevel"/>
    <w:tmpl w:val="8832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5582A"/>
    <w:multiLevelType w:val="hybridMultilevel"/>
    <w:tmpl w:val="F7AAD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3F42E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6680110">
    <w:abstractNumId w:val="0"/>
  </w:num>
  <w:num w:numId="2" w16cid:durableId="1537280993">
    <w:abstractNumId w:val="4"/>
  </w:num>
  <w:num w:numId="3" w16cid:durableId="414743972">
    <w:abstractNumId w:val="6"/>
  </w:num>
  <w:num w:numId="4" w16cid:durableId="1178158847">
    <w:abstractNumId w:val="3"/>
  </w:num>
  <w:num w:numId="5" w16cid:durableId="1985969429">
    <w:abstractNumId w:val="2"/>
  </w:num>
  <w:num w:numId="6" w16cid:durableId="568153421">
    <w:abstractNumId w:val="5"/>
  </w:num>
  <w:num w:numId="7" w16cid:durableId="1829901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1163E"/>
    <w:rsid w:val="000144DC"/>
    <w:rsid w:val="00032037"/>
    <w:rsid w:val="00033545"/>
    <w:rsid w:val="00034845"/>
    <w:rsid w:val="00034DDD"/>
    <w:rsid w:val="0004166D"/>
    <w:rsid w:val="00081A49"/>
    <w:rsid w:val="00091664"/>
    <w:rsid w:val="00091A0B"/>
    <w:rsid w:val="001556EE"/>
    <w:rsid w:val="00161C01"/>
    <w:rsid w:val="00196392"/>
    <w:rsid w:val="001B7968"/>
    <w:rsid w:val="002033DF"/>
    <w:rsid w:val="00214174"/>
    <w:rsid w:val="00235578"/>
    <w:rsid w:val="002450AC"/>
    <w:rsid w:val="00253D7A"/>
    <w:rsid w:val="00260E60"/>
    <w:rsid w:val="0029444A"/>
    <w:rsid w:val="00296FBE"/>
    <w:rsid w:val="0029764E"/>
    <w:rsid w:val="002B161B"/>
    <w:rsid w:val="002B5CE4"/>
    <w:rsid w:val="002F29C1"/>
    <w:rsid w:val="003252FA"/>
    <w:rsid w:val="00332DB4"/>
    <w:rsid w:val="003515F1"/>
    <w:rsid w:val="00356B8C"/>
    <w:rsid w:val="003653C1"/>
    <w:rsid w:val="0037579B"/>
    <w:rsid w:val="00385956"/>
    <w:rsid w:val="00386C87"/>
    <w:rsid w:val="00394CFC"/>
    <w:rsid w:val="003B2DCB"/>
    <w:rsid w:val="003C5BA6"/>
    <w:rsid w:val="003D12F3"/>
    <w:rsid w:val="003D24E4"/>
    <w:rsid w:val="003E5BDF"/>
    <w:rsid w:val="00403D63"/>
    <w:rsid w:val="00410E4D"/>
    <w:rsid w:val="0042167B"/>
    <w:rsid w:val="00435429"/>
    <w:rsid w:val="00445CC3"/>
    <w:rsid w:val="00447CCB"/>
    <w:rsid w:val="004544DE"/>
    <w:rsid w:val="00493B15"/>
    <w:rsid w:val="00497261"/>
    <w:rsid w:val="004A5BE3"/>
    <w:rsid w:val="004C13B6"/>
    <w:rsid w:val="004C2432"/>
    <w:rsid w:val="004C711D"/>
    <w:rsid w:val="004D4E8D"/>
    <w:rsid w:val="004F171A"/>
    <w:rsid w:val="0053455C"/>
    <w:rsid w:val="005375A1"/>
    <w:rsid w:val="00550A20"/>
    <w:rsid w:val="005578DE"/>
    <w:rsid w:val="00565C2C"/>
    <w:rsid w:val="005B1920"/>
    <w:rsid w:val="005B1B23"/>
    <w:rsid w:val="005B1F98"/>
    <w:rsid w:val="005B6D2B"/>
    <w:rsid w:val="005C020C"/>
    <w:rsid w:val="005D6D89"/>
    <w:rsid w:val="0060313C"/>
    <w:rsid w:val="006034E8"/>
    <w:rsid w:val="006138DB"/>
    <w:rsid w:val="00622185"/>
    <w:rsid w:val="00626AE4"/>
    <w:rsid w:val="00626AE5"/>
    <w:rsid w:val="00627696"/>
    <w:rsid w:val="00630D88"/>
    <w:rsid w:val="00656BB0"/>
    <w:rsid w:val="00662E82"/>
    <w:rsid w:val="00681C13"/>
    <w:rsid w:val="00683047"/>
    <w:rsid w:val="006B111E"/>
    <w:rsid w:val="006E5F38"/>
    <w:rsid w:val="007043D2"/>
    <w:rsid w:val="00704BE2"/>
    <w:rsid w:val="00704F20"/>
    <w:rsid w:val="00741C60"/>
    <w:rsid w:val="0074484D"/>
    <w:rsid w:val="00755E0F"/>
    <w:rsid w:val="007627D3"/>
    <w:rsid w:val="00765E1E"/>
    <w:rsid w:val="00765F3C"/>
    <w:rsid w:val="00767281"/>
    <w:rsid w:val="007706B4"/>
    <w:rsid w:val="00770B90"/>
    <w:rsid w:val="007755F2"/>
    <w:rsid w:val="0077561A"/>
    <w:rsid w:val="00795FC7"/>
    <w:rsid w:val="007B6E1D"/>
    <w:rsid w:val="007B7782"/>
    <w:rsid w:val="007C630B"/>
    <w:rsid w:val="007C6BE9"/>
    <w:rsid w:val="007D429A"/>
    <w:rsid w:val="007E1E19"/>
    <w:rsid w:val="0080280C"/>
    <w:rsid w:val="00820FB3"/>
    <w:rsid w:val="0083101D"/>
    <w:rsid w:val="00871343"/>
    <w:rsid w:val="008862BB"/>
    <w:rsid w:val="008930F2"/>
    <w:rsid w:val="008938D4"/>
    <w:rsid w:val="008C052D"/>
    <w:rsid w:val="008F44B1"/>
    <w:rsid w:val="008F7283"/>
    <w:rsid w:val="008F728C"/>
    <w:rsid w:val="00905961"/>
    <w:rsid w:val="0091093C"/>
    <w:rsid w:val="00910D3D"/>
    <w:rsid w:val="00915A2C"/>
    <w:rsid w:val="00933F00"/>
    <w:rsid w:val="009530DC"/>
    <w:rsid w:val="009602A4"/>
    <w:rsid w:val="00961BCA"/>
    <w:rsid w:val="00963283"/>
    <w:rsid w:val="00965584"/>
    <w:rsid w:val="00967FD2"/>
    <w:rsid w:val="00995ECF"/>
    <w:rsid w:val="009B696C"/>
    <w:rsid w:val="009C4C1B"/>
    <w:rsid w:val="009E3F09"/>
    <w:rsid w:val="009E40AD"/>
    <w:rsid w:val="00A05174"/>
    <w:rsid w:val="00A05D5E"/>
    <w:rsid w:val="00A06DA1"/>
    <w:rsid w:val="00A121AB"/>
    <w:rsid w:val="00A16ED5"/>
    <w:rsid w:val="00A23F2A"/>
    <w:rsid w:val="00A3438A"/>
    <w:rsid w:val="00A60305"/>
    <w:rsid w:val="00A73396"/>
    <w:rsid w:val="00A92FE4"/>
    <w:rsid w:val="00AA6C71"/>
    <w:rsid w:val="00AC27FA"/>
    <w:rsid w:val="00AC5360"/>
    <w:rsid w:val="00AE15B7"/>
    <w:rsid w:val="00AE72CB"/>
    <w:rsid w:val="00AF3236"/>
    <w:rsid w:val="00AF5EDF"/>
    <w:rsid w:val="00AF7BA7"/>
    <w:rsid w:val="00B33196"/>
    <w:rsid w:val="00B33469"/>
    <w:rsid w:val="00B33ADE"/>
    <w:rsid w:val="00B52A2E"/>
    <w:rsid w:val="00B672DB"/>
    <w:rsid w:val="00B855D0"/>
    <w:rsid w:val="00B93320"/>
    <w:rsid w:val="00BA6747"/>
    <w:rsid w:val="00BB58C3"/>
    <w:rsid w:val="00BE1866"/>
    <w:rsid w:val="00BE6E60"/>
    <w:rsid w:val="00BF099B"/>
    <w:rsid w:val="00BF4391"/>
    <w:rsid w:val="00BF774C"/>
    <w:rsid w:val="00C00C8F"/>
    <w:rsid w:val="00C15CF4"/>
    <w:rsid w:val="00C20DD3"/>
    <w:rsid w:val="00C233EF"/>
    <w:rsid w:val="00C242C9"/>
    <w:rsid w:val="00C35401"/>
    <w:rsid w:val="00C8181B"/>
    <w:rsid w:val="00C83D5B"/>
    <w:rsid w:val="00C8499E"/>
    <w:rsid w:val="00C85BBC"/>
    <w:rsid w:val="00CA04DD"/>
    <w:rsid w:val="00CA31E6"/>
    <w:rsid w:val="00CB0129"/>
    <w:rsid w:val="00CC1D70"/>
    <w:rsid w:val="00CC3801"/>
    <w:rsid w:val="00CE0EDE"/>
    <w:rsid w:val="00D061DA"/>
    <w:rsid w:val="00D17B5C"/>
    <w:rsid w:val="00D33F83"/>
    <w:rsid w:val="00D3732A"/>
    <w:rsid w:val="00D450A9"/>
    <w:rsid w:val="00D472ED"/>
    <w:rsid w:val="00D47F5C"/>
    <w:rsid w:val="00D60958"/>
    <w:rsid w:val="00D67B83"/>
    <w:rsid w:val="00D7177D"/>
    <w:rsid w:val="00D814D7"/>
    <w:rsid w:val="00D82946"/>
    <w:rsid w:val="00DB0F2F"/>
    <w:rsid w:val="00DD17EC"/>
    <w:rsid w:val="00DD387B"/>
    <w:rsid w:val="00DD5D4E"/>
    <w:rsid w:val="00DD6C84"/>
    <w:rsid w:val="00DE65CB"/>
    <w:rsid w:val="00DF2C07"/>
    <w:rsid w:val="00E04117"/>
    <w:rsid w:val="00E11F48"/>
    <w:rsid w:val="00E27BA8"/>
    <w:rsid w:val="00E6590F"/>
    <w:rsid w:val="00E72B1F"/>
    <w:rsid w:val="00E757D2"/>
    <w:rsid w:val="00E84858"/>
    <w:rsid w:val="00E91955"/>
    <w:rsid w:val="00E97E05"/>
    <w:rsid w:val="00EA071F"/>
    <w:rsid w:val="00EB0243"/>
    <w:rsid w:val="00EB5E7C"/>
    <w:rsid w:val="00EB706D"/>
    <w:rsid w:val="00ED4E15"/>
    <w:rsid w:val="00EF01D1"/>
    <w:rsid w:val="00EF0386"/>
    <w:rsid w:val="00F03EFF"/>
    <w:rsid w:val="00F50E1D"/>
    <w:rsid w:val="00F534A8"/>
    <w:rsid w:val="00F8351E"/>
    <w:rsid w:val="00F92A6F"/>
    <w:rsid w:val="00F97884"/>
    <w:rsid w:val="00FD1185"/>
    <w:rsid w:val="00FD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C7E0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A2E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52A2E"/>
    <w:rPr>
      <w:rFonts w:ascii="Calibri" w:eastAsia="Times New Roman" w:hAnsi="Calibri" w:cs="Times New Roman"/>
      <w:b/>
      <w:bCs/>
      <w:i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7E1E19"/>
    <w:rPr>
      <w:i/>
      <w:iCs/>
    </w:rPr>
  </w:style>
  <w:style w:type="paragraph" w:customStyle="1" w:styleId="xmsonormal">
    <w:name w:val="x_msonormal"/>
    <w:basedOn w:val="Normal"/>
    <w:rsid w:val="00A23F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q-AL" w:eastAsia="sq-AL"/>
    </w:rPr>
  </w:style>
  <w:style w:type="paragraph" w:customStyle="1" w:styleId="Default">
    <w:name w:val="Default"/>
    <w:rsid w:val="0074484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47CCB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65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otjon.kosta@infrastruktura.gov.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ilma.davidhi@infrastruktura.gov.a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frastruktura.gov.al/konsultime-publik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konsultimipublik.gov.al/Konsultime/Detaje/54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onsultimipublik.gov.al/Konsultime/Detaje/5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A3DBDAEE4B8D2548BA2BC20AABFBA477" ma:contentTypeVersion="" ma:contentTypeDescription="" ma:contentTypeScope="" ma:versionID="9c3ab7939c9da6eb647bd0f7f5740a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0x00A3DBDAEE4B8D2548BA2BC20AABFBA477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26/12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92449B-3725-4FAC-900D-4CF7ED940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985595-2117-4E88-A489-CC0C46EB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CADB4-436C-49E0-8901-892EB77816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</vt:lpstr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</dc:title>
  <dc:subject/>
  <dc:creator>Microsoft Office User</dc:creator>
  <cp:keywords/>
  <dc:description/>
  <cp:lastModifiedBy>Fotjon Kosta</cp:lastModifiedBy>
  <cp:revision>2</cp:revision>
  <cp:lastPrinted>2023-01-10T14:34:00Z</cp:lastPrinted>
  <dcterms:created xsi:type="dcterms:W3CDTF">2024-05-30T13:57:00Z</dcterms:created>
  <dcterms:modified xsi:type="dcterms:W3CDTF">2024-05-30T13:57:00Z</dcterms:modified>
</cp:coreProperties>
</file>