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9D" w:rsidRPr="006F3397" w:rsidRDefault="00B8519D" w:rsidP="00E7258E">
      <w:pPr>
        <w:spacing w:line="240" w:lineRule="auto"/>
        <w:jc w:val="both"/>
        <w:rPr>
          <w:rFonts w:ascii="Garamond" w:hAnsi="Garamond" w:cs="Times New Roman"/>
          <w:color w:val="000000" w:themeColor="text1"/>
        </w:rPr>
      </w:pPr>
    </w:p>
    <w:p w:rsidR="00253786" w:rsidRPr="006F4343" w:rsidRDefault="00253786" w:rsidP="00253786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</w:pPr>
      <w:proofErr w:type="spellStart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Raport</w:t>
      </w:r>
      <w:proofErr w:type="spellEnd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për</w:t>
      </w:r>
      <w:proofErr w:type="spellEnd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rezultatet</w:t>
      </w:r>
      <w:proofErr w:type="spellEnd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e </w:t>
      </w:r>
      <w:proofErr w:type="spellStart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konsultimit</w:t>
      </w:r>
      <w:proofErr w:type="spellEnd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publik</w:t>
      </w:r>
      <w:proofErr w:type="spellEnd"/>
    </w:p>
    <w:p w:rsidR="00253786" w:rsidRPr="006F4343" w:rsidRDefault="00253786" w:rsidP="002537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786" w:rsidRPr="006F4343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Titulli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draft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aktit</w:t>
      </w:r>
      <w:proofErr w:type="spellEnd"/>
    </w:p>
    <w:p w:rsidR="00253786" w:rsidRPr="006F4343" w:rsidRDefault="00253786" w:rsidP="00C84C48">
      <w:pPr>
        <w:pStyle w:val="BodyText"/>
        <w:tabs>
          <w:tab w:val="left" w:pos="540"/>
        </w:tabs>
        <w:suppressAutoHyphens w:val="0"/>
        <w:jc w:val="both"/>
        <w:rPr>
          <w:bCs/>
          <w:color w:val="000000" w:themeColor="text1"/>
          <w:lang w:val="sq-AL"/>
        </w:rPr>
      </w:pPr>
      <w:r w:rsidRPr="006F4343">
        <w:rPr>
          <w:color w:val="000000" w:themeColor="text1"/>
          <w:lang w:val="de-DE"/>
        </w:rPr>
        <w:t xml:space="preserve">     Për projektligjin </w:t>
      </w:r>
      <w:r w:rsidR="004A025A" w:rsidRPr="006F4343">
        <w:rPr>
          <w:color w:val="000000" w:themeColor="text1"/>
          <w:lang w:val="sq-AL"/>
        </w:rPr>
        <w:t xml:space="preserve">“Për </w:t>
      </w:r>
      <w:r w:rsidR="004A025A" w:rsidRPr="006F4343">
        <w:rPr>
          <w:bCs/>
          <w:color w:val="000000" w:themeColor="text1"/>
          <w:lang w:val="sq-AL"/>
        </w:rPr>
        <w:t xml:space="preserve">disa shtesa dhe ndryshime në ligjin </w:t>
      </w:r>
      <w:r w:rsidR="00C84C48" w:rsidRPr="006F4343">
        <w:rPr>
          <w:bCs/>
          <w:color w:val="000000" w:themeColor="text1"/>
          <w:lang w:val="sq-AL"/>
        </w:rPr>
        <w:t>nr. 80/2020 “Për Policinë e Burgjeve”</w:t>
      </w:r>
    </w:p>
    <w:p w:rsidR="00C84C48" w:rsidRPr="006F4343" w:rsidRDefault="00C84C48" w:rsidP="00C84C48">
      <w:pPr>
        <w:pStyle w:val="BodyText"/>
        <w:tabs>
          <w:tab w:val="left" w:pos="540"/>
        </w:tabs>
        <w:suppressAutoHyphens w:val="0"/>
        <w:jc w:val="both"/>
        <w:rPr>
          <w:b/>
          <w:bCs/>
          <w:color w:val="000000" w:themeColor="text1"/>
        </w:rPr>
      </w:pPr>
    </w:p>
    <w:p w:rsidR="00253786" w:rsidRPr="006F4343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Kohëzgjatja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konsultimeve</w:t>
      </w:r>
      <w:proofErr w:type="spellEnd"/>
    </w:p>
    <w:p w:rsidR="00C84C48" w:rsidRPr="006F4343" w:rsidRDefault="00C84C48" w:rsidP="00253786">
      <w:pPr>
        <w:pStyle w:val="BodyText"/>
        <w:jc w:val="both"/>
        <w:rPr>
          <w:rFonts w:eastAsia="Arial"/>
          <w:i/>
          <w:iCs/>
          <w:color w:val="000000" w:themeColor="text1"/>
          <w:lang w:eastAsia="en-US"/>
        </w:rPr>
      </w:pPr>
    </w:p>
    <w:p w:rsidR="00253786" w:rsidRPr="006F4343" w:rsidRDefault="00253786" w:rsidP="00253786">
      <w:pPr>
        <w:pStyle w:val="BodyText"/>
        <w:jc w:val="both"/>
        <w:rPr>
          <w:color w:val="000000" w:themeColor="text1"/>
        </w:rPr>
      </w:pPr>
      <w:proofErr w:type="spellStart"/>
      <w:r w:rsidRPr="006F4343">
        <w:rPr>
          <w:color w:val="000000" w:themeColor="text1"/>
        </w:rPr>
        <w:t>Konsultimet</w:t>
      </w:r>
      <w:proofErr w:type="spellEnd"/>
      <w:r w:rsidRPr="006F4343">
        <w:rPr>
          <w:color w:val="000000" w:themeColor="text1"/>
        </w:rPr>
        <w:t xml:space="preserve"> </w:t>
      </w:r>
      <w:proofErr w:type="spellStart"/>
      <w:r w:rsidRPr="006F4343">
        <w:rPr>
          <w:color w:val="000000" w:themeColor="text1"/>
        </w:rPr>
        <w:t>në</w:t>
      </w:r>
      <w:proofErr w:type="spellEnd"/>
      <w:r w:rsidRPr="006F4343">
        <w:rPr>
          <w:color w:val="000000" w:themeColor="text1"/>
        </w:rPr>
        <w:t xml:space="preserve"> </w:t>
      </w:r>
      <w:proofErr w:type="spellStart"/>
      <w:r w:rsidRPr="006F4343">
        <w:rPr>
          <w:color w:val="000000" w:themeColor="text1"/>
        </w:rPr>
        <w:t>portalin</w:t>
      </w:r>
      <w:proofErr w:type="spellEnd"/>
      <w:r w:rsidRPr="006F4343">
        <w:rPr>
          <w:color w:val="000000" w:themeColor="text1"/>
        </w:rPr>
        <w:t xml:space="preserve"> e </w:t>
      </w:r>
      <w:proofErr w:type="spellStart"/>
      <w:r w:rsidRPr="006F4343">
        <w:rPr>
          <w:color w:val="000000" w:themeColor="text1"/>
        </w:rPr>
        <w:t>rregjistrit</w:t>
      </w:r>
      <w:proofErr w:type="spellEnd"/>
      <w:r w:rsidRPr="006F4343">
        <w:rPr>
          <w:color w:val="000000" w:themeColor="text1"/>
        </w:rPr>
        <w:t xml:space="preserve"> </w:t>
      </w:r>
      <w:proofErr w:type="spellStart"/>
      <w:r w:rsidRPr="006F4343">
        <w:rPr>
          <w:color w:val="000000" w:themeColor="text1"/>
        </w:rPr>
        <w:t>elektronik</w:t>
      </w:r>
      <w:proofErr w:type="spellEnd"/>
      <w:r w:rsidRPr="006F4343">
        <w:rPr>
          <w:color w:val="000000" w:themeColor="text1"/>
        </w:rPr>
        <w:t xml:space="preserve">: 20 </w:t>
      </w:r>
      <w:proofErr w:type="spellStart"/>
      <w:r w:rsidRPr="006F4343">
        <w:rPr>
          <w:color w:val="000000" w:themeColor="text1"/>
        </w:rPr>
        <w:t>ditë</w:t>
      </w:r>
      <w:proofErr w:type="spellEnd"/>
      <w:r w:rsidRPr="006F4343">
        <w:rPr>
          <w:color w:val="000000" w:themeColor="text1"/>
        </w:rPr>
        <w:t xml:space="preserve"> </w:t>
      </w:r>
      <w:proofErr w:type="spellStart"/>
      <w:r w:rsidRPr="006F4343">
        <w:rPr>
          <w:color w:val="000000" w:themeColor="text1"/>
        </w:rPr>
        <w:t>pune</w:t>
      </w:r>
      <w:proofErr w:type="spellEnd"/>
    </w:p>
    <w:p w:rsidR="00253786" w:rsidRPr="006F4343" w:rsidRDefault="00253786" w:rsidP="00253786">
      <w:pPr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253786" w:rsidRPr="006F4343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Metoda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konsultimit</w:t>
      </w:r>
      <w:proofErr w:type="spellEnd"/>
    </w:p>
    <w:p w:rsidR="00C84C48" w:rsidRPr="006F4343" w:rsidRDefault="00C84C48" w:rsidP="00C84C48">
      <w:pPr>
        <w:pStyle w:val="BodyText"/>
        <w:jc w:val="both"/>
        <w:rPr>
          <w:color w:val="000000" w:themeColor="text1"/>
          <w:lang w:val="de-DE"/>
        </w:rPr>
      </w:pPr>
    </w:p>
    <w:p w:rsidR="00253786" w:rsidRPr="006F4343" w:rsidRDefault="00253786" w:rsidP="00C84C48">
      <w:pPr>
        <w:pStyle w:val="BodyText"/>
        <w:jc w:val="both"/>
        <w:rPr>
          <w:color w:val="000000" w:themeColor="text1"/>
          <w:lang w:val="de-DE"/>
        </w:rPr>
      </w:pPr>
      <w:r w:rsidRPr="006F4343">
        <w:rPr>
          <w:color w:val="000000" w:themeColor="text1"/>
          <w:lang w:val="de-DE"/>
        </w:rPr>
        <w:t>Metodat e konsultimit publik të përdorura si vijon:</w:t>
      </w:r>
    </w:p>
    <w:p w:rsidR="00C84C48" w:rsidRPr="006F4343" w:rsidRDefault="00C84C48" w:rsidP="004A025A">
      <w:pPr>
        <w:pStyle w:val="BodyText"/>
        <w:jc w:val="both"/>
        <w:rPr>
          <w:color w:val="000000" w:themeColor="text1"/>
          <w:lang w:val="sq-AL"/>
        </w:rPr>
      </w:pPr>
    </w:p>
    <w:p w:rsidR="00253786" w:rsidRPr="006F4343" w:rsidRDefault="00C84C48" w:rsidP="004A025A">
      <w:pPr>
        <w:pStyle w:val="BodyText"/>
        <w:jc w:val="both"/>
        <w:rPr>
          <w:color w:val="000000" w:themeColor="text1"/>
          <w:lang w:val="de-DE"/>
        </w:rPr>
      </w:pPr>
      <w:r w:rsidRPr="006F4343">
        <w:rPr>
          <w:color w:val="000000" w:themeColor="text1"/>
          <w:lang w:val="de-DE"/>
        </w:rPr>
        <w:t>a</w:t>
      </w:r>
      <w:r w:rsidR="004A025A" w:rsidRPr="006F4343">
        <w:rPr>
          <w:color w:val="000000" w:themeColor="text1"/>
          <w:lang w:val="de-DE"/>
        </w:rPr>
        <w:t xml:space="preserve">. </w:t>
      </w:r>
      <w:r w:rsidR="00253786" w:rsidRPr="006F4343">
        <w:rPr>
          <w:color w:val="000000" w:themeColor="text1"/>
          <w:lang w:val="de-DE"/>
        </w:rPr>
        <w:t xml:space="preserve">Konsultimi në portalin “Rregjistri Elektronik për Njoftimet dhe konsultimet Publike” për periudhën </w:t>
      </w:r>
      <w:r w:rsidRPr="006F4343">
        <w:rPr>
          <w:color w:val="000000" w:themeColor="text1"/>
          <w:lang w:val="de-DE"/>
        </w:rPr>
        <w:t>20</w:t>
      </w:r>
      <w:r w:rsidR="004A025A" w:rsidRPr="006F4343">
        <w:rPr>
          <w:color w:val="000000" w:themeColor="text1"/>
          <w:lang w:val="de-DE"/>
        </w:rPr>
        <w:t>.10.2022 – 1</w:t>
      </w:r>
      <w:r w:rsidRPr="006F4343">
        <w:rPr>
          <w:color w:val="000000" w:themeColor="text1"/>
          <w:lang w:val="de-DE"/>
        </w:rPr>
        <w:t>6</w:t>
      </w:r>
      <w:r w:rsidR="004A025A" w:rsidRPr="006F4343">
        <w:rPr>
          <w:color w:val="000000" w:themeColor="text1"/>
          <w:lang w:val="de-DE"/>
        </w:rPr>
        <w:t>.11.2022</w:t>
      </w:r>
      <w:r w:rsidR="00253786" w:rsidRPr="006F4343">
        <w:rPr>
          <w:color w:val="000000" w:themeColor="text1"/>
          <w:lang w:val="de-DE"/>
        </w:rPr>
        <w:t>, gjatë së cilës nuk janë përcjellë komente</w:t>
      </w:r>
      <w:r w:rsidR="004A025A" w:rsidRPr="006F4343">
        <w:rPr>
          <w:color w:val="000000" w:themeColor="text1"/>
          <w:lang w:val="de-DE"/>
        </w:rPr>
        <w:t xml:space="preserve"> përmes këtij protali, </w:t>
      </w:r>
      <w:r w:rsidRPr="006F4343">
        <w:rPr>
          <w:color w:val="000000" w:themeColor="text1"/>
          <w:lang w:val="de-DE"/>
        </w:rPr>
        <w:t xml:space="preserve">apo </w:t>
      </w:r>
      <w:r w:rsidR="004A025A" w:rsidRPr="006F4343">
        <w:rPr>
          <w:color w:val="000000" w:themeColor="text1"/>
          <w:lang w:val="de-DE"/>
        </w:rPr>
        <w:t xml:space="preserve">në rrugë postare në adresën e Ministrisë së Drejtësisë, si dhe në adresën e e-mailit të koordinatorit për njoftimin dhe konsultimin </w:t>
      </w:r>
    </w:p>
    <w:p w:rsidR="00C84C48" w:rsidRPr="006F4343" w:rsidRDefault="00C84C48" w:rsidP="00253786">
      <w:pPr>
        <w:pStyle w:val="BodyText"/>
        <w:jc w:val="both"/>
        <w:rPr>
          <w:color w:val="000000" w:themeColor="text1"/>
        </w:rPr>
      </w:pPr>
    </w:p>
    <w:p w:rsidR="00253786" w:rsidRPr="006F4343" w:rsidRDefault="00253786" w:rsidP="00253786">
      <w:pPr>
        <w:pStyle w:val="BodyText"/>
        <w:jc w:val="both"/>
        <w:rPr>
          <w:color w:val="000000" w:themeColor="text1"/>
        </w:rPr>
      </w:pPr>
      <w:proofErr w:type="spellStart"/>
      <w:r w:rsidRPr="006F4343">
        <w:rPr>
          <w:color w:val="000000" w:themeColor="text1"/>
        </w:rPr>
        <w:t>Aktivitetet</w:t>
      </w:r>
      <w:proofErr w:type="spellEnd"/>
      <w:r w:rsidRPr="006F4343">
        <w:rPr>
          <w:color w:val="000000" w:themeColor="text1"/>
        </w:rPr>
        <w:t xml:space="preserve"> e </w:t>
      </w:r>
      <w:proofErr w:type="spellStart"/>
      <w:r w:rsidRPr="006F4343">
        <w:rPr>
          <w:color w:val="000000" w:themeColor="text1"/>
        </w:rPr>
        <w:t>realizuara</w:t>
      </w:r>
      <w:proofErr w:type="spellEnd"/>
      <w:r w:rsidRPr="006F4343">
        <w:rPr>
          <w:color w:val="000000" w:themeColor="text1"/>
        </w:rPr>
        <w:t xml:space="preserve">: </w:t>
      </w:r>
    </w:p>
    <w:p w:rsidR="00253786" w:rsidRPr="006F4343" w:rsidRDefault="00C84C48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Lidhur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nismë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zhvilluar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aktivitete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përbashkëta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53786" w:rsidRPr="006F4343" w:rsidRDefault="00253786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ARSYET E KONSULTIMIT VETËM NËPËRMJET RENJK </w:t>
      </w: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Projektligji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ardhur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propozim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Drejtorisë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Përgjithshme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bazuar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problematikat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hasura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praktikë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vakancat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krijuara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shkak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mungesës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interesit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kandiduar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Rrjedhimisht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vlerësuar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nevoja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lehtësimit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kritereve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pranimit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duke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hequr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kriterin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moshës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vjeç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duke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rregulluar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mënyrën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përparësisë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pranim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personave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funksione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ekuivalente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Gardës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Forcave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Armatosura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qëllim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shmangien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vakancave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mëtejshme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çojnë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mosfunksionimin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duhur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institucioneve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ekzekutimit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vendimeve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penale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vendosjen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rrezik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sigurisë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jashtme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institucione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vendosjen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rrezik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edhe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shëndetit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jetës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paraburgosurve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burgosurve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tjerë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personelit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institucione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Lidhur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çështje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zhvilluar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procesi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konsultimit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Ministrinë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Brendshme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Ministrinë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intistucione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interesuara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projektligji</w:t>
      </w:r>
      <w:proofErr w:type="spellEnd"/>
      <w:r w:rsidR="006527FB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Lidhur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nismën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ndërmarrë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grupe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interesi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përfshiheshin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tryeza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aktivitete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ngjashme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pasi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subjekti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interesuar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vetë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Policia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cila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strukturë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Drejtorisë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Përgjithshme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cila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kërkuar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ndërmarrjen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kësaj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nisme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interesuar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lidhur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këtë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nismë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gjithashtu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qytetarët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cilët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shfaqin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aplikuar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kandidatë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punonjës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cilët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informuar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konsultimit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vlerësohet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mjet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mjaftueshëm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informimin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publikut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lehtësimin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kushteve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pranuese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ED7" w:rsidRPr="006F4343" w:rsidRDefault="00624ED7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786" w:rsidRPr="006F4343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Palët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interesit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përfshira</w:t>
      </w:r>
      <w:proofErr w:type="spellEnd"/>
    </w:p>
    <w:p w:rsidR="00AD4323" w:rsidRPr="006F4343" w:rsidRDefault="00C84C48" w:rsidP="00C84C48">
      <w:pPr>
        <w:tabs>
          <w:tab w:val="left" w:pos="75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procesit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konsultimit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përfshirë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palë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treat. </w:t>
      </w:r>
      <w:proofErr w:type="spellStart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Hartimi</w:t>
      </w:r>
      <w:proofErr w:type="spellEnd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projektligjit</w:t>
      </w:r>
      <w:proofErr w:type="spellEnd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kaluar</w:t>
      </w:r>
      <w:proofErr w:type="spellEnd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vetëm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përmes</w:t>
      </w:r>
      <w:proofErr w:type="spellEnd"/>
      <w:r w:rsidR="00253786"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bashkërendimit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Ministrinë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Financave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Ekonomisë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Deprartamentit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Administratës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6F4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253786" w:rsidRPr="006F4343" w:rsidRDefault="00253786" w:rsidP="00253786">
      <w:pPr>
        <w:pStyle w:val="BodyText"/>
        <w:jc w:val="both"/>
        <w:rPr>
          <w:color w:val="000000" w:themeColor="text1"/>
          <w:lang w:val="de-DE"/>
        </w:rPr>
      </w:pPr>
    </w:p>
    <w:p w:rsidR="00253786" w:rsidRPr="006F4343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Pasqyra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komenteve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pranuara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arsyetimin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komenteve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pranuara</w:t>
      </w:r>
      <w:proofErr w:type="spellEnd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proofErr w:type="spellStart"/>
      <w:r w:rsidRPr="006F4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refuzuara</w:t>
      </w:r>
      <w:proofErr w:type="spellEnd"/>
    </w:p>
    <w:p w:rsidR="00675E35" w:rsidRPr="006F4343" w:rsidRDefault="00675E35" w:rsidP="00E7258E">
      <w:pPr>
        <w:spacing w:line="240" w:lineRule="auto"/>
        <w:jc w:val="both"/>
        <w:rPr>
          <w:rFonts w:ascii="Garamond" w:hAnsi="Garamond" w:cs="Times New Roman"/>
          <w:color w:val="000000" w:themeColor="text1"/>
        </w:rPr>
      </w:pPr>
    </w:p>
    <w:tbl>
      <w:tblPr>
        <w:tblStyle w:val="1"/>
        <w:tblW w:w="140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4610"/>
        <w:gridCol w:w="3240"/>
        <w:gridCol w:w="2770"/>
      </w:tblGrid>
      <w:tr w:rsidR="00A60419" w:rsidRPr="006F4343" w:rsidTr="00C84C48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19" w:rsidRPr="006F4343" w:rsidRDefault="00A60419" w:rsidP="00C74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4343">
              <w:rPr>
                <w:rFonts w:ascii="Times New Roman" w:hAnsi="Times New Roman" w:cs="Times New Roman"/>
                <w:b/>
                <w:color w:val="000000" w:themeColor="text1"/>
              </w:rPr>
              <w:t>PROJEKTLIGJ</w:t>
            </w:r>
          </w:p>
          <w:p w:rsidR="00A60419" w:rsidRPr="006F4343" w:rsidRDefault="00AD4323" w:rsidP="00624ED7">
            <w:pPr>
              <w:spacing w:line="240" w:lineRule="auto"/>
              <w:jc w:val="center"/>
              <w:rPr>
                <w:rFonts w:eastAsia="Times New Roman"/>
                <w:b/>
                <w:color w:val="000000" w:themeColor="text1"/>
                <w:lang w:val="sq-AL"/>
              </w:rPr>
            </w:pPr>
            <w:r w:rsidRPr="006F434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 xml:space="preserve">“Për disa shtesa dhe ndryshime në ligjin </w:t>
            </w:r>
            <w:r w:rsidR="00C84C48" w:rsidRPr="006F434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 xml:space="preserve">nr. 80/2020 </w:t>
            </w:r>
            <w:r w:rsidR="00C84C48" w:rsidRPr="006F4343">
              <w:rPr>
                <w:bCs/>
                <w:color w:val="000000" w:themeColor="text1"/>
                <w:lang w:val="sq-AL"/>
              </w:rPr>
              <w:t>“Për Policinë e Burgjeve”</w:t>
            </w:r>
            <w:r w:rsidRPr="006F434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 xml:space="preserve"> </w:t>
            </w:r>
          </w:p>
        </w:tc>
        <w:tc>
          <w:tcPr>
            <w:tcW w:w="4610" w:type="dxa"/>
          </w:tcPr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6F4343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KOMENTE</w:t>
            </w:r>
          </w:p>
        </w:tc>
        <w:tc>
          <w:tcPr>
            <w:tcW w:w="3240" w:type="dxa"/>
          </w:tcPr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6F4343">
              <w:rPr>
                <w:rFonts w:ascii="Times New Roman" w:hAnsi="Times New Roman" w:cs="Times New Roman"/>
                <w:b/>
                <w:color w:val="000000" w:themeColor="text1"/>
                <w:lang w:val="it-IT"/>
              </w:rPr>
              <w:t>VENDIMI (I PRANUAR/I PRANUAR PJESËRISHT/I REFUZUAR)</w:t>
            </w: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it-IT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it-IT"/>
              </w:rPr>
            </w:pPr>
          </w:p>
          <w:p w:rsidR="00A60419" w:rsidRPr="006F4343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43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VLERËSIMI</w:t>
            </w:r>
          </w:p>
        </w:tc>
      </w:tr>
      <w:tr w:rsidR="00AD259C" w:rsidRPr="00C3372C" w:rsidTr="00C84C48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59C" w:rsidRPr="006F4343" w:rsidRDefault="00C84C48" w:rsidP="00C84C48">
            <w:pPr>
              <w:spacing w:after="12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0" w:type="dxa"/>
          </w:tcPr>
          <w:p w:rsidR="00A25948" w:rsidRPr="006F4343" w:rsidRDefault="00C84C48" w:rsidP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6F43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-</w:t>
            </w:r>
          </w:p>
        </w:tc>
        <w:tc>
          <w:tcPr>
            <w:tcW w:w="3240" w:type="dxa"/>
          </w:tcPr>
          <w:p w:rsidR="00A25948" w:rsidRPr="006F4343" w:rsidRDefault="00C84C48" w:rsidP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F4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-</w:t>
            </w: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F31" w:rsidRPr="006F4343" w:rsidRDefault="00AC1F31" w:rsidP="00C84C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:rsidR="00AC1F31" w:rsidRPr="00C3372C" w:rsidRDefault="00C84C48" w:rsidP="00C84C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F4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-</w:t>
            </w:r>
            <w:bookmarkStart w:id="0" w:name="_GoBack"/>
            <w:bookmarkEnd w:id="0"/>
          </w:p>
          <w:p w:rsidR="00AD259C" w:rsidRPr="00C3372C" w:rsidRDefault="00AD259C" w:rsidP="00C84C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AC1F31" w:rsidRPr="00C3372C" w:rsidTr="00C84C48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F31" w:rsidRPr="00C3372C" w:rsidRDefault="00AC1F31" w:rsidP="00C84C48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:rsidR="00AC1F31" w:rsidRPr="00C3372C" w:rsidRDefault="00AC1F31" w:rsidP="00C3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40" w:type="dxa"/>
          </w:tcPr>
          <w:p w:rsidR="00E751B9" w:rsidRPr="00C3372C" w:rsidRDefault="00E751B9" w:rsidP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1B9" w:rsidRPr="00C3372C" w:rsidRDefault="00E751B9" w:rsidP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1210D3" w:rsidRPr="00C3372C" w:rsidTr="00C84C48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0D3" w:rsidRPr="00C3372C" w:rsidRDefault="001210D3" w:rsidP="00C3372C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0" w:type="dxa"/>
          </w:tcPr>
          <w:p w:rsidR="001210D3" w:rsidRPr="00C3372C" w:rsidRDefault="001210D3" w:rsidP="00C3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3240" w:type="dxa"/>
          </w:tcPr>
          <w:p w:rsidR="001210D3" w:rsidRPr="00C3372C" w:rsidRDefault="001210D3" w:rsidP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0D3" w:rsidRPr="00C3372C" w:rsidRDefault="001210D3" w:rsidP="00C3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q-AL"/>
              </w:rPr>
            </w:pPr>
          </w:p>
        </w:tc>
      </w:tr>
      <w:tr w:rsidR="001210D3" w:rsidRPr="00C3372C" w:rsidTr="00C84C48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A4" w:rsidRPr="00C3372C" w:rsidRDefault="00623BA4" w:rsidP="00C3372C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10D3" w:rsidRPr="00C3372C" w:rsidRDefault="001210D3" w:rsidP="00C3372C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0" w:type="dxa"/>
          </w:tcPr>
          <w:p w:rsidR="001210D3" w:rsidRPr="00C3372C" w:rsidRDefault="001210D3" w:rsidP="00C3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40" w:type="dxa"/>
          </w:tcPr>
          <w:p w:rsidR="001210D3" w:rsidRPr="00C3372C" w:rsidRDefault="001210D3" w:rsidP="00C3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A4" w:rsidRPr="00C3372C" w:rsidRDefault="00623BA4" w:rsidP="00C3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q-AL"/>
              </w:rPr>
            </w:pPr>
            <w:r w:rsidRPr="00C33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</w:tr>
    </w:tbl>
    <w:p w:rsidR="00FF0AE1" w:rsidRPr="006F3397" w:rsidRDefault="00FF0AE1" w:rsidP="008779A3">
      <w:pPr>
        <w:tabs>
          <w:tab w:val="left" w:pos="3914"/>
        </w:tabs>
        <w:spacing w:line="240" w:lineRule="auto"/>
        <w:rPr>
          <w:rFonts w:ascii="Garamond" w:hAnsi="Garamond" w:cs="Times New Roman"/>
          <w:color w:val="000000" w:themeColor="text1"/>
          <w:lang w:val="de-DE"/>
        </w:rPr>
      </w:pPr>
    </w:p>
    <w:sectPr w:rsidR="00FF0AE1" w:rsidRPr="006F3397" w:rsidSect="00C84C48">
      <w:headerReference w:type="default" r:id="rId8"/>
      <w:footerReference w:type="default" r:id="rId9"/>
      <w:pgSz w:w="16839" w:h="11907" w:orient="landscape" w:code="9"/>
      <w:pgMar w:top="720" w:right="1449" w:bottom="720" w:left="135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A4" w:rsidRDefault="003B0AA4">
      <w:pPr>
        <w:spacing w:line="240" w:lineRule="auto"/>
      </w:pPr>
      <w:r>
        <w:separator/>
      </w:r>
    </w:p>
  </w:endnote>
  <w:endnote w:type="continuationSeparator" w:id="0">
    <w:p w:rsidR="003B0AA4" w:rsidRDefault="003B0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3" w:rsidRDefault="00C74183">
    <w:pPr>
      <w:jc w:val="right"/>
    </w:pPr>
    <w:r>
      <w:fldChar w:fldCharType="begin"/>
    </w:r>
    <w:r>
      <w:instrText>PAGE</w:instrText>
    </w:r>
    <w:r>
      <w:fldChar w:fldCharType="separate"/>
    </w:r>
    <w:r w:rsidR="006F434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A4" w:rsidRDefault="003B0AA4">
      <w:pPr>
        <w:spacing w:line="240" w:lineRule="auto"/>
      </w:pPr>
      <w:r>
        <w:separator/>
      </w:r>
    </w:p>
  </w:footnote>
  <w:footnote w:type="continuationSeparator" w:id="0">
    <w:p w:rsidR="003B0AA4" w:rsidRDefault="003B0A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3" w:rsidRPr="00514226" w:rsidRDefault="00C74183" w:rsidP="00514226">
    <w:pPr>
      <w:pStyle w:val="Header"/>
      <w:jc w:val="center"/>
      <w:rPr>
        <w:b/>
      </w:rPr>
    </w:pPr>
    <w:r w:rsidRPr="00C67579">
      <w:rPr>
        <w:rFonts w:ascii="Times New Roman" w:eastAsiaTheme="minorHAnsi" w:hAnsi="Times New Roman" w:cs="Times New Roman"/>
        <w:b/>
      </w:rPr>
      <w:t xml:space="preserve">PROJEKTLIGJ </w:t>
    </w:r>
    <w:r w:rsidRPr="00514226">
      <w:rPr>
        <w:rFonts w:ascii="Times New Roman" w:eastAsiaTheme="minorHAnsi" w:hAnsi="Times New Roman" w:cs="Times New Roman"/>
        <w:b/>
      </w:rPr>
      <w:t>“PËR DISA SHTESA DHE NDRYSHIME NË LIGJIN NR.</w:t>
    </w:r>
    <w:r w:rsidR="00C84C48">
      <w:rPr>
        <w:rFonts w:ascii="Times New Roman" w:eastAsiaTheme="minorHAnsi" w:hAnsi="Times New Roman" w:cs="Times New Roman"/>
        <w:b/>
      </w:rPr>
      <w:t xml:space="preserve"> 80/2020</w:t>
    </w:r>
    <w:r w:rsidRPr="00514226">
      <w:rPr>
        <w:rFonts w:ascii="Times New Roman" w:eastAsiaTheme="minorHAnsi" w:hAnsi="Times New Roman" w:cs="Times New Roman"/>
        <w:b/>
      </w:rPr>
      <w:t xml:space="preserve"> “PËR </w:t>
    </w:r>
    <w:r w:rsidR="00C84C48">
      <w:rPr>
        <w:rFonts w:ascii="Times New Roman" w:eastAsiaTheme="minorHAnsi" w:hAnsi="Times New Roman" w:cs="Times New Roman"/>
        <w:b/>
      </w:rPr>
      <w:t>POLICINË E BURGJEVE</w:t>
    </w:r>
    <w:r w:rsidRPr="00514226">
      <w:rPr>
        <w:rFonts w:ascii="Times New Roman" w:eastAsiaTheme="minorHAnsi" w:hAnsi="Times New Roman" w:cs="Times New Roman"/>
        <w:b/>
      </w:rPr>
      <w:t>”</w:t>
    </w:r>
  </w:p>
  <w:p w:rsidR="00C74183" w:rsidRPr="00CD6973" w:rsidRDefault="00C74183">
    <w:pPr>
      <w:jc w:val="center"/>
      <w:rPr>
        <w:rFonts w:ascii="Times New Roman" w:eastAsia="Times New Roman" w:hAnsi="Times New Roman" w:cs="Times New Roman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1D0"/>
    <w:multiLevelType w:val="hybridMultilevel"/>
    <w:tmpl w:val="87CA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39B"/>
    <w:multiLevelType w:val="hybridMultilevel"/>
    <w:tmpl w:val="13D4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03DB"/>
    <w:multiLevelType w:val="hybridMultilevel"/>
    <w:tmpl w:val="DB66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403"/>
    <w:multiLevelType w:val="hybridMultilevel"/>
    <w:tmpl w:val="E18A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5E9"/>
    <w:multiLevelType w:val="hybridMultilevel"/>
    <w:tmpl w:val="FE4C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490C"/>
    <w:multiLevelType w:val="hybridMultilevel"/>
    <w:tmpl w:val="0B16C7C0"/>
    <w:lvl w:ilvl="0" w:tplc="A54AB70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72100"/>
    <w:multiLevelType w:val="hybridMultilevel"/>
    <w:tmpl w:val="DF682200"/>
    <w:lvl w:ilvl="0" w:tplc="B1FEF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7A9E"/>
    <w:multiLevelType w:val="hybridMultilevel"/>
    <w:tmpl w:val="29CC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1823"/>
    <w:multiLevelType w:val="hybridMultilevel"/>
    <w:tmpl w:val="E166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73BA"/>
    <w:multiLevelType w:val="hybridMultilevel"/>
    <w:tmpl w:val="D1F2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5017"/>
    <w:multiLevelType w:val="hybridMultilevel"/>
    <w:tmpl w:val="AB4AC938"/>
    <w:lvl w:ilvl="0" w:tplc="35DCAC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54BF"/>
    <w:multiLevelType w:val="hybridMultilevel"/>
    <w:tmpl w:val="CC54331C"/>
    <w:lvl w:ilvl="0" w:tplc="3DF2F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347163"/>
    <w:multiLevelType w:val="hybridMultilevel"/>
    <w:tmpl w:val="E668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5FA"/>
    <w:multiLevelType w:val="hybridMultilevel"/>
    <w:tmpl w:val="E33ABB44"/>
    <w:lvl w:ilvl="0" w:tplc="9E1623B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70869"/>
    <w:multiLevelType w:val="hybridMultilevel"/>
    <w:tmpl w:val="AFA4D904"/>
    <w:lvl w:ilvl="0" w:tplc="041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C823B31"/>
    <w:multiLevelType w:val="hybridMultilevel"/>
    <w:tmpl w:val="C0144A74"/>
    <w:lvl w:ilvl="0" w:tplc="5F8C13B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42C43"/>
    <w:multiLevelType w:val="hybridMultilevel"/>
    <w:tmpl w:val="608A29F8"/>
    <w:lvl w:ilvl="0" w:tplc="6616D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87E"/>
    <w:multiLevelType w:val="hybridMultilevel"/>
    <w:tmpl w:val="EA5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A6403"/>
    <w:multiLevelType w:val="hybridMultilevel"/>
    <w:tmpl w:val="224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737F6"/>
    <w:multiLevelType w:val="hybridMultilevel"/>
    <w:tmpl w:val="4EBC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6"/>
  </w:num>
  <w:num w:numId="5">
    <w:abstractNumId w:val="12"/>
  </w:num>
  <w:num w:numId="6">
    <w:abstractNumId w:val="20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8"/>
  </w:num>
  <w:num w:numId="13">
    <w:abstractNumId w:val="10"/>
  </w:num>
  <w:num w:numId="14">
    <w:abstractNumId w:val="13"/>
  </w:num>
  <w:num w:numId="15">
    <w:abstractNumId w:val="19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1"/>
  </w:num>
  <w:num w:numId="2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9D"/>
    <w:rsid w:val="00000FA3"/>
    <w:rsid w:val="0001105E"/>
    <w:rsid w:val="00011A76"/>
    <w:rsid w:val="00023471"/>
    <w:rsid w:val="00023C51"/>
    <w:rsid w:val="00026E1A"/>
    <w:rsid w:val="00042FCA"/>
    <w:rsid w:val="00053248"/>
    <w:rsid w:val="00062DD6"/>
    <w:rsid w:val="000641DA"/>
    <w:rsid w:val="000A3327"/>
    <w:rsid w:val="000B5861"/>
    <w:rsid w:val="000C23DB"/>
    <w:rsid w:val="000C2A20"/>
    <w:rsid w:val="000C55A6"/>
    <w:rsid w:val="000D5431"/>
    <w:rsid w:val="000D6B4F"/>
    <w:rsid w:val="000E20C0"/>
    <w:rsid w:val="000F583B"/>
    <w:rsid w:val="0010123A"/>
    <w:rsid w:val="001073D3"/>
    <w:rsid w:val="00110AE8"/>
    <w:rsid w:val="001127A4"/>
    <w:rsid w:val="001207A4"/>
    <w:rsid w:val="001210D3"/>
    <w:rsid w:val="00121CF6"/>
    <w:rsid w:val="0012780F"/>
    <w:rsid w:val="0013398E"/>
    <w:rsid w:val="00137B6B"/>
    <w:rsid w:val="00147CA1"/>
    <w:rsid w:val="00152366"/>
    <w:rsid w:val="0015269F"/>
    <w:rsid w:val="0015430B"/>
    <w:rsid w:val="001571DF"/>
    <w:rsid w:val="0015732D"/>
    <w:rsid w:val="0015735F"/>
    <w:rsid w:val="001605AA"/>
    <w:rsid w:val="001701D8"/>
    <w:rsid w:val="001717C4"/>
    <w:rsid w:val="00173F27"/>
    <w:rsid w:val="001855A9"/>
    <w:rsid w:val="00186B56"/>
    <w:rsid w:val="001A14AE"/>
    <w:rsid w:val="001C6912"/>
    <w:rsid w:val="001D2A7F"/>
    <w:rsid w:val="001D4228"/>
    <w:rsid w:val="001E332E"/>
    <w:rsid w:val="001E5814"/>
    <w:rsid w:val="001E6E95"/>
    <w:rsid w:val="001F7D66"/>
    <w:rsid w:val="00200D13"/>
    <w:rsid w:val="0020401F"/>
    <w:rsid w:val="002050E9"/>
    <w:rsid w:val="002051FC"/>
    <w:rsid w:val="00205A76"/>
    <w:rsid w:val="00206549"/>
    <w:rsid w:val="002076B5"/>
    <w:rsid w:val="002122BD"/>
    <w:rsid w:val="00213B28"/>
    <w:rsid w:val="00215C5F"/>
    <w:rsid w:val="00231608"/>
    <w:rsid w:val="002335BB"/>
    <w:rsid w:val="00253786"/>
    <w:rsid w:val="00272B62"/>
    <w:rsid w:val="00276ACD"/>
    <w:rsid w:val="00287568"/>
    <w:rsid w:val="002909FB"/>
    <w:rsid w:val="0029193E"/>
    <w:rsid w:val="00293D1F"/>
    <w:rsid w:val="002B382E"/>
    <w:rsid w:val="002B4C64"/>
    <w:rsid w:val="002B554E"/>
    <w:rsid w:val="002C3470"/>
    <w:rsid w:val="002C6272"/>
    <w:rsid w:val="002C7323"/>
    <w:rsid w:val="002C7B76"/>
    <w:rsid w:val="002D1C01"/>
    <w:rsid w:val="002D621A"/>
    <w:rsid w:val="002E2C53"/>
    <w:rsid w:val="002E6779"/>
    <w:rsid w:val="002E7449"/>
    <w:rsid w:val="002F507F"/>
    <w:rsid w:val="002F6952"/>
    <w:rsid w:val="0033132E"/>
    <w:rsid w:val="003337A1"/>
    <w:rsid w:val="00337392"/>
    <w:rsid w:val="003431E8"/>
    <w:rsid w:val="00350466"/>
    <w:rsid w:val="00353B83"/>
    <w:rsid w:val="003654C6"/>
    <w:rsid w:val="003670BA"/>
    <w:rsid w:val="00371AD1"/>
    <w:rsid w:val="003878D9"/>
    <w:rsid w:val="00390516"/>
    <w:rsid w:val="003905AE"/>
    <w:rsid w:val="003930C6"/>
    <w:rsid w:val="003A2342"/>
    <w:rsid w:val="003A266A"/>
    <w:rsid w:val="003B0AA4"/>
    <w:rsid w:val="003B6319"/>
    <w:rsid w:val="003C1831"/>
    <w:rsid w:val="003C2E74"/>
    <w:rsid w:val="003E262D"/>
    <w:rsid w:val="003E341E"/>
    <w:rsid w:val="003F7D22"/>
    <w:rsid w:val="00400DD3"/>
    <w:rsid w:val="00405045"/>
    <w:rsid w:val="00406791"/>
    <w:rsid w:val="004078E0"/>
    <w:rsid w:val="004175ED"/>
    <w:rsid w:val="004207A5"/>
    <w:rsid w:val="00427ADB"/>
    <w:rsid w:val="00427C3C"/>
    <w:rsid w:val="00427DB3"/>
    <w:rsid w:val="004318DF"/>
    <w:rsid w:val="00431B75"/>
    <w:rsid w:val="004329C3"/>
    <w:rsid w:val="00444084"/>
    <w:rsid w:val="00445846"/>
    <w:rsid w:val="00461B9C"/>
    <w:rsid w:val="00474366"/>
    <w:rsid w:val="00474D5C"/>
    <w:rsid w:val="00484D56"/>
    <w:rsid w:val="00485A20"/>
    <w:rsid w:val="00485E5D"/>
    <w:rsid w:val="004A025A"/>
    <w:rsid w:val="004A270B"/>
    <w:rsid w:val="004A2B4E"/>
    <w:rsid w:val="004B2844"/>
    <w:rsid w:val="004B7F05"/>
    <w:rsid w:val="004D7DB6"/>
    <w:rsid w:val="004E3D76"/>
    <w:rsid w:val="00501AF5"/>
    <w:rsid w:val="005033F1"/>
    <w:rsid w:val="00505B66"/>
    <w:rsid w:val="00514226"/>
    <w:rsid w:val="005232C7"/>
    <w:rsid w:val="00530093"/>
    <w:rsid w:val="00531B65"/>
    <w:rsid w:val="0053451E"/>
    <w:rsid w:val="00541031"/>
    <w:rsid w:val="00550606"/>
    <w:rsid w:val="00550E35"/>
    <w:rsid w:val="0055116A"/>
    <w:rsid w:val="00554E29"/>
    <w:rsid w:val="00560281"/>
    <w:rsid w:val="0056623A"/>
    <w:rsid w:val="0057427A"/>
    <w:rsid w:val="005752F1"/>
    <w:rsid w:val="00576615"/>
    <w:rsid w:val="00581FEA"/>
    <w:rsid w:val="00582838"/>
    <w:rsid w:val="0058712E"/>
    <w:rsid w:val="00596475"/>
    <w:rsid w:val="005A0817"/>
    <w:rsid w:val="005A2D9C"/>
    <w:rsid w:val="005A484B"/>
    <w:rsid w:val="005A6EF4"/>
    <w:rsid w:val="005B4F7B"/>
    <w:rsid w:val="005C1755"/>
    <w:rsid w:val="005F0AC9"/>
    <w:rsid w:val="005F4258"/>
    <w:rsid w:val="005F6EF5"/>
    <w:rsid w:val="00602B54"/>
    <w:rsid w:val="00602F06"/>
    <w:rsid w:val="00611B29"/>
    <w:rsid w:val="0061361B"/>
    <w:rsid w:val="0061656A"/>
    <w:rsid w:val="00622317"/>
    <w:rsid w:val="00622A41"/>
    <w:rsid w:val="00623BA4"/>
    <w:rsid w:val="00624ED7"/>
    <w:rsid w:val="00625A22"/>
    <w:rsid w:val="006319A7"/>
    <w:rsid w:val="00632570"/>
    <w:rsid w:val="00633AB7"/>
    <w:rsid w:val="006407C3"/>
    <w:rsid w:val="0064644A"/>
    <w:rsid w:val="006508C6"/>
    <w:rsid w:val="00650F08"/>
    <w:rsid w:val="006527FB"/>
    <w:rsid w:val="00661C3D"/>
    <w:rsid w:val="00663AD1"/>
    <w:rsid w:val="00664495"/>
    <w:rsid w:val="00666B97"/>
    <w:rsid w:val="006705A4"/>
    <w:rsid w:val="00671FE0"/>
    <w:rsid w:val="00675E35"/>
    <w:rsid w:val="0068099A"/>
    <w:rsid w:val="00682850"/>
    <w:rsid w:val="00683A15"/>
    <w:rsid w:val="006842C4"/>
    <w:rsid w:val="00686BDD"/>
    <w:rsid w:val="006932F9"/>
    <w:rsid w:val="0069364C"/>
    <w:rsid w:val="006B6442"/>
    <w:rsid w:val="006C2AA2"/>
    <w:rsid w:val="006D32F1"/>
    <w:rsid w:val="006F0470"/>
    <w:rsid w:val="006F0F9A"/>
    <w:rsid w:val="006F3397"/>
    <w:rsid w:val="006F4343"/>
    <w:rsid w:val="007123E6"/>
    <w:rsid w:val="00714990"/>
    <w:rsid w:val="00715778"/>
    <w:rsid w:val="00720574"/>
    <w:rsid w:val="00730D48"/>
    <w:rsid w:val="007615D3"/>
    <w:rsid w:val="00783C66"/>
    <w:rsid w:val="00784D3C"/>
    <w:rsid w:val="00795E9F"/>
    <w:rsid w:val="007B284F"/>
    <w:rsid w:val="007B31F9"/>
    <w:rsid w:val="007B32DC"/>
    <w:rsid w:val="007C7369"/>
    <w:rsid w:val="007C7BAD"/>
    <w:rsid w:val="007D45C5"/>
    <w:rsid w:val="007D5019"/>
    <w:rsid w:val="007D50B1"/>
    <w:rsid w:val="007D7918"/>
    <w:rsid w:val="007E09E7"/>
    <w:rsid w:val="007E12D3"/>
    <w:rsid w:val="007E31F5"/>
    <w:rsid w:val="007E33B3"/>
    <w:rsid w:val="007E59EB"/>
    <w:rsid w:val="007E5EAD"/>
    <w:rsid w:val="007F5CAF"/>
    <w:rsid w:val="0080056F"/>
    <w:rsid w:val="00801A50"/>
    <w:rsid w:val="00803FFD"/>
    <w:rsid w:val="008120B7"/>
    <w:rsid w:val="008219A6"/>
    <w:rsid w:val="00822644"/>
    <w:rsid w:val="008276E1"/>
    <w:rsid w:val="00827E77"/>
    <w:rsid w:val="008435A7"/>
    <w:rsid w:val="008504A8"/>
    <w:rsid w:val="00860C40"/>
    <w:rsid w:val="00861CC4"/>
    <w:rsid w:val="00863189"/>
    <w:rsid w:val="00863906"/>
    <w:rsid w:val="00866CAD"/>
    <w:rsid w:val="008777CC"/>
    <w:rsid w:val="008779A3"/>
    <w:rsid w:val="00882DD5"/>
    <w:rsid w:val="00884878"/>
    <w:rsid w:val="0089667C"/>
    <w:rsid w:val="008A2E47"/>
    <w:rsid w:val="008A5679"/>
    <w:rsid w:val="008A5791"/>
    <w:rsid w:val="008B2531"/>
    <w:rsid w:val="008B57D7"/>
    <w:rsid w:val="008B71BB"/>
    <w:rsid w:val="008B7228"/>
    <w:rsid w:val="008C6C95"/>
    <w:rsid w:val="008C7FB5"/>
    <w:rsid w:val="008D5445"/>
    <w:rsid w:val="00901200"/>
    <w:rsid w:val="00903C69"/>
    <w:rsid w:val="0091019E"/>
    <w:rsid w:val="009112B5"/>
    <w:rsid w:val="00930011"/>
    <w:rsid w:val="0093072C"/>
    <w:rsid w:val="00930A3F"/>
    <w:rsid w:val="009320B5"/>
    <w:rsid w:val="00935083"/>
    <w:rsid w:val="00935691"/>
    <w:rsid w:val="00935F32"/>
    <w:rsid w:val="0094251C"/>
    <w:rsid w:val="00950C1D"/>
    <w:rsid w:val="00950E52"/>
    <w:rsid w:val="009656D5"/>
    <w:rsid w:val="00972367"/>
    <w:rsid w:val="009759FC"/>
    <w:rsid w:val="00975C6A"/>
    <w:rsid w:val="009907F9"/>
    <w:rsid w:val="009B1320"/>
    <w:rsid w:val="009B61E7"/>
    <w:rsid w:val="009C5B9A"/>
    <w:rsid w:val="009D025B"/>
    <w:rsid w:val="009E02AE"/>
    <w:rsid w:val="00A054C0"/>
    <w:rsid w:val="00A15DB8"/>
    <w:rsid w:val="00A20E47"/>
    <w:rsid w:val="00A22B3D"/>
    <w:rsid w:val="00A2414A"/>
    <w:rsid w:val="00A255A2"/>
    <w:rsid w:val="00A25948"/>
    <w:rsid w:val="00A2664D"/>
    <w:rsid w:val="00A34863"/>
    <w:rsid w:val="00A41066"/>
    <w:rsid w:val="00A46F85"/>
    <w:rsid w:val="00A54EB2"/>
    <w:rsid w:val="00A60419"/>
    <w:rsid w:val="00A6665D"/>
    <w:rsid w:val="00A66FC4"/>
    <w:rsid w:val="00A7013B"/>
    <w:rsid w:val="00A725E4"/>
    <w:rsid w:val="00A74290"/>
    <w:rsid w:val="00A75BBB"/>
    <w:rsid w:val="00A80699"/>
    <w:rsid w:val="00A92DF6"/>
    <w:rsid w:val="00AA2006"/>
    <w:rsid w:val="00AA283B"/>
    <w:rsid w:val="00AA2E88"/>
    <w:rsid w:val="00AA5805"/>
    <w:rsid w:val="00AC0A2A"/>
    <w:rsid w:val="00AC1F31"/>
    <w:rsid w:val="00AC3FD6"/>
    <w:rsid w:val="00AD2431"/>
    <w:rsid w:val="00AD259C"/>
    <w:rsid w:val="00AD4323"/>
    <w:rsid w:val="00AE4529"/>
    <w:rsid w:val="00B06588"/>
    <w:rsid w:val="00B16078"/>
    <w:rsid w:val="00B271F2"/>
    <w:rsid w:val="00B30935"/>
    <w:rsid w:val="00B31274"/>
    <w:rsid w:val="00B33D20"/>
    <w:rsid w:val="00B34831"/>
    <w:rsid w:val="00B40959"/>
    <w:rsid w:val="00B425BC"/>
    <w:rsid w:val="00B457D6"/>
    <w:rsid w:val="00B5626D"/>
    <w:rsid w:val="00B669CA"/>
    <w:rsid w:val="00B71E3F"/>
    <w:rsid w:val="00B8201C"/>
    <w:rsid w:val="00B8519D"/>
    <w:rsid w:val="00B90C5F"/>
    <w:rsid w:val="00B93611"/>
    <w:rsid w:val="00BA0911"/>
    <w:rsid w:val="00BA236B"/>
    <w:rsid w:val="00BA5DB3"/>
    <w:rsid w:val="00BA6DC0"/>
    <w:rsid w:val="00BB1D52"/>
    <w:rsid w:val="00BB49CB"/>
    <w:rsid w:val="00BB4AAE"/>
    <w:rsid w:val="00BC127F"/>
    <w:rsid w:val="00BE501E"/>
    <w:rsid w:val="00BE5432"/>
    <w:rsid w:val="00BF1E8D"/>
    <w:rsid w:val="00BF35BB"/>
    <w:rsid w:val="00BF72F5"/>
    <w:rsid w:val="00C05098"/>
    <w:rsid w:val="00C0561F"/>
    <w:rsid w:val="00C069B4"/>
    <w:rsid w:val="00C12A3C"/>
    <w:rsid w:val="00C20157"/>
    <w:rsid w:val="00C20D8A"/>
    <w:rsid w:val="00C3372C"/>
    <w:rsid w:val="00C34FDA"/>
    <w:rsid w:val="00C47C30"/>
    <w:rsid w:val="00C505B6"/>
    <w:rsid w:val="00C53063"/>
    <w:rsid w:val="00C54A9B"/>
    <w:rsid w:val="00C57D8A"/>
    <w:rsid w:val="00C6024E"/>
    <w:rsid w:val="00C61AF8"/>
    <w:rsid w:val="00C63E58"/>
    <w:rsid w:val="00C711DD"/>
    <w:rsid w:val="00C71D22"/>
    <w:rsid w:val="00C74183"/>
    <w:rsid w:val="00C84C48"/>
    <w:rsid w:val="00C855DB"/>
    <w:rsid w:val="00C9213E"/>
    <w:rsid w:val="00CA04FD"/>
    <w:rsid w:val="00CA4639"/>
    <w:rsid w:val="00CA7413"/>
    <w:rsid w:val="00CA76A5"/>
    <w:rsid w:val="00CB6950"/>
    <w:rsid w:val="00CC0F9B"/>
    <w:rsid w:val="00CC4C23"/>
    <w:rsid w:val="00CD45D8"/>
    <w:rsid w:val="00CD4AD8"/>
    <w:rsid w:val="00CD6973"/>
    <w:rsid w:val="00CD69D2"/>
    <w:rsid w:val="00CE1F96"/>
    <w:rsid w:val="00CF181B"/>
    <w:rsid w:val="00D148B9"/>
    <w:rsid w:val="00D17EE8"/>
    <w:rsid w:val="00D229B9"/>
    <w:rsid w:val="00D4391A"/>
    <w:rsid w:val="00D447D8"/>
    <w:rsid w:val="00D52E6C"/>
    <w:rsid w:val="00D56452"/>
    <w:rsid w:val="00D60AA2"/>
    <w:rsid w:val="00D65886"/>
    <w:rsid w:val="00D67937"/>
    <w:rsid w:val="00D75C4D"/>
    <w:rsid w:val="00D84549"/>
    <w:rsid w:val="00D8607A"/>
    <w:rsid w:val="00D93F66"/>
    <w:rsid w:val="00D97C2D"/>
    <w:rsid w:val="00DA6AF3"/>
    <w:rsid w:val="00DB4248"/>
    <w:rsid w:val="00DB7C6F"/>
    <w:rsid w:val="00DC2D62"/>
    <w:rsid w:val="00DD02B7"/>
    <w:rsid w:val="00DD39BB"/>
    <w:rsid w:val="00DE5B05"/>
    <w:rsid w:val="00DF3E25"/>
    <w:rsid w:val="00E0026C"/>
    <w:rsid w:val="00E020ED"/>
    <w:rsid w:val="00E022D2"/>
    <w:rsid w:val="00E0569A"/>
    <w:rsid w:val="00E06D2E"/>
    <w:rsid w:val="00E10DA4"/>
    <w:rsid w:val="00E113FF"/>
    <w:rsid w:val="00E17F06"/>
    <w:rsid w:val="00E20C27"/>
    <w:rsid w:val="00E25EAD"/>
    <w:rsid w:val="00E4740C"/>
    <w:rsid w:val="00E54E54"/>
    <w:rsid w:val="00E55C0B"/>
    <w:rsid w:val="00E60B7C"/>
    <w:rsid w:val="00E61EC4"/>
    <w:rsid w:val="00E705E5"/>
    <w:rsid w:val="00E70EDB"/>
    <w:rsid w:val="00E7258E"/>
    <w:rsid w:val="00E749CB"/>
    <w:rsid w:val="00E751B9"/>
    <w:rsid w:val="00E7621C"/>
    <w:rsid w:val="00E81197"/>
    <w:rsid w:val="00E85B2A"/>
    <w:rsid w:val="00E87AFA"/>
    <w:rsid w:val="00E96336"/>
    <w:rsid w:val="00E97894"/>
    <w:rsid w:val="00EA7D4E"/>
    <w:rsid w:val="00EB0165"/>
    <w:rsid w:val="00EB5242"/>
    <w:rsid w:val="00EB5734"/>
    <w:rsid w:val="00EC2BD1"/>
    <w:rsid w:val="00ED0B46"/>
    <w:rsid w:val="00EE137E"/>
    <w:rsid w:val="00EE4945"/>
    <w:rsid w:val="00EE4D7D"/>
    <w:rsid w:val="00EF0429"/>
    <w:rsid w:val="00F03002"/>
    <w:rsid w:val="00F10102"/>
    <w:rsid w:val="00F15395"/>
    <w:rsid w:val="00F2019C"/>
    <w:rsid w:val="00F35393"/>
    <w:rsid w:val="00F4791D"/>
    <w:rsid w:val="00F51C41"/>
    <w:rsid w:val="00F531E2"/>
    <w:rsid w:val="00F5525B"/>
    <w:rsid w:val="00F571A0"/>
    <w:rsid w:val="00F60370"/>
    <w:rsid w:val="00F63CBC"/>
    <w:rsid w:val="00F75BF6"/>
    <w:rsid w:val="00F85747"/>
    <w:rsid w:val="00F90C97"/>
    <w:rsid w:val="00F961F0"/>
    <w:rsid w:val="00F964A7"/>
    <w:rsid w:val="00FA327A"/>
    <w:rsid w:val="00FA6CD6"/>
    <w:rsid w:val="00FE2FEF"/>
    <w:rsid w:val="00FF0AE1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FD3C40-2D89-4D2F-99D6-3C75FB8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5DB8"/>
  </w:style>
  <w:style w:type="paragraph" w:styleId="Heading1">
    <w:name w:val="heading 1"/>
    <w:basedOn w:val="Normal"/>
    <w:next w:val="Normal"/>
    <w:rsid w:val="00554E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54E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54E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54E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54E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54E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54E2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54E2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554E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C0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1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29C3"/>
    <w:pPr>
      <w:spacing w:line="240" w:lineRule="auto"/>
    </w:pPr>
    <w:rPr>
      <w:sz w:val="20"/>
      <w:szCs w:val="20"/>
      <w:lang w:eastAsia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9C3"/>
    <w:rPr>
      <w:sz w:val="20"/>
      <w:szCs w:val="20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4F"/>
  </w:style>
  <w:style w:type="paragraph" w:styleId="Footer">
    <w:name w:val="footer"/>
    <w:basedOn w:val="Normal"/>
    <w:link w:val="Foot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4F"/>
  </w:style>
  <w:style w:type="paragraph" w:styleId="BodyText">
    <w:name w:val="Body Text"/>
    <w:basedOn w:val="Normal"/>
    <w:link w:val="BodyTextChar"/>
    <w:uiPriority w:val="99"/>
    <w:qFormat/>
    <w:rsid w:val="006407C3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407C3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NoSpacing">
    <w:name w:val="No Spacing"/>
    <w:link w:val="NoSpacingChar"/>
    <w:uiPriority w:val="1"/>
    <w:qFormat/>
    <w:rsid w:val="006407C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407C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D02B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27A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D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DB"/>
    <w:rPr>
      <w:b/>
      <w:bCs/>
      <w:sz w:val="20"/>
      <w:szCs w:val="20"/>
      <w:lang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C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C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C0B"/>
    <w:rPr>
      <w:vertAlign w:val="superscript"/>
    </w:rPr>
  </w:style>
  <w:style w:type="character" w:customStyle="1" w:styleId="normalchar">
    <w:name w:val="normal__char"/>
    <w:basedOn w:val="DefaultParagraphFont"/>
    <w:rsid w:val="008779A3"/>
  </w:style>
  <w:style w:type="paragraph" w:customStyle="1" w:styleId="Paragrafi">
    <w:name w:val="Paragrafi"/>
    <w:link w:val="ParagrafiChar"/>
    <w:rsid w:val="00EF0429"/>
    <w:pPr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EF0429"/>
    <w:rPr>
      <w:rFonts w:ascii="CG Times" w:eastAsia="Times New Roman" w:hAnsi="CG 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0056F"/>
    <w:rPr>
      <w:color w:val="0000FF" w:themeColor="hyperlink"/>
      <w:u w:val="single"/>
    </w:rPr>
  </w:style>
  <w:style w:type="paragraph" w:customStyle="1" w:styleId="BazLigjPropozues">
    <w:name w:val="Baz_Ligj_Propozues"/>
    <w:rsid w:val="004078E0"/>
    <w:pPr>
      <w:keepNext/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customStyle="1" w:styleId="NeniTitull">
    <w:name w:val="Neni_Titull"/>
    <w:next w:val="Normal"/>
    <w:rsid w:val="00683A15"/>
    <w:pPr>
      <w:keepNext/>
      <w:widowControl w:val="0"/>
      <w:spacing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paragraph" w:customStyle="1" w:styleId="Hapesira7">
    <w:name w:val="Hapesira 7"/>
    <w:basedOn w:val="Paragrafi"/>
    <w:qFormat/>
    <w:rsid w:val="004B2844"/>
    <w:pPr>
      <w:ind w:firstLine="284"/>
    </w:pPr>
    <w:rPr>
      <w:rFonts w:ascii="Garamond" w:eastAsia="MS Mincho" w:hAnsi="Garamond" w:cs="CG Times"/>
      <w:sz w:val="14"/>
      <w:szCs w:val="24"/>
    </w:rPr>
  </w:style>
  <w:style w:type="paragraph" w:customStyle="1" w:styleId="NeniNr">
    <w:name w:val="Neni_Nr"/>
    <w:next w:val="Normal"/>
    <w:rsid w:val="004B2844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KapitulliTitull">
    <w:name w:val="Kapitulli_Titull"/>
    <w:rsid w:val="00541031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1855A9"/>
  </w:style>
  <w:style w:type="paragraph" w:customStyle="1" w:styleId="paragrafi0">
    <w:name w:val="paragrafi"/>
    <w:basedOn w:val="Normal"/>
    <w:rsid w:val="00625A22"/>
    <w:pPr>
      <w:spacing w:line="240" w:lineRule="auto"/>
      <w:ind w:firstLine="720"/>
      <w:jc w:val="both"/>
    </w:pPr>
    <w:rPr>
      <w:rFonts w:ascii="CG Times" w:eastAsiaTheme="minorHAnsi" w:hAnsi="CG Times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F229-5D6D-458C-92D2-35535C12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Greis Como</cp:lastModifiedBy>
  <cp:revision>3</cp:revision>
  <cp:lastPrinted>2020-07-21T17:23:00Z</cp:lastPrinted>
  <dcterms:created xsi:type="dcterms:W3CDTF">2023-03-07T09:49:00Z</dcterms:created>
  <dcterms:modified xsi:type="dcterms:W3CDTF">2023-03-23T08:11:00Z</dcterms:modified>
</cp:coreProperties>
</file>