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989" w:rsidRPr="00466159" w:rsidRDefault="00885989" w:rsidP="00885989">
      <w:pPr>
        <w:spacing w:line="240" w:lineRule="auto"/>
        <w:jc w:val="center"/>
        <w:rPr>
          <w:rFonts w:ascii="Times New Roman" w:hAnsi="Times New Roman"/>
          <w:b/>
          <w:sz w:val="28"/>
          <w:szCs w:val="28"/>
        </w:rPr>
      </w:pPr>
      <w:bookmarkStart w:id="0" w:name="_GoBack"/>
      <w:r w:rsidRPr="00466159">
        <w:rPr>
          <w:rFonts w:ascii="Times New Roman" w:hAnsi="Times New Roman"/>
          <w:b/>
          <w:sz w:val="28"/>
          <w:szCs w:val="28"/>
        </w:rPr>
        <w:t>R E L A C I O N</w:t>
      </w:r>
    </w:p>
    <w:bookmarkEnd w:id="0"/>
    <w:p w:rsidR="00885989" w:rsidRPr="00466159" w:rsidRDefault="00885989" w:rsidP="00885989">
      <w:pPr>
        <w:spacing w:line="240" w:lineRule="auto"/>
        <w:jc w:val="center"/>
        <w:rPr>
          <w:rFonts w:ascii="Times New Roman" w:hAnsi="Times New Roman"/>
          <w:b/>
          <w:sz w:val="28"/>
          <w:szCs w:val="28"/>
        </w:rPr>
      </w:pPr>
      <w:r w:rsidRPr="00466159">
        <w:rPr>
          <w:rFonts w:ascii="Times New Roman" w:hAnsi="Times New Roman"/>
          <w:b/>
          <w:sz w:val="28"/>
          <w:szCs w:val="28"/>
        </w:rPr>
        <w:t xml:space="preserve">PËR </w:t>
      </w:r>
    </w:p>
    <w:p w:rsidR="00885989" w:rsidRPr="00466159" w:rsidRDefault="00885989" w:rsidP="00885989">
      <w:pPr>
        <w:spacing w:line="240" w:lineRule="auto"/>
        <w:jc w:val="center"/>
        <w:rPr>
          <w:rFonts w:ascii="Times New Roman" w:hAnsi="Times New Roman"/>
          <w:b/>
          <w:sz w:val="28"/>
          <w:szCs w:val="28"/>
        </w:rPr>
      </w:pPr>
      <w:r w:rsidRPr="00466159">
        <w:rPr>
          <w:rFonts w:ascii="Times New Roman" w:hAnsi="Times New Roman"/>
          <w:b/>
          <w:sz w:val="28"/>
          <w:szCs w:val="28"/>
        </w:rPr>
        <w:t xml:space="preserve">PROJEKTLIGJIN </w:t>
      </w:r>
    </w:p>
    <w:p w:rsidR="00885989" w:rsidRPr="00466159" w:rsidRDefault="00885989" w:rsidP="00885989">
      <w:pPr>
        <w:spacing w:line="240" w:lineRule="auto"/>
        <w:jc w:val="center"/>
        <w:rPr>
          <w:rFonts w:ascii="Times New Roman" w:hAnsi="Times New Roman"/>
          <w:b/>
          <w:sz w:val="28"/>
          <w:szCs w:val="28"/>
        </w:rPr>
      </w:pPr>
      <w:r w:rsidRPr="00466159">
        <w:rPr>
          <w:rFonts w:ascii="Times New Roman" w:hAnsi="Times New Roman"/>
          <w:b/>
          <w:sz w:val="28"/>
          <w:szCs w:val="28"/>
        </w:rPr>
        <w:t xml:space="preserve">“PËR DISA SHTESA DHE </w:t>
      </w:r>
      <w:r w:rsidRPr="00466159">
        <w:rPr>
          <w:rFonts w:ascii="Times New Roman" w:hAnsi="Times New Roman"/>
          <w:b/>
          <w:sz w:val="28"/>
          <w:szCs w:val="28"/>
          <w:lang w:val="sq-AL"/>
        </w:rPr>
        <w:t xml:space="preserve">NDRYSHIME NË LIGJIN NR. </w:t>
      </w:r>
      <w:r w:rsidRPr="00466159">
        <w:rPr>
          <w:rFonts w:ascii="Times New Roman" w:hAnsi="Times New Roman"/>
          <w:b/>
          <w:bCs/>
          <w:sz w:val="28"/>
          <w:szCs w:val="28"/>
          <w:lang w:val="sq-AL"/>
        </w:rPr>
        <w:t xml:space="preserve">92/2014, </w:t>
      </w:r>
      <w:r w:rsidRPr="00466159">
        <w:rPr>
          <w:rFonts w:ascii="Times New Roman" w:hAnsi="Times New Roman"/>
          <w:b/>
          <w:sz w:val="28"/>
          <w:szCs w:val="28"/>
          <w:lang w:val="sq-AL"/>
        </w:rPr>
        <w:t>‘PËR TATIMIN MBI VLERËN E SHTUAR NË REPUBLIKËN E SHQIPËRISË’, I NDRYSHUAR”</w:t>
      </w:r>
    </w:p>
    <w:p w:rsidR="00885989" w:rsidRPr="00466159" w:rsidRDefault="00885989" w:rsidP="00885989">
      <w:pPr>
        <w:spacing w:line="240" w:lineRule="auto"/>
        <w:jc w:val="both"/>
        <w:rPr>
          <w:rFonts w:ascii="Times New Roman" w:hAnsi="Times New Roman"/>
          <w:b/>
          <w:sz w:val="28"/>
          <w:szCs w:val="28"/>
          <w:lang w:val="sq-AL"/>
        </w:rPr>
      </w:pPr>
    </w:p>
    <w:p w:rsidR="00885989" w:rsidRPr="00466159" w:rsidRDefault="00885989" w:rsidP="00885989">
      <w:pPr>
        <w:numPr>
          <w:ilvl w:val="0"/>
          <w:numId w:val="1"/>
        </w:numPr>
        <w:spacing w:after="0" w:line="240" w:lineRule="auto"/>
        <w:ind w:left="720"/>
        <w:jc w:val="both"/>
        <w:rPr>
          <w:rFonts w:ascii="Times New Roman" w:hAnsi="Times New Roman"/>
          <w:b/>
          <w:sz w:val="28"/>
          <w:szCs w:val="28"/>
          <w:lang w:val="sq-AL"/>
        </w:rPr>
      </w:pPr>
      <w:r w:rsidRPr="00466159">
        <w:rPr>
          <w:rFonts w:ascii="Times New Roman" w:hAnsi="Times New Roman"/>
          <w:b/>
          <w:sz w:val="28"/>
          <w:szCs w:val="28"/>
          <w:lang w:val="sq-AL"/>
        </w:rPr>
        <w:t>QËLLIMI I PROJEKTLIGJIT DHE OBJEKTIVAT QË SYNOHEN TË ARRIHEN</w:t>
      </w:r>
    </w:p>
    <w:p w:rsidR="00885989" w:rsidRPr="00466159" w:rsidRDefault="00885989" w:rsidP="00885989">
      <w:pPr>
        <w:pStyle w:val="Default"/>
        <w:jc w:val="both"/>
        <w:rPr>
          <w:sz w:val="28"/>
          <w:szCs w:val="28"/>
          <w:lang w:val="sq-AL"/>
        </w:rPr>
      </w:pPr>
    </w:p>
    <w:p w:rsidR="00885989" w:rsidRPr="00466159" w:rsidRDefault="00885989" w:rsidP="00885989">
      <w:pPr>
        <w:pStyle w:val="Default"/>
        <w:jc w:val="both"/>
        <w:rPr>
          <w:sz w:val="28"/>
          <w:szCs w:val="28"/>
          <w:lang w:val="sq-AL"/>
        </w:rPr>
      </w:pPr>
      <w:r w:rsidRPr="00466159">
        <w:rPr>
          <w:sz w:val="28"/>
          <w:szCs w:val="28"/>
          <w:lang w:val="sq-AL"/>
        </w:rPr>
        <w:t xml:space="preserve">Përgatitja e projektligjit “Për disa shtesa dhe ndryshime në ligjin nr. </w:t>
      </w:r>
      <w:r w:rsidRPr="00466159">
        <w:rPr>
          <w:bCs/>
          <w:sz w:val="28"/>
          <w:szCs w:val="28"/>
          <w:lang w:val="sq-AL"/>
        </w:rPr>
        <w:t xml:space="preserve">92/2014, </w:t>
      </w:r>
      <w:r w:rsidRPr="00466159">
        <w:rPr>
          <w:sz w:val="28"/>
          <w:szCs w:val="28"/>
          <w:lang w:val="sq-AL"/>
        </w:rPr>
        <w:t>‘Për tatimin mbi vlerën e shtuar në Republikën e Shqipërisë’, i ndryshuar”, është mbështetur në nenet 78, 83, pika 1 dhe 155, të Kushtetutës së Republikës së Shqipërisë dhe propozohet në kuadër të paketës fiskale 2023.</w:t>
      </w:r>
    </w:p>
    <w:p w:rsidR="002A39BF" w:rsidRPr="00466159" w:rsidRDefault="002A39BF" w:rsidP="00885989">
      <w:pPr>
        <w:pStyle w:val="Default"/>
        <w:jc w:val="both"/>
        <w:rPr>
          <w:sz w:val="28"/>
          <w:szCs w:val="28"/>
          <w:lang w:val="sq-AL"/>
        </w:rPr>
      </w:pPr>
    </w:p>
    <w:p w:rsidR="00885989" w:rsidRPr="00466159" w:rsidRDefault="00885989" w:rsidP="00885989">
      <w:pPr>
        <w:autoSpaceDE w:val="0"/>
        <w:autoSpaceDN w:val="0"/>
        <w:spacing w:after="0" w:line="240" w:lineRule="auto"/>
        <w:jc w:val="both"/>
        <w:rPr>
          <w:rFonts w:ascii="Times New Roman" w:hAnsi="Times New Roman"/>
          <w:sz w:val="28"/>
          <w:szCs w:val="28"/>
          <w:lang w:val="sq-AL" w:eastAsia="sq-AL"/>
        </w:rPr>
      </w:pPr>
      <w:r w:rsidRPr="00466159">
        <w:rPr>
          <w:rFonts w:ascii="Times New Roman" w:hAnsi="Times New Roman"/>
          <w:sz w:val="28"/>
          <w:szCs w:val="28"/>
          <w:lang w:val="sq-AL" w:eastAsia="sq-AL"/>
        </w:rPr>
        <w:t xml:space="preserve">Qëllimi i ndryshimeve të prezantuara në këtë projekligj lidhet me përmirësimin e politikave në fushën e </w:t>
      </w:r>
      <w:r w:rsidR="00753625" w:rsidRPr="00466159">
        <w:rPr>
          <w:rFonts w:ascii="Times New Roman" w:hAnsi="Times New Roman"/>
          <w:sz w:val="28"/>
          <w:szCs w:val="28"/>
          <w:lang w:val="sq-AL" w:eastAsia="sq-AL"/>
        </w:rPr>
        <w:t>Tatimit mbi V</w:t>
      </w:r>
      <w:r w:rsidR="002A39BF" w:rsidRPr="00466159">
        <w:rPr>
          <w:rFonts w:ascii="Times New Roman" w:hAnsi="Times New Roman"/>
          <w:sz w:val="28"/>
          <w:szCs w:val="28"/>
          <w:lang w:val="sq-AL" w:eastAsia="sq-AL"/>
        </w:rPr>
        <w:t>lerën e Shtuar</w:t>
      </w:r>
      <w:r w:rsidR="002163D9" w:rsidRPr="00466159">
        <w:rPr>
          <w:rFonts w:ascii="Times New Roman" w:hAnsi="Times New Roman"/>
          <w:sz w:val="28"/>
          <w:szCs w:val="28"/>
          <w:lang w:val="sq-AL" w:eastAsia="sq-AL"/>
        </w:rPr>
        <w:t xml:space="preserve"> </w:t>
      </w:r>
      <w:r w:rsidRPr="00466159">
        <w:rPr>
          <w:rFonts w:ascii="Times New Roman" w:hAnsi="Times New Roman"/>
          <w:sz w:val="28"/>
          <w:szCs w:val="28"/>
          <w:lang w:val="sq-AL" w:eastAsia="sq-AL"/>
        </w:rPr>
        <w:t>dhe angazhimeve që kemi në kuadrin e përafrimit gradual të legjislacionit fiskal me Direktivat e Bashkimit Europian në fushën e tatimeve.</w:t>
      </w:r>
    </w:p>
    <w:p w:rsidR="001F7137" w:rsidRPr="00466159" w:rsidRDefault="001F7137" w:rsidP="001F7137">
      <w:pPr>
        <w:autoSpaceDE w:val="0"/>
        <w:autoSpaceDN w:val="0"/>
        <w:spacing w:after="0" w:line="240" w:lineRule="auto"/>
        <w:jc w:val="both"/>
        <w:rPr>
          <w:rFonts w:ascii="Times New Roman" w:hAnsi="Times New Roman"/>
          <w:color w:val="000000"/>
          <w:sz w:val="28"/>
          <w:szCs w:val="28"/>
          <w:lang w:val="sq-AL" w:eastAsia="sq-AL"/>
        </w:rPr>
      </w:pPr>
    </w:p>
    <w:p w:rsidR="005B0CD0" w:rsidRPr="00AC48E3" w:rsidRDefault="00885989" w:rsidP="001F7137">
      <w:pPr>
        <w:autoSpaceDE w:val="0"/>
        <w:autoSpaceDN w:val="0"/>
        <w:spacing w:after="0" w:line="240" w:lineRule="auto"/>
        <w:jc w:val="both"/>
        <w:rPr>
          <w:rFonts w:ascii="Times New Roman" w:hAnsi="Times New Roman"/>
          <w:sz w:val="28"/>
          <w:szCs w:val="28"/>
          <w:lang w:val="sq-AL"/>
        </w:rPr>
      </w:pPr>
      <w:r w:rsidRPr="00466159">
        <w:rPr>
          <w:rFonts w:ascii="Times New Roman" w:hAnsi="Times New Roman"/>
          <w:sz w:val="28"/>
          <w:szCs w:val="28"/>
        </w:rPr>
        <w:t xml:space="preserve">Në këtë kuadër, </w:t>
      </w:r>
      <w:r w:rsidRPr="00466159">
        <w:rPr>
          <w:rFonts w:ascii="Times New Roman" w:hAnsi="Times New Roman"/>
          <w:sz w:val="28"/>
          <w:szCs w:val="28"/>
          <w:lang w:val="sq-AL"/>
        </w:rPr>
        <w:t xml:space="preserve">lind domosdoshmëria e propozimit të projektligjit “Për një shtesë dhe disa ndryshime në ligjin nr. </w:t>
      </w:r>
      <w:r w:rsidRPr="00466159">
        <w:rPr>
          <w:rFonts w:ascii="Times New Roman" w:hAnsi="Times New Roman"/>
          <w:bCs/>
          <w:sz w:val="28"/>
          <w:szCs w:val="28"/>
          <w:lang w:val="sq-AL"/>
        </w:rPr>
        <w:t xml:space="preserve">92/2014, </w:t>
      </w:r>
      <w:r w:rsidRPr="00466159">
        <w:rPr>
          <w:rFonts w:ascii="Times New Roman" w:hAnsi="Times New Roman"/>
          <w:sz w:val="28"/>
          <w:szCs w:val="28"/>
          <w:lang w:val="sq-AL"/>
        </w:rPr>
        <w:t xml:space="preserve">‘Për tatimin mbi vlerën e shtuar në Republikën e Shqipërisë’, i ndryshuar”, me synimin e përmirësimit të kuadrit </w:t>
      </w:r>
      <w:r w:rsidRPr="00AC48E3">
        <w:rPr>
          <w:rFonts w:ascii="Times New Roman" w:hAnsi="Times New Roman"/>
          <w:sz w:val="28"/>
          <w:szCs w:val="28"/>
          <w:lang w:val="sq-AL"/>
        </w:rPr>
        <w:t>ligjor ekzistues në fushën e Tatimit mbi Vlerën e Shtuar (TVSH), sa i takon</w:t>
      </w:r>
      <w:r w:rsidR="005B0CD0" w:rsidRPr="00AC48E3">
        <w:rPr>
          <w:rFonts w:ascii="Times New Roman" w:hAnsi="Times New Roman"/>
          <w:sz w:val="28"/>
          <w:szCs w:val="28"/>
          <w:lang w:val="sq-AL"/>
        </w:rPr>
        <w:t>:</w:t>
      </w:r>
    </w:p>
    <w:p w:rsidR="00D47328" w:rsidRPr="00AC48E3" w:rsidRDefault="00CA7C39" w:rsidP="00D47328">
      <w:pPr>
        <w:pStyle w:val="ListParagraph"/>
        <w:numPr>
          <w:ilvl w:val="0"/>
          <w:numId w:val="6"/>
        </w:numPr>
        <w:autoSpaceDE w:val="0"/>
        <w:autoSpaceDN w:val="0"/>
        <w:spacing w:after="0" w:line="240" w:lineRule="auto"/>
        <w:jc w:val="both"/>
        <w:rPr>
          <w:rFonts w:ascii="Times New Roman" w:hAnsi="Times New Roman"/>
          <w:sz w:val="28"/>
          <w:szCs w:val="28"/>
          <w:lang w:val="sq-AL"/>
        </w:rPr>
      </w:pPr>
      <w:r>
        <w:rPr>
          <w:rFonts w:ascii="Times New Roman" w:hAnsi="Times New Roman"/>
          <w:sz w:val="28"/>
          <w:szCs w:val="28"/>
          <w:lang w:val="sq-AL"/>
        </w:rPr>
        <w:t>Artikujve</w:t>
      </w:r>
      <w:r w:rsidR="00916102">
        <w:rPr>
          <w:rFonts w:ascii="Times New Roman" w:hAnsi="Times New Roman"/>
          <w:sz w:val="28"/>
          <w:szCs w:val="28"/>
          <w:lang w:val="sq-AL"/>
        </w:rPr>
        <w:t xml:space="preserve"> që</w:t>
      </w:r>
      <w:r w:rsidR="00D47328" w:rsidRPr="00AC48E3">
        <w:rPr>
          <w:rFonts w:ascii="Times New Roman" w:hAnsi="Times New Roman"/>
          <w:sz w:val="28"/>
          <w:szCs w:val="28"/>
          <w:lang w:val="sq-AL"/>
        </w:rPr>
        <w:t xml:space="preserve"> përfshi</w:t>
      </w:r>
      <w:r w:rsidR="00916102">
        <w:rPr>
          <w:rFonts w:ascii="Times New Roman" w:hAnsi="Times New Roman"/>
          <w:sz w:val="28"/>
          <w:szCs w:val="28"/>
          <w:lang w:val="sq-AL"/>
        </w:rPr>
        <w:t>hen</w:t>
      </w:r>
      <w:r w:rsidR="00D47328" w:rsidRPr="00AC48E3">
        <w:rPr>
          <w:rFonts w:ascii="Times New Roman" w:hAnsi="Times New Roman"/>
          <w:sz w:val="28"/>
          <w:szCs w:val="28"/>
          <w:lang w:val="sq-AL"/>
        </w:rPr>
        <w:t xml:space="preserve"> në kreun 4401 të Nomenklaturës së Kombinuar të Mallrave,</w:t>
      </w:r>
      <w:r w:rsidR="00AC48E3" w:rsidRPr="00AC48E3">
        <w:rPr>
          <w:rFonts w:ascii="Times New Roman" w:hAnsi="Times New Roman"/>
          <w:sz w:val="28"/>
          <w:szCs w:val="28"/>
          <w:lang w:val="sq-AL"/>
        </w:rPr>
        <w:t xml:space="preserve"> me efekt deri në 31 dhjetor 2023, kjo </w:t>
      </w:r>
      <w:r w:rsidR="00D47328" w:rsidRPr="00AC48E3">
        <w:rPr>
          <w:rFonts w:ascii="Times New Roman" w:hAnsi="Times New Roman"/>
          <w:sz w:val="28"/>
          <w:szCs w:val="28"/>
          <w:lang w:val="sq-AL"/>
        </w:rPr>
        <w:t>në kuadër të krizës energjitike;</w:t>
      </w:r>
    </w:p>
    <w:p w:rsidR="005B0CD0" w:rsidRPr="00466159" w:rsidRDefault="005B0CD0" w:rsidP="005B0CD0">
      <w:pPr>
        <w:pStyle w:val="ListParagraph"/>
        <w:numPr>
          <w:ilvl w:val="0"/>
          <w:numId w:val="6"/>
        </w:numPr>
        <w:autoSpaceDE w:val="0"/>
        <w:autoSpaceDN w:val="0"/>
        <w:spacing w:after="0" w:line="240" w:lineRule="auto"/>
        <w:jc w:val="both"/>
        <w:rPr>
          <w:rFonts w:ascii="Times New Roman" w:hAnsi="Times New Roman"/>
          <w:sz w:val="28"/>
          <w:szCs w:val="28"/>
          <w:lang w:val="sq-AL"/>
        </w:rPr>
      </w:pPr>
      <w:r w:rsidRPr="00466159">
        <w:rPr>
          <w:rFonts w:ascii="Times New Roman" w:hAnsi="Times New Roman"/>
          <w:sz w:val="28"/>
          <w:szCs w:val="28"/>
          <w:lang w:val="sq-AL"/>
        </w:rPr>
        <w:t>F</w:t>
      </w:r>
      <w:r w:rsidR="00885989" w:rsidRPr="00466159">
        <w:rPr>
          <w:rFonts w:ascii="Times New Roman" w:hAnsi="Times New Roman"/>
          <w:sz w:val="28"/>
          <w:szCs w:val="28"/>
          <w:lang w:val="sq-AL"/>
        </w:rPr>
        <w:t>onde</w:t>
      </w:r>
      <w:r w:rsidRPr="00466159">
        <w:rPr>
          <w:rFonts w:ascii="Times New Roman" w:hAnsi="Times New Roman"/>
          <w:sz w:val="28"/>
          <w:szCs w:val="28"/>
          <w:lang w:val="sq-AL"/>
        </w:rPr>
        <w:t>ve</w:t>
      </w:r>
      <w:r w:rsidR="00885989" w:rsidRPr="00466159">
        <w:rPr>
          <w:rFonts w:ascii="Times New Roman" w:hAnsi="Times New Roman"/>
          <w:sz w:val="28"/>
          <w:szCs w:val="28"/>
          <w:lang w:val="sq-AL"/>
        </w:rPr>
        <w:t xml:space="preserve"> IPA</w:t>
      </w:r>
      <w:r w:rsidRPr="00466159">
        <w:rPr>
          <w:rFonts w:ascii="Times New Roman" w:hAnsi="Times New Roman"/>
          <w:sz w:val="28"/>
          <w:szCs w:val="28"/>
          <w:lang w:val="sq-AL"/>
        </w:rPr>
        <w:t xml:space="preserve">, si një nga </w:t>
      </w:r>
      <w:r w:rsidR="00885989" w:rsidRPr="00466159">
        <w:rPr>
          <w:rFonts w:ascii="Times New Roman" w:hAnsi="Times New Roman"/>
          <w:sz w:val="28"/>
          <w:szCs w:val="28"/>
        </w:rPr>
        <w:t>nga incentivat më frytdhënëse të përdorura nga Bashkimi Europian për promovimin e vlerave dhe nxitjen e reformave në vendet që synojnë anëtarësimin</w:t>
      </w:r>
      <w:r w:rsidR="002E734A" w:rsidRPr="00466159">
        <w:rPr>
          <w:rFonts w:ascii="Times New Roman" w:hAnsi="Times New Roman"/>
          <w:sz w:val="28"/>
          <w:szCs w:val="28"/>
          <w:lang w:val="sq-AL"/>
        </w:rPr>
        <w:t>;</w:t>
      </w:r>
    </w:p>
    <w:p w:rsidR="001F7137" w:rsidRPr="00466159" w:rsidRDefault="005B0CD0" w:rsidP="00676199">
      <w:pPr>
        <w:pStyle w:val="ListParagraph"/>
        <w:numPr>
          <w:ilvl w:val="0"/>
          <w:numId w:val="6"/>
        </w:numPr>
        <w:autoSpaceDE w:val="0"/>
        <w:autoSpaceDN w:val="0"/>
        <w:spacing w:after="0" w:line="240" w:lineRule="auto"/>
        <w:jc w:val="both"/>
        <w:rPr>
          <w:rFonts w:ascii="Times New Roman" w:hAnsi="Times New Roman"/>
          <w:color w:val="000000"/>
          <w:sz w:val="28"/>
          <w:szCs w:val="28"/>
          <w:lang w:val="sq-AL" w:eastAsia="sq-AL"/>
        </w:rPr>
      </w:pPr>
      <w:r w:rsidRPr="00466159">
        <w:rPr>
          <w:rFonts w:ascii="Times New Roman" w:hAnsi="Times New Roman"/>
          <w:sz w:val="28"/>
          <w:szCs w:val="28"/>
          <w:lang w:val="sq-AL"/>
        </w:rPr>
        <w:t>Tregtimit të Energjisë Elektr</w:t>
      </w:r>
      <w:r w:rsidR="00753625" w:rsidRPr="00466159">
        <w:rPr>
          <w:rFonts w:ascii="Times New Roman" w:hAnsi="Times New Roman"/>
          <w:sz w:val="28"/>
          <w:szCs w:val="28"/>
          <w:lang w:val="sq-AL"/>
        </w:rPr>
        <w:t>i</w:t>
      </w:r>
      <w:r w:rsidRPr="00466159">
        <w:rPr>
          <w:rFonts w:ascii="Times New Roman" w:hAnsi="Times New Roman"/>
          <w:sz w:val="28"/>
          <w:szCs w:val="28"/>
          <w:lang w:val="sq-AL"/>
        </w:rPr>
        <w:t xml:space="preserve">ke përmes Bursës Shqiptare të Energjisë, në kushtet kur vendi po përballet me një krizë të thelluar </w:t>
      </w:r>
      <w:r w:rsidR="008E7639" w:rsidRPr="00466159">
        <w:rPr>
          <w:rFonts w:ascii="Times New Roman" w:hAnsi="Times New Roman"/>
          <w:sz w:val="28"/>
          <w:szCs w:val="28"/>
          <w:lang w:val="sq-AL"/>
        </w:rPr>
        <w:t>për sigurimin e</w:t>
      </w:r>
      <w:r w:rsidRPr="00466159">
        <w:rPr>
          <w:rFonts w:ascii="Times New Roman" w:hAnsi="Times New Roman"/>
          <w:sz w:val="28"/>
          <w:szCs w:val="28"/>
          <w:lang w:val="sq-AL"/>
        </w:rPr>
        <w:t xml:space="preserve"> saj, duke</w:t>
      </w:r>
      <w:r w:rsidRPr="00466159">
        <w:rPr>
          <w:rFonts w:ascii="Times New Roman" w:eastAsia="Arial" w:hAnsi="Times New Roman"/>
          <w:spacing w:val="-1"/>
          <w:sz w:val="28"/>
          <w:szCs w:val="28"/>
        </w:rPr>
        <w:t xml:space="preserve"> garantuar tregtimin </w:t>
      </w:r>
      <w:r w:rsidR="002E734A" w:rsidRPr="00466159">
        <w:rPr>
          <w:rFonts w:ascii="Times New Roman" w:eastAsia="Arial" w:hAnsi="Times New Roman"/>
          <w:spacing w:val="-1"/>
          <w:sz w:val="28"/>
          <w:szCs w:val="28"/>
        </w:rPr>
        <w:t>në një treg të organizuar.</w:t>
      </w:r>
    </w:p>
    <w:p w:rsidR="002E734A" w:rsidRPr="00466159" w:rsidRDefault="002E734A" w:rsidP="002E734A">
      <w:pPr>
        <w:pStyle w:val="ListParagraph"/>
        <w:autoSpaceDE w:val="0"/>
        <w:autoSpaceDN w:val="0"/>
        <w:spacing w:after="0" w:line="240" w:lineRule="auto"/>
        <w:jc w:val="both"/>
        <w:rPr>
          <w:rFonts w:ascii="Times New Roman" w:hAnsi="Times New Roman"/>
          <w:color w:val="000000"/>
          <w:sz w:val="28"/>
          <w:szCs w:val="28"/>
          <w:lang w:val="sq-AL" w:eastAsia="sq-AL"/>
        </w:rPr>
      </w:pPr>
    </w:p>
    <w:p w:rsidR="00885989" w:rsidRDefault="00753625" w:rsidP="00885989">
      <w:pPr>
        <w:pStyle w:val="Default"/>
        <w:jc w:val="both"/>
        <w:rPr>
          <w:sz w:val="28"/>
          <w:szCs w:val="28"/>
          <w:lang w:val="sq-AL"/>
        </w:rPr>
      </w:pPr>
      <w:r w:rsidRPr="00466159">
        <w:rPr>
          <w:sz w:val="28"/>
          <w:szCs w:val="28"/>
        </w:rPr>
        <w:t>Më konkretisht, k</w:t>
      </w:r>
      <w:r w:rsidR="00885989" w:rsidRPr="00466159">
        <w:rPr>
          <w:sz w:val="28"/>
          <w:szCs w:val="28"/>
        </w:rPr>
        <w:t xml:space="preserve">y projektligj </w:t>
      </w:r>
      <w:r w:rsidR="00885989" w:rsidRPr="00466159">
        <w:rPr>
          <w:sz w:val="28"/>
          <w:szCs w:val="28"/>
          <w:lang w:val="sq-AL"/>
        </w:rPr>
        <w:t>propozon politikën fiskale që konsiston në:</w:t>
      </w:r>
    </w:p>
    <w:p w:rsidR="00D47328" w:rsidRDefault="00D47328" w:rsidP="00885989">
      <w:pPr>
        <w:pStyle w:val="Default"/>
        <w:jc w:val="both"/>
        <w:rPr>
          <w:sz w:val="28"/>
          <w:szCs w:val="28"/>
          <w:lang w:val="sq-AL"/>
        </w:rPr>
      </w:pPr>
    </w:p>
    <w:p w:rsidR="00885989" w:rsidRPr="001729EA" w:rsidRDefault="00D47328" w:rsidP="00885989">
      <w:pPr>
        <w:pStyle w:val="Default"/>
        <w:numPr>
          <w:ilvl w:val="0"/>
          <w:numId w:val="8"/>
        </w:numPr>
        <w:ind w:left="284" w:hanging="284"/>
        <w:jc w:val="both"/>
        <w:rPr>
          <w:sz w:val="28"/>
          <w:szCs w:val="28"/>
          <w:lang w:val="sq-AL"/>
        </w:rPr>
      </w:pPr>
      <w:r w:rsidRPr="00AC48E3">
        <w:rPr>
          <w:sz w:val="28"/>
          <w:szCs w:val="28"/>
          <w:lang w:val="sq-AL"/>
        </w:rPr>
        <w:lastRenderedPageBreak/>
        <w:t xml:space="preserve">Trajtimin </w:t>
      </w:r>
      <w:r w:rsidR="008C1B00">
        <w:rPr>
          <w:sz w:val="28"/>
          <w:szCs w:val="28"/>
          <w:lang w:val="sq-AL"/>
        </w:rPr>
        <w:t xml:space="preserve">i </w:t>
      </w:r>
      <w:r w:rsidRPr="00AC48E3">
        <w:rPr>
          <w:sz w:val="28"/>
          <w:szCs w:val="28"/>
          <w:lang w:val="sq-AL"/>
        </w:rPr>
        <w:t xml:space="preserve">importimit/furnizimit brenda vendit </w:t>
      </w:r>
      <w:r w:rsidR="00916102">
        <w:rPr>
          <w:sz w:val="28"/>
          <w:szCs w:val="28"/>
          <w:lang w:val="sq-AL"/>
        </w:rPr>
        <w:t xml:space="preserve">i artikujve </w:t>
      </w:r>
      <w:r w:rsidRPr="00AC48E3">
        <w:rPr>
          <w:sz w:val="28"/>
          <w:szCs w:val="28"/>
          <w:lang w:val="sq-AL"/>
        </w:rPr>
        <w:t>të përfshira në kreun 4401 të Nomenklatur</w:t>
      </w:r>
      <w:r w:rsidR="00AC48E3" w:rsidRPr="00AC48E3">
        <w:rPr>
          <w:sz w:val="28"/>
          <w:szCs w:val="28"/>
          <w:lang w:val="sq-AL"/>
        </w:rPr>
        <w:t>ë</w:t>
      </w:r>
      <w:r w:rsidRPr="00AC48E3">
        <w:rPr>
          <w:sz w:val="28"/>
          <w:szCs w:val="28"/>
          <w:lang w:val="sq-AL"/>
        </w:rPr>
        <w:t>s së Kombinuar të Mallrave</w:t>
      </w:r>
      <w:r w:rsidR="00AC48E3">
        <w:rPr>
          <w:sz w:val="28"/>
          <w:szCs w:val="28"/>
          <w:lang w:val="sq-AL"/>
        </w:rPr>
        <w:t>,</w:t>
      </w:r>
      <w:r w:rsidR="00AC48E3" w:rsidRPr="00AC48E3">
        <w:rPr>
          <w:sz w:val="28"/>
          <w:szCs w:val="28"/>
          <w:lang w:val="sq-AL"/>
        </w:rPr>
        <w:t xml:space="preserve"> me efekt deri në 31 dhjetor 2023</w:t>
      </w:r>
      <w:r w:rsidR="008C1B00">
        <w:rPr>
          <w:sz w:val="28"/>
          <w:szCs w:val="28"/>
          <w:lang w:val="sq-AL"/>
        </w:rPr>
        <w:t xml:space="preserve">, </w:t>
      </w:r>
      <w:r w:rsidR="008C1B00" w:rsidRPr="00AC48E3">
        <w:rPr>
          <w:sz w:val="28"/>
          <w:szCs w:val="28"/>
          <w:lang w:val="sq-AL"/>
        </w:rPr>
        <w:t>si furnizi</w:t>
      </w:r>
      <w:r w:rsidR="008C1B00">
        <w:rPr>
          <w:sz w:val="28"/>
          <w:szCs w:val="28"/>
          <w:lang w:val="sq-AL"/>
        </w:rPr>
        <w:t>me të përjashtuara nga TVSH-ja;</w:t>
      </w:r>
    </w:p>
    <w:p w:rsidR="00885989" w:rsidRPr="00466159" w:rsidRDefault="00885989" w:rsidP="00885989">
      <w:pPr>
        <w:pStyle w:val="Default"/>
        <w:numPr>
          <w:ilvl w:val="0"/>
          <w:numId w:val="2"/>
        </w:numPr>
        <w:ind w:left="284" w:hanging="284"/>
        <w:jc w:val="both"/>
        <w:rPr>
          <w:sz w:val="28"/>
          <w:szCs w:val="28"/>
          <w:lang w:val="sq-AL"/>
        </w:rPr>
      </w:pPr>
      <w:r w:rsidRPr="00466159">
        <w:rPr>
          <w:sz w:val="28"/>
          <w:szCs w:val="28"/>
          <w:lang w:val="sq-AL"/>
        </w:rPr>
        <w:t xml:space="preserve">Trajtimin e </w:t>
      </w:r>
      <w:r w:rsidRPr="00466159">
        <w:rPr>
          <w:sz w:val="28"/>
          <w:szCs w:val="28"/>
        </w:rPr>
        <w:t xml:space="preserve">furnizimeve të mallrave/shërbimeve, të destinuara për realizimin e projekteve të </w:t>
      </w:r>
      <w:r w:rsidRPr="00466159">
        <w:rPr>
          <w:rStyle w:val="jlqj4b"/>
          <w:sz w:val="28"/>
          <w:szCs w:val="28"/>
        </w:rPr>
        <w:t xml:space="preserve">financuara </w:t>
      </w:r>
      <w:r w:rsidR="008E7639" w:rsidRPr="00466159">
        <w:rPr>
          <w:rStyle w:val="jlqj4b"/>
          <w:sz w:val="28"/>
          <w:szCs w:val="28"/>
        </w:rPr>
        <w:t>me fonde të marra në bazë të një marrëveshje donacioni/granti</w:t>
      </w:r>
      <w:r w:rsidR="008E7639" w:rsidRPr="00466159">
        <w:rPr>
          <w:sz w:val="28"/>
          <w:szCs w:val="28"/>
        </w:rPr>
        <w:t xml:space="preserve">, </w:t>
      </w:r>
      <w:r w:rsidR="008E7639" w:rsidRPr="00466159">
        <w:rPr>
          <w:rStyle w:val="jlqj4b"/>
          <w:sz w:val="28"/>
          <w:szCs w:val="28"/>
        </w:rPr>
        <w:t>të lidhur n</w:t>
      </w:r>
      <w:r w:rsidR="002E734A" w:rsidRPr="00466159">
        <w:rPr>
          <w:rStyle w:val="jlqj4b"/>
          <w:sz w:val="28"/>
          <w:szCs w:val="28"/>
        </w:rPr>
        <w:t>dërmjet Këshillit të Ministrave</w:t>
      </w:r>
      <w:r w:rsidR="008E7639" w:rsidRPr="00466159">
        <w:rPr>
          <w:rStyle w:val="jlqj4b"/>
          <w:sz w:val="28"/>
          <w:szCs w:val="28"/>
        </w:rPr>
        <w:t>/Republikës së Shqipërisë</w:t>
      </w:r>
      <w:r w:rsidR="008E7639" w:rsidRPr="00466159">
        <w:rPr>
          <w:sz w:val="28"/>
          <w:szCs w:val="28"/>
        </w:rPr>
        <w:t xml:space="preserve"> dhe donatorëve të huaj</w:t>
      </w:r>
      <w:r w:rsidRPr="00466159">
        <w:rPr>
          <w:sz w:val="28"/>
          <w:szCs w:val="28"/>
          <w:lang w:val="sq-AL"/>
        </w:rPr>
        <w:t xml:space="preserve">, </w:t>
      </w:r>
      <w:r w:rsidRPr="00466159">
        <w:rPr>
          <w:sz w:val="28"/>
          <w:szCs w:val="28"/>
        </w:rPr>
        <w:t>si furniz</w:t>
      </w:r>
      <w:r w:rsidR="00753625" w:rsidRPr="00466159">
        <w:rPr>
          <w:sz w:val="28"/>
          <w:szCs w:val="28"/>
        </w:rPr>
        <w:t>ime të përngjashme me eksportet.</w:t>
      </w:r>
      <w:r w:rsidRPr="00466159">
        <w:rPr>
          <w:sz w:val="28"/>
          <w:szCs w:val="28"/>
        </w:rPr>
        <w:t xml:space="preserve"> </w:t>
      </w:r>
    </w:p>
    <w:p w:rsidR="00885989" w:rsidRPr="00466159" w:rsidRDefault="005B0CD0" w:rsidP="00885989">
      <w:pPr>
        <w:pStyle w:val="Default"/>
        <w:numPr>
          <w:ilvl w:val="0"/>
          <w:numId w:val="2"/>
        </w:numPr>
        <w:ind w:left="284" w:hanging="284"/>
        <w:jc w:val="both"/>
        <w:rPr>
          <w:sz w:val="28"/>
          <w:szCs w:val="28"/>
          <w:lang w:val="sq-AL"/>
        </w:rPr>
      </w:pPr>
      <w:r w:rsidRPr="00466159">
        <w:rPr>
          <w:sz w:val="28"/>
          <w:szCs w:val="28"/>
        </w:rPr>
        <w:t>P</w:t>
      </w:r>
      <w:r w:rsidR="00885989" w:rsidRPr="00466159">
        <w:rPr>
          <w:sz w:val="28"/>
          <w:szCs w:val="28"/>
        </w:rPr>
        <w:t xml:space="preserve">ërjashtim </w:t>
      </w:r>
      <w:r w:rsidRPr="00466159">
        <w:rPr>
          <w:sz w:val="28"/>
          <w:szCs w:val="28"/>
        </w:rPr>
        <w:t>n</w:t>
      </w:r>
      <w:r w:rsidR="00885989" w:rsidRPr="00466159">
        <w:rPr>
          <w:sz w:val="28"/>
          <w:szCs w:val="28"/>
        </w:rPr>
        <w:t xml:space="preserve">ë import </w:t>
      </w:r>
      <w:r w:rsidRPr="00466159">
        <w:rPr>
          <w:sz w:val="28"/>
          <w:szCs w:val="28"/>
        </w:rPr>
        <w:t>të</w:t>
      </w:r>
      <w:r w:rsidR="00885989" w:rsidRPr="00466159">
        <w:rPr>
          <w:sz w:val="28"/>
          <w:szCs w:val="28"/>
        </w:rPr>
        <w:t xml:space="preserve"> mallrave </w:t>
      </w:r>
      <w:r w:rsidRPr="00466159">
        <w:rPr>
          <w:sz w:val="28"/>
          <w:szCs w:val="28"/>
        </w:rPr>
        <w:t xml:space="preserve">të furnizuara </w:t>
      </w:r>
      <w:r w:rsidR="00885989" w:rsidRPr="00466159">
        <w:rPr>
          <w:sz w:val="28"/>
          <w:szCs w:val="28"/>
        </w:rPr>
        <w:t>në kuadër të realizimit të projekteve</w:t>
      </w:r>
      <w:r w:rsidR="008E7639" w:rsidRPr="00466159">
        <w:rPr>
          <w:sz w:val="28"/>
          <w:szCs w:val="28"/>
        </w:rPr>
        <w:t xml:space="preserve"> të </w:t>
      </w:r>
      <w:r w:rsidR="008E7639" w:rsidRPr="00466159">
        <w:rPr>
          <w:rStyle w:val="jlqj4b"/>
          <w:sz w:val="28"/>
          <w:szCs w:val="28"/>
        </w:rPr>
        <w:t>financuara me fonde të marra në bazë të një marrëveshje donacioni/granti</w:t>
      </w:r>
      <w:r w:rsidR="008E7639" w:rsidRPr="00466159">
        <w:rPr>
          <w:sz w:val="28"/>
          <w:szCs w:val="28"/>
        </w:rPr>
        <w:t xml:space="preserve">, </w:t>
      </w:r>
      <w:r w:rsidR="008E7639" w:rsidRPr="00466159">
        <w:rPr>
          <w:rStyle w:val="jlqj4b"/>
          <w:sz w:val="28"/>
          <w:szCs w:val="28"/>
        </w:rPr>
        <w:t>të lidhur ndërmjet Këshillit të Ministrave të Republikës së Shqipërisë/Republikës së Shqipërisë</w:t>
      </w:r>
      <w:r w:rsidR="008E7639" w:rsidRPr="00466159">
        <w:rPr>
          <w:sz w:val="28"/>
          <w:szCs w:val="28"/>
        </w:rPr>
        <w:t xml:space="preserve"> dhe donatorëve të huaj</w:t>
      </w:r>
      <w:r w:rsidR="00885989" w:rsidRPr="00466159">
        <w:rPr>
          <w:sz w:val="28"/>
          <w:szCs w:val="28"/>
        </w:rPr>
        <w:t>.</w:t>
      </w:r>
    </w:p>
    <w:p w:rsidR="00885989" w:rsidRPr="00466159" w:rsidRDefault="00885989" w:rsidP="00701467">
      <w:pPr>
        <w:pStyle w:val="Default"/>
        <w:numPr>
          <w:ilvl w:val="0"/>
          <w:numId w:val="2"/>
        </w:numPr>
        <w:ind w:left="284" w:hanging="284"/>
        <w:jc w:val="both"/>
        <w:rPr>
          <w:sz w:val="28"/>
          <w:szCs w:val="28"/>
          <w:lang w:val="sq-AL"/>
        </w:rPr>
      </w:pPr>
      <w:r w:rsidRPr="00466159">
        <w:rPr>
          <w:sz w:val="28"/>
          <w:szCs w:val="28"/>
        </w:rPr>
        <w:t>Skemë të veçantë për Burs</w:t>
      </w:r>
      <w:r w:rsidR="002E734A" w:rsidRPr="00466159">
        <w:rPr>
          <w:sz w:val="28"/>
          <w:szCs w:val="28"/>
        </w:rPr>
        <w:t xml:space="preserve">ën Shqiptare të Energjisë, duke </w:t>
      </w:r>
      <w:r w:rsidRPr="00466159">
        <w:rPr>
          <w:sz w:val="28"/>
          <w:szCs w:val="28"/>
        </w:rPr>
        <w:t>përjashtuar nga TVSH-ja transaksionet e blerjes dhe shitjes së energjisë nga Bursa</w:t>
      </w:r>
      <w:r w:rsidR="00463507">
        <w:rPr>
          <w:sz w:val="28"/>
          <w:szCs w:val="28"/>
        </w:rPr>
        <w:t xml:space="preserve"> Shqiptare e Energjisë</w:t>
      </w:r>
      <w:r w:rsidRPr="00466159">
        <w:rPr>
          <w:sz w:val="28"/>
          <w:szCs w:val="28"/>
        </w:rPr>
        <w:t>. Konkretisht</w:t>
      </w:r>
      <w:r w:rsidR="007D755A" w:rsidRPr="00466159">
        <w:rPr>
          <w:sz w:val="28"/>
          <w:szCs w:val="28"/>
        </w:rPr>
        <w:t>,</w:t>
      </w:r>
      <w:r w:rsidR="00701467" w:rsidRPr="00466159">
        <w:rPr>
          <w:sz w:val="28"/>
          <w:szCs w:val="28"/>
        </w:rPr>
        <w:t xml:space="preserve"> përjashtim</w:t>
      </w:r>
      <w:r w:rsidR="00A43EF4">
        <w:rPr>
          <w:sz w:val="28"/>
          <w:szCs w:val="28"/>
        </w:rPr>
        <w:t>i</w:t>
      </w:r>
      <w:r w:rsidR="00701467" w:rsidRPr="00466159">
        <w:rPr>
          <w:sz w:val="28"/>
          <w:szCs w:val="28"/>
        </w:rPr>
        <w:t xml:space="preserve"> nga TVSH-ja në</w:t>
      </w:r>
      <w:r w:rsidR="00701467" w:rsidRPr="00466159">
        <w:rPr>
          <w:sz w:val="28"/>
          <w:szCs w:val="28"/>
          <w:lang w:val="sq-AL"/>
        </w:rPr>
        <w:t xml:space="preserve"> </w:t>
      </w:r>
      <w:r w:rsidRPr="00466159">
        <w:rPr>
          <w:sz w:val="28"/>
          <w:szCs w:val="28"/>
        </w:rPr>
        <w:t>import</w:t>
      </w:r>
      <w:r w:rsidR="007D755A" w:rsidRPr="00466159">
        <w:rPr>
          <w:sz w:val="28"/>
          <w:szCs w:val="28"/>
        </w:rPr>
        <w:t xml:space="preserve"> </w:t>
      </w:r>
      <w:r w:rsidR="00701467" w:rsidRPr="00466159">
        <w:rPr>
          <w:sz w:val="28"/>
          <w:szCs w:val="28"/>
        </w:rPr>
        <w:t xml:space="preserve">apo furnizimi brenda vendit </w:t>
      </w:r>
      <w:r w:rsidR="00463507">
        <w:rPr>
          <w:sz w:val="28"/>
          <w:szCs w:val="28"/>
        </w:rPr>
        <w:t>i</w:t>
      </w:r>
      <w:r w:rsidR="00701467" w:rsidRPr="00466159">
        <w:rPr>
          <w:sz w:val="28"/>
          <w:szCs w:val="28"/>
        </w:rPr>
        <w:t xml:space="preserve"> energjis</w:t>
      </w:r>
      <w:r w:rsidR="003D7842" w:rsidRPr="00466159">
        <w:rPr>
          <w:sz w:val="28"/>
          <w:szCs w:val="28"/>
        </w:rPr>
        <w:t>ë</w:t>
      </w:r>
      <w:r w:rsidR="00701467" w:rsidRPr="00466159">
        <w:rPr>
          <w:sz w:val="28"/>
          <w:szCs w:val="28"/>
        </w:rPr>
        <w:t xml:space="preserve"> elektrike t</w:t>
      </w:r>
      <w:r w:rsidR="003D7842" w:rsidRPr="00466159">
        <w:rPr>
          <w:sz w:val="28"/>
          <w:szCs w:val="28"/>
        </w:rPr>
        <w:t>ë</w:t>
      </w:r>
      <w:r w:rsidR="00701467" w:rsidRPr="00466159">
        <w:rPr>
          <w:sz w:val="28"/>
          <w:szCs w:val="28"/>
        </w:rPr>
        <w:t xml:space="preserve"> destinuar p</w:t>
      </w:r>
      <w:r w:rsidR="003D7842" w:rsidRPr="00466159">
        <w:rPr>
          <w:sz w:val="28"/>
          <w:szCs w:val="28"/>
        </w:rPr>
        <w:t>ë</w:t>
      </w:r>
      <w:r w:rsidR="00701467" w:rsidRPr="00466159">
        <w:rPr>
          <w:sz w:val="28"/>
          <w:szCs w:val="28"/>
        </w:rPr>
        <w:t>r tu shitur n</w:t>
      </w:r>
      <w:r w:rsidR="003D7842" w:rsidRPr="00466159">
        <w:rPr>
          <w:sz w:val="28"/>
          <w:szCs w:val="28"/>
        </w:rPr>
        <w:t>ë</w:t>
      </w:r>
      <w:r w:rsidR="00701467" w:rsidRPr="00466159">
        <w:rPr>
          <w:sz w:val="28"/>
          <w:szCs w:val="28"/>
        </w:rPr>
        <w:t>p</w:t>
      </w:r>
      <w:r w:rsidR="003D7842" w:rsidRPr="00466159">
        <w:rPr>
          <w:sz w:val="28"/>
          <w:szCs w:val="28"/>
        </w:rPr>
        <w:t>ë</w:t>
      </w:r>
      <w:r w:rsidR="00701467" w:rsidRPr="00466159">
        <w:rPr>
          <w:sz w:val="28"/>
          <w:szCs w:val="28"/>
        </w:rPr>
        <w:t>rmjet Burs</w:t>
      </w:r>
      <w:r w:rsidR="003D7842" w:rsidRPr="00466159">
        <w:rPr>
          <w:sz w:val="28"/>
          <w:szCs w:val="28"/>
        </w:rPr>
        <w:t>ë</w:t>
      </w:r>
      <w:r w:rsidR="00701467" w:rsidRPr="00466159">
        <w:rPr>
          <w:sz w:val="28"/>
          <w:szCs w:val="28"/>
        </w:rPr>
        <w:t xml:space="preserve">s </w:t>
      </w:r>
      <w:r w:rsidR="00A43EF4">
        <w:rPr>
          <w:sz w:val="28"/>
          <w:szCs w:val="28"/>
        </w:rPr>
        <w:t>Shqiptare t</w:t>
      </w:r>
      <w:r w:rsidR="003D7842" w:rsidRPr="00466159">
        <w:rPr>
          <w:sz w:val="28"/>
          <w:szCs w:val="28"/>
        </w:rPr>
        <w:t>ë</w:t>
      </w:r>
      <w:r w:rsidR="00701467" w:rsidRPr="00466159">
        <w:rPr>
          <w:sz w:val="28"/>
          <w:szCs w:val="28"/>
        </w:rPr>
        <w:t xml:space="preserve"> Energjis</w:t>
      </w:r>
      <w:r w:rsidR="003D7842" w:rsidRPr="00466159">
        <w:rPr>
          <w:sz w:val="28"/>
          <w:szCs w:val="28"/>
        </w:rPr>
        <w:t>ë</w:t>
      </w:r>
      <w:r w:rsidR="00701467" w:rsidRPr="00466159">
        <w:rPr>
          <w:sz w:val="28"/>
          <w:szCs w:val="28"/>
        </w:rPr>
        <w:t xml:space="preserve"> </w:t>
      </w:r>
      <w:r w:rsidR="00022DF8" w:rsidRPr="00466159">
        <w:rPr>
          <w:sz w:val="28"/>
          <w:szCs w:val="28"/>
        </w:rPr>
        <w:t>si</w:t>
      </w:r>
      <w:r w:rsidRPr="00466159">
        <w:rPr>
          <w:sz w:val="28"/>
          <w:szCs w:val="28"/>
        </w:rPr>
        <w:t xml:space="preserve"> dhe </w:t>
      </w:r>
      <w:r w:rsidR="00022DF8" w:rsidRPr="00466159">
        <w:rPr>
          <w:sz w:val="28"/>
          <w:szCs w:val="28"/>
        </w:rPr>
        <w:t>kalimin e p</w:t>
      </w:r>
      <w:r w:rsidRPr="00466159">
        <w:rPr>
          <w:sz w:val="28"/>
          <w:szCs w:val="28"/>
        </w:rPr>
        <w:t>ërgjegj</w:t>
      </w:r>
      <w:r w:rsidRPr="00466159">
        <w:rPr>
          <w:sz w:val="28"/>
          <w:szCs w:val="28"/>
          <w:lang w:val="sq-AL"/>
        </w:rPr>
        <w:t>ës për pages</w:t>
      </w:r>
      <w:r w:rsidR="00022DF8" w:rsidRPr="00466159">
        <w:rPr>
          <w:sz w:val="28"/>
          <w:szCs w:val="28"/>
          <w:lang w:val="sq-AL"/>
        </w:rPr>
        <w:t>ën e TVSH-së, personit të</w:t>
      </w:r>
      <w:r w:rsidRPr="00466159">
        <w:rPr>
          <w:sz w:val="28"/>
          <w:szCs w:val="28"/>
          <w:lang w:val="sq-AL"/>
        </w:rPr>
        <w:t xml:space="preserve"> tatueshëm për të cilin kryhet furnizimi me energji elektrike</w:t>
      </w:r>
      <w:r w:rsidR="007D755A" w:rsidRPr="00466159">
        <w:rPr>
          <w:sz w:val="28"/>
          <w:szCs w:val="28"/>
          <w:lang w:val="sq-AL"/>
        </w:rPr>
        <w:t xml:space="preserve"> nëpërmjet mekanizmit të revers charge</w:t>
      </w:r>
      <w:r w:rsidR="00022DF8" w:rsidRPr="00466159">
        <w:rPr>
          <w:sz w:val="28"/>
          <w:szCs w:val="28"/>
          <w:lang w:val="sq-AL"/>
        </w:rPr>
        <w:t xml:space="preserve"> (autongarkesës)</w:t>
      </w:r>
      <w:r w:rsidRPr="00466159">
        <w:rPr>
          <w:sz w:val="28"/>
          <w:szCs w:val="28"/>
          <w:lang w:val="sq-AL"/>
        </w:rPr>
        <w:t>.</w:t>
      </w:r>
    </w:p>
    <w:p w:rsidR="00885989" w:rsidRPr="00466159" w:rsidRDefault="00885989" w:rsidP="00885989">
      <w:pPr>
        <w:pStyle w:val="Default"/>
        <w:jc w:val="both"/>
        <w:rPr>
          <w:sz w:val="28"/>
          <w:szCs w:val="28"/>
          <w:lang w:val="sq-AL"/>
        </w:rPr>
      </w:pPr>
    </w:p>
    <w:p w:rsidR="00885989" w:rsidRPr="00466159" w:rsidRDefault="00885989" w:rsidP="00885989">
      <w:pPr>
        <w:numPr>
          <w:ilvl w:val="0"/>
          <w:numId w:val="1"/>
        </w:numPr>
        <w:spacing w:after="0" w:line="240" w:lineRule="auto"/>
        <w:ind w:left="720"/>
        <w:jc w:val="both"/>
        <w:rPr>
          <w:rFonts w:ascii="Times New Roman" w:hAnsi="Times New Roman"/>
          <w:b/>
          <w:sz w:val="28"/>
          <w:szCs w:val="28"/>
          <w:lang w:val="sq-AL"/>
        </w:rPr>
      </w:pPr>
      <w:r w:rsidRPr="00466159">
        <w:rPr>
          <w:rFonts w:ascii="Times New Roman" w:hAnsi="Times New Roman"/>
          <w:b/>
          <w:sz w:val="28"/>
          <w:szCs w:val="28"/>
          <w:lang w:val="sq-AL"/>
        </w:rPr>
        <w:t xml:space="preserve">VLERËSIMI I PROJEKTAKTIT NË RAPORT ME PROGRAMIN POLITIK TË KËSHILLIT TË MINISTRAVE, ME PROGRAMIN ANALITIK TË AKTEVE DHE DOKUMENTE TË TJERA POLITIKE </w:t>
      </w:r>
    </w:p>
    <w:p w:rsidR="00885989" w:rsidRPr="00466159" w:rsidRDefault="00885989" w:rsidP="00885989">
      <w:pPr>
        <w:spacing w:after="0" w:line="240" w:lineRule="auto"/>
        <w:ind w:left="720"/>
        <w:jc w:val="both"/>
        <w:rPr>
          <w:rFonts w:ascii="Times New Roman" w:hAnsi="Times New Roman"/>
          <w:b/>
          <w:sz w:val="28"/>
          <w:szCs w:val="28"/>
          <w:lang w:val="sq-AL"/>
        </w:rPr>
      </w:pPr>
    </w:p>
    <w:p w:rsidR="00885989" w:rsidRPr="00466159" w:rsidRDefault="00885989" w:rsidP="00885989">
      <w:pPr>
        <w:spacing w:line="240" w:lineRule="auto"/>
        <w:jc w:val="both"/>
        <w:rPr>
          <w:rFonts w:ascii="Times New Roman" w:hAnsi="Times New Roman"/>
          <w:sz w:val="28"/>
          <w:szCs w:val="28"/>
          <w:lang w:val="sq-AL"/>
        </w:rPr>
      </w:pPr>
      <w:r w:rsidRPr="00466159">
        <w:rPr>
          <w:rFonts w:ascii="Times New Roman" w:hAnsi="Times New Roman"/>
          <w:sz w:val="28"/>
          <w:szCs w:val="28"/>
          <w:lang w:val="sq-AL"/>
        </w:rPr>
        <w:t>Ky projektligj nuk është parashikuar në programin e përgjithshëm analitik të projekt akteve që do të paraqiten për shqyrtim në Këshillin e Ministrave, gjatë vitit 2022.</w:t>
      </w:r>
    </w:p>
    <w:p w:rsidR="00885989" w:rsidRPr="00D84A7E" w:rsidRDefault="00885989" w:rsidP="00D84A7E">
      <w:pPr>
        <w:numPr>
          <w:ilvl w:val="0"/>
          <w:numId w:val="1"/>
        </w:numPr>
        <w:spacing w:after="0" w:line="240" w:lineRule="auto"/>
        <w:ind w:left="720"/>
        <w:jc w:val="both"/>
        <w:rPr>
          <w:rFonts w:ascii="Times New Roman" w:hAnsi="Times New Roman"/>
          <w:b/>
          <w:sz w:val="28"/>
          <w:szCs w:val="28"/>
          <w:lang w:val="sq-AL"/>
        </w:rPr>
      </w:pPr>
      <w:r w:rsidRPr="00466159">
        <w:rPr>
          <w:rFonts w:ascii="Times New Roman" w:hAnsi="Times New Roman"/>
          <w:b/>
          <w:sz w:val="28"/>
          <w:szCs w:val="28"/>
          <w:lang w:val="sq-AL"/>
        </w:rPr>
        <w:t xml:space="preserve">ARGUMENTIMI I PROJEKTLIGJIT LIDHUR ME PËRPARËSITË, PROBLEMATIKAT DHE EFEKTET E PRITSHME </w:t>
      </w:r>
    </w:p>
    <w:p w:rsidR="001729EA" w:rsidRDefault="00D47328" w:rsidP="001729EA">
      <w:pPr>
        <w:pStyle w:val="NormalWeb"/>
        <w:numPr>
          <w:ilvl w:val="0"/>
          <w:numId w:val="9"/>
        </w:numPr>
        <w:ind w:left="0" w:firstLine="0"/>
        <w:jc w:val="both"/>
        <w:rPr>
          <w:rFonts w:eastAsia="Calibri"/>
          <w:sz w:val="28"/>
          <w:szCs w:val="28"/>
          <w:lang w:val="en-US" w:eastAsia="en-US"/>
        </w:rPr>
      </w:pPr>
      <w:r w:rsidRPr="00263154">
        <w:rPr>
          <w:rFonts w:eastAsia="Calibri"/>
          <w:sz w:val="28"/>
          <w:szCs w:val="28"/>
          <w:lang w:val="en-US" w:eastAsia="en-US"/>
        </w:rPr>
        <w:t xml:space="preserve">Për shkak të krizës botërore energjitike, gjatë vitit 2022 është konstatuar një rritje e jashtëzakonshme e çmimit të energjisë në treg, </w:t>
      </w:r>
      <w:r w:rsidR="00E9799F">
        <w:rPr>
          <w:rFonts w:eastAsia="Calibri"/>
          <w:sz w:val="28"/>
          <w:szCs w:val="28"/>
          <w:lang w:val="en-US" w:eastAsia="en-US"/>
        </w:rPr>
        <w:t>e cila</w:t>
      </w:r>
      <w:r w:rsidRPr="00263154">
        <w:rPr>
          <w:rFonts w:eastAsia="Calibri"/>
          <w:sz w:val="28"/>
          <w:szCs w:val="28"/>
          <w:lang w:val="en-US" w:eastAsia="en-US"/>
        </w:rPr>
        <w:t xml:space="preserve"> ka sjellë pasoja negative në shumë sektorë të ekonomisë, duke dhënë një impakt të drejtpërdrejtë në koston e të gjitha mallrave dhe çmimeve në treg, dhe rrjedhimisht në një rritje të kostos së jetesës. Si pasojë e rritjes së jashtëzakonshme të çmimit të energjisë, Qeveria ka qënë e detyruar të mbrojë konsumatorin familjar dhe biznesin e vogel, duke alokuar fonde nga Buxheti Shtetit për mbajtjen e çmimit për familjarin të </w:t>
      </w:r>
      <w:r w:rsidRPr="00263154">
        <w:rPr>
          <w:rFonts w:eastAsia="Calibri"/>
          <w:sz w:val="28"/>
          <w:szCs w:val="28"/>
          <w:lang w:val="en-US" w:eastAsia="en-US"/>
        </w:rPr>
        <w:lastRenderedPageBreak/>
        <w:t xml:space="preserve">pandryshuar, si dhe për biznesin në nivele të pranueshme. Në vitin 2022 buxheti i shtetit ka shpenzuar 28 miliard lekë për subvencionimin e diferencës së çmimit për konsumatorët familjarë dhe biznesin e vogël, shifër kjo e krahasueshme me totalin e investimeve publike me fonde të brendshme që planifikohet për një vit. </w:t>
      </w:r>
    </w:p>
    <w:p w:rsidR="00263154" w:rsidRPr="00916102" w:rsidRDefault="00E9799F" w:rsidP="001729EA">
      <w:pPr>
        <w:pStyle w:val="NormalWeb"/>
        <w:jc w:val="both"/>
        <w:rPr>
          <w:rFonts w:eastAsia="Calibri"/>
          <w:sz w:val="28"/>
          <w:szCs w:val="28"/>
        </w:rPr>
      </w:pPr>
      <w:r>
        <w:rPr>
          <w:rFonts w:eastAsia="Calibri"/>
          <w:sz w:val="28"/>
          <w:szCs w:val="28"/>
          <w:lang w:val="en-US" w:eastAsia="en-US"/>
        </w:rPr>
        <w:t>K</w:t>
      </w:r>
      <w:r w:rsidR="00263154" w:rsidRPr="001729EA">
        <w:rPr>
          <w:rFonts w:eastAsia="Calibri"/>
          <w:sz w:val="28"/>
          <w:szCs w:val="28"/>
          <w:lang w:val="en-US" w:eastAsia="en-US"/>
        </w:rPr>
        <w:t xml:space="preserve">y projektligj ka propozuar përjashtimin nga TVSH-ja të </w:t>
      </w:r>
      <w:r w:rsidR="00916102">
        <w:rPr>
          <w:rFonts w:eastAsia="Calibri"/>
          <w:sz w:val="28"/>
          <w:szCs w:val="28"/>
          <w:lang w:val="en-US" w:eastAsia="en-US"/>
        </w:rPr>
        <w:t>artikujve</w:t>
      </w:r>
      <w:r w:rsidR="00263154" w:rsidRPr="001729EA">
        <w:rPr>
          <w:sz w:val="28"/>
          <w:szCs w:val="28"/>
        </w:rPr>
        <w:t xml:space="preserve"> të përfshi</w:t>
      </w:r>
      <w:r w:rsidR="00916102">
        <w:rPr>
          <w:sz w:val="28"/>
          <w:szCs w:val="28"/>
        </w:rPr>
        <w:t>ra në kreun 4401 të Nomenklaturë</w:t>
      </w:r>
      <w:r w:rsidR="00263154" w:rsidRPr="001729EA">
        <w:rPr>
          <w:sz w:val="28"/>
          <w:szCs w:val="28"/>
        </w:rPr>
        <w:t xml:space="preserve">s së Kombinuar të Mallrave, </w:t>
      </w:r>
      <w:r w:rsidR="00AC48E3" w:rsidRPr="001729EA">
        <w:rPr>
          <w:sz w:val="28"/>
          <w:szCs w:val="28"/>
        </w:rPr>
        <w:t xml:space="preserve">me efekt deri në 31 dhjetor 2023, </w:t>
      </w:r>
      <w:r w:rsidR="00263154" w:rsidRPr="001729EA">
        <w:rPr>
          <w:sz w:val="28"/>
          <w:szCs w:val="28"/>
        </w:rPr>
        <w:t>me qëllim mbrojtjen dhe suportimin e individëve n</w:t>
      </w:r>
      <w:r w:rsidR="00263154" w:rsidRPr="001729EA">
        <w:rPr>
          <w:rFonts w:eastAsia="Calibri"/>
          <w:sz w:val="28"/>
          <w:szCs w:val="28"/>
          <w:lang w:val="en-US" w:eastAsia="en-US"/>
        </w:rPr>
        <w:t>ë kushtet e një krize energjitike si kjo e tanishmja</w:t>
      </w:r>
      <w:r w:rsidR="00263154" w:rsidRPr="00916102">
        <w:rPr>
          <w:rFonts w:eastAsia="Calibri"/>
          <w:sz w:val="28"/>
          <w:szCs w:val="28"/>
          <w:lang w:val="en-US" w:eastAsia="en-US"/>
        </w:rPr>
        <w:t xml:space="preserve">. </w:t>
      </w:r>
      <w:r w:rsidR="00916102">
        <w:rPr>
          <w:rFonts w:eastAsia="Calibri"/>
          <w:sz w:val="28"/>
          <w:szCs w:val="28"/>
          <w:lang w:val="en-US" w:eastAsia="en-US"/>
        </w:rPr>
        <w:t>Artikujt e kreut 4401, të destinuara pë</w:t>
      </w:r>
      <w:r>
        <w:rPr>
          <w:rFonts w:eastAsia="Calibri"/>
          <w:sz w:val="28"/>
          <w:szCs w:val="28"/>
          <w:lang w:val="en-US" w:eastAsia="en-US"/>
        </w:rPr>
        <w:t>r</w:t>
      </w:r>
      <w:r w:rsidR="00916102">
        <w:rPr>
          <w:rFonts w:eastAsia="Calibri"/>
          <w:sz w:val="28"/>
          <w:szCs w:val="28"/>
          <w:lang w:val="en-US" w:eastAsia="en-US"/>
        </w:rPr>
        <w:t xml:space="preserve"> ngrohje </w:t>
      </w:r>
      <w:r>
        <w:rPr>
          <w:rFonts w:eastAsia="Calibri"/>
          <w:sz w:val="28"/>
          <w:szCs w:val="28"/>
          <w:lang w:val="en-US" w:eastAsia="en-US"/>
        </w:rPr>
        <w:t>janë një zëvëndë</w:t>
      </w:r>
      <w:r w:rsidR="00263154" w:rsidRPr="001729EA">
        <w:rPr>
          <w:rFonts w:eastAsia="Calibri"/>
          <w:sz w:val="28"/>
          <w:szCs w:val="28"/>
          <w:lang w:val="en-US" w:eastAsia="en-US"/>
        </w:rPr>
        <w:t xml:space="preserve">sues i afërt i ngrohjes </w:t>
      </w:r>
      <w:r>
        <w:rPr>
          <w:rFonts w:eastAsia="Calibri"/>
          <w:sz w:val="28"/>
          <w:szCs w:val="28"/>
          <w:lang w:val="en-US" w:eastAsia="en-US"/>
        </w:rPr>
        <w:t>me</w:t>
      </w:r>
      <w:r w:rsidR="00263154" w:rsidRPr="001729EA">
        <w:rPr>
          <w:rFonts w:eastAsia="Calibri"/>
          <w:sz w:val="28"/>
          <w:szCs w:val="28"/>
          <w:lang w:val="en-US" w:eastAsia="en-US"/>
        </w:rPr>
        <w:t xml:space="preserve"> energji</w:t>
      </w:r>
      <w:r>
        <w:rPr>
          <w:rFonts w:eastAsia="Calibri"/>
          <w:sz w:val="28"/>
          <w:szCs w:val="28"/>
          <w:lang w:val="en-US" w:eastAsia="en-US"/>
        </w:rPr>
        <w:t xml:space="preserve"> elektike. Për këtë qëllim, këto artikuj </w:t>
      </w:r>
      <w:r w:rsidR="00263154" w:rsidRPr="001729EA">
        <w:rPr>
          <w:rFonts w:eastAsia="Calibri"/>
          <w:sz w:val="28"/>
          <w:szCs w:val="28"/>
          <w:lang w:val="en-US" w:eastAsia="en-US"/>
        </w:rPr>
        <w:t>propozohet të jenë pa TVSH si në import ashtu dhe brenda vendit</w:t>
      </w:r>
      <w:r w:rsidR="00916102">
        <w:rPr>
          <w:rFonts w:eastAsia="Calibri"/>
          <w:sz w:val="28"/>
          <w:szCs w:val="28"/>
          <w:lang w:val="en-US" w:eastAsia="en-US"/>
        </w:rPr>
        <w:t>,</w:t>
      </w:r>
      <w:r w:rsidR="00263154" w:rsidRPr="001729EA">
        <w:rPr>
          <w:rFonts w:eastAsia="Calibri"/>
          <w:sz w:val="28"/>
          <w:szCs w:val="28"/>
          <w:lang w:val="en-US" w:eastAsia="en-US"/>
        </w:rPr>
        <w:t xml:space="preserve"> duke mos rënduar konsumatorin final. Sipas të dhënave nga </w:t>
      </w:r>
      <w:r w:rsidR="00263154" w:rsidRPr="00DA5BFC">
        <w:rPr>
          <w:rFonts w:eastAsia="Calibri"/>
          <w:sz w:val="28"/>
          <w:szCs w:val="28"/>
          <w:lang w:val="en-US" w:eastAsia="en-US"/>
        </w:rPr>
        <w:t xml:space="preserve">Drejtoria e Përgjithshme e Doganave, </w:t>
      </w:r>
      <w:r w:rsidRPr="00DA5BFC">
        <w:rPr>
          <w:rFonts w:eastAsia="Calibri"/>
          <w:sz w:val="28"/>
          <w:szCs w:val="28"/>
          <w:lang w:val="en-US" w:eastAsia="en-US"/>
        </w:rPr>
        <w:t>rezu</w:t>
      </w:r>
      <w:r w:rsidR="00CE5738">
        <w:rPr>
          <w:rFonts w:eastAsia="Calibri"/>
          <w:sz w:val="28"/>
          <w:szCs w:val="28"/>
          <w:lang w:val="en-US" w:eastAsia="en-US"/>
        </w:rPr>
        <w:t>lton se TVSH e paguar në import</w:t>
      </w:r>
      <w:r w:rsidRPr="00DA5BFC">
        <w:rPr>
          <w:rFonts w:eastAsia="Calibri"/>
          <w:sz w:val="28"/>
          <w:szCs w:val="28"/>
          <w:lang w:val="en-US" w:eastAsia="en-US"/>
        </w:rPr>
        <w:t xml:space="preserve"> për tre vitet e fundit është rreth 7 mln në vit</w:t>
      </w:r>
      <w:r w:rsidR="001729EA">
        <w:rPr>
          <w:rFonts w:eastAsia="Calibri"/>
          <w:sz w:val="28"/>
          <w:szCs w:val="28"/>
          <w:lang w:val="en-US" w:eastAsia="en-US"/>
        </w:rPr>
        <w:t xml:space="preserve">. Sa i takon </w:t>
      </w:r>
      <w:r w:rsidR="00263154" w:rsidRPr="001729EA">
        <w:rPr>
          <w:rFonts w:eastAsia="Calibri"/>
          <w:sz w:val="28"/>
          <w:szCs w:val="28"/>
          <w:lang w:val="en-US" w:eastAsia="en-US"/>
        </w:rPr>
        <w:t>TVSH-së eksport</w:t>
      </w:r>
      <w:r w:rsidR="001729EA">
        <w:rPr>
          <w:rFonts w:eastAsia="Calibri"/>
          <w:sz w:val="28"/>
          <w:szCs w:val="28"/>
          <w:lang w:val="en-US" w:eastAsia="en-US"/>
        </w:rPr>
        <w:t>i</w:t>
      </w:r>
      <w:r w:rsidR="00263154" w:rsidRPr="001729EA">
        <w:rPr>
          <w:rFonts w:eastAsia="Calibri"/>
          <w:sz w:val="28"/>
          <w:szCs w:val="28"/>
          <w:lang w:val="en-US" w:eastAsia="en-US"/>
        </w:rPr>
        <w:t xml:space="preserve"> </w:t>
      </w:r>
      <w:r w:rsidR="00916102">
        <w:rPr>
          <w:rFonts w:eastAsia="Calibri"/>
          <w:sz w:val="28"/>
          <w:szCs w:val="28"/>
          <w:lang w:val="en-US" w:eastAsia="en-US"/>
        </w:rPr>
        <w:t>tr</w:t>
      </w:r>
      <w:r w:rsidR="00015943">
        <w:rPr>
          <w:rFonts w:eastAsia="Calibri"/>
          <w:sz w:val="28"/>
          <w:szCs w:val="28"/>
          <w:lang w:val="en-US" w:eastAsia="en-US"/>
        </w:rPr>
        <w:t>a</w:t>
      </w:r>
      <w:r w:rsidR="00916102">
        <w:rPr>
          <w:rFonts w:eastAsia="Calibri"/>
          <w:sz w:val="28"/>
          <w:szCs w:val="28"/>
          <w:lang w:val="en-US" w:eastAsia="en-US"/>
        </w:rPr>
        <w:t xml:space="preserve">jtohet me </w:t>
      </w:r>
      <w:r w:rsidR="00263154" w:rsidRPr="001729EA">
        <w:rPr>
          <w:rFonts w:eastAsia="Calibri"/>
          <w:sz w:val="28"/>
          <w:szCs w:val="28"/>
          <w:lang w:val="en-US" w:eastAsia="en-US"/>
        </w:rPr>
        <w:t>TVSH-</w:t>
      </w:r>
      <w:r w:rsidR="00AC48E3" w:rsidRPr="001729EA">
        <w:rPr>
          <w:rFonts w:eastAsia="Calibri"/>
          <w:sz w:val="28"/>
          <w:szCs w:val="28"/>
          <w:lang w:val="en-US" w:eastAsia="en-US"/>
        </w:rPr>
        <w:t xml:space="preserve">në </w:t>
      </w:r>
      <w:r w:rsidR="00263154" w:rsidRPr="001729EA">
        <w:rPr>
          <w:rFonts w:eastAsia="Calibri"/>
          <w:sz w:val="28"/>
          <w:szCs w:val="28"/>
          <w:lang w:val="en-US" w:eastAsia="en-US"/>
        </w:rPr>
        <w:t>0, ndërkohë shitja brenda vendit</w:t>
      </w:r>
      <w:r w:rsidR="001729EA">
        <w:rPr>
          <w:rFonts w:eastAsia="Calibri"/>
          <w:sz w:val="28"/>
          <w:szCs w:val="28"/>
          <w:lang w:val="en-US" w:eastAsia="en-US"/>
        </w:rPr>
        <w:t>/import</w:t>
      </w:r>
      <w:r w:rsidR="00916102">
        <w:rPr>
          <w:rFonts w:eastAsia="Calibri"/>
          <w:sz w:val="28"/>
          <w:szCs w:val="28"/>
          <w:lang w:val="en-US" w:eastAsia="en-US"/>
        </w:rPr>
        <w:t xml:space="preserve"> trajtohet shkallë normale të </w:t>
      </w:r>
      <w:r w:rsidR="00263154" w:rsidRPr="001729EA">
        <w:rPr>
          <w:rFonts w:eastAsia="Calibri"/>
          <w:sz w:val="28"/>
          <w:szCs w:val="28"/>
          <w:lang w:val="en-US" w:eastAsia="en-US"/>
        </w:rPr>
        <w:t>TVSH</w:t>
      </w:r>
      <w:r w:rsidR="00916102">
        <w:rPr>
          <w:rFonts w:eastAsia="Calibri"/>
          <w:sz w:val="28"/>
          <w:szCs w:val="28"/>
          <w:lang w:val="en-US" w:eastAsia="en-US"/>
        </w:rPr>
        <w:t>-së, 20%</w:t>
      </w:r>
      <w:r w:rsidR="00263154" w:rsidRPr="001729EA">
        <w:rPr>
          <w:rFonts w:eastAsia="Calibri"/>
          <w:sz w:val="28"/>
          <w:szCs w:val="28"/>
          <w:lang w:val="en-US" w:eastAsia="en-US"/>
        </w:rPr>
        <w:t xml:space="preserve">. Në këto kushte propozohet që </w:t>
      </w:r>
      <w:r w:rsidR="00A34EFB" w:rsidRPr="001729EA">
        <w:rPr>
          <w:rFonts w:eastAsia="Calibri"/>
          <w:sz w:val="28"/>
          <w:szCs w:val="28"/>
          <w:lang w:val="en-US" w:eastAsia="en-US"/>
        </w:rPr>
        <w:t xml:space="preserve">furnizimi </w:t>
      </w:r>
      <w:r w:rsidR="00263154" w:rsidRPr="001729EA">
        <w:rPr>
          <w:rFonts w:eastAsia="Calibri"/>
          <w:sz w:val="28"/>
          <w:szCs w:val="28"/>
          <w:lang w:val="en-US" w:eastAsia="en-US"/>
        </w:rPr>
        <w:t xml:space="preserve">brenda vendit dhe në import </w:t>
      </w:r>
      <w:r w:rsidR="00A34EFB" w:rsidRPr="001729EA">
        <w:rPr>
          <w:rFonts w:eastAsia="Calibri"/>
          <w:sz w:val="28"/>
          <w:szCs w:val="28"/>
          <w:lang w:val="en-US" w:eastAsia="en-US"/>
        </w:rPr>
        <w:t xml:space="preserve">i </w:t>
      </w:r>
      <w:r w:rsidR="00916102">
        <w:rPr>
          <w:rFonts w:eastAsia="Calibri"/>
          <w:sz w:val="28"/>
          <w:szCs w:val="28"/>
          <w:lang w:val="en-US" w:eastAsia="en-US"/>
        </w:rPr>
        <w:t xml:space="preserve">artikujve </w:t>
      </w:r>
      <w:r w:rsidR="00916102" w:rsidRPr="001729EA">
        <w:rPr>
          <w:sz w:val="28"/>
          <w:szCs w:val="28"/>
        </w:rPr>
        <w:t>të përfshira në kreun 4401</w:t>
      </w:r>
      <w:r w:rsidR="00916102">
        <w:rPr>
          <w:sz w:val="28"/>
          <w:szCs w:val="28"/>
        </w:rPr>
        <w:t xml:space="preserve">të NKM-së, të cilat kanë si qëllim përdorimin për ngrohje, </w:t>
      </w:r>
      <w:r w:rsidR="00AC48E3" w:rsidRPr="001729EA">
        <w:rPr>
          <w:rFonts w:eastAsia="Calibri"/>
          <w:sz w:val="28"/>
          <w:szCs w:val="28"/>
          <w:lang w:val="en-US" w:eastAsia="en-US"/>
        </w:rPr>
        <w:t xml:space="preserve">për vitin 2023 </w:t>
      </w:r>
      <w:r w:rsidR="00263154" w:rsidRPr="001729EA">
        <w:rPr>
          <w:rFonts w:eastAsia="Calibri"/>
          <w:sz w:val="28"/>
          <w:szCs w:val="28"/>
          <w:lang w:val="en-US" w:eastAsia="en-US"/>
        </w:rPr>
        <w:t>t</w:t>
      </w:r>
      <w:r w:rsidR="00A34EFB" w:rsidRPr="001729EA">
        <w:rPr>
          <w:rFonts w:eastAsia="Calibri"/>
          <w:sz w:val="28"/>
          <w:szCs w:val="28"/>
          <w:lang w:val="en-US" w:eastAsia="en-US"/>
        </w:rPr>
        <w:t>ë jenë të përjashtuara nga</w:t>
      </w:r>
      <w:r w:rsidR="00263154" w:rsidRPr="001729EA">
        <w:rPr>
          <w:rFonts w:eastAsia="Calibri"/>
          <w:sz w:val="28"/>
          <w:szCs w:val="28"/>
          <w:lang w:val="en-US" w:eastAsia="en-US"/>
        </w:rPr>
        <w:t xml:space="preserve"> TVSH</w:t>
      </w:r>
      <w:r w:rsidR="00A34EFB" w:rsidRPr="001729EA">
        <w:rPr>
          <w:rFonts w:eastAsia="Calibri"/>
          <w:sz w:val="28"/>
          <w:szCs w:val="28"/>
          <w:lang w:val="en-US" w:eastAsia="en-US"/>
        </w:rPr>
        <w:t>- ja</w:t>
      </w:r>
      <w:r w:rsidR="00263154" w:rsidRPr="001729EA">
        <w:rPr>
          <w:rFonts w:eastAsia="Calibri"/>
          <w:sz w:val="28"/>
          <w:szCs w:val="28"/>
          <w:lang w:val="en-US" w:eastAsia="en-US"/>
        </w:rPr>
        <w:t>.</w:t>
      </w:r>
    </w:p>
    <w:p w:rsidR="00263154" w:rsidRPr="00E767D7" w:rsidRDefault="00263154" w:rsidP="00263154">
      <w:pPr>
        <w:pStyle w:val="NormalWeb"/>
        <w:jc w:val="both"/>
        <w:rPr>
          <w:rFonts w:eastAsia="Calibri"/>
          <w:sz w:val="28"/>
          <w:szCs w:val="28"/>
          <w:lang w:val="en-US" w:eastAsia="en-US"/>
        </w:rPr>
      </w:pPr>
      <w:r w:rsidRPr="00E767D7">
        <w:rPr>
          <w:rFonts w:eastAsia="Calibri"/>
          <w:sz w:val="28"/>
          <w:szCs w:val="28"/>
          <w:lang w:val="en-US" w:eastAsia="en-US"/>
        </w:rPr>
        <w:t>Në këtë faze që jemi, efekti i parashikuar në buxhetin e shtetit nuk mund të matet.</w:t>
      </w:r>
    </w:p>
    <w:p w:rsidR="008E7639" w:rsidRPr="002A219A" w:rsidRDefault="001F7137" w:rsidP="00D47328">
      <w:pPr>
        <w:pStyle w:val="ListParagraph"/>
        <w:numPr>
          <w:ilvl w:val="0"/>
          <w:numId w:val="7"/>
        </w:numPr>
        <w:spacing w:after="0" w:line="240" w:lineRule="auto"/>
        <w:ind w:left="0" w:firstLine="0"/>
        <w:jc w:val="both"/>
        <w:rPr>
          <w:rFonts w:ascii="Times New Roman" w:hAnsi="Times New Roman"/>
          <w:sz w:val="28"/>
          <w:szCs w:val="28"/>
        </w:rPr>
      </w:pPr>
      <w:r w:rsidRPr="002A219A">
        <w:rPr>
          <w:rFonts w:ascii="Times New Roman" w:eastAsia="Times New Roman" w:hAnsi="Times New Roman"/>
          <w:sz w:val="28"/>
          <w:szCs w:val="28"/>
          <w:lang w:val="sq-AL" w:eastAsia="sq-AL"/>
        </w:rPr>
        <w:t>Procesi i anëtarësimit në Bashkimin Europian është një objektiv kombëtar, në funksion të demokratizimit dhe transformimit të shoqërisë shqiptare, në përputhje me vlerat dh</w:t>
      </w:r>
      <w:r w:rsidR="002E734A" w:rsidRPr="002A219A">
        <w:rPr>
          <w:rFonts w:ascii="Times New Roman" w:eastAsia="Times New Roman" w:hAnsi="Times New Roman"/>
          <w:sz w:val="28"/>
          <w:szCs w:val="28"/>
          <w:lang w:val="sq-AL" w:eastAsia="sq-AL"/>
        </w:rPr>
        <w:t>e parimet e Europës së Bashkuar. N</w:t>
      </w:r>
      <w:r w:rsidR="00816778" w:rsidRPr="002A219A">
        <w:rPr>
          <w:rStyle w:val="jlqj4b"/>
          <w:rFonts w:ascii="Times New Roman" w:hAnsi="Times New Roman"/>
          <w:sz w:val="28"/>
          <w:szCs w:val="28"/>
        </w:rPr>
        <w:t xml:space="preserve">ë këtë kuadër u propozua </w:t>
      </w:r>
      <w:r w:rsidR="00816778" w:rsidRPr="002A219A">
        <w:rPr>
          <w:rFonts w:ascii="Times New Roman" w:hAnsi="Times New Roman"/>
          <w:sz w:val="28"/>
          <w:szCs w:val="28"/>
          <w:lang w:val="sq-AL"/>
        </w:rPr>
        <w:t xml:space="preserve">përmirësimi </w:t>
      </w:r>
      <w:r w:rsidR="00552083" w:rsidRPr="002A219A">
        <w:rPr>
          <w:rFonts w:ascii="Times New Roman" w:hAnsi="Times New Roman"/>
          <w:sz w:val="28"/>
          <w:szCs w:val="28"/>
          <w:lang w:val="sq-AL"/>
        </w:rPr>
        <w:t>i</w:t>
      </w:r>
      <w:r w:rsidR="00816778" w:rsidRPr="002A219A">
        <w:rPr>
          <w:rFonts w:ascii="Times New Roman" w:hAnsi="Times New Roman"/>
          <w:sz w:val="28"/>
          <w:szCs w:val="28"/>
          <w:lang w:val="sq-AL"/>
        </w:rPr>
        <w:t xml:space="preserve"> kuadrit ligjor ekzistues në fushën e Tatimit mbi Vlerën e Shtuar (TVSH), sa i takon fondeve IPA</w:t>
      </w:r>
      <w:r w:rsidR="00816778" w:rsidRPr="002A219A">
        <w:rPr>
          <w:rFonts w:ascii="Times New Roman" w:hAnsi="Times New Roman"/>
          <w:sz w:val="28"/>
          <w:szCs w:val="28"/>
        </w:rPr>
        <w:t xml:space="preserve"> dhe fondeve nga donatorët e tjerë</w:t>
      </w:r>
      <w:r w:rsidR="00552083" w:rsidRPr="002A219A">
        <w:rPr>
          <w:rFonts w:ascii="Times New Roman" w:hAnsi="Times New Roman"/>
          <w:sz w:val="28"/>
          <w:szCs w:val="28"/>
        </w:rPr>
        <w:t xml:space="preserve">. </w:t>
      </w:r>
      <w:r w:rsidR="00885989" w:rsidRPr="002A219A">
        <w:rPr>
          <w:rFonts w:ascii="Times New Roman" w:hAnsi="Times New Roman"/>
          <w:sz w:val="28"/>
          <w:szCs w:val="28"/>
          <w:lang w:val="sq-AL"/>
        </w:rPr>
        <w:t xml:space="preserve">Fondet IPA </w:t>
      </w:r>
      <w:r w:rsidR="00885989" w:rsidRPr="002A219A">
        <w:rPr>
          <w:rFonts w:ascii="Times New Roman" w:hAnsi="Times New Roman"/>
          <w:sz w:val="28"/>
          <w:szCs w:val="28"/>
        </w:rPr>
        <w:t>janë një nga incentivat më frytdhënëse të përdorura nga Bashkimi Europian për promovimin e vlerave dhe nxitjen e reformave në vendet që synojnë anëtarësimin</w:t>
      </w:r>
      <w:r w:rsidR="00885989" w:rsidRPr="002A219A">
        <w:rPr>
          <w:rFonts w:ascii="Times New Roman" w:hAnsi="Times New Roman"/>
          <w:sz w:val="28"/>
          <w:szCs w:val="28"/>
          <w:lang w:val="sq-AL"/>
        </w:rPr>
        <w:t xml:space="preserve"> si dhe fondeve të përfituara nga dontorët e huaj. </w:t>
      </w:r>
      <w:r w:rsidR="00885989" w:rsidRPr="002A219A">
        <w:rPr>
          <w:rStyle w:val="Strong"/>
          <w:rFonts w:ascii="Times New Roman" w:hAnsi="Times New Roman"/>
          <w:b w:val="0"/>
          <w:sz w:val="28"/>
          <w:szCs w:val="28"/>
        </w:rPr>
        <w:t>IPA III</w:t>
      </w:r>
      <w:r w:rsidR="00885989" w:rsidRPr="002A219A">
        <w:rPr>
          <w:rFonts w:ascii="Times New Roman" w:hAnsi="Times New Roman"/>
          <w:sz w:val="28"/>
          <w:szCs w:val="28"/>
        </w:rPr>
        <w:t xml:space="preserve"> (2021-2027) u miratua më 15 shtator 2021 nga Parlamenti Europian. Ky instrument është vazhdimësi e IPA II (2014-2020) dhe ndihmon në përgatitjen e partnerëve për anëtarësimet e ardhshme në Bashkimin Europian dhe promovon procesin e tyre të anëtarësimit për periudhën 2021-2027. </w:t>
      </w:r>
      <w:r w:rsidR="00552083" w:rsidRPr="002A219A">
        <w:rPr>
          <w:rFonts w:ascii="Times New Roman" w:hAnsi="Times New Roman"/>
          <w:sz w:val="28"/>
          <w:szCs w:val="28"/>
        </w:rPr>
        <w:t xml:space="preserve">Asistenca e paraanëtarësimit mbështet vendet kandidate për në BE dhe vendet kandidate të mundshme për miratimin dhe zbatimin e reformave kyçe politike, institucionale, sociale dhe ekonomike për të qenë në përputhje me vlerat e BE-së dhe për t’u përafruar në mënyrë progresive me rregullat, standardet dhe politikat e BE-së. </w:t>
      </w:r>
    </w:p>
    <w:p w:rsidR="00885989" w:rsidRPr="00466159" w:rsidRDefault="00552083" w:rsidP="008E7639">
      <w:pPr>
        <w:pStyle w:val="ListParagraph"/>
        <w:spacing w:after="0" w:line="240" w:lineRule="auto"/>
        <w:ind w:left="0"/>
        <w:jc w:val="both"/>
        <w:rPr>
          <w:rFonts w:ascii="Times New Roman" w:hAnsi="Times New Roman"/>
          <w:sz w:val="28"/>
          <w:szCs w:val="28"/>
        </w:rPr>
      </w:pPr>
      <w:r w:rsidRPr="00466159">
        <w:rPr>
          <w:rFonts w:ascii="Times New Roman" w:hAnsi="Times New Roman"/>
          <w:sz w:val="28"/>
          <w:szCs w:val="28"/>
        </w:rPr>
        <w:t xml:space="preserve">IPA III në vetvete ka një ndikim afatgjatë duke qenë se fondet jepen përmes huave dhe investimeve në projekte sektoriale brenda shtetit, programeve të </w:t>
      </w:r>
      <w:r w:rsidRPr="00466159">
        <w:rPr>
          <w:rFonts w:ascii="Times New Roman" w:hAnsi="Times New Roman"/>
          <w:sz w:val="28"/>
          <w:szCs w:val="28"/>
        </w:rPr>
        <w:lastRenderedPageBreak/>
        <w:t>bashkëpunimit ndërkufitar, asistencës për zhvillimin rural, si dhe programeve të posaçme si Plani Ekonomik dhe Investimeve që përbëhet nga disa fusha. </w:t>
      </w:r>
    </w:p>
    <w:p w:rsidR="007D755A" w:rsidRPr="00466159" w:rsidRDefault="007D755A" w:rsidP="007D755A">
      <w:pPr>
        <w:widowControl w:val="0"/>
        <w:shd w:val="clear" w:color="auto" w:fill="FFFFFF"/>
        <w:tabs>
          <w:tab w:val="left" w:pos="662"/>
        </w:tabs>
        <w:autoSpaceDE w:val="0"/>
        <w:autoSpaceDN w:val="0"/>
        <w:adjustRightInd w:val="0"/>
        <w:spacing w:after="0" w:line="240" w:lineRule="auto"/>
        <w:jc w:val="both"/>
        <w:rPr>
          <w:rFonts w:ascii="Times New Roman" w:eastAsia="MS Mincho" w:hAnsi="Times New Roman"/>
          <w:sz w:val="28"/>
          <w:szCs w:val="28"/>
          <w:lang w:val="sq-AL"/>
        </w:rPr>
      </w:pPr>
    </w:p>
    <w:p w:rsidR="001547AD" w:rsidRPr="00466159" w:rsidRDefault="001547AD" w:rsidP="001547AD">
      <w:pPr>
        <w:spacing w:after="0" w:line="240" w:lineRule="auto"/>
        <w:jc w:val="both"/>
        <w:rPr>
          <w:rStyle w:val="jlqj4b"/>
          <w:rFonts w:ascii="Times New Roman" w:eastAsia="Times New Roman" w:hAnsi="Times New Roman"/>
          <w:sz w:val="28"/>
          <w:szCs w:val="28"/>
          <w:lang w:val="sq-AL" w:eastAsia="sq-AL"/>
        </w:rPr>
      </w:pPr>
      <w:r w:rsidRPr="00466159">
        <w:rPr>
          <w:rFonts w:ascii="Times New Roman" w:eastAsia="Times New Roman" w:hAnsi="Times New Roman"/>
          <w:sz w:val="28"/>
          <w:szCs w:val="28"/>
          <w:lang w:val="sq-AL" w:eastAsia="sq-AL"/>
        </w:rPr>
        <w:t>Ligj nr. 65/2022, datë 15.9.2022 “Për ratifikimin e marrëveshjes financiare kuadër të partneritetit ndërmjet Republikës së Shqipërisë, përfaqësuar nga Këshilli i Ministrave i Republikës së Shqipërisë, dhe Komisionit Evropian për rregullat specifike të zbatimit të asistencës financiare të BE-së për Republikën e Shqipërisë, në kuadër të Instrumentit për Asistencën e Paraanëtarësimit (IPA III)</w:t>
      </w:r>
      <w:r w:rsidR="00552083" w:rsidRPr="00466159">
        <w:rPr>
          <w:rFonts w:ascii="Times New Roman" w:eastAsia="Times New Roman" w:hAnsi="Times New Roman"/>
          <w:sz w:val="28"/>
          <w:szCs w:val="28"/>
          <w:lang w:val="sq-AL" w:eastAsia="sq-AL"/>
        </w:rPr>
        <w:t>”</w:t>
      </w:r>
      <w:r w:rsidRPr="00466159">
        <w:rPr>
          <w:rFonts w:ascii="Times New Roman" w:eastAsia="Times New Roman" w:hAnsi="Times New Roman"/>
          <w:sz w:val="28"/>
          <w:szCs w:val="28"/>
          <w:lang w:val="sq-AL" w:eastAsia="sq-AL"/>
        </w:rPr>
        <w:t xml:space="preserve">, </w:t>
      </w:r>
      <w:r w:rsidRPr="00466159">
        <w:rPr>
          <w:rStyle w:val="jlqj4b"/>
          <w:rFonts w:ascii="Times New Roman" w:hAnsi="Times New Roman"/>
          <w:sz w:val="28"/>
          <w:szCs w:val="28"/>
        </w:rPr>
        <w:t>në neni 28, pika 2, gërma “d”, ka parashikuar që k</w:t>
      </w:r>
      <w:r w:rsidRPr="00466159">
        <w:rPr>
          <w:rStyle w:val="markedcontent"/>
          <w:rFonts w:ascii="Times New Roman" w:hAnsi="Times New Roman"/>
          <w:sz w:val="28"/>
          <w:szCs w:val="28"/>
        </w:rPr>
        <w:t>ontraktuesit e BE-së përjashtohen nga TVSH-ja për çdo shërbim që japin apo mallra që furnizojnë ose punime që kryhen në kuadrin e kontratës së BE-së. Edhe mallrat e furnizuara, shërbimet e ofruara apo punimet e kryera nga një kontraktues për një kontraktues të BE-së përjashtohen nga TVSH-ja në atë masë që shërbejnë për të përmbushur objektivat dhe aktivitetet në kuadrin e kontratës së BE-së.</w:t>
      </w:r>
    </w:p>
    <w:p w:rsidR="00885989" w:rsidRPr="00466159" w:rsidRDefault="00885989" w:rsidP="00885989">
      <w:pPr>
        <w:pStyle w:val="Default"/>
        <w:spacing w:line="120" w:lineRule="auto"/>
        <w:jc w:val="both"/>
        <w:rPr>
          <w:bCs/>
          <w:sz w:val="28"/>
          <w:szCs w:val="28"/>
        </w:rPr>
      </w:pPr>
    </w:p>
    <w:p w:rsidR="006435BD" w:rsidRPr="00466159" w:rsidRDefault="00885989" w:rsidP="00753625">
      <w:pPr>
        <w:spacing w:line="240" w:lineRule="auto"/>
        <w:jc w:val="both"/>
        <w:rPr>
          <w:rStyle w:val="jlqj4b"/>
          <w:rFonts w:ascii="Times New Roman" w:hAnsi="Times New Roman"/>
          <w:sz w:val="28"/>
          <w:szCs w:val="28"/>
        </w:rPr>
      </w:pPr>
      <w:r w:rsidRPr="00466159">
        <w:rPr>
          <w:rStyle w:val="jlqj4b"/>
          <w:rFonts w:ascii="Times New Roman" w:hAnsi="Times New Roman"/>
          <w:sz w:val="28"/>
          <w:szCs w:val="28"/>
        </w:rPr>
        <w:t>EU në marrëveshjen IPA III, ka parashikuar përjashtimin e</w:t>
      </w:r>
      <w:r w:rsidR="00753625" w:rsidRPr="00466159">
        <w:rPr>
          <w:rStyle w:val="jlqj4b"/>
          <w:rFonts w:ascii="Times New Roman" w:hAnsi="Times New Roman"/>
          <w:sz w:val="28"/>
          <w:szCs w:val="28"/>
        </w:rPr>
        <w:t xml:space="preserve">x-tant nga </w:t>
      </w:r>
      <w:r w:rsidR="006435BD" w:rsidRPr="00466159">
        <w:rPr>
          <w:rStyle w:val="jlqj4b"/>
          <w:rFonts w:ascii="Times New Roman" w:hAnsi="Times New Roman"/>
          <w:sz w:val="28"/>
          <w:szCs w:val="28"/>
        </w:rPr>
        <w:t>TVSH për këto fonde. Nga ana e Ministrisë së Financave dhe Ekonomisë, m</w:t>
      </w:r>
      <w:r w:rsidR="00753625" w:rsidRPr="00466159">
        <w:rPr>
          <w:rStyle w:val="jlqj4b"/>
          <w:rFonts w:ascii="Times New Roman" w:hAnsi="Times New Roman"/>
          <w:sz w:val="28"/>
          <w:szCs w:val="28"/>
        </w:rPr>
        <w:t>e qëllim harmonizimin e legjislacionit kombëtar me të të BE-së, është marrë</w:t>
      </w:r>
      <w:r w:rsidR="006435BD" w:rsidRPr="00466159">
        <w:rPr>
          <w:rStyle w:val="jlqj4b"/>
          <w:rFonts w:ascii="Times New Roman" w:hAnsi="Times New Roman"/>
          <w:sz w:val="28"/>
          <w:szCs w:val="28"/>
        </w:rPr>
        <w:t xml:space="preserve"> në konsideratë edhe praktika e</w:t>
      </w:r>
      <w:r w:rsidR="00753625" w:rsidRPr="00466159">
        <w:rPr>
          <w:rStyle w:val="jlqj4b"/>
          <w:rFonts w:ascii="Times New Roman" w:hAnsi="Times New Roman"/>
          <w:sz w:val="28"/>
          <w:szCs w:val="28"/>
        </w:rPr>
        <w:t xml:space="preserve"> Republikës së e Maqedonisë së Veriut, </w:t>
      </w:r>
      <w:r w:rsidR="006435BD" w:rsidRPr="00466159">
        <w:rPr>
          <w:rStyle w:val="jlqj4b"/>
          <w:rFonts w:ascii="Times New Roman" w:hAnsi="Times New Roman"/>
          <w:sz w:val="28"/>
          <w:szCs w:val="28"/>
        </w:rPr>
        <w:t xml:space="preserve">si një praktikë e suksesshme </w:t>
      </w:r>
      <w:r w:rsidR="00753625" w:rsidRPr="00466159">
        <w:rPr>
          <w:rStyle w:val="jlqj4b"/>
          <w:rFonts w:ascii="Times New Roman" w:hAnsi="Times New Roman"/>
          <w:sz w:val="28"/>
          <w:szCs w:val="28"/>
        </w:rPr>
        <w:t>mbi trajtimin e fondeve të donatorëve të huaj dhe fondeve IPA, sa i takon përjashtimit të TVSH-së dhe monitorimit të aplikimit të saj</w:t>
      </w:r>
      <w:r w:rsidR="006435BD" w:rsidRPr="00466159">
        <w:rPr>
          <w:rStyle w:val="jlqj4b"/>
          <w:rFonts w:ascii="Times New Roman" w:hAnsi="Times New Roman"/>
          <w:sz w:val="28"/>
          <w:szCs w:val="28"/>
        </w:rPr>
        <w:t>.</w:t>
      </w:r>
    </w:p>
    <w:p w:rsidR="006435BD" w:rsidRPr="00466159" w:rsidRDefault="00885989" w:rsidP="001729EA">
      <w:pPr>
        <w:spacing w:line="240" w:lineRule="auto"/>
        <w:jc w:val="both"/>
        <w:rPr>
          <w:rFonts w:ascii="Times New Roman" w:hAnsi="Times New Roman"/>
          <w:sz w:val="28"/>
          <w:szCs w:val="28"/>
        </w:rPr>
      </w:pPr>
      <w:r w:rsidRPr="00466159">
        <w:rPr>
          <w:rStyle w:val="jlqj4b"/>
          <w:rFonts w:ascii="Times New Roman" w:hAnsi="Times New Roman"/>
          <w:sz w:val="28"/>
          <w:szCs w:val="28"/>
        </w:rPr>
        <w:t>Aktualisht, ligji nr. 92/2014 “Për Tatimin mbi Vlerën e Shtuar në Republikën e Shqipërisë”, i ndryshuar, në nenin 77 pika 2, ka parashikuar përjashtimin e fondeve IPA nëpërmjet rimbursimit, që nënkupton që TVSH-ja për këto fonde do të paguhet, por më pas do ju kthehet përmes rimbursimit.</w:t>
      </w:r>
      <w:r w:rsidR="001729EA">
        <w:rPr>
          <w:rStyle w:val="jlqj4b"/>
          <w:rFonts w:ascii="Times New Roman" w:hAnsi="Times New Roman"/>
          <w:sz w:val="28"/>
          <w:szCs w:val="28"/>
        </w:rPr>
        <w:t xml:space="preserve"> </w:t>
      </w:r>
      <w:r w:rsidRPr="00466159">
        <w:rPr>
          <w:rFonts w:ascii="Times New Roman" w:hAnsi="Times New Roman"/>
          <w:sz w:val="28"/>
          <w:szCs w:val="28"/>
        </w:rPr>
        <w:t xml:space="preserve">Në kushtet, kur Shqipëria ka marrë statusin e vendit kandidat për anëtarësimin në BE, ka lindur nevoja për rishikimin e legjislacionit mbi TVSH-në lidhur me fondet IPA dhe donacionet </w:t>
      </w:r>
      <w:r w:rsidR="001547AD" w:rsidRPr="00466159">
        <w:rPr>
          <w:rFonts w:ascii="Times New Roman" w:hAnsi="Times New Roman"/>
          <w:sz w:val="28"/>
          <w:szCs w:val="28"/>
        </w:rPr>
        <w:t>të</w:t>
      </w:r>
      <w:r w:rsidR="002E734A" w:rsidRPr="00466159">
        <w:rPr>
          <w:rFonts w:ascii="Times New Roman" w:hAnsi="Times New Roman"/>
          <w:sz w:val="28"/>
          <w:szCs w:val="28"/>
        </w:rPr>
        <w:t xml:space="preserve"> tjera</w:t>
      </w:r>
      <w:r w:rsidR="006435BD" w:rsidRPr="00466159">
        <w:rPr>
          <w:rFonts w:ascii="Times New Roman" w:hAnsi="Times New Roman"/>
          <w:sz w:val="28"/>
          <w:szCs w:val="28"/>
        </w:rPr>
        <w:t xml:space="preserve"> me qëllim përmirësimin e tij dhe </w:t>
      </w:r>
      <w:r w:rsidRPr="00466159">
        <w:rPr>
          <w:rFonts w:ascii="Times New Roman" w:hAnsi="Times New Roman"/>
          <w:sz w:val="28"/>
          <w:szCs w:val="28"/>
        </w:rPr>
        <w:t>shmangien e problematikave të krijuara në cash flo</w:t>
      </w:r>
      <w:r w:rsidR="003D7842" w:rsidRPr="00466159">
        <w:rPr>
          <w:rFonts w:ascii="Times New Roman" w:hAnsi="Times New Roman"/>
          <w:sz w:val="28"/>
          <w:szCs w:val="28"/>
        </w:rPr>
        <w:t>ë</w:t>
      </w:r>
      <w:r w:rsidRPr="00466159">
        <w:rPr>
          <w:rFonts w:ascii="Times New Roman" w:hAnsi="Times New Roman"/>
          <w:sz w:val="28"/>
          <w:szCs w:val="28"/>
        </w:rPr>
        <w:t xml:space="preserve">, si rezultat i procedurës së rimbursimit. </w:t>
      </w:r>
    </w:p>
    <w:p w:rsidR="008E7639" w:rsidRPr="00466159" w:rsidRDefault="006435BD" w:rsidP="00816778">
      <w:pPr>
        <w:spacing w:after="0" w:line="240" w:lineRule="auto"/>
        <w:jc w:val="both"/>
        <w:rPr>
          <w:rFonts w:ascii="Times New Roman" w:hAnsi="Times New Roman"/>
          <w:sz w:val="28"/>
          <w:szCs w:val="28"/>
        </w:rPr>
      </w:pPr>
      <w:r w:rsidRPr="00466159">
        <w:rPr>
          <w:rFonts w:ascii="Times New Roman" w:hAnsi="Times New Roman"/>
          <w:sz w:val="28"/>
          <w:szCs w:val="28"/>
        </w:rPr>
        <w:t xml:space="preserve">Ky propozim, pas hyrjes në fuqi </w:t>
      </w:r>
      <w:r w:rsidR="00885989" w:rsidRPr="00466159">
        <w:rPr>
          <w:rFonts w:ascii="Times New Roman" w:hAnsi="Times New Roman"/>
          <w:sz w:val="28"/>
          <w:szCs w:val="28"/>
        </w:rPr>
        <w:t>do të përfshijë vetëm fondet IPA III dhe fondet nga donatorët e tjerë dhe nuk do ketë fuqi prapaveprues</w:t>
      </w:r>
      <w:r w:rsidR="001729EA">
        <w:rPr>
          <w:rFonts w:ascii="Times New Roman" w:hAnsi="Times New Roman"/>
          <w:sz w:val="28"/>
          <w:szCs w:val="28"/>
        </w:rPr>
        <w:t xml:space="preserve">e për marrëveshjet e mëparshme. </w:t>
      </w:r>
      <w:r w:rsidR="001729EA">
        <w:rPr>
          <w:rStyle w:val="jlqj4b"/>
          <w:rFonts w:ascii="Times New Roman" w:hAnsi="Times New Roman"/>
          <w:sz w:val="28"/>
          <w:szCs w:val="28"/>
        </w:rPr>
        <w:t xml:space="preserve">Konkretisht, </w:t>
      </w:r>
      <w:r w:rsidR="00E9799F">
        <w:rPr>
          <w:rStyle w:val="jlqj4b"/>
          <w:rFonts w:ascii="Times New Roman" w:hAnsi="Times New Roman"/>
          <w:sz w:val="28"/>
          <w:szCs w:val="28"/>
        </w:rPr>
        <w:t>projekt</w:t>
      </w:r>
      <w:r w:rsidR="00885989" w:rsidRPr="00466159">
        <w:rPr>
          <w:rStyle w:val="jlqj4b"/>
          <w:rFonts w:ascii="Times New Roman" w:hAnsi="Times New Roman"/>
          <w:sz w:val="28"/>
          <w:szCs w:val="28"/>
        </w:rPr>
        <w:t>ligj</w:t>
      </w:r>
      <w:r w:rsidRPr="00466159">
        <w:rPr>
          <w:rStyle w:val="jlqj4b"/>
          <w:rFonts w:ascii="Times New Roman" w:hAnsi="Times New Roman"/>
          <w:sz w:val="28"/>
          <w:szCs w:val="28"/>
        </w:rPr>
        <w:t>i</w:t>
      </w:r>
      <w:r w:rsidR="00885989" w:rsidRPr="00466159">
        <w:rPr>
          <w:rStyle w:val="jlqj4b"/>
          <w:rFonts w:ascii="Times New Roman" w:hAnsi="Times New Roman"/>
          <w:sz w:val="28"/>
          <w:szCs w:val="28"/>
        </w:rPr>
        <w:t xml:space="preserve"> propozon që </w:t>
      </w:r>
      <w:r w:rsidR="00885989" w:rsidRPr="00466159">
        <w:rPr>
          <w:rFonts w:ascii="Times New Roman" w:hAnsi="Times New Roman"/>
          <w:sz w:val="28"/>
          <w:szCs w:val="28"/>
        </w:rPr>
        <w:t xml:space="preserve">furnizimi i mallrave/shërbimeve, të destinuara për realizimin e projekteve të </w:t>
      </w:r>
      <w:r w:rsidR="00885989" w:rsidRPr="00466159">
        <w:rPr>
          <w:rStyle w:val="jlqj4b"/>
          <w:rFonts w:ascii="Times New Roman" w:hAnsi="Times New Roman"/>
          <w:sz w:val="28"/>
          <w:szCs w:val="28"/>
        </w:rPr>
        <w:t xml:space="preserve">financuara </w:t>
      </w:r>
      <w:r w:rsidR="008E7639" w:rsidRPr="00466159">
        <w:rPr>
          <w:rStyle w:val="jlqj4b"/>
          <w:rFonts w:ascii="Times New Roman" w:hAnsi="Times New Roman"/>
          <w:sz w:val="28"/>
          <w:szCs w:val="28"/>
        </w:rPr>
        <w:t>me fonde të marra në bazë të një marrëveshje donacioni/granti</w:t>
      </w:r>
      <w:r w:rsidR="008E7639" w:rsidRPr="00466159">
        <w:rPr>
          <w:rFonts w:ascii="Times New Roman" w:hAnsi="Times New Roman"/>
          <w:sz w:val="28"/>
          <w:szCs w:val="28"/>
        </w:rPr>
        <w:t xml:space="preserve">, </w:t>
      </w:r>
      <w:r w:rsidR="008E7639" w:rsidRPr="00466159">
        <w:rPr>
          <w:rStyle w:val="jlqj4b"/>
          <w:rFonts w:ascii="Times New Roman" w:hAnsi="Times New Roman"/>
          <w:sz w:val="28"/>
          <w:szCs w:val="28"/>
        </w:rPr>
        <w:t>të lidhur ndërmjet Këshillit të Ministrave të Republikës së Shqipërisë/Republikës së Shqipërisë</w:t>
      </w:r>
      <w:r w:rsidR="008E7639" w:rsidRPr="00466159">
        <w:rPr>
          <w:rFonts w:ascii="Times New Roman" w:hAnsi="Times New Roman"/>
          <w:sz w:val="28"/>
          <w:szCs w:val="28"/>
        </w:rPr>
        <w:t xml:space="preserve"> dhe donatorëve të huaj</w:t>
      </w:r>
      <w:r w:rsidR="00885989" w:rsidRPr="00466159">
        <w:rPr>
          <w:rFonts w:ascii="Times New Roman" w:hAnsi="Times New Roman"/>
          <w:sz w:val="28"/>
          <w:szCs w:val="28"/>
        </w:rPr>
        <w:t xml:space="preserve">, </w:t>
      </w:r>
      <w:r w:rsidR="00885989" w:rsidRPr="00466159">
        <w:rPr>
          <w:rStyle w:val="jlqj4b"/>
          <w:rFonts w:ascii="Times New Roman" w:hAnsi="Times New Roman"/>
          <w:sz w:val="28"/>
          <w:szCs w:val="28"/>
        </w:rPr>
        <w:t>nëse në marrëveshje është parashikuar se fondet e përfituara nuk do të përdoren për të paguar tatime</w:t>
      </w:r>
      <w:r w:rsidR="00885989" w:rsidRPr="00466159">
        <w:rPr>
          <w:rFonts w:ascii="Times New Roman" w:hAnsi="Times New Roman"/>
          <w:sz w:val="28"/>
          <w:szCs w:val="28"/>
          <w:lang w:val="sq-AL"/>
        </w:rPr>
        <w:t xml:space="preserve">, do </w:t>
      </w:r>
      <w:r w:rsidR="00885989" w:rsidRPr="00466159">
        <w:rPr>
          <w:rFonts w:ascii="Times New Roman" w:hAnsi="Times New Roman"/>
          <w:sz w:val="28"/>
          <w:szCs w:val="28"/>
        </w:rPr>
        <w:t xml:space="preserve">të trajtohen si furnizime të përngjashme me eksportet, pra me TVSH 0 dhe me të drejtë kreditimi për blerjet </w:t>
      </w:r>
      <w:r w:rsidR="00885989" w:rsidRPr="00466159">
        <w:rPr>
          <w:rFonts w:ascii="Times New Roman" w:hAnsi="Times New Roman"/>
          <w:sz w:val="28"/>
          <w:szCs w:val="28"/>
        </w:rPr>
        <w:lastRenderedPageBreak/>
        <w:t>e kryera në funksion të aktivitetit. K</w:t>
      </w:r>
      <w:r w:rsidR="00885989" w:rsidRPr="00466159">
        <w:rPr>
          <w:rStyle w:val="jlqj4b"/>
          <w:rFonts w:ascii="Times New Roman" w:hAnsi="Times New Roman"/>
          <w:sz w:val="28"/>
          <w:szCs w:val="28"/>
        </w:rPr>
        <w:t>jo në analogji me parashikimet e Direktivës së BE-së dhe zbatimin korrekt të skemës së TVSH-së.</w:t>
      </w:r>
      <w:r w:rsidR="00552083" w:rsidRPr="00466159">
        <w:rPr>
          <w:rStyle w:val="jlqj4b"/>
          <w:rFonts w:ascii="Times New Roman" w:hAnsi="Times New Roman"/>
          <w:sz w:val="28"/>
          <w:szCs w:val="28"/>
        </w:rPr>
        <w:t xml:space="preserve"> </w:t>
      </w:r>
      <w:r w:rsidR="00885989" w:rsidRPr="00466159">
        <w:rPr>
          <w:rFonts w:ascii="Times New Roman" w:hAnsi="Times New Roman"/>
          <w:sz w:val="28"/>
          <w:szCs w:val="28"/>
        </w:rPr>
        <w:t>Ky përjashtim do të aplikohet edhe për importin e mallrave në kuadër të realizimit të këtyre projekteve.</w:t>
      </w:r>
      <w:r w:rsidR="00254928" w:rsidRPr="00466159">
        <w:rPr>
          <w:rFonts w:ascii="Times New Roman" w:hAnsi="Times New Roman"/>
          <w:sz w:val="28"/>
          <w:szCs w:val="28"/>
        </w:rPr>
        <w:t xml:space="preserve"> </w:t>
      </w:r>
    </w:p>
    <w:p w:rsidR="008E7639" w:rsidRPr="00466159" w:rsidRDefault="008E7639" w:rsidP="00816778">
      <w:pPr>
        <w:spacing w:after="0" w:line="240" w:lineRule="auto"/>
        <w:jc w:val="both"/>
        <w:rPr>
          <w:rFonts w:ascii="Times New Roman" w:hAnsi="Times New Roman"/>
          <w:sz w:val="28"/>
          <w:szCs w:val="28"/>
        </w:rPr>
      </w:pPr>
    </w:p>
    <w:p w:rsidR="00816778" w:rsidRPr="00466159" w:rsidRDefault="006435BD" w:rsidP="00816778">
      <w:pPr>
        <w:spacing w:after="0" w:line="240" w:lineRule="auto"/>
        <w:jc w:val="both"/>
        <w:rPr>
          <w:rFonts w:ascii="Times New Roman" w:hAnsi="Times New Roman"/>
          <w:sz w:val="28"/>
          <w:szCs w:val="28"/>
        </w:rPr>
      </w:pPr>
      <w:r w:rsidRPr="00466159">
        <w:rPr>
          <w:rFonts w:ascii="Times New Roman" w:hAnsi="Times New Roman"/>
          <w:sz w:val="28"/>
          <w:szCs w:val="28"/>
        </w:rPr>
        <w:t>Në këtë faze, e</w:t>
      </w:r>
      <w:r w:rsidR="00254928" w:rsidRPr="00466159">
        <w:rPr>
          <w:rFonts w:ascii="Times New Roman" w:hAnsi="Times New Roman"/>
          <w:sz w:val="28"/>
          <w:szCs w:val="28"/>
        </w:rPr>
        <w:t xml:space="preserve">fekti në buxhetin e shtetit nuk mund të matet, </w:t>
      </w:r>
      <w:r w:rsidR="002E734A" w:rsidRPr="00466159">
        <w:rPr>
          <w:rFonts w:ascii="Times New Roman" w:hAnsi="Times New Roman"/>
          <w:sz w:val="28"/>
          <w:szCs w:val="28"/>
        </w:rPr>
        <w:t>pasi</w:t>
      </w:r>
      <w:r w:rsidR="00254928" w:rsidRPr="00466159">
        <w:rPr>
          <w:rFonts w:ascii="Times New Roman" w:hAnsi="Times New Roman"/>
          <w:sz w:val="28"/>
          <w:szCs w:val="28"/>
        </w:rPr>
        <w:t xml:space="preserve"> </w:t>
      </w:r>
      <w:r w:rsidR="00B77334" w:rsidRPr="00466159">
        <w:rPr>
          <w:rFonts w:ascii="Times New Roman" w:hAnsi="Times New Roman"/>
          <w:sz w:val="28"/>
          <w:szCs w:val="28"/>
        </w:rPr>
        <w:t xml:space="preserve">është </w:t>
      </w:r>
      <w:r w:rsidR="002E734A" w:rsidRPr="00466159">
        <w:rPr>
          <w:rFonts w:ascii="Times New Roman" w:hAnsi="Times New Roman"/>
          <w:sz w:val="28"/>
          <w:szCs w:val="28"/>
        </w:rPr>
        <w:t>i</w:t>
      </w:r>
      <w:r w:rsidR="00B77334" w:rsidRPr="00466159">
        <w:rPr>
          <w:rFonts w:ascii="Times New Roman" w:hAnsi="Times New Roman"/>
          <w:sz w:val="28"/>
          <w:szCs w:val="28"/>
        </w:rPr>
        <w:t xml:space="preserve"> pamundur identifikimi i </w:t>
      </w:r>
      <w:r w:rsidR="00254928" w:rsidRPr="00466159">
        <w:rPr>
          <w:rFonts w:ascii="Times New Roman" w:hAnsi="Times New Roman"/>
          <w:sz w:val="28"/>
          <w:szCs w:val="28"/>
        </w:rPr>
        <w:t>projekteve/marrëveshjeve që mund të n</w:t>
      </w:r>
      <w:r w:rsidR="00F95506">
        <w:rPr>
          <w:rFonts w:ascii="Times New Roman" w:hAnsi="Times New Roman"/>
          <w:sz w:val="28"/>
          <w:szCs w:val="28"/>
        </w:rPr>
        <w:t>ënshkruaj Këshilli i Ministrave</w:t>
      </w:r>
      <w:r w:rsidR="00254928" w:rsidRPr="00466159">
        <w:rPr>
          <w:rFonts w:ascii="Times New Roman" w:hAnsi="Times New Roman"/>
          <w:sz w:val="28"/>
          <w:szCs w:val="28"/>
        </w:rPr>
        <w:t>/R</w:t>
      </w:r>
      <w:r w:rsidR="008E7639" w:rsidRPr="00466159">
        <w:rPr>
          <w:rFonts w:ascii="Times New Roman" w:hAnsi="Times New Roman"/>
          <w:sz w:val="28"/>
          <w:szCs w:val="28"/>
        </w:rPr>
        <w:t>epublika e S</w:t>
      </w:r>
      <w:r w:rsidR="00B77334" w:rsidRPr="00466159">
        <w:rPr>
          <w:rFonts w:ascii="Times New Roman" w:hAnsi="Times New Roman"/>
          <w:sz w:val="28"/>
          <w:szCs w:val="28"/>
        </w:rPr>
        <w:t>hqipërisë.</w:t>
      </w:r>
    </w:p>
    <w:p w:rsidR="00B77334" w:rsidRPr="00466159" w:rsidRDefault="00B77334" w:rsidP="00816778">
      <w:pPr>
        <w:spacing w:after="0" w:line="240" w:lineRule="auto"/>
        <w:jc w:val="both"/>
        <w:rPr>
          <w:rFonts w:ascii="Times New Roman" w:hAnsi="Times New Roman"/>
          <w:sz w:val="28"/>
          <w:szCs w:val="28"/>
        </w:rPr>
      </w:pPr>
    </w:p>
    <w:p w:rsidR="004765EF" w:rsidRDefault="006435BD" w:rsidP="000363B0">
      <w:pPr>
        <w:pStyle w:val="ListParagraph"/>
        <w:numPr>
          <w:ilvl w:val="0"/>
          <w:numId w:val="3"/>
        </w:numPr>
        <w:spacing w:line="240" w:lineRule="auto"/>
        <w:ind w:left="0" w:right="79" w:firstLine="0"/>
        <w:jc w:val="both"/>
        <w:rPr>
          <w:rFonts w:ascii="Times New Roman" w:eastAsia="Arial" w:hAnsi="Times New Roman"/>
          <w:spacing w:val="-1"/>
          <w:sz w:val="28"/>
          <w:szCs w:val="28"/>
        </w:rPr>
      </w:pPr>
      <w:r w:rsidRPr="00466159">
        <w:rPr>
          <w:rFonts w:ascii="Times New Roman" w:eastAsia="Arial" w:hAnsi="Times New Roman"/>
          <w:spacing w:val="-1"/>
          <w:sz w:val="28"/>
          <w:szCs w:val="28"/>
        </w:rPr>
        <w:t>Një tjetër propozim</w:t>
      </w:r>
      <w:r w:rsidR="00885989" w:rsidRPr="00466159">
        <w:rPr>
          <w:rFonts w:ascii="Times New Roman" w:eastAsia="Arial" w:hAnsi="Times New Roman"/>
          <w:spacing w:val="-1"/>
          <w:sz w:val="28"/>
          <w:szCs w:val="28"/>
        </w:rPr>
        <w:t xml:space="preserve"> i projektligjit</w:t>
      </w:r>
      <w:r w:rsidR="00552083" w:rsidRPr="00466159">
        <w:rPr>
          <w:rFonts w:ascii="Times New Roman" w:hAnsi="Times New Roman"/>
          <w:color w:val="212121"/>
          <w:sz w:val="28"/>
          <w:szCs w:val="28"/>
          <w:shd w:val="clear" w:color="auto" w:fill="FFFFFF"/>
        </w:rPr>
        <w:t>, është</w:t>
      </w:r>
      <w:r w:rsidR="00885989" w:rsidRPr="00466159">
        <w:rPr>
          <w:rFonts w:ascii="Times New Roman" w:eastAsia="Arial" w:hAnsi="Times New Roman"/>
          <w:spacing w:val="-1"/>
          <w:sz w:val="28"/>
          <w:szCs w:val="28"/>
        </w:rPr>
        <w:t xml:space="preserve"> aplikimi</w:t>
      </w:r>
      <w:r w:rsidR="00552083" w:rsidRPr="00466159">
        <w:rPr>
          <w:rFonts w:ascii="Times New Roman" w:eastAsia="Arial" w:hAnsi="Times New Roman"/>
          <w:spacing w:val="-1"/>
          <w:sz w:val="28"/>
          <w:szCs w:val="28"/>
        </w:rPr>
        <w:t xml:space="preserve"> i </w:t>
      </w:r>
      <w:r w:rsidR="00885989" w:rsidRPr="00466159">
        <w:rPr>
          <w:rFonts w:ascii="Times New Roman" w:eastAsia="Arial" w:hAnsi="Times New Roman"/>
          <w:spacing w:val="-1"/>
          <w:sz w:val="28"/>
          <w:szCs w:val="28"/>
        </w:rPr>
        <w:t xml:space="preserve">një skeme të veçantë për </w:t>
      </w:r>
      <w:r w:rsidR="00552083" w:rsidRPr="00466159">
        <w:rPr>
          <w:rFonts w:ascii="Times New Roman" w:hAnsi="Times New Roman"/>
          <w:sz w:val="28"/>
          <w:szCs w:val="28"/>
          <w:lang w:val="sq-AL"/>
        </w:rPr>
        <w:t>tregtimin e energjisë elektrike përmes Bursës Shqiptare të Energjisë</w:t>
      </w:r>
      <w:r w:rsidR="00552083" w:rsidRPr="00466159">
        <w:rPr>
          <w:rFonts w:ascii="Times New Roman" w:eastAsia="Arial" w:hAnsi="Times New Roman"/>
          <w:spacing w:val="-1"/>
          <w:sz w:val="28"/>
          <w:szCs w:val="28"/>
        </w:rPr>
        <w:t xml:space="preserve">, </w:t>
      </w:r>
      <w:r w:rsidRPr="00466159">
        <w:rPr>
          <w:rFonts w:ascii="Times New Roman" w:eastAsia="Arial" w:hAnsi="Times New Roman"/>
          <w:spacing w:val="-1"/>
          <w:sz w:val="28"/>
          <w:szCs w:val="28"/>
        </w:rPr>
        <w:t>me qëllim</w:t>
      </w:r>
      <w:r w:rsidR="00552083" w:rsidRPr="00466159">
        <w:rPr>
          <w:rFonts w:ascii="Times New Roman" w:eastAsia="Arial" w:hAnsi="Times New Roman"/>
          <w:spacing w:val="-1"/>
          <w:sz w:val="28"/>
          <w:szCs w:val="28"/>
        </w:rPr>
        <w:t xml:space="preserve"> që të garanto</w:t>
      </w:r>
      <w:r w:rsidRPr="00466159">
        <w:rPr>
          <w:rFonts w:ascii="Times New Roman" w:eastAsia="Arial" w:hAnsi="Times New Roman"/>
          <w:spacing w:val="-1"/>
          <w:sz w:val="28"/>
          <w:szCs w:val="28"/>
        </w:rPr>
        <w:t>het</w:t>
      </w:r>
      <w:r w:rsidR="00552083" w:rsidRPr="00466159">
        <w:rPr>
          <w:rFonts w:ascii="Times New Roman" w:eastAsia="Arial" w:hAnsi="Times New Roman"/>
          <w:spacing w:val="-1"/>
          <w:sz w:val="28"/>
          <w:szCs w:val="28"/>
        </w:rPr>
        <w:t xml:space="preserve"> tregtimin e energjisë elek</w:t>
      </w:r>
      <w:r w:rsidR="002E734A" w:rsidRPr="00466159">
        <w:rPr>
          <w:rFonts w:ascii="Times New Roman" w:eastAsia="Arial" w:hAnsi="Times New Roman"/>
          <w:spacing w:val="-1"/>
          <w:sz w:val="28"/>
          <w:szCs w:val="28"/>
        </w:rPr>
        <w:t>trike në një treg të organizuar</w:t>
      </w:r>
      <w:r w:rsidR="00552083" w:rsidRPr="00466159">
        <w:rPr>
          <w:rFonts w:ascii="Times New Roman" w:eastAsia="Arial" w:hAnsi="Times New Roman"/>
          <w:spacing w:val="-1"/>
          <w:sz w:val="28"/>
          <w:szCs w:val="28"/>
        </w:rPr>
        <w:t xml:space="preserve">. </w:t>
      </w:r>
    </w:p>
    <w:p w:rsidR="004765EF" w:rsidRDefault="004765EF" w:rsidP="008A4B4F">
      <w:pPr>
        <w:pStyle w:val="Default"/>
        <w:jc w:val="both"/>
        <w:rPr>
          <w:sz w:val="28"/>
          <w:szCs w:val="28"/>
          <w:lang w:val="sq-AL"/>
        </w:rPr>
      </w:pPr>
      <w:r>
        <w:rPr>
          <w:rFonts w:eastAsia="Arial"/>
          <w:spacing w:val="-1"/>
          <w:sz w:val="28"/>
          <w:szCs w:val="28"/>
        </w:rPr>
        <w:t xml:space="preserve">Konkretisht, është propozuar, </w:t>
      </w:r>
      <w:r w:rsidRPr="00466159">
        <w:rPr>
          <w:sz w:val="28"/>
          <w:szCs w:val="28"/>
        </w:rPr>
        <w:t>përjashtim</w:t>
      </w:r>
      <w:r>
        <w:rPr>
          <w:sz w:val="28"/>
          <w:szCs w:val="28"/>
        </w:rPr>
        <w:t>i</w:t>
      </w:r>
      <w:r w:rsidRPr="00466159">
        <w:rPr>
          <w:sz w:val="28"/>
          <w:szCs w:val="28"/>
        </w:rPr>
        <w:t xml:space="preserve"> nga TVSH-ja në</w:t>
      </w:r>
      <w:r w:rsidRPr="00466159">
        <w:rPr>
          <w:sz w:val="28"/>
          <w:szCs w:val="28"/>
          <w:lang w:val="sq-AL"/>
        </w:rPr>
        <w:t xml:space="preserve"> </w:t>
      </w:r>
      <w:r w:rsidRPr="00466159">
        <w:rPr>
          <w:sz w:val="28"/>
          <w:szCs w:val="28"/>
        </w:rPr>
        <w:t xml:space="preserve">import apo furnizimi brenda vendit </w:t>
      </w:r>
      <w:r>
        <w:rPr>
          <w:sz w:val="28"/>
          <w:szCs w:val="28"/>
        </w:rPr>
        <w:t>i</w:t>
      </w:r>
      <w:r w:rsidRPr="00466159">
        <w:rPr>
          <w:sz w:val="28"/>
          <w:szCs w:val="28"/>
        </w:rPr>
        <w:t xml:space="preserve"> energjisë elektrike të destinuar për tu shitur nëpërmjet Bursës </w:t>
      </w:r>
      <w:r>
        <w:rPr>
          <w:sz w:val="28"/>
          <w:szCs w:val="28"/>
        </w:rPr>
        <w:t>Shqiptare t</w:t>
      </w:r>
      <w:r w:rsidRPr="00466159">
        <w:rPr>
          <w:sz w:val="28"/>
          <w:szCs w:val="28"/>
        </w:rPr>
        <w:t>ë Energjisë si dhe kalimin e përgjegj</w:t>
      </w:r>
      <w:r w:rsidRPr="00466159">
        <w:rPr>
          <w:sz w:val="28"/>
          <w:szCs w:val="28"/>
          <w:lang w:val="sq-AL"/>
        </w:rPr>
        <w:t>ës për pagesën e TVSH-së, personit të tatueshëm për të cilin kryhet furnizimi me energji elektrike nëpërmjet mekanizmit të revers charge (autongarkesës).</w:t>
      </w:r>
    </w:p>
    <w:p w:rsidR="008A4B4F" w:rsidRPr="008A4B4F" w:rsidRDefault="008A4B4F" w:rsidP="008A4B4F">
      <w:pPr>
        <w:pStyle w:val="Default"/>
        <w:jc w:val="both"/>
        <w:rPr>
          <w:sz w:val="28"/>
          <w:szCs w:val="28"/>
          <w:lang w:val="sq-AL"/>
        </w:rPr>
      </w:pPr>
    </w:p>
    <w:p w:rsidR="00B51186" w:rsidRPr="00466159" w:rsidRDefault="00885989" w:rsidP="00B51186">
      <w:pPr>
        <w:spacing w:line="240" w:lineRule="auto"/>
        <w:ind w:right="79"/>
        <w:jc w:val="both"/>
        <w:rPr>
          <w:rFonts w:ascii="Times New Roman" w:eastAsia="Arial" w:hAnsi="Times New Roman"/>
          <w:spacing w:val="-1"/>
          <w:sz w:val="28"/>
          <w:szCs w:val="28"/>
        </w:rPr>
      </w:pPr>
      <w:r w:rsidRPr="00466159">
        <w:rPr>
          <w:rFonts w:ascii="Times New Roman" w:eastAsia="Arial" w:hAnsi="Times New Roman"/>
          <w:spacing w:val="-1"/>
          <w:sz w:val="28"/>
          <w:szCs w:val="28"/>
        </w:rPr>
        <w:t>Bursa Shqiptare e Energjisë Elektrike (</w:t>
      </w:r>
      <w:r w:rsidRPr="00466159">
        <w:rPr>
          <w:rFonts w:ascii="Times New Roman" w:hAnsi="Times New Roman"/>
          <w:sz w:val="28"/>
          <w:szCs w:val="28"/>
        </w:rPr>
        <w:t>BSHEE</w:t>
      </w:r>
      <w:r w:rsidRPr="00466159">
        <w:rPr>
          <w:rFonts w:ascii="Times New Roman" w:eastAsia="Arial" w:hAnsi="Times New Roman"/>
          <w:spacing w:val="-1"/>
          <w:sz w:val="28"/>
          <w:szCs w:val="28"/>
        </w:rPr>
        <w:t>)</w:t>
      </w:r>
      <w:r w:rsidR="00B51186" w:rsidRPr="00466159">
        <w:rPr>
          <w:rFonts w:ascii="Times New Roman" w:eastAsia="Arial" w:hAnsi="Times New Roman"/>
          <w:spacing w:val="-1"/>
          <w:sz w:val="28"/>
          <w:szCs w:val="28"/>
        </w:rPr>
        <w:t>, e krijuar tashmë si një shoqëri aksionare për të mundësuar tregtimin e energjisë elektrike në tregun e organizuar të Shqipërisë në Ditën në Avancë dhe Brenda së Njëjtës Ditë si dhe në tregjet e bashkuara me Kosovën dhe më pas me tregjet e tjera rajonale dhe evropiane.</w:t>
      </w:r>
    </w:p>
    <w:p w:rsidR="00B51186" w:rsidRPr="00466159" w:rsidRDefault="00B51186" w:rsidP="00885989">
      <w:pPr>
        <w:spacing w:line="240" w:lineRule="auto"/>
        <w:ind w:right="79"/>
        <w:jc w:val="both"/>
        <w:rPr>
          <w:rFonts w:ascii="Times New Roman" w:eastAsia="Arial" w:hAnsi="Times New Roman"/>
          <w:spacing w:val="-1"/>
          <w:sz w:val="28"/>
          <w:szCs w:val="28"/>
        </w:rPr>
      </w:pPr>
      <w:r w:rsidRPr="00466159">
        <w:rPr>
          <w:rFonts w:ascii="Times New Roman" w:eastAsia="Arial" w:hAnsi="Times New Roman"/>
          <w:spacing w:val="-1"/>
          <w:sz w:val="28"/>
          <w:szCs w:val="28"/>
        </w:rPr>
        <w:t xml:space="preserve">Me shkresën nr. 164 prot., datë 27.10.2021, BSHEE ka propozuar disa ndryshime në Ligjin nr. 92/2014 “Për tatimin mbi vlerën e shtuar në RSH”, i ndryshuar, si rezultat i parashikimit </w:t>
      </w:r>
      <w:r w:rsidR="00E652BA" w:rsidRPr="00466159">
        <w:rPr>
          <w:rFonts w:ascii="Times New Roman" w:eastAsia="Arial" w:hAnsi="Times New Roman"/>
          <w:spacing w:val="-1"/>
          <w:sz w:val="28"/>
          <w:szCs w:val="28"/>
        </w:rPr>
        <w:t xml:space="preserve">për fillimin e </w:t>
      </w:r>
      <w:r w:rsidRPr="00466159">
        <w:rPr>
          <w:rFonts w:ascii="Times New Roman" w:eastAsia="Arial" w:hAnsi="Times New Roman"/>
          <w:spacing w:val="-1"/>
          <w:sz w:val="28"/>
          <w:szCs w:val="28"/>
        </w:rPr>
        <w:t>funksion</w:t>
      </w:r>
      <w:r w:rsidR="00E652BA" w:rsidRPr="00466159">
        <w:rPr>
          <w:rFonts w:ascii="Times New Roman" w:eastAsia="Arial" w:hAnsi="Times New Roman"/>
          <w:spacing w:val="-1"/>
          <w:sz w:val="28"/>
          <w:szCs w:val="28"/>
        </w:rPr>
        <w:t>imit</w:t>
      </w:r>
      <w:r w:rsidRPr="00466159">
        <w:rPr>
          <w:rFonts w:ascii="Times New Roman" w:eastAsia="Arial" w:hAnsi="Times New Roman"/>
          <w:spacing w:val="-1"/>
          <w:sz w:val="28"/>
          <w:szCs w:val="28"/>
        </w:rPr>
        <w:t xml:space="preserve"> operacional me datë 23.11.2022.</w:t>
      </w:r>
    </w:p>
    <w:p w:rsidR="00E652BA" w:rsidRPr="00466159" w:rsidRDefault="00885989" w:rsidP="00885989">
      <w:pPr>
        <w:spacing w:line="240" w:lineRule="auto"/>
        <w:ind w:right="79"/>
        <w:jc w:val="both"/>
        <w:rPr>
          <w:rFonts w:ascii="Times New Roman" w:hAnsi="Times New Roman"/>
          <w:sz w:val="28"/>
          <w:szCs w:val="28"/>
        </w:rPr>
      </w:pPr>
      <w:r w:rsidRPr="00466159">
        <w:rPr>
          <w:rFonts w:ascii="Times New Roman" w:hAnsi="Times New Roman"/>
          <w:sz w:val="28"/>
          <w:szCs w:val="28"/>
        </w:rPr>
        <w:t>Modeli i tregtimit të energjisë elektrike në Bursën Shqiptare të Energjisë Elektrike bazohet n</w:t>
      </w:r>
      <w:r w:rsidRPr="00466159">
        <w:rPr>
          <w:rFonts w:ascii="Times New Roman" w:eastAsia="Arial" w:hAnsi="Times New Roman"/>
          <w:spacing w:val="-1"/>
          <w:sz w:val="28"/>
          <w:szCs w:val="28"/>
        </w:rPr>
        <w:t>ë</w:t>
      </w:r>
      <w:r w:rsidRPr="00466159">
        <w:rPr>
          <w:rFonts w:ascii="Times New Roman" w:hAnsi="Times New Roman"/>
          <w:sz w:val="28"/>
          <w:szCs w:val="28"/>
        </w:rPr>
        <w:t xml:space="preserve"> modelin evropian t</w:t>
      </w:r>
      <w:r w:rsidRPr="00466159">
        <w:rPr>
          <w:rFonts w:ascii="Times New Roman" w:eastAsia="Arial" w:hAnsi="Times New Roman"/>
          <w:spacing w:val="-1"/>
          <w:sz w:val="28"/>
          <w:szCs w:val="28"/>
        </w:rPr>
        <w:t>ë</w:t>
      </w:r>
      <w:r w:rsidRPr="00466159">
        <w:rPr>
          <w:rFonts w:ascii="Times New Roman" w:hAnsi="Times New Roman"/>
          <w:sz w:val="28"/>
          <w:szCs w:val="28"/>
        </w:rPr>
        <w:t xml:space="preserve"> tregtimit, e përcaktuar nga VKM 519, dat</w:t>
      </w:r>
      <w:r w:rsidRPr="00466159">
        <w:rPr>
          <w:rFonts w:ascii="Times New Roman" w:eastAsia="Arial" w:hAnsi="Times New Roman"/>
          <w:spacing w:val="-1"/>
          <w:sz w:val="28"/>
          <w:szCs w:val="28"/>
        </w:rPr>
        <w:t>ë</w:t>
      </w:r>
      <w:r w:rsidRPr="00466159">
        <w:rPr>
          <w:rFonts w:ascii="Times New Roman" w:hAnsi="Times New Roman"/>
          <w:sz w:val="28"/>
          <w:szCs w:val="28"/>
        </w:rPr>
        <w:t xml:space="preserve"> 13.7.2016 “Për Miratimin e Modelit të Tregut të Energjisë Elektrike”. </w:t>
      </w:r>
      <w:r w:rsidR="00E652BA" w:rsidRPr="00466159">
        <w:rPr>
          <w:rFonts w:ascii="Times New Roman" w:hAnsi="Times New Roman"/>
          <w:sz w:val="28"/>
          <w:szCs w:val="28"/>
        </w:rPr>
        <w:t>Ky model bazohet në një ankand t</w:t>
      </w:r>
      <w:r w:rsidRPr="00466159">
        <w:rPr>
          <w:rFonts w:ascii="Times New Roman" w:hAnsi="Times New Roman"/>
          <w:sz w:val="28"/>
          <w:szCs w:val="28"/>
        </w:rPr>
        <w:t>ë urdh</w:t>
      </w:r>
      <w:r w:rsidR="00E652BA" w:rsidRPr="00466159">
        <w:rPr>
          <w:rFonts w:ascii="Times New Roman" w:hAnsi="Times New Roman"/>
          <w:sz w:val="28"/>
          <w:szCs w:val="28"/>
        </w:rPr>
        <w:t>ërporosive (blerje ose shitje) t</w:t>
      </w:r>
      <w:r w:rsidRPr="00466159">
        <w:rPr>
          <w:rFonts w:ascii="Times New Roman" w:eastAsia="Arial" w:hAnsi="Times New Roman"/>
          <w:spacing w:val="-1"/>
          <w:sz w:val="28"/>
          <w:szCs w:val="28"/>
        </w:rPr>
        <w:t>ë</w:t>
      </w:r>
      <w:r w:rsidRPr="00466159">
        <w:rPr>
          <w:rFonts w:ascii="Times New Roman" w:hAnsi="Times New Roman"/>
          <w:sz w:val="28"/>
          <w:szCs w:val="28"/>
        </w:rPr>
        <w:t xml:space="preserve"> anëtar</w:t>
      </w:r>
      <w:r w:rsidRPr="00466159">
        <w:rPr>
          <w:rFonts w:ascii="Times New Roman" w:eastAsia="Arial" w:hAnsi="Times New Roman"/>
          <w:spacing w:val="-1"/>
          <w:sz w:val="28"/>
          <w:szCs w:val="28"/>
        </w:rPr>
        <w:t>ë</w:t>
      </w:r>
      <w:r w:rsidR="00E652BA" w:rsidRPr="00466159">
        <w:rPr>
          <w:rFonts w:ascii="Times New Roman" w:hAnsi="Times New Roman"/>
          <w:sz w:val="28"/>
          <w:szCs w:val="28"/>
        </w:rPr>
        <w:t>ve</w:t>
      </w:r>
      <w:r w:rsidRPr="00466159">
        <w:rPr>
          <w:rFonts w:ascii="Times New Roman" w:hAnsi="Times New Roman"/>
          <w:sz w:val="28"/>
          <w:szCs w:val="28"/>
        </w:rPr>
        <w:t xml:space="preserve"> </w:t>
      </w:r>
      <w:r w:rsidR="00E652BA" w:rsidRPr="00466159">
        <w:rPr>
          <w:rFonts w:ascii="Times New Roman" w:hAnsi="Times New Roman"/>
          <w:sz w:val="28"/>
          <w:szCs w:val="28"/>
        </w:rPr>
        <w:t>të</w:t>
      </w:r>
      <w:r w:rsidRPr="00466159">
        <w:rPr>
          <w:rFonts w:ascii="Times New Roman" w:hAnsi="Times New Roman"/>
          <w:sz w:val="28"/>
          <w:szCs w:val="28"/>
        </w:rPr>
        <w:t xml:space="preserve"> saj (jo individë)</w:t>
      </w:r>
      <w:r w:rsidR="00E652BA" w:rsidRPr="00466159">
        <w:rPr>
          <w:rFonts w:ascii="Times New Roman" w:hAnsi="Times New Roman"/>
          <w:sz w:val="28"/>
          <w:szCs w:val="28"/>
        </w:rPr>
        <w:t>,</w:t>
      </w:r>
      <w:r w:rsidRPr="00466159">
        <w:rPr>
          <w:rFonts w:ascii="Times New Roman" w:hAnsi="Times New Roman"/>
          <w:sz w:val="28"/>
          <w:szCs w:val="28"/>
        </w:rPr>
        <w:t xml:space="preserve"> ose t</w:t>
      </w:r>
      <w:r w:rsidRPr="00466159">
        <w:rPr>
          <w:rFonts w:ascii="Times New Roman" w:eastAsia="Arial" w:hAnsi="Times New Roman"/>
          <w:spacing w:val="-1"/>
          <w:sz w:val="28"/>
          <w:szCs w:val="28"/>
        </w:rPr>
        <w:t>ë</w:t>
      </w:r>
      <w:r w:rsidRPr="00466159">
        <w:rPr>
          <w:rFonts w:ascii="Times New Roman" w:hAnsi="Times New Roman"/>
          <w:sz w:val="28"/>
          <w:szCs w:val="28"/>
        </w:rPr>
        <w:t xml:space="preserve"> përputhjes s</w:t>
      </w:r>
      <w:r w:rsidRPr="00466159">
        <w:rPr>
          <w:rFonts w:ascii="Times New Roman" w:eastAsia="Arial" w:hAnsi="Times New Roman"/>
          <w:spacing w:val="-1"/>
          <w:sz w:val="28"/>
          <w:szCs w:val="28"/>
        </w:rPr>
        <w:t>ë</w:t>
      </w:r>
      <w:r w:rsidRPr="00466159">
        <w:rPr>
          <w:rFonts w:ascii="Times New Roman" w:hAnsi="Times New Roman"/>
          <w:sz w:val="28"/>
          <w:szCs w:val="28"/>
        </w:rPr>
        <w:t xml:space="preserve"> urdhërporosive në tregun e vazhdueshëm </w:t>
      </w:r>
      <w:r w:rsidRPr="00466159">
        <w:rPr>
          <w:rFonts w:ascii="Times New Roman" w:eastAsia="Arial" w:hAnsi="Times New Roman"/>
          <w:spacing w:val="-1"/>
          <w:sz w:val="28"/>
          <w:szCs w:val="28"/>
        </w:rPr>
        <w:t>Brenda së Njëjtës Ditë</w:t>
      </w:r>
      <w:r w:rsidRPr="00466159">
        <w:rPr>
          <w:rFonts w:ascii="Times New Roman" w:hAnsi="Times New Roman"/>
          <w:sz w:val="28"/>
          <w:szCs w:val="28"/>
        </w:rPr>
        <w:t xml:space="preserve"> nëpërmjet një platform</w:t>
      </w:r>
      <w:r w:rsidRPr="00466159">
        <w:rPr>
          <w:rFonts w:ascii="Times New Roman" w:eastAsia="Arial" w:hAnsi="Times New Roman"/>
          <w:spacing w:val="-1"/>
          <w:sz w:val="28"/>
          <w:szCs w:val="28"/>
        </w:rPr>
        <w:t>ë</w:t>
      </w:r>
      <w:r w:rsidRPr="00466159">
        <w:rPr>
          <w:rFonts w:ascii="Times New Roman" w:hAnsi="Times New Roman"/>
          <w:sz w:val="28"/>
          <w:szCs w:val="28"/>
        </w:rPr>
        <w:t xml:space="preserve"> elektronike tregtimi. </w:t>
      </w:r>
    </w:p>
    <w:p w:rsidR="00E652BA" w:rsidRPr="00F95506" w:rsidRDefault="00885989" w:rsidP="00885989">
      <w:pPr>
        <w:spacing w:line="240" w:lineRule="auto"/>
        <w:ind w:right="79"/>
        <w:jc w:val="both"/>
        <w:rPr>
          <w:rFonts w:ascii="Times New Roman" w:hAnsi="Times New Roman"/>
          <w:sz w:val="28"/>
          <w:szCs w:val="28"/>
        </w:rPr>
      </w:pPr>
      <w:r w:rsidRPr="00466159">
        <w:rPr>
          <w:rFonts w:ascii="Times New Roman" w:hAnsi="Times New Roman"/>
          <w:sz w:val="28"/>
          <w:szCs w:val="28"/>
        </w:rPr>
        <w:t xml:space="preserve">Pas shpalljes së rezultatit, për të gjithë fituesit në pozicionin shitës apo blerës, BSHEE është Kundërpala Qendrore për faturimin dhe garantimin e shlyerjeve të detyrimeve dhe pretendimeve lidhur me transaksionet e shit-blerjes së energjisë. BSHEE do ti faturojë shitjen e energjisë elektrike çdo blerësi që rezulton fitues </w:t>
      </w:r>
      <w:r w:rsidRPr="00466159">
        <w:rPr>
          <w:rFonts w:ascii="Times New Roman" w:hAnsi="Times New Roman"/>
          <w:sz w:val="28"/>
          <w:szCs w:val="28"/>
        </w:rPr>
        <w:lastRenderedPageBreak/>
        <w:t xml:space="preserve">dhe do ti faturojë blerjen e energjisë elektrike çdo shitësi i cili rezulton fitues nga transaksionet në bursë. Pra, BSHEE nuk kryen veprimtari të shit-blerjes së energjisë elektrikë, por vetëm ofron shërbimin që kjo veprimtari e kryer nga anëtarët e bursës në tregun e organizuar të administrohet dhe garantohet nëpërmjet saj si Kundërpalë Qendrore të transaksioneve të lindura. </w:t>
      </w:r>
    </w:p>
    <w:p w:rsidR="00A430F8" w:rsidRPr="00466159" w:rsidRDefault="00885989" w:rsidP="00A430F8">
      <w:pPr>
        <w:spacing w:line="240" w:lineRule="auto"/>
        <w:ind w:right="79"/>
        <w:contextualSpacing/>
        <w:jc w:val="both"/>
        <w:rPr>
          <w:rStyle w:val="q4iawc"/>
          <w:rFonts w:ascii="Times New Roman" w:hAnsi="Times New Roman"/>
          <w:sz w:val="28"/>
          <w:szCs w:val="28"/>
        </w:rPr>
      </w:pPr>
      <w:r w:rsidRPr="00466159">
        <w:rPr>
          <w:rFonts w:ascii="Times New Roman" w:eastAsia="Arial" w:hAnsi="Times New Roman"/>
          <w:spacing w:val="-1"/>
          <w:sz w:val="28"/>
          <w:szCs w:val="28"/>
        </w:rPr>
        <w:t>Direktiv</w:t>
      </w:r>
      <w:r w:rsidR="00E652BA" w:rsidRPr="00466159">
        <w:rPr>
          <w:rFonts w:ascii="Times New Roman" w:eastAsia="Arial" w:hAnsi="Times New Roman"/>
          <w:spacing w:val="-1"/>
          <w:sz w:val="28"/>
          <w:szCs w:val="28"/>
        </w:rPr>
        <w:t>a</w:t>
      </w:r>
      <w:r w:rsidRPr="00466159">
        <w:rPr>
          <w:rStyle w:val="q4iawc"/>
          <w:rFonts w:ascii="Times New Roman" w:hAnsi="Times New Roman"/>
          <w:sz w:val="28"/>
          <w:szCs w:val="28"/>
        </w:rPr>
        <w:t xml:space="preserve"> 2006/112/KE “</w:t>
      </w:r>
      <w:r w:rsidRPr="00466159">
        <w:rPr>
          <w:rStyle w:val="q4iawc"/>
          <w:rFonts w:ascii="Times New Roman" w:hAnsi="Times New Roman"/>
          <w:i/>
          <w:sz w:val="28"/>
          <w:szCs w:val="28"/>
        </w:rPr>
        <w:t>Për sistemin e përbash</w:t>
      </w:r>
      <w:r w:rsidR="00E652BA" w:rsidRPr="00466159">
        <w:rPr>
          <w:rStyle w:val="q4iawc"/>
          <w:rFonts w:ascii="Times New Roman" w:hAnsi="Times New Roman"/>
          <w:i/>
          <w:sz w:val="28"/>
          <w:szCs w:val="28"/>
        </w:rPr>
        <w:t xml:space="preserve">kët të </w:t>
      </w:r>
      <w:r w:rsidR="00A430F8" w:rsidRPr="00466159">
        <w:rPr>
          <w:rStyle w:val="q4iawc"/>
          <w:rFonts w:ascii="Times New Roman" w:hAnsi="Times New Roman"/>
          <w:i/>
          <w:sz w:val="28"/>
          <w:szCs w:val="28"/>
        </w:rPr>
        <w:t>tatimit mbi vlerën</w:t>
      </w:r>
      <w:r w:rsidR="00E652BA" w:rsidRPr="00466159">
        <w:rPr>
          <w:rStyle w:val="q4iawc"/>
          <w:rFonts w:ascii="Times New Roman" w:hAnsi="Times New Roman"/>
          <w:i/>
          <w:sz w:val="28"/>
          <w:szCs w:val="28"/>
        </w:rPr>
        <w:t xml:space="preserve"> e shtuar”, </w:t>
      </w:r>
      <w:r w:rsidR="00A430F8" w:rsidRPr="00466159">
        <w:rPr>
          <w:rStyle w:val="q4iawc"/>
          <w:rFonts w:ascii="Times New Roman" w:hAnsi="Times New Roman"/>
          <w:sz w:val="28"/>
          <w:szCs w:val="28"/>
        </w:rPr>
        <w:t xml:space="preserve">sipas të cilës </w:t>
      </w:r>
      <w:r w:rsidRPr="00466159">
        <w:rPr>
          <w:rStyle w:val="q4iawc"/>
          <w:rFonts w:ascii="Times New Roman" w:hAnsi="Times New Roman"/>
          <w:sz w:val="28"/>
          <w:szCs w:val="28"/>
        </w:rPr>
        <w:t>përcakto</w:t>
      </w:r>
      <w:r w:rsidR="00A430F8" w:rsidRPr="00466159">
        <w:rPr>
          <w:rStyle w:val="q4iawc"/>
          <w:rFonts w:ascii="Times New Roman" w:hAnsi="Times New Roman"/>
          <w:sz w:val="28"/>
          <w:szCs w:val="28"/>
        </w:rPr>
        <w:t>het parimi</w:t>
      </w:r>
      <w:r w:rsidRPr="00466159">
        <w:rPr>
          <w:rStyle w:val="q4iawc"/>
          <w:rFonts w:ascii="Times New Roman" w:hAnsi="Times New Roman"/>
          <w:sz w:val="28"/>
          <w:szCs w:val="28"/>
        </w:rPr>
        <w:t xml:space="preserve"> për tra</w:t>
      </w:r>
      <w:r w:rsidR="00A430F8" w:rsidRPr="00466159">
        <w:rPr>
          <w:rStyle w:val="q4iawc"/>
          <w:rFonts w:ascii="Times New Roman" w:hAnsi="Times New Roman"/>
          <w:sz w:val="28"/>
          <w:szCs w:val="28"/>
        </w:rPr>
        <w:t>jtimin e TVSH-së për energjisë elektrike,</w:t>
      </w:r>
      <w:r w:rsidRPr="00466159">
        <w:rPr>
          <w:rStyle w:val="q4iawc"/>
          <w:rFonts w:ascii="Times New Roman" w:hAnsi="Times New Roman"/>
          <w:sz w:val="28"/>
          <w:szCs w:val="28"/>
        </w:rPr>
        <w:t xml:space="preserve"> gazit dhe shërbimet e lidhura me to, </w:t>
      </w:r>
      <w:r w:rsidR="00A430F8" w:rsidRPr="00466159">
        <w:rPr>
          <w:rStyle w:val="q4iawc"/>
          <w:rFonts w:ascii="Times New Roman" w:hAnsi="Times New Roman"/>
          <w:sz w:val="28"/>
          <w:szCs w:val="28"/>
        </w:rPr>
        <w:t xml:space="preserve">në nenin 143 </w:t>
      </w:r>
      <w:r w:rsidRPr="00466159">
        <w:rPr>
          <w:rStyle w:val="q4iawc"/>
          <w:rFonts w:ascii="Times New Roman" w:hAnsi="Times New Roman"/>
          <w:sz w:val="28"/>
          <w:szCs w:val="28"/>
        </w:rPr>
        <w:t>ka parashikuar përjashtimin në im</w:t>
      </w:r>
      <w:r w:rsidR="00E652BA" w:rsidRPr="00466159">
        <w:rPr>
          <w:rStyle w:val="q4iawc"/>
          <w:rFonts w:ascii="Times New Roman" w:hAnsi="Times New Roman"/>
          <w:sz w:val="28"/>
          <w:szCs w:val="28"/>
        </w:rPr>
        <w:t>port</w:t>
      </w:r>
      <w:r w:rsidR="00A430F8" w:rsidRPr="00466159">
        <w:rPr>
          <w:rStyle w:val="q4iawc"/>
          <w:rFonts w:ascii="Times New Roman" w:hAnsi="Times New Roman"/>
          <w:sz w:val="28"/>
          <w:szCs w:val="28"/>
        </w:rPr>
        <w:t xml:space="preserve"> nga TVSH-ja </w:t>
      </w:r>
      <w:r w:rsidR="00E652BA" w:rsidRPr="00466159">
        <w:rPr>
          <w:rStyle w:val="q4iawc"/>
          <w:rFonts w:ascii="Times New Roman" w:hAnsi="Times New Roman"/>
          <w:sz w:val="28"/>
          <w:szCs w:val="28"/>
        </w:rPr>
        <w:t>për e</w:t>
      </w:r>
      <w:r w:rsidR="00A430F8" w:rsidRPr="00466159">
        <w:rPr>
          <w:rStyle w:val="q4iawc"/>
          <w:rFonts w:ascii="Times New Roman" w:hAnsi="Times New Roman"/>
          <w:sz w:val="28"/>
          <w:szCs w:val="28"/>
        </w:rPr>
        <w:t>nergjinë, k</w:t>
      </w:r>
      <w:r w:rsidR="00E652BA" w:rsidRPr="00466159">
        <w:rPr>
          <w:rStyle w:val="q4iawc"/>
          <w:rFonts w:ascii="Times New Roman" w:hAnsi="Times New Roman"/>
          <w:sz w:val="28"/>
          <w:szCs w:val="28"/>
        </w:rPr>
        <w:t>onkretisht:</w:t>
      </w:r>
      <w:r w:rsidRPr="00466159">
        <w:rPr>
          <w:rStyle w:val="q4iawc"/>
          <w:rFonts w:ascii="Times New Roman" w:hAnsi="Times New Roman"/>
          <w:sz w:val="28"/>
          <w:szCs w:val="28"/>
        </w:rPr>
        <w:t xml:space="preserve"> </w:t>
      </w:r>
    </w:p>
    <w:p w:rsidR="00A430F8" w:rsidRPr="00466159" w:rsidRDefault="00A430F8" w:rsidP="00A430F8">
      <w:pPr>
        <w:spacing w:line="240" w:lineRule="auto"/>
        <w:ind w:right="79"/>
        <w:contextualSpacing/>
        <w:jc w:val="both"/>
        <w:rPr>
          <w:rStyle w:val="q4iawc"/>
          <w:rFonts w:ascii="Times New Roman" w:hAnsi="Times New Roman"/>
          <w:sz w:val="28"/>
          <w:szCs w:val="28"/>
        </w:rPr>
      </w:pPr>
    </w:p>
    <w:p w:rsidR="00885989" w:rsidRPr="00F95506" w:rsidRDefault="00A430F8" w:rsidP="00A430F8">
      <w:pPr>
        <w:spacing w:line="240" w:lineRule="auto"/>
        <w:ind w:right="79"/>
        <w:contextualSpacing/>
        <w:jc w:val="both"/>
        <w:rPr>
          <w:rStyle w:val="q4iawc"/>
          <w:rFonts w:ascii="Times New Roman" w:eastAsia="Arial" w:hAnsi="Times New Roman"/>
          <w:spacing w:val="-1"/>
          <w:sz w:val="28"/>
          <w:szCs w:val="28"/>
        </w:rPr>
      </w:pPr>
      <w:r w:rsidRPr="00F95506">
        <w:rPr>
          <w:rStyle w:val="q4iawc"/>
          <w:rFonts w:ascii="Times New Roman" w:hAnsi="Times New Roman"/>
          <w:i/>
          <w:sz w:val="28"/>
          <w:szCs w:val="28"/>
        </w:rPr>
        <w:t>“</w:t>
      </w:r>
      <w:r w:rsidR="00885989" w:rsidRPr="00F95506">
        <w:rPr>
          <w:rStyle w:val="q4iawc"/>
          <w:rFonts w:ascii="Times New Roman" w:hAnsi="Times New Roman"/>
          <w:i/>
          <w:sz w:val="28"/>
          <w:szCs w:val="28"/>
        </w:rPr>
        <w:t xml:space="preserve">Shtetet Anëtare përjashtojnë transaksionet e mëposhtme: </w:t>
      </w:r>
    </w:p>
    <w:p w:rsidR="00885989" w:rsidRPr="00F95506" w:rsidRDefault="00885989" w:rsidP="00885989">
      <w:pPr>
        <w:spacing w:line="240" w:lineRule="auto"/>
        <w:ind w:left="360"/>
        <w:jc w:val="both"/>
        <w:rPr>
          <w:rStyle w:val="q4iawc"/>
          <w:rFonts w:ascii="Times New Roman" w:hAnsi="Times New Roman"/>
          <w:i/>
          <w:sz w:val="28"/>
          <w:szCs w:val="28"/>
        </w:rPr>
      </w:pPr>
      <w:r w:rsidRPr="00F95506">
        <w:rPr>
          <w:rStyle w:val="q4iawc"/>
          <w:rFonts w:ascii="Times New Roman" w:hAnsi="Times New Roman"/>
          <w:i/>
          <w:sz w:val="28"/>
          <w:szCs w:val="28"/>
        </w:rPr>
        <w:t>(l)</w:t>
      </w:r>
      <w:r w:rsidR="00200B4E" w:rsidRPr="00F95506">
        <w:rPr>
          <w:rFonts w:ascii="Times New Roman" w:hAnsi="Times New Roman"/>
          <w:i/>
          <w:sz w:val="28"/>
          <w:szCs w:val="28"/>
        </w:rPr>
        <w:t xml:space="preserve"> </w:t>
      </w:r>
      <w:r w:rsidR="00200B4E" w:rsidRPr="00F95506">
        <w:rPr>
          <w:rStyle w:val="q4iawc"/>
          <w:rFonts w:ascii="Times New Roman" w:hAnsi="Times New Roman"/>
          <w:i/>
          <w:sz w:val="28"/>
          <w:szCs w:val="28"/>
        </w:rPr>
        <w:t>importimin e gazit nëpërmjet një sistemi të gazit natyror ose ndonjë rrjeti të lidhur me një sistem të tillë ose të ushqyer nga një anije që transporton gaz në një sistem të gazit natyror ose në ndonjë rrjet tubacioni në rrjedhën e sipërme, të elektriciteti ose i energjisë së nxehtësisë ose ftohjes nëpërmjet ngrohjes ose rrjetet e ftohjes</w:t>
      </w:r>
      <w:r w:rsidR="00A430F8" w:rsidRPr="00F95506">
        <w:rPr>
          <w:rStyle w:val="q4iawc"/>
          <w:rFonts w:ascii="Times New Roman" w:hAnsi="Times New Roman"/>
          <w:i/>
          <w:sz w:val="28"/>
          <w:szCs w:val="28"/>
        </w:rPr>
        <w:t>”.</w:t>
      </w:r>
    </w:p>
    <w:p w:rsidR="00885989" w:rsidRPr="00466159" w:rsidRDefault="00885989" w:rsidP="00885989">
      <w:pPr>
        <w:spacing w:line="240" w:lineRule="auto"/>
        <w:jc w:val="both"/>
        <w:rPr>
          <w:rStyle w:val="q4iawc"/>
          <w:rFonts w:ascii="Times New Roman" w:hAnsi="Times New Roman"/>
          <w:sz w:val="28"/>
          <w:szCs w:val="28"/>
        </w:rPr>
      </w:pPr>
      <w:r w:rsidRPr="00466159">
        <w:rPr>
          <w:rStyle w:val="q4iawc"/>
          <w:rFonts w:ascii="Times New Roman" w:hAnsi="Times New Roman"/>
          <w:sz w:val="28"/>
          <w:szCs w:val="28"/>
        </w:rPr>
        <w:t>Dire</w:t>
      </w:r>
      <w:r w:rsidR="00234742" w:rsidRPr="00466159">
        <w:rPr>
          <w:rStyle w:val="q4iawc"/>
          <w:rFonts w:ascii="Times New Roman" w:hAnsi="Times New Roman"/>
          <w:sz w:val="28"/>
          <w:szCs w:val="28"/>
        </w:rPr>
        <w:t xml:space="preserve">ktiva e Këshillit (BE) 2022/890, </w:t>
      </w:r>
      <w:r w:rsidRPr="00466159">
        <w:rPr>
          <w:rStyle w:val="q4iawc"/>
          <w:rFonts w:ascii="Times New Roman" w:hAnsi="Times New Roman"/>
          <w:sz w:val="28"/>
          <w:szCs w:val="28"/>
        </w:rPr>
        <w:t>që ndryshon Direktivën 2006/112/KE</w:t>
      </w:r>
      <w:r w:rsidR="00A430F8" w:rsidRPr="00466159">
        <w:rPr>
          <w:rStyle w:val="q4iawc"/>
          <w:rFonts w:ascii="Times New Roman" w:hAnsi="Times New Roman"/>
          <w:sz w:val="28"/>
          <w:szCs w:val="28"/>
        </w:rPr>
        <w:t>, ka parashikuar</w:t>
      </w:r>
      <w:r w:rsidRPr="00466159">
        <w:rPr>
          <w:rStyle w:val="q4iawc"/>
          <w:rFonts w:ascii="Times New Roman" w:hAnsi="Times New Roman"/>
          <w:sz w:val="28"/>
          <w:szCs w:val="28"/>
        </w:rPr>
        <w:t xml:space="preserve"> zgjatjen e periudhës së aplikimit të mekanizmi të revers charge</w:t>
      </w:r>
      <w:r w:rsidR="00234742" w:rsidRPr="00466159">
        <w:rPr>
          <w:rStyle w:val="q4iawc"/>
          <w:rFonts w:ascii="Times New Roman" w:hAnsi="Times New Roman"/>
          <w:sz w:val="28"/>
          <w:szCs w:val="28"/>
        </w:rPr>
        <w:t>(autongarkesës)</w:t>
      </w:r>
      <w:r w:rsidR="00A430F8" w:rsidRPr="00466159">
        <w:rPr>
          <w:rStyle w:val="q4iawc"/>
          <w:rFonts w:ascii="Times New Roman" w:hAnsi="Times New Roman"/>
          <w:sz w:val="28"/>
          <w:szCs w:val="28"/>
        </w:rPr>
        <w:t>,</w:t>
      </w:r>
      <w:r w:rsidR="00234742" w:rsidRPr="00466159">
        <w:rPr>
          <w:rStyle w:val="q4iawc"/>
          <w:rFonts w:ascii="Times New Roman" w:hAnsi="Times New Roman"/>
          <w:sz w:val="28"/>
          <w:szCs w:val="28"/>
        </w:rPr>
        <w:t xml:space="preserve"> si një masë e përkohëshme deri në vitin 2026. Kjo masë lejon zhvendosjen e detyrimit të pagesës së TVSH-së nga furnizuesi te klientët në sektorë të caktuar, duke përfshirë furnizimin me gaz dhe energji elektrike</w:t>
      </w:r>
      <w:r w:rsidR="00816778" w:rsidRPr="00466159">
        <w:rPr>
          <w:rStyle w:val="q4iawc"/>
          <w:rFonts w:ascii="Times New Roman" w:hAnsi="Times New Roman"/>
          <w:sz w:val="28"/>
          <w:szCs w:val="28"/>
        </w:rPr>
        <w:t xml:space="preserve">, </w:t>
      </w:r>
      <w:r w:rsidR="00A430F8" w:rsidRPr="00466159">
        <w:rPr>
          <w:rStyle w:val="q4iawc"/>
          <w:rFonts w:ascii="Times New Roman" w:hAnsi="Times New Roman"/>
          <w:sz w:val="28"/>
          <w:szCs w:val="28"/>
        </w:rPr>
        <w:t>konkretisht:</w:t>
      </w:r>
    </w:p>
    <w:p w:rsidR="00885989" w:rsidRPr="00F95506" w:rsidRDefault="00885989" w:rsidP="00885989">
      <w:pPr>
        <w:spacing w:line="240" w:lineRule="auto"/>
        <w:jc w:val="both"/>
        <w:rPr>
          <w:rStyle w:val="q4iawc"/>
          <w:rFonts w:ascii="Times New Roman" w:hAnsi="Times New Roman"/>
          <w:sz w:val="28"/>
          <w:szCs w:val="28"/>
        </w:rPr>
      </w:pPr>
      <w:r w:rsidRPr="00F95506">
        <w:rPr>
          <w:rStyle w:val="q4iawc"/>
          <w:rFonts w:ascii="Times New Roman" w:hAnsi="Times New Roman"/>
          <w:sz w:val="28"/>
          <w:szCs w:val="28"/>
        </w:rPr>
        <w:t>“</w:t>
      </w:r>
      <w:r w:rsidRPr="00F95506">
        <w:rPr>
          <w:rStyle w:val="q4iawc"/>
          <w:rFonts w:ascii="Times New Roman" w:hAnsi="Times New Roman"/>
          <w:i/>
          <w:sz w:val="28"/>
          <w:szCs w:val="28"/>
        </w:rPr>
        <w:t>Deri më 31 dhjetor 2026, Shtetet Anëtare mund të parashikojnë që personi përgjegjës për pagesën e TVSH-së është personi i tatueshëm të cilit i është bërë ndonjë nga furnizimet e mëposhtme:</w:t>
      </w:r>
      <w:r w:rsidRPr="00F95506">
        <w:rPr>
          <w:rStyle w:val="q4iawc"/>
          <w:rFonts w:ascii="Times New Roman" w:hAnsi="Times New Roman"/>
          <w:sz w:val="28"/>
          <w:szCs w:val="28"/>
        </w:rPr>
        <w:t xml:space="preserve"> </w:t>
      </w:r>
    </w:p>
    <w:p w:rsidR="00885989" w:rsidRPr="00F95506" w:rsidRDefault="00885989" w:rsidP="00885989">
      <w:pPr>
        <w:spacing w:line="240" w:lineRule="auto"/>
        <w:jc w:val="both"/>
        <w:rPr>
          <w:rStyle w:val="q4iawc"/>
          <w:rFonts w:ascii="Times New Roman" w:hAnsi="Times New Roman"/>
          <w:sz w:val="28"/>
          <w:szCs w:val="28"/>
        </w:rPr>
      </w:pPr>
      <w:r w:rsidRPr="00F95506">
        <w:rPr>
          <w:rStyle w:val="q4iawc"/>
          <w:rFonts w:ascii="Times New Roman" w:hAnsi="Times New Roman"/>
          <w:i/>
          <w:sz w:val="28"/>
          <w:szCs w:val="28"/>
        </w:rPr>
        <w:t>(e) furnizimet me gaz dhe energji elektrike për një tregtar të tatueshë</w:t>
      </w:r>
      <w:r w:rsidR="00A430F8" w:rsidRPr="00F95506">
        <w:rPr>
          <w:rStyle w:val="q4iawc"/>
          <w:rFonts w:ascii="Times New Roman" w:hAnsi="Times New Roman"/>
          <w:i/>
          <w:sz w:val="28"/>
          <w:szCs w:val="28"/>
        </w:rPr>
        <w:t>m siç përcaktohet në Neni 38(2)</w:t>
      </w:r>
      <w:r w:rsidRPr="00F95506">
        <w:rPr>
          <w:rStyle w:val="q4iawc"/>
          <w:rFonts w:ascii="Times New Roman" w:hAnsi="Times New Roman"/>
          <w:sz w:val="28"/>
          <w:szCs w:val="28"/>
        </w:rPr>
        <w:t>”</w:t>
      </w:r>
      <w:r w:rsidR="00A430F8" w:rsidRPr="00F95506">
        <w:rPr>
          <w:rStyle w:val="q4iawc"/>
          <w:rFonts w:ascii="Times New Roman" w:hAnsi="Times New Roman"/>
          <w:sz w:val="28"/>
          <w:szCs w:val="28"/>
        </w:rPr>
        <w:t>.</w:t>
      </w:r>
    </w:p>
    <w:p w:rsidR="00254928" w:rsidRPr="00466159" w:rsidRDefault="00885989" w:rsidP="000363B0">
      <w:pPr>
        <w:spacing w:line="240" w:lineRule="auto"/>
        <w:jc w:val="both"/>
        <w:rPr>
          <w:rFonts w:ascii="Times New Roman" w:hAnsi="Times New Roman"/>
          <w:sz w:val="28"/>
          <w:szCs w:val="28"/>
        </w:rPr>
      </w:pPr>
      <w:r w:rsidRPr="00466159">
        <w:rPr>
          <w:rStyle w:val="q4iawc"/>
          <w:rFonts w:ascii="Times New Roman" w:hAnsi="Times New Roman"/>
          <w:sz w:val="28"/>
          <w:szCs w:val="28"/>
        </w:rPr>
        <w:t xml:space="preserve">Në këtë kuadër, është propozuar që importimi i energjisë elektrike </w:t>
      </w:r>
      <w:r w:rsidR="00234742" w:rsidRPr="00466159">
        <w:rPr>
          <w:rStyle w:val="q4iawc"/>
          <w:rFonts w:ascii="Times New Roman" w:hAnsi="Times New Roman"/>
          <w:sz w:val="28"/>
          <w:szCs w:val="28"/>
        </w:rPr>
        <w:t xml:space="preserve">i furnizuar nga Bursa Shqipëtare e Energjisë Elektrike me qëllim rishitjen </w:t>
      </w:r>
      <w:r w:rsidRPr="00466159">
        <w:rPr>
          <w:rStyle w:val="q4iawc"/>
          <w:rFonts w:ascii="Times New Roman" w:hAnsi="Times New Roman"/>
          <w:sz w:val="28"/>
          <w:szCs w:val="28"/>
        </w:rPr>
        <w:t>të jetë i përjashtuar nga TVSH-ja</w:t>
      </w:r>
      <w:r w:rsidR="00234742" w:rsidRPr="00466159">
        <w:rPr>
          <w:rStyle w:val="q4iawc"/>
          <w:rFonts w:ascii="Times New Roman" w:hAnsi="Times New Roman"/>
          <w:sz w:val="28"/>
          <w:szCs w:val="28"/>
        </w:rPr>
        <w:t xml:space="preserve"> (sikurse parashikohet edhe nga direktiva</w:t>
      </w:r>
      <w:r w:rsidRPr="00466159">
        <w:rPr>
          <w:rStyle w:val="q4iawc"/>
          <w:rFonts w:ascii="Times New Roman" w:hAnsi="Times New Roman"/>
          <w:sz w:val="28"/>
          <w:szCs w:val="28"/>
        </w:rPr>
        <w:t xml:space="preserve"> </w:t>
      </w:r>
      <w:r w:rsidR="00234742" w:rsidRPr="00466159">
        <w:rPr>
          <w:rStyle w:val="q4iawc"/>
          <w:rFonts w:ascii="Times New Roman" w:hAnsi="Times New Roman"/>
          <w:sz w:val="28"/>
          <w:szCs w:val="28"/>
        </w:rPr>
        <w:t>2006/112/KE)</w:t>
      </w:r>
      <w:r w:rsidRPr="00466159">
        <w:rPr>
          <w:rStyle w:val="q4iawc"/>
          <w:rFonts w:ascii="Times New Roman" w:hAnsi="Times New Roman"/>
          <w:sz w:val="28"/>
          <w:szCs w:val="28"/>
        </w:rPr>
        <w:t xml:space="preserve">, si dhe është parashikuar mekanizmi i autongarkesës, ku TVSH-ja i ngarkohet personit për të cilin janë kryer furnizimet. </w:t>
      </w:r>
      <w:r w:rsidRPr="00466159">
        <w:rPr>
          <w:rFonts w:ascii="Times New Roman" w:hAnsi="Times New Roman"/>
          <w:sz w:val="28"/>
          <w:szCs w:val="28"/>
        </w:rPr>
        <w:t>Për efekt të përllogaritjes së TVSH-së blerësi i energjisë elektrike nga Bursa S</w:t>
      </w:r>
      <w:r w:rsidR="00B77334" w:rsidRPr="00466159">
        <w:rPr>
          <w:rFonts w:ascii="Times New Roman" w:hAnsi="Times New Roman"/>
          <w:sz w:val="28"/>
          <w:szCs w:val="28"/>
        </w:rPr>
        <w:t xml:space="preserve">hqiptare e Energjisë Elektrike, </w:t>
      </w:r>
      <w:r w:rsidRPr="00466159">
        <w:rPr>
          <w:rFonts w:ascii="Times New Roman" w:hAnsi="Times New Roman"/>
          <w:sz w:val="28"/>
          <w:szCs w:val="28"/>
        </w:rPr>
        <w:t>kryen autongarkesën (reverse-charge) e TVSH-së në cilësinë e personit përgjegjës për pagesën e TVSH-së</w:t>
      </w:r>
      <w:r w:rsidR="00254928" w:rsidRPr="00466159">
        <w:rPr>
          <w:rFonts w:ascii="Times New Roman" w:hAnsi="Times New Roman"/>
          <w:sz w:val="28"/>
          <w:szCs w:val="28"/>
        </w:rPr>
        <w:t xml:space="preserve">. </w:t>
      </w:r>
    </w:p>
    <w:p w:rsidR="009F470D" w:rsidRPr="00466159" w:rsidRDefault="00254928" w:rsidP="000363B0">
      <w:pPr>
        <w:spacing w:line="240" w:lineRule="auto"/>
        <w:jc w:val="both"/>
        <w:rPr>
          <w:rFonts w:ascii="Times New Roman" w:hAnsi="Times New Roman"/>
          <w:sz w:val="28"/>
          <w:szCs w:val="28"/>
        </w:rPr>
      </w:pPr>
      <w:r w:rsidRPr="00466159">
        <w:rPr>
          <w:rFonts w:ascii="Times New Roman" w:hAnsi="Times New Roman"/>
          <w:sz w:val="28"/>
          <w:szCs w:val="28"/>
        </w:rPr>
        <w:lastRenderedPageBreak/>
        <w:t>Kjo politikë nuk ka efekt neto në buxhetin e shtetit, pasi TVSH-ja e përjashtuar në import do të kreditohet brenda vendit.</w:t>
      </w:r>
    </w:p>
    <w:p w:rsidR="00885989" w:rsidRPr="00466159" w:rsidRDefault="00885989" w:rsidP="00885989">
      <w:pPr>
        <w:numPr>
          <w:ilvl w:val="0"/>
          <w:numId w:val="1"/>
        </w:numPr>
        <w:spacing w:after="0" w:line="240" w:lineRule="auto"/>
        <w:ind w:left="720"/>
        <w:jc w:val="both"/>
        <w:rPr>
          <w:rFonts w:ascii="Times New Roman" w:hAnsi="Times New Roman"/>
          <w:b/>
          <w:sz w:val="28"/>
          <w:szCs w:val="28"/>
          <w:lang w:val="sq-AL"/>
        </w:rPr>
      </w:pPr>
      <w:r w:rsidRPr="00466159">
        <w:rPr>
          <w:rFonts w:ascii="Times New Roman" w:hAnsi="Times New Roman"/>
          <w:b/>
          <w:sz w:val="28"/>
          <w:szCs w:val="28"/>
          <w:lang w:val="sq-AL"/>
        </w:rPr>
        <w:t xml:space="preserve">VLERËSIMI I LIGJSHMËRISË, KUSHTETUTSHMËRISË DHE HARMONIZIMI ME LEGJISLACIONIN NË FUQI VENDAS E NDËRKOMBËTAR </w:t>
      </w:r>
    </w:p>
    <w:p w:rsidR="00885989" w:rsidRPr="00466159" w:rsidRDefault="00885989" w:rsidP="00885989">
      <w:pPr>
        <w:spacing w:after="0" w:line="240" w:lineRule="auto"/>
        <w:jc w:val="both"/>
        <w:rPr>
          <w:rFonts w:ascii="Times New Roman" w:hAnsi="Times New Roman"/>
          <w:sz w:val="28"/>
          <w:szCs w:val="28"/>
          <w:lang w:val="sq-AL"/>
        </w:rPr>
      </w:pPr>
    </w:p>
    <w:p w:rsidR="00885989" w:rsidRPr="00466159" w:rsidRDefault="00885989" w:rsidP="00885989">
      <w:pPr>
        <w:spacing w:after="0" w:line="240" w:lineRule="auto"/>
        <w:jc w:val="both"/>
        <w:rPr>
          <w:rFonts w:ascii="Times New Roman" w:hAnsi="Times New Roman"/>
          <w:sz w:val="28"/>
          <w:szCs w:val="28"/>
          <w:lang w:val="sq-AL"/>
        </w:rPr>
      </w:pPr>
      <w:r w:rsidRPr="00466159">
        <w:rPr>
          <w:rFonts w:ascii="Times New Roman" w:hAnsi="Times New Roman"/>
          <w:sz w:val="28"/>
          <w:szCs w:val="28"/>
          <w:lang w:val="sq-AL"/>
        </w:rPr>
        <w:t>Projektligji është mbështetur në nenet 78, 83, pika 1 dhe 155, të Kushtetu</w:t>
      </w:r>
      <w:r w:rsidR="00816778" w:rsidRPr="00466159">
        <w:rPr>
          <w:rFonts w:ascii="Times New Roman" w:hAnsi="Times New Roman"/>
          <w:sz w:val="28"/>
          <w:szCs w:val="28"/>
          <w:lang w:val="sq-AL"/>
        </w:rPr>
        <w:t>tës së Republikës së Shqipërisë</w:t>
      </w:r>
      <w:r w:rsidRPr="00466159">
        <w:rPr>
          <w:rFonts w:ascii="Times New Roman" w:hAnsi="Times New Roman"/>
          <w:sz w:val="28"/>
          <w:szCs w:val="28"/>
          <w:lang w:eastAsia="sq-AL"/>
        </w:rPr>
        <w:t>.</w:t>
      </w:r>
    </w:p>
    <w:p w:rsidR="00885989" w:rsidRPr="00466159" w:rsidRDefault="00885989" w:rsidP="00885989">
      <w:pPr>
        <w:spacing w:after="0" w:line="240" w:lineRule="auto"/>
        <w:jc w:val="both"/>
        <w:rPr>
          <w:rFonts w:ascii="Times New Roman" w:hAnsi="Times New Roman"/>
          <w:sz w:val="28"/>
          <w:szCs w:val="28"/>
          <w:lang w:val="sq-AL"/>
        </w:rPr>
      </w:pPr>
    </w:p>
    <w:p w:rsidR="00885989" w:rsidRPr="00466159" w:rsidRDefault="00885989" w:rsidP="00885989">
      <w:pPr>
        <w:numPr>
          <w:ilvl w:val="0"/>
          <w:numId w:val="1"/>
        </w:numPr>
        <w:spacing w:after="0" w:line="240" w:lineRule="auto"/>
        <w:ind w:left="720"/>
        <w:jc w:val="both"/>
        <w:rPr>
          <w:rFonts w:ascii="Times New Roman" w:hAnsi="Times New Roman"/>
          <w:b/>
          <w:sz w:val="28"/>
          <w:szCs w:val="28"/>
          <w:lang w:val="sq-AL"/>
        </w:rPr>
      </w:pPr>
      <w:r w:rsidRPr="00466159">
        <w:rPr>
          <w:rFonts w:ascii="Times New Roman" w:hAnsi="Times New Roman"/>
          <w:b/>
          <w:sz w:val="28"/>
          <w:szCs w:val="28"/>
          <w:lang w:val="sq-AL"/>
        </w:rPr>
        <w:t>VLERËSIMI I SHKALLËS SË PËRAFRIMIT ME ACQUIS COMMUNAUTAIRE (PËR PROJEKT-AKTET NORMATIVE)</w:t>
      </w:r>
    </w:p>
    <w:p w:rsidR="00885989" w:rsidRPr="00466159" w:rsidRDefault="00885989" w:rsidP="00885989">
      <w:pPr>
        <w:spacing w:after="0" w:line="240" w:lineRule="auto"/>
        <w:jc w:val="both"/>
        <w:rPr>
          <w:rFonts w:ascii="Times New Roman" w:hAnsi="Times New Roman"/>
          <w:sz w:val="28"/>
          <w:szCs w:val="28"/>
          <w:lang w:val="sq-AL"/>
        </w:rPr>
      </w:pPr>
    </w:p>
    <w:p w:rsidR="00774FF7" w:rsidRPr="00466159" w:rsidRDefault="00885989" w:rsidP="000363B0">
      <w:pPr>
        <w:spacing w:after="0" w:line="240" w:lineRule="auto"/>
        <w:jc w:val="both"/>
        <w:rPr>
          <w:rFonts w:ascii="Times New Roman" w:hAnsi="Times New Roman"/>
          <w:sz w:val="28"/>
          <w:szCs w:val="28"/>
        </w:rPr>
      </w:pPr>
      <w:r w:rsidRPr="00466159">
        <w:rPr>
          <w:rFonts w:ascii="Times New Roman" w:hAnsi="Times New Roman"/>
          <w:sz w:val="28"/>
          <w:szCs w:val="28"/>
          <w:lang w:val="sq-AL"/>
        </w:rPr>
        <w:t xml:space="preserve">Projektligji “Për disa shtesa dhe disa ndryshime në ligjin nr. 92/2014, ‘Për tatimin mbi vlerën e shtuar në Republikën e Shqipërisë’, i ndryshuar”, </w:t>
      </w:r>
      <w:r w:rsidR="00774FF7" w:rsidRPr="00466159">
        <w:rPr>
          <w:rFonts w:ascii="Times New Roman" w:hAnsi="Times New Roman"/>
          <w:sz w:val="28"/>
          <w:szCs w:val="28"/>
        </w:rPr>
        <w:t>synon të përafrojë ligjin nr. 92/2014, “Për tatimin mbi Vlerën e Shtuar në Republikën e Shqipërisë”, t</w:t>
      </w:r>
      <w:r w:rsidR="00774FF7" w:rsidRPr="00466159">
        <w:rPr>
          <w:rFonts w:ascii="Times New Roman" w:eastAsia="MingLiU-ExtB" w:hAnsi="Times New Roman"/>
          <w:sz w:val="28"/>
          <w:szCs w:val="28"/>
        </w:rPr>
        <w:t>ë</w:t>
      </w:r>
      <w:r w:rsidR="00774FF7" w:rsidRPr="00466159">
        <w:rPr>
          <w:rFonts w:ascii="Times New Roman" w:hAnsi="Times New Roman"/>
          <w:sz w:val="28"/>
          <w:szCs w:val="28"/>
        </w:rPr>
        <w:t xml:space="preserve"> ndryshuar, me akte të legjislacionit të Bashkimit Evropian. </w:t>
      </w:r>
    </w:p>
    <w:p w:rsidR="00885989" w:rsidRPr="00466159" w:rsidRDefault="00774FF7" w:rsidP="000363B0">
      <w:pPr>
        <w:spacing w:after="0" w:line="240" w:lineRule="auto"/>
        <w:jc w:val="both"/>
        <w:rPr>
          <w:rFonts w:ascii="Times New Roman" w:hAnsi="Times New Roman"/>
          <w:sz w:val="28"/>
          <w:szCs w:val="28"/>
          <w:lang w:val="sq-AL"/>
        </w:rPr>
      </w:pPr>
      <w:r w:rsidRPr="00466159">
        <w:rPr>
          <w:rFonts w:ascii="Times New Roman" w:hAnsi="Times New Roman"/>
          <w:sz w:val="28"/>
          <w:szCs w:val="28"/>
        </w:rPr>
        <w:t>Shkalla e përafrimit të projektligjit të paraqitur me Direktivën 2006/112/BE është e pjesshme.</w:t>
      </w:r>
    </w:p>
    <w:p w:rsidR="00885989" w:rsidRPr="00466159" w:rsidRDefault="00885989" w:rsidP="00885989">
      <w:pPr>
        <w:pStyle w:val="ListParagraph"/>
        <w:spacing w:after="0" w:line="240" w:lineRule="auto"/>
        <w:ind w:left="0"/>
        <w:jc w:val="both"/>
        <w:rPr>
          <w:rFonts w:ascii="Times New Roman" w:hAnsi="Times New Roman"/>
          <w:sz w:val="28"/>
          <w:szCs w:val="28"/>
          <w:lang w:val="sq-AL"/>
        </w:rPr>
      </w:pPr>
    </w:p>
    <w:p w:rsidR="00885989" w:rsidRPr="00466159" w:rsidRDefault="00885989" w:rsidP="00885989">
      <w:pPr>
        <w:numPr>
          <w:ilvl w:val="0"/>
          <w:numId w:val="1"/>
        </w:numPr>
        <w:spacing w:after="0" w:line="240" w:lineRule="auto"/>
        <w:ind w:left="720"/>
        <w:jc w:val="both"/>
        <w:rPr>
          <w:rFonts w:ascii="Times New Roman" w:hAnsi="Times New Roman"/>
          <w:b/>
          <w:sz w:val="28"/>
          <w:szCs w:val="28"/>
          <w:lang w:val="sq-AL"/>
        </w:rPr>
      </w:pPr>
      <w:r w:rsidRPr="00466159">
        <w:rPr>
          <w:rFonts w:ascii="Times New Roman" w:hAnsi="Times New Roman"/>
          <w:b/>
          <w:sz w:val="28"/>
          <w:szCs w:val="28"/>
          <w:lang w:val="sq-AL"/>
        </w:rPr>
        <w:t>PËRMBLEDHJE SHPJEGUESE E PËRMBAJTJES SË     PROJEKT-AKTIT</w:t>
      </w:r>
    </w:p>
    <w:p w:rsidR="00885989" w:rsidRPr="00466159" w:rsidRDefault="00885989" w:rsidP="00885989">
      <w:pPr>
        <w:spacing w:after="0" w:line="240" w:lineRule="auto"/>
        <w:jc w:val="both"/>
        <w:rPr>
          <w:rFonts w:ascii="Times New Roman" w:hAnsi="Times New Roman"/>
          <w:color w:val="000000"/>
          <w:sz w:val="28"/>
          <w:szCs w:val="28"/>
          <w:lang w:val="sq-AL"/>
        </w:rPr>
      </w:pPr>
    </w:p>
    <w:p w:rsidR="00885989" w:rsidRPr="00466159" w:rsidRDefault="000D4748" w:rsidP="00885989">
      <w:pPr>
        <w:spacing w:after="0" w:line="240" w:lineRule="auto"/>
        <w:jc w:val="both"/>
        <w:rPr>
          <w:rFonts w:ascii="Times New Roman" w:eastAsia="MS Mincho" w:hAnsi="Times New Roman"/>
          <w:sz w:val="28"/>
          <w:szCs w:val="28"/>
          <w:lang w:val="sq-AL"/>
        </w:rPr>
      </w:pPr>
      <w:r>
        <w:rPr>
          <w:rFonts w:ascii="Times New Roman" w:hAnsi="Times New Roman"/>
          <w:color w:val="000000"/>
          <w:sz w:val="28"/>
          <w:szCs w:val="28"/>
          <w:lang w:val="sq-AL"/>
        </w:rPr>
        <w:t>Projektligji përbëhet nga 7</w:t>
      </w:r>
      <w:r w:rsidR="00885989" w:rsidRPr="00466159">
        <w:rPr>
          <w:rFonts w:ascii="Times New Roman" w:hAnsi="Times New Roman"/>
          <w:color w:val="000000"/>
          <w:sz w:val="28"/>
          <w:szCs w:val="28"/>
          <w:lang w:val="sq-AL"/>
        </w:rPr>
        <w:t xml:space="preserve"> nene, </w:t>
      </w:r>
      <w:r w:rsidR="00885989" w:rsidRPr="00466159">
        <w:rPr>
          <w:rFonts w:ascii="Times New Roman" w:eastAsia="MS Mincho" w:hAnsi="Times New Roman"/>
          <w:sz w:val="28"/>
          <w:szCs w:val="28"/>
          <w:lang w:val="sq-AL"/>
        </w:rPr>
        <w:t>të cilat konsistojnë në disa shtesa dhe ndryshime të dispozitave përkatëse të ligjit nr. 92/2014 “Për tatimin mbi vlerën e shtuar në Republikën e Shqipërisë”, i ndryshuar, si më poshtë:</w:t>
      </w:r>
    </w:p>
    <w:p w:rsidR="00885989" w:rsidRPr="00466159" w:rsidRDefault="00885989" w:rsidP="00885989">
      <w:pPr>
        <w:spacing w:after="0" w:line="240" w:lineRule="auto"/>
        <w:jc w:val="both"/>
        <w:rPr>
          <w:rFonts w:ascii="Times New Roman" w:eastAsia="MS Mincho" w:hAnsi="Times New Roman"/>
          <w:sz w:val="28"/>
          <w:szCs w:val="28"/>
          <w:lang w:val="sq-AL"/>
        </w:rPr>
      </w:pPr>
    </w:p>
    <w:p w:rsidR="002A219A" w:rsidRPr="00E767D7" w:rsidRDefault="00885989" w:rsidP="002A219A">
      <w:pPr>
        <w:spacing w:after="0" w:line="240" w:lineRule="auto"/>
        <w:contextualSpacing/>
        <w:jc w:val="both"/>
        <w:rPr>
          <w:rFonts w:ascii="Times New Roman" w:hAnsi="Times New Roman"/>
          <w:sz w:val="28"/>
          <w:szCs w:val="28"/>
          <w:lang w:val="sq-AL"/>
        </w:rPr>
      </w:pPr>
      <w:r w:rsidRPr="00E767D7">
        <w:rPr>
          <w:rFonts w:ascii="Times New Roman" w:eastAsia="MS Mincho" w:hAnsi="Times New Roman"/>
          <w:b/>
          <w:color w:val="000000"/>
          <w:sz w:val="28"/>
          <w:szCs w:val="28"/>
          <w:lang w:val="sq-AL"/>
        </w:rPr>
        <w:t>Neni 1,</w:t>
      </w:r>
      <w:r w:rsidRPr="00E767D7">
        <w:rPr>
          <w:rFonts w:ascii="Times New Roman" w:eastAsia="MS Mincho" w:hAnsi="Times New Roman"/>
          <w:color w:val="000000"/>
          <w:sz w:val="28"/>
          <w:szCs w:val="28"/>
          <w:lang w:val="sq-AL"/>
        </w:rPr>
        <w:t xml:space="preserve"> </w:t>
      </w:r>
      <w:r w:rsidR="002A219A" w:rsidRPr="00E767D7">
        <w:rPr>
          <w:rFonts w:ascii="Times New Roman" w:eastAsia="MS Mincho" w:hAnsi="Times New Roman"/>
          <w:color w:val="000000"/>
          <w:sz w:val="28"/>
          <w:szCs w:val="28"/>
          <w:lang w:val="sq-AL"/>
        </w:rPr>
        <w:t>ka parashikuar që</w:t>
      </w:r>
      <w:r w:rsidR="008C1B00">
        <w:rPr>
          <w:rFonts w:ascii="Times New Roman" w:eastAsia="MS Mincho" w:hAnsi="Times New Roman"/>
          <w:color w:val="000000"/>
          <w:sz w:val="28"/>
          <w:szCs w:val="28"/>
          <w:lang w:val="sq-AL"/>
        </w:rPr>
        <w:t>,</w:t>
      </w:r>
      <w:r w:rsidR="002A219A" w:rsidRPr="00E767D7">
        <w:rPr>
          <w:rFonts w:ascii="Times New Roman" w:eastAsia="MS Mincho" w:hAnsi="Times New Roman"/>
          <w:color w:val="000000"/>
          <w:sz w:val="28"/>
          <w:szCs w:val="28"/>
          <w:lang w:val="sq-AL"/>
        </w:rPr>
        <w:t xml:space="preserve"> n</w:t>
      </w:r>
      <w:r w:rsidR="002A219A" w:rsidRPr="00E767D7">
        <w:rPr>
          <w:rFonts w:ascii="Times New Roman" w:hAnsi="Times New Roman"/>
          <w:sz w:val="28"/>
          <w:szCs w:val="28"/>
          <w:lang w:val="sq-AL"/>
        </w:rPr>
        <w:t xml:space="preserve">ë nenin </w:t>
      </w:r>
      <w:r w:rsidR="002A219A" w:rsidRPr="00E767D7">
        <w:rPr>
          <w:rFonts w:ascii="Times New Roman" w:hAnsi="Times New Roman"/>
          <w:sz w:val="28"/>
          <w:szCs w:val="28"/>
        </w:rPr>
        <w:t>51 “Përjashtimi i disa veprimtarive me interes të përgjithshëm”,</w:t>
      </w:r>
      <w:r w:rsidR="008C1B00">
        <w:rPr>
          <w:rFonts w:ascii="Times New Roman" w:hAnsi="Times New Roman"/>
          <w:sz w:val="28"/>
          <w:szCs w:val="28"/>
        </w:rPr>
        <w:t xml:space="preserve"> të </w:t>
      </w:r>
      <w:r w:rsidR="002A219A" w:rsidRPr="00E767D7">
        <w:rPr>
          <w:rFonts w:ascii="Times New Roman" w:hAnsi="Times New Roman"/>
          <w:sz w:val="28"/>
          <w:szCs w:val="28"/>
          <w:lang w:val="sq-AL"/>
        </w:rPr>
        <w:t xml:space="preserve">shtohet </w:t>
      </w:r>
      <w:r w:rsidR="00B003DE">
        <w:rPr>
          <w:rFonts w:ascii="Times New Roman" w:hAnsi="Times New Roman"/>
          <w:sz w:val="28"/>
          <w:szCs w:val="28"/>
          <w:lang w:val="sq-AL"/>
        </w:rPr>
        <w:t>gërma</w:t>
      </w:r>
      <w:r w:rsidR="002A219A" w:rsidRPr="00E767D7">
        <w:rPr>
          <w:rFonts w:ascii="Times New Roman" w:hAnsi="Times New Roman"/>
          <w:sz w:val="28"/>
          <w:szCs w:val="28"/>
          <w:lang w:val="sq-AL"/>
        </w:rPr>
        <w:t xml:space="preserve"> “q”</w:t>
      </w:r>
      <w:r w:rsidR="000D4748">
        <w:rPr>
          <w:rFonts w:ascii="Times New Roman" w:hAnsi="Times New Roman"/>
          <w:sz w:val="28"/>
          <w:szCs w:val="28"/>
          <w:lang w:val="sq-AL"/>
        </w:rPr>
        <w:t>,</w:t>
      </w:r>
      <w:r w:rsidR="002A219A" w:rsidRPr="00E767D7">
        <w:rPr>
          <w:rFonts w:ascii="Times New Roman" w:hAnsi="Times New Roman"/>
          <w:sz w:val="28"/>
          <w:szCs w:val="28"/>
          <w:lang w:val="sq-AL"/>
        </w:rPr>
        <w:t xml:space="preserve"> me </w:t>
      </w:r>
      <w:r w:rsidR="00B003DE">
        <w:rPr>
          <w:rFonts w:ascii="Times New Roman" w:hAnsi="Times New Roman"/>
          <w:sz w:val="28"/>
          <w:szCs w:val="28"/>
          <w:lang w:val="sq-AL"/>
        </w:rPr>
        <w:t>këtë përmbajtje</w:t>
      </w:r>
      <w:r w:rsidR="002A219A" w:rsidRPr="00E767D7">
        <w:rPr>
          <w:rFonts w:ascii="Times New Roman" w:hAnsi="Times New Roman"/>
          <w:sz w:val="28"/>
          <w:szCs w:val="28"/>
          <w:lang w:val="sq-AL"/>
        </w:rPr>
        <w:t>:</w:t>
      </w:r>
    </w:p>
    <w:p w:rsidR="00E767D7" w:rsidRPr="00E767D7" w:rsidRDefault="00E767D7" w:rsidP="002A219A">
      <w:pPr>
        <w:spacing w:after="0" w:line="240" w:lineRule="auto"/>
        <w:contextualSpacing/>
        <w:jc w:val="both"/>
        <w:rPr>
          <w:rFonts w:ascii="Times New Roman" w:hAnsi="Times New Roman"/>
          <w:sz w:val="28"/>
          <w:szCs w:val="28"/>
          <w:lang w:val="sq-AL"/>
        </w:rPr>
      </w:pPr>
    </w:p>
    <w:p w:rsidR="002A219A" w:rsidRPr="002A219A" w:rsidRDefault="00E767D7" w:rsidP="002A219A">
      <w:pPr>
        <w:autoSpaceDE w:val="0"/>
        <w:autoSpaceDN w:val="0"/>
        <w:adjustRightInd w:val="0"/>
        <w:spacing w:after="0" w:line="240" w:lineRule="auto"/>
        <w:jc w:val="both"/>
        <w:rPr>
          <w:rFonts w:ascii="Times New Roman" w:eastAsia="MS Mincho" w:hAnsi="Times New Roman"/>
          <w:color w:val="000000"/>
          <w:sz w:val="28"/>
          <w:szCs w:val="28"/>
          <w:lang w:val="sq-AL"/>
        </w:rPr>
      </w:pPr>
      <w:r w:rsidRPr="00E767D7">
        <w:rPr>
          <w:rFonts w:ascii="Times New Roman" w:hAnsi="Times New Roman"/>
          <w:sz w:val="28"/>
          <w:szCs w:val="28"/>
          <w:lang w:val="sq-AL"/>
        </w:rPr>
        <w:t>“</w:t>
      </w:r>
      <w:r w:rsidRPr="00E767D7">
        <w:rPr>
          <w:rFonts w:ascii="Times New Roman" w:hAnsi="Times New Roman"/>
          <w:i/>
          <w:sz w:val="28"/>
          <w:szCs w:val="28"/>
          <w:lang w:val="sq-AL"/>
        </w:rPr>
        <w:t>q</w:t>
      </w:r>
      <w:r w:rsidR="003B4A26" w:rsidRPr="00E767D7">
        <w:rPr>
          <w:rFonts w:ascii="Times New Roman" w:hAnsi="Times New Roman"/>
          <w:i/>
          <w:sz w:val="28"/>
          <w:szCs w:val="28"/>
          <w:lang w:val="sq-AL"/>
        </w:rPr>
        <w:t xml:space="preserve">. Furnizimi </w:t>
      </w:r>
      <w:r w:rsidR="008E20BC" w:rsidRPr="008E20BC">
        <w:rPr>
          <w:rFonts w:ascii="Times New Roman" w:hAnsi="Times New Roman"/>
          <w:i/>
          <w:sz w:val="28"/>
          <w:szCs w:val="24"/>
          <w:lang w:val="sq-AL"/>
        </w:rPr>
        <w:t>i artikujve të përfshirë</w:t>
      </w:r>
      <w:r w:rsidR="008E20BC" w:rsidRPr="008E20BC">
        <w:rPr>
          <w:rFonts w:ascii="Times New Roman" w:hAnsi="Times New Roman"/>
          <w:i/>
          <w:sz w:val="32"/>
          <w:szCs w:val="28"/>
          <w:lang w:val="sq-AL"/>
        </w:rPr>
        <w:t xml:space="preserve"> </w:t>
      </w:r>
      <w:r w:rsidR="002A219A" w:rsidRPr="00E767D7">
        <w:rPr>
          <w:rFonts w:ascii="Times New Roman" w:hAnsi="Times New Roman"/>
          <w:i/>
          <w:sz w:val="28"/>
          <w:szCs w:val="28"/>
          <w:lang w:val="sq-AL"/>
        </w:rPr>
        <w:t>n</w:t>
      </w:r>
      <w:r w:rsidR="003B4A26" w:rsidRPr="00E767D7">
        <w:rPr>
          <w:rFonts w:ascii="Times New Roman" w:hAnsi="Times New Roman"/>
          <w:i/>
          <w:sz w:val="28"/>
          <w:szCs w:val="28"/>
          <w:lang w:val="sq-AL"/>
        </w:rPr>
        <w:t>ë</w:t>
      </w:r>
      <w:r w:rsidR="002A219A" w:rsidRPr="00E767D7">
        <w:rPr>
          <w:rFonts w:ascii="Times New Roman" w:hAnsi="Times New Roman"/>
          <w:i/>
          <w:sz w:val="28"/>
          <w:szCs w:val="28"/>
          <w:lang w:val="sq-AL"/>
        </w:rPr>
        <w:t xml:space="preserve"> kreun 4401 t</w:t>
      </w:r>
      <w:r w:rsidR="003B4A26" w:rsidRPr="00E767D7">
        <w:rPr>
          <w:rFonts w:ascii="Times New Roman" w:hAnsi="Times New Roman"/>
          <w:i/>
          <w:sz w:val="28"/>
          <w:szCs w:val="28"/>
          <w:lang w:val="sq-AL"/>
        </w:rPr>
        <w:t>ë</w:t>
      </w:r>
      <w:r w:rsidR="002A219A" w:rsidRPr="00E767D7">
        <w:rPr>
          <w:rFonts w:ascii="Times New Roman" w:hAnsi="Times New Roman"/>
          <w:i/>
          <w:sz w:val="28"/>
          <w:szCs w:val="28"/>
          <w:lang w:val="sq-AL"/>
        </w:rPr>
        <w:t xml:space="preserve"> Nomenklatur</w:t>
      </w:r>
      <w:r w:rsidR="003B4A26" w:rsidRPr="00E767D7">
        <w:rPr>
          <w:rFonts w:ascii="Times New Roman" w:hAnsi="Times New Roman"/>
          <w:i/>
          <w:sz w:val="28"/>
          <w:szCs w:val="28"/>
          <w:lang w:val="sq-AL"/>
        </w:rPr>
        <w:t>ë</w:t>
      </w:r>
      <w:r w:rsidR="002A219A" w:rsidRPr="00E767D7">
        <w:rPr>
          <w:rFonts w:ascii="Times New Roman" w:hAnsi="Times New Roman"/>
          <w:i/>
          <w:sz w:val="28"/>
          <w:szCs w:val="28"/>
          <w:lang w:val="sq-AL"/>
        </w:rPr>
        <w:t>s s</w:t>
      </w:r>
      <w:r w:rsidR="003B4A26" w:rsidRPr="00E767D7">
        <w:rPr>
          <w:rFonts w:ascii="Times New Roman" w:hAnsi="Times New Roman"/>
          <w:i/>
          <w:sz w:val="28"/>
          <w:szCs w:val="28"/>
          <w:lang w:val="sq-AL"/>
        </w:rPr>
        <w:t>ë Kombinuar të</w:t>
      </w:r>
      <w:r w:rsidR="002A219A" w:rsidRPr="00E767D7">
        <w:rPr>
          <w:rFonts w:ascii="Times New Roman" w:hAnsi="Times New Roman"/>
          <w:i/>
          <w:sz w:val="28"/>
          <w:szCs w:val="28"/>
          <w:lang w:val="sq-AL"/>
        </w:rPr>
        <w:t xml:space="preserve"> Mallrave</w:t>
      </w:r>
      <w:r w:rsidR="00B003DE">
        <w:rPr>
          <w:rFonts w:ascii="Times New Roman" w:hAnsi="Times New Roman"/>
          <w:i/>
          <w:sz w:val="28"/>
          <w:szCs w:val="28"/>
          <w:lang w:val="sq-AL"/>
        </w:rPr>
        <w:t>,</w:t>
      </w:r>
      <w:r w:rsidRPr="00E767D7">
        <w:rPr>
          <w:rFonts w:ascii="Times New Roman" w:hAnsi="Times New Roman"/>
          <w:i/>
          <w:sz w:val="28"/>
          <w:szCs w:val="28"/>
          <w:lang w:val="sq-AL"/>
        </w:rPr>
        <w:t xml:space="preserve"> me efekt deri në 31 dhjetor 2023</w:t>
      </w:r>
      <w:r w:rsidRPr="00E767D7">
        <w:rPr>
          <w:rFonts w:ascii="Times New Roman" w:hAnsi="Times New Roman"/>
          <w:sz w:val="28"/>
          <w:szCs w:val="28"/>
          <w:lang w:val="sq-AL"/>
        </w:rPr>
        <w:t>”</w:t>
      </w:r>
      <w:r w:rsidR="002A219A" w:rsidRPr="00E767D7">
        <w:rPr>
          <w:rFonts w:ascii="Times New Roman" w:hAnsi="Times New Roman"/>
          <w:sz w:val="28"/>
          <w:szCs w:val="28"/>
          <w:lang w:val="sq-AL"/>
        </w:rPr>
        <w:t>.</w:t>
      </w:r>
    </w:p>
    <w:p w:rsidR="002A219A" w:rsidRDefault="002A219A" w:rsidP="00885989">
      <w:pPr>
        <w:autoSpaceDE w:val="0"/>
        <w:autoSpaceDN w:val="0"/>
        <w:adjustRightInd w:val="0"/>
        <w:spacing w:after="0" w:line="240" w:lineRule="auto"/>
        <w:jc w:val="both"/>
        <w:rPr>
          <w:rFonts w:ascii="Times New Roman" w:hAnsi="Times New Roman"/>
          <w:color w:val="000000"/>
          <w:sz w:val="28"/>
          <w:szCs w:val="28"/>
        </w:rPr>
      </w:pPr>
    </w:p>
    <w:p w:rsidR="00885989" w:rsidRPr="002A219A" w:rsidRDefault="002A219A" w:rsidP="00885989">
      <w:pPr>
        <w:autoSpaceDE w:val="0"/>
        <w:autoSpaceDN w:val="0"/>
        <w:adjustRightInd w:val="0"/>
        <w:spacing w:after="0" w:line="240" w:lineRule="auto"/>
        <w:jc w:val="both"/>
        <w:rPr>
          <w:rFonts w:ascii="Times New Roman" w:hAnsi="Times New Roman"/>
          <w:i/>
          <w:sz w:val="28"/>
          <w:szCs w:val="28"/>
        </w:rPr>
      </w:pPr>
      <w:r w:rsidRPr="002A219A">
        <w:rPr>
          <w:rFonts w:ascii="Times New Roman" w:hAnsi="Times New Roman"/>
          <w:b/>
          <w:color w:val="000000"/>
          <w:sz w:val="28"/>
          <w:szCs w:val="28"/>
        </w:rPr>
        <w:t>Neni 2,</w:t>
      </w:r>
      <w:r w:rsidRPr="002A219A">
        <w:rPr>
          <w:rFonts w:ascii="Times New Roman" w:hAnsi="Times New Roman"/>
          <w:color w:val="000000"/>
          <w:sz w:val="28"/>
          <w:szCs w:val="28"/>
        </w:rPr>
        <w:t xml:space="preserve"> </w:t>
      </w:r>
      <w:r w:rsidR="00885989" w:rsidRPr="002A219A">
        <w:rPr>
          <w:rFonts w:ascii="Times New Roman" w:hAnsi="Times New Roman"/>
          <w:color w:val="000000"/>
          <w:sz w:val="28"/>
          <w:szCs w:val="28"/>
        </w:rPr>
        <w:t xml:space="preserve">ka parashikuar që, në </w:t>
      </w:r>
      <w:r w:rsidR="00885989" w:rsidRPr="002A219A">
        <w:rPr>
          <w:rFonts w:ascii="Times New Roman" w:hAnsi="Times New Roman"/>
          <w:sz w:val="28"/>
          <w:szCs w:val="28"/>
          <w:lang w:val="sq-AL"/>
        </w:rPr>
        <w:t>nenin 56, “Përjashtime të veçanta në import”, të shtohe</w:t>
      </w:r>
      <w:r w:rsidR="00B003DE">
        <w:rPr>
          <w:rFonts w:ascii="Times New Roman" w:hAnsi="Times New Roman"/>
          <w:sz w:val="28"/>
          <w:szCs w:val="28"/>
          <w:lang w:val="sq-AL"/>
        </w:rPr>
        <w:t>n pikat</w:t>
      </w:r>
      <w:r w:rsidR="00885989" w:rsidRPr="002A219A">
        <w:rPr>
          <w:rFonts w:ascii="Times New Roman" w:hAnsi="Times New Roman"/>
          <w:sz w:val="28"/>
          <w:szCs w:val="28"/>
          <w:lang w:val="sq-AL"/>
        </w:rPr>
        <w:t xml:space="preserve"> “45”</w:t>
      </w:r>
      <w:r w:rsidRPr="002A219A">
        <w:rPr>
          <w:rFonts w:ascii="Times New Roman" w:hAnsi="Times New Roman"/>
          <w:sz w:val="28"/>
          <w:szCs w:val="28"/>
          <w:lang w:val="sq-AL"/>
        </w:rPr>
        <w:t xml:space="preserve"> dhe “46”</w:t>
      </w:r>
      <w:r w:rsidR="00885989" w:rsidRPr="002A219A">
        <w:rPr>
          <w:rFonts w:ascii="Times New Roman" w:hAnsi="Times New Roman"/>
          <w:sz w:val="28"/>
          <w:szCs w:val="28"/>
          <w:lang w:val="sq-AL"/>
        </w:rPr>
        <w:t>, me përmbajtje</w:t>
      </w:r>
      <w:r w:rsidR="00B003DE">
        <w:rPr>
          <w:rFonts w:ascii="Times New Roman" w:hAnsi="Times New Roman"/>
          <w:sz w:val="28"/>
          <w:szCs w:val="28"/>
          <w:lang w:val="sq-AL"/>
        </w:rPr>
        <w:t xml:space="preserve"> si vijon</w:t>
      </w:r>
      <w:r w:rsidR="00885989" w:rsidRPr="002A219A">
        <w:rPr>
          <w:rFonts w:ascii="Times New Roman" w:hAnsi="Times New Roman"/>
          <w:sz w:val="28"/>
          <w:szCs w:val="28"/>
          <w:lang w:val="sq-AL"/>
        </w:rPr>
        <w:t>:</w:t>
      </w:r>
    </w:p>
    <w:p w:rsidR="00885989" w:rsidRPr="002A219A" w:rsidRDefault="00885989" w:rsidP="00885989">
      <w:pPr>
        <w:widowControl w:val="0"/>
        <w:shd w:val="clear" w:color="auto" w:fill="FFFFFF"/>
        <w:tabs>
          <w:tab w:val="left" w:pos="662"/>
        </w:tabs>
        <w:autoSpaceDE w:val="0"/>
        <w:autoSpaceDN w:val="0"/>
        <w:adjustRightInd w:val="0"/>
        <w:spacing w:after="0" w:line="240" w:lineRule="auto"/>
        <w:contextualSpacing/>
        <w:jc w:val="both"/>
        <w:rPr>
          <w:rFonts w:ascii="Times New Roman" w:hAnsi="Times New Roman"/>
          <w:sz w:val="28"/>
          <w:szCs w:val="28"/>
          <w:lang w:val="sq-AL"/>
        </w:rPr>
      </w:pPr>
    </w:p>
    <w:p w:rsidR="00774FF7" w:rsidRPr="002A219A" w:rsidRDefault="00885989" w:rsidP="00774FF7">
      <w:pPr>
        <w:spacing w:after="0"/>
        <w:jc w:val="both"/>
        <w:rPr>
          <w:rStyle w:val="jlqj4b"/>
          <w:rFonts w:ascii="Times New Roman" w:hAnsi="Times New Roman"/>
          <w:i/>
          <w:sz w:val="28"/>
          <w:szCs w:val="28"/>
        </w:rPr>
      </w:pPr>
      <w:r w:rsidRPr="002A219A">
        <w:rPr>
          <w:rFonts w:ascii="Times New Roman" w:hAnsi="Times New Roman"/>
          <w:sz w:val="28"/>
          <w:szCs w:val="28"/>
          <w:lang w:val="sq-AL"/>
        </w:rPr>
        <w:t>“</w:t>
      </w:r>
      <w:r w:rsidRPr="002A219A">
        <w:rPr>
          <w:rFonts w:ascii="Times New Roman" w:hAnsi="Times New Roman"/>
          <w:i/>
          <w:sz w:val="28"/>
          <w:szCs w:val="28"/>
          <w:lang w:val="sq-AL"/>
        </w:rPr>
        <w:t xml:space="preserve">45. </w:t>
      </w:r>
      <w:r w:rsidR="00774FF7" w:rsidRPr="002A219A">
        <w:rPr>
          <w:rStyle w:val="jlqj4b"/>
          <w:rFonts w:ascii="Times New Roman" w:hAnsi="Times New Roman"/>
          <w:i/>
          <w:sz w:val="28"/>
          <w:szCs w:val="28"/>
        </w:rPr>
        <w:t xml:space="preserve">Mallrat e destinuara për realizimin e projekteve të financuara me fonde të marra në bazë të një marrëveshje donacioni/granti, të lidhur ndërmjet Këshillit të Ministrave të Republikës së Shqipërisë/Republikës së Shqipërisë dhe </w:t>
      </w:r>
      <w:r w:rsidR="00774FF7" w:rsidRPr="002A219A">
        <w:rPr>
          <w:rFonts w:ascii="Times New Roman" w:hAnsi="Times New Roman"/>
          <w:i/>
          <w:sz w:val="28"/>
          <w:szCs w:val="28"/>
        </w:rPr>
        <w:lastRenderedPageBreak/>
        <w:t>donatorëve të huaj</w:t>
      </w:r>
      <w:r w:rsidR="00774FF7" w:rsidRPr="002A219A">
        <w:rPr>
          <w:rStyle w:val="jlqj4b"/>
          <w:rFonts w:ascii="Times New Roman" w:hAnsi="Times New Roman"/>
          <w:i/>
          <w:sz w:val="28"/>
          <w:szCs w:val="28"/>
        </w:rPr>
        <w:t>, nëse në marrëveshje është parashikuar se fondet e marra nuk do të përdoren për të paguar tatime.</w:t>
      </w:r>
    </w:p>
    <w:p w:rsidR="00885989" w:rsidRPr="002A219A" w:rsidRDefault="00774FF7" w:rsidP="00774FF7">
      <w:pPr>
        <w:spacing w:after="0" w:line="240" w:lineRule="auto"/>
        <w:jc w:val="both"/>
        <w:rPr>
          <w:rFonts w:ascii="Times New Roman" w:hAnsi="Times New Roman"/>
          <w:sz w:val="28"/>
          <w:szCs w:val="28"/>
          <w:lang w:val="sq-AL"/>
        </w:rPr>
      </w:pPr>
      <w:r w:rsidRPr="002A219A">
        <w:rPr>
          <w:rFonts w:ascii="Times New Roman" w:hAnsi="Times New Roman"/>
          <w:i/>
          <w:sz w:val="28"/>
          <w:szCs w:val="28"/>
          <w:lang w:val="sq-AL"/>
        </w:rPr>
        <w:t>Lista e donatorëve përcaktohet rast pas rasti me Vendim të Këshillit të Ministrave, ndërsa kriteret dhe procedurat për zbatimin e kësaj pike përcaktohen me</w:t>
      </w:r>
      <w:r w:rsidRPr="002A219A">
        <w:rPr>
          <w:rStyle w:val="jlqj4b"/>
          <w:rFonts w:ascii="Times New Roman" w:hAnsi="Times New Roman"/>
          <w:i/>
          <w:sz w:val="28"/>
          <w:szCs w:val="28"/>
        </w:rPr>
        <w:t xml:space="preserve"> </w:t>
      </w:r>
      <w:r w:rsidRPr="002A219A">
        <w:rPr>
          <w:rFonts w:ascii="Times New Roman" w:hAnsi="Times New Roman"/>
          <w:i/>
          <w:sz w:val="28"/>
          <w:szCs w:val="28"/>
          <w:lang w:val="sq-AL"/>
        </w:rPr>
        <w:t>udhëzim të ministrit të financave.</w:t>
      </w:r>
      <w:r w:rsidR="00885989" w:rsidRPr="002A219A">
        <w:rPr>
          <w:rFonts w:ascii="Times New Roman" w:hAnsi="Times New Roman"/>
          <w:sz w:val="28"/>
          <w:szCs w:val="28"/>
          <w:lang w:val="sq-AL"/>
        </w:rPr>
        <w:t>”.</w:t>
      </w:r>
    </w:p>
    <w:p w:rsidR="002A219A" w:rsidRPr="002A219A" w:rsidRDefault="002A219A" w:rsidP="00774FF7">
      <w:pPr>
        <w:spacing w:after="0" w:line="240" w:lineRule="auto"/>
        <w:jc w:val="both"/>
        <w:rPr>
          <w:rFonts w:ascii="Times New Roman" w:hAnsi="Times New Roman"/>
          <w:sz w:val="28"/>
          <w:szCs w:val="28"/>
          <w:lang w:val="sq-AL"/>
        </w:rPr>
      </w:pPr>
    </w:p>
    <w:p w:rsidR="002A219A" w:rsidRPr="002A219A" w:rsidRDefault="008E20BC" w:rsidP="002A219A">
      <w:pPr>
        <w:spacing w:after="0"/>
        <w:jc w:val="both"/>
        <w:rPr>
          <w:rFonts w:ascii="Times New Roman" w:hAnsi="Times New Roman"/>
          <w:sz w:val="28"/>
          <w:szCs w:val="28"/>
          <w:lang w:val="sq-AL"/>
        </w:rPr>
      </w:pPr>
      <w:r>
        <w:rPr>
          <w:rFonts w:ascii="Times New Roman" w:hAnsi="Times New Roman"/>
          <w:i/>
          <w:sz w:val="28"/>
          <w:szCs w:val="28"/>
          <w:lang w:val="sq-AL"/>
        </w:rPr>
        <w:t xml:space="preserve">46. Importimi i </w:t>
      </w:r>
      <w:r w:rsidRPr="008E20BC">
        <w:rPr>
          <w:rFonts w:ascii="Times New Roman" w:hAnsi="Times New Roman"/>
          <w:i/>
          <w:sz w:val="28"/>
          <w:szCs w:val="24"/>
          <w:lang w:val="sq-AL"/>
        </w:rPr>
        <w:t>artikujve të përfshirë</w:t>
      </w:r>
      <w:r w:rsidRPr="008E20BC">
        <w:rPr>
          <w:rFonts w:ascii="Times New Roman" w:hAnsi="Times New Roman"/>
          <w:i/>
          <w:sz w:val="32"/>
          <w:szCs w:val="28"/>
          <w:lang w:val="sq-AL"/>
        </w:rPr>
        <w:t xml:space="preserve"> </w:t>
      </w:r>
      <w:r w:rsidR="002A219A" w:rsidRPr="00D1137F">
        <w:rPr>
          <w:rFonts w:ascii="Times New Roman" w:hAnsi="Times New Roman"/>
          <w:i/>
          <w:sz w:val="28"/>
          <w:szCs w:val="28"/>
          <w:lang w:val="sq-AL"/>
        </w:rPr>
        <w:t>në kreun 4401 të Nomenklaturës së Kombinuar të Mallrave</w:t>
      </w:r>
      <w:r w:rsidR="00B003DE">
        <w:rPr>
          <w:rFonts w:ascii="Times New Roman" w:hAnsi="Times New Roman"/>
          <w:i/>
          <w:sz w:val="28"/>
          <w:szCs w:val="28"/>
          <w:lang w:val="sq-AL"/>
        </w:rPr>
        <w:t>,</w:t>
      </w:r>
      <w:r w:rsidR="00D1137F" w:rsidRPr="00D1137F">
        <w:rPr>
          <w:rFonts w:ascii="Times New Roman" w:hAnsi="Times New Roman"/>
          <w:i/>
          <w:sz w:val="28"/>
          <w:szCs w:val="28"/>
          <w:lang w:val="sq-AL"/>
        </w:rPr>
        <w:t xml:space="preserve"> me efekt deri në 31 dhjetor 2023</w:t>
      </w:r>
      <w:r w:rsidR="002A219A" w:rsidRPr="00D1137F">
        <w:rPr>
          <w:rFonts w:ascii="Times New Roman" w:hAnsi="Times New Roman"/>
          <w:i/>
          <w:sz w:val="28"/>
          <w:szCs w:val="28"/>
          <w:lang w:val="sq-AL"/>
        </w:rPr>
        <w:t>.</w:t>
      </w:r>
      <w:r w:rsidR="002A219A" w:rsidRPr="00D1137F">
        <w:rPr>
          <w:rFonts w:ascii="Times New Roman" w:hAnsi="Times New Roman"/>
          <w:sz w:val="28"/>
          <w:szCs w:val="28"/>
          <w:lang w:val="sq-AL"/>
        </w:rPr>
        <w:t>”</w:t>
      </w:r>
    </w:p>
    <w:p w:rsidR="00774FF7" w:rsidRPr="00466159" w:rsidRDefault="00774FF7" w:rsidP="00774FF7">
      <w:pPr>
        <w:spacing w:after="0" w:line="240" w:lineRule="auto"/>
        <w:jc w:val="both"/>
        <w:rPr>
          <w:rFonts w:ascii="Times New Roman" w:hAnsi="Times New Roman"/>
          <w:sz w:val="28"/>
          <w:szCs w:val="28"/>
          <w:lang w:val="sq-AL"/>
        </w:rPr>
      </w:pPr>
    </w:p>
    <w:p w:rsidR="00885989" w:rsidRPr="00466159" w:rsidRDefault="002A219A" w:rsidP="00885989">
      <w:pPr>
        <w:autoSpaceDE w:val="0"/>
        <w:autoSpaceDN w:val="0"/>
        <w:adjustRightInd w:val="0"/>
        <w:spacing w:after="0" w:line="240" w:lineRule="auto"/>
        <w:jc w:val="both"/>
        <w:rPr>
          <w:rFonts w:ascii="Times New Roman" w:hAnsi="Times New Roman"/>
          <w:sz w:val="28"/>
          <w:szCs w:val="28"/>
          <w:lang w:val="sq-AL"/>
        </w:rPr>
      </w:pPr>
      <w:r>
        <w:rPr>
          <w:rFonts w:ascii="Times New Roman" w:hAnsi="Times New Roman"/>
          <w:b/>
          <w:sz w:val="28"/>
          <w:szCs w:val="28"/>
        </w:rPr>
        <w:t>Neni 3</w:t>
      </w:r>
      <w:r w:rsidR="00885989" w:rsidRPr="00466159">
        <w:rPr>
          <w:rFonts w:ascii="Times New Roman" w:hAnsi="Times New Roman"/>
          <w:b/>
          <w:sz w:val="28"/>
          <w:szCs w:val="28"/>
        </w:rPr>
        <w:t xml:space="preserve">, </w:t>
      </w:r>
      <w:r w:rsidR="008C1B00" w:rsidRPr="008C1B00">
        <w:rPr>
          <w:rFonts w:ascii="Times New Roman" w:hAnsi="Times New Roman"/>
          <w:sz w:val="28"/>
          <w:szCs w:val="28"/>
        </w:rPr>
        <w:t xml:space="preserve">ka </w:t>
      </w:r>
      <w:r w:rsidR="00885989" w:rsidRPr="008C1B00">
        <w:rPr>
          <w:rFonts w:ascii="Times New Roman" w:eastAsia="MS Mincho" w:hAnsi="Times New Roman"/>
          <w:color w:val="000000"/>
          <w:sz w:val="28"/>
          <w:szCs w:val="28"/>
          <w:lang w:val="sq-AL"/>
        </w:rPr>
        <w:t>p</w:t>
      </w:r>
      <w:r w:rsidR="00885989" w:rsidRPr="00466159">
        <w:rPr>
          <w:rFonts w:ascii="Times New Roman" w:eastAsia="MS Mincho" w:hAnsi="Times New Roman"/>
          <w:color w:val="000000"/>
          <w:sz w:val="28"/>
          <w:szCs w:val="28"/>
          <w:lang w:val="sq-AL"/>
        </w:rPr>
        <w:t>arashik</w:t>
      </w:r>
      <w:r w:rsidR="008C1B00">
        <w:rPr>
          <w:rFonts w:ascii="Times New Roman" w:eastAsia="MS Mincho" w:hAnsi="Times New Roman"/>
          <w:color w:val="000000"/>
          <w:sz w:val="28"/>
          <w:szCs w:val="28"/>
          <w:lang w:val="sq-AL"/>
        </w:rPr>
        <w:t>uar</w:t>
      </w:r>
      <w:r w:rsidR="00885989" w:rsidRPr="00466159">
        <w:rPr>
          <w:rFonts w:ascii="Times New Roman" w:eastAsia="MS Mincho" w:hAnsi="Times New Roman"/>
          <w:color w:val="000000"/>
          <w:sz w:val="28"/>
          <w:szCs w:val="28"/>
          <w:lang w:val="sq-AL"/>
        </w:rPr>
        <w:t xml:space="preserve"> që, </w:t>
      </w:r>
      <w:r w:rsidR="00885989" w:rsidRPr="00466159">
        <w:rPr>
          <w:rFonts w:ascii="Times New Roman" w:hAnsi="Times New Roman"/>
          <w:color w:val="000000"/>
          <w:sz w:val="28"/>
          <w:szCs w:val="28"/>
        </w:rPr>
        <w:t xml:space="preserve">në </w:t>
      </w:r>
      <w:r w:rsidR="00D1137F">
        <w:rPr>
          <w:rFonts w:ascii="Times New Roman" w:hAnsi="Times New Roman"/>
          <w:color w:val="000000"/>
          <w:sz w:val="28"/>
          <w:szCs w:val="28"/>
        </w:rPr>
        <w:t>pikën 1 të nenit</w:t>
      </w:r>
      <w:r w:rsidR="00885989" w:rsidRPr="00466159">
        <w:rPr>
          <w:rFonts w:ascii="Times New Roman" w:hAnsi="Times New Roman"/>
          <w:color w:val="000000"/>
          <w:sz w:val="28"/>
          <w:szCs w:val="28"/>
        </w:rPr>
        <w:t xml:space="preserve"> </w:t>
      </w:r>
      <w:r w:rsidR="00885989" w:rsidRPr="00466159">
        <w:rPr>
          <w:rFonts w:ascii="Times New Roman" w:hAnsi="Times New Roman"/>
          <w:bCs/>
          <w:sz w:val="28"/>
          <w:szCs w:val="28"/>
          <w:lang w:val="sq-AL"/>
        </w:rPr>
        <w:t>60 “Furnizime të përngjashme me eksportet”</w:t>
      </w:r>
      <w:r w:rsidR="00885989" w:rsidRPr="00466159">
        <w:rPr>
          <w:rFonts w:ascii="Times New Roman" w:hAnsi="Times New Roman"/>
          <w:sz w:val="28"/>
          <w:szCs w:val="28"/>
          <w:lang w:val="sq-AL"/>
        </w:rPr>
        <w:t>, të shtohet gërma “c”, me këtë përmbajtje:</w:t>
      </w:r>
    </w:p>
    <w:p w:rsidR="00885989" w:rsidRPr="00466159" w:rsidRDefault="00885989" w:rsidP="00885989">
      <w:pPr>
        <w:autoSpaceDE w:val="0"/>
        <w:autoSpaceDN w:val="0"/>
        <w:adjustRightInd w:val="0"/>
        <w:spacing w:after="0" w:line="240" w:lineRule="auto"/>
        <w:jc w:val="both"/>
        <w:rPr>
          <w:rFonts w:ascii="Times New Roman" w:hAnsi="Times New Roman"/>
          <w:bCs/>
          <w:sz w:val="28"/>
          <w:szCs w:val="28"/>
          <w:lang w:val="sq-AL"/>
        </w:rPr>
      </w:pPr>
    </w:p>
    <w:p w:rsidR="00774FF7" w:rsidRPr="00466159" w:rsidRDefault="00885989" w:rsidP="00885989">
      <w:pPr>
        <w:widowControl w:val="0"/>
        <w:shd w:val="clear" w:color="auto" w:fill="FFFFFF"/>
        <w:tabs>
          <w:tab w:val="left" w:pos="662"/>
        </w:tabs>
        <w:autoSpaceDE w:val="0"/>
        <w:autoSpaceDN w:val="0"/>
        <w:adjustRightInd w:val="0"/>
        <w:spacing w:after="0" w:line="240" w:lineRule="auto"/>
        <w:jc w:val="both"/>
        <w:rPr>
          <w:rFonts w:ascii="Times New Roman" w:hAnsi="Times New Roman"/>
          <w:i/>
          <w:sz w:val="28"/>
          <w:szCs w:val="28"/>
          <w:lang w:val="sq-AL"/>
        </w:rPr>
      </w:pPr>
      <w:r w:rsidRPr="00466159">
        <w:rPr>
          <w:rFonts w:ascii="Times New Roman" w:hAnsi="Times New Roman"/>
          <w:sz w:val="28"/>
          <w:szCs w:val="28"/>
          <w:lang w:val="sq-AL"/>
        </w:rPr>
        <w:t>“</w:t>
      </w:r>
      <w:r w:rsidR="00774FF7" w:rsidRPr="00466159">
        <w:rPr>
          <w:rFonts w:ascii="Times New Roman" w:hAnsi="Times New Roman"/>
          <w:i/>
          <w:sz w:val="28"/>
          <w:szCs w:val="28"/>
          <w:lang w:val="sq-AL"/>
        </w:rPr>
        <w:t xml:space="preserve">c) </w:t>
      </w:r>
      <w:r w:rsidR="00774FF7" w:rsidRPr="00466159">
        <w:rPr>
          <w:rFonts w:ascii="Times New Roman" w:hAnsi="Times New Roman"/>
          <w:i/>
          <w:sz w:val="28"/>
          <w:szCs w:val="28"/>
        </w:rPr>
        <w:t xml:space="preserve">Furnizimi i mallrave/shërbimeve, të destinuara për realizimin e projekteve të </w:t>
      </w:r>
      <w:r w:rsidR="00774FF7" w:rsidRPr="00466159">
        <w:rPr>
          <w:rStyle w:val="jlqj4b"/>
          <w:rFonts w:ascii="Times New Roman" w:hAnsi="Times New Roman"/>
          <w:i/>
          <w:sz w:val="28"/>
          <w:szCs w:val="28"/>
        </w:rPr>
        <w:t>financuara me fonde të marra në bazë të një marrëveshje donacioni/granti</w:t>
      </w:r>
      <w:r w:rsidR="00774FF7" w:rsidRPr="00466159">
        <w:rPr>
          <w:rFonts w:ascii="Times New Roman" w:hAnsi="Times New Roman"/>
          <w:i/>
          <w:sz w:val="28"/>
          <w:szCs w:val="28"/>
        </w:rPr>
        <w:t xml:space="preserve">, </w:t>
      </w:r>
      <w:r w:rsidR="00774FF7" w:rsidRPr="00466159">
        <w:rPr>
          <w:rStyle w:val="jlqj4b"/>
          <w:rFonts w:ascii="Times New Roman" w:hAnsi="Times New Roman"/>
          <w:i/>
          <w:sz w:val="28"/>
          <w:szCs w:val="28"/>
        </w:rPr>
        <w:t>të lidhur ndërmjet Këshillit të Ministrave të Republikës së Shqipërisë/Republikës së Shqipërisë</w:t>
      </w:r>
      <w:r w:rsidR="00774FF7" w:rsidRPr="00466159">
        <w:rPr>
          <w:rFonts w:ascii="Times New Roman" w:hAnsi="Times New Roman"/>
          <w:i/>
          <w:sz w:val="28"/>
          <w:szCs w:val="28"/>
        </w:rPr>
        <w:t xml:space="preserve"> dhe donatorëve të huaj, </w:t>
      </w:r>
      <w:r w:rsidR="00774FF7" w:rsidRPr="00466159">
        <w:rPr>
          <w:rStyle w:val="jlqj4b"/>
          <w:rFonts w:ascii="Times New Roman" w:hAnsi="Times New Roman"/>
          <w:i/>
          <w:sz w:val="28"/>
          <w:szCs w:val="28"/>
        </w:rPr>
        <w:t>nëse në marrëveshje është parashikuar se fondet e marra nuk do të përdoren për të paguar tatime</w:t>
      </w:r>
      <w:r w:rsidR="00774FF7" w:rsidRPr="00466159">
        <w:rPr>
          <w:rFonts w:ascii="Times New Roman" w:hAnsi="Times New Roman"/>
          <w:i/>
          <w:sz w:val="28"/>
          <w:szCs w:val="28"/>
        </w:rPr>
        <w:t>.</w:t>
      </w:r>
      <w:r w:rsidR="00774FF7" w:rsidRPr="00466159">
        <w:rPr>
          <w:rFonts w:ascii="Times New Roman" w:hAnsi="Times New Roman"/>
          <w:i/>
          <w:sz w:val="28"/>
          <w:szCs w:val="28"/>
          <w:lang w:val="sq-AL"/>
        </w:rPr>
        <w:t xml:space="preserve"> </w:t>
      </w:r>
    </w:p>
    <w:p w:rsidR="00885989" w:rsidRPr="00466159" w:rsidRDefault="00774FF7" w:rsidP="00885989">
      <w:pPr>
        <w:widowControl w:val="0"/>
        <w:shd w:val="clear" w:color="auto" w:fill="FFFFFF"/>
        <w:tabs>
          <w:tab w:val="left" w:pos="662"/>
        </w:tabs>
        <w:autoSpaceDE w:val="0"/>
        <w:autoSpaceDN w:val="0"/>
        <w:adjustRightInd w:val="0"/>
        <w:spacing w:after="0" w:line="240" w:lineRule="auto"/>
        <w:jc w:val="both"/>
        <w:rPr>
          <w:rFonts w:ascii="Times New Roman" w:hAnsi="Times New Roman"/>
          <w:i/>
          <w:sz w:val="28"/>
          <w:szCs w:val="28"/>
          <w:lang w:val="sq-AL"/>
        </w:rPr>
      </w:pPr>
      <w:r w:rsidRPr="00466159">
        <w:rPr>
          <w:rFonts w:ascii="Times New Roman" w:hAnsi="Times New Roman"/>
          <w:i/>
          <w:sz w:val="28"/>
          <w:szCs w:val="28"/>
          <w:lang w:val="sq-AL"/>
        </w:rPr>
        <w:t>Lista e donatorëve përcaktohet rast pas rasti me Vendim të Këshillit të Ministrave</w:t>
      </w:r>
      <w:r w:rsidR="00885989" w:rsidRPr="00466159">
        <w:rPr>
          <w:rFonts w:ascii="Times New Roman" w:hAnsi="Times New Roman"/>
          <w:i/>
          <w:sz w:val="28"/>
          <w:szCs w:val="28"/>
          <w:lang w:val="sq-AL"/>
        </w:rPr>
        <w:t>”.</w:t>
      </w:r>
    </w:p>
    <w:p w:rsidR="00885989" w:rsidRPr="00466159" w:rsidRDefault="00885989" w:rsidP="00885989">
      <w:pPr>
        <w:widowControl w:val="0"/>
        <w:shd w:val="clear" w:color="auto" w:fill="FFFFFF"/>
        <w:tabs>
          <w:tab w:val="left" w:pos="662"/>
        </w:tabs>
        <w:autoSpaceDE w:val="0"/>
        <w:autoSpaceDN w:val="0"/>
        <w:adjustRightInd w:val="0"/>
        <w:spacing w:after="0" w:line="240" w:lineRule="auto"/>
        <w:jc w:val="both"/>
        <w:rPr>
          <w:rFonts w:ascii="Times New Roman" w:hAnsi="Times New Roman"/>
          <w:sz w:val="28"/>
          <w:szCs w:val="28"/>
          <w:highlight w:val="yellow"/>
        </w:rPr>
      </w:pPr>
    </w:p>
    <w:p w:rsidR="00774FF7" w:rsidRPr="00466159" w:rsidRDefault="002A219A" w:rsidP="00774FF7">
      <w:pPr>
        <w:autoSpaceDE w:val="0"/>
        <w:autoSpaceDN w:val="0"/>
        <w:adjustRightInd w:val="0"/>
        <w:spacing w:after="0" w:line="240" w:lineRule="auto"/>
        <w:rPr>
          <w:rFonts w:ascii="Times New Roman" w:hAnsi="Times New Roman"/>
          <w:bCs/>
          <w:sz w:val="28"/>
          <w:szCs w:val="28"/>
          <w:lang w:val="sq-AL"/>
        </w:rPr>
      </w:pPr>
      <w:r>
        <w:rPr>
          <w:rFonts w:ascii="Times New Roman" w:hAnsi="Times New Roman"/>
          <w:b/>
          <w:sz w:val="28"/>
          <w:szCs w:val="28"/>
        </w:rPr>
        <w:t>Neni 4</w:t>
      </w:r>
      <w:r w:rsidR="00885989" w:rsidRPr="00466159">
        <w:rPr>
          <w:rFonts w:ascii="Times New Roman" w:hAnsi="Times New Roman"/>
          <w:b/>
          <w:i/>
          <w:sz w:val="28"/>
          <w:szCs w:val="28"/>
        </w:rPr>
        <w:t xml:space="preserve">, </w:t>
      </w:r>
      <w:r w:rsidR="00885989" w:rsidRPr="00466159">
        <w:rPr>
          <w:rFonts w:ascii="Times New Roman" w:hAnsi="Times New Roman"/>
          <w:sz w:val="28"/>
          <w:szCs w:val="28"/>
        </w:rPr>
        <w:t xml:space="preserve">ka parashikuar që, </w:t>
      </w:r>
      <w:r w:rsidR="00774FF7" w:rsidRPr="00466159">
        <w:rPr>
          <w:rFonts w:ascii="Times New Roman" w:hAnsi="Times New Roman"/>
          <w:sz w:val="28"/>
          <w:szCs w:val="28"/>
        </w:rPr>
        <w:t>n</w:t>
      </w:r>
      <w:r w:rsidR="00774FF7" w:rsidRPr="00466159">
        <w:rPr>
          <w:rFonts w:ascii="Times New Roman" w:hAnsi="Times New Roman"/>
          <w:bCs/>
          <w:sz w:val="28"/>
          <w:szCs w:val="28"/>
          <w:lang w:val="sq-AL"/>
        </w:rPr>
        <w:t xml:space="preserve">ë fund të pikës 2 e nenit 77 “Rimbursimi i TVSH-së”, </w:t>
      </w:r>
      <w:r w:rsidR="008C1B00">
        <w:rPr>
          <w:rFonts w:ascii="Times New Roman" w:hAnsi="Times New Roman"/>
          <w:bCs/>
          <w:sz w:val="28"/>
          <w:szCs w:val="28"/>
          <w:lang w:val="sq-AL"/>
        </w:rPr>
        <w:t xml:space="preserve">të </w:t>
      </w:r>
      <w:r w:rsidR="00774FF7" w:rsidRPr="00466159">
        <w:rPr>
          <w:rFonts w:ascii="Times New Roman" w:hAnsi="Times New Roman"/>
          <w:bCs/>
          <w:sz w:val="28"/>
          <w:szCs w:val="28"/>
          <w:lang w:val="sq-AL"/>
        </w:rPr>
        <w:t xml:space="preserve">shtohet </w:t>
      </w:r>
      <w:r w:rsidR="00EC4783">
        <w:rPr>
          <w:rFonts w:ascii="Times New Roman" w:hAnsi="Times New Roman"/>
          <w:bCs/>
          <w:sz w:val="28"/>
          <w:szCs w:val="28"/>
          <w:lang w:val="sq-AL"/>
        </w:rPr>
        <w:t>togfjalshi</w:t>
      </w:r>
      <w:r w:rsidR="00774FF7" w:rsidRPr="00466159">
        <w:rPr>
          <w:rFonts w:ascii="Times New Roman" w:hAnsi="Times New Roman"/>
          <w:bCs/>
          <w:sz w:val="28"/>
          <w:szCs w:val="28"/>
          <w:lang w:val="sq-AL"/>
        </w:rPr>
        <w:t>:</w:t>
      </w:r>
    </w:p>
    <w:p w:rsidR="00774FF7" w:rsidRPr="00466159" w:rsidRDefault="00774FF7" w:rsidP="00774FF7">
      <w:pPr>
        <w:autoSpaceDE w:val="0"/>
        <w:autoSpaceDN w:val="0"/>
        <w:adjustRightInd w:val="0"/>
        <w:spacing w:after="0" w:line="120" w:lineRule="auto"/>
        <w:rPr>
          <w:rFonts w:ascii="Times New Roman" w:hAnsi="Times New Roman"/>
          <w:bCs/>
          <w:sz w:val="28"/>
          <w:szCs w:val="28"/>
          <w:lang w:val="sq-AL"/>
        </w:rPr>
      </w:pPr>
    </w:p>
    <w:p w:rsidR="00774FF7" w:rsidRPr="00466159" w:rsidRDefault="00774FF7" w:rsidP="00774FF7">
      <w:pPr>
        <w:autoSpaceDE w:val="0"/>
        <w:autoSpaceDN w:val="0"/>
        <w:adjustRightInd w:val="0"/>
        <w:spacing w:after="0" w:line="240" w:lineRule="auto"/>
        <w:jc w:val="both"/>
        <w:rPr>
          <w:rFonts w:ascii="Times New Roman" w:hAnsi="Times New Roman"/>
          <w:b/>
          <w:sz w:val="28"/>
          <w:szCs w:val="28"/>
          <w:highlight w:val="yellow"/>
        </w:rPr>
      </w:pPr>
      <w:r w:rsidRPr="00466159">
        <w:rPr>
          <w:rFonts w:ascii="Times New Roman" w:hAnsi="Times New Roman"/>
          <w:bCs/>
          <w:sz w:val="28"/>
          <w:szCs w:val="28"/>
          <w:lang w:val="sq-AL"/>
        </w:rPr>
        <w:t>“</w:t>
      </w:r>
      <w:r w:rsidR="00EC4783">
        <w:rPr>
          <w:rFonts w:ascii="Times New Roman" w:hAnsi="Times New Roman"/>
          <w:bCs/>
          <w:sz w:val="28"/>
          <w:szCs w:val="28"/>
          <w:lang w:val="sq-AL"/>
        </w:rPr>
        <w:t>..</w:t>
      </w:r>
      <w:r w:rsidR="00EC4783">
        <w:rPr>
          <w:rFonts w:ascii="Times New Roman" w:hAnsi="Times New Roman"/>
          <w:bCs/>
          <w:i/>
          <w:sz w:val="28"/>
          <w:szCs w:val="28"/>
          <w:lang w:val="sq-AL"/>
        </w:rPr>
        <w:t>m</w:t>
      </w:r>
      <w:r w:rsidRPr="00466159">
        <w:rPr>
          <w:rFonts w:ascii="Times New Roman" w:hAnsi="Times New Roman"/>
          <w:bCs/>
          <w:i/>
          <w:sz w:val="28"/>
          <w:szCs w:val="28"/>
          <w:lang w:val="sq-AL"/>
        </w:rPr>
        <w:t>e përjashtim të rasteve të parashikuara në pikën 45 të nenit 56 dhe gërmës “c” të pikës 1 të nenit 60</w:t>
      </w:r>
      <w:r w:rsidRPr="00466159">
        <w:rPr>
          <w:rFonts w:ascii="Times New Roman" w:hAnsi="Times New Roman"/>
          <w:bCs/>
          <w:sz w:val="28"/>
          <w:szCs w:val="28"/>
          <w:lang w:val="sq-AL"/>
        </w:rPr>
        <w:t>”</w:t>
      </w:r>
      <w:r w:rsidR="00885989" w:rsidRPr="00466159">
        <w:rPr>
          <w:rFonts w:ascii="Times New Roman" w:hAnsi="Times New Roman"/>
          <w:b/>
          <w:sz w:val="28"/>
          <w:szCs w:val="28"/>
          <w:highlight w:val="yellow"/>
        </w:rPr>
        <w:t xml:space="preserve"> </w:t>
      </w:r>
    </w:p>
    <w:p w:rsidR="00774FF7" w:rsidRPr="00466159" w:rsidRDefault="00774FF7" w:rsidP="00774FF7">
      <w:pPr>
        <w:autoSpaceDE w:val="0"/>
        <w:autoSpaceDN w:val="0"/>
        <w:adjustRightInd w:val="0"/>
        <w:spacing w:after="0" w:line="240" w:lineRule="auto"/>
        <w:jc w:val="both"/>
        <w:rPr>
          <w:rFonts w:ascii="Times New Roman" w:hAnsi="Times New Roman"/>
          <w:b/>
          <w:sz w:val="28"/>
          <w:szCs w:val="28"/>
          <w:highlight w:val="yellow"/>
        </w:rPr>
      </w:pPr>
    </w:p>
    <w:p w:rsidR="00774FF7" w:rsidRPr="00466159" w:rsidRDefault="002A219A" w:rsidP="00774FF7">
      <w:pPr>
        <w:spacing w:after="0" w:line="240" w:lineRule="auto"/>
        <w:contextualSpacing/>
        <w:rPr>
          <w:rFonts w:ascii="Times New Roman" w:hAnsi="Times New Roman"/>
          <w:sz w:val="28"/>
          <w:szCs w:val="28"/>
        </w:rPr>
      </w:pPr>
      <w:r>
        <w:rPr>
          <w:rFonts w:ascii="Times New Roman" w:hAnsi="Times New Roman"/>
          <w:b/>
          <w:sz w:val="28"/>
          <w:szCs w:val="28"/>
          <w:lang w:val="sq-AL"/>
        </w:rPr>
        <w:t>Nen 5</w:t>
      </w:r>
      <w:r w:rsidR="00774FF7" w:rsidRPr="00466159">
        <w:rPr>
          <w:rFonts w:ascii="Times New Roman" w:hAnsi="Times New Roman"/>
          <w:b/>
          <w:sz w:val="28"/>
          <w:szCs w:val="28"/>
          <w:lang w:val="sq-AL"/>
        </w:rPr>
        <w:t xml:space="preserve">, </w:t>
      </w:r>
      <w:r w:rsidR="00774FF7" w:rsidRPr="00466159">
        <w:rPr>
          <w:rFonts w:ascii="Times New Roman" w:hAnsi="Times New Roman"/>
          <w:sz w:val="28"/>
          <w:szCs w:val="28"/>
          <w:lang w:val="sq-AL"/>
        </w:rPr>
        <w:t>ka parashikuar që, p</w:t>
      </w:r>
      <w:r w:rsidR="00774FF7" w:rsidRPr="00466159">
        <w:rPr>
          <w:rFonts w:ascii="Times New Roman" w:hAnsi="Times New Roman"/>
          <w:sz w:val="28"/>
          <w:szCs w:val="28"/>
        </w:rPr>
        <w:t xml:space="preserve">as nenit 155 “Mbajtja e llogarive”, </w:t>
      </w:r>
      <w:r w:rsidR="008C1B00">
        <w:rPr>
          <w:rFonts w:ascii="Times New Roman" w:hAnsi="Times New Roman"/>
          <w:sz w:val="28"/>
          <w:szCs w:val="28"/>
        </w:rPr>
        <w:t>të</w:t>
      </w:r>
      <w:r w:rsidR="00774FF7" w:rsidRPr="00466159">
        <w:rPr>
          <w:rFonts w:ascii="Times New Roman" w:hAnsi="Times New Roman"/>
          <w:sz w:val="28"/>
          <w:szCs w:val="28"/>
        </w:rPr>
        <w:t>shtohet Seksioni 6, Regjimi i Veçantë për Bursën Shqiptare të Energjisë, si vijon:</w:t>
      </w:r>
    </w:p>
    <w:p w:rsidR="00774FF7" w:rsidRPr="00466159" w:rsidRDefault="00774FF7" w:rsidP="00774FF7">
      <w:pPr>
        <w:spacing w:after="0" w:line="240" w:lineRule="auto"/>
        <w:contextualSpacing/>
        <w:jc w:val="both"/>
        <w:rPr>
          <w:rFonts w:ascii="Times New Roman" w:hAnsi="Times New Roman"/>
          <w:b/>
          <w:sz w:val="28"/>
          <w:szCs w:val="28"/>
        </w:rPr>
      </w:pPr>
    </w:p>
    <w:p w:rsidR="00774FF7" w:rsidRPr="00466159" w:rsidRDefault="00774FF7" w:rsidP="00774FF7">
      <w:pPr>
        <w:spacing w:after="0" w:line="240" w:lineRule="auto"/>
        <w:contextualSpacing/>
        <w:jc w:val="center"/>
        <w:rPr>
          <w:rFonts w:ascii="Times New Roman" w:hAnsi="Times New Roman"/>
          <w:b/>
          <w:i/>
          <w:sz w:val="28"/>
          <w:szCs w:val="28"/>
        </w:rPr>
      </w:pPr>
      <w:r w:rsidRPr="00466159">
        <w:rPr>
          <w:rFonts w:ascii="Times New Roman" w:hAnsi="Times New Roman"/>
          <w:b/>
          <w:sz w:val="28"/>
          <w:szCs w:val="28"/>
        </w:rPr>
        <w:t>“</w:t>
      </w:r>
      <w:r w:rsidRPr="00466159">
        <w:rPr>
          <w:rFonts w:ascii="Times New Roman" w:hAnsi="Times New Roman"/>
          <w:b/>
          <w:i/>
          <w:sz w:val="28"/>
          <w:szCs w:val="28"/>
        </w:rPr>
        <w:t>SEKSIONI 6</w:t>
      </w:r>
    </w:p>
    <w:p w:rsidR="00774FF7" w:rsidRPr="00466159" w:rsidRDefault="00774FF7" w:rsidP="00774FF7">
      <w:pPr>
        <w:spacing w:after="0" w:line="240" w:lineRule="auto"/>
        <w:contextualSpacing/>
        <w:jc w:val="center"/>
        <w:rPr>
          <w:rFonts w:ascii="Times New Roman" w:hAnsi="Times New Roman"/>
          <w:b/>
          <w:i/>
          <w:sz w:val="28"/>
          <w:szCs w:val="28"/>
        </w:rPr>
      </w:pPr>
      <w:r w:rsidRPr="00466159">
        <w:rPr>
          <w:rFonts w:ascii="Times New Roman" w:hAnsi="Times New Roman"/>
          <w:b/>
          <w:i/>
          <w:sz w:val="28"/>
          <w:szCs w:val="28"/>
        </w:rPr>
        <w:t>REGJIMI I VEÇANTË PËR BURSËN SHQIPTARE TË ENERGJISË</w:t>
      </w:r>
    </w:p>
    <w:p w:rsidR="00774FF7" w:rsidRPr="00466159" w:rsidRDefault="00774FF7" w:rsidP="00774FF7">
      <w:pPr>
        <w:spacing w:after="0" w:line="240" w:lineRule="auto"/>
        <w:contextualSpacing/>
        <w:jc w:val="center"/>
        <w:rPr>
          <w:rFonts w:ascii="Times New Roman" w:hAnsi="Times New Roman"/>
          <w:b/>
          <w:i/>
          <w:sz w:val="28"/>
          <w:szCs w:val="28"/>
        </w:rPr>
      </w:pPr>
    </w:p>
    <w:p w:rsidR="00774FF7" w:rsidRPr="00466159" w:rsidRDefault="00774FF7" w:rsidP="00774FF7">
      <w:pPr>
        <w:spacing w:after="0" w:line="240" w:lineRule="auto"/>
        <w:contextualSpacing/>
        <w:jc w:val="center"/>
        <w:rPr>
          <w:rFonts w:ascii="Times New Roman" w:hAnsi="Times New Roman"/>
          <w:b/>
          <w:i/>
          <w:sz w:val="28"/>
          <w:szCs w:val="28"/>
        </w:rPr>
      </w:pPr>
      <w:r w:rsidRPr="00466159">
        <w:rPr>
          <w:rFonts w:ascii="Times New Roman" w:hAnsi="Times New Roman"/>
          <w:b/>
          <w:i/>
          <w:sz w:val="28"/>
          <w:szCs w:val="28"/>
        </w:rPr>
        <w:t>Neni 156</w:t>
      </w:r>
    </w:p>
    <w:p w:rsidR="00774FF7" w:rsidRPr="00466159" w:rsidRDefault="00774FF7" w:rsidP="00774FF7">
      <w:pPr>
        <w:spacing w:after="0" w:line="240" w:lineRule="auto"/>
        <w:contextualSpacing/>
        <w:jc w:val="center"/>
        <w:rPr>
          <w:rFonts w:ascii="Times New Roman" w:hAnsi="Times New Roman"/>
          <w:b/>
          <w:i/>
          <w:sz w:val="28"/>
          <w:szCs w:val="28"/>
        </w:rPr>
      </w:pPr>
      <w:r w:rsidRPr="00466159">
        <w:rPr>
          <w:rFonts w:ascii="Times New Roman" w:hAnsi="Times New Roman"/>
          <w:b/>
          <w:i/>
          <w:sz w:val="28"/>
          <w:szCs w:val="28"/>
        </w:rPr>
        <w:t>Përkufizime</w:t>
      </w:r>
    </w:p>
    <w:p w:rsidR="00774FF7" w:rsidRPr="00466159" w:rsidRDefault="00774FF7" w:rsidP="00774FF7">
      <w:pPr>
        <w:spacing w:after="0" w:line="240" w:lineRule="auto"/>
        <w:contextualSpacing/>
        <w:jc w:val="both"/>
        <w:rPr>
          <w:rFonts w:ascii="Times New Roman" w:hAnsi="Times New Roman"/>
          <w:b/>
          <w:i/>
          <w:sz w:val="28"/>
          <w:szCs w:val="28"/>
        </w:rPr>
      </w:pPr>
    </w:p>
    <w:p w:rsidR="00774FF7" w:rsidRPr="00466159" w:rsidRDefault="00774FF7" w:rsidP="00774FF7">
      <w:pPr>
        <w:spacing w:after="0" w:line="240" w:lineRule="auto"/>
        <w:contextualSpacing/>
        <w:jc w:val="both"/>
        <w:rPr>
          <w:rFonts w:ascii="Times New Roman" w:hAnsi="Times New Roman"/>
          <w:i/>
          <w:sz w:val="28"/>
          <w:szCs w:val="28"/>
          <w:lang w:val="sq-AL"/>
        </w:rPr>
      </w:pPr>
      <w:r w:rsidRPr="00466159">
        <w:rPr>
          <w:rFonts w:ascii="Times New Roman" w:hAnsi="Times New Roman"/>
          <w:i/>
          <w:sz w:val="28"/>
          <w:szCs w:val="28"/>
        </w:rPr>
        <w:t>Për qëllime të këtij seksioni, me termat e mëposhtëm kuptohet:</w:t>
      </w:r>
    </w:p>
    <w:p w:rsidR="00774FF7" w:rsidRPr="00466159" w:rsidRDefault="00774FF7" w:rsidP="00774FF7">
      <w:pPr>
        <w:spacing w:after="0" w:line="120" w:lineRule="auto"/>
        <w:contextualSpacing/>
        <w:jc w:val="both"/>
        <w:rPr>
          <w:rFonts w:ascii="Times New Roman" w:hAnsi="Times New Roman"/>
          <w:i/>
          <w:sz w:val="28"/>
          <w:szCs w:val="28"/>
          <w:lang w:val="sq-AL"/>
        </w:rPr>
      </w:pPr>
    </w:p>
    <w:p w:rsidR="00774FF7" w:rsidRPr="00466159" w:rsidRDefault="00774FF7" w:rsidP="00774FF7">
      <w:pPr>
        <w:spacing w:after="0" w:line="240" w:lineRule="auto"/>
        <w:contextualSpacing/>
        <w:jc w:val="both"/>
        <w:rPr>
          <w:rFonts w:ascii="Times New Roman" w:hAnsi="Times New Roman"/>
          <w:i/>
          <w:sz w:val="28"/>
          <w:szCs w:val="28"/>
        </w:rPr>
      </w:pPr>
      <w:r w:rsidRPr="00466159">
        <w:rPr>
          <w:rFonts w:ascii="Times New Roman" w:hAnsi="Times New Roman"/>
          <w:i/>
          <w:sz w:val="28"/>
          <w:szCs w:val="28"/>
        </w:rPr>
        <w:t xml:space="preserve">“Bursa Shqiptare e Energjisë”– </w:t>
      </w:r>
      <w:r w:rsidRPr="00466159">
        <w:rPr>
          <w:rStyle w:val="markedcontent"/>
          <w:rFonts w:ascii="Times New Roman" w:hAnsi="Times New Roman"/>
          <w:i/>
          <w:sz w:val="28"/>
          <w:szCs w:val="28"/>
        </w:rPr>
        <w:t>Është struktura përgjegjëse për menaxhimin dhe administrimin e tregut të organizuar ndërmjet platformës së tregut</w:t>
      </w:r>
      <w:r w:rsidRPr="00466159">
        <w:rPr>
          <w:rFonts w:ascii="Times New Roman" w:hAnsi="Times New Roman"/>
          <w:i/>
          <w:sz w:val="28"/>
          <w:szCs w:val="28"/>
        </w:rPr>
        <w:t xml:space="preserve"> për shitjen </w:t>
      </w:r>
      <w:r w:rsidRPr="00466159">
        <w:rPr>
          <w:rFonts w:ascii="Times New Roman" w:hAnsi="Times New Roman"/>
          <w:i/>
          <w:sz w:val="28"/>
          <w:szCs w:val="28"/>
        </w:rPr>
        <w:lastRenderedPageBreak/>
        <w:t xml:space="preserve">dhe blerjen e energjisë elektrike në bazë të ditës në avancë dhe/ose brenda së njëjtës ditë, </w:t>
      </w:r>
      <w:r w:rsidRPr="00466159">
        <w:rPr>
          <w:rStyle w:val="markedcontent"/>
          <w:rFonts w:ascii="Times New Roman" w:hAnsi="Times New Roman"/>
          <w:i/>
          <w:sz w:val="28"/>
          <w:szCs w:val="28"/>
        </w:rPr>
        <w:t xml:space="preserve">si dhe për të gjitha aktivitetet e lidhura me të, duke përfshirë edhe aktivitetin e kompensimit financiar (clearing) mes pjesëmarrësve të tregut, në përputhje me rregullat dhe modelin e tregut. </w:t>
      </w:r>
    </w:p>
    <w:p w:rsidR="00774FF7" w:rsidRPr="00466159" w:rsidRDefault="00774FF7" w:rsidP="00774FF7">
      <w:pPr>
        <w:spacing w:after="0" w:line="120" w:lineRule="auto"/>
        <w:contextualSpacing/>
        <w:jc w:val="both"/>
        <w:rPr>
          <w:rFonts w:ascii="Times New Roman" w:hAnsi="Times New Roman"/>
          <w:i/>
          <w:sz w:val="28"/>
          <w:szCs w:val="28"/>
        </w:rPr>
      </w:pPr>
    </w:p>
    <w:p w:rsidR="00774FF7" w:rsidRPr="00466159" w:rsidRDefault="00774FF7" w:rsidP="00774FF7">
      <w:pPr>
        <w:spacing w:after="0" w:line="240" w:lineRule="auto"/>
        <w:contextualSpacing/>
        <w:jc w:val="both"/>
        <w:rPr>
          <w:rFonts w:ascii="Times New Roman" w:hAnsi="Times New Roman"/>
          <w:i/>
          <w:sz w:val="28"/>
          <w:szCs w:val="28"/>
        </w:rPr>
      </w:pPr>
      <w:r w:rsidRPr="00466159">
        <w:rPr>
          <w:rFonts w:ascii="Times New Roman" w:hAnsi="Times New Roman"/>
          <w:i/>
          <w:sz w:val="28"/>
          <w:szCs w:val="28"/>
        </w:rPr>
        <w:t>“Treg energjie elektrike” - një sistem ku kryhen shitje dhe blerje efektive, përfshirë edhe derivativët e energjisë elektrike, nëpërmjet kërkesave dhe ofertave, të paraqitura në periudha afatgjata dhe afatshkurtra;</w:t>
      </w:r>
    </w:p>
    <w:p w:rsidR="00774FF7" w:rsidRPr="00466159" w:rsidRDefault="00774FF7" w:rsidP="00774FF7">
      <w:pPr>
        <w:spacing w:after="0" w:line="120" w:lineRule="auto"/>
        <w:contextualSpacing/>
        <w:jc w:val="both"/>
        <w:rPr>
          <w:rFonts w:ascii="Times New Roman" w:hAnsi="Times New Roman"/>
          <w:i/>
          <w:sz w:val="28"/>
          <w:szCs w:val="28"/>
        </w:rPr>
      </w:pPr>
    </w:p>
    <w:p w:rsidR="00774FF7" w:rsidRPr="00466159" w:rsidRDefault="00774FF7" w:rsidP="00774FF7">
      <w:pPr>
        <w:spacing w:after="0" w:line="240" w:lineRule="auto"/>
        <w:contextualSpacing/>
        <w:jc w:val="both"/>
        <w:rPr>
          <w:rFonts w:ascii="Times New Roman" w:hAnsi="Times New Roman"/>
          <w:i/>
          <w:sz w:val="28"/>
          <w:szCs w:val="28"/>
        </w:rPr>
      </w:pPr>
      <w:r w:rsidRPr="00466159">
        <w:rPr>
          <w:rStyle w:val="markedcontent"/>
          <w:rFonts w:ascii="Times New Roman" w:hAnsi="Times New Roman"/>
          <w:i/>
          <w:sz w:val="28"/>
          <w:szCs w:val="28"/>
        </w:rPr>
        <w:t>“Derivativ elektrik” është një instrument financiar që mund të përdoret nga pjesëmarrësit e tregut</w:t>
      </w:r>
      <w:r w:rsidRPr="00466159">
        <w:rPr>
          <w:rFonts w:ascii="Times New Roman" w:hAnsi="Times New Roman"/>
          <w:i/>
          <w:sz w:val="28"/>
          <w:szCs w:val="28"/>
        </w:rPr>
        <w:t xml:space="preserve"> </w:t>
      </w:r>
      <w:r w:rsidRPr="00466159">
        <w:rPr>
          <w:rStyle w:val="markedcontent"/>
          <w:rFonts w:ascii="Times New Roman" w:hAnsi="Times New Roman"/>
          <w:i/>
          <w:sz w:val="28"/>
          <w:szCs w:val="28"/>
        </w:rPr>
        <w:t>të energjisë elektrike si mjet sigurie ndaj luhatjeve të mundshme të çmimit të energjisë elektrike në treg.</w:t>
      </w:r>
    </w:p>
    <w:p w:rsidR="00774FF7" w:rsidRPr="00466159" w:rsidRDefault="00774FF7" w:rsidP="00774FF7">
      <w:pPr>
        <w:spacing w:after="0" w:line="120" w:lineRule="auto"/>
        <w:contextualSpacing/>
        <w:jc w:val="both"/>
        <w:rPr>
          <w:rFonts w:ascii="Times New Roman" w:hAnsi="Times New Roman"/>
          <w:i/>
          <w:sz w:val="28"/>
          <w:szCs w:val="28"/>
        </w:rPr>
      </w:pPr>
    </w:p>
    <w:p w:rsidR="00774FF7" w:rsidRPr="00466159" w:rsidRDefault="00774FF7" w:rsidP="00774FF7">
      <w:pPr>
        <w:spacing w:after="0" w:line="120" w:lineRule="auto"/>
        <w:contextualSpacing/>
        <w:jc w:val="both"/>
        <w:rPr>
          <w:rFonts w:ascii="Times New Roman" w:hAnsi="Times New Roman"/>
          <w:i/>
          <w:sz w:val="28"/>
          <w:szCs w:val="28"/>
        </w:rPr>
      </w:pPr>
    </w:p>
    <w:p w:rsidR="00774FF7" w:rsidRDefault="00774FF7" w:rsidP="00774FF7">
      <w:pPr>
        <w:spacing w:after="0" w:line="240" w:lineRule="auto"/>
        <w:contextualSpacing/>
        <w:jc w:val="both"/>
        <w:rPr>
          <w:rStyle w:val="markedcontent"/>
          <w:rFonts w:ascii="Times New Roman" w:hAnsi="Times New Roman"/>
          <w:i/>
          <w:sz w:val="28"/>
          <w:szCs w:val="28"/>
        </w:rPr>
      </w:pPr>
      <w:r w:rsidRPr="00466159">
        <w:rPr>
          <w:rStyle w:val="markedcontent"/>
          <w:rFonts w:ascii="Times New Roman" w:hAnsi="Times New Roman"/>
          <w:i/>
          <w:sz w:val="28"/>
          <w:szCs w:val="28"/>
        </w:rPr>
        <w:t>“Pjesëmarrës i tregut të energjisë elektrike”- është një person juridik, i regjistruar si pjesëtar i tregut të energjisë elektrike, që përfshin prod</w:t>
      </w:r>
      <w:r w:rsidR="00394272" w:rsidRPr="00466159">
        <w:rPr>
          <w:rStyle w:val="markedcontent"/>
          <w:rFonts w:ascii="Times New Roman" w:hAnsi="Times New Roman"/>
          <w:i/>
          <w:sz w:val="28"/>
          <w:szCs w:val="28"/>
        </w:rPr>
        <w:t>huesit, tregtarët, furnizuesit,</w:t>
      </w:r>
      <w:r w:rsidRPr="00466159">
        <w:rPr>
          <w:rStyle w:val="markedcontent"/>
          <w:rFonts w:ascii="Times New Roman" w:hAnsi="Times New Roman"/>
          <w:i/>
          <w:sz w:val="28"/>
          <w:szCs w:val="28"/>
        </w:rPr>
        <w:t xml:space="preserve"> klientët, Operatori i Sistemit të</w:t>
      </w:r>
      <w:r w:rsidR="007B5460">
        <w:rPr>
          <w:rStyle w:val="markedcontent"/>
          <w:rFonts w:ascii="Times New Roman" w:hAnsi="Times New Roman"/>
          <w:i/>
          <w:sz w:val="28"/>
          <w:szCs w:val="28"/>
        </w:rPr>
        <w:t xml:space="preserve"> </w:t>
      </w:r>
      <w:r w:rsidRPr="00466159">
        <w:rPr>
          <w:rStyle w:val="markedcontent"/>
          <w:rFonts w:ascii="Times New Roman" w:hAnsi="Times New Roman"/>
          <w:i/>
          <w:sz w:val="28"/>
          <w:szCs w:val="28"/>
        </w:rPr>
        <w:t>Transmetimit, Operatori i Sistemit të Shpërndarjes, sistemet e mbyllura të shpërndarjes dhe operatori i tregut. Operatori i Sistemit të Transmetimit dhe Operatori i Sistemit të Shpërndarjes janë pjesëmarrës të tregut të energjisë elektrike vetëm për qëllim të sigurimit të energjisë elektrike të nevojshme për mbulimin e humbjeve në rrjet, balancimin dhe shërbimet ndihmëse.”</w:t>
      </w:r>
    </w:p>
    <w:p w:rsidR="00034AB4" w:rsidRPr="00466159" w:rsidRDefault="00034AB4" w:rsidP="00774FF7">
      <w:pPr>
        <w:spacing w:after="0" w:line="240" w:lineRule="auto"/>
        <w:contextualSpacing/>
        <w:jc w:val="both"/>
        <w:rPr>
          <w:rFonts w:ascii="Times New Roman" w:hAnsi="Times New Roman"/>
          <w:i/>
          <w:sz w:val="28"/>
          <w:szCs w:val="28"/>
        </w:rPr>
      </w:pPr>
    </w:p>
    <w:p w:rsidR="00774FF7" w:rsidRPr="00466159" w:rsidRDefault="00774FF7" w:rsidP="00774FF7">
      <w:pPr>
        <w:spacing w:after="0" w:line="240" w:lineRule="auto"/>
        <w:contextualSpacing/>
        <w:jc w:val="center"/>
        <w:rPr>
          <w:rFonts w:ascii="Times New Roman" w:hAnsi="Times New Roman"/>
          <w:b/>
          <w:i/>
          <w:sz w:val="28"/>
          <w:szCs w:val="28"/>
        </w:rPr>
      </w:pPr>
      <w:r w:rsidRPr="00466159">
        <w:rPr>
          <w:rFonts w:ascii="Times New Roman" w:hAnsi="Times New Roman"/>
          <w:b/>
          <w:i/>
          <w:sz w:val="28"/>
          <w:szCs w:val="28"/>
        </w:rPr>
        <w:t xml:space="preserve">Neni 157 </w:t>
      </w:r>
      <w:r w:rsidRPr="00466159">
        <w:rPr>
          <w:rFonts w:ascii="Times New Roman" w:hAnsi="Times New Roman"/>
          <w:b/>
          <w:i/>
          <w:sz w:val="28"/>
          <w:szCs w:val="28"/>
        </w:rPr>
        <w:br/>
        <w:t>Përjashtimi nga tatimi</w:t>
      </w:r>
    </w:p>
    <w:p w:rsidR="00774FF7" w:rsidRPr="00466159" w:rsidRDefault="00774FF7" w:rsidP="00774FF7">
      <w:pPr>
        <w:spacing w:after="0" w:line="240" w:lineRule="auto"/>
        <w:contextualSpacing/>
        <w:rPr>
          <w:rFonts w:ascii="Times New Roman" w:hAnsi="Times New Roman"/>
          <w:i/>
          <w:sz w:val="28"/>
          <w:szCs w:val="28"/>
        </w:rPr>
      </w:pPr>
    </w:p>
    <w:p w:rsidR="00774FF7" w:rsidRPr="00E16B04" w:rsidRDefault="00774FF7" w:rsidP="00774FF7">
      <w:pPr>
        <w:spacing w:after="0" w:line="240" w:lineRule="auto"/>
        <w:ind w:left="284" w:hanging="142"/>
        <w:contextualSpacing/>
        <w:rPr>
          <w:rFonts w:ascii="Times New Roman" w:hAnsi="Times New Roman"/>
          <w:i/>
          <w:sz w:val="28"/>
          <w:szCs w:val="28"/>
        </w:rPr>
      </w:pPr>
      <w:r w:rsidRPr="00E16B04">
        <w:rPr>
          <w:rFonts w:ascii="Times New Roman" w:hAnsi="Times New Roman"/>
          <w:i/>
          <w:sz w:val="28"/>
          <w:szCs w:val="28"/>
        </w:rPr>
        <w:t>Përjashtohen nga tatimi mbi vlerën e shtuar:</w:t>
      </w:r>
    </w:p>
    <w:p w:rsidR="00774FF7" w:rsidRPr="00E16B04" w:rsidRDefault="00774FF7" w:rsidP="00774FF7">
      <w:pPr>
        <w:spacing w:after="0" w:line="240" w:lineRule="auto"/>
        <w:contextualSpacing/>
        <w:rPr>
          <w:rFonts w:ascii="Times New Roman" w:hAnsi="Times New Roman"/>
          <w:i/>
          <w:sz w:val="28"/>
          <w:szCs w:val="28"/>
        </w:rPr>
      </w:pPr>
    </w:p>
    <w:p w:rsidR="00E16B04" w:rsidRDefault="00E16B04" w:rsidP="00E16B04">
      <w:pPr>
        <w:spacing w:after="0" w:line="240" w:lineRule="auto"/>
        <w:ind w:left="142"/>
        <w:contextualSpacing/>
        <w:rPr>
          <w:rFonts w:ascii="Times New Roman" w:hAnsi="Times New Roman"/>
          <w:i/>
          <w:sz w:val="28"/>
          <w:szCs w:val="28"/>
          <w:lang w:val="sq-AL"/>
        </w:rPr>
      </w:pPr>
      <w:r w:rsidRPr="00E16B04">
        <w:rPr>
          <w:rFonts w:ascii="Times New Roman" w:hAnsi="Times New Roman"/>
          <w:i/>
          <w:sz w:val="28"/>
          <w:szCs w:val="28"/>
          <w:lang w:val="sq-AL"/>
        </w:rPr>
        <w:t xml:space="preserve">Importimi </w:t>
      </w:r>
      <w:r w:rsidR="008C1B00">
        <w:rPr>
          <w:rFonts w:ascii="Times New Roman" w:hAnsi="Times New Roman"/>
          <w:i/>
          <w:sz w:val="28"/>
          <w:szCs w:val="28"/>
          <w:lang w:val="sq-AL"/>
        </w:rPr>
        <w:t>dhe</w:t>
      </w:r>
      <w:r w:rsidRPr="00E16B04">
        <w:rPr>
          <w:rFonts w:ascii="Times New Roman" w:hAnsi="Times New Roman"/>
          <w:i/>
          <w:sz w:val="28"/>
          <w:szCs w:val="28"/>
          <w:lang w:val="sq-AL"/>
        </w:rPr>
        <w:t xml:space="preserve"> furnizimi brenda vendit i energjisë elektrike të destinuar për tu shitur nëpërmjet Bursës </w:t>
      </w:r>
      <w:r w:rsidR="007B5460">
        <w:rPr>
          <w:rFonts w:ascii="Times New Roman" w:hAnsi="Times New Roman"/>
          <w:i/>
          <w:sz w:val="28"/>
          <w:szCs w:val="28"/>
          <w:lang w:val="sq-AL"/>
        </w:rPr>
        <w:t>Shqiptare t</w:t>
      </w:r>
      <w:r w:rsidRPr="00E16B04">
        <w:rPr>
          <w:rFonts w:ascii="Times New Roman" w:hAnsi="Times New Roman"/>
          <w:i/>
          <w:sz w:val="28"/>
          <w:szCs w:val="28"/>
          <w:lang w:val="sq-AL"/>
        </w:rPr>
        <w:t>ë Energjisë.</w:t>
      </w:r>
    </w:p>
    <w:p w:rsidR="008A3259" w:rsidRPr="00E16B04" w:rsidRDefault="008A3259" w:rsidP="00E16B04">
      <w:pPr>
        <w:spacing w:after="0" w:line="240" w:lineRule="auto"/>
        <w:ind w:left="142"/>
        <w:contextualSpacing/>
        <w:rPr>
          <w:rFonts w:ascii="Times New Roman" w:hAnsi="Times New Roman"/>
          <w:i/>
          <w:sz w:val="28"/>
          <w:szCs w:val="28"/>
          <w:lang w:val="sq-AL"/>
        </w:rPr>
      </w:pPr>
    </w:p>
    <w:p w:rsidR="00774FF7" w:rsidRPr="00466159" w:rsidRDefault="00774FF7" w:rsidP="00774FF7">
      <w:pPr>
        <w:spacing w:after="0" w:line="240" w:lineRule="auto"/>
        <w:contextualSpacing/>
        <w:jc w:val="center"/>
        <w:rPr>
          <w:rFonts w:ascii="Times New Roman" w:hAnsi="Times New Roman"/>
          <w:b/>
          <w:i/>
          <w:sz w:val="28"/>
          <w:szCs w:val="28"/>
        </w:rPr>
      </w:pPr>
      <w:r w:rsidRPr="00466159">
        <w:rPr>
          <w:rFonts w:ascii="Times New Roman" w:hAnsi="Times New Roman"/>
          <w:b/>
          <w:i/>
          <w:sz w:val="28"/>
          <w:szCs w:val="28"/>
        </w:rPr>
        <w:t>Neni 158</w:t>
      </w:r>
    </w:p>
    <w:p w:rsidR="00774FF7" w:rsidRPr="00466159" w:rsidRDefault="00774FF7" w:rsidP="00774FF7">
      <w:pPr>
        <w:spacing w:after="0" w:line="240" w:lineRule="auto"/>
        <w:contextualSpacing/>
        <w:jc w:val="center"/>
        <w:rPr>
          <w:rFonts w:ascii="Times New Roman" w:hAnsi="Times New Roman"/>
          <w:b/>
          <w:i/>
          <w:sz w:val="28"/>
          <w:szCs w:val="28"/>
        </w:rPr>
      </w:pPr>
      <w:r w:rsidRPr="00466159">
        <w:rPr>
          <w:rFonts w:ascii="Times New Roman" w:hAnsi="Times New Roman"/>
          <w:b/>
          <w:i/>
          <w:sz w:val="28"/>
          <w:szCs w:val="28"/>
        </w:rPr>
        <w:t>Pagesa e TVSH-së</w:t>
      </w:r>
    </w:p>
    <w:p w:rsidR="00774FF7" w:rsidRPr="00466159" w:rsidRDefault="00774FF7" w:rsidP="00774FF7">
      <w:pPr>
        <w:pStyle w:val="NormalWeb"/>
        <w:numPr>
          <w:ilvl w:val="0"/>
          <w:numId w:val="5"/>
        </w:numPr>
        <w:jc w:val="both"/>
        <w:rPr>
          <w:i/>
          <w:sz w:val="28"/>
          <w:szCs w:val="28"/>
        </w:rPr>
      </w:pPr>
      <w:r w:rsidRPr="00466159">
        <w:rPr>
          <w:i/>
          <w:sz w:val="28"/>
          <w:szCs w:val="28"/>
        </w:rPr>
        <w:t>Në rastin e furnizimit të energjisë elektrike të tregtuar nëpërmjet Bursës Shqiptare të Energjisë Elektrike, TVSH-ja bëhet e kërkueshme në momentin kur shpallen rezultatet në Tregjet e Ankandeve të Ditës në Avancë ose Brenda së Njëjtës Ditë ose në momentin kur urdhërporositë përputhen në rastin e Tregut të Vazhdueshëm Brenda së Njëjtës Ditë.</w:t>
      </w:r>
    </w:p>
    <w:p w:rsidR="00774FF7" w:rsidRPr="00466159" w:rsidRDefault="00774FF7" w:rsidP="00774FF7">
      <w:pPr>
        <w:pStyle w:val="ListParagraph"/>
        <w:numPr>
          <w:ilvl w:val="0"/>
          <w:numId w:val="5"/>
        </w:numPr>
        <w:spacing w:after="0" w:line="240" w:lineRule="auto"/>
        <w:contextualSpacing/>
        <w:jc w:val="both"/>
        <w:rPr>
          <w:rFonts w:ascii="Times New Roman" w:hAnsi="Times New Roman"/>
          <w:bCs/>
          <w:i/>
          <w:sz w:val="28"/>
          <w:szCs w:val="28"/>
          <w:lang w:val="sq-AL"/>
        </w:rPr>
      </w:pPr>
      <w:r w:rsidRPr="00466159">
        <w:rPr>
          <w:rFonts w:ascii="Times New Roman" w:hAnsi="Times New Roman"/>
          <w:i/>
          <w:sz w:val="28"/>
          <w:szCs w:val="28"/>
        </w:rPr>
        <w:t xml:space="preserve">TVSH-ja është e pagueshme nga personi i tatueshëm për të cilin kryhet furnizimi me energji elektrike nga Bursa Shqiptare e Energjisë Elektrike </w:t>
      </w:r>
      <w:r w:rsidRPr="00466159">
        <w:rPr>
          <w:rFonts w:ascii="Times New Roman" w:hAnsi="Times New Roman"/>
          <w:i/>
          <w:sz w:val="28"/>
          <w:szCs w:val="28"/>
        </w:rPr>
        <w:lastRenderedPageBreak/>
        <w:t xml:space="preserve">në përputhje me parashikimet e këtij seksioni dhe përcaktimet e nenit 21. Për efekt të përllogaritjes së TVSH-së blerësi i energjisë elektrike nga Bursa Shqiptare e Energjisë Elektrike, kryen autongarkesën (reverse-charge) e TVSH-së në cilësinë e personit përgjegjës për pagesën e TVSH-së. </w:t>
      </w:r>
    </w:p>
    <w:p w:rsidR="00122C79" w:rsidRDefault="00844B0B" w:rsidP="00D84A7E">
      <w:pPr>
        <w:pStyle w:val="ListParagraph"/>
        <w:spacing w:after="0" w:line="240" w:lineRule="auto"/>
        <w:jc w:val="both"/>
        <w:rPr>
          <w:rFonts w:ascii="Times New Roman" w:hAnsi="Times New Roman"/>
          <w:i/>
          <w:sz w:val="28"/>
          <w:szCs w:val="28"/>
        </w:rPr>
      </w:pPr>
      <w:r w:rsidRPr="00844B0B">
        <w:rPr>
          <w:rFonts w:ascii="Times New Roman" w:hAnsi="Times New Roman"/>
          <w:i/>
          <w:sz w:val="28"/>
          <w:szCs w:val="28"/>
        </w:rPr>
        <w:t>Procedurat për zbatimin e kësaj pike dhe fillimi i aplikimit të kësaj skeme të veçantë përcaktohet me vendim të Këshillit të Ministrave</w:t>
      </w:r>
      <w:r w:rsidR="00774FF7" w:rsidRPr="00844B0B">
        <w:rPr>
          <w:rFonts w:ascii="Times New Roman" w:hAnsi="Times New Roman"/>
          <w:i/>
          <w:sz w:val="28"/>
          <w:szCs w:val="28"/>
        </w:rPr>
        <w:t>.</w:t>
      </w:r>
      <w:r w:rsidR="008E20BC">
        <w:rPr>
          <w:rFonts w:ascii="Times New Roman" w:hAnsi="Times New Roman"/>
          <w:i/>
          <w:sz w:val="28"/>
          <w:szCs w:val="28"/>
        </w:rPr>
        <w:t>”.</w:t>
      </w:r>
    </w:p>
    <w:p w:rsidR="00D84A7E" w:rsidRPr="00D84A7E" w:rsidRDefault="00D84A7E" w:rsidP="00D84A7E">
      <w:pPr>
        <w:pStyle w:val="ListParagraph"/>
        <w:spacing w:after="0" w:line="120" w:lineRule="auto"/>
        <w:jc w:val="both"/>
        <w:rPr>
          <w:rFonts w:ascii="Times New Roman" w:hAnsi="Times New Roman"/>
          <w:i/>
          <w:sz w:val="28"/>
          <w:szCs w:val="28"/>
        </w:rPr>
      </w:pPr>
    </w:p>
    <w:p w:rsidR="002A219A" w:rsidRPr="002A219A" w:rsidRDefault="00774FF7" w:rsidP="002A219A">
      <w:pPr>
        <w:spacing w:after="0" w:line="240" w:lineRule="auto"/>
        <w:contextualSpacing/>
        <w:rPr>
          <w:rFonts w:ascii="Times New Roman" w:hAnsi="Times New Roman"/>
          <w:sz w:val="28"/>
          <w:szCs w:val="28"/>
          <w:lang w:val="sq-AL"/>
        </w:rPr>
      </w:pPr>
      <w:r w:rsidRPr="002A219A">
        <w:rPr>
          <w:rFonts w:ascii="Times New Roman" w:hAnsi="Times New Roman"/>
          <w:b/>
          <w:sz w:val="28"/>
          <w:szCs w:val="28"/>
        </w:rPr>
        <w:t xml:space="preserve">Neni </w:t>
      </w:r>
      <w:r w:rsidR="002A219A" w:rsidRPr="002A219A">
        <w:rPr>
          <w:rFonts w:ascii="Times New Roman" w:hAnsi="Times New Roman"/>
          <w:b/>
          <w:sz w:val="28"/>
          <w:szCs w:val="28"/>
        </w:rPr>
        <w:t>6,</w:t>
      </w:r>
      <w:r w:rsidR="002A219A" w:rsidRPr="002A219A">
        <w:rPr>
          <w:rFonts w:ascii="Times New Roman" w:hAnsi="Times New Roman"/>
          <w:sz w:val="28"/>
          <w:szCs w:val="28"/>
        </w:rPr>
        <w:t xml:space="preserve"> ka parashikuar se, </w:t>
      </w:r>
      <w:r w:rsidR="002A219A">
        <w:rPr>
          <w:rFonts w:ascii="Times New Roman" w:hAnsi="Times New Roman"/>
          <w:sz w:val="28"/>
          <w:szCs w:val="28"/>
          <w:lang w:val="sq-AL"/>
        </w:rPr>
        <w:t>r</w:t>
      </w:r>
      <w:r w:rsidRPr="002A219A">
        <w:rPr>
          <w:rFonts w:ascii="Times New Roman" w:hAnsi="Times New Roman"/>
          <w:sz w:val="28"/>
          <w:szCs w:val="28"/>
          <w:lang w:val="sq-AL"/>
        </w:rPr>
        <w:t>inumërohen nenet</w:t>
      </w:r>
      <w:r w:rsidR="002A219A" w:rsidRPr="002A219A">
        <w:rPr>
          <w:rFonts w:ascii="Times New Roman" w:hAnsi="Times New Roman"/>
          <w:sz w:val="28"/>
          <w:szCs w:val="28"/>
          <w:lang w:val="sq-AL"/>
        </w:rPr>
        <w:t xml:space="preserve"> si vijon:</w:t>
      </w:r>
    </w:p>
    <w:p w:rsidR="00774FF7" w:rsidRPr="00466159" w:rsidRDefault="002A219A" w:rsidP="002A219A">
      <w:pPr>
        <w:spacing w:after="0" w:line="240" w:lineRule="auto"/>
        <w:contextualSpacing/>
        <w:rPr>
          <w:rFonts w:ascii="Times New Roman" w:hAnsi="Times New Roman"/>
          <w:sz w:val="28"/>
          <w:szCs w:val="28"/>
          <w:lang w:val="sq-AL"/>
        </w:rPr>
      </w:pPr>
      <w:r>
        <w:rPr>
          <w:rFonts w:ascii="Times New Roman" w:hAnsi="Times New Roman"/>
          <w:i/>
          <w:sz w:val="28"/>
          <w:szCs w:val="28"/>
          <w:lang w:val="sq-AL"/>
        </w:rPr>
        <w:t>N</w:t>
      </w:r>
      <w:r w:rsidR="00774FF7" w:rsidRPr="00466159">
        <w:rPr>
          <w:rFonts w:ascii="Times New Roman" w:hAnsi="Times New Roman"/>
          <w:i/>
          <w:sz w:val="28"/>
          <w:szCs w:val="28"/>
          <w:lang w:val="sq-AL"/>
        </w:rPr>
        <w:t>eni 156 bëhet 157, 157 bëhet 158, neni 158 bëhet 159, neni 159 bëhet 160, neni 160 bëhet 161 dhe neni 161 bëhet 162</w:t>
      </w:r>
      <w:r w:rsidR="00774FF7" w:rsidRPr="00466159">
        <w:rPr>
          <w:rFonts w:ascii="Times New Roman" w:hAnsi="Times New Roman"/>
          <w:sz w:val="28"/>
          <w:szCs w:val="28"/>
          <w:lang w:val="sq-AL"/>
        </w:rPr>
        <w:t xml:space="preserve">.”. </w:t>
      </w:r>
    </w:p>
    <w:p w:rsidR="00774FF7" w:rsidRPr="00466159" w:rsidRDefault="00774FF7" w:rsidP="00774FF7">
      <w:pPr>
        <w:spacing w:after="0" w:line="240" w:lineRule="auto"/>
        <w:contextualSpacing/>
        <w:jc w:val="both"/>
        <w:rPr>
          <w:rFonts w:ascii="Times New Roman" w:hAnsi="Times New Roman"/>
          <w:sz w:val="28"/>
          <w:szCs w:val="28"/>
          <w:lang w:val="sq-AL"/>
        </w:rPr>
      </w:pPr>
    </w:p>
    <w:p w:rsidR="00885989" w:rsidRPr="00466159" w:rsidRDefault="003B4A26" w:rsidP="00774FF7">
      <w:pPr>
        <w:spacing w:after="0" w:line="240" w:lineRule="auto"/>
        <w:contextualSpacing/>
        <w:rPr>
          <w:rFonts w:ascii="Times New Roman" w:hAnsi="Times New Roman"/>
          <w:b/>
          <w:sz w:val="28"/>
          <w:szCs w:val="28"/>
          <w:lang w:val="sq-AL"/>
        </w:rPr>
      </w:pPr>
      <w:r>
        <w:rPr>
          <w:rFonts w:ascii="Times New Roman" w:hAnsi="Times New Roman"/>
          <w:b/>
          <w:sz w:val="28"/>
          <w:szCs w:val="28"/>
          <w:lang w:val="sq-AL"/>
        </w:rPr>
        <w:t>Neni 7</w:t>
      </w:r>
      <w:r w:rsidR="00885989" w:rsidRPr="00466159">
        <w:rPr>
          <w:rFonts w:ascii="Times New Roman" w:hAnsi="Times New Roman"/>
          <w:b/>
          <w:sz w:val="28"/>
          <w:szCs w:val="28"/>
        </w:rPr>
        <w:t>,</w:t>
      </w:r>
      <w:r w:rsidR="00885989" w:rsidRPr="00466159">
        <w:rPr>
          <w:rFonts w:ascii="Times New Roman" w:hAnsi="Times New Roman"/>
          <w:i/>
          <w:sz w:val="28"/>
          <w:szCs w:val="28"/>
        </w:rPr>
        <w:t xml:space="preserve"> </w:t>
      </w:r>
      <w:r w:rsidR="00885989" w:rsidRPr="00466159">
        <w:rPr>
          <w:rFonts w:ascii="Times New Roman" w:hAnsi="Times New Roman"/>
          <w:sz w:val="28"/>
          <w:szCs w:val="28"/>
        </w:rPr>
        <w:t>parashikon</w:t>
      </w:r>
      <w:r w:rsidR="00885989" w:rsidRPr="00466159">
        <w:rPr>
          <w:rStyle w:val="jlqj4b"/>
          <w:rFonts w:ascii="Times New Roman" w:hAnsi="Times New Roman"/>
          <w:sz w:val="28"/>
          <w:szCs w:val="28"/>
          <w:lang w:val="en-GB"/>
        </w:rPr>
        <w:t xml:space="preserve"> </w:t>
      </w:r>
      <w:r w:rsidR="00885989" w:rsidRPr="00466159">
        <w:rPr>
          <w:rFonts w:ascii="Times New Roman" w:hAnsi="Times New Roman"/>
          <w:sz w:val="28"/>
          <w:szCs w:val="28"/>
          <w:lang w:val="sq-AL"/>
        </w:rPr>
        <w:t>hyrjen në fuqi më 1 janar 2023 të këtij projektligji.</w:t>
      </w:r>
    </w:p>
    <w:p w:rsidR="00885989" w:rsidRPr="00466159" w:rsidRDefault="00885989" w:rsidP="00885989">
      <w:pPr>
        <w:pStyle w:val="ListParagraph"/>
        <w:widowControl w:val="0"/>
        <w:shd w:val="clear" w:color="auto" w:fill="FFFFFF"/>
        <w:tabs>
          <w:tab w:val="left" w:pos="662"/>
        </w:tabs>
        <w:autoSpaceDE w:val="0"/>
        <w:autoSpaceDN w:val="0"/>
        <w:adjustRightInd w:val="0"/>
        <w:spacing w:after="0" w:line="240" w:lineRule="auto"/>
        <w:ind w:left="0"/>
        <w:jc w:val="both"/>
        <w:rPr>
          <w:rFonts w:ascii="Times New Roman" w:hAnsi="Times New Roman"/>
          <w:color w:val="000000"/>
          <w:sz w:val="28"/>
          <w:szCs w:val="28"/>
          <w:lang w:val="sq-AL"/>
        </w:rPr>
      </w:pPr>
    </w:p>
    <w:p w:rsidR="00885989" w:rsidRPr="00466159" w:rsidRDefault="00885989" w:rsidP="00885989">
      <w:pPr>
        <w:numPr>
          <w:ilvl w:val="0"/>
          <w:numId w:val="1"/>
        </w:numPr>
        <w:spacing w:after="0" w:line="240" w:lineRule="auto"/>
        <w:ind w:left="709" w:hanging="709"/>
        <w:jc w:val="both"/>
        <w:rPr>
          <w:rFonts w:ascii="Times New Roman" w:hAnsi="Times New Roman"/>
          <w:sz w:val="28"/>
          <w:szCs w:val="28"/>
          <w:lang w:val="sq-AL"/>
        </w:rPr>
      </w:pPr>
      <w:r w:rsidRPr="00466159">
        <w:rPr>
          <w:rFonts w:ascii="Times New Roman" w:hAnsi="Times New Roman"/>
          <w:b/>
          <w:sz w:val="28"/>
          <w:szCs w:val="28"/>
          <w:lang w:val="sq-AL"/>
        </w:rPr>
        <w:t>INSTITUCIONET DHE ORGANET QË NGARKOHEN PËR ZBATIMIN E KËTIJ AKTI</w:t>
      </w:r>
    </w:p>
    <w:p w:rsidR="00B77334" w:rsidRPr="00466159" w:rsidRDefault="00B77334" w:rsidP="00B77334">
      <w:pPr>
        <w:spacing w:after="0" w:line="240" w:lineRule="auto"/>
        <w:ind w:left="709"/>
        <w:jc w:val="both"/>
        <w:rPr>
          <w:rFonts w:ascii="Times New Roman" w:hAnsi="Times New Roman"/>
          <w:sz w:val="28"/>
          <w:szCs w:val="28"/>
          <w:lang w:val="sq-AL"/>
        </w:rPr>
      </w:pPr>
    </w:p>
    <w:p w:rsidR="00F572A0" w:rsidRPr="00466159" w:rsidRDefault="00885989" w:rsidP="00885989">
      <w:pPr>
        <w:spacing w:line="240" w:lineRule="auto"/>
        <w:jc w:val="both"/>
        <w:rPr>
          <w:rFonts w:ascii="Times New Roman" w:hAnsi="Times New Roman"/>
          <w:sz w:val="28"/>
          <w:szCs w:val="28"/>
          <w:lang w:val="sq-AL"/>
        </w:rPr>
      </w:pPr>
      <w:r w:rsidRPr="00466159">
        <w:rPr>
          <w:rFonts w:ascii="Times New Roman" w:hAnsi="Times New Roman"/>
          <w:sz w:val="28"/>
          <w:szCs w:val="28"/>
          <w:lang w:val="sq-AL"/>
        </w:rPr>
        <w:t>Për zbatimin e këtij akti ngarkohen Drejtoria e Përgjithshme e Tatimeve dhe Drejtoria e Përgjithshme e Doganave.</w:t>
      </w:r>
    </w:p>
    <w:p w:rsidR="00885989" w:rsidRPr="00466159" w:rsidRDefault="00885989" w:rsidP="00885989">
      <w:pPr>
        <w:numPr>
          <w:ilvl w:val="0"/>
          <w:numId w:val="1"/>
        </w:numPr>
        <w:spacing w:after="0" w:line="240" w:lineRule="auto"/>
        <w:ind w:left="709" w:hanging="709"/>
        <w:jc w:val="both"/>
        <w:rPr>
          <w:rFonts w:ascii="Times New Roman" w:hAnsi="Times New Roman"/>
          <w:b/>
          <w:sz w:val="28"/>
          <w:szCs w:val="28"/>
          <w:lang w:val="sq-AL"/>
        </w:rPr>
      </w:pPr>
      <w:r w:rsidRPr="00466159">
        <w:rPr>
          <w:rFonts w:ascii="Times New Roman" w:hAnsi="Times New Roman"/>
          <w:b/>
          <w:sz w:val="28"/>
          <w:szCs w:val="28"/>
          <w:lang w:val="sq-AL"/>
        </w:rPr>
        <w:t xml:space="preserve">PERSONAT DHE INSTITUCIONET QË KANË KONTRIBUUAR NË HARTIMIN E PROJEKT-AKTIT </w:t>
      </w:r>
    </w:p>
    <w:p w:rsidR="00885989" w:rsidRPr="00466159" w:rsidRDefault="00885989" w:rsidP="00885989">
      <w:pPr>
        <w:spacing w:after="0" w:line="240" w:lineRule="auto"/>
        <w:jc w:val="both"/>
        <w:rPr>
          <w:rFonts w:ascii="Times New Roman" w:hAnsi="Times New Roman"/>
          <w:sz w:val="28"/>
          <w:szCs w:val="28"/>
          <w:lang w:val="sq-AL"/>
        </w:rPr>
      </w:pPr>
    </w:p>
    <w:p w:rsidR="00C358DE" w:rsidRDefault="00885989" w:rsidP="00C358DE">
      <w:pPr>
        <w:spacing w:after="0" w:line="240" w:lineRule="auto"/>
        <w:jc w:val="both"/>
        <w:rPr>
          <w:rFonts w:ascii="Times New Roman" w:hAnsi="Times New Roman"/>
          <w:sz w:val="28"/>
          <w:szCs w:val="28"/>
        </w:rPr>
      </w:pPr>
      <w:r w:rsidRPr="00C358DE">
        <w:rPr>
          <w:rFonts w:ascii="Times New Roman" w:hAnsi="Times New Roman"/>
          <w:sz w:val="28"/>
          <w:szCs w:val="28"/>
          <w:lang w:val="sq-AL"/>
        </w:rPr>
        <w:t xml:space="preserve">Ky projektligj është hartuar nga Ministria e Financave dhe Ekonomisë dhe do ti dërgohet për mendim Ministrisë së Drejtësisë, </w:t>
      </w:r>
      <w:r w:rsidR="00C358DE" w:rsidRPr="00C358DE">
        <w:rPr>
          <w:rFonts w:ascii="Times New Roman" w:hAnsi="Times New Roman"/>
          <w:sz w:val="28"/>
          <w:szCs w:val="28"/>
          <w:lang w:val="sq-AL"/>
        </w:rPr>
        <w:t>Ministris</w:t>
      </w:r>
      <w:r w:rsidR="005E3D72">
        <w:rPr>
          <w:rFonts w:ascii="Times New Roman" w:hAnsi="Times New Roman"/>
          <w:sz w:val="28"/>
          <w:szCs w:val="28"/>
          <w:lang w:val="sq-AL"/>
        </w:rPr>
        <w:t>ë</w:t>
      </w:r>
      <w:r w:rsidR="00C358DE" w:rsidRPr="00C358DE">
        <w:rPr>
          <w:rFonts w:ascii="Times New Roman" w:hAnsi="Times New Roman"/>
          <w:sz w:val="28"/>
          <w:szCs w:val="28"/>
          <w:lang w:val="sq-AL"/>
        </w:rPr>
        <w:t xml:space="preserve"> s</w:t>
      </w:r>
      <w:r w:rsidR="005E3D72">
        <w:rPr>
          <w:rFonts w:ascii="Times New Roman" w:hAnsi="Times New Roman"/>
          <w:sz w:val="28"/>
          <w:szCs w:val="28"/>
          <w:lang w:val="sq-AL"/>
        </w:rPr>
        <w:t>ë</w:t>
      </w:r>
      <w:r w:rsidR="00C358DE" w:rsidRPr="00C358DE">
        <w:rPr>
          <w:rFonts w:ascii="Times New Roman" w:hAnsi="Times New Roman"/>
          <w:sz w:val="28"/>
          <w:szCs w:val="28"/>
          <w:lang w:val="sq-AL"/>
        </w:rPr>
        <w:t xml:space="preserve"> Infrastruktur</w:t>
      </w:r>
      <w:r w:rsidR="005E3D72">
        <w:rPr>
          <w:rFonts w:ascii="Times New Roman" w:hAnsi="Times New Roman"/>
          <w:sz w:val="28"/>
          <w:szCs w:val="28"/>
          <w:lang w:val="sq-AL"/>
        </w:rPr>
        <w:t>ë</w:t>
      </w:r>
      <w:r w:rsidR="00C358DE" w:rsidRPr="00C358DE">
        <w:rPr>
          <w:rFonts w:ascii="Times New Roman" w:hAnsi="Times New Roman"/>
          <w:sz w:val="28"/>
          <w:szCs w:val="28"/>
          <w:lang w:val="sq-AL"/>
        </w:rPr>
        <w:t>s dhe Energjis</w:t>
      </w:r>
      <w:r w:rsidR="005E3D72">
        <w:rPr>
          <w:rFonts w:ascii="Times New Roman" w:hAnsi="Times New Roman"/>
          <w:sz w:val="28"/>
          <w:szCs w:val="28"/>
          <w:lang w:val="sq-AL"/>
        </w:rPr>
        <w:t>ë</w:t>
      </w:r>
      <w:r w:rsidR="00C358DE" w:rsidRPr="00C358DE">
        <w:rPr>
          <w:rFonts w:ascii="Times New Roman" w:hAnsi="Times New Roman"/>
          <w:sz w:val="28"/>
          <w:szCs w:val="28"/>
          <w:lang w:val="sq-AL"/>
        </w:rPr>
        <w:t>,</w:t>
      </w:r>
      <w:r w:rsidRPr="00C358DE">
        <w:rPr>
          <w:rFonts w:ascii="Times New Roman" w:hAnsi="Times New Roman"/>
          <w:sz w:val="28"/>
          <w:szCs w:val="28"/>
          <w:lang w:val="sq-AL"/>
        </w:rPr>
        <w:t xml:space="preserve"> ministrit të </w:t>
      </w:r>
      <w:r w:rsidR="001050DF">
        <w:rPr>
          <w:rFonts w:ascii="Times New Roman" w:hAnsi="Times New Roman"/>
          <w:sz w:val="28"/>
          <w:szCs w:val="28"/>
          <w:lang w:val="sq-AL"/>
        </w:rPr>
        <w:t xml:space="preserve">Shtetit dhe Kryenegociatorit, </w:t>
      </w:r>
      <w:r w:rsidR="001050DF" w:rsidRPr="00C358DE">
        <w:rPr>
          <w:rFonts w:ascii="Times New Roman" w:hAnsi="Times New Roman"/>
          <w:sz w:val="28"/>
          <w:szCs w:val="28"/>
          <w:lang w:val="sq-AL"/>
        </w:rPr>
        <w:t xml:space="preserve">ministrit të </w:t>
      </w:r>
      <w:r w:rsidRPr="00C358DE">
        <w:rPr>
          <w:rFonts w:ascii="Times New Roman" w:hAnsi="Times New Roman"/>
          <w:sz w:val="28"/>
          <w:szCs w:val="28"/>
          <w:lang w:val="sq-AL"/>
        </w:rPr>
        <w:t>Shteti</w:t>
      </w:r>
      <w:r w:rsidR="00C358DE" w:rsidRPr="00C358DE">
        <w:rPr>
          <w:rFonts w:ascii="Times New Roman" w:hAnsi="Times New Roman"/>
          <w:sz w:val="28"/>
          <w:szCs w:val="28"/>
          <w:lang w:val="sq-AL"/>
        </w:rPr>
        <w:t xml:space="preserve">t për Mbrojtjen e Sipërmarrjes si dhe </w:t>
      </w:r>
      <w:r w:rsidR="005E3D72">
        <w:rPr>
          <w:rFonts w:ascii="Times New Roman" w:hAnsi="Times New Roman"/>
          <w:sz w:val="28"/>
          <w:szCs w:val="28"/>
        </w:rPr>
        <w:t>Agjencisë s</w:t>
      </w:r>
      <w:r w:rsidR="00C358DE" w:rsidRPr="005E3D72">
        <w:rPr>
          <w:rFonts w:ascii="Times New Roman" w:hAnsi="Times New Roman"/>
          <w:sz w:val="28"/>
          <w:szCs w:val="28"/>
        </w:rPr>
        <w:t>ë Programi</w:t>
      </w:r>
      <w:r w:rsidR="005E3D72">
        <w:rPr>
          <w:rFonts w:ascii="Times New Roman" w:hAnsi="Times New Roman"/>
          <w:sz w:val="28"/>
          <w:szCs w:val="28"/>
        </w:rPr>
        <w:t>mit dhe Koordinimit së Ndihmës s</w:t>
      </w:r>
      <w:r w:rsidR="00C358DE" w:rsidRPr="005E3D72">
        <w:rPr>
          <w:rFonts w:ascii="Times New Roman" w:hAnsi="Times New Roman"/>
          <w:sz w:val="28"/>
          <w:szCs w:val="28"/>
        </w:rPr>
        <w:t>ë Huaj.</w:t>
      </w:r>
    </w:p>
    <w:p w:rsidR="00D84A7E" w:rsidRDefault="00D84A7E" w:rsidP="00C358DE">
      <w:pPr>
        <w:spacing w:after="0" w:line="240" w:lineRule="auto"/>
        <w:jc w:val="both"/>
        <w:rPr>
          <w:rFonts w:ascii="Times New Roman" w:hAnsi="Times New Roman"/>
          <w:sz w:val="28"/>
          <w:szCs w:val="28"/>
        </w:rPr>
      </w:pPr>
      <w:r>
        <w:rPr>
          <w:rFonts w:ascii="Times New Roman" w:hAnsi="Times New Roman"/>
          <w:sz w:val="28"/>
          <w:szCs w:val="28"/>
        </w:rPr>
        <w:t>Projektligji do ti dërgohet për mendim edhe Drejtorisë së Përgjithshme të Tatimeve dhe Drejtorisë së Përgjithshme të doganave.</w:t>
      </w:r>
    </w:p>
    <w:p w:rsidR="00F572A0" w:rsidRPr="00466159" w:rsidRDefault="00F572A0" w:rsidP="00885989">
      <w:pPr>
        <w:spacing w:after="0" w:line="240" w:lineRule="auto"/>
        <w:jc w:val="both"/>
        <w:rPr>
          <w:rFonts w:ascii="Times New Roman" w:hAnsi="Times New Roman"/>
          <w:sz w:val="28"/>
          <w:szCs w:val="28"/>
          <w:lang w:val="sq-AL"/>
        </w:rPr>
      </w:pPr>
    </w:p>
    <w:p w:rsidR="00885989" w:rsidRPr="00466159" w:rsidRDefault="00885989" w:rsidP="00885989">
      <w:pPr>
        <w:numPr>
          <w:ilvl w:val="0"/>
          <w:numId w:val="1"/>
        </w:numPr>
        <w:spacing w:after="0" w:line="240" w:lineRule="auto"/>
        <w:ind w:left="567" w:hanging="567"/>
        <w:jc w:val="both"/>
        <w:rPr>
          <w:rFonts w:ascii="Times New Roman" w:hAnsi="Times New Roman"/>
          <w:b/>
          <w:sz w:val="28"/>
          <w:szCs w:val="28"/>
          <w:lang w:val="sq-AL"/>
        </w:rPr>
      </w:pPr>
      <w:r w:rsidRPr="00466159">
        <w:rPr>
          <w:rFonts w:ascii="Times New Roman" w:hAnsi="Times New Roman"/>
          <w:b/>
          <w:sz w:val="28"/>
          <w:szCs w:val="28"/>
          <w:lang w:val="sq-AL"/>
        </w:rPr>
        <w:t>RAPORTI I VLERËSIMIT TË TË ARDHURAVE DHE SHPENZIMEVE  BUXHETORE</w:t>
      </w:r>
    </w:p>
    <w:p w:rsidR="00885989" w:rsidRPr="00466159" w:rsidRDefault="00885989" w:rsidP="00885989">
      <w:pPr>
        <w:spacing w:after="0" w:line="240" w:lineRule="auto"/>
        <w:ind w:left="567"/>
        <w:jc w:val="both"/>
        <w:rPr>
          <w:rFonts w:ascii="Times New Roman" w:hAnsi="Times New Roman"/>
          <w:b/>
          <w:sz w:val="28"/>
          <w:szCs w:val="28"/>
          <w:lang w:val="sq-AL"/>
        </w:rPr>
      </w:pPr>
    </w:p>
    <w:p w:rsidR="00885989" w:rsidRPr="0098312F" w:rsidRDefault="00BE3A28" w:rsidP="00B77334">
      <w:pPr>
        <w:spacing w:after="0" w:line="240" w:lineRule="auto"/>
        <w:jc w:val="both"/>
        <w:rPr>
          <w:rFonts w:ascii="Times New Roman" w:hAnsi="Times New Roman"/>
          <w:sz w:val="28"/>
          <w:szCs w:val="28"/>
        </w:rPr>
      </w:pPr>
      <w:r w:rsidRPr="00466159">
        <w:rPr>
          <w:rFonts w:ascii="Times New Roman" w:hAnsi="Times New Roman"/>
          <w:sz w:val="28"/>
          <w:szCs w:val="28"/>
        </w:rPr>
        <w:t xml:space="preserve">Efekti në buxhetin e shtetit lidhur me </w:t>
      </w:r>
      <w:r w:rsidRPr="00466159">
        <w:rPr>
          <w:rFonts w:ascii="Times New Roman" w:hAnsi="Times New Roman"/>
          <w:sz w:val="28"/>
          <w:szCs w:val="28"/>
          <w:lang w:val="sq-AL"/>
        </w:rPr>
        <w:t>fondet IPA dhe donatorëve të tjerë</w:t>
      </w:r>
      <w:r w:rsidRPr="00466159">
        <w:rPr>
          <w:rFonts w:ascii="Times New Roman" w:hAnsi="Times New Roman"/>
          <w:sz w:val="28"/>
          <w:szCs w:val="28"/>
        </w:rPr>
        <w:t xml:space="preserve"> nuk mund të matet në këtë fazë, pasi është i pamundur identifikimi i </w:t>
      </w:r>
      <w:r w:rsidRPr="001F031A">
        <w:rPr>
          <w:rFonts w:ascii="Times New Roman" w:hAnsi="Times New Roman"/>
          <w:sz w:val="28"/>
          <w:szCs w:val="28"/>
        </w:rPr>
        <w:t>projekteve/marrëveshjeve që mund të nënshkruaj Këshilli i Ministrave /Republika e Shqipërisë. Politika f</w:t>
      </w:r>
      <w:r w:rsidR="008E7639" w:rsidRPr="001F031A">
        <w:rPr>
          <w:rFonts w:ascii="Times New Roman" w:hAnsi="Times New Roman"/>
          <w:sz w:val="28"/>
          <w:szCs w:val="28"/>
        </w:rPr>
        <w:t>iskale për skemën e veçantë për Bursën e Energjisë, nuk ka efekt neto në buxhetin e shtetit, pasi TVSH-ja e përjashtuar në import do të kreditohet brenda vendit.</w:t>
      </w:r>
      <w:r w:rsidR="00825183">
        <w:rPr>
          <w:rFonts w:ascii="Times New Roman" w:hAnsi="Times New Roman"/>
          <w:sz w:val="28"/>
          <w:szCs w:val="28"/>
        </w:rPr>
        <w:t xml:space="preserve"> L</w:t>
      </w:r>
      <w:r w:rsidR="0098312F" w:rsidRPr="001F031A">
        <w:rPr>
          <w:rFonts w:ascii="Times New Roman" w:hAnsi="Times New Roman"/>
          <w:sz w:val="28"/>
          <w:szCs w:val="28"/>
        </w:rPr>
        <w:t>idhur me përjashtimin n</w:t>
      </w:r>
      <w:r w:rsidR="00825183">
        <w:rPr>
          <w:rFonts w:ascii="Times New Roman" w:hAnsi="Times New Roman"/>
          <w:sz w:val="28"/>
          <w:szCs w:val="28"/>
        </w:rPr>
        <w:t xml:space="preserve">ë import/brenda </w:t>
      </w:r>
      <w:r w:rsidR="00825183">
        <w:rPr>
          <w:rFonts w:ascii="Times New Roman" w:hAnsi="Times New Roman"/>
          <w:sz w:val="28"/>
          <w:szCs w:val="28"/>
        </w:rPr>
        <w:lastRenderedPageBreak/>
        <w:t>vendit të artikujve që përfshihen në</w:t>
      </w:r>
      <w:r w:rsidR="0098312F" w:rsidRPr="001F031A">
        <w:rPr>
          <w:rFonts w:ascii="Times New Roman" w:hAnsi="Times New Roman"/>
          <w:sz w:val="28"/>
          <w:szCs w:val="28"/>
          <w:lang w:val="sq-AL"/>
        </w:rPr>
        <w:t xml:space="preserve"> kreun 4401 t</w:t>
      </w:r>
      <w:r w:rsidR="0098312F" w:rsidRPr="00825183">
        <w:rPr>
          <w:rFonts w:ascii="Times New Roman" w:hAnsi="Times New Roman"/>
          <w:sz w:val="28"/>
          <w:szCs w:val="28"/>
          <w:lang w:val="sq-AL"/>
        </w:rPr>
        <w:t xml:space="preserve">ë Nomenklaturës së Kombinuar të Mallrave, me efekt deri në 31 dhjetor 2023, </w:t>
      </w:r>
      <w:r w:rsidR="001F031A" w:rsidRPr="00825183">
        <w:rPr>
          <w:rFonts w:ascii="Times New Roman" w:hAnsi="Times New Roman"/>
          <w:sz w:val="28"/>
          <w:szCs w:val="28"/>
          <w:lang w:val="sq-AL"/>
        </w:rPr>
        <w:t>n</w:t>
      </w:r>
      <w:r w:rsidR="001F031A" w:rsidRPr="00825183">
        <w:rPr>
          <w:rFonts w:ascii="Times New Roman" w:hAnsi="Times New Roman"/>
          <w:sz w:val="28"/>
          <w:szCs w:val="28"/>
        </w:rPr>
        <w:t xml:space="preserve">ë këtë faze, efekti </w:t>
      </w:r>
      <w:r w:rsidR="004F6D77">
        <w:rPr>
          <w:rFonts w:ascii="Times New Roman" w:hAnsi="Times New Roman"/>
          <w:sz w:val="28"/>
          <w:szCs w:val="28"/>
        </w:rPr>
        <w:t xml:space="preserve">total </w:t>
      </w:r>
      <w:r w:rsidR="001F031A" w:rsidRPr="00825183">
        <w:rPr>
          <w:rFonts w:ascii="Times New Roman" w:hAnsi="Times New Roman"/>
          <w:sz w:val="28"/>
          <w:szCs w:val="28"/>
        </w:rPr>
        <w:t>i parashikuar në buxhetin e shtetit nuk mund të matet</w:t>
      </w:r>
      <w:r w:rsidR="00825183" w:rsidRPr="00825183">
        <w:rPr>
          <w:rFonts w:ascii="Times New Roman" w:hAnsi="Times New Roman"/>
          <w:sz w:val="28"/>
          <w:szCs w:val="28"/>
        </w:rPr>
        <w:t>.</w:t>
      </w:r>
    </w:p>
    <w:p w:rsidR="00F572A0" w:rsidRDefault="00F572A0" w:rsidP="00B77334">
      <w:pPr>
        <w:spacing w:after="0" w:line="240" w:lineRule="auto"/>
        <w:jc w:val="both"/>
        <w:rPr>
          <w:rFonts w:ascii="Times New Roman" w:hAnsi="Times New Roman"/>
          <w:sz w:val="28"/>
          <w:szCs w:val="28"/>
        </w:rPr>
      </w:pPr>
    </w:p>
    <w:p w:rsidR="004A13DA" w:rsidRDefault="004A13DA" w:rsidP="00B77334">
      <w:pPr>
        <w:spacing w:after="0" w:line="240" w:lineRule="auto"/>
        <w:jc w:val="both"/>
        <w:rPr>
          <w:rFonts w:ascii="Times New Roman" w:hAnsi="Times New Roman"/>
          <w:sz w:val="28"/>
          <w:szCs w:val="28"/>
        </w:rPr>
      </w:pPr>
    </w:p>
    <w:p w:rsidR="00F572A0" w:rsidRPr="00466159" w:rsidRDefault="00F572A0" w:rsidP="00B77334">
      <w:pPr>
        <w:spacing w:after="0" w:line="240" w:lineRule="auto"/>
        <w:jc w:val="both"/>
        <w:rPr>
          <w:rFonts w:ascii="Times New Roman" w:hAnsi="Times New Roman"/>
          <w:sz w:val="28"/>
          <w:szCs w:val="28"/>
        </w:rPr>
      </w:pPr>
    </w:p>
    <w:p w:rsidR="00B77334" w:rsidRPr="00466159" w:rsidRDefault="00B77334" w:rsidP="00B77334">
      <w:pPr>
        <w:spacing w:after="0" w:line="240" w:lineRule="auto"/>
        <w:jc w:val="both"/>
        <w:rPr>
          <w:rFonts w:ascii="Times New Roman" w:hAnsi="Times New Roman"/>
          <w:sz w:val="28"/>
          <w:szCs w:val="28"/>
        </w:rPr>
      </w:pPr>
    </w:p>
    <w:p w:rsidR="00885989" w:rsidRPr="00466159" w:rsidRDefault="00885989" w:rsidP="00885989">
      <w:pPr>
        <w:tabs>
          <w:tab w:val="left" w:pos="5610"/>
          <w:tab w:val="right" w:pos="9360"/>
        </w:tabs>
        <w:spacing w:line="240" w:lineRule="auto"/>
        <w:jc w:val="both"/>
        <w:rPr>
          <w:rFonts w:ascii="Times New Roman" w:hAnsi="Times New Roman"/>
          <w:b/>
          <w:sz w:val="28"/>
          <w:szCs w:val="28"/>
          <w:lang w:val="sq-AL"/>
        </w:rPr>
      </w:pPr>
      <w:r w:rsidRPr="00466159">
        <w:rPr>
          <w:rFonts w:ascii="Times New Roman" w:hAnsi="Times New Roman"/>
          <w:b/>
          <w:sz w:val="28"/>
          <w:szCs w:val="28"/>
          <w:lang w:val="sq-AL"/>
        </w:rPr>
        <w:t xml:space="preserve">                                                                                        MINISTËR </w:t>
      </w:r>
    </w:p>
    <w:p w:rsidR="00885989" w:rsidRPr="00466159" w:rsidRDefault="00885989" w:rsidP="00885989">
      <w:pPr>
        <w:tabs>
          <w:tab w:val="left" w:pos="5610"/>
          <w:tab w:val="right" w:pos="9360"/>
        </w:tabs>
        <w:spacing w:line="240" w:lineRule="auto"/>
        <w:jc w:val="both"/>
        <w:rPr>
          <w:rFonts w:ascii="Times New Roman" w:hAnsi="Times New Roman"/>
          <w:b/>
          <w:sz w:val="28"/>
          <w:szCs w:val="28"/>
          <w:lang w:val="sq-AL"/>
        </w:rPr>
      </w:pPr>
      <w:r w:rsidRPr="00466159">
        <w:rPr>
          <w:rFonts w:ascii="Times New Roman" w:hAnsi="Times New Roman"/>
          <w:b/>
          <w:sz w:val="28"/>
          <w:szCs w:val="28"/>
          <w:lang w:val="sq-AL"/>
        </w:rPr>
        <w:t xml:space="preserve">                                                                                    Delina Ibrahimaj </w:t>
      </w:r>
    </w:p>
    <w:p w:rsidR="007632F8" w:rsidRPr="00466159" w:rsidRDefault="007632F8">
      <w:pPr>
        <w:rPr>
          <w:rFonts w:ascii="Times New Roman" w:hAnsi="Times New Roman"/>
          <w:sz w:val="28"/>
          <w:szCs w:val="28"/>
        </w:rPr>
      </w:pPr>
    </w:p>
    <w:sectPr w:rsidR="007632F8" w:rsidRPr="00466159" w:rsidSect="001729EA">
      <w:footerReference w:type="default" r:id="rId7"/>
      <w:pgSz w:w="11907" w:h="16839" w:code="9"/>
      <w:pgMar w:top="1440" w:right="1440" w:bottom="1134"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E2B" w:rsidRDefault="00687E2B">
      <w:pPr>
        <w:spacing w:after="0" w:line="240" w:lineRule="auto"/>
      </w:pPr>
      <w:r>
        <w:separator/>
      </w:r>
    </w:p>
  </w:endnote>
  <w:endnote w:type="continuationSeparator" w:id="0">
    <w:p w:rsidR="00687E2B" w:rsidRDefault="0068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682913"/>
      <w:docPartObj>
        <w:docPartGallery w:val="Page Numbers (Bottom of Page)"/>
        <w:docPartUnique/>
      </w:docPartObj>
    </w:sdtPr>
    <w:sdtEndPr>
      <w:rPr>
        <w:noProof/>
      </w:rPr>
    </w:sdtEndPr>
    <w:sdtContent>
      <w:p w:rsidR="001729EA" w:rsidRPr="001729EA" w:rsidRDefault="001729EA" w:rsidP="001729EA">
        <w:pPr>
          <w:pStyle w:val="Footer"/>
          <w:pBdr>
            <w:top w:val="thinThickSmallGap" w:sz="24" w:space="0" w:color="622423"/>
          </w:pBdr>
          <w:tabs>
            <w:tab w:val="clear" w:pos="4680"/>
          </w:tabs>
          <w:jc w:val="both"/>
        </w:pPr>
        <w:r w:rsidRPr="004B0D41">
          <w:rPr>
            <w:rFonts w:ascii="Times New Roman" w:eastAsia="Times New Roman" w:hAnsi="Times New Roman"/>
          </w:rPr>
          <w:t xml:space="preserve">Relacion shpjegues për </w:t>
        </w:r>
        <w:r w:rsidRPr="004B0D41">
          <w:rPr>
            <w:rFonts w:ascii="Times New Roman" w:hAnsi="Times New Roman"/>
            <w:lang w:val="sq-AL" w:eastAsia="zh-CN"/>
          </w:rPr>
          <w:t xml:space="preserve">projektligjin “Për </w:t>
        </w:r>
        <w:r>
          <w:rPr>
            <w:rFonts w:ascii="Times New Roman" w:hAnsi="Times New Roman"/>
            <w:lang w:val="sq-AL" w:eastAsia="zh-CN"/>
          </w:rPr>
          <w:t xml:space="preserve">disa shtesa dhe ndryshime </w:t>
        </w:r>
        <w:r w:rsidRPr="004B0D41">
          <w:rPr>
            <w:rFonts w:ascii="Times New Roman" w:hAnsi="Times New Roman"/>
            <w:lang w:val="sq-AL" w:eastAsia="zh-CN"/>
          </w:rPr>
          <w:t>në ligjin nr.</w:t>
        </w:r>
        <w:r>
          <w:rPr>
            <w:rFonts w:ascii="Times New Roman" w:hAnsi="Times New Roman"/>
            <w:lang w:val="sq-AL" w:eastAsia="zh-CN"/>
          </w:rPr>
          <w:t xml:space="preserve"> </w:t>
        </w:r>
        <w:r w:rsidRPr="004B0D41">
          <w:rPr>
            <w:rFonts w:ascii="Times New Roman" w:hAnsi="Times New Roman"/>
            <w:lang w:val="sq-AL" w:eastAsia="zh-CN"/>
          </w:rPr>
          <w:t>92/2014</w:t>
        </w:r>
        <w:r>
          <w:rPr>
            <w:rFonts w:ascii="Times New Roman" w:hAnsi="Times New Roman"/>
            <w:lang w:val="sq-AL" w:eastAsia="zh-CN"/>
          </w:rPr>
          <w:t>, ‘</w:t>
        </w:r>
        <w:r w:rsidRPr="004B0D41">
          <w:rPr>
            <w:rFonts w:ascii="Times New Roman" w:hAnsi="Times New Roman"/>
            <w:lang w:val="sq-AL" w:eastAsia="zh-CN"/>
          </w:rPr>
          <w:t xml:space="preserve">Për </w:t>
        </w:r>
        <w:r>
          <w:rPr>
            <w:rFonts w:ascii="Times New Roman" w:hAnsi="Times New Roman"/>
            <w:lang w:val="sq-AL" w:eastAsia="zh-CN"/>
          </w:rPr>
          <w:t>t</w:t>
        </w:r>
        <w:r w:rsidRPr="004B0D41">
          <w:rPr>
            <w:rFonts w:ascii="Times New Roman" w:hAnsi="Times New Roman"/>
            <w:lang w:val="sq-AL" w:eastAsia="zh-CN"/>
          </w:rPr>
          <w:t xml:space="preserve">atimin mbi </w:t>
        </w:r>
        <w:r>
          <w:rPr>
            <w:rFonts w:ascii="Times New Roman" w:hAnsi="Times New Roman"/>
            <w:lang w:val="sq-AL" w:eastAsia="zh-CN"/>
          </w:rPr>
          <w:t>v</w:t>
        </w:r>
        <w:r w:rsidRPr="004B0D41">
          <w:rPr>
            <w:rFonts w:ascii="Times New Roman" w:hAnsi="Times New Roman"/>
            <w:lang w:val="sq-AL" w:eastAsia="zh-CN"/>
          </w:rPr>
          <w:t xml:space="preserve">lerën e </w:t>
        </w:r>
        <w:r>
          <w:rPr>
            <w:rFonts w:ascii="Times New Roman" w:hAnsi="Times New Roman"/>
            <w:lang w:val="sq-AL" w:eastAsia="zh-CN"/>
          </w:rPr>
          <w:t>s</w:t>
        </w:r>
        <w:r w:rsidRPr="004B0D41">
          <w:rPr>
            <w:rFonts w:ascii="Times New Roman" w:hAnsi="Times New Roman"/>
            <w:lang w:val="sq-AL" w:eastAsia="zh-CN"/>
          </w:rPr>
          <w:t>h</w:t>
        </w:r>
        <w:r>
          <w:rPr>
            <w:rFonts w:ascii="Times New Roman" w:hAnsi="Times New Roman"/>
            <w:lang w:val="sq-AL" w:eastAsia="zh-CN"/>
          </w:rPr>
          <w:t>tuar në Republikën e Shqipërisë’</w:t>
        </w:r>
        <w:r w:rsidRPr="004B0D41">
          <w:rPr>
            <w:rFonts w:ascii="Times New Roman" w:hAnsi="Times New Roman"/>
            <w:lang w:val="sq-AL" w:eastAsia="zh-CN"/>
          </w:rPr>
          <w:t xml:space="preserve">, </w:t>
        </w:r>
        <w:r>
          <w:rPr>
            <w:rFonts w:ascii="Times New Roman" w:hAnsi="Times New Roman"/>
            <w:lang w:val="sq-AL" w:eastAsia="zh-CN"/>
          </w:rPr>
          <w:t>i</w:t>
        </w:r>
        <w:r w:rsidRPr="004B0D41">
          <w:rPr>
            <w:rFonts w:ascii="Times New Roman" w:hAnsi="Times New Roman"/>
            <w:lang w:val="sq-AL" w:eastAsia="zh-CN"/>
          </w:rPr>
          <w:t xml:space="preserve"> ndryshuar”</w:t>
        </w:r>
        <w:r>
          <w:rPr>
            <w:rFonts w:ascii="Times New Roman" w:hAnsi="Times New Roman"/>
            <w:lang w:val="sq-AL" w:eastAsia="zh-CN"/>
          </w:rPr>
          <w:t>.</w:t>
        </w:r>
      </w:p>
      <w:p w:rsidR="001729EA" w:rsidRDefault="001729EA">
        <w:pPr>
          <w:pStyle w:val="Footer"/>
          <w:jc w:val="right"/>
        </w:pPr>
      </w:p>
      <w:p w:rsidR="00A420DC" w:rsidRDefault="00A420DC">
        <w:pPr>
          <w:pStyle w:val="Footer"/>
          <w:jc w:val="right"/>
        </w:pPr>
        <w:r>
          <w:fldChar w:fldCharType="begin"/>
        </w:r>
        <w:r>
          <w:instrText xml:space="preserve"> PAGE   \* MERGEFORMAT </w:instrText>
        </w:r>
        <w:r>
          <w:fldChar w:fldCharType="separate"/>
        </w:r>
        <w:r w:rsidR="00783C3D">
          <w:rPr>
            <w:noProof/>
          </w:rPr>
          <w:t>2</w:t>
        </w:r>
        <w:r>
          <w:rPr>
            <w:noProof/>
          </w:rPr>
          <w:fldChar w:fldCharType="end"/>
        </w:r>
      </w:p>
    </w:sdtContent>
  </w:sdt>
  <w:p w:rsidR="001729EA" w:rsidRDefault="001729EA" w:rsidP="001729EA">
    <w:pPr>
      <w:pStyle w:val="Header"/>
    </w:pPr>
  </w:p>
  <w:p w:rsidR="001729EA" w:rsidRDefault="001729EA" w:rsidP="001729EA"/>
  <w:p w:rsidR="001729EA" w:rsidRDefault="001729EA" w:rsidP="001729EA">
    <w:pPr>
      <w:pStyle w:val="Footer"/>
    </w:pPr>
  </w:p>
  <w:p w:rsidR="00225C66" w:rsidRDefault="00687E2B" w:rsidP="001729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E2B" w:rsidRDefault="00687E2B">
      <w:pPr>
        <w:spacing w:after="0" w:line="240" w:lineRule="auto"/>
      </w:pPr>
      <w:r>
        <w:separator/>
      </w:r>
    </w:p>
  </w:footnote>
  <w:footnote w:type="continuationSeparator" w:id="0">
    <w:p w:rsidR="00687E2B" w:rsidRDefault="00687E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16EF9"/>
    <w:multiLevelType w:val="hybridMultilevel"/>
    <w:tmpl w:val="505AE91E"/>
    <w:lvl w:ilvl="0" w:tplc="041C000B">
      <w:start w:val="1"/>
      <w:numFmt w:val="bullet"/>
      <w:lvlText w:val=""/>
      <w:lvlJc w:val="left"/>
      <w:pPr>
        <w:ind w:left="36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
    <w:nsid w:val="14A12BA3"/>
    <w:multiLevelType w:val="hybridMultilevel"/>
    <w:tmpl w:val="79901BFA"/>
    <w:lvl w:ilvl="0" w:tplc="041C0019">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nsid w:val="1E6B1C3D"/>
    <w:multiLevelType w:val="hybridMultilevel"/>
    <w:tmpl w:val="1A76898A"/>
    <w:lvl w:ilvl="0" w:tplc="D79C2ABE">
      <w:start w:val="1"/>
      <w:numFmt w:val="upperRoman"/>
      <w:lvlText w:val="%1."/>
      <w:lvlJc w:val="left"/>
      <w:pPr>
        <w:ind w:left="369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8C121F"/>
    <w:multiLevelType w:val="hybridMultilevel"/>
    <w:tmpl w:val="D9C4B214"/>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35BC3862"/>
    <w:multiLevelType w:val="hybridMultilevel"/>
    <w:tmpl w:val="7302B5FE"/>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nsid w:val="5B9D65E1"/>
    <w:multiLevelType w:val="hybridMultilevel"/>
    <w:tmpl w:val="884A2942"/>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nsid w:val="6879375D"/>
    <w:multiLevelType w:val="hybridMultilevel"/>
    <w:tmpl w:val="ED5C85DA"/>
    <w:lvl w:ilvl="0" w:tplc="F28815A4">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nsid w:val="6AE22463"/>
    <w:multiLevelType w:val="hybridMultilevel"/>
    <w:tmpl w:val="4CC0F82C"/>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nsid w:val="773628F9"/>
    <w:multiLevelType w:val="hybridMultilevel"/>
    <w:tmpl w:val="133C3C0E"/>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5"/>
  </w:num>
  <w:num w:numId="5">
    <w:abstractNumId w:val="1"/>
  </w:num>
  <w:num w:numId="6">
    <w:abstractNumId w:val="6"/>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989"/>
    <w:rsid w:val="00015943"/>
    <w:rsid w:val="00022DF8"/>
    <w:rsid w:val="00034AB4"/>
    <w:rsid w:val="000363B0"/>
    <w:rsid w:val="00056BA9"/>
    <w:rsid w:val="0006357C"/>
    <w:rsid w:val="000B06F6"/>
    <w:rsid w:val="000D4748"/>
    <w:rsid w:val="000E46AA"/>
    <w:rsid w:val="001050DF"/>
    <w:rsid w:val="00122C79"/>
    <w:rsid w:val="001547AD"/>
    <w:rsid w:val="001729EA"/>
    <w:rsid w:val="001D469C"/>
    <w:rsid w:val="001F031A"/>
    <w:rsid w:val="001F7137"/>
    <w:rsid w:val="00200B4E"/>
    <w:rsid w:val="002163D9"/>
    <w:rsid w:val="00234742"/>
    <w:rsid w:val="00254928"/>
    <w:rsid w:val="00263154"/>
    <w:rsid w:val="002A219A"/>
    <w:rsid w:val="002A39BF"/>
    <w:rsid w:val="002E4930"/>
    <w:rsid w:val="002E734A"/>
    <w:rsid w:val="0036070D"/>
    <w:rsid w:val="00391ED6"/>
    <w:rsid w:val="00394272"/>
    <w:rsid w:val="003A1179"/>
    <w:rsid w:val="003B4A26"/>
    <w:rsid w:val="003C3C17"/>
    <w:rsid w:val="003D7842"/>
    <w:rsid w:val="003E4E1D"/>
    <w:rsid w:val="004530C4"/>
    <w:rsid w:val="00463507"/>
    <w:rsid w:val="004660F3"/>
    <w:rsid w:val="00466159"/>
    <w:rsid w:val="004765EF"/>
    <w:rsid w:val="00493268"/>
    <w:rsid w:val="004A13DA"/>
    <w:rsid w:val="004F6D77"/>
    <w:rsid w:val="0051305C"/>
    <w:rsid w:val="00552083"/>
    <w:rsid w:val="00562EEE"/>
    <w:rsid w:val="005B0CD0"/>
    <w:rsid w:val="005E3D72"/>
    <w:rsid w:val="00636AE4"/>
    <w:rsid w:val="006435BD"/>
    <w:rsid w:val="00687E2B"/>
    <w:rsid w:val="00701467"/>
    <w:rsid w:val="00703610"/>
    <w:rsid w:val="00753625"/>
    <w:rsid w:val="007632F8"/>
    <w:rsid w:val="0076705B"/>
    <w:rsid w:val="00773028"/>
    <w:rsid w:val="00774FF7"/>
    <w:rsid w:val="00783C3D"/>
    <w:rsid w:val="007B5460"/>
    <w:rsid w:val="007D755A"/>
    <w:rsid w:val="00815E39"/>
    <w:rsid w:val="00816778"/>
    <w:rsid w:val="00825183"/>
    <w:rsid w:val="00827EB2"/>
    <w:rsid w:val="00844B0B"/>
    <w:rsid w:val="00885989"/>
    <w:rsid w:val="008A3259"/>
    <w:rsid w:val="008A4B4F"/>
    <w:rsid w:val="008C1B00"/>
    <w:rsid w:val="008C7670"/>
    <w:rsid w:val="008E20BC"/>
    <w:rsid w:val="008E22FA"/>
    <w:rsid w:val="008E7639"/>
    <w:rsid w:val="009064A8"/>
    <w:rsid w:val="00916102"/>
    <w:rsid w:val="009300CE"/>
    <w:rsid w:val="0098312F"/>
    <w:rsid w:val="009F470D"/>
    <w:rsid w:val="00A34EFB"/>
    <w:rsid w:val="00A420DC"/>
    <w:rsid w:val="00A430F8"/>
    <w:rsid w:val="00A43EF4"/>
    <w:rsid w:val="00AC48E3"/>
    <w:rsid w:val="00B003DE"/>
    <w:rsid w:val="00B10F23"/>
    <w:rsid w:val="00B33F2E"/>
    <w:rsid w:val="00B51186"/>
    <w:rsid w:val="00B54567"/>
    <w:rsid w:val="00B77334"/>
    <w:rsid w:val="00BE3A28"/>
    <w:rsid w:val="00C358DE"/>
    <w:rsid w:val="00C74ED5"/>
    <w:rsid w:val="00CA043F"/>
    <w:rsid w:val="00CA7C39"/>
    <w:rsid w:val="00CE5738"/>
    <w:rsid w:val="00D1137F"/>
    <w:rsid w:val="00D47328"/>
    <w:rsid w:val="00D84A7E"/>
    <w:rsid w:val="00DA5BFC"/>
    <w:rsid w:val="00DB5200"/>
    <w:rsid w:val="00DD2C0F"/>
    <w:rsid w:val="00DE7418"/>
    <w:rsid w:val="00DF70D3"/>
    <w:rsid w:val="00E16B04"/>
    <w:rsid w:val="00E652BA"/>
    <w:rsid w:val="00E767D7"/>
    <w:rsid w:val="00E9799F"/>
    <w:rsid w:val="00EC1646"/>
    <w:rsid w:val="00EC4783"/>
    <w:rsid w:val="00ED5ACE"/>
    <w:rsid w:val="00F572A0"/>
    <w:rsid w:val="00F700A5"/>
    <w:rsid w:val="00F75EF8"/>
    <w:rsid w:val="00F9550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56F0D4-5315-483D-AC52-6CFD1260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98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85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989"/>
    <w:rPr>
      <w:rFonts w:ascii="Calibri" w:eastAsia="Calibri" w:hAnsi="Calibri" w:cs="Times New Roman"/>
      <w:lang w:val="en-US"/>
    </w:rPr>
  </w:style>
  <w:style w:type="paragraph" w:styleId="ListParagraph">
    <w:name w:val="List Paragraph"/>
    <w:aliases w:val="Normal 1,List Paragraph (numbered (a)),List Paragraph 1,Akapit z listą BS,Bullets,List Paragraph1,Bullet1,NumberedParas,Dot pt,F5 List Paragraph,List Paragraph Char Char Char,Indicator Text,Numbered Para 1,Bullet 1,Bullet Points"/>
    <w:basedOn w:val="Normal"/>
    <w:link w:val="ListParagraphChar"/>
    <w:uiPriority w:val="34"/>
    <w:qFormat/>
    <w:rsid w:val="00885989"/>
    <w:pPr>
      <w:ind w:left="720"/>
    </w:pPr>
  </w:style>
  <w:style w:type="paragraph" w:customStyle="1" w:styleId="Default">
    <w:name w:val="Default"/>
    <w:rsid w:val="0088598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ListParagraphChar">
    <w:name w:val="List Paragraph Char"/>
    <w:aliases w:val="Normal 1 Char,List Paragraph (numbered (a)) Char,List Paragraph 1 Char,Akapit z listą BS Char,Bullets Char,List Paragraph1 Char,Bullet1 Char,NumberedParas Char,Dot pt Char,F5 List Paragraph Char,List Paragraph Char Char Char Char"/>
    <w:link w:val="ListParagraph"/>
    <w:uiPriority w:val="34"/>
    <w:qFormat/>
    <w:locked/>
    <w:rsid w:val="00885989"/>
    <w:rPr>
      <w:rFonts w:ascii="Calibri" w:eastAsia="Calibri" w:hAnsi="Calibri" w:cs="Times New Roman"/>
      <w:lang w:val="en-US"/>
    </w:rPr>
  </w:style>
  <w:style w:type="character" w:customStyle="1" w:styleId="jlqj4b">
    <w:name w:val="jlqj4b"/>
    <w:rsid w:val="00885989"/>
  </w:style>
  <w:style w:type="character" w:customStyle="1" w:styleId="markedcontent">
    <w:name w:val="markedcontent"/>
    <w:basedOn w:val="DefaultParagraphFont"/>
    <w:rsid w:val="00885989"/>
  </w:style>
  <w:style w:type="character" w:styleId="Strong">
    <w:name w:val="Strong"/>
    <w:basedOn w:val="DefaultParagraphFont"/>
    <w:uiPriority w:val="22"/>
    <w:qFormat/>
    <w:rsid w:val="00885989"/>
    <w:rPr>
      <w:b/>
      <w:bCs/>
    </w:rPr>
  </w:style>
  <w:style w:type="character" w:styleId="Emphasis">
    <w:name w:val="Emphasis"/>
    <w:basedOn w:val="DefaultParagraphFont"/>
    <w:uiPriority w:val="20"/>
    <w:qFormat/>
    <w:rsid w:val="00885989"/>
    <w:rPr>
      <w:i/>
      <w:iCs/>
    </w:rPr>
  </w:style>
  <w:style w:type="character" w:customStyle="1" w:styleId="q4iawc">
    <w:name w:val="q4iawc"/>
    <w:basedOn w:val="DefaultParagraphFont"/>
    <w:rsid w:val="00885989"/>
  </w:style>
  <w:style w:type="paragraph" w:styleId="BalloonText">
    <w:name w:val="Balloon Text"/>
    <w:basedOn w:val="Normal"/>
    <w:link w:val="BalloonTextChar"/>
    <w:uiPriority w:val="99"/>
    <w:semiHidden/>
    <w:unhideWhenUsed/>
    <w:rsid w:val="00B545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567"/>
    <w:rPr>
      <w:rFonts w:ascii="Segoe UI" w:eastAsia="Calibri" w:hAnsi="Segoe UI" w:cs="Segoe UI"/>
      <w:sz w:val="18"/>
      <w:szCs w:val="18"/>
      <w:lang w:val="en-US"/>
    </w:rPr>
  </w:style>
  <w:style w:type="character" w:customStyle="1" w:styleId="TitulliChar">
    <w:name w:val="Titulli Char"/>
    <w:link w:val="Titulli"/>
    <w:uiPriority w:val="99"/>
    <w:locked/>
    <w:rsid w:val="00774FF7"/>
    <w:rPr>
      <w:rFonts w:ascii="CG Times" w:hAnsi="CG Times"/>
      <w:b/>
      <w:caps/>
    </w:rPr>
  </w:style>
  <w:style w:type="paragraph" w:customStyle="1" w:styleId="Titulli">
    <w:name w:val="Titulli"/>
    <w:next w:val="Normal"/>
    <w:link w:val="TitulliChar"/>
    <w:uiPriority w:val="99"/>
    <w:rsid w:val="00774FF7"/>
    <w:pPr>
      <w:keepNext/>
      <w:widowControl w:val="0"/>
      <w:spacing w:after="0" w:line="240" w:lineRule="auto"/>
      <w:jc w:val="center"/>
      <w:outlineLvl w:val="1"/>
    </w:pPr>
    <w:rPr>
      <w:rFonts w:ascii="CG Times" w:hAnsi="CG Times"/>
      <w:b/>
      <w:caps/>
    </w:rPr>
  </w:style>
  <w:style w:type="paragraph" w:styleId="NormalWeb">
    <w:name w:val="Normal (Web)"/>
    <w:basedOn w:val="Normal"/>
    <w:uiPriority w:val="99"/>
    <w:unhideWhenUsed/>
    <w:rsid w:val="00774FF7"/>
    <w:pPr>
      <w:spacing w:before="100" w:beforeAutospacing="1" w:after="100" w:afterAutospacing="1" w:line="240" w:lineRule="auto"/>
    </w:pPr>
    <w:rPr>
      <w:rFonts w:ascii="Times New Roman" w:eastAsia="Times New Roman" w:hAnsi="Times New Roman"/>
      <w:sz w:val="24"/>
      <w:szCs w:val="24"/>
      <w:lang w:val="sq-AL" w:eastAsia="sq-AL"/>
    </w:rPr>
  </w:style>
  <w:style w:type="paragraph" w:styleId="NoSpacing">
    <w:name w:val="No Spacing"/>
    <w:uiPriority w:val="1"/>
    <w:qFormat/>
    <w:rsid w:val="00C358DE"/>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2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0DC"/>
    <w:rPr>
      <w:rFonts w:ascii="Calibri" w:eastAsia="Calibri" w:hAnsi="Calibri" w:cs="Times New Roman"/>
      <w:lang w:val="en-US"/>
    </w:rPr>
  </w:style>
  <w:style w:type="paragraph" w:customStyle="1" w:styleId="ColorfulList-Accent11">
    <w:name w:val="Colorful List - Accent 11"/>
    <w:basedOn w:val="Normal"/>
    <w:uiPriority w:val="34"/>
    <w:qFormat/>
    <w:rsid w:val="00172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401695">
      <w:bodyDiv w:val="1"/>
      <w:marLeft w:val="0"/>
      <w:marRight w:val="0"/>
      <w:marTop w:val="0"/>
      <w:marBottom w:val="0"/>
      <w:divBdr>
        <w:top w:val="none" w:sz="0" w:space="0" w:color="auto"/>
        <w:left w:val="none" w:sz="0" w:space="0" w:color="auto"/>
        <w:bottom w:val="none" w:sz="0" w:space="0" w:color="auto"/>
        <w:right w:val="none" w:sz="0" w:space="0" w:color="auto"/>
      </w:divBdr>
      <w:divsChild>
        <w:div w:id="1347173756">
          <w:marLeft w:val="0"/>
          <w:marRight w:val="0"/>
          <w:marTop w:val="0"/>
          <w:marBottom w:val="0"/>
          <w:divBdr>
            <w:top w:val="none" w:sz="0" w:space="0" w:color="auto"/>
            <w:left w:val="none" w:sz="0" w:space="0" w:color="auto"/>
            <w:bottom w:val="none" w:sz="0" w:space="0" w:color="auto"/>
            <w:right w:val="none" w:sz="0" w:space="0" w:color="auto"/>
          </w:divBdr>
        </w:div>
        <w:div w:id="1352027012">
          <w:marLeft w:val="0"/>
          <w:marRight w:val="0"/>
          <w:marTop w:val="0"/>
          <w:marBottom w:val="0"/>
          <w:divBdr>
            <w:top w:val="none" w:sz="0" w:space="0" w:color="auto"/>
            <w:left w:val="none" w:sz="0" w:space="0" w:color="auto"/>
            <w:bottom w:val="none" w:sz="0" w:space="0" w:color="auto"/>
            <w:right w:val="none" w:sz="0" w:space="0" w:color="auto"/>
          </w:divBdr>
        </w:div>
        <w:div w:id="553272674">
          <w:marLeft w:val="0"/>
          <w:marRight w:val="0"/>
          <w:marTop w:val="0"/>
          <w:marBottom w:val="0"/>
          <w:divBdr>
            <w:top w:val="none" w:sz="0" w:space="0" w:color="auto"/>
            <w:left w:val="none" w:sz="0" w:space="0" w:color="auto"/>
            <w:bottom w:val="none" w:sz="0" w:space="0" w:color="auto"/>
            <w:right w:val="none" w:sz="0" w:space="0" w:color="auto"/>
          </w:divBdr>
        </w:div>
        <w:div w:id="1245992441">
          <w:marLeft w:val="0"/>
          <w:marRight w:val="0"/>
          <w:marTop w:val="0"/>
          <w:marBottom w:val="0"/>
          <w:divBdr>
            <w:top w:val="none" w:sz="0" w:space="0" w:color="auto"/>
            <w:left w:val="none" w:sz="0" w:space="0" w:color="auto"/>
            <w:bottom w:val="none" w:sz="0" w:space="0" w:color="auto"/>
            <w:right w:val="none" w:sz="0" w:space="0" w:color="auto"/>
          </w:divBdr>
        </w:div>
        <w:div w:id="1176456472">
          <w:marLeft w:val="0"/>
          <w:marRight w:val="0"/>
          <w:marTop w:val="0"/>
          <w:marBottom w:val="0"/>
          <w:divBdr>
            <w:top w:val="none" w:sz="0" w:space="0" w:color="auto"/>
            <w:left w:val="none" w:sz="0" w:space="0" w:color="auto"/>
            <w:bottom w:val="none" w:sz="0" w:space="0" w:color="auto"/>
            <w:right w:val="none" w:sz="0" w:space="0" w:color="auto"/>
          </w:divBdr>
        </w:div>
        <w:div w:id="497117444">
          <w:marLeft w:val="0"/>
          <w:marRight w:val="0"/>
          <w:marTop w:val="0"/>
          <w:marBottom w:val="0"/>
          <w:divBdr>
            <w:top w:val="none" w:sz="0" w:space="0" w:color="auto"/>
            <w:left w:val="none" w:sz="0" w:space="0" w:color="auto"/>
            <w:bottom w:val="none" w:sz="0" w:space="0" w:color="auto"/>
            <w:right w:val="none" w:sz="0" w:space="0" w:color="auto"/>
          </w:divBdr>
        </w:div>
        <w:div w:id="1536698346">
          <w:marLeft w:val="0"/>
          <w:marRight w:val="0"/>
          <w:marTop w:val="0"/>
          <w:marBottom w:val="0"/>
          <w:divBdr>
            <w:top w:val="none" w:sz="0" w:space="0" w:color="auto"/>
            <w:left w:val="none" w:sz="0" w:space="0" w:color="auto"/>
            <w:bottom w:val="none" w:sz="0" w:space="0" w:color="auto"/>
            <w:right w:val="none" w:sz="0" w:space="0" w:color="auto"/>
          </w:divBdr>
        </w:div>
        <w:div w:id="1217205964">
          <w:marLeft w:val="0"/>
          <w:marRight w:val="0"/>
          <w:marTop w:val="0"/>
          <w:marBottom w:val="0"/>
          <w:divBdr>
            <w:top w:val="none" w:sz="0" w:space="0" w:color="auto"/>
            <w:left w:val="none" w:sz="0" w:space="0" w:color="auto"/>
            <w:bottom w:val="none" w:sz="0" w:space="0" w:color="auto"/>
            <w:right w:val="none" w:sz="0" w:space="0" w:color="auto"/>
          </w:divBdr>
        </w:div>
        <w:div w:id="280960688">
          <w:marLeft w:val="0"/>
          <w:marRight w:val="0"/>
          <w:marTop w:val="0"/>
          <w:marBottom w:val="0"/>
          <w:divBdr>
            <w:top w:val="none" w:sz="0" w:space="0" w:color="auto"/>
            <w:left w:val="none" w:sz="0" w:space="0" w:color="auto"/>
            <w:bottom w:val="none" w:sz="0" w:space="0" w:color="auto"/>
            <w:right w:val="none" w:sz="0" w:space="0" w:color="auto"/>
          </w:divBdr>
        </w:div>
        <w:div w:id="1149128924">
          <w:marLeft w:val="0"/>
          <w:marRight w:val="0"/>
          <w:marTop w:val="0"/>
          <w:marBottom w:val="0"/>
          <w:divBdr>
            <w:top w:val="none" w:sz="0" w:space="0" w:color="auto"/>
            <w:left w:val="none" w:sz="0" w:space="0" w:color="auto"/>
            <w:bottom w:val="none" w:sz="0" w:space="0" w:color="auto"/>
            <w:right w:val="none" w:sz="0" w:space="0" w:color="auto"/>
          </w:divBdr>
        </w:div>
        <w:div w:id="864950474">
          <w:marLeft w:val="0"/>
          <w:marRight w:val="0"/>
          <w:marTop w:val="0"/>
          <w:marBottom w:val="0"/>
          <w:divBdr>
            <w:top w:val="none" w:sz="0" w:space="0" w:color="auto"/>
            <w:left w:val="none" w:sz="0" w:space="0" w:color="auto"/>
            <w:bottom w:val="none" w:sz="0" w:space="0" w:color="auto"/>
            <w:right w:val="none" w:sz="0" w:space="0" w:color="auto"/>
          </w:divBdr>
        </w:div>
        <w:div w:id="98650251">
          <w:marLeft w:val="0"/>
          <w:marRight w:val="0"/>
          <w:marTop w:val="0"/>
          <w:marBottom w:val="0"/>
          <w:divBdr>
            <w:top w:val="none" w:sz="0" w:space="0" w:color="auto"/>
            <w:left w:val="none" w:sz="0" w:space="0" w:color="auto"/>
            <w:bottom w:val="none" w:sz="0" w:space="0" w:color="auto"/>
            <w:right w:val="none" w:sz="0" w:space="0" w:color="auto"/>
          </w:divBdr>
        </w:div>
        <w:div w:id="434979375">
          <w:marLeft w:val="0"/>
          <w:marRight w:val="0"/>
          <w:marTop w:val="0"/>
          <w:marBottom w:val="0"/>
          <w:divBdr>
            <w:top w:val="none" w:sz="0" w:space="0" w:color="auto"/>
            <w:left w:val="none" w:sz="0" w:space="0" w:color="auto"/>
            <w:bottom w:val="none" w:sz="0" w:space="0" w:color="auto"/>
            <w:right w:val="none" w:sz="0" w:space="0" w:color="auto"/>
          </w:divBdr>
        </w:div>
        <w:div w:id="683870927">
          <w:marLeft w:val="0"/>
          <w:marRight w:val="0"/>
          <w:marTop w:val="0"/>
          <w:marBottom w:val="0"/>
          <w:divBdr>
            <w:top w:val="none" w:sz="0" w:space="0" w:color="auto"/>
            <w:left w:val="none" w:sz="0" w:space="0" w:color="auto"/>
            <w:bottom w:val="none" w:sz="0" w:space="0" w:color="auto"/>
            <w:right w:val="none" w:sz="0" w:space="0" w:color="auto"/>
          </w:divBdr>
        </w:div>
        <w:div w:id="758407346">
          <w:marLeft w:val="0"/>
          <w:marRight w:val="0"/>
          <w:marTop w:val="0"/>
          <w:marBottom w:val="0"/>
          <w:divBdr>
            <w:top w:val="none" w:sz="0" w:space="0" w:color="auto"/>
            <w:left w:val="none" w:sz="0" w:space="0" w:color="auto"/>
            <w:bottom w:val="none" w:sz="0" w:space="0" w:color="auto"/>
            <w:right w:val="none" w:sz="0" w:space="0" w:color="auto"/>
          </w:divBdr>
        </w:div>
        <w:div w:id="1072970905">
          <w:marLeft w:val="0"/>
          <w:marRight w:val="0"/>
          <w:marTop w:val="0"/>
          <w:marBottom w:val="0"/>
          <w:divBdr>
            <w:top w:val="none" w:sz="0" w:space="0" w:color="auto"/>
            <w:left w:val="none" w:sz="0" w:space="0" w:color="auto"/>
            <w:bottom w:val="none" w:sz="0" w:space="0" w:color="auto"/>
            <w:right w:val="none" w:sz="0" w:space="0" w:color="auto"/>
          </w:divBdr>
        </w:div>
        <w:div w:id="1658991306">
          <w:marLeft w:val="0"/>
          <w:marRight w:val="0"/>
          <w:marTop w:val="0"/>
          <w:marBottom w:val="0"/>
          <w:divBdr>
            <w:top w:val="none" w:sz="0" w:space="0" w:color="auto"/>
            <w:left w:val="none" w:sz="0" w:space="0" w:color="auto"/>
            <w:bottom w:val="none" w:sz="0" w:space="0" w:color="auto"/>
            <w:right w:val="none" w:sz="0" w:space="0" w:color="auto"/>
          </w:divBdr>
        </w:div>
        <w:div w:id="260996550">
          <w:marLeft w:val="0"/>
          <w:marRight w:val="0"/>
          <w:marTop w:val="0"/>
          <w:marBottom w:val="0"/>
          <w:divBdr>
            <w:top w:val="none" w:sz="0" w:space="0" w:color="auto"/>
            <w:left w:val="none" w:sz="0" w:space="0" w:color="auto"/>
            <w:bottom w:val="none" w:sz="0" w:space="0" w:color="auto"/>
            <w:right w:val="none" w:sz="0" w:space="0" w:color="auto"/>
          </w:divBdr>
        </w:div>
        <w:div w:id="902911046">
          <w:marLeft w:val="0"/>
          <w:marRight w:val="0"/>
          <w:marTop w:val="0"/>
          <w:marBottom w:val="0"/>
          <w:divBdr>
            <w:top w:val="none" w:sz="0" w:space="0" w:color="auto"/>
            <w:left w:val="none" w:sz="0" w:space="0" w:color="auto"/>
            <w:bottom w:val="none" w:sz="0" w:space="0" w:color="auto"/>
            <w:right w:val="none" w:sz="0" w:space="0" w:color="auto"/>
          </w:divBdr>
        </w:div>
        <w:div w:id="560096209">
          <w:marLeft w:val="0"/>
          <w:marRight w:val="0"/>
          <w:marTop w:val="0"/>
          <w:marBottom w:val="0"/>
          <w:divBdr>
            <w:top w:val="none" w:sz="0" w:space="0" w:color="auto"/>
            <w:left w:val="none" w:sz="0" w:space="0" w:color="auto"/>
            <w:bottom w:val="none" w:sz="0" w:space="0" w:color="auto"/>
            <w:right w:val="none" w:sz="0" w:space="0" w:color="auto"/>
          </w:divBdr>
        </w:div>
        <w:div w:id="1578590590">
          <w:marLeft w:val="0"/>
          <w:marRight w:val="0"/>
          <w:marTop w:val="0"/>
          <w:marBottom w:val="0"/>
          <w:divBdr>
            <w:top w:val="none" w:sz="0" w:space="0" w:color="auto"/>
            <w:left w:val="none" w:sz="0" w:space="0" w:color="auto"/>
            <w:bottom w:val="none" w:sz="0" w:space="0" w:color="auto"/>
            <w:right w:val="none" w:sz="0" w:space="0" w:color="auto"/>
          </w:divBdr>
        </w:div>
        <w:div w:id="963269305">
          <w:marLeft w:val="0"/>
          <w:marRight w:val="0"/>
          <w:marTop w:val="0"/>
          <w:marBottom w:val="0"/>
          <w:divBdr>
            <w:top w:val="none" w:sz="0" w:space="0" w:color="auto"/>
            <w:left w:val="none" w:sz="0" w:space="0" w:color="auto"/>
            <w:bottom w:val="none" w:sz="0" w:space="0" w:color="auto"/>
            <w:right w:val="none" w:sz="0" w:space="0" w:color="auto"/>
          </w:divBdr>
        </w:div>
      </w:divsChild>
    </w:div>
    <w:div w:id="128739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3288</Words>
  <Characters>18746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Doci</dc:creator>
  <cp:keywords/>
  <dc:description/>
  <cp:lastModifiedBy>Amela Kora</cp:lastModifiedBy>
  <cp:revision>2</cp:revision>
  <cp:lastPrinted>2022-10-10T12:26:00Z</cp:lastPrinted>
  <dcterms:created xsi:type="dcterms:W3CDTF">2022-10-12T11:46:00Z</dcterms:created>
  <dcterms:modified xsi:type="dcterms:W3CDTF">2022-10-12T11:46:00Z</dcterms:modified>
</cp:coreProperties>
</file>