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E9" w:rsidRPr="002B2AA4" w:rsidRDefault="005579E9" w:rsidP="005579E9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2B2AA4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:rsidR="005579E9" w:rsidRPr="002B2AA4" w:rsidRDefault="005579E9" w:rsidP="005579E9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2B2AA4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2B2AA4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C26DF2">
        <w:rPr>
          <w:rFonts w:ascii="Times New Roman" w:hAnsi="Times New Roman" w:cs="Times New Roman"/>
          <w:color w:val="auto"/>
          <w:sz w:val="24"/>
          <w:szCs w:val="24"/>
          <w:lang w:val="sq-AL"/>
        </w:rPr>
        <w:t>VENDIMIT</w:t>
      </w:r>
    </w:p>
    <w:p w:rsidR="005579E9" w:rsidRPr="002B2AA4" w:rsidRDefault="005579E9" w:rsidP="005579E9">
      <w:pPr>
        <w:pStyle w:val="ListParagraph"/>
        <w:ind w:left="990" w:firstLine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sz w:val="24"/>
          <w:szCs w:val="24"/>
          <w:lang w:val="sq-AL"/>
        </w:rPr>
        <w:t>“</w:t>
      </w:r>
      <w:r w:rsidR="00C26DF2" w:rsidRPr="00CD66DC">
        <w:rPr>
          <w:rFonts w:ascii="Times New Roman" w:hAnsi="Times New Roman"/>
          <w:b/>
          <w:sz w:val="24"/>
          <w:szCs w:val="24"/>
        </w:rPr>
        <w:t>PËR MIRATIMIN E STRATEGJISË KOMBËTARE PËR ZVOGËLIMIN E RISKUT NGA FATKEQËSITË 2023-2030 DHE PLANIT TË VEPRIMIT</w:t>
      </w:r>
      <w:r w:rsidRPr="002B2AA4">
        <w:rPr>
          <w:rFonts w:ascii="Times New Roman" w:hAnsi="Times New Roman"/>
          <w:b/>
          <w:sz w:val="24"/>
          <w:szCs w:val="24"/>
          <w:lang w:val="sq-AL"/>
        </w:rPr>
        <w:t>”</w:t>
      </w:r>
    </w:p>
    <w:p w:rsidR="005579E9" w:rsidRPr="002B2AA4" w:rsidRDefault="005579E9" w:rsidP="005579E9">
      <w:pPr>
        <w:rPr>
          <w:rFonts w:ascii="Times New Roman" w:hAnsi="Times New Roman"/>
          <w:sz w:val="24"/>
          <w:szCs w:val="24"/>
          <w:lang w:val="sq-AL"/>
        </w:rPr>
      </w:pPr>
    </w:p>
    <w:p w:rsidR="005579E9" w:rsidRPr="002B2AA4" w:rsidRDefault="005579E9" w:rsidP="005579E9">
      <w:pPr>
        <w:pStyle w:val="ListParagraph"/>
        <w:numPr>
          <w:ilvl w:val="0"/>
          <w:numId w:val="1"/>
        </w:numPr>
        <w:tabs>
          <w:tab w:val="left" w:pos="450"/>
        </w:tabs>
        <w:ind w:left="450" w:hanging="9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projektaktit: </w:t>
      </w:r>
      <w:r w:rsidR="00C26DF2">
        <w:rPr>
          <w:rFonts w:ascii="Times New Roman" w:hAnsi="Times New Roman"/>
          <w:bCs/>
          <w:sz w:val="24"/>
          <w:szCs w:val="24"/>
          <w:lang w:val="sq-AL"/>
        </w:rPr>
        <w:t>P</w:t>
      </w:r>
      <w:r w:rsidR="00C26DF2" w:rsidRPr="00C26DF2">
        <w:rPr>
          <w:rFonts w:ascii="Times New Roman" w:hAnsi="Times New Roman"/>
          <w:bCs/>
          <w:sz w:val="24"/>
          <w:szCs w:val="24"/>
          <w:lang w:val="sq-AL"/>
        </w:rPr>
        <w:t>rojektvend</w:t>
      </w:r>
      <w:r w:rsidR="00C26DF2">
        <w:rPr>
          <w:rFonts w:ascii="Times New Roman" w:hAnsi="Times New Roman"/>
          <w:bCs/>
          <w:sz w:val="24"/>
          <w:szCs w:val="24"/>
          <w:lang w:val="sq-AL"/>
        </w:rPr>
        <w:t>im</w:t>
      </w:r>
      <w:r w:rsidR="00C26DF2" w:rsidRPr="00C26DF2">
        <w:rPr>
          <w:rFonts w:ascii="Times New Roman" w:hAnsi="Times New Roman"/>
          <w:bCs/>
          <w:sz w:val="24"/>
          <w:szCs w:val="24"/>
          <w:lang w:val="sq-AL"/>
        </w:rPr>
        <w:t xml:space="preserve"> “</w:t>
      </w:r>
      <w:r w:rsidR="00C26DF2" w:rsidRPr="001E3166">
        <w:rPr>
          <w:rFonts w:ascii="Times New Roman" w:hAnsi="Times New Roman"/>
          <w:i/>
          <w:sz w:val="24"/>
          <w:szCs w:val="24"/>
          <w:lang w:val="sq-AL"/>
        </w:rPr>
        <w:t>Për miratimin e Strategjisë Kombëtare për Zvogëlimin e Riskut nga Fatkeqësitë 2023-2030 dhe Planit të Veprimit</w:t>
      </w:r>
      <w:r w:rsidR="00C26DF2" w:rsidRPr="00C26DF2">
        <w:rPr>
          <w:rFonts w:ascii="Times New Roman" w:hAnsi="Times New Roman"/>
          <w:sz w:val="24"/>
          <w:szCs w:val="24"/>
          <w:lang w:val="sq-AL"/>
        </w:rPr>
        <w:t>”.</w:t>
      </w:r>
    </w:p>
    <w:p w:rsidR="005579E9" w:rsidRPr="002B2AA4" w:rsidRDefault="005579E9" w:rsidP="005579E9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 xml:space="preserve">Referenca tek Programi i Përgjithshëm Analitik i Projektakteve për vitin 2022: </w:t>
      </w:r>
      <w:r w:rsidRPr="002B2AA4">
        <w:rPr>
          <w:rFonts w:ascii="Times New Roman" w:hAnsi="Times New Roman"/>
          <w:sz w:val="24"/>
          <w:szCs w:val="24"/>
          <w:u w:val="single"/>
          <w:lang w:val="sq-AL"/>
        </w:rPr>
        <w:t>nr.</w:t>
      </w:r>
      <w:r w:rsidR="00EB69DE">
        <w:rPr>
          <w:rFonts w:ascii="Times New Roman" w:hAnsi="Times New Roman"/>
          <w:sz w:val="24"/>
          <w:szCs w:val="24"/>
          <w:u w:val="single"/>
          <w:lang w:val="sq-AL"/>
        </w:rPr>
        <w:t>18</w:t>
      </w:r>
    </w:p>
    <w:p w:rsidR="005579E9" w:rsidRPr="002B2AA4" w:rsidRDefault="005579E9" w:rsidP="005579E9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 xml:space="preserve">Referenca tek Plani Vjetor i Konsultimit për vitin 2022: </w:t>
      </w:r>
      <w:r w:rsidRPr="002B2AA4">
        <w:rPr>
          <w:rFonts w:ascii="Times New Roman" w:hAnsi="Times New Roman"/>
          <w:sz w:val="24"/>
          <w:szCs w:val="24"/>
          <w:u w:val="single"/>
          <w:lang w:val="sq-AL"/>
        </w:rPr>
        <w:t>nr.</w:t>
      </w:r>
      <w:r w:rsidR="00866745">
        <w:rPr>
          <w:rFonts w:ascii="Times New Roman" w:hAnsi="Times New Roman"/>
          <w:sz w:val="24"/>
          <w:szCs w:val="24"/>
          <w:u w:val="single"/>
          <w:lang w:val="sq-AL"/>
        </w:rPr>
        <w:t>4</w:t>
      </w:r>
    </w:p>
    <w:p w:rsidR="005579E9" w:rsidRPr="002B2AA4" w:rsidRDefault="005579E9" w:rsidP="005579E9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 xml:space="preserve">Referenca tek Vlerësimi i Ndikimit Rregullator (VNR): </w:t>
      </w:r>
      <w:r w:rsidRPr="002B2AA4">
        <w:rPr>
          <w:rFonts w:ascii="Times New Roman" w:hAnsi="Times New Roman"/>
          <w:sz w:val="24"/>
          <w:szCs w:val="24"/>
          <w:u w:val="single"/>
          <w:lang w:val="sq-AL"/>
        </w:rPr>
        <w:t>2022 – MM –  Nr. 1</w:t>
      </w:r>
    </w:p>
    <w:p w:rsidR="005579E9" w:rsidRPr="00156BF3" w:rsidRDefault="005579E9" w:rsidP="002A672F">
      <w:pPr>
        <w:pStyle w:val="BodyText"/>
        <w:numPr>
          <w:ilvl w:val="0"/>
          <w:numId w:val="2"/>
        </w:numPr>
        <w:tabs>
          <w:tab w:val="left" w:pos="450"/>
        </w:tabs>
        <w:spacing w:after="0"/>
        <w:ind w:left="45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156BF3">
        <w:rPr>
          <w:rFonts w:ascii="Times New Roman" w:hAnsi="Times New Roman"/>
          <w:sz w:val="24"/>
          <w:szCs w:val="24"/>
          <w:lang w:val="sq-AL"/>
        </w:rPr>
        <w:t xml:space="preserve">Referenca tek Plani Kombëtar për Integrimin Evropian: </w:t>
      </w:r>
      <w:bookmarkStart w:id="0" w:name="_GoBack"/>
      <w:r w:rsidR="001E3166" w:rsidRPr="00156BF3">
        <w:rPr>
          <w:rFonts w:ascii="Times New Roman" w:hAnsi="Times New Roman"/>
          <w:sz w:val="24"/>
          <w:szCs w:val="24"/>
          <w:lang w:val="sq-AL"/>
        </w:rPr>
        <w:t>PKIE 2023-2025</w:t>
      </w:r>
      <w:r w:rsidR="00156BF3" w:rsidRPr="00156BF3">
        <w:rPr>
          <w:rFonts w:ascii="Times New Roman" w:hAnsi="Times New Roman"/>
          <w:sz w:val="24"/>
          <w:szCs w:val="24"/>
          <w:lang w:val="sq-AL"/>
        </w:rPr>
        <w:t xml:space="preserve"> </w:t>
      </w:r>
      <w:bookmarkEnd w:id="0"/>
    </w:p>
    <w:p w:rsidR="00156BF3" w:rsidRPr="00156BF3" w:rsidRDefault="00156BF3" w:rsidP="00156BF3">
      <w:pPr>
        <w:pStyle w:val="BodyText"/>
        <w:tabs>
          <w:tab w:val="left" w:pos="450"/>
        </w:tabs>
        <w:spacing w:after="0"/>
        <w:ind w:left="45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5579E9" w:rsidRPr="002B2AA4" w:rsidRDefault="005579E9" w:rsidP="005579E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:rsidR="005579E9" w:rsidRPr="002B2AA4" w:rsidRDefault="005579E9" w:rsidP="00A30622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:rsidR="005579E9" w:rsidRPr="002B2AA4" w:rsidRDefault="005579E9" w:rsidP="00A30622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C46368" w:rsidRDefault="005579E9" w:rsidP="00A3062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Konsultimi paraprak i këtij projekt</w:t>
      </w:r>
      <w:r w:rsidR="0057008A">
        <w:rPr>
          <w:rFonts w:ascii="Times New Roman" w:hAnsi="Times New Roman"/>
          <w:sz w:val="24"/>
          <w:szCs w:val="24"/>
          <w:lang w:val="sq-AL"/>
        </w:rPr>
        <w:t xml:space="preserve">vendimi 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ka nisur </w:t>
      </w:r>
      <w:r w:rsidR="0057008A">
        <w:rPr>
          <w:rFonts w:ascii="Times New Roman" w:hAnsi="Times New Roman"/>
          <w:sz w:val="24"/>
          <w:szCs w:val="24"/>
          <w:lang w:val="sq-AL"/>
        </w:rPr>
        <w:t xml:space="preserve">me datë </w:t>
      </w:r>
      <w:r w:rsidR="00C46368">
        <w:rPr>
          <w:rFonts w:ascii="Times New Roman" w:hAnsi="Times New Roman"/>
          <w:b/>
          <w:sz w:val="24"/>
          <w:szCs w:val="24"/>
          <w:lang w:val="sq-AL"/>
        </w:rPr>
        <w:t>10</w:t>
      </w:r>
      <w:r w:rsidR="00C46368" w:rsidRPr="00C46368">
        <w:rPr>
          <w:rFonts w:ascii="Times New Roman" w:hAnsi="Times New Roman"/>
          <w:b/>
          <w:sz w:val="24"/>
          <w:szCs w:val="24"/>
          <w:lang w:val="sq-AL"/>
        </w:rPr>
        <w:t>.06.2022</w:t>
      </w:r>
      <w:r w:rsidR="00C46368">
        <w:rPr>
          <w:rFonts w:ascii="Times New Roman" w:hAnsi="Times New Roman"/>
          <w:sz w:val="24"/>
          <w:szCs w:val="24"/>
          <w:lang w:val="sq-AL"/>
        </w:rPr>
        <w:t>, q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 w:rsidR="00C46368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 w:rsidR="00C46368">
        <w:rPr>
          <w:rFonts w:ascii="Times New Roman" w:hAnsi="Times New Roman"/>
          <w:sz w:val="24"/>
          <w:szCs w:val="24"/>
          <w:lang w:val="sq-AL"/>
        </w:rPr>
        <w:t xml:space="preserve"> faz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 w:rsidR="00C46368">
        <w:rPr>
          <w:rFonts w:ascii="Times New Roman" w:hAnsi="Times New Roman"/>
          <w:sz w:val="24"/>
          <w:szCs w:val="24"/>
          <w:lang w:val="sq-AL"/>
        </w:rPr>
        <w:t>n e hartimit t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 w:rsidR="00C46368">
        <w:rPr>
          <w:rFonts w:ascii="Times New Roman" w:hAnsi="Times New Roman"/>
          <w:sz w:val="24"/>
          <w:szCs w:val="24"/>
          <w:lang w:val="sq-AL"/>
        </w:rPr>
        <w:t xml:space="preserve"> draftit fillestar dhe komentet/sugjerimet jan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 w:rsidR="00C46368">
        <w:rPr>
          <w:rFonts w:ascii="Times New Roman" w:hAnsi="Times New Roman"/>
          <w:sz w:val="24"/>
          <w:szCs w:val="24"/>
          <w:lang w:val="sq-AL"/>
        </w:rPr>
        <w:t xml:space="preserve"> finalizuar n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 w:rsidR="00C46368">
        <w:rPr>
          <w:rFonts w:ascii="Times New Roman" w:hAnsi="Times New Roman"/>
          <w:sz w:val="24"/>
          <w:szCs w:val="24"/>
          <w:lang w:val="sq-AL"/>
        </w:rPr>
        <w:t xml:space="preserve"> versionin e par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 w:rsidR="00C46368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 w:rsidR="00C46368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 w:rsidR="00C46368">
        <w:rPr>
          <w:rFonts w:ascii="Times New Roman" w:hAnsi="Times New Roman"/>
          <w:sz w:val="24"/>
          <w:szCs w:val="24"/>
          <w:lang w:val="sq-AL"/>
        </w:rPr>
        <w:t>tij dokumenti.</w:t>
      </w:r>
    </w:p>
    <w:p w:rsidR="00217ABC" w:rsidRPr="00217ABC" w:rsidRDefault="00C46368" w:rsidP="00A3062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57008A" w:rsidRPr="00A30622">
        <w:rPr>
          <w:rFonts w:ascii="Times New Roman" w:hAnsi="Times New Roman"/>
          <w:b/>
          <w:sz w:val="24"/>
          <w:szCs w:val="24"/>
          <w:lang w:val="sq-AL"/>
        </w:rPr>
        <w:t>30.08.2022</w:t>
      </w:r>
      <w:r w:rsidR="0057008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2F529F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dërguar Strategjia </w:t>
      </w:r>
      <w:r w:rsidR="005579E9" w:rsidRPr="002B2AA4">
        <w:rPr>
          <w:rFonts w:ascii="Times New Roman" w:hAnsi="Times New Roman"/>
          <w:sz w:val="24"/>
          <w:szCs w:val="24"/>
          <w:lang w:val="sq-AL"/>
        </w:rPr>
        <w:t xml:space="preserve">për </w:t>
      </w:r>
      <w:r w:rsidR="00217ABC">
        <w:rPr>
          <w:rFonts w:ascii="Times New Roman" w:hAnsi="Times New Roman"/>
          <w:sz w:val="24"/>
          <w:szCs w:val="24"/>
          <w:lang w:val="sq-AL"/>
        </w:rPr>
        <w:t xml:space="preserve">mendim dhe </w:t>
      </w:r>
      <w:r w:rsidR="0057008A">
        <w:rPr>
          <w:rFonts w:ascii="Times New Roman" w:hAnsi="Times New Roman"/>
          <w:sz w:val="24"/>
          <w:szCs w:val="24"/>
          <w:lang w:val="sq-AL"/>
        </w:rPr>
        <w:t>komente</w:t>
      </w:r>
      <w:r w:rsidR="00217ABC">
        <w:rPr>
          <w:rFonts w:ascii="Times New Roman" w:hAnsi="Times New Roman"/>
          <w:sz w:val="24"/>
          <w:szCs w:val="24"/>
          <w:lang w:val="sq-AL"/>
        </w:rPr>
        <w:t xml:space="preserve"> teknike</w:t>
      </w:r>
      <w:r w:rsidR="00A30622">
        <w:rPr>
          <w:rFonts w:ascii="Times New Roman" w:hAnsi="Times New Roman"/>
          <w:sz w:val="24"/>
          <w:szCs w:val="24"/>
          <w:lang w:val="sq-AL"/>
        </w:rPr>
        <w:t xml:space="preserve"> në m</w:t>
      </w:r>
      <w:r w:rsidR="0057008A">
        <w:rPr>
          <w:rFonts w:ascii="Times New Roman" w:hAnsi="Times New Roman"/>
          <w:sz w:val="24"/>
          <w:szCs w:val="24"/>
          <w:lang w:val="sq-AL"/>
        </w:rPr>
        <w:t>inistrit</w:t>
      </w:r>
      <w:r w:rsidR="005579E9" w:rsidRPr="002B2AA4">
        <w:rPr>
          <w:rFonts w:ascii="Times New Roman" w:hAnsi="Times New Roman"/>
          <w:sz w:val="24"/>
          <w:szCs w:val="24"/>
          <w:lang w:val="sq-AL"/>
        </w:rPr>
        <w:t>ë e</w:t>
      </w:r>
      <w:r w:rsidR="0057008A">
        <w:rPr>
          <w:rFonts w:ascii="Times New Roman" w:hAnsi="Times New Roman"/>
          <w:sz w:val="24"/>
          <w:szCs w:val="24"/>
          <w:lang w:val="sq-AL"/>
        </w:rPr>
        <w:t xml:space="preserve"> linjës dhe institucionet që kanë qenë pjesë e Grupit Ndërinstitucional të Punës, konkretisht </w:t>
      </w:r>
      <w:r w:rsidR="00217ABC">
        <w:rPr>
          <w:rFonts w:ascii="Times New Roman" w:hAnsi="Times New Roman"/>
          <w:sz w:val="24"/>
          <w:szCs w:val="24"/>
          <w:lang w:val="sq-AL"/>
        </w:rPr>
        <w:t>Ministrisë së B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rendshme</w:t>
      </w:r>
      <w:r w:rsidR="00217ABC">
        <w:rPr>
          <w:rFonts w:ascii="Times New Roman" w:hAnsi="Times New Roman"/>
          <w:sz w:val="24"/>
          <w:szCs w:val="24"/>
          <w:lang w:val="sq-AL"/>
        </w:rPr>
        <w:t>, Ministrisë për Evropën dhe P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unët e </w:t>
      </w:r>
      <w:r w:rsidR="00217ABC">
        <w:rPr>
          <w:rFonts w:ascii="Times New Roman" w:hAnsi="Times New Roman"/>
          <w:sz w:val="24"/>
          <w:szCs w:val="24"/>
          <w:lang w:val="sq-AL"/>
        </w:rPr>
        <w:t>J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ashtme</w:t>
      </w:r>
      <w:r w:rsidR="00217ABC">
        <w:rPr>
          <w:rFonts w:ascii="Times New Roman" w:hAnsi="Times New Roman"/>
          <w:sz w:val="24"/>
          <w:szCs w:val="24"/>
          <w:lang w:val="sq-AL"/>
        </w:rPr>
        <w:t>, M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inistrisë </w:t>
      </w:r>
      <w:r w:rsidR="00217ABC">
        <w:rPr>
          <w:rFonts w:ascii="Times New Roman" w:hAnsi="Times New Roman"/>
          <w:sz w:val="24"/>
          <w:szCs w:val="24"/>
          <w:lang w:val="sq-AL"/>
        </w:rPr>
        <w:t>së Financave dhe E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konomisë</w:t>
      </w:r>
      <w:r w:rsidR="00217ABC">
        <w:rPr>
          <w:rFonts w:ascii="Times New Roman" w:hAnsi="Times New Roman"/>
          <w:sz w:val="24"/>
          <w:szCs w:val="24"/>
          <w:lang w:val="sq-AL"/>
        </w:rPr>
        <w:t>, M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inistrisë së </w:t>
      </w:r>
      <w:r w:rsidR="00217ABC">
        <w:rPr>
          <w:rFonts w:ascii="Times New Roman" w:hAnsi="Times New Roman"/>
          <w:sz w:val="24"/>
          <w:szCs w:val="24"/>
          <w:lang w:val="sq-AL"/>
        </w:rPr>
        <w:t>I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nfrastrukturës dhe </w:t>
      </w:r>
      <w:r w:rsidR="00217ABC">
        <w:rPr>
          <w:rFonts w:ascii="Times New Roman" w:hAnsi="Times New Roman"/>
          <w:sz w:val="24"/>
          <w:szCs w:val="24"/>
          <w:lang w:val="sq-AL"/>
        </w:rPr>
        <w:t>E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nergjisë</w:t>
      </w:r>
      <w:r w:rsidR="00217ABC">
        <w:rPr>
          <w:rFonts w:ascii="Times New Roman" w:hAnsi="Times New Roman"/>
          <w:sz w:val="24"/>
          <w:szCs w:val="24"/>
          <w:lang w:val="sq-AL"/>
        </w:rPr>
        <w:t>, Ministrisë së B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ujqësisë dhe </w:t>
      </w:r>
      <w:r w:rsidR="00217ABC">
        <w:rPr>
          <w:rFonts w:ascii="Times New Roman" w:hAnsi="Times New Roman"/>
          <w:sz w:val="24"/>
          <w:szCs w:val="24"/>
          <w:lang w:val="sq-AL"/>
        </w:rPr>
        <w:t>Zhvillimit R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ural</w:t>
      </w:r>
      <w:r w:rsidR="00217ABC">
        <w:rPr>
          <w:rFonts w:ascii="Times New Roman" w:hAnsi="Times New Roman"/>
          <w:sz w:val="24"/>
          <w:szCs w:val="24"/>
          <w:lang w:val="sq-AL"/>
        </w:rPr>
        <w:t>, Ministrisë së A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rsimit</w:t>
      </w:r>
      <w:r w:rsidR="00217ABC">
        <w:rPr>
          <w:rFonts w:ascii="Times New Roman" w:hAnsi="Times New Roman"/>
          <w:sz w:val="24"/>
          <w:szCs w:val="24"/>
          <w:lang w:val="sq-AL"/>
        </w:rPr>
        <w:t xml:space="preserve"> dhe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17ABC">
        <w:rPr>
          <w:rFonts w:ascii="Times New Roman" w:hAnsi="Times New Roman"/>
          <w:sz w:val="24"/>
          <w:szCs w:val="24"/>
          <w:lang w:val="sq-AL"/>
        </w:rPr>
        <w:t>S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portit</w:t>
      </w:r>
      <w:r w:rsidR="00217ABC">
        <w:rPr>
          <w:rFonts w:ascii="Times New Roman" w:hAnsi="Times New Roman"/>
          <w:sz w:val="24"/>
          <w:szCs w:val="24"/>
          <w:lang w:val="sq-AL"/>
        </w:rPr>
        <w:t>, Ministrisë së S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hëndetësisë dhe </w:t>
      </w:r>
      <w:r w:rsidR="00217ABC">
        <w:rPr>
          <w:rFonts w:ascii="Times New Roman" w:hAnsi="Times New Roman"/>
          <w:sz w:val="24"/>
          <w:szCs w:val="24"/>
          <w:lang w:val="sq-AL"/>
        </w:rPr>
        <w:t>Mbrojtjes S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ociale</w:t>
      </w:r>
      <w:r w:rsidR="00217ABC">
        <w:rPr>
          <w:rFonts w:ascii="Times New Roman" w:hAnsi="Times New Roman"/>
          <w:sz w:val="24"/>
          <w:szCs w:val="24"/>
          <w:lang w:val="sq-AL"/>
        </w:rPr>
        <w:t>, M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inistrisë së </w:t>
      </w:r>
      <w:r w:rsidR="00217ABC">
        <w:rPr>
          <w:rFonts w:ascii="Times New Roman" w:hAnsi="Times New Roman"/>
          <w:sz w:val="24"/>
          <w:szCs w:val="24"/>
          <w:lang w:val="sq-AL"/>
        </w:rPr>
        <w:t>T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urizmit dhe </w:t>
      </w:r>
      <w:r w:rsidR="00217ABC">
        <w:rPr>
          <w:rFonts w:ascii="Times New Roman" w:hAnsi="Times New Roman"/>
          <w:sz w:val="24"/>
          <w:szCs w:val="24"/>
          <w:lang w:val="sq-AL"/>
        </w:rPr>
        <w:t>M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jedisit</w:t>
      </w:r>
      <w:r w:rsidR="00217ABC">
        <w:rPr>
          <w:rFonts w:ascii="Times New Roman" w:hAnsi="Times New Roman"/>
          <w:sz w:val="24"/>
          <w:szCs w:val="24"/>
          <w:lang w:val="sq-AL"/>
        </w:rPr>
        <w:t>, M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inistrisë së </w:t>
      </w:r>
      <w:r w:rsidR="00217ABC">
        <w:rPr>
          <w:rFonts w:ascii="Times New Roman" w:hAnsi="Times New Roman"/>
          <w:sz w:val="24"/>
          <w:szCs w:val="24"/>
          <w:lang w:val="sq-AL"/>
        </w:rPr>
        <w:t>D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rejtësisë</w:t>
      </w:r>
      <w:r w:rsidR="00217ABC">
        <w:rPr>
          <w:rFonts w:ascii="Times New Roman" w:hAnsi="Times New Roman"/>
          <w:sz w:val="24"/>
          <w:szCs w:val="24"/>
          <w:lang w:val="sq-AL"/>
        </w:rPr>
        <w:t>, M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inistrisë së </w:t>
      </w:r>
      <w:r w:rsidR="00217ABC">
        <w:rPr>
          <w:rFonts w:ascii="Times New Roman" w:hAnsi="Times New Roman"/>
          <w:sz w:val="24"/>
          <w:szCs w:val="24"/>
          <w:lang w:val="sq-AL"/>
        </w:rPr>
        <w:t>K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ulturës</w:t>
      </w:r>
      <w:r w:rsidR="00A30622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217ABC">
        <w:rPr>
          <w:rFonts w:ascii="Times New Roman" w:hAnsi="Times New Roman"/>
          <w:sz w:val="24"/>
          <w:szCs w:val="24"/>
          <w:lang w:val="sq-AL"/>
        </w:rPr>
        <w:t>Kabinetit të M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inistrit të </w:t>
      </w:r>
      <w:r w:rsidR="00217ABC">
        <w:rPr>
          <w:rFonts w:ascii="Times New Roman" w:hAnsi="Times New Roman"/>
          <w:sz w:val="24"/>
          <w:szCs w:val="24"/>
          <w:lang w:val="sq-AL"/>
        </w:rPr>
        <w:t>S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htetit për </w:t>
      </w:r>
      <w:r w:rsidR="00217ABC">
        <w:rPr>
          <w:rFonts w:ascii="Times New Roman" w:hAnsi="Times New Roman"/>
          <w:sz w:val="24"/>
          <w:szCs w:val="24"/>
          <w:lang w:val="sq-AL"/>
        </w:rPr>
        <w:t>R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indërtimin</w:t>
      </w:r>
      <w:r w:rsidR="00217ABC">
        <w:rPr>
          <w:rFonts w:ascii="Times New Roman" w:hAnsi="Times New Roman"/>
          <w:sz w:val="24"/>
          <w:szCs w:val="24"/>
          <w:lang w:val="sq-AL"/>
        </w:rPr>
        <w:t>, A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 xml:space="preserve">gjencisë së </w:t>
      </w:r>
      <w:r w:rsidR="00217ABC">
        <w:rPr>
          <w:rFonts w:ascii="Times New Roman" w:hAnsi="Times New Roman"/>
          <w:sz w:val="24"/>
          <w:szCs w:val="24"/>
          <w:lang w:val="sq-AL"/>
        </w:rPr>
        <w:t>Menaxhimit të Burimeve U</w:t>
      </w:r>
      <w:r w:rsidR="00217ABC" w:rsidRPr="00217ABC">
        <w:rPr>
          <w:rFonts w:ascii="Times New Roman" w:hAnsi="Times New Roman"/>
          <w:sz w:val="24"/>
          <w:szCs w:val="24"/>
          <w:lang w:val="sq-AL"/>
        </w:rPr>
        <w:t>jore</w:t>
      </w:r>
    </w:p>
    <w:p w:rsidR="00A30622" w:rsidRDefault="00217ABC" w:rsidP="00A3062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I</w:t>
      </w:r>
      <w:r w:rsidRPr="00217ABC">
        <w:rPr>
          <w:rFonts w:ascii="Times New Roman" w:hAnsi="Times New Roman"/>
          <w:sz w:val="24"/>
          <w:szCs w:val="24"/>
          <w:lang w:val="sq-AL"/>
        </w:rPr>
        <w:t xml:space="preserve">nstitutit të </w:t>
      </w:r>
      <w:r>
        <w:rPr>
          <w:rFonts w:ascii="Times New Roman" w:hAnsi="Times New Roman"/>
          <w:sz w:val="24"/>
          <w:szCs w:val="24"/>
          <w:lang w:val="sq-AL"/>
        </w:rPr>
        <w:t>G</w:t>
      </w:r>
      <w:r w:rsidRPr="00217ABC">
        <w:rPr>
          <w:rFonts w:ascii="Times New Roman" w:hAnsi="Times New Roman"/>
          <w:sz w:val="24"/>
          <w:szCs w:val="24"/>
          <w:lang w:val="sq-AL"/>
        </w:rPr>
        <w:t>jeoshkencave</w:t>
      </w:r>
      <w:r>
        <w:rPr>
          <w:rFonts w:ascii="Times New Roman" w:hAnsi="Times New Roman"/>
          <w:sz w:val="24"/>
          <w:szCs w:val="24"/>
          <w:lang w:val="sq-AL"/>
        </w:rPr>
        <w:t>, S</w:t>
      </w:r>
      <w:r w:rsidRPr="00217ABC">
        <w:rPr>
          <w:rFonts w:ascii="Times New Roman" w:hAnsi="Times New Roman"/>
          <w:sz w:val="24"/>
          <w:szCs w:val="24"/>
          <w:lang w:val="sq-AL"/>
        </w:rPr>
        <w:t xml:space="preserve">hërbimit </w:t>
      </w:r>
      <w:r>
        <w:rPr>
          <w:rFonts w:ascii="Times New Roman" w:hAnsi="Times New Roman"/>
          <w:sz w:val="24"/>
          <w:szCs w:val="24"/>
          <w:lang w:val="sq-AL"/>
        </w:rPr>
        <w:t>G</w:t>
      </w:r>
      <w:r w:rsidRPr="00217ABC">
        <w:rPr>
          <w:rFonts w:ascii="Times New Roman" w:hAnsi="Times New Roman"/>
          <w:sz w:val="24"/>
          <w:szCs w:val="24"/>
          <w:lang w:val="sq-AL"/>
        </w:rPr>
        <w:t xml:space="preserve">jeologjik 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Pr="00217ABC">
        <w:rPr>
          <w:rFonts w:ascii="Times New Roman" w:hAnsi="Times New Roman"/>
          <w:sz w:val="24"/>
          <w:szCs w:val="24"/>
          <w:lang w:val="sq-AL"/>
        </w:rPr>
        <w:t>hqiptar</w:t>
      </w:r>
      <w:r>
        <w:rPr>
          <w:rFonts w:ascii="Times New Roman" w:hAnsi="Times New Roman"/>
          <w:sz w:val="24"/>
          <w:szCs w:val="24"/>
          <w:lang w:val="sq-AL"/>
        </w:rPr>
        <w:t>, A</w:t>
      </w:r>
      <w:r w:rsidRPr="00217ABC">
        <w:rPr>
          <w:rFonts w:ascii="Times New Roman" w:hAnsi="Times New Roman"/>
          <w:sz w:val="24"/>
          <w:szCs w:val="24"/>
          <w:lang w:val="sq-AL"/>
        </w:rPr>
        <w:t xml:space="preserve">gjencisë </w:t>
      </w:r>
      <w:r>
        <w:rPr>
          <w:rFonts w:ascii="Times New Roman" w:hAnsi="Times New Roman"/>
          <w:sz w:val="24"/>
          <w:szCs w:val="24"/>
          <w:lang w:val="sq-AL"/>
        </w:rPr>
        <w:t>K</w:t>
      </w:r>
      <w:r w:rsidRPr="00217ABC">
        <w:rPr>
          <w:rFonts w:ascii="Times New Roman" w:hAnsi="Times New Roman"/>
          <w:sz w:val="24"/>
          <w:szCs w:val="24"/>
          <w:lang w:val="sq-AL"/>
        </w:rPr>
        <w:t xml:space="preserve">ombëtare të </w:t>
      </w:r>
      <w:r>
        <w:rPr>
          <w:rFonts w:ascii="Times New Roman" w:hAnsi="Times New Roman"/>
          <w:sz w:val="24"/>
          <w:szCs w:val="24"/>
          <w:lang w:val="sq-AL"/>
        </w:rPr>
        <w:t>P</w:t>
      </w:r>
      <w:r w:rsidRPr="00217ABC">
        <w:rPr>
          <w:rFonts w:ascii="Times New Roman" w:hAnsi="Times New Roman"/>
          <w:sz w:val="24"/>
          <w:szCs w:val="24"/>
          <w:lang w:val="sq-AL"/>
        </w:rPr>
        <w:t xml:space="preserve">lanifikimit të 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Pr="00217ABC">
        <w:rPr>
          <w:rFonts w:ascii="Times New Roman" w:hAnsi="Times New Roman"/>
          <w:sz w:val="24"/>
          <w:szCs w:val="24"/>
          <w:lang w:val="sq-AL"/>
        </w:rPr>
        <w:t>erritorit</w:t>
      </w:r>
      <w:r>
        <w:rPr>
          <w:rFonts w:ascii="Times New Roman" w:hAnsi="Times New Roman"/>
          <w:sz w:val="24"/>
          <w:szCs w:val="24"/>
          <w:lang w:val="sq-AL"/>
        </w:rPr>
        <w:t>, Institutit të S</w:t>
      </w:r>
      <w:r w:rsidRPr="00217ABC">
        <w:rPr>
          <w:rFonts w:ascii="Times New Roman" w:hAnsi="Times New Roman"/>
          <w:sz w:val="24"/>
          <w:szCs w:val="24"/>
          <w:lang w:val="sq-AL"/>
        </w:rPr>
        <w:t xml:space="preserve">hëndetit </w:t>
      </w:r>
      <w:r>
        <w:rPr>
          <w:rFonts w:ascii="Times New Roman" w:hAnsi="Times New Roman"/>
          <w:sz w:val="24"/>
          <w:szCs w:val="24"/>
          <w:lang w:val="sq-AL"/>
        </w:rPr>
        <w:t>P</w:t>
      </w:r>
      <w:r w:rsidRPr="00217ABC">
        <w:rPr>
          <w:rFonts w:ascii="Times New Roman" w:hAnsi="Times New Roman"/>
          <w:sz w:val="24"/>
          <w:szCs w:val="24"/>
          <w:lang w:val="sq-AL"/>
        </w:rPr>
        <w:t>ublik</w:t>
      </w:r>
      <w:r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:rsidR="00A30622" w:rsidRDefault="00A30622" w:rsidP="00217ABC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579E9" w:rsidRPr="00217ABC" w:rsidRDefault="00217ABC" w:rsidP="00217AB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Njëkohësisht dokumenti </w:t>
      </w:r>
      <w:r w:rsidR="00E515A1" w:rsidRPr="002B2AA4">
        <w:rPr>
          <w:rFonts w:ascii="Times New Roman" w:hAnsi="Times New Roman"/>
          <w:sz w:val="24"/>
          <w:szCs w:val="24"/>
          <w:lang w:val="sq-AL"/>
        </w:rPr>
        <w:t>u publikua në RENJK</w:t>
      </w:r>
      <w:r w:rsidR="005579E9" w:rsidRPr="002B2AA4">
        <w:rPr>
          <w:rFonts w:ascii="Times New Roman" w:hAnsi="Times New Roman"/>
          <w:sz w:val="24"/>
          <w:szCs w:val="24"/>
          <w:lang w:val="sq-AL"/>
        </w:rPr>
        <w:t xml:space="preserve"> më </w:t>
      </w:r>
      <w:r w:rsidR="00D358C1" w:rsidRPr="002F529F">
        <w:rPr>
          <w:rFonts w:ascii="Times New Roman" w:hAnsi="Times New Roman"/>
          <w:b/>
          <w:sz w:val="24"/>
          <w:szCs w:val="24"/>
          <w:lang w:val="sq-AL"/>
        </w:rPr>
        <w:t>8.09.2022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217ABC">
        <w:rPr>
          <w:rFonts w:ascii="Times New Roman" w:hAnsi="Times New Roman"/>
          <w:sz w:val="24"/>
          <w:szCs w:val="24"/>
          <w:lang w:val="sq-AL"/>
        </w:rPr>
        <w:t>për marrjen e komenteve dhe rekomandimeve ng</w:t>
      </w:r>
      <w:r w:rsidR="00634AFD">
        <w:rPr>
          <w:rFonts w:ascii="Times New Roman" w:hAnsi="Times New Roman"/>
          <w:sz w:val="24"/>
          <w:szCs w:val="24"/>
          <w:lang w:val="sq-AL"/>
        </w:rPr>
        <w:t xml:space="preserve">a qytetarët dhe shoqëria civile deri me </w:t>
      </w:r>
      <w:r w:rsidR="00634AFD" w:rsidRPr="002F529F">
        <w:rPr>
          <w:rFonts w:ascii="Times New Roman" w:hAnsi="Times New Roman"/>
          <w:b/>
          <w:sz w:val="24"/>
          <w:szCs w:val="24"/>
          <w:lang w:val="sq-AL"/>
        </w:rPr>
        <w:t>28.09.2022</w:t>
      </w:r>
      <w:r w:rsidR="00634AFD" w:rsidRPr="00C46368">
        <w:rPr>
          <w:rFonts w:ascii="Times New Roman" w:hAnsi="Times New Roman"/>
          <w:sz w:val="24"/>
          <w:szCs w:val="24"/>
          <w:lang w:val="sq-AL"/>
        </w:rPr>
        <w:t>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579E9" w:rsidRPr="002B2AA4" w:rsidRDefault="005579E9" w:rsidP="005579E9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579E9" w:rsidRPr="002B2AA4" w:rsidRDefault="005579E9" w:rsidP="005579E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579E9" w:rsidRPr="002B2AA4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Nëpërmjet RENJK:</w:t>
      </w:r>
    </w:p>
    <w:p w:rsidR="005579E9" w:rsidRPr="002B2AA4" w:rsidRDefault="005579E9" w:rsidP="005579E9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Me publikimin në RENJK (</w:t>
      </w:r>
      <w:hyperlink r:id="rId5" w:history="1">
        <w:r w:rsidR="00873B7D" w:rsidRPr="00545263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https://konsultimipublik.gov.al/Konsultime/Detaje/509</w:t>
        </w:r>
      </w:hyperlink>
      <w:r w:rsidR="00873B7D">
        <w:rPr>
          <w:rFonts w:ascii="Times New Roman" w:eastAsiaTheme="majorEastAsia" w:hAnsi="Times New Roman"/>
          <w:sz w:val="24"/>
          <w:szCs w:val="24"/>
          <w:lang w:val="sq-AL"/>
        </w:rPr>
        <w:t xml:space="preserve"> 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), u vendos një afat </w:t>
      </w:r>
      <w:r w:rsidR="00873B7D">
        <w:rPr>
          <w:rFonts w:ascii="Times New Roman" w:hAnsi="Times New Roman"/>
          <w:sz w:val="24"/>
          <w:szCs w:val="24"/>
          <w:lang w:val="sq-AL"/>
        </w:rPr>
        <w:t>20</w:t>
      </w:r>
      <w:r w:rsidRPr="002B2AA4">
        <w:rPr>
          <w:rFonts w:ascii="Times New Roman" w:hAnsi="Times New Roman"/>
          <w:sz w:val="24"/>
          <w:szCs w:val="24"/>
          <w:lang w:val="sq-AL"/>
        </w:rPr>
        <w:t xml:space="preserve"> ditor për dhënien e sugjerimev</w:t>
      </w:r>
      <w:r w:rsidR="00D358C1">
        <w:rPr>
          <w:rFonts w:ascii="Times New Roman" w:hAnsi="Times New Roman"/>
          <w:sz w:val="24"/>
          <w:szCs w:val="24"/>
          <w:lang w:val="sq-AL"/>
        </w:rPr>
        <w:t>e/komenteve mbi draftin e dokumentit</w:t>
      </w:r>
      <w:r w:rsidRPr="002B2AA4">
        <w:rPr>
          <w:rFonts w:ascii="Times New Roman" w:hAnsi="Times New Roman"/>
          <w:sz w:val="24"/>
          <w:szCs w:val="24"/>
          <w:lang w:val="sq-AL"/>
        </w:rPr>
        <w:t>, të cilat mblidhen nga personat përgjegjës dhe vlerësohen më tej.</w:t>
      </w:r>
    </w:p>
    <w:p w:rsidR="005579E9" w:rsidRPr="002B2AA4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emailit: </w:t>
      </w:r>
      <w:hyperlink r:id="rId6" w:history="1">
        <w:r w:rsidRPr="002B2AA4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2B2AA4">
        <w:rPr>
          <w:rFonts w:ascii="Times New Roman" w:hAnsi="Times New Roman"/>
          <w:sz w:val="24"/>
          <w:szCs w:val="24"/>
          <w:lang w:val="sq-AL"/>
        </w:rPr>
        <w:t>:</w:t>
      </w:r>
    </w:p>
    <w:p w:rsidR="005579E9" w:rsidRPr="002B2AA4" w:rsidRDefault="005579E9" w:rsidP="005579E9">
      <w:pPr>
        <w:pStyle w:val="BodyText"/>
        <w:tabs>
          <w:tab w:val="clear" w:pos="567"/>
          <w:tab w:val="left" w:pos="720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Me qëllim lehtësimin e dhënies së komenteve/sugjerimeve nga çdo i interesuar, në faqen zyrtare të Ministrisë së Mbrojtjes, në rubrikën e dedikuar për konsultimin publik, krahas drafteve të projektligjit është vënë në dispozicion edhe një adresë elektronike.</w:t>
      </w:r>
    </w:p>
    <w:p w:rsidR="005579E9" w:rsidRPr="002B2AA4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Tiranë”:</w:t>
      </w:r>
    </w:p>
    <w:p w:rsidR="005579E9" w:rsidRPr="002B2AA4" w:rsidRDefault="005579E9" w:rsidP="005579E9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>Çdo palë e interesuar mund të dërgojë në formë shkresore, në adresë të Ministrisë së Mbrojtjes të gjitha komentet/sugjerimet mbi përmbajtjen e projektligjit.</w:t>
      </w:r>
    </w:p>
    <w:p w:rsidR="005579E9" w:rsidRPr="002B2AA4" w:rsidRDefault="005579E9" w:rsidP="005579E9">
      <w:pPr>
        <w:pStyle w:val="BodyTex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sz w:val="24"/>
          <w:szCs w:val="24"/>
          <w:lang w:val="sq-AL"/>
        </w:rPr>
        <w:t>Drejtpërdrejtë, nëpërmjet zhvillimit të takimit:</w:t>
      </w:r>
    </w:p>
    <w:p w:rsidR="00504A28" w:rsidRDefault="00A30622" w:rsidP="00B02836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M</w:t>
      </w:r>
      <w:r w:rsidRPr="00A30622">
        <w:rPr>
          <w:rFonts w:ascii="Times New Roman" w:hAnsi="Times New Roman"/>
          <w:sz w:val="24"/>
          <w:szCs w:val="24"/>
          <w:lang w:val="sq-AL"/>
        </w:rPr>
        <w:t xml:space="preserve">e datë 10.06.2022, </w:t>
      </w:r>
      <w:r w:rsidR="00DE66DA" w:rsidRPr="00DE66DA">
        <w:rPr>
          <w:rFonts w:ascii="Times New Roman" w:hAnsi="Times New Roman"/>
          <w:sz w:val="24"/>
          <w:szCs w:val="24"/>
          <w:lang w:val="sq-AL"/>
        </w:rPr>
        <w:t>ora 10.00</w:t>
      </w:r>
      <w:r w:rsidR="00DE66DA">
        <w:rPr>
          <w:rFonts w:ascii="Times New Roman" w:hAnsi="Times New Roman"/>
          <w:sz w:val="24"/>
          <w:szCs w:val="24"/>
          <w:lang w:val="sq-AL"/>
        </w:rPr>
        <w:t>, në</w:t>
      </w:r>
      <w:r w:rsidR="00DE66DA" w:rsidRPr="00DE66DA">
        <w:rPr>
          <w:rFonts w:ascii="Times New Roman" w:hAnsi="Times New Roman"/>
          <w:sz w:val="24"/>
          <w:szCs w:val="24"/>
          <w:lang w:val="sq-AL"/>
        </w:rPr>
        <w:t xml:space="preserve"> Hotel Tirana International </w:t>
      </w:r>
      <w:r w:rsidR="00DE66DA">
        <w:rPr>
          <w:rFonts w:ascii="Times New Roman" w:hAnsi="Times New Roman"/>
          <w:sz w:val="24"/>
          <w:szCs w:val="24"/>
          <w:lang w:val="sq-AL"/>
        </w:rPr>
        <w:t xml:space="preserve">u zhvillua </w:t>
      </w:r>
      <w:r w:rsidRPr="00A30622">
        <w:rPr>
          <w:rFonts w:ascii="Times New Roman" w:hAnsi="Times New Roman"/>
          <w:sz w:val="24"/>
          <w:szCs w:val="24"/>
          <w:lang w:val="sq-AL"/>
        </w:rPr>
        <w:t xml:space="preserve">takimi </w:t>
      </w:r>
      <w:r w:rsidR="00DE66DA">
        <w:rPr>
          <w:rFonts w:ascii="Times New Roman" w:hAnsi="Times New Roman"/>
          <w:sz w:val="24"/>
          <w:szCs w:val="24"/>
          <w:lang w:val="sq-AL"/>
        </w:rPr>
        <w:t xml:space="preserve">informues dhe konsultues </w:t>
      </w:r>
      <w:r w:rsidRPr="00A30622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DE66DA">
        <w:rPr>
          <w:rFonts w:ascii="Times New Roman" w:hAnsi="Times New Roman"/>
          <w:sz w:val="24"/>
          <w:szCs w:val="24"/>
          <w:lang w:val="sq-AL"/>
        </w:rPr>
        <w:t>grupet e i</w:t>
      </w:r>
      <w:r w:rsidR="00DE66DA" w:rsidRPr="00A30622">
        <w:rPr>
          <w:rFonts w:ascii="Times New Roman" w:hAnsi="Times New Roman"/>
          <w:sz w:val="24"/>
          <w:szCs w:val="24"/>
          <w:lang w:val="sq-AL"/>
        </w:rPr>
        <w:t>nteresit</w:t>
      </w:r>
      <w:r w:rsidR="00DE66DA">
        <w:rPr>
          <w:rFonts w:ascii="Times New Roman" w:hAnsi="Times New Roman"/>
          <w:sz w:val="24"/>
          <w:szCs w:val="24"/>
          <w:lang w:val="sq-AL"/>
        </w:rPr>
        <w:t>,</w:t>
      </w:r>
      <w:r w:rsidR="00DE66DA" w:rsidRPr="00A306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66DA">
        <w:rPr>
          <w:rFonts w:ascii="Times New Roman" w:hAnsi="Times New Roman"/>
          <w:sz w:val="24"/>
          <w:szCs w:val="24"/>
          <w:lang w:val="sq-AL"/>
        </w:rPr>
        <w:t xml:space="preserve">partnerë dhe organizata ndërkombëtare, sektorin privat dhe përfaqësues të shoqërisë civile </w:t>
      </w:r>
      <w:r w:rsidRPr="00A30622">
        <w:rPr>
          <w:rFonts w:ascii="Times New Roman" w:hAnsi="Times New Roman"/>
          <w:sz w:val="24"/>
          <w:szCs w:val="24"/>
          <w:lang w:val="sq-AL"/>
        </w:rPr>
        <w:t xml:space="preserve">për </w:t>
      </w:r>
      <w:r w:rsidR="00DE66DA">
        <w:rPr>
          <w:rFonts w:ascii="Times New Roman" w:hAnsi="Times New Roman"/>
          <w:sz w:val="24"/>
          <w:szCs w:val="24"/>
          <w:lang w:val="sq-AL"/>
        </w:rPr>
        <w:t>prezantimin e procesit të hartimit të</w:t>
      </w:r>
      <w:r w:rsidRPr="00A30622">
        <w:rPr>
          <w:rFonts w:ascii="Times New Roman" w:hAnsi="Times New Roman"/>
          <w:sz w:val="24"/>
          <w:szCs w:val="24"/>
          <w:lang w:val="sq-AL"/>
        </w:rPr>
        <w:t xml:space="preserve"> Strategjisë Kombëtare të Zvogëlimit të Riskut nga Fatkeqësitë dhe Planit të Veprimit (SKZRF)</w:t>
      </w:r>
      <w:r w:rsidR="00DE66DA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504A28">
        <w:rPr>
          <w:rFonts w:ascii="Times New Roman" w:hAnsi="Times New Roman"/>
          <w:sz w:val="24"/>
          <w:szCs w:val="24"/>
          <w:lang w:val="sq-AL"/>
        </w:rPr>
        <w:t xml:space="preserve">Gjithashtu, Agjencia Kombëtare e Mbrojtjes Civile, në cilësinë e institucionit që ka koordinuar dhe administruar procesin e hartimit të Strategjisë Kombëtare për ZRF, ka zhvilluar edhe </w:t>
      </w:r>
      <w:r w:rsidR="002F529F">
        <w:rPr>
          <w:rFonts w:ascii="Times New Roman" w:hAnsi="Times New Roman"/>
          <w:sz w:val="24"/>
          <w:szCs w:val="24"/>
          <w:lang w:val="sq-AL"/>
        </w:rPr>
        <w:t>7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04A28">
        <w:rPr>
          <w:rFonts w:ascii="Times New Roman" w:hAnsi="Times New Roman"/>
          <w:sz w:val="24"/>
          <w:szCs w:val="24"/>
          <w:lang w:val="sq-AL"/>
        </w:rPr>
        <w:t xml:space="preserve">konsultime përmes intervistave/takimeve të pastrukturuara me </w:t>
      </w:r>
      <w:r w:rsidR="00347119">
        <w:rPr>
          <w:rFonts w:ascii="Times New Roman" w:hAnsi="Times New Roman"/>
          <w:sz w:val="24"/>
          <w:szCs w:val="24"/>
          <w:lang w:val="sq-AL"/>
        </w:rPr>
        <w:t>përfaqësues të institucioneve publike dhe donatorë për të identifikuar fushat kryesore të ndërhyrjes.</w:t>
      </w:r>
    </w:p>
    <w:p w:rsidR="00634AFD" w:rsidRPr="002B2AA4" w:rsidRDefault="00634AFD" w:rsidP="00B02836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579E9" w:rsidRPr="002B2AA4" w:rsidRDefault="005579E9" w:rsidP="005579E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:rsidR="00347119" w:rsidRDefault="00347119" w:rsidP="00347119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 xml:space="preserve">Në takimin me Grupet e interesit morën pjesë 20 përfaqësues </w:t>
      </w:r>
      <w:r w:rsidR="00A8749B">
        <w:rPr>
          <w:rFonts w:ascii="Times New Roman" w:hAnsi="Times New Roman"/>
          <w:sz w:val="24"/>
          <w:szCs w:val="24"/>
          <w:lang w:val="sq-AL"/>
        </w:rPr>
        <w:t>të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 listuar si më poshtë vijon:</w:t>
      </w:r>
    </w:p>
    <w:p w:rsidR="00A8749B" w:rsidRPr="00347119" w:rsidRDefault="00A8749B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i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i/>
          <w:sz w:val="24"/>
          <w:szCs w:val="24"/>
          <w:lang w:val="sq-AL"/>
        </w:rPr>
        <w:tab/>
      </w:r>
      <w:r w:rsidRPr="00347119">
        <w:rPr>
          <w:rFonts w:ascii="Times New Roman" w:hAnsi="Times New Roman"/>
          <w:sz w:val="24"/>
          <w:szCs w:val="24"/>
          <w:lang w:val="sq-AL"/>
        </w:rPr>
        <w:t>Kryeministria, Znj. Esmeralda Hasani;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  <w:t>Agjencia Shtetërore e Programimit Strategjik dhe Koordinimit të Ndihmës, Z. Ilir Ciko;</w:t>
      </w:r>
    </w:p>
    <w:p w:rsid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>Delegacioni i BE</w:t>
      </w:r>
      <w:r w:rsidRPr="00347119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Z.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 Hubert Grandjean;</w:t>
      </w:r>
    </w:p>
    <w:p w:rsidR="00A8749B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>
        <w:rPr>
          <w:rFonts w:ascii="Times New Roman" w:hAnsi="Times New Roman"/>
          <w:sz w:val="24"/>
          <w:szCs w:val="24"/>
          <w:lang w:val="sq-AL"/>
        </w:rPr>
        <w:t xml:space="preserve">         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8749B" w:rsidRPr="00347119">
        <w:rPr>
          <w:rFonts w:ascii="Times New Roman" w:hAnsi="Times New Roman"/>
          <w:sz w:val="24"/>
          <w:szCs w:val="24"/>
          <w:lang w:val="sq-AL"/>
        </w:rPr>
        <w:t>Bank</w:t>
      </w:r>
      <w:r w:rsidR="00A8749B">
        <w:rPr>
          <w:rFonts w:ascii="Times New Roman" w:hAnsi="Times New Roman"/>
          <w:sz w:val="24"/>
          <w:szCs w:val="24"/>
          <w:lang w:val="sq-AL"/>
        </w:rPr>
        <w:t>a e Shqipërisë</w:t>
      </w:r>
      <w:r w:rsidR="00A8749B" w:rsidRPr="00347119">
        <w:rPr>
          <w:rFonts w:ascii="Times New Roman" w:hAnsi="Times New Roman"/>
          <w:sz w:val="24"/>
          <w:szCs w:val="24"/>
          <w:lang w:val="sq-AL"/>
        </w:rPr>
        <w:t>,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 Z. </w:t>
      </w:r>
      <w:r w:rsidR="00A8749B" w:rsidRPr="00347119">
        <w:rPr>
          <w:rFonts w:ascii="Times New Roman" w:hAnsi="Times New Roman"/>
          <w:sz w:val="24"/>
          <w:szCs w:val="24"/>
          <w:lang w:val="sq-AL"/>
        </w:rPr>
        <w:t xml:space="preserve">Elton Lloji </w:t>
      </w:r>
    </w:p>
    <w:p w:rsidR="00347119" w:rsidRPr="00347119" w:rsidRDefault="00A8749B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>
        <w:rPr>
          <w:rFonts w:ascii="Times New Roman" w:hAnsi="Times New Roman"/>
          <w:sz w:val="24"/>
          <w:szCs w:val="24"/>
          <w:lang w:val="sq-AL"/>
        </w:rPr>
        <w:t xml:space="preserve">           </w:t>
      </w:r>
      <w:r w:rsidR="00347119" w:rsidRPr="00347119">
        <w:rPr>
          <w:rFonts w:ascii="Times New Roman" w:hAnsi="Times New Roman"/>
          <w:sz w:val="24"/>
          <w:szCs w:val="24"/>
          <w:lang w:val="sq-AL"/>
        </w:rPr>
        <w:t xml:space="preserve">World Bank, Z. Keler Gjika; 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</w:r>
      <w:r w:rsidR="0080049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GIZ</w:t>
      </w:r>
      <w:r w:rsidRPr="00347119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Znj.</w:t>
      </w:r>
      <w:r w:rsidRPr="00347119">
        <w:rPr>
          <w:rFonts w:ascii="Times New Roman" w:hAnsi="Times New Roman"/>
          <w:sz w:val="24"/>
          <w:szCs w:val="24"/>
          <w:lang w:val="sq-AL"/>
        </w:rPr>
        <w:t>Rezarta Ago;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  <w:t>U</w:t>
      </w:r>
      <w:r>
        <w:rPr>
          <w:rFonts w:ascii="Times New Roman" w:hAnsi="Times New Roman"/>
          <w:sz w:val="24"/>
          <w:szCs w:val="24"/>
          <w:lang w:val="sq-AL"/>
        </w:rPr>
        <w:t>NICEF</w:t>
      </w:r>
      <w:r w:rsidRPr="00347119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Znj.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 Mariana Bukli;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  <w:t xml:space="preserve">Sweden Embasy, </w:t>
      </w:r>
      <w:r>
        <w:rPr>
          <w:rFonts w:ascii="Times New Roman" w:hAnsi="Times New Roman"/>
          <w:sz w:val="24"/>
          <w:szCs w:val="24"/>
          <w:lang w:val="sq-AL"/>
        </w:rPr>
        <w:t xml:space="preserve">Znj. </w:t>
      </w:r>
      <w:r w:rsidRPr="00347119">
        <w:rPr>
          <w:rFonts w:ascii="Times New Roman" w:hAnsi="Times New Roman"/>
          <w:sz w:val="24"/>
          <w:szCs w:val="24"/>
          <w:lang w:val="sq-AL"/>
        </w:rPr>
        <w:t>Linda Gjermeni;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  <w:t xml:space="preserve">Austrian Embasy (ADA), </w:t>
      </w:r>
      <w:r>
        <w:rPr>
          <w:rFonts w:ascii="Times New Roman" w:hAnsi="Times New Roman"/>
          <w:sz w:val="24"/>
          <w:szCs w:val="24"/>
          <w:lang w:val="sq-AL"/>
        </w:rPr>
        <w:t>Znj.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Ada Bedini ; 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  <w:t xml:space="preserve">USAID, </w:t>
      </w:r>
      <w:r>
        <w:rPr>
          <w:rFonts w:ascii="Times New Roman" w:hAnsi="Times New Roman"/>
          <w:sz w:val="24"/>
          <w:szCs w:val="24"/>
          <w:lang w:val="sq-AL"/>
        </w:rPr>
        <w:t xml:space="preserve">Znj. 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Alma Kospiri 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>Organizata e Kryqit të Kuq Shqiptar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, </w:t>
      </w:r>
      <w:r>
        <w:rPr>
          <w:rFonts w:ascii="Times New Roman" w:hAnsi="Times New Roman"/>
          <w:sz w:val="24"/>
          <w:szCs w:val="24"/>
          <w:lang w:val="sq-AL"/>
        </w:rPr>
        <w:t xml:space="preserve">Z. 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Fatos Xhengo; 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</w:r>
      <w:r w:rsidR="00A8749B">
        <w:rPr>
          <w:rFonts w:ascii="Times New Roman" w:hAnsi="Times New Roman"/>
          <w:sz w:val="24"/>
          <w:szCs w:val="24"/>
          <w:lang w:val="sq-AL"/>
        </w:rPr>
        <w:t>Fondacioni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World Vizion, 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Z. </w:t>
      </w:r>
      <w:r w:rsidRPr="00347119">
        <w:rPr>
          <w:rFonts w:ascii="Times New Roman" w:hAnsi="Times New Roman"/>
          <w:sz w:val="24"/>
          <w:szCs w:val="24"/>
          <w:lang w:val="sq-AL"/>
        </w:rPr>
        <w:t>Endri Teta 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lastRenderedPageBreak/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  <w:t xml:space="preserve">UN Woman, 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Znj. </w:t>
      </w:r>
      <w:r w:rsidRPr="00347119">
        <w:rPr>
          <w:rFonts w:ascii="Times New Roman" w:hAnsi="Times New Roman"/>
          <w:sz w:val="24"/>
          <w:szCs w:val="24"/>
          <w:lang w:val="sq-AL"/>
        </w:rPr>
        <w:t>Irena Shtraza;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  <w:t>FAO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 Shqipëri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Z. </w:t>
      </w:r>
      <w:r w:rsidRPr="00347119">
        <w:rPr>
          <w:rFonts w:ascii="Times New Roman" w:hAnsi="Times New Roman"/>
          <w:sz w:val="24"/>
          <w:szCs w:val="24"/>
          <w:lang w:val="sq-AL"/>
        </w:rPr>
        <w:t>Agim Pepkoli 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</w:r>
      <w:r w:rsidR="00A8749B">
        <w:rPr>
          <w:rFonts w:ascii="Times New Roman" w:hAnsi="Times New Roman"/>
          <w:sz w:val="24"/>
          <w:szCs w:val="24"/>
          <w:lang w:val="sq-AL"/>
        </w:rPr>
        <w:t>Shoqëri Civile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Znj. </w:t>
      </w:r>
      <w:r w:rsidRPr="00347119">
        <w:rPr>
          <w:rFonts w:ascii="Times New Roman" w:hAnsi="Times New Roman"/>
          <w:sz w:val="24"/>
          <w:szCs w:val="24"/>
          <w:lang w:val="sq-AL"/>
        </w:rPr>
        <w:t>Ari Dyrmishi;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</w:r>
      <w:r w:rsidR="00A8749B">
        <w:rPr>
          <w:rFonts w:ascii="Times New Roman" w:hAnsi="Times New Roman"/>
          <w:sz w:val="24"/>
          <w:szCs w:val="24"/>
          <w:lang w:val="sq-AL"/>
        </w:rPr>
        <w:t>Fondacioni CIMA</w:t>
      </w:r>
      <w:r w:rsidRPr="00347119">
        <w:rPr>
          <w:rFonts w:ascii="Times New Roman" w:hAnsi="Times New Roman"/>
          <w:sz w:val="24"/>
          <w:szCs w:val="24"/>
          <w:lang w:val="sq-AL"/>
        </w:rPr>
        <w:t>,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 Znj.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 Miranda Deda;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  <w:t xml:space="preserve">French Development Agency, 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Znj. </w:t>
      </w:r>
      <w:r w:rsidRPr="00347119">
        <w:rPr>
          <w:rFonts w:ascii="Times New Roman" w:hAnsi="Times New Roman"/>
          <w:sz w:val="24"/>
          <w:szCs w:val="24"/>
          <w:lang w:val="sq-AL"/>
        </w:rPr>
        <w:t>Silvamina Alshabani;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Sektori Privat- </w:t>
      </w:r>
      <w:r w:rsidRPr="00347119">
        <w:rPr>
          <w:rFonts w:ascii="Times New Roman" w:hAnsi="Times New Roman"/>
          <w:sz w:val="24"/>
          <w:szCs w:val="24"/>
          <w:lang w:val="sq-AL"/>
        </w:rPr>
        <w:t xml:space="preserve">GBI Health and Safety Academy, 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Z. </w:t>
      </w:r>
      <w:r w:rsidRPr="00347119">
        <w:rPr>
          <w:rFonts w:ascii="Times New Roman" w:hAnsi="Times New Roman"/>
          <w:sz w:val="24"/>
          <w:szCs w:val="24"/>
          <w:lang w:val="sq-AL"/>
        </w:rPr>
        <w:t>Ervin Dervishi dhe Ledian Bregu;</w:t>
      </w:r>
    </w:p>
    <w:p w:rsidR="00347119" w:rsidRPr="00347119" w:rsidRDefault="00347119" w:rsidP="00347119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  <w:t>REC Albania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, Z. </w:t>
      </w:r>
      <w:r w:rsidRPr="00347119">
        <w:rPr>
          <w:rFonts w:ascii="Times New Roman" w:hAnsi="Times New Roman"/>
          <w:sz w:val="24"/>
          <w:szCs w:val="24"/>
          <w:lang w:val="sq-AL"/>
        </w:rPr>
        <w:t>Mihallaq Qirjo;</w:t>
      </w:r>
    </w:p>
    <w:p w:rsidR="00B02836" w:rsidRPr="002B2AA4" w:rsidRDefault="00347119" w:rsidP="00A8749B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47119">
        <w:rPr>
          <w:rFonts w:ascii="Times New Roman" w:hAnsi="Times New Roman"/>
          <w:sz w:val="24"/>
          <w:szCs w:val="24"/>
          <w:lang w:val="sq-AL"/>
        </w:rPr>
        <w:t>•</w:t>
      </w:r>
      <w:r w:rsidRPr="00347119">
        <w:rPr>
          <w:rFonts w:ascii="Times New Roman" w:hAnsi="Times New Roman"/>
          <w:sz w:val="24"/>
          <w:szCs w:val="24"/>
          <w:lang w:val="sq-AL"/>
        </w:rPr>
        <w:tab/>
      </w:r>
      <w:r w:rsidR="00A8749B" w:rsidRPr="00A8749B">
        <w:rPr>
          <w:rFonts w:ascii="Times New Roman" w:hAnsi="Times New Roman"/>
          <w:sz w:val="24"/>
          <w:szCs w:val="24"/>
          <w:lang w:val="sq-AL"/>
        </w:rPr>
        <w:t xml:space="preserve">Shoqata Shqiptare për Mbrojtjen nga Zjarri dhe Shpëtimin </w:t>
      </w:r>
      <w:r w:rsidR="00A8749B">
        <w:rPr>
          <w:rFonts w:ascii="Times New Roman" w:hAnsi="Times New Roman"/>
          <w:sz w:val="24"/>
          <w:szCs w:val="24"/>
          <w:lang w:val="sq-AL"/>
        </w:rPr>
        <w:t>–</w:t>
      </w:r>
      <w:r w:rsidR="00A8749B" w:rsidRPr="00A8749B">
        <w:rPr>
          <w:rFonts w:ascii="Times New Roman" w:hAnsi="Times New Roman"/>
          <w:sz w:val="24"/>
          <w:szCs w:val="24"/>
          <w:lang w:val="sq-AL"/>
        </w:rPr>
        <w:t xml:space="preserve"> AFPRA</w:t>
      </w:r>
      <w:r w:rsidR="00A8749B">
        <w:rPr>
          <w:rFonts w:ascii="Times New Roman" w:hAnsi="Times New Roman"/>
          <w:sz w:val="24"/>
          <w:szCs w:val="24"/>
          <w:lang w:val="sq-AL"/>
        </w:rPr>
        <w:t xml:space="preserve">, Z. </w:t>
      </w:r>
      <w:r w:rsidR="00A8749B" w:rsidRPr="00A8749B">
        <w:rPr>
          <w:rFonts w:ascii="Times New Roman" w:hAnsi="Times New Roman"/>
          <w:sz w:val="24"/>
          <w:szCs w:val="24"/>
          <w:lang w:val="sq-AL"/>
        </w:rPr>
        <w:t>Alban Laçi</w:t>
      </w:r>
      <w:r w:rsidR="00A8749B">
        <w:rPr>
          <w:rFonts w:ascii="Times New Roman" w:hAnsi="Times New Roman"/>
          <w:sz w:val="24"/>
          <w:szCs w:val="24"/>
          <w:lang w:val="sq-AL"/>
        </w:rPr>
        <w:t>.</w:t>
      </w:r>
    </w:p>
    <w:p w:rsidR="00A8749B" w:rsidRDefault="00A8749B" w:rsidP="005579E9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:rsidR="0018236E" w:rsidRDefault="0018236E" w:rsidP="0018236E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Dokumenti është përcjellë tek pjesëmarrësit</w:t>
      </w:r>
      <w:r w:rsidR="0080049A">
        <w:rPr>
          <w:rFonts w:ascii="Times New Roman" w:hAnsi="Times New Roman"/>
          <w:sz w:val="24"/>
          <w:szCs w:val="24"/>
          <w:lang w:val="sq-AL"/>
        </w:rPr>
        <w:t>,</w:t>
      </w:r>
      <w:r w:rsidR="002F529F">
        <w:rPr>
          <w:rFonts w:ascii="Times New Roman" w:hAnsi="Times New Roman"/>
          <w:sz w:val="24"/>
          <w:szCs w:val="24"/>
          <w:lang w:val="sq-AL"/>
        </w:rPr>
        <w:t>(edhe</w:t>
      </w:r>
      <w:r w:rsidR="0080049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F529F">
        <w:rPr>
          <w:rFonts w:ascii="Times New Roman" w:hAnsi="Times New Roman"/>
          <w:sz w:val="24"/>
          <w:szCs w:val="24"/>
          <w:lang w:val="sq-AL"/>
        </w:rPr>
        <w:t xml:space="preserve">në palët e interesit jo pjesëmarrës) </w:t>
      </w:r>
      <w:r>
        <w:rPr>
          <w:rFonts w:ascii="Times New Roman" w:hAnsi="Times New Roman"/>
          <w:sz w:val="24"/>
          <w:szCs w:val="24"/>
          <w:lang w:val="sq-AL"/>
        </w:rPr>
        <w:t>edhe nëpërmjet postës elektronike, nga ku u morën kontribute për t’u përfshirë në dokument.</w:t>
      </w:r>
    </w:p>
    <w:p w:rsidR="00A8749B" w:rsidRPr="002B2AA4" w:rsidRDefault="00A8749B" w:rsidP="005579E9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:rsidR="005579E9" w:rsidRPr="002B2AA4" w:rsidRDefault="005579E9" w:rsidP="005579E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:rsidR="005579E9" w:rsidRPr="002B2AA4" w:rsidRDefault="005579E9" w:rsidP="005579E9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2B2AA4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:rsidR="005579E9" w:rsidRPr="002B2AA4" w:rsidRDefault="005579E9" w:rsidP="005579E9">
      <w:pPr>
        <w:pStyle w:val="BodyText"/>
        <w:jc w:val="both"/>
        <w:rPr>
          <w:rFonts w:ascii="Times New Roman" w:hAnsi="Times New Roman"/>
          <w:sz w:val="8"/>
          <w:szCs w:val="24"/>
          <w:lang w:val="sq-AL"/>
        </w:rPr>
      </w:pPr>
    </w:p>
    <w:p w:rsidR="005579E9" w:rsidRPr="002B2AA4" w:rsidRDefault="005579E9" w:rsidP="00D358C1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2B2AA4">
        <w:rPr>
          <w:rFonts w:ascii="Times New Roman" w:hAnsi="Times New Roman"/>
          <w:sz w:val="24"/>
          <w:szCs w:val="24"/>
          <w:lang w:val="sq-AL"/>
        </w:rPr>
        <w:t xml:space="preserve">Në tabelën e mëposhtme paraqiten </w:t>
      </w:r>
      <w:r w:rsidR="002F529F">
        <w:rPr>
          <w:rFonts w:ascii="Times New Roman" w:hAnsi="Times New Roman"/>
          <w:sz w:val="24"/>
          <w:szCs w:val="24"/>
          <w:lang w:val="sq-AL"/>
        </w:rPr>
        <w:t xml:space="preserve">disa nga </w:t>
      </w:r>
      <w:r w:rsidRPr="002B2AA4">
        <w:rPr>
          <w:rFonts w:ascii="Times New Roman" w:hAnsi="Times New Roman"/>
          <w:sz w:val="24"/>
          <w:szCs w:val="24"/>
          <w:lang w:val="sq-AL"/>
        </w:rPr>
        <w:t>komentet</w:t>
      </w:r>
      <w:r w:rsidR="002F529F">
        <w:rPr>
          <w:rFonts w:ascii="Times New Roman" w:hAnsi="Times New Roman"/>
          <w:sz w:val="24"/>
          <w:szCs w:val="24"/>
          <w:lang w:val="sq-AL"/>
        </w:rPr>
        <w:t xml:space="preserve"> e pra</w:t>
      </w:r>
      <w:r w:rsidR="00B02836" w:rsidRPr="002B2AA4">
        <w:rPr>
          <w:rFonts w:ascii="Times New Roman" w:hAnsi="Times New Roman"/>
          <w:sz w:val="24"/>
          <w:szCs w:val="24"/>
          <w:lang w:val="sq-AL"/>
        </w:rPr>
        <w:t xml:space="preserve">nuara plotësisht, pjesërisht </w:t>
      </w:r>
      <w:r w:rsidRPr="002B2AA4">
        <w:rPr>
          <w:rFonts w:ascii="Times New Roman" w:hAnsi="Times New Roman"/>
          <w:sz w:val="24"/>
          <w:szCs w:val="24"/>
          <w:lang w:val="sq-AL"/>
        </w:rPr>
        <w:t>dhe ref</w:t>
      </w:r>
      <w:r w:rsidR="00D358C1">
        <w:rPr>
          <w:rFonts w:ascii="Times New Roman" w:hAnsi="Times New Roman"/>
          <w:sz w:val="24"/>
          <w:szCs w:val="24"/>
          <w:lang w:val="sq-AL"/>
        </w:rPr>
        <w:t>uzuar në lidhje me këtë projektvendim</w:t>
      </w:r>
      <w:r w:rsidRPr="002B2AA4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16"/>
        <w:gridCol w:w="2482"/>
        <w:gridCol w:w="1536"/>
        <w:gridCol w:w="1350"/>
        <w:gridCol w:w="2236"/>
      </w:tblGrid>
      <w:tr w:rsidR="0080049A" w:rsidRPr="00C46368" w:rsidTr="0080049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C46368" w:rsidRDefault="00C463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4636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68" w:rsidRPr="00C46368" w:rsidRDefault="00C463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4636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Çështja e  adresuar</w:t>
            </w:r>
          </w:p>
          <w:p w:rsidR="00C46368" w:rsidRPr="00C46368" w:rsidRDefault="00C463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sq-AL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68" w:rsidRPr="00C46368" w:rsidRDefault="00C463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4636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Komenti</w:t>
            </w:r>
          </w:p>
          <w:p w:rsidR="00C46368" w:rsidRPr="00C46368" w:rsidRDefault="00C463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sq-AL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68" w:rsidRPr="00C46368" w:rsidRDefault="00C46368" w:rsidP="00C463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4636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Palët e interesuara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68" w:rsidRPr="00C46368" w:rsidRDefault="00C463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4636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68" w:rsidRPr="00C46368" w:rsidRDefault="00C463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4636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Justifikimi</w:t>
            </w:r>
          </w:p>
        </w:tc>
      </w:tr>
      <w:tr w:rsidR="00C46368" w:rsidRPr="00866745" w:rsidTr="0080049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Default="008E6F0F" w:rsidP="002B2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2B2AA4" w:rsidRDefault="00C46368" w:rsidP="002B2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Programi i financimit t</w:t>
            </w:r>
            <w:r w:rsidR="008E6F0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Riskut t</w:t>
            </w:r>
            <w:r w:rsidR="008E6F0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Fatkeq</w:t>
            </w:r>
            <w:r w:rsidR="008E6F0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sive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C46368" w:rsidRDefault="00C46368" w:rsidP="008E6F0F">
            <w:pPr>
              <w:pStyle w:val="BodyText"/>
              <w:spacing w:after="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C46368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Zhvillimi i programit të Financimit të Riskut të Fatkeqësive (DRF) aktualisht i është caktuar AKMC-së. Ë</w:t>
            </w:r>
            <w:r w:rsid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shtë pozitive</w:t>
            </w:r>
            <w:r w:rsidRPr="00C46368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që AKMC është e interesuar të marrë një rol kryesor në program dhe të angazhohet për zhvillimin e tij, por do të ishte e rëndësishme që Ministria e Financave dhe Ekonomisë (MOFE) të bashkohet me këtë punë. MFE gjithashtu mund të jetë në një pozitë më të mirë për </w:t>
            </w:r>
            <w:r w:rsidRPr="00C46368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lastRenderedPageBreak/>
              <w:t>të udhëhequr përgatitjen e programit DRF.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2B2AA4" w:rsidRDefault="00C46368" w:rsidP="00CF0128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lastRenderedPageBreak/>
              <w:t>Banka Botërore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2B2AA4" w:rsidRDefault="00C46368" w:rsidP="00CF0128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2B2AA4" w:rsidRDefault="00C46368" w:rsidP="00B1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46368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Në projektin strategjik nr.12 “Forcimi i gatishmërisë financiare të vendit përmes miratimit të një Programi Kombëtar të Financimit të Riskut të fatkeqësive” ( numri në versionin përfundimtar të SKZRF -14) AKMC-ja u hoq nga institucion përgjegjës duke u zëvendësuar me Ministrinë e Financave dhe Ekonomisë. Ndërsa BB është  vendosur tek institucionet </w:t>
            </w:r>
            <w:r w:rsidRPr="00C46368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lastRenderedPageBreak/>
              <w:t>kontribuuese duke e përshkruar atë si institucion që do të mbështesë implementimin e projektit.</w:t>
            </w:r>
          </w:p>
        </w:tc>
      </w:tr>
      <w:tr w:rsidR="00C46368" w:rsidRPr="00866745" w:rsidTr="0080049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2B2AA4" w:rsidRDefault="008E6F0F" w:rsidP="00BB7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2B2AA4" w:rsidRDefault="008E6F0F" w:rsidP="008E6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Pergjegjësia ne zbatim</w:t>
            </w:r>
            <w:r w:rsidR="00C46368" w:rsidRPr="002B2A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2B2AA4" w:rsidRDefault="00C46368" w:rsidP="00C4636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463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Aftësia ripërtëritëse e infrastrukturës kritike përmendet si një detyrë e Bankës Botërore. BB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ofrohet</w:t>
            </w:r>
            <w:r w:rsidRPr="00C463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mbështesë këtë axhendë, por është e rëndësishme që të ekzistojë një agjenci qeveritare që është përgjegjëse për zbatimin.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2B2AA4" w:rsidRDefault="008E6F0F" w:rsidP="00CF0128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Banka Boterore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8" w:rsidRPr="002B2AA4" w:rsidRDefault="00C46368" w:rsidP="00CF0128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2AA4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8E6F0F" w:rsidRDefault="008E6F0F" w:rsidP="008E6F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Komenti u pranua plotësisht dhe u reflektua. </w:t>
            </w:r>
          </w:p>
          <w:p w:rsidR="008E6F0F" w:rsidRPr="008E6F0F" w:rsidRDefault="008E6F0F" w:rsidP="008E6F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Në projektin strategjik “Përmirësimi i aftësive ripërtëritëse të infrastrukturës kritike dhe ndërtesave publike” tek institucioni përgjegjës u hoq BB dhe u vendos “Institucionet publike, strukturat qendrore dhe vendore apo subjektet private, të cilët i kanë në pronësi/administrim infrastrukturat e përzgjedhura” </w:t>
            </w:r>
          </w:p>
          <w:p w:rsidR="008E6F0F" w:rsidRPr="008E6F0F" w:rsidRDefault="008E6F0F" w:rsidP="008E6F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Duke ndjekur shembullin e projekteve strategjikë “Forcimi i gatishmërisë financiare të vendit përmes miratimit të një Programi Kombëtar të Financimit të Riskut të fatkeqësive” dhe “Përmirësimi i aftësive ripërtëritëse të infrastrukturës kritike dhe ndërtesave publike” (me numër 18 në versionin final të SKZRF) ku BB u </w:t>
            </w: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lastRenderedPageBreak/>
              <w:t>hoq si institucion përgjegjës për implementimin e projekteve, institucioni përgjegjës u ndryshua edhe në projektet e tjerë strategjikë si vijon (numrat sipas versioni final të SKZRF);</w:t>
            </w:r>
          </w:p>
          <w:p w:rsidR="008E6F0F" w:rsidRPr="008E6F0F" w:rsidRDefault="008E6F0F" w:rsidP="008E6F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Nr.17: “Forcimi i gatishmërisë dhe përgjigjes ndaj emergjencave”: Institucioni përgjegjës u ndryshua në "AKMC, Drejtoria e Përgjithshme e MZSH dhe strukturat vendore të MZSH”. Ndërsa BB është vendosur tek institucionet kontribuuese</w:t>
            </w:r>
          </w:p>
          <w:p w:rsidR="008E6F0F" w:rsidRPr="008E6F0F" w:rsidRDefault="008E6F0F" w:rsidP="008E6F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Nr.19: “Forcimi i Menaxhimit të Riskut të Fatkeqësive në Bashki” Institucioni përgjegjës u ndryshua në "Bashkitë e përzgjedhura”. Ndërsa BB është vendosur tek institucionet kontribuuese</w:t>
            </w:r>
          </w:p>
          <w:p w:rsidR="008E6F0F" w:rsidRPr="008E6F0F" w:rsidRDefault="008E6F0F" w:rsidP="008E6F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Nr.20: “Përmirësimi i të Dhënave të Humbjeve nga Fatkeqësitë dhe Menaxhimi i Informacionit të Riskut”. Institucioni </w:t>
            </w: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lastRenderedPageBreak/>
              <w:t>përgjegjës u ndryshua në "Agjencia Kombëtare e Mbrojtjes Civile”. Ndërsa BB është vendosur tek institucionet kontribuuese</w:t>
            </w:r>
          </w:p>
          <w:p w:rsidR="00C46368" w:rsidRPr="002B2AA4" w:rsidRDefault="008E6F0F" w:rsidP="008E6F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aps/>
                <w:sz w:val="24"/>
                <w:szCs w:val="24"/>
                <w:lang w:val="sq-AL"/>
              </w:rPr>
            </w:pP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Nr.9: “Përmirësimi i Menaxhimit të Riskut nga Përmbytjet”. Institucioni përgjegjës u ndryshua në: “Agjencia e Menaxhimit të Burimeve Ujore, Ministria e Bujqësisë dhe Zhvillimit Rural”. Ndërsa BB është vendosur tek institucionet kontribuuese</w:t>
            </w:r>
          </w:p>
        </w:tc>
      </w:tr>
      <w:tr w:rsidR="008E6F0F" w:rsidRPr="00866745" w:rsidTr="0080049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Default="008E6F0F" w:rsidP="00B13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3.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2B2AA4" w:rsidRDefault="008E6F0F" w:rsidP="00B13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Plotesim literature dhe referenca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8E6F0F" w:rsidRDefault="008E6F0F" w:rsidP="00B13DA0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hAnsi="Times New Roman"/>
                <w:sz w:val="24"/>
                <w:szCs w:val="24"/>
                <w:lang w:val="sq-AL"/>
              </w:rPr>
              <w:t>Banka Botërore po bashkëpunon me MFE për të përfshirë klimën dhe vlerësimin e riskut natyror në deklaratën e riskut fiskal të qeverisë. Sipas kapitullit të komunikimit, ne sugjerojmë të përmendni botime të tilla pasi ndihmojnë për të forcuar rëndësinë e katastrofave natyrore dhe ndikimin e tyre në buxhet.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2B2AA4" w:rsidRDefault="008E6F0F" w:rsidP="00B13DA0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hAnsi="Times New Roman"/>
                <w:sz w:val="24"/>
                <w:szCs w:val="24"/>
                <w:lang w:val="sq-AL"/>
              </w:rPr>
              <w:t>Banka Botërore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2B2AA4" w:rsidRDefault="008E6F0F" w:rsidP="00B13DA0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8E6F0F" w:rsidRDefault="008E6F0F" w:rsidP="008E6F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U reflektuar t</w:t>
            </w: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ek seksioni 5.2. Komunikimi, tek “Grupet e synuara të komunikimit”</w:t>
            </w:r>
          </w:p>
        </w:tc>
      </w:tr>
      <w:tr w:rsidR="003A7F64" w:rsidRPr="00866745" w:rsidTr="0080049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Default="008E6F0F" w:rsidP="00B13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2B2AA4" w:rsidRDefault="008E6F0F" w:rsidP="00B13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Plotesim literature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dhe referenca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8E6F0F" w:rsidRDefault="008E6F0F" w:rsidP="00B13DA0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Monitorimi i </w:t>
            </w:r>
            <w:r w:rsidRPr="008E6F0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institucioneve arsimore në mënyrë të vazhdueshme përsa i përket masave të marra për reduktimin e riskut ndaj fatkeqësive dhe zbatimin e planit të menaxhimit të emergjencave dhe sigurisë në objektin arsimor. (sipas udhëzimeve të EU dhe UNICEF)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2B2AA4" w:rsidRDefault="008E6F0F" w:rsidP="00B13DA0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World Vision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2B2AA4" w:rsidRDefault="002F529F" w:rsidP="00B13DA0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8E6F0F" w:rsidRDefault="008E6F0F" w:rsidP="008E6F0F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Nuk</w:t>
            </w: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u reflektua në SKZRF pasi: </w:t>
            </w:r>
          </w:p>
          <w:p w:rsidR="008E6F0F" w:rsidRPr="008E6F0F" w:rsidRDefault="008E6F0F" w:rsidP="008E6F0F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lastRenderedPageBreak/>
              <w:t xml:space="preserve">Ai ishte parashikuar në asistencën përkatëse që po jepet në kuadër të projektit RESEAL të mbështetur nga UNDP. </w:t>
            </w:r>
          </w:p>
          <w:p w:rsidR="008E6F0F" w:rsidRPr="008E6F0F" w:rsidRDefault="008E6F0F" w:rsidP="008E6F0F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Aktualisht është në</w:t>
            </w: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 proces faza e parë e projektit</w:t>
            </w:r>
            <w:r w:rsidRPr="008E6F0F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: “Konsulenti Kombëtar mbi zhvillimin e ToR mbi materialet e trajnimit dhe kurrikulat shkollore (programet e edukimit) në shkolla në përputhje me Udhëzimet e BE-së në Shqipëri</w:t>
            </w:r>
          </w:p>
        </w:tc>
      </w:tr>
      <w:tr w:rsidR="008E6F0F" w:rsidRPr="00866745" w:rsidTr="0080049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Default="0080049A" w:rsidP="00B13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5</w:t>
            </w:r>
            <w:r w:rsidR="008E6F0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2B2AA4" w:rsidRDefault="003A7F64" w:rsidP="00B13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Informimi dhe sensibilizim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8E6F0F" w:rsidRDefault="003A7F64" w:rsidP="00B13DA0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t>Përdorimi i ICT për informimin dhe ndërgjegjësimin e reduktimit të riskut ndaj fatkeqësive, nëpërmjet zhvillimit të aplikacioneve mobile (Android dhe IOS)  si p.sh. ‘Natural Disasters Albania’.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2B2AA4" w:rsidRDefault="008E6F0F" w:rsidP="00B13DA0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6F0F">
              <w:rPr>
                <w:rFonts w:ascii="Times New Roman" w:hAnsi="Times New Roman"/>
                <w:sz w:val="24"/>
                <w:szCs w:val="24"/>
                <w:lang w:val="sq-AL"/>
              </w:rPr>
              <w:t>World Vision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0F" w:rsidRPr="002B2AA4" w:rsidRDefault="003A7F64" w:rsidP="00B13DA0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Pjeserisht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64" w:rsidRPr="003A7F64" w:rsidRDefault="003A7F64" w:rsidP="003A7F64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3A7F6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Komenti është reflektuar pjesërisht</w:t>
            </w:r>
          </w:p>
          <w:p w:rsidR="003A7F64" w:rsidRPr="003A7F64" w:rsidRDefault="003A7F64" w:rsidP="003A7F64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3A7F6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Ai mund të konsiderohet i mbuluar pjesërisht nga projektet strategjikë:</w:t>
            </w:r>
          </w:p>
          <w:p w:rsidR="003A7F64" w:rsidRPr="003A7F64" w:rsidRDefault="003A7F64" w:rsidP="003A7F64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3A7F6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•</w:t>
            </w:r>
            <w:r w:rsidRPr="003A7F6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ab/>
              <w:t>Nr.4: Mbështetja për krijimin e një sistemi të Mbrojtjes Civile në Shqipëri</w:t>
            </w:r>
          </w:p>
          <w:p w:rsidR="003A7F64" w:rsidRPr="003A7F64" w:rsidRDefault="003A7F64" w:rsidP="003A7F64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3A7F6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•</w:t>
            </w:r>
            <w:r w:rsidRPr="003A7F6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ab/>
              <w:t xml:space="preserve">Nr.20. Përmirësimi i të Dhënave të Humbjeve nga Fatkeqësitë dhe Menaxhimi i Informacionit të Riskut </w:t>
            </w:r>
          </w:p>
          <w:p w:rsidR="008E6F0F" w:rsidRPr="008E6F0F" w:rsidRDefault="008E6F0F" w:rsidP="00B13DA0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</w:tr>
      <w:tr w:rsidR="003A7F64" w:rsidRPr="00866745" w:rsidTr="0080049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64" w:rsidRDefault="0080049A" w:rsidP="00B13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3A7F6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64" w:rsidRPr="002B2AA4" w:rsidRDefault="003A7F64" w:rsidP="00B13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rfshirje e riskut t</w:t>
            </w: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that</w:t>
            </w: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sires dhe efektet n</w:t>
            </w: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 bujq</w:t>
            </w: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64" w:rsidRDefault="003A7F64" w:rsidP="003A7F64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t>ht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një nën-seksion mbi thatësirën, e cila përmendet nën nën-seksionin 2.2 përmbytje. Ne </w:t>
            </w: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sugjerojmë të shtjellojmë pak më shumë për këtë dhe ndoshta të kushtojmë një nën-seksion të veçantë për thatësirën dhe efektet e tij në sektorin e bujqësisë.</w:t>
            </w:r>
          </w:p>
          <w:p w:rsidR="003A7F64" w:rsidRDefault="003A7F64" w:rsidP="003A7F64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A7F64" w:rsidRDefault="003A7F64" w:rsidP="003A7F64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A7F64" w:rsidRPr="008E6F0F" w:rsidRDefault="003A7F64" w:rsidP="003A7F64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t>Në rishikimin e raporteve/dokumenteve paraprake: Ju lutemi merrni parasysh raportin “Analizë gjithëpërfshirëse e reduktimit të rrezikut nga fatkeqësitë dhe e sistemit të menaxhimit për bujqësinë në Shqipëri". Mund të përdoret për të forcuar dhe forcuar disa nga aspektet e përmendura në draft raportin, veçanërisht nga aspektet bujqësore.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64" w:rsidRPr="002B2AA4" w:rsidRDefault="003A7F64" w:rsidP="00B13DA0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A7F64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Organizata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Ushqimit dhe Bujqësisë (FAO)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64" w:rsidRPr="002B2AA4" w:rsidRDefault="003A7F64" w:rsidP="00B13DA0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64" w:rsidRPr="003A7F64" w:rsidRDefault="003A7F64" w:rsidP="003A7F64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3A7F6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Komenti u pranua plotësisht dhe u reflektua.</w:t>
            </w:r>
          </w:p>
          <w:p w:rsidR="003A7F64" w:rsidRDefault="003A7F64" w:rsidP="003A7F64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3A7F6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Thatësirat u konsideruan se janë </w:t>
            </w:r>
            <w:r w:rsidRPr="003A7F64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lastRenderedPageBreak/>
              <w:t>disi të lidhura me menaxhimin e ujit i cili ka të bëjë me përmbytjet, kështu që do të duhet të përfshiheshin. Në vijim nga AKMC iu kërkua FAO: sugjerime për çështje që i lidhte thatësirat me përmbytjet duke shpjeguar se kjo ka të bëjë me menaxhimin e integruar të ujit (pasi thatësirat më vete nuk janë risk i njohur si strategjik në Shqipëri). Përfundimisht thatësira u adresua në shkallën e duhur, veçanërisht në seksionin 3.2.Përmbytjet, vërshimet e ujit dhe çarjet e digave, krahas seksionit 6.3.Përshtatja ndaj Ndryshimeve Klimatike dhe ZRF, ndryshueshmëria dhe ndikimet e ndryshimeve klimatike. Për më tepër për thatësirat është planifikuar projekti strategjik nr.4 i lidhur me “Përmbytjet”, i emërtuar “Vlerësimi i riskut nga thatësira”</w:t>
            </w:r>
          </w:p>
          <w:p w:rsidR="0080049A" w:rsidRDefault="0080049A" w:rsidP="003A7F64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  <w:p w:rsidR="0080049A" w:rsidRPr="008E6F0F" w:rsidRDefault="0080049A" w:rsidP="003A7F64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0049A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Në dokumentin e strategjisë, </w:t>
            </w:r>
            <w:r w:rsidRPr="0080049A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lastRenderedPageBreak/>
              <w:t>veçanërisht në seksionin: 3.2. “Përmbytjet, vërshimet e ujit dhe çarjet e digave” ka referenca ndaj raportit   “Analizë gjithëpërfshirëse e reduktimit të rrezikut nga fatkeqësitë dhe e sistemit të menaxhimit për bujqësinë në Shqipëri". Raporti u shtua gjithashtu në shtojcën 2: Lista e dokumenteve kombëtare në përputhje me Strategjinë</w:t>
            </w:r>
          </w:p>
        </w:tc>
      </w:tr>
      <w:tr w:rsidR="0080049A" w:rsidRPr="00866745" w:rsidTr="0080049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9A" w:rsidRDefault="0080049A" w:rsidP="00B13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7.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9A" w:rsidRPr="002B2AA4" w:rsidRDefault="0080049A" w:rsidP="00B13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Menaxhimi i mbetjeve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9A" w:rsidRPr="008E6F0F" w:rsidRDefault="0080049A" w:rsidP="00B13DA0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049A">
              <w:rPr>
                <w:rFonts w:ascii="Times New Roman" w:hAnsi="Times New Roman"/>
                <w:sz w:val="24"/>
                <w:szCs w:val="24"/>
                <w:lang w:val="sq-AL"/>
              </w:rPr>
              <w:t>Ne e konsiderojmë të rëndësishme nevojën e hartimit të një politike serioze për mbeturinat, ata që hidhen në det ose në lumenj, mbeturina që krijojnë diga të vërteta që përkeqësojnë problemin e përmbytjeve, ndërsa në det ata përkeqësojnë rreziqet biologjike (problemet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që lidhen me zinxhir ushqimor)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9A" w:rsidRPr="002B2AA4" w:rsidRDefault="0080049A" w:rsidP="0080049A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049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Agjencia Italiane për Bashkëpunim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 w:rsidRPr="0080049A">
              <w:rPr>
                <w:rFonts w:ascii="Times New Roman" w:hAnsi="Times New Roman"/>
                <w:sz w:val="24"/>
                <w:szCs w:val="24"/>
                <w:lang w:val="sq-AL"/>
              </w:rPr>
              <w:t>Zhvillim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(AICS)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9A" w:rsidRPr="002B2AA4" w:rsidRDefault="002F529F" w:rsidP="00B13DA0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9A" w:rsidRPr="0080049A" w:rsidRDefault="0080049A" w:rsidP="0080049A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0049A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Çështja e mbeturinave adresohet në dokument.</w:t>
            </w:r>
          </w:p>
          <w:p w:rsidR="0080049A" w:rsidRPr="0080049A" w:rsidRDefault="0080049A" w:rsidP="0080049A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0049A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 xml:space="preserve">Për shembull në seksionin: Përmbytjet, vërshimet e ujit dhe çarjet e digave: Disa nga këta faktorë janë: Reshjet në sasi dhe intensitet të madh.........përdorimi pa kriter i agregateve në shtretërit e lumenjve, hedhja e agregateve dhe mbetjeve urbane duke zvogëluar seksionin shoqërues të shtratit të lumit, urbanizimi i zonave pranë brigjeve të lumenjve dhe modifikimi i terrenit </w:t>
            </w:r>
            <w:r w:rsidRPr="0080049A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lastRenderedPageBreak/>
              <w:t xml:space="preserve">dhe zhvillimi i rrugëve përgjatë luginave të lumenjve. </w:t>
            </w:r>
          </w:p>
          <w:p w:rsidR="0080049A" w:rsidRPr="008E6F0F" w:rsidRDefault="0080049A" w:rsidP="0080049A">
            <w:pP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  <w:r w:rsidRPr="0080049A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Referencë tjetër është tek shtojca 5, pika 10.Ministria e Turizmit dhe Mjedisit, ku është cituar Dokumenti i politikave strategjike dhe i planit kombëtar për menaxhimin e integruar të mbetjeve, 2020–2035, të miratuar me VKM nr. Nr. 418, datë 27.5.2020</w:t>
            </w:r>
          </w:p>
        </w:tc>
      </w:tr>
    </w:tbl>
    <w:p w:rsidR="00B02599" w:rsidRPr="002B2AA4" w:rsidRDefault="00B02599" w:rsidP="008E6F0F">
      <w:pPr>
        <w:rPr>
          <w:lang w:val="sq-AL"/>
        </w:rPr>
      </w:pPr>
    </w:p>
    <w:sectPr w:rsidR="00B02599" w:rsidRPr="002B2AA4" w:rsidSect="00634AFD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D03CA"/>
    <w:multiLevelType w:val="hybridMultilevel"/>
    <w:tmpl w:val="09EA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C8"/>
    <w:rsid w:val="0002732C"/>
    <w:rsid w:val="00050D06"/>
    <w:rsid w:val="0007438F"/>
    <w:rsid w:val="00156BF3"/>
    <w:rsid w:val="0018236E"/>
    <w:rsid w:val="001C004E"/>
    <w:rsid w:val="001E3166"/>
    <w:rsid w:val="00217ABC"/>
    <w:rsid w:val="002B2AA4"/>
    <w:rsid w:val="002F295A"/>
    <w:rsid w:val="002F529F"/>
    <w:rsid w:val="00347119"/>
    <w:rsid w:val="0037373A"/>
    <w:rsid w:val="00393570"/>
    <w:rsid w:val="003A7F64"/>
    <w:rsid w:val="003C2FA0"/>
    <w:rsid w:val="004B3B28"/>
    <w:rsid w:val="004F71FF"/>
    <w:rsid w:val="00504A28"/>
    <w:rsid w:val="005579E9"/>
    <w:rsid w:val="0057008A"/>
    <w:rsid w:val="00634AFD"/>
    <w:rsid w:val="00743E7E"/>
    <w:rsid w:val="0080049A"/>
    <w:rsid w:val="008472D0"/>
    <w:rsid w:val="00866745"/>
    <w:rsid w:val="00873B7D"/>
    <w:rsid w:val="008B6A9A"/>
    <w:rsid w:val="008E6F0F"/>
    <w:rsid w:val="009D296C"/>
    <w:rsid w:val="00A30622"/>
    <w:rsid w:val="00A632C9"/>
    <w:rsid w:val="00A8749B"/>
    <w:rsid w:val="00AD1C09"/>
    <w:rsid w:val="00B02599"/>
    <w:rsid w:val="00B02836"/>
    <w:rsid w:val="00B1052A"/>
    <w:rsid w:val="00BB7B86"/>
    <w:rsid w:val="00BE16AA"/>
    <w:rsid w:val="00C26DF2"/>
    <w:rsid w:val="00C46368"/>
    <w:rsid w:val="00CF0128"/>
    <w:rsid w:val="00D358C1"/>
    <w:rsid w:val="00D936BE"/>
    <w:rsid w:val="00DE66DA"/>
    <w:rsid w:val="00E515A1"/>
    <w:rsid w:val="00EB69DE"/>
    <w:rsid w:val="00F0478C"/>
    <w:rsid w:val="00F132C8"/>
    <w:rsid w:val="00F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385A9C-26D7-4006-AC47-D41FD8A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im.publik@mod.gov.al" TargetMode="External"/><Relationship Id="rId5" Type="http://schemas.openxmlformats.org/officeDocument/2006/relationships/hyperlink" Target="https://konsultimipublik.gov.al/Konsultime/Detaje/5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spkom DPSHARR</cp:lastModifiedBy>
  <cp:revision>14</cp:revision>
  <dcterms:created xsi:type="dcterms:W3CDTF">2023-02-01T10:51:00Z</dcterms:created>
  <dcterms:modified xsi:type="dcterms:W3CDTF">2023-03-23T14:16:00Z</dcterms:modified>
</cp:coreProperties>
</file>