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94" w:rsidRPr="00B92F26" w:rsidRDefault="00BB5F94" w:rsidP="00BB5F94">
      <w:pPr>
        <w:spacing w:line="240" w:lineRule="auto"/>
        <w:jc w:val="center"/>
        <w:rPr>
          <w:rFonts w:ascii="Times New Roman" w:hAnsi="Times New Roman"/>
          <w:b/>
          <w:sz w:val="28"/>
          <w:szCs w:val="28"/>
        </w:rPr>
      </w:pPr>
      <w:r w:rsidRPr="00B92F26">
        <w:rPr>
          <w:rFonts w:ascii="Times New Roman" w:hAnsi="Times New Roman"/>
          <w:b/>
          <w:sz w:val="28"/>
          <w:szCs w:val="28"/>
        </w:rPr>
        <w:t>R E L A C I O N</w:t>
      </w:r>
    </w:p>
    <w:p w:rsidR="00BB5F94" w:rsidRPr="00B92F26" w:rsidRDefault="00BB5F94" w:rsidP="00BB5F94">
      <w:pPr>
        <w:spacing w:line="240" w:lineRule="auto"/>
        <w:jc w:val="center"/>
        <w:rPr>
          <w:rFonts w:ascii="Times New Roman" w:hAnsi="Times New Roman"/>
          <w:b/>
          <w:sz w:val="28"/>
          <w:szCs w:val="28"/>
        </w:rPr>
      </w:pPr>
      <w:r w:rsidRPr="00B92F26">
        <w:rPr>
          <w:rFonts w:ascii="Times New Roman" w:hAnsi="Times New Roman"/>
          <w:b/>
          <w:sz w:val="28"/>
          <w:szCs w:val="28"/>
        </w:rPr>
        <w:t>PËR</w:t>
      </w:r>
    </w:p>
    <w:p w:rsidR="00BB5F94" w:rsidRPr="00B92F26" w:rsidRDefault="00BB5F94" w:rsidP="00BB5F94">
      <w:pPr>
        <w:spacing w:line="240" w:lineRule="auto"/>
        <w:jc w:val="center"/>
        <w:rPr>
          <w:rFonts w:ascii="Times New Roman" w:hAnsi="Times New Roman"/>
          <w:b/>
          <w:sz w:val="28"/>
          <w:szCs w:val="28"/>
        </w:rPr>
      </w:pPr>
      <w:r w:rsidRPr="00B92F26">
        <w:rPr>
          <w:rFonts w:ascii="Times New Roman" w:eastAsia="Times New Roman" w:hAnsi="Times New Roman"/>
          <w:b/>
          <w:sz w:val="28"/>
          <w:szCs w:val="28"/>
        </w:rPr>
        <w:t>PROJEKT-LIGJIN</w:t>
      </w:r>
    </w:p>
    <w:p w:rsidR="00BB5F94" w:rsidRPr="00A97840" w:rsidRDefault="00BB5F94" w:rsidP="00BB5F94">
      <w:pPr>
        <w:autoSpaceDE w:val="0"/>
        <w:autoSpaceDN w:val="0"/>
        <w:adjustRightInd w:val="0"/>
        <w:spacing w:after="0" w:line="240" w:lineRule="auto"/>
        <w:jc w:val="center"/>
        <w:rPr>
          <w:rFonts w:ascii="Times New Roman" w:hAnsi="Times New Roman"/>
          <w:b/>
          <w:bCs/>
          <w:color w:val="000000"/>
          <w:sz w:val="28"/>
          <w:szCs w:val="28"/>
        </w:rPr>
      </w:pPr>
      <w:r w:rsidRPr="00A97840">
        <w:rPr>
          <w:rFonts w:ascii="Times New Roman" w:hAnsi="Times New Roman"/>
          <w:b/>
          <w:color w:val="000000"/>
          <w:sz w:val="28"/>
          <w:szCs w:val="28"/>
        </w:rPr>
        <w:t>“PËR KRIJIMIN DHE FUNKSIONIMIN E PARQEVE TEKNOLOGJIKE DHE SHKENCORE”</w:t>
      </w:r>
    </w:p>
    <w:p w:rsidR="00BB5F94" w:rsidRPr="00A97840" w:rsidRDefault="00BB5F94" w:rsidP="00BB5F94">
      <w:pPr>
        <w:spacing w:after="0" w:line="240" w:lineRule="auto"/>
        <w:jc w:val="center"/>
        <w:rPr>
          <w:rFonts w:ascii="Times New Roman" w:eastAsia="Times New Roman" w:hAnsi="Times New Roman"/>
          <w:sz w:val="28"/>
          <w:szCs w:val="28"/>
        </w:rPr>
      </w:pPr>
    </w:p>
    <w:p w:rsidR="00BB5F94" w:rsidRPr="00B92F26" w:rsidRDefault="00BB5F94" w:rsidP="00BB5F94">
      <w:pPr>
        <w:spacing w:line="240" w:lineRule="auto"/>
        <w:jc w:val="both"/>
        <w:rPr>
          <w:rFonts w:ascii="Times New Roman" w:hAnsi="Times New Roman"/>
          <w:b/>
          <w:sz w:val="28"/>
          <w:szCs w:val="28"/>
        </w:rPr>
      </w:pPr>
    </w:p>
    <w:p w:rsidR="00BB5F94" w:rsidRPr="00B92F26" w:rsidRDefault="00BB5F94" w:rsidP="00BB5F94">
      <w:pPr>
        <w:numPr>
          <w:ilvl w:val="0"/>
          <w:numId w:val="1"/>
        </w:numPr>
        <w:spacing w:line="240" w:lineRule="auto"/>
        <w:ind w:hanging="630"/>
        <w:contextualSpacing/>
        <w:jc w:val="both"/>
        <w:rPr>
          <w:rFonts w:ascii="Times New Roman" w:hAnsi="Times New Roman"/>
          <w:b/>
          <w:sz w:val="28"/>
          <w:szCs w:val="28"/>
        </w:rPr>
      </w:pPr>
      <w:r w:rsidRPr="00B92F26">
        <w:rPr>
          <w:rFonts w:ascii="Times New Roman" w:hAnsi="Times New Roman"/>
          <w:b/>
          <w:sz w:val="28"/>
          <w:szCs w:val="28"/>
        </w:rPr>
        <w:t xml:space="preserve">    QËLLIMI I PROJEKTAKTIT DHE OBJEKTIVAT QË SYNOHEN TË ARRIHEN</w:t>
      </w:r>
    </w:p>
    <w:p w:rsidR="00BB5F94" w:rsidRPr="00B92F26" w:rsidRDefault="00BB5F94" w:rsidP="00BB5F94">
      <w:pPr>
        <w:spacing w:after="0" w:line="240" w:lineRule="auto"/>
        <w:jc w:val="both"/>
        <w:rPr>
          <w:rFonts w:ascii="Times New Roman" w:hAnsi="Times New Roman"/>
          <w:color w:val="000000"/>
          <w:sz w:val="28"/>
          <w:szCs w:val="28"/>
        </w:rPr>
      </w:pPr>
    </w:p>
    <w:p w:rsidR="00BB5F94" w:rsidRPr="00B92F26" w:rsidRDefault="00BB5F94" w:rsidP="00BB5F94">
      <w:pPr>
        <w:spacing w:after="0" w:line="240" w:lineRule="auto"/>
        <w:jc w:val="both"/>
        <w:rPr>
          <w:rFonts w:ascii="Times New Roman" w:hAnsi="Times New Roman"/>
          <w:sz w:val="28"/>
          <w:szCs w:val="28"/>
        </w:rPr>
      </w:pPr>
      <w:r w:rsidRPr="00B92F26">
        <w:rPr>
          <w:rFonts w:ascii="Times New Roman" w:hAnsi="Times New Roman"/>
          <w:sz w:val="28"/>
          <w:szCs w:val="28"/>
        </w:rPr>
        <w:t>Projektligji propozohet në mbështetje të neneve 78 e 83, pika 1, të Kushtetutës së Republikës së Shqipërisë.</w:t>
      </w:r>
    </w:p>
    <w:p w:rsidR="00BB5F94" w:rsidRPr="00B92F26" w:rsidRDefault="00BB5F94" w:rsidP="00BB5F94">
      <w:pPr>
        <w:spacing w:after="0" w:line="240" w:lineRule="auto"/>
        <w:jc w:val="both"/>
        <w:rPr>
          <w:rFonts w:ascii="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sz w:val="28"/>
          <w:szCs w:val="28"/>
        </w:rPr>
      </w:pPr>
      <w:r w:rsidRPr="00B92F26">
        <w:rPr>
          <w:rFonts w:ascii="Times New Roman" w:hAnsi="Times New Roman"/>
          <w:color w:val="000000"/>
          <w:sz w:val="28"/>
          <w:szCs w:val="28"/>
        </w:rPr>
        <w:t>Qëllimi i tij është të rregullojë krijimin, organizimin dhe funksionimin e Parqeve Teknologjike dhe Shkencore (“Parqet”) në Republikën e Shqipërisë.</w:t>
      </w:r>
    </w:p>
    <w:p w:rsidR="00BB5F94" w:rsidRPr="00B92F26" w:rsidRDefault="00BB5F94" w:rsidP="00BB5F94">
      <w:pPr>
        <w:spacing w:after="0" w:line="240" w:lineRule="auto"/>
        <w:jc w:val="both"/>
        <w:rPr>
          <w:rFonts w:ascii="Times New Roman" w:eastAsia="Times New Roman" w:hAnsi="Times New Roman"/>
          <w:sz w:val="28"/>
          <w:szCs w:val="28"/>
        </w:rPr>
      </w:pPr>
    </w:p>
    <w:p w:rsidR="00BB5F94" w:rsidRPr="00B92F26" w:rsidRDefault="00BB5F94" w:rsidP="00BB5F94">
      <w:pPr>
        <w:numPr>
          <w:ilvl w:val="0"/>
          <w:numId w:val="1"/>
        </w:numPr>
        <w:spacing w:after="0" w:line="240" w:lineRule="auto"/>
        <w:contextualSpacing/>
        <w:jc w:val="both"/>
        <w:rPr>
          <w:rFonts w:ascii="Times New Roman" w:eastAsia="Times New Roman" w:hAnsi="Times New Roman"/>
          <w:b/>
          <w:sz w:val="28"/>
          <w:szCs w:val="28"/>
        </w:rPr>
      </w:pPr>
      <w:r w:rsidRPr="00B92F26">
        <w:rPr>
          <w:rFonts w:ascii="Times New Roman" w:eastAsia="Times New Roman" w:hAnsi="Times New Roman"/>
          <w:b/>
          <w:sz w:val="28"/>
          <w:szCs w:val="28"/>
        </w:rPr>
        <w:t xml:space="preserve">    VLERËSIMI I PROJEKTAKTIT NË RAPORT ME PROGRAMIN POLITIK TË KËSHILLIT TË MINISTRAVE, ME PROGRAMIN ANALITIK TË AKTEVE DHE DOKUMENTE TË TJERA POLITIKE</w:t>
      </w:r>
    </w:p>
    <w:p w:rsidR="00BB5F94" w:rsidRPr="00B92F26" w:rsidRDefault="00BB5F94" w:rsidP="00BB5F94">
      <w:pPr>
        <w:spacing w:after="0" w:line="240" w:lineRule="auto"/>
        <w:contextualSpacing/>
        <w:jc w:val="both"/>
        <w:rPr>
          <w:rFonts w:ascii="Times New Roman" w:eastAsia="Times New Roman" w:hAnsi="Times New Roman"/>
          <w:sz w:val="28"/>
          <w:szCs w:val="28"/>
        </w:rPr>
      </w:pPr>
    </w:p>
    <w:p w:rsidR="00BB5F94" w:rsidRPr="00B92F26" w:rsidRDefault="00BB5F94" w:rsidP="00BB5F94">
      <w:pPr>
        <w:spacing w:after="0" w:line="240" w:lineRule="auto"/>
        <w:contextualSpacing/>
        <w:jc w:val="both"/>
        <w:rPr>
          <w:rFonts w:ascii="Times New Roman" w:eastAsia="Times New Roman" w:hAnsi="Times New Roman"/>
          <w:sz w:val="28"/>
          <w:szCs w:val="28"/>
        </w:rPr>
      </w:pPr>
      <w:r w:rsidRPr="00B92F26">
        <w:rPr>
          <w:rFonts w:ascii="Times New Roman" w:eastAsia="Times New Roman" w:hAnsi="Times New Roman"/>
          <w:sz w:val="28"/>
          <w:szCs w:val="28"/>
        </w:rPr>
        <w:t>Ky projektligj nuk është parashikuar në programin analitik të projekt akteve.</w:t>
      </w:r>
    </w:p>
    <w:p w:rsidR="00BB5F94" w:rsidRPr="00B92F26" w:rsidRDefault="00BB5F94" w:rsidP="00BB5F94">
      <w:pPr>
        <w:spacing w:after="0" w:line="240" w:lineRule="auto"/>
        <w:jc w:val="both"/>
        <w:rPr>
          <w:rFonts w:ascii="Times New Roman" w:eastAsia="Times New Roman" w:hAnsi="Times New Roman"/>
          <w:b/>
          <w:sz w:val="28"/>
          <w:szCs w:val="28"/>
        </w:rPr>
      </w:pPr>
    </w:p>
    <w:p w:rsidR="00BB5F94" w:rsidRPr="00B92F26" w:rsidRDefault="00BB5F94" w:rsidP="00BB5F94">
      <w:pPr>
        <w:numPr>
          <w:ilvl w:val="0"/>
          <w:numId w:val="1"/>
        </w:numPr>
        <w:spacing w:after="0" w:line="240" w:lineRule="auto"/>
        <w:contextualSpacing/>
        <w:jc w:val="both"/>
        <w:rPr>
          <w:rFonts w:ascii="Times New Roman" w:eastAsia="Times New Roman" w:hAnsi="Times New Roman"/>
          <w:b/>
          <w:sz w:val="28"/>
          <w:szCs w:val="28"/>
        </w:rPr>
      </w:pPr>
      <w:r w:rsidRPr="00B92F26">
        <w:rPr>
          <w:rFonts w:ascii="Times New Roman" w:eastAsia="Times New Roman" w:hAnsi="Times New Roman"/>
          <w:b/>
          <w:sz w:val="28"/>
          <w:szCs w:val="28"/>
        </w:rPr>
        <w:t>ARGUMENTIMI I PROJEKTAKTIT LIDHUR ME PËRPARËSITË, PROBLEMATIKAT, EFEKTET E PRITSHME</w:t>
      </w:r>
    </w:p>
    <w:p w:rsidR="00BB5F94" w:rsidRPr="00B92F26" w:rsidRDefault="00BB5F94" w:rsidP="00BB5F94">
      <w:pPr>
        <w:spacing w:after="0" w:line="240" w:lineRule="auto"/>
        <w:jc w:val="both"/>
        <w:rPr>
          <w:rFonts w:ascii="Times New Roman" w:eastAsia="Times New Roman" w:hAnsi="Times New Roman"/>
          <w:b/>
          <w:sz w:val="28"/>
          <w:szCs w:val="28"/>
        </w:rPr>
      </w:pPr>
    </w:p>
    <w:p w:rsidR="00BB5F94" w:rsidRPr="00B92F26" w:rsidRDefault="00BB5F94" w:rsidP="00BB5F94">
      <w:pPr>
        <w:spacing w:after="0" w:line="240" w:lineRule="auto"/>
        <w:jc w:val="both"/>
        <w:rPr>
          <w:rFonts w:ascii="Times New Roman" w:hAnsi="Times New Roman"/>
          <w:sz w:val="28"/>
          <w:szCs w:val="28"/>
        </w:rPr>
      </w:pPr>
      <w:r w:rsidRPr="00B92F26">
        <w:rPr>
          <w:rFonts w:ascii="Times New Roman" w:hAnsi="Times New Roman"/>
          <w:sz w:val="28"/>
          <w:szCs w:val="28"/>
        </w:rPr>
        <w:t xml:space="preserve">Inovacioni është nxitësi kryesor strategjik për zhvillim ekonomik. Përkufizimi i inovacionit ka aspekte të ndryshme dhe fillon nga hulumtimi deri tek marketingu final, nga furnizimi </w:t>
      </w:r>
      <w:r>
        <w:rPr>
          <w:rFonts w:ascii="Times New Roman" w:hAnsi="Times New Roman"/>
          <w:sz w:val="28"/>
          <w:szCs w:val="28"/>
        </w:rPr>
        <w:t>deri tek konsumi, përfshirë akto</w:t>
      </w:r>
      <w:r w:rsidRPr="00B92F26">
        <w:rPr>
          <w:rFonts w:ascii="Times New Roman" w:hAnsi="Times New Roman"/>
          <w:sz w:val="28"/>
          <w:szCs w:val="28"/>
        </w:rPr>
        <w:t>rët në fushën e biznesit dhe hulumtimit, si dhe përfaqësuesit qeveritar dhe civil. Për më tepër, inovacioni mund të klasifikohet në kategori të ndrys</w:t>
      </w:r>
      <w:r>
        <w:rPr>
          <w:rFonts w:ascii="Times New Roman" w:hAnsi="Times New Roman"/>
          <w:sz w:val="28"/>
          <w:szCs w:val="28"/>
        </w:rPr>
        <w:t xml:space="preserve">hme, si inovacioni i produktit, </w:t>
      </w:r>
      <w:r w:rsidRPr="00B92F26">
        <w:rPr>
          <w:rFonts w:ascii="Times New Roman" w:hAnsi="Times New Roman"/>
          <w:sz w:val="28"/>
          <w:szCs w:val="28"/>
        </w:rPr>
        <w:t>inovacioni i procesit, inovacioni i marketingut dhe inovacioni organizativ.</w:t>
      </w:r>
    </w:p>
    <w:p w:rsidR="00BB5F94" w:rsidRPr="00B92F26" w:rsidRDefault="00BB5F94" w:rsidP="00BB5F94">
      <w:pPr>
        <w:spacing w:after="0" w:line="240" w:lineRule="auto"/>
        <w:jc w:val="both"/>
        <w:rPr>
          <w:rFonts w:ascii="Times New Roman" w:hAnsi="Times New Roman"/>
          <w:sz w:val="28"/>
          <w:szCs w:val="28"/>
        </w:rPr>
      </w:pPr>
    </w:p>
    <w:p w:rsidR="00BB5F94" w:rsidRPr="00B92F26" w:rsidRDefault="00BB5F94" w:rsidP="00BB5F94">
      <w:pPr>
        <w:spacing w:after="0" w:line="240" w:lineRule="auto"/>
        <w:jc w:val="both"/>
        <w:rPr>
          <w:rFonts w:ascii="Times New Roman" w:hAnsi="Times New Roman"/>
          <w:sz w:val="28"/>
          <w:szCs w:val="28"/>
        </w:rPr>
      </w:pPr>
      <w:r w:rsidRPr="00B92F26">
        <w:rPr>
          <w:rFonts w:ascii="Times New Roman" w:hAnsi="Times New Roman"/>
          <w:sz w:val="28"/>
          <w:szCs w:val="28"/>
        </w:rPr>
        <w:t xml:space="preserve">Në orientimin e saj afatgjatë, Qeveria është e përkushtuar për krijimin e bazës së qëndrueshme për zhvillim të qëndrueshëm ekonomik në bazë të burimeve njerëzore dhe burimeve natyrore. Për shumë vite vendi ynë e ka bazuar zhvillimin ekonomik në burime natyrore, duke mundësuar një zhvillim të qëndrueshëm ekonomik. Sfidat e zhvillimit global dhe rajonal për zhvillim ekonomik janë duke </w:t>
      </w:r>
      <w:r w:rsidRPr="00B92F26">
        <w:rPr>
          <w:rFonts w:ascii="Times New Roman" w:hAnsi="Times New Roman"/>
          <w:sz w:val="28"/>
          <w:szCs w:val="28"/>
        </w:rPr>
        <w:lastRenderedPageBreak/>
        <w:t>u rritur dhe ekonomia tradicionale është duke pësuar ndryshime radikale. Zhvillimi i teknologjisë industriale dhe informative, automatizimi i prodhimit dhe zhvillimi i robotikës së shërbimeve kanë shtyrë gjeneratat e reja, që të riorientojnë interesat e tyre më shumë në aplikimin e teknologjisë informative dhe aplikimin e softuerit në dobi të zhvillimit ekonomik.</w:t>
      </w:r>
    </w:p>
    <w:p w:rsidR="00BB5F94" w:rsidRPr="00B92F26" w:rsidRDefault="00BB5F94" w:rsidP="00BB5F94">
      <w:pPr>
        <w:spacing w:after="0" w:line="240" w:lineRule="auto"/>
        <w:jc w:val="both"/>
        <w:rPr>
          <w:rFonts w:ascii="Times New Roman" w:hAnsi="Times New Roman"/>
          <w:sz w:val="28"/>
          <w:szCs w:val="28"/>
        </w:rPr>
      </w:pPr>
    </w:p>
    <w:p w:rsidR="00BB5F94" w:rsidRPr="00B92F26" w:rsidRDefault="00BB5F94" w:rsidP="00BB5F94">
      <w:pPr>
        <w:spacing w:after="0" w:line="240" w:lineRule="auto"/>
        <w:jc w:val="both"/>
        <w:rPr>
          <w:rFonts w:ascii="Times New Roman" w:hAnsi="Times New Roman"/>
          <w:sz w:val="28"/>
          <w:szCs w:val="28"/>
        </w:rPr>
      </w:pPr>
      <w:r w:rsidRPr="00B92F26">
        <w:rPr>
          <w:rFonts w:ascii="Times New Roman" w:hAnsi="Times New Roman"/>
          <w:sz w:val="28"/>
          <w:szCs w:val="28"/>
        </w:rPr>
        <w:t>Popullsia e vendit tonë, e cilësuar si popullsia më e re në Evropë, ka kuptuar mjaft mirë dhe ka filluar aplikimin e këtyre zhvillimeve në kompanitë e reja që janë duke u formuar dhe janë duke u zhvilluar shumë shpejt. Ekonomia digjitale, edhe pse është paraqitur më vonë në rajon, është duke hyrë në veprimtarinë e përditshme të ekonomisë së tregut më shpejt dhe është duke u bërë një sektor i rëndësishëm ekonomik. Sektori i shërbimeve në fushën e teknologjisë informative</w:t>
      </w:r>
      <w:r>
        <w:rPr>
          <w:rFonts w:ascii="Times New Roman" w:hAnsi="Times New Roman"/>
          <w:sz w:val="28"/>
          <w:szCs w:val="28"/>
        </w:rPr>
        <w:t>,</w:t>
      </w:r>
      <w:r w:rsidRPr="00B92F26">
        <w:rPr>
          <w:rFonts w:ascii="Times New Roman" w:hAnsi="Times New Roman"/>
          <w:sz w:val="28"/>
          <w:szCs w:val="28"/>
        </w:rPr>
        <w:t xml:space="preserve"> është sektor me bilanc pozitiv tregtar dhe një sektor premtues në bazë të të cilit mund të zhvillohet koncepti i mendimit të ri ekonomik në vend. </w:t>
      </w:r>
    </w:p>
    <w:p w:rsidR="00BB5F94" w:rsidRPr="00B92F26" w:rsidRDefault="00BB5F94" w:rsidP="00BB5F94">
      <w:pPr>
        <w:spacing w:after="0" w:line="240" w:lineRule="auto"/>
        <w:jc w:val="both"/>
        <w:rPr>
          <w:rFonts w:ascii="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hAnsi="Times New Roman"/>
          <w:sz w:val="28"/>
          <w:szCs w:val="28"/>
        </w:rPr>
        <w:t>Kalimi nga ekonomia tradicionale në ekonomi digjitale</w:t>
      </w:r>
      <w:r>
        <w:rPr>
          <w:rFonts w:ascii="Times New Roman" w:hAnsi="Times New Roman"/>
          <w:sz w:val="28"/>
          <w:szCs w:val="28"/>
        </w:rPr>
        <w:t>,</w:t>
      </w:r>
      <w:r w:rsidRPr="00B92F26">
        <w:rPr>
          <w:rFonts w:ascii="Times New Roman" w:hAnsi="Times New Roman"/>
          <w:sz w:val="28"/>
          <w:szCs w:val="28"/>
        </w:rPr>
        <w:t xml:space="preserve"> ka nevojë për zhvillim të një ekosistemi të inovacionit, infrastrukturës ligjore, politikave të qarta fiskale dhe sistemit efikas të arsimit nga niveli primar deri tek ai universitar. Strategjia për Inovacion fokusohet në zhvillimin afatgjatë dhe qasjet sistematike për mbështetjen e inovacionit me ndikime ekonomike, si vlerë kryesore për ekonomi të suksesshme dhe shoqëri të avancuara. Me këtë strategji mundësohet zhvillimi i politikave publike, infrastrukturës ligjore, politikave fiskale dhe qasja integrale e ekosistemit të inovacionit dhe sip</w:t>
      </w:r>
      <w:r>
        <w:rPr>
          <w:rFonts w:ascii="Times New Roman" w:hAnsi="Times New Roman"/>
          <w:sz w:val="28"/>
          <w:szCs w:val="28"/>
        </w:rPr>
        <w:t>ë</w:t>
      </w:r>
      <w:r w:rsidRPr="00B92F26">
        <w:rPr>
          <w:rFonts w:ascii="Times New Roman" w:hAnsi="Times New Roman"/>
          <w:sz w:val="28"/>
          <w:szCs w:val="28"/>
        </w:rPr>
        <w:t>rmarrjes.</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hAnsi="Times New Roman"/>
          <w:sz w:val="28"/>
          <w:szCs w:val="28"/>
        </w:rPr>
        <w:t>Në kohën e konvergjencave teknologjike në rritje dhe transformimit digjital, inovacioni dhe sip</w:t>
      </w:r>
      <w:r>
        <w:rPr>
          <w:rFonts w:ascii="Times New Roman" w:hAnsi="Times New Roman"/>
          <w:sz w:val="28"/>
          <w:szCs w:val="28"/>
        </w:rPr>
        <w:t>ë</w:t>
      </w:r>
      <w:r w:rsidRPr="00B92F26">
        <w:rPr>
          <w:rFonts w:ascii="Times New Roman" w:hAnsi="Times New Roman"/>
          <w:sz w:val="28"/>
          <w:szCs w:val="28"/>
        </w:rPr>
        <w:t>rmarrja po b</w:t>
      </w:r>
      <w:r>
        <w:rPr>
          <w:rFonts w:ascii="Times New Roman" w:hAnsi="Times New Roman"/>
          <w:sz w:val="28"/>
          <w:szCs w:val="28"/>
        </w:rPr>
        <w:t>ë</w:t>
      </w:r>
      <w:r w:rsidRPr="00B92F26">
        <w:rPr>
          <w:rFonts w:ascii="Times New Roman" w:hAnsi="Times New Roman"/>
          <w:sz w:val="28"/>
          <w:szCs w:val="28"/>
        </w:rPr>
        <w:t>hen më të rëndësishme se asnjëherë më parë. Investimet në inovacion, hulumtim dhe zhvillim kanë dëshmuar të jenë faktorë kryesor në tejkalimin e sfidave globale ekonomike dhe sociale. Investimet në këto fusha</w:t>
      </w:r>
      <w:r>
        <w:rPr>
          <w:rFonts w:ascii="Times New Roman" w:hAnsi="Times New Roman"/>
          <w:sz w:val="28"/>
          <w:szCs w:val="28"/>
        </w:rPr>
        <w:t>, kanë mundësuar rritjen e konku</w:t>
      </w:r>
      <w:r w:rsidRPr="00B92F26">
        <w:rPr>
          <w:rFonts w:ascii="Times New Roman" w:hAnsi="Times New Roman"/>
          <w:sz w:val="28"/>
          <w:szCs w:val="28"/>
        </w:rPr>
        <w:t>rueshmërisë në sektorin privat, duke përmirësuar shërbimet publike dhe mirëqenien e qytetarëve.</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hAnsi="Times New Roman"/>
          <w:sz w:val="28"/>
          <w:szCs w:val="28"/>
        </w:rPr>
        <w:t>Promovimi dhe trajtimi i inovacioneve në sektorët me potencial për zhvillim ekonomik, radhit aktivitetet në domene me rëndësi të lartë ekonomike, të cilat duhet të përkthehen në transformime strukturore brenda ekonomisë së vendit tonë, në një proces akumulues që lidh përparësitë e tanishme dhe të ardhshme të ekonomisë.</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 xml:space="preserve">Megjithëse krijimi i një Parku teknologjik dhe shkencor nuk është një qëllim në vetvete, ai është dëshmuar një mjet i fuqishëm për zhvillim. Një hapësirë ​​e tillë ka potencialin të bëhet një qendër jetike për kërkimin, zhvillimin dhe edukimin, me laboratorë dhe ambiente trajnimi, duke ofruar akomodim për fillimin dhe </w:t>
      </w:r>
      <w:r w:rsidRPr="00B92F26">
        <w:rPr>
          <w:rFonts w:ascii="Times New Roman" w:eastAsia="Times New Roman" w:hAnsi="Times New Roman"/>
          <w:color w:val="000000"/>
          <w:sz w:val="28"/>
          <w:szCs w:val="28"/>
        </w:rPr>
        <w:lastRenderedPageBreak/>
        <w:t>zgjerimin e bizneseve të reja. Parqet e tilla kanë potencialin për të stimuluar investimet në ndërmarrjet e bazuara në teknologji dhe për të nxitur transferimin e teknologjisë midis subjekteve kërkimore dhe ndërmarrjeve. Duke pasur parasysh faktin themelor që firmat nuk bëjnë risi të izoluara, por kërkojnë ndërveprime të vazhdueshme për ta bërë këtë, një Park teknologjik dhe Shkencor mund të korrigjojë dështimet e koordinimit dhe të forcojë lidhjet, duke lehtësuar kështu transformimin e njohurive në risi.</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Më tej, një faktor kyç kufizues për inovacionin e sektorit privat në vend janë lidhjet e dobëta midis kërkimit, arsimit, bizneseve kombëtare dhe ndërkombëtare dhe një klimë e pafavorshme investimi. Parqet teknologjike dhe shkencore jo vetëm që garantojnë krijimin e këtyre lidhjeve, por shërbejnë edhe si pararojë e inovacionit, duke çuar kështu në rritjen e konkurrencës. Në kohën e tanishme, inovacioni është bërë një nga elementët themelorë të rritjes ekonomike dhe mirëqenies sociale. Programi mbështetës i ofruar nga formati Technopark</w:t>
      </w:r>
      <w:r>
        <w:rPr>
          <w:rFonts w:ascii="Times New Roman" w:eastAsia="Times New Roman" w:hAnsi="Times New Roman"/>
          <w:color w:val="000000"/>
          <w:sz w:val="28"/>
          <w:szCs w:val="28"/>
        </w:rPr>
        <w:t>,</w:t>
      </w:r>
      <w:r w:rsidRPr="00B92F26">
        <w:rPr>
          <w:rFonts w:ascii="Times New Roman" w:eastAsia="Times New Roman" w:hAnsi="Times New Roman"/>
          <w:color w:val="000000"/>
          <w:sz w:val="28"/>
          <w:szCs w:val="28"/>
        </w:rPr>
        <w:t xml:space="preserve"> u mundëson firmave të aksesojnë lehtësisht burimet e inovacionit dhe të ulin kostot e të bërit biznes.</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 xml:space="preserve">Me këtë ligj synohet që </w:t>
      </w:r>
      <w:r w:rsidRPr="00422B3D">
        <w:rPr>
          <w:rFonts w:ascii="Times New Roman" w:eastAsia="Times New Roman" w:hAnsi="Times New Roman"/>
          <w:color w:val="000000"/>
          <w:sz w:val="28"/>
          <w:szCs w:val="28"/>
        </w:rPr>
        <w:t>Parqet</w:t>
      </w:r>
      <w:r w:rsidRPr="00B92F26">
        <w:rPr>
          <w:rFonts w:ascii="Times New Roman" w:eastAsia="Times New Roman" w:hAnsi="Times New Roman"/>
          <w:color w:val="000000"/>
          <w:sz w:val="28"/>
          <w:szCs w:val="28"/>
        </w:rPr>
        <w:t xml:space="preserve"> të kenë statusin e zonës së lirë doganore</w:t>
      </w:r>
      <w:r>
        <w:rPr>
          <w:rFonts w:ascii="Times New Roman" w:eastAsia="Times New Roman" w:hAnsi="Times New Roman"/>
          <w:color w:val="000000"/>
          <w:sz w:val="28"/>
          <w:szCs w:val="28"/>
        </w:rPr>
        <w:t>,</w:t>
      </w:r>
      <w:r w:rsidRPr="00B92F26">
        <w:rPr>
          <w:rFonts w:ascii="Times New Roman" w:eastAsia="Times New Roman" w:hAnsi="Times New Roman"/>
          <w:color w:val="000000"/>
          <w:sz w:val="28"/>
          <w:szCs w:val="28"/>
        </w:rPr>
        <w:t xml:space="preserve"> që </w:t>
      </w:r>
      <w:r w:rsidRPr="00422B3D">
        <w:rPr>
          <w:rFonts w:ascii="Times New Roman" w:eastAsia="Times New Roman" w:hAnsi="Times New Roman"/>
          <w:color w:val="000000"/>
          <w:sz w:val="28"/>
          <w:szCs w:val="28"/>
        </w:rPr>
        <w:t xml:space="preserve"> kan</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si q</w:t>
      </w:r>
      <w:r w:rsidRPr="00422B3D">
        <w:rPr>
          <w:rFonts w:ascii="Times New Roman" w:eastAsia="Times New Roman" w:hAnsi="Times New Roman"/>
          <w:color w:val="000000"/>
          <w:sz w:val="28"/>
          <w:szCs w:val="28"/>
          <w:lang w:val="en-US"/>
        </w:rPr>
        <w:t>ë</w:t>
      </w:r>
      <w:r w:rsidRPr="00B92F26">
        <w:rPr>
          <w:rFonts w:ascii="Times New Roman" w:eastAsia="Times New Roman" w:hAnsi="Times New Roman"/>
          <w:color w:val="000000"/>
          <w:sz w:val="28"/>
          <w:szCs w:val="28"/>
        </w:rPr>
        <w:t>llim:</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Nxitjen e z</w:t>
      </w:r>
      <w:r w:rsidRPr="00422B3D">
        <w:rPr>
          <w:rFonts w:ascii="Times New Roman" w:eastAsia="Times New Roman" w:hAnsi="Times New Roman"/>
          <w:color w:val="000000"/>
          <w:sz w:val="28"/>
          <w:szCs w:val="28"/>
        </w:rPr>
        <w:t>hvillimit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industrive të teknologjisë së lartë dhe inovacionit</w:t>
      </w:r>
      <w:r>
        <w:rPr>
          <w:rFonts w:ascii="Times New Roman" w:eastAsia="Times New Roman" w:hAnsi="Times New Roman"/>
          <w:color w:val="000000"/>
          <w:sz w:val="28"/>
          <w:szCs w:val="28"/>
        </w:rPr>
        <w:t>;</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rkim-zhvillimit p</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 produkte dhe sh</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rbime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reja, si edhe p</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rmir</w:t>
      </w:r>
      <w:r w:rsidRPr="00422B3D">
        <w:rPr>
          <w:rFonts w:ascii="Times New Roman" w:eastAsia="Times New Roman" w:hAnsi="Times New Roman"/>
          <w:color w:val="000000"/>
          <w:sz w:val="28"/>
          <w:szCs w:val="28"/>
          <w:lang w:val="en-US"/>
        </w:rPr>
        <w:t>ë</w:t>
      </w:r>
      <w:r>
        <w:rPr>
          <w:rFonts w:ascii="Times New Roman" w:eastAsia="Times New Roman" w:hAnsi="Times New Roman"/>
          <w:color w:val="000000"/>
          <w:sz w:val="28"/>
          <w:szCs w:val="28"/>
        </w:rPr>
        <w:t>simin e atyre ekzistuese;</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Krijimin e</w:t>
      </w:r>
      <w:r w:rsidRPr="00422B3D">
        <w:rPr>
          <w:rFonts w:ascii="Times New Roman" w:eastAsia="Times New Roman" w:hAnsi="Times New Roman"/>
          <w:color w:val="000000"/>
          <w:sz w:val="28"/>
          <w:szCs w:val="28"/>
        </w:rPr>
        <w:t xml:space="preserve"> vendeve m</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kualifikuara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pun</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s p</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 profesionist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fushave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shkenc</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s dhe teknologjis</w:t>
      </w:r>
      <w:r w:rsidRPr="00422B3D">
        <w:rPr>
          <w:rFonts w:ascii="Times New Roman" w:eastAsia="Times New Roman" w:hAnsi="Times New Roman"/>
          <w:color w:val="000000"/>
          <w:sz w:val="28"/>
          <w:szCs w:val="28"/>
          <w:lang w:val="en-US"/>
        </w:rPr>
        <w:t>ë</w:t>
      </w:r>
      <w:r>
        <w:rPr>
          <w:rFonts w:ascii="Times New Roman" w:eastAsia="Times New Roman" w:hAnsi="Times New Roman"/>
          <w:color w:val="000000"/>
          <w:sz w:val="28"/>
          <w:szCs w:val="28"/>
        </w:rPr>
        <w:t>;</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Krijimin</w:t>
      </w:r>
      <w:r w:rsidRPr="00422B3D">
        <w:rPr>
          <w:rFonts w:ascii="Times New Roman" w:eastAsia="Times New Roman" w:hAnsi="Times New Roman"/>
          <w:color w:val="000000"/>
          <w:sz w:val="28"/>
          <w:szCs w:val="28"/>
        </w:rPr>
        <w:t xml:space="preserve"> </w:t>
      </w:r>
      <w:r w:rsidRPr="00B92F26">
        <w:rPr>
          <w:rFonts w:ascii="Times New Roman" w:eastAsia="Times New Roman" w:hAnsi="Times New Roman"/>
          <w:color w:val="000000"/>
          <w:sz w:val="28"/>
          <w:szCs w:val="28"/>
        </w:rPr>
        <w:t>e</w:t>
      </w:r>
      <w:r w:rsidRPr="00422B3D">
        <w:rPr>
          <w:rFonts w:ascii="Times New Roman" w:eastAsia="Times New Roman" w:hAnsi="Times New Roman"/>
          <w:color w:val="000000"/>
          <w:sz w:val="28"/>
          <w:szCs w:val="28"/>
        </w:rPr>
        <w:t xml:space="preserve"> infrastruktur</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s teknologjike me q</w:t>
      </w:r>
      <w:proofErr w:type="spellStart"/>
      <w:r w:rsidRPr="00422B3D">
        <w:rPr>
          <w:rFonts w:ascii="Times New Roman" w:eastAsia="Times New Roman" w:hAnsi="Times New Roman"/>
          <w:color w:val="000000"/>
          <w:sz w:val="28"/>
          <w:szCs w:val="28"/>
          <w:lang w:val="en-US"/>
        </w:rPr>
        <w:t>ëllim</w:t>
      </w:r>
      <w:proofErr w:type="spellEnd"/>
      <w:r w:rsidRPr="00422B3D">
        <w:rPr>
          <w:rFonts w:ascii="Times New Roman" w:eastAsia="Times New Roman" w:hAnsi="Times New Roman"/>
          <w:color w:val="000000"/>
          <w:sz w:val="28"/>
          <w:szCs w:val="28"/>
          <w:lang w:val="en-US"/>
        </w:rPr>
        <w:t xml:space="preserve"> </w:t>
      </w:r>
      <w:r w:rsidRPr="00422B3D">
        <w:rPr>
          <w:rFonts w:ascii="Times New Roman" w:eastAsia="Times New Roman" w:hAnsi="Times New Roman"/>
          <w:color w:val="000000"/>
          <w:sz w:val="28"/>
          <w:szCs w:val="28"/>
        </w:rPr>
        <w:t>p</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rshpejtimin e zhvillimit t</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inovacionit n</w:t>
      </w:r>
      <w:r w:rsidRPr="00422B3D">
        <w:rPr>
          <w:rFonts w:ascii="Times New Roman" w:eastAsia="Times New Roman" w:hAnsi="Times New Roman"/>
          <w:color w:val="000000"/>
          <w:sz w:val="28"/>
          <w:szCs w:val="28"/>
          <w:lang w:val="en-US"/>
        </w:rPr>
        <w:t>ë</w:t>
      </w:r>
      <w:r w:rsidRPr="00422B3D">
        <w:rPr>
          <w:rFonts w:ascii="Times New Roman" w:eastAsia="Times New Roman" w:hAnsi="Times New Roman"/>
          <w:color w:val="000000"/>
          <w:sz w:val="28"/>
          <w:szCs w:val="28"/>
        </w:rPr>
        <w:t xml:space="preserve"> produkte apo metoda prodhimi</w:t>
      </w:r>
      <w:r>
        <w:rPr>
          <w:rFonts w:ascii="Times New Roman" w:eastAsia="Times New Roman" w:hAnsi="Times New Roman"/>
          <w:color w:val="000000"/>
          <w:sz w:val="28"/>
          <w:szCs w:val="28"/>
        </w:rPr>
        <w:t>;</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Lehtësimi i sipërmarrjes inovative;</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Krijimi i lidhjeve të drejtpërdrejta ndërmjet bazës së njohurive, p.sh. instituteve kërkimore dhe/ose universiteteve dhe bizneseve;</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Mbështetja e ndërmarrjeve të vogla dhe të mesme;</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Tërheqja e investimeve të huaja dhe vendase;</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Lehtësimi i aktiviteteve që gjenerojnë produkte me vlerë të lartë të shtuar;</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Zhvillimi i kërkimit dhe inovacionit si dhe i prodhimit në sektorin e teknologjisë;</w:t>
      </w:r>
    </w:p>
    <w:p w:rsidR="00BB5F94" w:rsidRPr="00B92F26" w:rsidRDefault="00BB5F94" w:rsidP="00BB5F94">
      <w:pPr>
        <w:numPr>
          <w:ilvl w:val="0"/>
          <w:numId w:val="2"/>
        </w:num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Krijimi i eksp</w:t>
      </w:r>
      <w:r>
        <w:rPr>
          <w:rFonts w:ascii="Times New Roman" w:eastAsia="Times New Roman" w:hAnsi="Times New Roman"/>
          <w:color w:val="000000"/>
          <w:sz w:val="28"/>
          <w:szCs w:val="28"/>
        </w:rPr>
        <w:t>ertizës me aftësi të lartë;</w:t>
      </w:r>
    </w:p>
    <w:p w:rsidR="00BB5F94" w:rsidRPr="00B92F26" w:rsidRDefault="00BB5F94" w:rsidP="00BB5F94">
      <w:pPr>
        <w:spacing w:after="0" w:line="240" w:lineRule="auto"/>
        <w:jc w:val="both"/>
        <w:rPr>
          <w:rFonts w:ascii="Times New Roman" w:eastAsia="Times New Roman" w:hAnsi="Times New Roman"/>
          <w:color w:val="000000"/>
          <w:sz w:val="28"/>
          <w:szCs w:val="28"/>
        </w:rPr>
      </w:pPr>
    </w:p>
    <w:p w:rsidR="00BB5F94" w:rsidRPr="00B92F26" w:rsidRDefault="00BB5F94" w:rsidP="00BB5F94">
      <w:pPr>
        <w:numPr>
          <w:ilvl w:val="0"/>
          <w:numId w:val="1"/>
        </w:numPr>
        <w:spacing w:after="0" w:line="240" w:lineRule="auto"/>
        <w:contextualSpacing/>
        <w:jc w:val="both"/>
        <w:rPr>
          <w:rFonts w:ascii="Times New Roman" w:eastAsia="Times New Roman" w:hAnsi="Times New Roman"/>
          <w:b/>
          <w:sz w:val="28"/>
          <w:szCs w:val="28"/>
        </w:rPr>
      </w:pPr>
      <w:r w:rsidRPr="00B92F26">
        <w:rPr>
          <w:rFonts w:ascii="Times New Roman" w:eastAsia="Times New Roman" w:hAnsi="Times New Roman"/>
          <w:b/>
          <w:sz w:val="28"/>
          <w:szCs w:val="28"/>
        </w:rPr>
        <w:t>VLERËSIMI I LIGJSHMËRISË, KUSHTETUTSHMËRISË DHE HARMONIZIMI ME LEGJISLACIONIN NË FUQI VENDAS E NDËRKOMBËTAR</w:t>
      </w:r>
    </w:p>
    <w:p w:rsidR="00BB5F94" w:rsidRPr="00B92F26" w:rsidRDefault="00BB5F94" w:rsidP="00BB5F94">
      <w:pPr>
        <w:spacing w:after="0" w:line="240" w:lineRule="auto"/>
        <w:jc w:val="both"/>
        <w:rPr>
          <w:rFonts w:ascii="Times New Roman" w:eastAsia="Times New Roman" w:hAnsi="Times New Roman"/>
          <w:sz w:val="28"/>
          <w:szCs w:val="28"/>
        </w:rPr>
      </w:pPr>
    </w:p>
    <w:p w:rsidR="00BB5F94" w:rsidRPr="00B92F26" w:rsidRDefault="00BB5F94" w:rsidP="00BB5F94">
      <w:pPr>
        <w:spacing w:line="240" w:lineRule="auto"/>
        <w:jc w:val="both"/>
        <w:rPr>
          <w:rFonts w:ascii="Times New Roman" w:hAnsi="Times New Roman"/>
          <w:sz w:val="28"/>
          <w:szCs w:val="28"/>
        </w:rPr>
      </w:pPr>
      <w:r w:rsidRPr="00B92F26">
        <w:rPr>
          <w:rFonts w:ascii="Times New Roman" w:hAnsi="Times New Roman"/>
          <w:sz w:val="28"/>
          <w:szCs w:val="28"/>
        </w:rPr>
        <w:t>Projektligji propozohet në mbështetje të neneve 78 e 83, pika 1, të Kushtetutës së Republikës së Shqipërisë.</w:t>
      </w:r>
    </w:p>
    <w:p w:rsidR="00BB5F94" w:rsidRPr="00B92F26" w:rsidRDefault="00BB5F94" w:rsidP="00BB5F94">
      <w:pPr>
        <w:spacing w:line="240" w:lineRule="auto"/>
        <w:jc w:val="both"/>
        <w:rPr>
          <w:rFonts w:ascii="Times New Roman" w:hAnsi="Times New Roman"/>
          <w:bCs/>
          <w:sz w:val="28"/>
          <w:szCs w:val="28"/>
        </w:rPr>
      </w:pPr>
      <w:r w:rsidRPr="00B92F26">
        <w:rPr>
          <w:rFonts w:ascii="Times New Roman" w:hAnsi="Times New Roman"/>
          <w:bCs/>
          <w:sz w:val="28"/>
          <w:szCs w:val="28"/>
        </w:rPr>
        <w:t xml:space="preserve">Neni 78 parashikon mënyrën e vendimarrjes së Kuvendit, ndërkohë që Neni 83, pika 1 e tij parashikon parashikon mënyrën e votimit të një projektligjit. </w:t>
      </w:r>
    </w:p>
    <w:p w:rsidR="00BB5F94" w:rsidRPr="00B92F26" w:rsidRDefault="00BB5F94" w:rsidP="00BB5F94">
      <w:pPr>
        <w:spacing w:after="0" w:line="240" w:lineRule="auto"/>
        <w:jc w:val="both"/>
        <w:rPr>
          <w:rFonts w:ascii="Times New Roman" w:eastAsia="Times New Roman" w:hAnsi="Times New Roman"/>
          <w:b/>
          <w:sz w:val="28"/>
          <w:szCs w:val="28"/>
        </w:rPr>
      </w:pPr>
    </w:p>
    <w:p w:rsidR="00BB5F94" w:rsidRPr="00B92F26" w:rsidRDefault="00BB5F94" w:rsidP="00BB5F94">
      <w:pPr>
        <w:numPr>
          <w:ilvl w:val="0"/>
          <w:numId w:val="1"/>
        </w:numPr>
        <w:spacing w:after="0" w:line="240" w:lineRule="auto"/>
        <w:contextualSpacing/>
        <w:jc w:val="both"/>
        <w:rPr>
          <w:rFonts w:ascii="Times New Roman" w:eastAsia="Times New Roman" w:hAnsi="Times New Roman"/>
          <w:b/>
          <w:sz w:val="28"/>
          <w:szCs w:val="28"/>
        </w:rPr>
      </w:pPr>
      <w:r w:rsidRPr="00B92F26">
        <w:rPr>
          <w:rFonts w:ascii="Times New Roman" w:eastAsia="Times New Roman" w:hAnsi="Times New Roman"/>
          <w:b/>
          <w:sz w:val="28"/>
          <w:szCs w:val="28"/>
        </w:rPr>
        <w:t xml:space="preserve">    VLERËSIMI I SHKALLËS SË PËRAFRIMIT ME </w:t>
      </w:r>
      <w:r w:rsidRPr="00B92F26">
        <w:rPr>
          <w:rFonts w:ascii="Times New Roman" w:eastAsia="Times New Roman" w:hAnsi="Times New Roman"/>
          <w:b/>
          <w:i/>
          <w:sz w:val="28"/>
          <w:szCs w:val="28"/>
        </w:rPr>
        <w:t xml:space="preserve">ACQUIS COMMUNAUTAIRE </w:t>
      </w:r>
      <w:r w:rsidRPr="00B92F26">
        <w:rPr>
          <w:rFonts w:ascii="Times New Roman" w:eastAsia="Times New Roman" w:hAnsi="Times New Roman"/>
          <w:b/>
          <w:sz w:val="28"/>
          <w:szCs w:val="28"/>
        </w:rPr>
        <w:t>(PËR PROJEKTAKET NORMATIVE)</w:t>
      </w:r>
    </w:p>
    <w:p w:rsidR="00BB5F94" w:rsidRPr="00B92F26" w:rsidRDefault="00BB5F94" w:rsidP="00BB5F94">
      <w:pPr>
        <w:spacing w:after="0" w:line="240" w:lineRule="auto"/>
        <w:contextualSpacing/>
        <w:jc w:val="both"/>
        <w:rPr>
          <w:rFonts w:ascii="Times New Roman" w:eastAsia="Times New Roman" w:hAnsi="Times New Roman"/>
          <w:sz w:val="28"/>
          <w:szCs w:val="28"/>
        </w:rPr>
      </w:pPr>
      <w:r w:rsidRPr="00B92F26">
        <w:rPr>
          <w:rFonts w:ascii="Times New Roman" w:eastAsia="Times New Roman" w:hAnsi="Times New Roman"/>
          <w:sz w:val="28"/>
          <w:szCs w:val="28"/>
        </w:rPr>
        <w:t>Nuk ka</w:t>
      </w:r>
    </w:p>
    <w:p w:rsidR="00BB5F94" w:rsidRPr="00B92F26" w:rsidRDefault="00BB5F94" w:rsidP="00BB5F94">
      <w:pPr>
        <w:spacing w:after="0" w:line="240" w:lineRule="auto"/>
        <w:ind w:left="360"/>
        <w:jc w:val="both"/>
        <w:rPr>
          <w:rFonts w:ascii="Times New Roman" w:eastAsia="Times New Roman" w:hAnsi="Times New Roman"/>
          <w:b/>
          <w:sz w:val="28"/>
          <w:szCs w:val="28"/>
        </w:rPr>
      </w:pPr>
    </w:p>
    <w:p w:rsidR="00BB5F94" w:rsidRPr="00B92F26" w:rsidRDefault="00BB5F94" w:rsidP="00BB5F94">
      <w:pPr>
        <w:numPr>
          <w:ilvl w:val="0"/>
          <w:numId w:val="1"/>
        </w:numPr>
        <w:spacing w:after="0" w:line="240" w:lineRule="auto"/>
        <w:contextualSpacing/>
        <w:jc w:val="both"/>
        <w:rPr>
          <w:rFonts w:ascii="Times New Roman" w:eastAsia="Times New Roman" w:hAnsi="Times New Roman"/>
          <w:b/>
          <w:sz w:val="28"/>
          <w:szCs w:val="28"/>
        </w:rPr>
      </w:pPr>
      <w:r w:rsidRPr="00B92F26">
        <w:rPr>
          <w:rFonts w:ascii="Times New Roman" w:eastAsia="Times New Roman" w:hAnsi="Times New Roman"/>
          <w:b/>
          <w:sz w:val="28"/>
          <w:szCs w:val="28"/>
        </w:rPr>
        <w:t>PËRMBLEDHJE SHPJEGUESE E PËRMBAJTJES SË PROJEKTAKTIT</w:t>
      </w:r>
    </w:p>
    <w:p w:rsidR="00BB5F94" w:rsidRPr="00B92F26" w:rsidRDefault="00BB5F94" w:rsidP="00BB5F94">
      <w:pPr>
        <w:spacing w:after="0" w:line="240" w:lineRule="auto"/>
        <w:contextualSpacing/>
        <w:jc w:val="both"/>
        <w:rPr>
          <w:rFonts w:ascii="Times New Roman" w:eastAsia="Times New Roman" w:hAnsi="Times New Roman"/>
          <w:sz w:val="28"/>
          <w:szCs w:val="28"/>
        </w:rPr>
      </w:pPr>
    </w:p>
    <w:p w:rsidR="00BB5F94" w:rsidRPr="00B92F26" w:rsidRDefault="00BB5F94" w:rsidP="00BB5F94">
      <w:pPr>
        <w:spacing w:after="0" w:line="240" w:lineRule="auto"/>
        <w:contextualSpacing/>
        <w:jc w:val="both"/>
        <w:rPr>
          <w:rFonts w:ascii="Times New Roman" w:hAnsi="Times New Roman"/>
          <w:color w:val="000000"/>
          <w:sz w:val="28"/>
          <w:szCs w:val="28"/>
        </w:rPr>
      </w:pPr>
      <w:r w:rsidRPr="00B92F26">
        <w:rPr>
          <w:rFonts w:ascii="Times New Roman" w:eastAsia="Times New Roman" w:hAnsi="Times New Roman"/>
          <w:sz w:val="28"/>
          <w:szCs w:val="28"/>
        </w:rPr>
        <w:t>Kreu  I: Ka parashikuar objektin e ligjit q</w:t>
      </w:r>
      <w:r>
        <w:rPr>
          <w:rFonts w:ascii="Times New Roman" w:eastAsia="Times New Roman" w:hAnsi="Times New Roman"/>
          <w:sz w:val="28"/>
          <w:szCs w:val="28"/>
        </w:rPr>
        <w:t>ë</w:t>
      </w:r>
      <w:r w:rsidRPr="00B92F26">
        <w:rPr>
          <w:rFonts w:ascii="Times New Roman" w:eastAsia="Times New Roman" w:hAnsi="Times New Roman"/>
          <w:sz w:val="28"/>
          <w:szCs w:val="28"/>
        </w:rPr>
        <w:t xml:space="preserve"> lidhet me</w:t>
      </w:r>
      <w:r w:rsidRPr="00B92F26">
        <w:rPr>
          <w:rFonts w:ascii="Times New Roman" w:hAnsi="Times New Roman"/>
          <w:color w:val="000000"/>
          <w:sz w:val="28"/>
          <w:szCs w:val="28"/>
        </w:rPr>
        <w:t xml:space="preserve"> organizimin dhe funksionimin e Parqeve Teknologjike dhe Shkencore, q</w:t>
      </w:r>
      <w:r>
        <w:rPr>
          <w:rFonts w:ascii="Times New Roman" w:hAnsi="Times New Roman"/>
          <w:color w:val="000000"/>
          <w:sz w:val="28"/>
          <w:szCs w:val="28"/>
        </w:rPr>
        <w:t>ë</w:t>
      </w:r>
      <w:r w:rsidRPr="00B92F26">
        <w:rPr>
          <w:rFonts w:ascii="Times New Roman" w:hAnsi="Times New Roman"/>
          <w:color w:val="000000"/>
          <w:sz w:val="28"/>
          <w:szCs w:val="28"/>
        </w:rPr>
        <w:t>llimin dhe m</w:t>
      </w:r>
      <w:r>
        <w:rPr>
          <w:rFonts w:ascii="Times New Roman" w:hAnsi="Times New Roman"/>
          <w:color w:val="000000"/>
          <w:sz w:val="28"/>
          <w:szCs w:val="28"/>
        </w:rPr>
        <w:t>ënyrën</w:t>
      </w:r>
      <w:r w:rsidRPr="00B92F26">
        <w:rPr>
          <w:rFonts w:ascii="Times New Roman" w:hAnsi="Times New Roman"/>
          <w:color w:val="000000"/>
          <w:sz w:val="28"/>
          <w:szCs w:val="28"/>
        </w:rPr>
        <w:t xml:space="preserve"> e krijimit.</w:t>
      </w:r>
    </w:p>
    <w:p w:rsidR="00BB5F94" w:rsidRPr="00B92F26" w:rsidRDefault="00BB5F94" w:rsidP="00BB5F94">
      <w:pPr>
        <w:spacing w:after="0" w:line="240" w:lineRule="auto"/>
        <w:contextualSpacing/>
        <w:jc w:val="both"/>
        <w:rPr>
          <w:rFonts w:ascii="Times New Roman" w:hAnsi="Times New Roman"/>
          <w:color w:val="000000"/>
          <w:sz w:val="28"/>
          <w:szCs w:val="28"/>
        </w:rPr>
      </w:pPr>
      <w:r w:rsidRPr="00B92F26">
        <w:rPr>
          <w:rFonts w:ascii="Times New Roman" w:hAnsi="Times New Roman"/>
          <w:color w:val="000000"/>
          <w:sz w:val="28"/>
          <w:szCs w:val="28"/>
        </w:rPr>
        <w:t>Kreu II: Ka parashikuar organizimin dhe funks</w:t>
      </w:r>
      <w:r>
        <w:rPr>
          <w:rFonts w:ascii="Times New Roman" w:hAnsi="Times New Roman"/>
          <w:color w:val="000000"/>
          <w:sz w:val="28"/>
          <w:szCs w:val="28"/>
        </w:rPr>
        <w:t>i</w:t>
      </w:r>
      <w:r w:rsidRPr="00B92F26">
        <w:rPr>
          <w:rFonts w:ascii="Times New Roman" w:hAnsi="Times New Roman"/>
          <w:color w:val="000000"/>
          <w:sz w:val="28"/>
          <w:szCs w:val="28"/>
        </w:rPr>
        <w:t>onim</w:t>
      </w:r>
      <w:r>
        <w:rPr>
          <w:rFonts w:ascii="Times New Roman" w:hAnsi="Times New Roman"/>
          <w:color w:val="000000"/>
          <w:sz w:val="28"/>
          <w:szCs w:val="28"/>
        </w:rPr>
        <w:t>in e parqeve dhe ins</w:t>
      </w:r>
      <w:r w:rsidRPr="00B92F26">
        <w:rPr>
          <w:rFonts w:ascii="Times New Roman" w:hAnsi="Times New Roman"/>
          <w:color w:val="000000"/>
          <w:sz w:val="28"/>
          <w:szCs w:val="28"/>
        </w:rPr>
        <w:t>titucionet p</w:t>
      </w:r>
      <w:r>
        <w:rPr>
          <w:rFonts w:ascii="Times New Roman" w:hAnsi="Times New Roman"/>
          <w:color w:val="000000"/>
          <w:sz w:val="28"/>
          <w:szCs w:val="28"/>
        </w:rPr>
        <w:t>ë</w:t>
      </w:r>
      <w:r w:rsidRPr="00B92F26">
        <w:rPr>
          <w:rFonts w:ascii="Times New Roman" w:hAnsi="Times New Roman"/>
          <w:color w:val="000000"/>
          <w:sz w:val="28"/>
          <w:szCs w:val="28"/>
        </w:rPr>
        <w:t>rgjegj</w:t>
      </w:r>
      <w:r>
        <w:rPr>
          <w:rFonts w:ascii="Times New Roman" w:hAnsi="Times New Roman"/>
          <w:color w:val="000000"/>
          <w:sz w:val="28"/>
          <w:szCs w:val="28"/>
        </w:rPr>
        <w:t>ë</w:t>
      </w:r>
      <w:r w:rsidRPr="00B92F26">
        <w:rPr>
          <w:rFonts w:ascii="Times New Roman" w:hAnsi="Times New Roman"/>
          <w:color w:val="000000"/>
          <w:sz w:val="28"/>
          <w:szCs w:val="28"/>
        </w:rPr>
        <w:t>se.</w:t>
      </w:r>
    </w:p>
    <w:p w:rsidR="00BB5F94" w:rsidRPr="00B92F26" w:rsidRDefault="00BB5F94" w:rsidP="00BB5F94">
      <w:pPr>
        <w:spacing w:after="0" w:line="240" w:lineRule="auto"/>
        <w:jc w:val="both"/>
        <w:rPr>
          <w:rFonts w:ascii="Times New Roman" w:eastAsia="Times New Roman" w:hAnsi="Times New Roman"/>
          <w:color w:val="000000"/>
          <w:sz w:val="28"/>
          <w:szCs w:val="28"/>
        </w:rPr>
      </w:pPr>
      <w:r w:rsidRPr="00B92F26">
        <w:rPr>
          <w:rFonts w:ascii="Times New Roman" w:eastAsia="Times New Roman" w:hAnsi="Times New Roman"/>
          <w:color w:val="000000"/>
          <w:sz w:val="28"/>
          <w:szCs w:val="28"/>
        </w:rPr>
        <w:t>Kreu  III : Parashikon leht</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sit</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 xml:space="preserve"> rregullatore dhe fiskale, m</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nyr</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n e hyrje-daljeve t</w:t>
      </w:r>
      <w:r>
        <w:rPr>
          <w:rFonts w:ascii="Times New Roman" w:eastAsia="Times New Roman" w:hAnsi="Times New Roman"/>
          <w:color w:val="000000"/>
          <w:sz w:val="28"/>
          <w:szCs w:val="28"/>
        </w:rPr>
        <w:t>ë mall</w:t>
      </w:r>
      <w:r w:rsidRPr="00B92F26">
        <w:rPr>
          <w:rFonts w:ascii="Times New Roman" w:eastAsia="Times New Roman" w:hAnsi="Times New Roman"/>
          <w:color w:val="000000"/>
          <w:sz w:val="28"/>
          <w:szCs w:val="28"/>
        </w:rPr>
        <w:t>rave dhe sh</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rbimeve n</w:t>
      </w:r>
      <w:r>
        <w:rPr>
          <w:rFonts w:ascii="Times New Roman" w:eastAsia="Times New Roman" w:hAnsi="Times New Roman"/>
          <w:color w:val="000000"/>
          <w:sz w:val="28"/>
          <w:szCs w:val="28"/>
        </w:rPr>
        <w:t>ë</w:t>
      </w:r>
      <w:r w:rsidRPr="00B92F26">
        <w:rPr>
          <w:rFonts w:ascii="Times New Roman" w:eastAsia="Times New Roman" w:hAnsi="Times New Roman"/>
          <w:color w:val="000000"/>
          <w:sz w:val="28"/>
          <w:szCs w:val="28"/>
        </w:rPr>
        <w:t xml:space="preserve"> Park.</w:t>
      </w:r>
    </w:p>
    <w:p w:rsidR="00BB5F94" w:rsidRPr="00B92F26" w:rsidRDefault="00BB5F94" w:rsidP="00BB5F94">
      <w:pPr>
        <w:spacing w:after="0" w:line="24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Kreu IV: P</w:t>
      </w:r>
      <w:r w:rsidRPr="00B92F26">
        <w:rPr>
          <w:rFonts w:ascii="Times New Roman" w:eastAsia="Times New Roman" w:hAnsi="Times New Roman"/>
          <w:color w:val="000000"/>
          <w:sz w:val="28"/>
          <w:szCs w:val="28"/>
        </w:rPr>
        <w:t>arashikon dispozitat rregulluese tranzitore.</w:t>
      </w:r>
    </w:p>
    <w:p w:rsidR="00BB5F94" w:rsidRPr="00B92F26" w:rsidRDefault="00BB5F94" w:rsidP="00BB5F94">
      <w:pPr>
        <w:spacing w:after="0" w:line="240" w:lineRule="auto"/>
        <w:contextualSpacing/>
        <w:jc w:val="both"/>
        <w:rPr>
          <w:rFonts w:ascii="Times New Roman" w:eastAsia="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sz w:val="28"/>
          <w:szCs w:val="28"/>
        </w:rPr>
      </w:pPr>
    </w:p>
    <w:p w:rsidR="00BB5F94" w:rsidRPr="00B92F26" w:rsidRDefault="00BB5F94" w:rsidP="00BB5F94">
      <w:pPr>
        <w:spacing w:line="240" w:lineRule="auto"/>
        <w:jc w:val="both"/>
        <w:rPr>
          <w:rFonts w:ascii="Times New Roman" w:hAnsi="Times New Roman"/>
          <w:b/>
          <w:sz w:val="28"/>
          <w:szCs w:val="28"/>
        </w:rPr>
      </w:pPr>
      <w:r w:rsidRPr="00B92F26">
        <w:rPr>
          <w:rFonts w:ascii="Times New Roman" w:hAnsi="Times New Roman"/>
          <w:b/>
          <w:sz w:val="28"/>
          <w:szCs w:val="28"/>
        </w:rPr>
        <w:t>VII. INSTITUCIONET DHE ORGANET QË NGARKOHEN PËR ZBATIMIN E AKTIT</w:t>
      </w:r>
    </w:p>
    <w:p w:rsidR="00BB5F94" w:rsidRPr="00B92F26" w:rsidRDefault="00BB5F94" w:rsidP="00BB5F94">
      <w:pPr>
        <w:spacing w:line="240" w:lineRule="auto"/>
        <w:jc w:val="both"/>
        <w:rPr>
          <w:rFonts w:ascii="Times New Roman" w:hAnsi="Times New Roman"/>
          <w:sz w:val="28"/>
          <w:szCs w:val="28"/>
        </w:rPr>
      </w:pPr>
      <w:r w:rsidRPr="00B92F26">
        <w:rPr>
          <w:rFonts w:ascii="Times New Roman" w:hAnsi="Times New Roman"/>
          <w:sz w:val="28"/>
          <w:szCs w:val="28"/>
        </w:rPr>
        <w:t>Institucioni përgjegjës për ndjekjen dhe zbatimin e këtij projektligj ë</w:t>
      </w:r>
      <w:r>
        <w:rPr>
          <w:rFonts w:ascii="Times New Roman" w:hAnsi="Times New Roman"/>
          <w:sz w:val="28"/>
          <w:szCs w:val="28"/>
        </w:rPr>
        <w:t>shtë</w:t>
      </w:r>
      <w:r w:rsidRPr="00B92F26">
        <w:rPr>
          <w:rFonts w:ascii="Times New Roman" w:hAnsi="Times New Roman"/>
          <w:sz w:val="28"/>
          <w:szCs w:val="28"/>
        </w:rPr>
        <w:t xml:space="preserve"> ministria përgjegjëse për ekonominë.</w:t>
      </w:r>
    </w:p>
    <w:p w:rsidR="00BB5F94" w:rsidRPr="00B92F26" w:rsidRDefault="00BB5F94" w:rsidP="00BB5F94">
      <w:pPr>
        <w:spacing w:line="240" w:lineRule="auto"/>
        <w:jc w:val="both"/>
        <w:rPr>
          <w:rFonts w:ascii="Times New Roman" w:hAnsi="Times New Roman"/>
          <w:b/>
          <w:sz w:val="28"/>
          <w:szCs w:val="28"/>
        </w:rPr>
      </w:pPr>
      <w:r w:rsidRPr="00B92F26">
        <w:rPr>
          <w:rFonts w:ascii="Times New Roman" w:hAnsi="Times New Roman"/>
          <w:b/>
          <w:sz w:val="28"/>
          <w:szCs w:val="28"/>
        </w:rPr>
        <w:t>VIII. PERSONAT DHE INSTITUCIONET QË KANË KONTRIBUAR NË HARTIMIN E PROJEKTAKTIT</w:t>
      </w:r>
    </w:p>
    <w:p w:rsidR="00BB5F94" w:rsidRPr="00B92F26" w:rsidRDefault="00BB5F94" w:rsidP="00BB5F94">
      <w:pPr>
        <w:spacing w:line="240" w:lineRule="auto"/>
        <w:jc w:val="both"/>
        <w:rPr>
          <w:rFonts w:ascii="Times New Roman" w:hAnsi="Times New Roman"/>
          <w:sz w:val="28"/>
          <w:szCs w:val="28"/>
        </w:rPr>
      </w:pPr>
      <w:r w:rsidRPr="00B92F26">
        <w:rPr>
          <w:rFonts w:ascii="Times New Roman" w:hAnsi="Times New Roman"/>
          <w:sz w:val="28"/>
          <w:szCs w:val="28"/>
        </w:rPr>
        <w:t>Projektligji është hartuar nga Ministria</w:t>
      </w:r>
      <w:r>
        <w:rPr>
          <w:rFonts w:ascii="Times New Roman" w:hAnsi="Times New Roman"/>
          <w:sz w:val="28"/>
          <w:szCs w:val="28"/>
        </w:rPr>
        <w:t xml:space="preserve"> e</w:t>
      </w:r>
      <w:r w:rsidRPr="00B92F26">
        <w:rPr>
          <w:rFonts w:ascii="Times New Roman" w:hAnsi="Times New Roman"/>
          <w:sz w:val="28"/>
          <w:szCs w:val="28"/>
        </w:rPr>
        <w:t xml:space="preserve"> Financave dhe Ekonomisë  dhe dërgohet për mendim në Ministrinë e Infrastrukturës dhe Energjisë, Ministrinë e Drejtësisë, Ministrinë e </w:t>
      </w:r>
      <w:r>
        <w:rPr>
          <w:rFonts w:ascii="Times New Roman" w:hAnsi="Times New Roman"/>
          <w:sz w:val="28"/>
          <w:szCs w:val="28"/>
        </w:rPr>
        <w:t xml:space="preserve">Shetit për Mbrojtjen e </w:t>
      </w:r>
      <w:r w:rsidRPr="00B92F26">
        <w:rPr>
          <w:rFonts w:ascii="Times New Roman" w:hAnsi="Times New Roman"/>
          <w:sz w:val="28"/>
          <w:szCs w:val="28"/>
        </w:rPr>
        <w:t>Sipërmarrjes dhe Agjencin</w:t>
      </w:r>
      <w:r>
        <w:rPr>
          <w:rFonts w:ascii="Times New Roman" w:hAnsi="Times New Roman"/>
          <w:sz w:val="28"/>
          <w:szCs w:val="28"/>
        </w:rPr>
        <w:t>ë</w:t>
      </w:r>
      <w:r w:rsidRPr="00B92F26">
        <w:rPr>
          <w:rFonts w:ascii="Times New Roman" w:hAnsi="Times New Roman"/>
          <w:sz w:val="28"/>
          <w:szCs w:val="28"/>
        </w:rPr>
        <w:t xml:space="preserve"> Komb</w:t>
      </w:r>
      <w:r>
        <w:rPr>
          <w:rFonts w:ascii="Times New Roman" w:hAnsi="Times New Roman"/>
          <w:sz w:val="28"/>
          <w:szCs w:val="28"/>
        </w:rPr>
        <w:t>ëtare e Shoqë</w:t>
      </w:r>
      <w:r w:rsidRPr="00B92F26">
        <w:rPr>
          <w:rFonts w:ascii="Times New Roman" w:hAnsi="Times New Roman"/>
          <w:sz w:val="28"/>
          <w:szCs w:val="28"/>
        </w:rPr>
        <w:t>ris</w:t>
      </w:r>
      <w:r>
        <w:rPr>
          <w:rFonts w:ascii="Times New Roman" w:hAnsi="Times New Roman"/>
          <w:sz w:val="28"/>
          <w:szCs w:val="28"/>
        </w:rPr>
        <w:t>ë</w:t>
      </w:r>
      <w:r w:rsidRPr="00B92F26">
        <w:rPr>
          <w:rFonts w:ascii="Times New Roman" w:hAnsi="Times New Roman"/>
          <w:sz w:val="28"/>
          <w:szCs w:val="28"/>
        </w:rPr>
        <w:t xml:space="preserve"> s</w:t>
      </w:r>
      <w:r>
        <w:rPr>
          <w:rFonts w:ascii="Times New Roman" w:hAnsi="Times New Roman"/>
          <w:sz w:val="28"/>
          <w:szCs w:val="28"/>
        </w:rPr>
        <w:t>ë</w:t>
      </w:r>
      <w:r w:rsidRPr="00B92F26">
        <w:rPr>
          <w:rFonts w:ascii="Times New Roman" w:hAnsi="Times New Roman"/>
          <w:sz w:val="28"/>
          <w:szCs w:val="28"/>
        </w:rPr>
        <w:t xml:space="preserve"> Informacionit.</w:t>
      </w:r>
    </w:p>
    <w:p w:rsidR="00BB5F94" w:rsidRPr="00B92F26" w:rsidRDefault="00BB5F94" w:rsidP="00BB5F94">
      <w:pPr>
        <w:spacing w:line="240" w:lineRule="auto"/>
        <w:jc w:val="both"/>
        <w:rPr>
          <w:rFonts w:ascii="Times New Roman" w:hAnsi="Times New Roman"/>
          <w:b/>
          <w:sz w:val="28"/>
          <w:szCs w:val="28"/>
        </w:rPr>
      </w:pPr>
      <w:r w:rsidRPr="00B92F26">
        <w:rPr>
          <w:rFonts w:ascii="Times New Roman" w:hAnsi="Times New Roman"/>
          <w:b/>
          <w:sz w:val="28"/>
          <w:szCs w:val="28"/>
        </w:rPr>
        <w:t>IX. RAPORTI I VLERËSIMIT TË TË ARDHURAVE DHE SHPENZIMEVE BUXHETORE</w:t>
      </w:r>
    </w:p>
    <w:p w:rsidR="00BB5F94" w:rsidRPr="00B92F26" w:rsidRDefault="00BB5F94" w:rsidP="00BB5F94">
      <w:pPr>
        <w:spacing w:line="240" w:lineRule="auto"/>
        <w:jc w:val="both"/>
        <w:rPr>
          <w:rFonts w:ascii="Times New Roman" w:hAnsi="Times New Roman"/>
          <w:sz w:val="28"/>
          <w:szCs w:val="28"/>
        </w:rPr>
      </w:pPr>
      <w:r w:rsidRPr="00B92F26">
        <w:rPr>
          <w:rFonts w:ascii="Times New Roman" w:hAnsi="Times New Roman"/>
          <w:sz w:val="28"/>
          <w:szCs w:val="28"/>
        </w:rPr>
        <w:lastRenderedPageBreak/>
        <w:t>Efektet financiare që mund të dalin nga zbatimi i tij</w:t>
      </w:r>
      <w:r>
        <w:rPr>
          <w:rFonts w:ascii="Times New Roman" w:hAnsi="Times New Roman"/>
          <w:sz w:val="28"/>
          <w:szCs w:val="28"/>
        </w:rPr>
        <w:t>,</w:t>
      </w:r>
      <w:r w:rsidRPr="00B92F26">
        <w:rPr>
          <w:rFonts w:ascii="Times New Roman" w:hAnsi="Times New Roman"/>
          <w:sz w:val="28"/>
          <w:szCs w:val="28"/>
        </w:rPr>
        <w:t xml:space="preserve"> do të parashikohen n</w:t>
      </w:r>
      <w:r>
        <w:rPr>
          <w:rFonts w:ascii="Times New Roman" w:hAnsi="Times New Roman"/>
          <w:sz w:val="28"/>
          <w:szCs w:val="28"/>
        </w:rPr>
        <w:t>ë</w:t>
      </w:r>
      <w:r w:rsidRPr="00B92F26">
        <w:rPr>
          <w:rFonts w:ascii="Times New Roman" w:hAnsi="Times New Roman"/>
          <w:sz w:val="28"/>
          <w:szCs w:val="28"/>
        </w:rPr>
        <w:t xml:space="preserve"> aktet n</w:t>
      </w:r>
      <w:r>
        <w:rPr>
          <w:rFonts w:ascii="Times New Roman" w:hAnsi="Times New Roman"/>
          <w:sz w:val="28"/>
          <w:szCs w:val="28"/>
        </w:rPr>
        <w:t>ë</w:t>
      </w:r>
      <w:r w:rsidRPr="00B92F26">
        <w:rPr>
          <w:rFonts w:ascii="Times New Roman" w:hAnsi="Times New Roman"/>
          <w:sz w:val="28"/>
          <w:szCs w:val="28"/>
        </w:rPr>
        <w:t>nligjore q</w:t>
      </w:r>
      <w:r>
        <w:rPr>
          <w:rFonts w:ascii="Times New Roman" w:hAnsi="Times New Roman"/>
          <w:sz w:val="28"/>
          <w:szCs w:val="28"/>
        </w:rPr>
        <w:t>ë</w:t>
      </w:r>
      <w:r w:rsidRPr="00B92F26">
        <w:rPr>
          <w:rFonts w:ascii="Times New Roman" w:hAnsi="Times New Roman"/>
          <w:sz w:val="28"/>
          <w:szCs w:val="28"/>
        </w:rPr>
        <w:t xml:space="preserve"> do t</w:t>
      </w:r>
      <w:r>
        <w:rPr>
          <w:rFonts w:ascii="Times New Roman" w:hAnsi="Times New Roman"/>
          <w:sz w:val="28"/>
          <w:szCs w:val="28"/>
        </w:rPr>
        <w:t>ë</w:t>
      </w:r>
      <w:r w:rsidRPr="00B92F26">
        <w:rPr>
          <w:rFonts w:ascii="Times New Roman" w:hAnsi="Times New Roman"/>
          <w:sz w:val="28"/>
          <w:szCs w:val="28"/>
        </w:rPr>
        <w:t xml:space="preserve"> miratohen pas hyrjes n</w:t>
      </w:r>
      <w:r>
        <w:rPr>
          <w:rFonts w:ascii="Times New Roman" w:hAnsi="Times New Roman"/>
          <w:sz w:val="28"/>
          <w:szCs w:val="28"/>
        </w:rPr>
        <w:t>ë</w:t>
      </w:r>
      <w:r w:rsidRPr="00B92F26">
        <w:rPr>
          <w:rFonts w:ascii="Times New Roman" w:hAnsi="Times New Roman"/>
          <w:sz w:val="28"/>
          <w:szCs w:val="28"/>
        </w:rPr>
        <w:t xml:space="preserve"> fuqi t</w:t>
      </w:r>
      <w:r>
        <w:rPr>
          <w:rFonts w:ascii="Times New Roman" w:hAnsi="Times New Roman"/>
          <w:sz w:val="28"/>
          <w:szCs w:val="28"/>
        </w:rPr>
        <w:t>ë</w:t>
      </w:r>
      <w:r w:rsidRPr="00B92F26">
        <w:rPr>
          <w:rFonts w:ascii="Times New Roman" w:hAnsi="Times New Roman"/>
          <w:sz w:val="28"/>
          <w:szCs w:val="28"/>
        </w:rPr>
        <w:t xml:space="preserve"> ligjit.</w:t>
      </w:r>
    </w:p>
    <w:p w:rsidR="00BB5F94" w:rsidRPr="00B92F26" w:rsidRDefault="00BB5F94" w:rsidP="00BB5F94">
      <w:pPr>
        <w:spacing w:after="0" w:line="240" w:lineRule="auto"/>
        <w:jc w:val="both"/>
        <w:rPr>
          <w:rFonts w:ascii="Times New Roman" w:eastAsia="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b/>
          <w:sz w:val="28"/>
          <w:szCs w:val="28"/>
        </w:rPr>
      </w:pPr>
    </w:p>
    <w:p w:rsidR="00BB5F94" w:rsidRDefault="00BB5F94" w:rsidP="00BB5F94">
      <w:pPr>
        <w:spacing w:after="0"/>
        <w:ind w:left="360"/>
        <w:jc w:val="both"/>
        <w:rPr>
          <w:rFonts w:ascii="Times New Roman" w:eastAsia="Times New Roman" w:hAnsi="Times New Roman"/>
          <w:b/>
          <w:sz w:val="28"/>
          <w:szCs w:val="28"/>
        </w:rPr>
      </w:pPr>
      <w:r w:rsidRPr="00B92F26">
        <w:rPr>
          <w:rFonts w:ascii="Times New Roman" w:eastAsia="Times New Roman" w:hAnsi="Times New Roman"/>
          <w:b/>
          <w:sz w:val="28"/>
          <w:szCs w:val="28"/>
        </w:rPr>
        <w:t xml:space="preserve">                                                                                           MINISTRI</w:t>
      </w:r>
    </w:p>
    <w:p w:rsidR="00BB5F94" w:rsidRDefault="00BB5F94" w:rsidP="00BB5F94">
      <w:pPr>
        <w:spacing w:after="0"/>
        <w:jc w:val="both"/>
        <w:rPr>
          <w:rFonts w:ascii="Times New Roman" w:eastAsia="Times New Roman" w:hAnsi="Times New Roman"/>
          <w:b/>
          <w:sz w:val="28"/>
          <w:szCs w:val="28"/>
        </w:rPr>
      </w:pPr>
    </w:p>
    <w:p w:rsidR="00BB5F94" w:rsidRPr="00B92F26" w:rsidRDefault="00BB5F94" w:rsidP="00BB5F94">
      <w:pPr>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 xml:space="preserve">      Delina IBRAHIMAJ</w:t>
      </w:r>
    </w:p>
    <w:p w:rsidR="00BB5F94" w:rsidRPr="00B92F26" w:rsidRDefault="00BB5F94" w:rsidP="00BB5F94">
      <w:pPr>
        <w:spacing w:after="0"/>
        <w:ind w:left="360"/>
        <w:jc w:val="both"/>
        <w:rPr>
          <w:rFonts w:ascii="Times New Roman" w:eastAsia="Times New Roman" w:hAnsi="Times New Roman"/>
          <w:b/>
          <w:sz w:val="28"/>
          <w:szCs w:val="28"/>
        </w:rPr>
      </w:pP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r w:rsidRPr="00B92F26">
        <w:rPr>
          <w:rFonts w:ascii="Times New Roman" w:eastAsia="Times New Roman" w:hAnsi="Times New Roman"/>
          <w:b/>
          <w:sz w:val="28"/>
          <w:szCs w:val="28"/>
        </w:rPr>
        <w:tab/>
      </w:r>
    </w:p>
    <w:p w:rsidR="00BB5F94" w:rsidRPr="00B92F26" w:rsidRDefault="00BB5F94" w:rsidP="00BB5F94">
      <w:pPr>
        <w:spacing w:after="0"/>
        <w:ind w:left="360"/>
        <w:jc w:val="both"/>
        <w:rPr>
          <w:rFonts w:ascii="Times New Roman" w:eastAsia="Times New Roman" w:hAnsi="Times New Roman"/>
          <w:sz w:val="28"/>
          <w:szCs w:val="28"/>
        </w:rPr>
      </w:pPr>
    </w:p>
    <w:p w:rsidR="00BB5F94" w:rsidRPr="00B92F26" w:rsidRDefault="00BB5F94" w:rsidP="00BB5F94">
      <w:pPr>
        <w:spacing w:after="0" w:line="240" w:lineRule="auto"/>
        <w:ind w:left="360"/>
        <w:jc w:val="both"/>
        <w:rPr>
          <w:rFonts w:ascii="Times New Roman" w:eastAsia="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color w:val="FFFFFF"/>
          <w:sz w:val="28"/>
          <w:szCs w:val="28"/>
          <w:lang w:eastAsia="de-DE"/>
        </w:rPr>
      </w:pPr>
      <w:r w:rsidRPr="00B92F26">
        <w:rPr>
          <w:rFonts w:ascii="Times New Roman" w:eastAsia="Times New Roman" w:hAnsi="Times New Roman"/>
          <w:color w:val="FFFFFF"/>
          <w:sz w:val="28"/>
          <w:szCs w:val="28"/>
        </w:rPr>
        <w:t xml:space="preserve"> `</w:t>
      </w:r>
    </w:p>
    <w:p w:rsidR="00BB5F94" w:rsidRPr="00B92F26" w:rsidRDefault="00BB5F94" w:rsidP="00BB5F94">
      <w:pPr>
        <w:tabs>
          <w:tab w:val="left" w:pos="1320"/>
        </w:tabs>
        <w:spacing w:after="0" w:line="240" w:lineRule="auto"/>
        <w:jc w:val="both"/>
        <w:rPr>
          <w:rFonts w:ascii="Times New Roman" w:eastAsia="Times New Roman" w:hAnsi="Times New Roman"/>
          <w:b/>
          <w:caps/>
          <w:color w:val="FFFFFF"/>
          <w:sz w:val="28"/>
          <w:szCs w:val="28"/>
          <w:lang w:eastAsia="de-DE"/>
        </w:rPr>
      </w:pPr>
    </w:p>
    <w:p w:rsidR="00BB5F94" w:rsidRPr="00B92F26" w:rsidRDefault="00BB5F94" w:rsidP="00BB5F94">
      <w:pPr>
        <w:tabs>
          <w:tab w:val="left" w:pos="1320"/>
        </w:tabs>
        <w:spacing w:after="0" w:line="240" w:lineRule="auto"/>
        <w:jc w:val="both"/>
        <w:rPr>
          <w:rFonts w:ascii="Times New Roman" w:eastAsia="Times New Roman" w:hAnsi="Times New Roman"/>
          <w:b/>
          <w:caps/>
          <w:sz w:val="28"/>
          <w:szCs w:val="28"/>
          <w:lang w:eastAsia="de-DE"/>
        </w:rPr>
      </w:pPr>
    </w:p>
    <w:p w:rsidR="00BB5F94" w:rsidRPr="00B92F26" w:rsidRDefault="00BB5F94" w:rsidP="00BB5F94">
      <w:pPr>
        <w:spacing w:after="0" w:line="240" w:lineRule="auto"/>
        <w:ind w:left="360"/>
        <w:jc w:val="both"/>
        <w:rPr>
          <w:rFonts w:ascii="Times New Roman" w:eastAsia="Times New Roman" w:hAnsi="Times New Roman"/>
          <w:b/>
          <w:sz w:val="28"/>
          <w:szCs w:val="28"/>
        </w:rPr>
      </w:pPr>
    </w:p>
    <w:p w:rsidR="00BB5F94" w:rsidRPr="00B92F26" w:rsidRDefault="00BB5F94" w:rsidP="00BB5F94">
      <w:pPr>
        <w:spacing w:after="0" w:line="240" w:lineRule="auto"/>
        <w:ind w:left="360"/>
        <w:jc w:val="both"/>
        <w:rPr>
          <w:rFonts w:ascii="Times New Roman" w:eastAsia="Times New Roman" w:hAnsi="Times New Roman"/>
          <w:color w:val="FFFFFF"/>
          <w:sz w:val="28"/>
          <w:szCs w:val="28"/>
        </w:rPr>
      </w:pPr>
      <w:r w:rsidRPr="00B92F26">
        <w:rPr>
          <w:rFonts w:ascii="Times New Roman" w:eastAsia="Times New Roman" w:hAnsi="Times New Roman"/>
          <w:b/>
          <w:color w:val="FFFFFF"/>
          <w:sz w:val="28"/>
          <w:szCs w:val="28"/>
        </w:rPr>
        <w:t xml:space="preserve"> </w:t>
      </w:r>
    </w:p>
    <w:p w:rsidR="00BB5F94" w:rsidRPr="00B92F26" w:rsidRDefault="00BB5F94" w:rsidP="00BB5F94">
      <w:pPr>
        <w:spacing w:after="0" w:line="240" w:lineRule="auto"/>
        <w:ind w:left="360"/>
        <w:jc w:val="both"/>
        <w:rPr>
          <w:rFonts w:ascii="Times New Roman" w:eastAsia="Times New Roman" w:hAnsi="Times New Roman"/>
          <w:sz w:val="28"/>
          <w:szCs w:val="28"/>
        </w:rPr>
      </w:pPr>
    </w:p>
    <w:p w:rsidR="00BB5F94" w:rsidRPr="00B92F26" w:rsidRDefault="00BB5F94" w:rsidP="00BB5F94">
      <w:pPr>
        <w:spacing w:after="0" w:line="240" w:lineRule="auto"/>
        <w:ind w:left="360"/>
        <w:jc w:val="both"/>
        <w:rPr>
          <w:rFonts w:ascii="Times New Roman" w:eastAsia="Times New Roman" w:hAnsi="Times New Roman"/>
          <w:sz w:val="28"/>
          <w:szCs w:val="28"/>
        </w:rPr>
      </w:pPr>
    </w:p>
    <w:p w:rsidR="00BB5F94" w:rsidRPr="00B92F26" w:rsidRDefault="00BB5F94" w:rsidP="00BB5F94">
      <w:pPr>
        <w:spacing w:after="0" w:line="240" w:lineRule="auto"/>
        <w:jc w:val="both"/>
        <w:rPr>
          <w:rFonts w:ascii="Times New Roman" w:eastAsia="Times New Roman" w:hAnsi="Times New Roman"/>
          <w:color w:val="FF0000"/>
          <w:sz w:val="28"/>
          <w:szCs w:val="28"/>
        </w:rPr>
      </w:pPr>
    </w:p>
    <w:p w:rsidR="00BB5F94" w:rsidRPr="00B92F26" w:rsidRDefault="00BB5F94" w:rsidP="00BB5F94">
      <w:pPr>
        <w:spacing w:after="0" w:line="240" w:lineRule="auto"/>
        <w:jc w:val="both"/>
        <w:rPr>
          <w:rFonts w:ascii="Times New Roman" w:eastAsia="Times New Roman" w:hAnsi="Times New Roman"/>
          <w:color w:val="FF0000"/>
          <w:sz w:val="28"/>
          <w:szCs w:val="28"/>
        </w:rPr>
      </w:pPr>
    </w:p>
    <w:p w:rsidR="003333DB" w:rsidRDefault="003333DB">
      <w:bookmarkStart w:id="0" w:name="_GoBack"/>
      <w:bookmarkEnd w:id="0"/>
    </w:p>
    <w:sectPr w:rsidR="003333DB" w:rsidSect="00A97840">
      <w:footerReference w:type="default" r:id="rId5"/>
      <w:pgSz w:w="11907" w:h="16839" w:code="9"/>
      <w:pgMar w:top="1440" w:right="1440" w:bottom="1440" w:left="1440" w:header="720" w:footer="81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40" w:rsidRDefault="00BB5F94" w:rsidP="00A97840">
    <w:pPr>
      <w:jc w:val="both"/>
      <w:rPr>
        <w:rFonts w:ascii="Times New Roman" w:eastAsia="Times New Roman" w:hAnsi="Times New Roman"/>
      </w:rPr>
    </w:pPr>
    <w:r>
      <w:rPr>
        <w:rFonts w:ascii="Times New Roman" w:eastAsia="Times New Roman" w:hAnsi="Times New Roman"/>
      </w:rPr>
      <w:t>__________________________________________________________________________________</w:t>
    </w:r>
  </w:p>
  <w:p w:rsidR="00B51BFD" w:rsidRPr="00A97840" w:rsidRDefault="00BB5F94" w:rsidP="00A97840">
    <w:pPr>
      <w:jc w:val="both"/>
      <w:rPr>
        <w:rFonts w:ascii="Times" w:eastAsia="Times New Roman" w:hAnsi="Times"/>
        <w:color w:val="000000"/>
        <w:sz w:val="24"/>
        <w:szCs w:val="24"/>
      </w:rPr>
    </w:pPr>
    <w:r w:rsidRPr="003425D0">
      <w:rPr>
        <w:rFonts w:ascii="Times New Roman" w:eastAsia="Times New Roman" w:hAnsi="Times New Roman"/>
      </w:rPr>
      <w:t xml:space="preserve">Relacion shpjegues për </w:t>
    </w:r>
    <w:r>
      <w:rPr>
        <w:rFonts w:ascii="Times New Roman" w:eastAsia="Times New Roman" w:hAnsi="Times New Roman"/>
      </w:rPr>
      <w:t>projekt</w:t>
    </w:r>
    <w:r>
      <w:rPr>
        <w:rFonts w:ascii="Times New Roman" w:eastAsia="Times New Roman" w:hAnsi="Times New Roman"/>
      </w:rPr>
      <w:t>ligjin</w:t>
    </w:r>
    <w:r>
      <w:rPr>
        <w:rFonts w:ascii="Times New Roman" w:eastAsia="Times New Roman" w:hAnsi="Times New Roman"/>
      </w:rPr>
      <w:t xml:space="preserve"> “</w:t>
    </w:r>
    <w:r>
      <w:rPr>
        <w:rFonts w:ascii="Times" w:eastAsia="Times New Roman" w:hAnsi="Times"/>
        <w:color w:val="000000"/>
        <w:sz w:val="24"/>
        <w:szCs w:val="24"/>
      </w:rPr>
      <w:t>Për k</w:t>
    </w:r>
    <w:r w:rsidRPr="00A97840">
      <w:rPr>
        <w:rFonts w:ascii="Times" w:eastAsia="Times New Roman" w:hAnsi="Times"/>
        <w:color w:val="000000"/>
        <w:sz w:val="24"/>
        <w:szCs w:val="24"/>
      </w:rPr>
      <w:t xml:space="preserve">rijimin, organizimin dhe funksionimin e Parqeve Teknologjike dhe Shkencore (“Parqet”).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6177C"/>
    <w:multiLevelType w:val="hybridMultilevel"/>
    <w:tmpl w:val="2A9875AC"/>
    <w:lvl w:ilvl="0" w:tplc="D30620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DB"/>
    <w:rsid w:val="002559DB"/>
    <w:rsid w:val="003333DB"/>
    <w:rsid w:val="00992D66"/>
    <w:rsid w:val="00B25AA3"/>
    <w:rsid w:val="00B30511"/>
    <w:rsid w:val="00BB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B18DD-8A5D-4222-BB7F-5114FDDA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94"/>
    <w:pPr>
      <w:spacing w:after="200" w:line="276" w:lineRule="auto"/>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Mucmataj</dc:creator>
  <cp:keywords/>
  <dc:description/>
  <cp:lastModifiedBy>Saimir Mucmataj</cp:lastModifiedBy>
  <cp:revision>2</cp:revision>
  <dcterms:created xsi:type="dcterms:W3CDTF">2022-03-29T16:34:00Z</dcterms:created>
  <dcterms:modified xsi:type="dcterms:W3CDTF">2022-03-29T16:34:00Z</dcterms:modified>
</cp:coreProperties>
</file>